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707" w:rsidRPr="008E5707" w:rsidRDefault="008E5707" w:rsidP="008E5707">
      <w:pPr>
        <w:pStyle w:val="AERbodytext"/>
        <w:numPr>
          <w:ilvl w:val="0"/>
          <w:numId w:val="13"/>
        </w:numPr>
      </w:pPr>
    </w:p>
    <w:p w:rsidR="00DA4105" w:rsidRDefault="00DA4105" w:rsidP="000F13F6">
      <w:pPr>
        <w:pStyle w:val="AERtitle1"/>
      </w:pPr>
    </w:p>
    <w:p w:rsidR="00DA4105" w:rsidRDefault="00DA4105" w:rsidP="000F13F6">
      <w:pPr>
        <w:pStyle w:val="AERtitle1"/>
      </w:pPr>
    </w:p>
    <w:p w:rsidR="00DA4105" w:rsidRDefault="00DA4105" w:rsidP="000F13F6">
      <w:pPr>
        <w:pStyle w:val="AERtitle1"/>
      </w:pPr>
    </w:p>
    <w:p w:rsidR="00DA4105" w:rsidRDefault="00DA4105" w:rsidP="000F13F6">
      <w:pPr>
        <w:pStyle w:val="AERtitle1"/>
      </w:pPr>
    </w:p>
    <w:p w:rsidR="00DA4105" w:rsidRDefault="00DA4105" w:rsidP="000F13F6">
      <w:pPr>
        <w:pStyle w:val="AERtitle1"/>
      </w:pPr>
    </w:p>
    <w:p w:rsidR="008E5707" w:rsidRPr="008E5707" w:rsidRDefault="008E5707" w:rsidP="000F13F6">
      <w:pPr>
        <w:pStyle w:val="AERtitle1"/>
      </w:pPr>
      <w:r w:rsidRPr="008E5707">
        <w:t>RETAIL ENERGY MARKET UPDATE</w:t>
      </w:r>
    </w:p>
    <w:p w:rsidR="008E5707" w:rsidRDefault="00DE3ACE" w:rsidP="000F13F6">
      <w:pPr>
        <w:pStyle w:val="AERtitle2"/>
      </w:pPr>
      <w:r>
        <w:t>October to December 2012</w:t>
      </w:r>
    </w:p>
    <w:p w:rsidR="00301B93" w:rsidRDefault="00301B93" w:rsidP="00301B93">
      <w:pPr>
        <w:pStyle w:val="AERbodytext"/>
      </w:pPr>
    </w:p>
    <w:p w:rsidR="00301B93" w:rsidRDefault="00301B93" w:rsidP="00894458">
      <w:pPr>
        <w:pStyle w:val="AERbodytext"/>
        <w:numPr>
          <w:ilvl w:val="0"/>
          <w:numId w:val="0"/>
        </w:numPr>
      </w:pPr>
    </w:p>
    <w:p w:rsidR="00301B93" w:rsidRPr="008E5707" w:rsidRDefault="00301B93" w:rsidP="000F13F6">
      <w:pPr>
        <w:pStyle w:val="AERtitle2"/>
      </w:pPr>
    </w:p>
    <w:p w:rsidR="00115D75" w:rsidRPr="00115D75" w:rsidRDefault="00115D75" w:rsidP="00115D75">
      <w:pPr>
        <w:pStyle w:val="UnnumberedHeading"/>
      </w:pPr>
      <w:bookmarkStart w:id="0" w:name="_Toc352247345"/>
      <w:r w:rsidRPr="00115D75">
        <w:lastRenderedPageBreak/>
        <w:t>Contents</w:t>
      </w:r>
      <w:bookmarkEnd w:id="0"/>
    </w:p>
    <w:p w:rsidR="00301B93" w:rsidRDefault="00115D75">
      <w:pPr>
        <w:pStyle w:val="TOC1"/>
        <w:tabs>
          <w:tab w:val="right" w:leader="dot" w:pos="9016"/>
        </w:tabs>
        <w:rPr>
          <w:rFonts w:ascii="Calibri" w:eastAsia="Times New Roman" w:hAnsi="Calibri"/>
          <w:b w:val="0"/>
          <w:bCs w:val="0"/>
          <w:noProof/>
          <w:sz w:val="22"/>
          <w:szCs w:val="22"/>
          <w:lang w:eastAsia="en-AU"/>
        </w:rPr>
      </w:pPr>
      <w:r w:rsidRPr="00F35C3E">
        <w:fldChar w:fldCharType="begin"/>
      </w:r>
      <w:r w:rsidRPr="00F35C3E">
        <w:instrText xml:space="preserve"> TOC \o "1-3" \h \z \u </w:instrText>
      </w:r>
      <w:r w:rsidRPr="00F35C3E">
        <w:fldChar w:fldCharType="separate"/>
      </w:r>
      <w:hyperlink w:anchor="_Toc352247345" w:history="1">
        <w:r w:rsidR="00301B93" w:rsidRPr="0062571E">
          <w:rPr>
            <w:rStyle w:val="Hyperlink"/>
            <w:noProof/>
          </w:rPr>
          <w:t>Contents</w:t>
        </w:r>
        <w:r w:rsidR="00301B93">
          <w:rPr>
            <w:noProof/>
            <w:webHidden/>
          </w:rPr>
          <w:tab/>
        </w:r>
        <w:r w:rsidR="00301B93">
          <w:rPr>
            <w:noProof/>
            <w:webHidden/>
          </w:rPr>
          <w:fldChar w:fldCharType="begin"/>
        </w:r>
        <w:r w:rsidR="00301B93">
          <w:rPr>
            <w:noProof/>
            <w:webHidden/>
          </w:rPr>
          <w:instrText xml:space="preserve"> PAGEREF _Toc352247345 \h </w:instrText>
        </w:r>
        <w:r w:rsidR="00301B93">
          <w:rPr>
            <w:noProof/>
            <w:webHidden/>
          </w:rPr>
        </w:r>
        <w:r w:rsidR="00301B93">
          <w:rPr>
            <w:noProof/>
            <w:webHidden/>
          </w:rPr>
          <w:fldChar w:fldCharType="separate"/>
        </w:r>
        <w:r w:rsidR="00301B93">
          <w:rPr>
            <w:noProof/>
            <w:webHidden/>
          </w:rPr>
          <w:t>2</w:t>
        </w:r>
        <w:r w:rsidR="00301B93">
          <w:rPr>
            <w:noProof/>
            <w:webHidden/>
          </w:rPr>
          <w:fldChar w:fldCharType="end"/>
        </w:r>
      </w:hyperlink>
    </w:p>
    <w:p w:rsidR="00301B93" w:rsidRDefault="00301B93">
      <w:pPr>
        <w:pStyle w:val="TOC1"/>
        <w:tabs>
          <w:tab w:val="right" w:leader="dot" w:pos="9016"/>
        </w:tabs>
        <w:rPr>
          <w:rFonts w:ascii="Calibri" w:eastAsia="Times New Roman" w:hAnsi="Calibri"/>
          <w:b w:val="0"/>
          <w:bCs w:val="0"/>
          <w:noProof/>
          <w:sz w:val="22"/>
          <w:szCs w:val="22"/>
          <w:lang w:eastAsia="en-AU"/>
        </w:rPr>
      </w:pPr>
      <w:hyperlink w:anchor="_Toc352247346" w:history="1">
        <w:r w:rsidRPr="0062571E">
          <w:rPr>
            <w:rStyle w:val="Hyperlink"/>
            <w:noProof/>
          </w:rPr>
          <w:t>About this report</w:t>
        </w:r>
        <w:r>
          <w:rPr>
            <w:noProof/>
            <w:webHidden/>
          </w:rPr>
          <w:tab/>
        </w:r>
        <w:r>
          <w:rPr>
            <w:noProof/>
            <w:webHidden/>
          </w:rPr>
          <w:fldChar w:fldCharType="begin"/>
        </w:r>
        <w:r>
          <w:rPr>
            <w:noProof/>
            <w:webHidden/>
          </w:rPr>
          <w:instrText xml:space="preserve"> PAGEREF _Toc352247346 \h </w:instrText>
        </w:r>
        <w:r>
          <w:rPr>
            <w:noProof/>
            <w:webHidden/>
          </w:rPr>
        </w:r>
        <w:r>
          <w:rPr>
            <w:noProof/>
            <w:webHidden/>
          </w:rPr>
          <w:fldChar w:fldCharType="separate"/>
        </w:r>
        <w:r>
          <w:rPr>
            <w:noProof/>
            <w:webHidden/>
          </w:rPr>
          <w:t>3</w:t>
        </w:r>
        <w:r>
          <w:rPr>
            <w:noProof/>
            <w:webHidden/>
          </w:rPr>
          <w:fldChar w:fldCharType="end"/>
        </w:r>
      </w:hyperlink>
    </w:p>
    <w:p w:rsidR="00301B93" w:rsidRDefault="00301B93">
      <w:pPr>
        <w:pStyle w:val="TOC1"/>
        <w:tabs>
          <w:tab w:val="right" w:leader="dot" w:pos="9016"/>
        </w:tabs>
        <w:rPr>
          <w:rFonts w:ascii="Calibri" w:eastAsia="Times New Roman" w:hAnsi="Calibri"/>
          <w:b w:val="0"/>
          <w:bCs w:val="0"/>
          <w:noProof/>
          <w:sz w:val="22"/>
          <w:szCs w:val="22"/>
          <w:lang w:eastAsia="en-AU"/>
        </w:rPr>
      </w:pPr>
      <w:hyperlink w:anchor="_Toc352247347" w:history="1">
        <w:r w:rsidRPr="0062571E">
          <w:rPr>
            <w:rStyle w:val="Hyperlink"/>
            <w:noProof/>
          </w:rPr>
          <w:t>Quarter 2 2012–13 observations</w:t>
        </w:r>
        <w:r>
          <w:rPr>
            <w:noProof/>
            <w:webHidden/>
          </w:rPr>
          <w:tab/>
        </w:r>
        <w:r>
          <w:rPr>
            <w:noProof/>
            <w:webHidden/>
          </w:rPr>
          <w:fldChar w:fldCharType="begin"/>
        </w:r>
        <w:r>
          <w:rPr>
            <w:noProof/>
            <w:webHidden/>
          </w:rPr>
          <w:instrText xml:space="preserve"> PAGEREF _Toc352247347 \h </w:instrText>
        </w:r>
        <w:r>
          <w:rPr>
            <w:noProof/>
            <w:webHidden/>
          </w:rPr>
        </w:r>
        <w:r>
          <w:rPr>
            <w:noProof/>
            <w:webHidden/>
          </w:rPr>
          <w:fldChar w:fldCharType="separate"/>
        </w:r>
        <w:r>
          <w:rPr>
            <w:noProof/>
            <w:webHidden/>
          </w:rPr>
          <w:t>4</w:t>
        </w:r>
        <w:r>
          <w:rPr>
            <w:noProof/>
            <w:webHidden/>
          </w:rPr>
          <w:fldChar w:fldCharType="end"/>
        </w:r>
      </w:hyperlink>
    </w:p>
    <w:p w:rsidR="00301B93" w:rsidRDefault="00301B93">
      <w:pPr>
        <w:pStyle w:val="TOC1"/>
        <w:tabs>
          <w:tab w:val="left" w:pos="400"/>
          <w:tab w:val="right" w:leader="dot" w:pos="9016"/>
        </w:tabs>
        <w:rPr>
          <w:rFonts w:ascii="Calibri" w:eastAsia="Times New Roman" w:hAnsi="Calibri"/>
          <w:b w:val="0"/>
          <w:bCs w:val="0"/>
          <w:noProof/>
          <w:sz w:val="22"/>
          <w:szCs w:val="22"/>
          <w:lang w:eastAsia="en-AU"/>
        </w:rPr>
      </w:pPr>
      <w:hyperlink w:anchor="_Toc352247348" w:history="1">
        <w:r w:rsidRPr="0062571E">
          <w:rPr>
            <w:rStyle w:val="Hyperlink"/>
            <w:noProof/>
          </w:rPr>
          <w:t>1</w:t>
        </w:r>
        <w:r>
          <w:rPr>
            <w:rFonts w:ascii="Calibri" w:eastAsia="Times New Roman" w:hAnsi="Calibri"/>
            <w:b w:val="0"/>
            <w:bCs w:val="0"/>
            <w:noProof/>
            <w:sz w:val="22"/>
            <w:szCs w:val="22"/>
            <w:lang w:eastAsia="en-AU"/>
          </w:rPr>
          <w:tab/>
        </w:r>
        <w:r w:rsidRPr="0062571E">
          <w:rPr>
            <w:rStyle w:val="Hyperlink"/>
            <w:noProof/>
          </w:rPr>
          <w:t>Retail market overview</w:t>
        </w:r>
        <w:r>
          <w:rPr>
            <w:noProof/>
            <w:webHidden/>
          </w:rPr>
          <w:tab/>
        </w:r>
        <w:r>
          <w:rPr>
            <w:noProof/>
            <w:webHidden/>
          </w:rPr>
          <w:fldChar w:fldCharType="begin"/>
        </w:r>
        <w:r>
          <w:rPr>
            <w:noProof/>
            <w:webHidden/>
          </w:rPr>
          <w:instrText xml:space="preserve"> PAGEREF _Toc352247348 \h </w:instrText>
        </w:r>
        <w:r>
          <w:rPr>
            <w:noProof/>
            <w:webHidden/>
          </w:rPr>
        </w:r>
        <w:r>
          <w:rPr>
            <w:noProof/>
            <w:webHidden/>
          </w:rPr>
          <w:fldChar w:fldCharType="separate"/>
        </w:r>
        <w:r>
          <w:rPr>
            <w:noProof/>
            <w:webHidden/>
          </w:rPr>
          <w:t>5</w:t>
        </w:r>
        <w:r>
          <w:rPr>
            <w:noProof/>
            <w:webHidden/>
          </w:rPr>
          <w:fldChar w:fldCharType="end"/>
        </w:r>
      </w:hyperlink>
    </w:p>
    <w:p w:rsidR="00301B93" w:rsidRDefault="00301B93">
      <w:pPr>
        <w:pStyle w:val="TOC2"/>
        <w:tabs>
          <w:tab w:val="left" w:pos="800"/>
          <w:tab w:val="right" w:leader="dot" w:pos="9016"/>
        </w:tabs>
        <w:rPr>
          <w:rFonts w:ascii="Calibri" w:eastAsia="Times New Roman" w:hAnsi="Calibri"/>
          <w:iCs w:val="0"/>
          <w:noProof/>
          <w:sz w:val="22"/>
          <w:szCs w:val="22"/>
          <w:lang w:eastAsia="en-AU"/>
        </w:rPr>
      </w:pPr>
      <w:hyperlink w:anchor="_Toc352247349" w:history="1">
        <w:r w:rsidRPr="0062571E">
          <w:rPr>
            <w:rStyle w:val="Hyperlink"/>
            <w:noProof/>
          </w:rPr>
          <w:t>1.1</w:t>
        </w:r>
        <w:r>
          <w:rPr>
            <w:rFonts w:ascii="Calibri" w:eastAsia="Times New Roman" w:hAnsi="Calibri"/>
            <w:iCs w:val="0"/>
            <w:noProof/>
            <w:sz w:val="22"/>
            <w:szCs w:val="22"/>
            <w:lang w:eastAsia="en-AU"/>
          </w:rPr>
          <w:tab/>
        </w:r>
        <w:r w:rsidRPr="0062571E">
          <w:rPr>
            <w:rStyle w:val="Hyperlink"/>
            <w:noProof/>
          </w:rPr>
          <w:t>Energy retailers in the ACT and Tasmania</w:t>
        </w:r>
        <w:r>
          <w:rPr>
            <w:noProof/>
            <w:webHidden/>
          </w:rPr>
          <w:tab/>
        </w:r>
        <w:r>
          <w:rPr>
            <w:noProof/>
            <w:webHidden/>
          </w:rPr>
          <w:fldChar w:fldCharType="begin"/>
        </w:r>
        <w:r>
          <w:rPr>
            <w:noProof/>
            <w:webHidden/>
          </w:rPr>
          <w:instrText xml:space="preserve"> PAGEREF _Toc352247349 \h </w:instrText>
        </w:r>
        <w:r>
          <w:rPr>
            <w:noProof/>
            <w:webHidden/>
          </w:rPr>
        </w:r>
        <w:r>
          <w:rPr>
            <w:noProof/>
            <w:webHidden/>
          </w:rPr>
          <w:fldChar w:fldCharType="separate"/>
        </w:r>
        <w:r>
          <w:rPr>
            <w:noProof/>
            <w:webHidden/>
          </w:rPr>
          <w:t>5</w:t>
        </w:r>
        <w:r>
          <w:rPr>
            <w:noProof/>
            <w:webHidden/>
          </w:rPr>
          <w:fldChar w:fldCharType="end"/>
        </w:r>
      </w:hyperlink>
    </w:p>
    <w:p w:rsidR="00301B93" w:rsidRDefault="00301B93">
      <w:pPr>
        <w:pStyle w:val="TOC2"/>
        <w:tabs>
          <w:tab w:val="left" w:pos="800"/>
          <w:tab w:val="right" w:leader="dot" w:pos="9016"/>
        </w:tabs>
        <w:rPr>
          <w:rFonts w:ascii="Calibri" w:eastAsia="Times New Roman" w:hAnsi="Calibri"/>
          <w:iCs w:val="0"/>
          <w:noProof/>
          <w:sz w:val="22"/>
          <w:szCs w:val="22"/>
          <w:lang w:eastAsia="en-AU"/>
        </w:rPr>
      </w:pPr>
      <w:hyperlink w:anchor="_Toc352247350" w:history="1">
        <w:r w:rsidRPr="0062571E">
          <w:rPr>
            <w:rStyle w:val="Hyperlink"/>
            <w:noProof/>
          </w:rPr>
          <w:t>1.2</w:t>
        </w:r>
        <w:r>
          <w:rPr>
            <w:rFonts w:ascii="Calibri" w:eastAsia="Times New Roman" w:hAnsi="Calibri"/>
            <w:iCs w:val="0"/>
            <w:noProof/>
            <w:sz w:val="22"/>
            <w:szCs w:val="22"/>
            <w:lang w:eastAsia="en-AU"/>
          </w:rPr>
          <w:tab/>
        </w:r>
        <w:r w:rsidRPr="0062571E">
          <w:rPr>
            <w:rStyle w:val="Hyperlink"/>
            <w:noProof/>
          </w:rPr>
          <w:t>Proportion of customers on standard and market retail contracts</w:t>
        </w:r>
        <w:r>
          <w:rPr>
            <w:noProof/>
            <w:webHidden/>
          </w:rPr>
          <w:tab/>
        </w:r>
        <w:r>
          <w:rPr>
            <w:noProof/>
            <w:webHidden/>
          </w:rPr>
          <w:fldChar w:fldCharType="begin"/>
        </w:r>
        <w:r>
          <w:rPr>
            <w:noProof/>
            <w:webHidden/>
          </w:rPr>
          <w:instrText xml:space="preserve"> PAGEREF _Toc352247350 \h </w:instrText>
        </w:r>
        <w:r>
          <w:rPr>
            <w:noProof/>
            <w:webHidden/>
          </w:rPr>
        </w:r>
        <w:r>
          <w:rPr>
            <w:noProof/>
            <w:webHidden/>
          </w:rPr>
          <w:fldChar w:fldCharType="separate"/>
        </w:r>
        <w:r>
          <w:rPr>
            <w:noProof/>
            <w:webHidden/>
          </w:rPr>
          <w:t>5</w:t>
        </w:r>
        <w:r>
          <w:rPr>
            <w:noProof/>
            <w:webHidden/>
          </w:rPr>
          <w:fldChar w:fldCharType="end"/>
        </w:r>
      </w:hyperlink>
    </w:p>
    <w:p w:rsidR="00301B93" w:rsidRDefault="00301B93">
      <w:pPr>
        <w:pStyle w:val="TOC2"/>
        <w:tabs>
          <w:tab w:val="left" w:pos="800"/>
          <w:tab w:val="right" w:leader="dot" w:pos="9016"/>
        </w:tabs>
        <w:rPr>
          <w:rFonts w:ascii="Calibri" w:eastAsia="Times New Roman" w:hAnsi="Calibri"/>
          <w:iCs w:val="0"/>
          <w:noProof/>
          <w:sz w:val="22"/>
          <w:szCs w:val="22"/>
          <w:lang w:eastAsia="en-AU"/>
        </w:rPr>
      </w:pPr>
      <w:hyperlink w:anchor="_Toc352247351" w:history="1">
        <w:r w:rsidRPr="0062571E">
          <w:rPr>
            <w:rStyle w:val="Hyperlink"/>
            <w:noProof/>
          </w:rPr>
          <w:t>1.3</w:t>
        </w:r>
        <w:r>
          <w:rPr>
            <w:rFonts w:ascii="Calibri" w:eastAsia="Times New Roman" w:hAnsi="Calibri"/>
            <w:iCs w:val="0"/>
            <w:noProof/>
            <w:sz w:val="22"/>
            <w:szCs w:val="22"/>
            <w:lang w:eastAsia="en-AU"/>
          </w:rPr>
          <w:tab/>
        </w:r>
        <w:r w:rsidRPr="0062571E">
          <w:rPr>
            <w:rStyle w:val="Hyperlink"/>
            <w:noProof/>
          </w:rPr>
          <w:t>Customer switching rates</w:t>
        </w:r>
        <w:r>
          <w:rPr>
            <w:noProof/>
            <w:webHidden/>
          </w:rPr>
          <w:tab/>
        </w:r>
        <w:r>
          <w:rPr>
            <w:noProof/>
            <w:webHidden/>
          </w:rPr>
          <w:fldChar w:fldCharType="begin"/>
        </w:r>
        <w:r>
          <w:rPr>
            <w:noProof/>
            <w:webHidden/>
          </w:rPr>
          <w:instrText xml:space="preserve"> PAGEREF _Toc352247351 \h </w:instrText>
        </w:r>
        <w:r>
          <w:rPr>
            <w:noProof/>
            <w:webHidden/>
          </w:rPr>
        </w:r>
        <w:r>
          <w:rPr>
            <w:noProof/>
            <w:webHidden/>
          </w:rPr>
          <w:fldChar w:fldCharType="separate"/>
        </w:r>
        <w:r>
          <w:rPr>
            <w:noProof/>
            <w:webHidden/>
          </w:rPr>
          <w:t>6</w:t>
        </w:r>
        <w:r>
          <w:rPr>
            <w:noProof/>
            <w:webHidden/>
          </w:rPr>
          <w:fldChar w:fldCharType="end"/>
        </w:r>
      </w:hyperlink>
    </w:p>
    <w:p w:rsidR="00301B93" w:rsidRDefault="00301B93">
      <w:pPr>
        <w:pStyle w:val="TOC1"/>
        <w:tabs>
          <w:tab w:val="left" w:pos="400"/>
          <w:tab w:val="right" w:leader="dot" w:pos="9016"/>
        </w:tabs>
        <w:rPr>
          <w:rFonts w:ascii="Calibri" w:eastAsia="Times New Roman" w:hAnsi="Calibri"/>
          <w:b w:val="0"/>
          <w:bCs w:val="0"/>
          <w:noProof/>
          <w:sz w:val="22"/>
          <w:szCs w:val="22"/>
          <w:lang w:eastAsia="en-AU"/>
        </w:rPr>
      </w:pPr>
      <w:hyperlink w:anchor="_Toc352247352" w:history="1">
        <w:r w:rsidRPr="0062571E">
          <w:rPr>
            <w:rStyle w:val="Hyperlink"/>
            <w:noProof/>
          </w:rPr>
          <w:t>2</w:t>
        </w:r>
        <w:r>
          <w:rPr>
            <w:rFonts w:ascii="Calibri" w:eastAsia="Times New Roman" w:hAnsi="Calibri"/>
            <w:b w:val="0"/>
            <w:bCs w:val="0"/>
            <w:noProof/>
            <w:sz w:val="22"/>
            <w:szCs w:val="22"/>
            <w:lang w:eastAsia="en-AU"/>
          </w:rPr>
          <w:tab/>
        </w:r>
        <w:r w:rsidRPr="0062571E">
          <w:rPr>
            <w:rStyle w:val="Hyperlink"/>
            <w:noProof/>
          </w:rPr>
          <w:t>Retail market activities report</w:t>
        </w:r>
        <w:r>
          <w:rPr>
            <w:noProof/>
            <w:webHidden/>
          </w:rPr>
          <w:tab/>
        </w:r>
        <w:r>
          <w:rPr>
            <w:noProof/>
            <w:webHidden/>
          </w:rPr>
          <w:fldChar w:fldCharType="begin"/>
        </w:r>
        <w:r>
          <w:rPr>
            <w:noProof/>
            <w:webHidden/>
          </w:rPr>
          <w:instrText xml:space="preserve"> PAGEREF _Toc352247352 \h </w:instrText>
        </w:r>
        <w:r>
          <w:rPr>
            <w:noProof/>
            <w:webHidden/>
          </w:rPr>
        </w:r>
        <w:r>
          <w:rPr>
            <w:noProof/>
            <w:webHidden/>
          </w:rPr>
          <w:fldChar w:fldCharType="separate"/>
        </w:r>
        <w:r>
          <w:rPr>
            <w:noProof/>
            <w:webHidden/>
          </w:rPr>
          <w:t>10</w:t>
        </w:r>
        <w:r>
          <w:rPr>
            <w:noProof/>
            <w:webHidden/>
          </w:rPr>
          <w:fldChar w:fldCharType="end"/>
        </w:r>
      </w:hyperlink>
    </w:p>
    <w:p w:rsidR="00301B93" w:rsidRDefault="00301B93">
      <w:pPr>
        <w:pStyle w:val="TOC2"/>
        <w:tabs>
          <w:tab w:val="left" w:pos="800"/>
          <w:tab w:val="right" w:leader="dot" w:pos="9016"/>
        </w:tabs>
        <w:rPr>
          <w:rFonts w:ascii="Calibri" w:eastAsia="Times New Roman" w:hAnsi="Calibri"/>
          <w:iCs w:val="0"/>
          <w:noProof/>
          <w:sz w:val="22"/>
          <w:szCs w:val="22"/>
          <w:lang w:eastAsia="en-AU"/>
        </w:rPr>
      </w:pPr>
      <w:hyperlink w:anchor="_Toc352247353" w:history="1">
        <w:r w:rsidRPr="0062571E">
          <w:rPr>
            <w:rStyle w:val="Hyperlink"/>
            <w:noProof/>
          </w:rPr>
          <w:t>2.1</w:t>
        </w:r>
        <w:r>
          <w:rPr>
            <w:rFonts w:ascii="Calibri" w:eastAsia="Times New Roman" w:hAnsi="Calibri"/>
            <w:iCs w:val="0"/>
            <w:noProof/>
            <w:sz w:val="22"/>
            <w:szCs w:val="22"/>
            <w:lang w:eastAsia="en-AU"/>
          </w:rPr>
          <w:tab/>
        </w:r>
        <w:r w:rsidRPr="0062571E">
          <w:rPr>
            <w:rStyle w:val="Hyperlink"/>
            <w:noProof/>
          </w:rPr>
          <w:t>Handling of customers experiencing payment difficulties</w:t>
        </w:r>
        <w:r>
          <w:rPr>
            <w:noProof/>
            <w:webHidden/>
          </w:rPr>
          <w:tab/>
        </w:r>
        <w:r>
          <w:rPr>
            <w:noProof/>
            <w:webHidden/>
          </w:rPr>
          <w:fldChar w:fldCharType="begin"/>
        </w:r>
        <w:r>
          <w:rPr>
            <w:noProof/>
            <w:webHidden/>
          </w:rPr>
          <w:instrText xml:space="preserve"> PAGEREF _Toc352247353 \h </w:instrText>
        </w:r>
        <w:r>
          <w:rPr>
            <w:noProof/>
            <w:webHidden/>
          </w:rPr>
        </w:r>
        <w:r>
          <w:rPr>
            <w:noProof/>
            <w:webHidden/>
          </w:rPr>
          <w:fldChar w:fldCharType="separate"/>
        </w:r>
        <w:r>
          <w:rPr>
            <w:noProof/>
            <w:webHidden/>
          </w:rPr>
          <w:t>10</w:t>
        </w:r>
        <w:r>
          <w:rPr>
            <w:noProof/>
            <w:webHidden/>
          </w:rPr>
          <w:fldChar w:fldCharType="end"/>
        </w:r>
      </w:hyperlink>
    </w:p>
    <w:p w:rsidR="00301B93" w:rsidRDefault="00301B93">
      <w:pPr>
        <w:pStyle w:val="TOC3"/>
        <w:tabs>
          <w:tab w:val="left" w:pos="1200"/>
          <w:tab w:val="right" w:leader="dot" w:pos="9016"/>
        </w:tabs>
        <w:rPr>
          <w:rFonts w:ascii="Calibri" w:eastAsia="Times New Roman" w:hAnsi="Calibri"/>
          <w:noProof/>
          <w:sz w:val="22"/>
          <w:szCs w:val="22"/>
          <w:lang w:eastAsia="en-AU"/>
        </w:rPr>
      </w:pPr>
      <w:hyperlink w:anchor="_Toc352247354" w:history="1">
        <w:r w:rsidRPr="0062571E">
          <w:rPr>
            <w:rStyle w:val="Hyperlink"/>
            <w:noProof/>
          </w:rPr>
          <w:t>2.1.1</w:t>
        </w:r>
        <w:r>
          <w:rPr>
            <w:rFonts w:ascii="Calibri" w:eastAsia="Times New Roman" w:hAnsi="Calibri"/>
            <w:noProof/>
            <w:sz w:val="22"/>
            <w:szCs w:val="22"/>
            <w:lang w:eastAsia="en-AU"/>
          </w:rPr>
          <w:tab/>
        </w:r>
        <w:r w:rsidRPr="0062571E">
          <w:rPr>
            <w:rStyle w:val="Hyperlink"/>
            <w:noProof/>
          </w:rPr>
          <w:t>Residential customer energy bill debt</w:t>
        </w:r>
        <w:r>
          <w:rPr>
            <w:noProof/>
            <w:webHidden/>
          </w:rPr>
          <w:tab/>
        </w:r>
        <w:r>
          <w:rPr>
            <w:noProof/>
            <w:webHidden/>
          </w:rPr>
          <w:fldChar w:fldCharType="begin"/>
        </w:r>
        <w:r>
          <w:rPr>
            <w:noProof/>
            <w:webHidden/>
          </w:rPr>
          <w:instrText xml:space="preserve"> PAGEREF _Toc352247354 \h </w:instrText>
        </w:r>
        <w:r>
          <w:rPr>
            <w:noProof/>
            <w:webHidden/>
          </w:rPr>
        </w:r>
        <w:r>
          <w:rPr>
            <w:noProof/>
            <w:webHidden/>
          </w:rPr>
          <w:fldChar w:fldCharType="separate"/>
        </w:r>
        <w:r>
          <w:rPr>
            <w:noProof/>
            <w:webHidden/>
          </w:rPr>
          <w:t>10</w:t>
        </w:r>
        <w:r>
          <w:rPr>
            <w:noProof/>
            <w:webHidden/>
          </w:rPr>
          <w:fldChar w:fldCharType="end"/>
        </w:r>
      </w:hyperlink>
    </w:p>
    <w:p w:rsidR="00301B93" w:rsidRDefault="00301B93">
      <w:pPr>
        <w:pStyle w:val="TOC3"/>
        <w:tabs>
          <w:tab w:val="left" w:pos="1200"/>
          <w:tab w:val="right" w:leader="dot" w:pos="9016"/>
        </w:tabs>
        <w:rPr>
          <w:rFonts w:ascii="Calibri" w:eastAsia="Times New Roman" w:hAnsi="Calibri"/>
          <w:noProof/>
          <w:sz w:val="22"/>
          <w:szCs w:val="22"/>
          <w:lang w:eastAsia="en-AU"/>
        </w:rPr>
      </w:pPr>
      <w:hyperlink w:anchor="_Toc352247355" w:history="1">
        <w:r w:rsidRPr="0062571E">
          <w:rPr>
            <w:rStyle w:val="Hyperlink"/>
            <w:noProof/>
          </w:rPr>
          <w:t>2.1.2</w:t>
        </w:r>
        <w:r>
          <w:rPr>
            <w:rFonts w:ascii="Calibri" w:eastAsia="Times New Roman" w:hAnsi="Calibri"/>
            <w:noProof/>
            <w:sz w:val="22"/>
            <w:szCs w:val="22"/>
            <w:lang w:eastAsia="en-AU"/>
          </w:rPr>
          <w:tab/>
        </w:r>
        <w:r w:rsidRPr="0062571E">
          <w:rPr>
            <w:rStyle w:val="Hyperlink"/>
            <w:noProof/>
          </w:rPr>
          <w:t>Residential customers on payment plans</w:t>
        </w:r>
        <w:r>
          <w:rPr>
            <w:noProof/>
            <w:webHidden/>
          </w:rPr>
          <w:tab/>
        </w:r>
        <w:r>
          <w:rPr>
            <w:noProof/>
            <w:webHidden/>
          </w:rPr>
          <w:fldChar w:fldCharType="begin"/>
        </w:r>
        <w:r>
          <w:rPr>
            <w:noProof/>
            <w:webHidden/>
          </w:rPr>
          <w:instrText xml:space="preserve"> PAGEREF _Toc352247355 \h </w:instrText>
        </w:r>
        <w:r>
          <w:rPr>
            <w:noProof/>
            <w:webHidden/>
          </w:rPr>
        </w:r>
        <w:r>
          <w:rPr>
            <w:noProof/>
            <w:webHidden/>
          </w:rPr>
          <w:fldChar w:fldCharType="separate"/>
        </w:r>
        <w:r>
          <w:rPr>
            <w:noProof/>
            <w:webHidden/>
          </w:rPr>
          <w:t>13</w:t>
        </w:r>
        <w:r>
          <w:rPr>
            <w:noProof/>
            <w:webHidden/>
          </w:rPr>
          <w:fldChar w:fldCharType="end"/>
        </w:r>
      </w:hyperlink>
    </w:p>
    <w:p w:rsidR="00301B93" w:rsidRDefault="00301B93">
      <w:pPr>
        <w:pStyle w:val="TOC3"/>
        <w:tabs>
          <w:tab w:val="left" w:pos="1200"/>
          <w:tab w:val="right" w:leader="dot" w:pos="9016"/>
        </w:tabs>
        <w:rPr>
          <w:rFonts w:ascii="Calibri" w:eastAsia="Times New Roman" w:hAnsi="Calibri"/>
          <w:noProof/>
          <w:sz w:val="22"/>
          <w:szCs w:val="22"/>
          <w:lang w:eastAsia="en-AU"/>
        </w:rPr>
      </w:pPr>
      <w:hyperlink w:anchor="_Toc352247356" w:history="1">
        <w:r w:rsidRPr="0062571E">
          <w:rPr>
            <w:rStyle w:val="Hyperlink"/>
            <w:noProof/>
          </w:rPr>
          <w:t>2.1.3</w:t>
        </w:r>
        <w:r>
          <w:rPr>
            <w:rFonts w:ascii="Calibri" w:eastAsia="Times New Roman" w:hAnsi="Calibri"/>
            <w:noProof/>
            <w:sz w:val="22"/>
            <w:szCs w:val="22"/>
            <w:lang w:eastAsia="en-AU"/>
          </w:rPr>
          <w:tab/>
        </w:r>
        <w:r w:rsidRPr="0062571E">
          <w:rPr>
            <w:rStyle w:val="Hyperlink"/>
            <w:noProof/>
          </w:rPr>
          <w:t>Small business customer energy bill debt</w:t>
        </w:r>
        <w:r>
          <w:rPr>
            <w:noProof/>
            <w:webHidden/>
          </w:rPr>
          <w:tab/>
        </w:r>
        <w:r>
          <w:rPr>
            <w:noProof/>
            <w:webHidden/>
          </w:rPr>
          <w:fldChar w:fldCharType="begin"/>
        </w:r>
        <w:r>
          <w:rPr>
            <w:noProof/>
            <w:webHidden/>
          </w:rPr>
          <w:instrText xml:space="preserve"> PAGEREF _Toc352247356 \h </w:instrText>
        </w:r>
        <w:r>
          <w:rPr>
            <w:noProof/>
            <w:webHidden/>
          </w:rPr>
        </w:r>
        <w:r>
          <w:rPr>
            <w:noProof/>
            <w:webHidden/>
          </w:rPr>
          <w:fldChar w:fldCharType="separate"/>
        </w:r>
        <w:r>
          <w:rPr>
            <w:noProof/>
            <w:webHidden/>
          </w:rPr>
          <w:t>14</w:t>
        </w:r>
        <w:r>
          <w:rPr>
            <w:noProof/>
            <w:webHidden/>
          </w:rPr>
          <w:fldChar w:fldCharType="end"/>
        </w:r>
      </w:hyperlink>
    </w:p>
    <w:p w:rsidR="00301B93" w:rsidRDefault="00301B93">
      <w:pPr>
        <w:pStyle w:val="TOC2"/>
        <w:tabs>
          <w:tab w:val="left" w:pos="800"/>
          <w:tab w:val="right" w:leader="dot" w:pos="9016"/>
        </w:tabs>
        <w:rPr>
          <w:rFonts w:ascii="Calibri" w:eastAsia="Times New Roman" w:hAnsi="Calibri"/>
          <w:iCs w:val="0"/>
          <w:noProof/>
          <w:sz w:val="22"/>
          <w:szCs w:val="22"/>
          <w:lang w:eastAsia="en-AU"/>
        </w:rPr>
      </w:pPr>
      <w:hyperlink w:anchor="_Toc352247357" w:history="1">
        <w:r w:rsidRPr="0062571E">
          <w:rPr>
            <w:rStyle w:val="Hyperlink"/>
            <w:noProof/>
          </w:rPr>
          <w:t>2.2</w:t>
        </w:r>
        <w:r>
          <w:rPr>
            <w:rFonts w:ascii="Calibri" w:eastAsia="Times New Roman" w:hAnsi="Calibri"/>
            <w:iCs w:val="0"/>
            <w:noProof/>
            <w:sz w:val="22"/>
            <w:szCs w:val="22"/>
            <w:lang w:eastAsia="en-AU"/>
          </w:rPr>
          <w:tab/>
        </w:r>
        <w:r w:rsidRPr="0062571E">
          <w:rPr>
            <w:rStyle w:val="Hyperlink"/>
            <w:noProof/>
          </w:rPr>
          <w:t>Hardship program indicators</w:t>
        </w:r>
        <w:r>
          <w:rPr>
            <w:noProof/>
            <w:webHidden/>
          </w:rPr>
          <w:tab/>
        </w:r>
        <w:r>
          <w:rPr>
            <w:noProof/>
            <w:webHidden/>
          </w:rPr>
          <w:fldChar w:fldCharType="begin"/>
        </w:r>
        <w:r>
          <w:rPr>
            <w:noProof/>
            <w:webHidden/>
          </w:rPr>
          <w:instrText xml:space="preserve"> PAGEREF _Toc352247357 \h </w:instrText>
        </w:r>
        <w:r>
          <w:rPr>
            <w:noProof/>
            <w:webHidden/>
          </w:rPr>
        </w:r>
        <w:r>
          <w:rPr>
            <w:noProof/>
            <w:webHidden/>
          </w:rPr>
          <w:fldChar w:fldCharType="separate"/>
        </w:r>
        <w:r>
          <w:rPr>
            <w:noProof/>
            <w:webHidden/>
          </w:rPr>
          <w:t>14</w:t>
        </w:r>
        <w:r>
          <w:rPr>
            <w:noProof/>
            <w:webHidden/>
          </w:rPr>
          <w:fldChar w:fldCharType="end"/>
        </w:r>
      </w:hyperlink>
    </w:p>
    <w:p w:rsidR="00301B93" w:rsidRDefault="00301B93">
      <w:pPr>
        <w:pStyle w:val="TOC3"/>
        <w:tabs>
          <w:tab w:val="left" w:pos="1200"/>
          <w:tab w:val="right" w:leader="dot" w:pos="9016"/>
        </w:tabs>
        <w:rPr>
          <w:rFonts w:ascii="Calibri" w:eastAsia="Times New Roman" w:hAnsi="Calibri"/>
          <w:noProof/>
          <w:sz w:val="22"/>
          <w:szCs w:val="22"/>
          <w:lang w:eastAsia="en-AU"/>
        </w:rPr>
      </w:pPr>
      <w:hyperlink w:anchor="_Toc352247358" w:history="1">
        <w:r w:rsidRPr="0062571E">
          <w:rPr>
            <w:rStyle w:val="Hyperlink"/>
            <w:noProof/>
          </w:rPr>
          <w:t>2.2.1</w:t>
        </w:r>
        <w:r>
          <w:rPr>
            <w:rFonts w:ascii="Calibri" w:eastAsia="Times New Roman" w:hAnsi="Calibri"/>
            <w:noProof/>
            <w:sz w:val="22"/>
            <w:szCs w:val="22"/>
            <w:lang w:eastAsia="en-AU"/>
          </w:rPr>
          <w:tab/>
        </w:r>
        <w:r w:rsidRPr="0062571E">
          <w:rPr>
            <w:rStyle w:val="Hyperlink"/>
            <w:noProof/>
          </w:rPr>
          <w:t>Residential customers on hardship programs</w:t>
        </w:r>
        <w:r>
          <w:rPr>
            <w:noProof/>
            <w:webHidden/>
          </w:rPr>
          <w:tab/>
        </w:r>
        <w:r>
          <w:rPr>
            <w:noProof/>
            <w:webHidden/>
          </w:rPr>
          <w:fldChar w:fldCharType="begin"/>
        </w:r>
        <w:r>
          <w:rPr>
            <w:noProof/>
            <w:webHidden/>
          </w:rPr>
          <w:instrText xml:space="preserve"> PAGEREF _Toc352247358 \h </w:instrText>
        </w:r>
        <w:r>
          <w:rPr>
            <w:noProof/>
            <w:webHidden/>
          </w:rPr>
        </w:r>
        <w:r>
          <w:rPr>
            <w:noProof/>
            <w:webHidden/>
          </w:rPr>
          <w:fldChar w:fldCharType="separate"/>
        </w:r>
        <w:r>
          <w:rPr>
            <w:noProof/>
            <w:webHidden/>
          </w:rPr>
          <w:t>14</w:t>
        </w:r>
        <w:r>
          <w:rPr>
            <w:noProof/>
            <w:webHidden/>
          </w:rPr>
          <w:fldChar w:fldCharType="end"/>
        </w:r>
      </w:hyperlink>
    </w:p>
    <w:p w:rsidR="00301B93" w:rsidRDefault="00301B93">
      <w:pPr>
        <w:pStyle w:val="TOC3"/>
        <w:tabs>
          <w:tab w:val="left" w:pos="1200"/>
          <w:tab w:val="right" w:leader="dot" w:pos="9016"/>
        </w:tabs>
        <w:rPr>
          <w:rFonts w:ascii="Calibri" w:eastAsia="Times New Roman" w:hAnsi="Calibri"/>
          <w:noProof/>
          <w:sz w:val="22"/>
          <w:szCs w:val="22"/>
          <w:lang w:eastAsia="en-AU"/>
        </w:rPr>
      </w:pPr>
      <w:hyperlink w:anchor="_Toc352247359" w:history="1">
        <w:r w:rsidRPr="0062571E">
          <w:rPr>
            <w:rStyle w:val="Hyperlink"/>
            <w:noProof/>
          </w:rPr>
          <w:t>2.2.2</w:t>
        </w:r>
        <w:r>
          <w:rPr>
            <w:rFonts w:ascii="Calibri" w:eastAsia="Times New Roman" w:hAnsi="Calibri"/>
            <w:noProof/>
            <w:sz w:val="22"/>
            <w:szCs w:val="22"/>
            <w:lang w:eastAsia="en-AU"/>
          </w:rPr>
          <w:tab/>
        </w:r>
        <w:r w:rsidRPr="0062571E">
          <w:rPr>
            <w:rStyle w:val="Hyperlink"/>
            <w:noProof/>
          </w:rPr>
          <w:t>Debt levels of hardship program customers</w:t>
        </w:r>
        <w:r>
          <w:rPr>
            <w:noProof/>
            <w:webHidden/>
          </w:rPr>
          <w:tab/>
        </w:r>
        <w:r>
          <w:rPr>
            <w:noProof/>
            <w:webHidden/>
          </w:rPr>
          <w:fldChar w:fldCharType="begin"/>
        </w:r>
        <w:r>
          <w:rPr>
            <w:noProof/>
            <w:webHidden/>
          </w:rPr>
          <w:instrText xml:space="preserve"> PAGEREF _Toc352247359 \h </w:instrText>
        </w:r>
        <w:r>
          <w:rPr>
            <w:noProof/>
            <w:webHidden/>
          </w:rPr>
        </w:r>
        <w:r>
          <w:rPr>
            <w:noProof/>
            <w:webHidden/>
          </w:rPr>
          <w:fldChar w:fldCharType="separate"/>
        </w:r>
        <w:r>
          <w:rPr>
            <w:noProof/>
            <w:webHidden/>
          </w:rPr>
          <w:t>16</w:t>
        </w:r>
        <w:r>
          <w:rPr>
            <w:noProof/>
            <w:webHidden/>
          </w:rPr>
          <w:fldChar w:fldCharType="end"/>
        </w:r>
      </w:hyperlink>
    </w:p>
    <w:p w:rsidR="00301B93" w:rsidRDefault="00301B93">
      <w:pPr>
        <w:pStyle w:val="TOC3"/>
        <w:tabs>
          <w:tab w:val="left" w:pos="1200"/>
          <w:tab w:val="right" w:leader="dot" w:pos="9016"/>
        </w:tabs>
        <w:rPr>
          <w:rFonts w:ascii="Calibri" w:eastAsia="Times New Roman" w:hAnsi="Calibri"/>
          <w:noProof/>
          <w:sz w:val="22"/>
          <w:szCs w:val="22"/>
          <w:lang w:eastAsia="en-AU"/>
        </w:rPr>
      </w:pPr>
      <w:hyperlink w:anchor="_Toc352247360" w:history="1">
        <w:r w:rsidRPr="0062571E">
          <w:rPr>
            <w:rStyle w:val="Hyperlink"/>
            <w:noProof/>
            <w:lang w:eastAsia="en-AU"/>
          </w:rPr>
          <w:t>2.2.3</w:t>
        </w:r>
        <w:r>
          <w:rPr>
            <w:rFonts w:ascii="Calibri" w:eastAsia="Times New Roman" w:hAnsi="Calibri"/>
            <w:noProof/>
            <w:sz w:val="22"/>
            <w:szCs w:val="22"/>
            <w:lang w:eastAsia="en-AU"/>
          </w:rPr>
          <w:tab/>
        </w:r>
        <w:r w:rsidRPr="0062571E">
          <w:rPr>
            <w:rStyle w:val="Hyperlink"/>
            <w:noProof/>
            <w:lang w:eastAsia="en-AU"/>
          </w:rPr>
          <w:t>Customers exiting hardship programs</w:t>
        </w:r>
        <w:r>
          <w:rPr>
            <w:noProof/>
            <w:webHidden/>
          </w:rPr>
          <w:tab/>
        </w:r>
        <w:r>
          <w:rPr>
            <w:noProof/>
            <w:webHidden/>
          </w:rPr>
          <w:fldChar w:fldCharType="begin"/>
        </w:r>
        <w:r>
          <w:rPr>
            <w:noProof/>
            <w:webHidden/>
          </w:rPr>
          <w:instrText xml:space="preserve"> PAGEREF _Toc352247360 \h </w:instrText>
        </w:r>
        <w:r>
          <w:rPr>
            <w:noProof/>
            <w:webHidden/>
          </w:rPr>
        </w:r>
        <w:r>
          <w:rPr>
            <w:noProof/>
            <w:webHidden/>
          </w:rPr>
          <w:fldChar w:fldCharType="separate"/>
        </w:r>
        <w:r>
          <w:rPr>
            <w:noProof/>
            <w:webHidden/>
          </w:rPr>
          <w:t>17</w:t>
        </w:r>
        <w:r>
          <w:rPr>
            <w:noProof/>
            <w:webHidden/>
          </w:rPr>
          <w:fldChar w:fldCharType="end"/>
        </w:r>
      </w:hyperlink>
    </w:p>
    <w:p w:rsidR="00301B93" w:rsidRDefault="00301B93">
      <w:pPr>
        <w:pStyle w:val="TOC2"/>
        <w:tabs>
          <w:tab w:val="left" w:pos="800"/>
          <w:tab w:val="right" w:leader="dot" w:pos="9016"/>
        </w:tabs>
        <w:rPr>
          <w:rFonts w:ascii="Calibri" w:eastAsia="Times New Roman" w:hAnsi="Calibri"/>
          <w:iCs w:val="0"/>
          <w:noProof/>
          <w:sz w:val="22"/>
          <w:szCs w:val="22"/>
          <w:lang w:eastAsia="en-AU"/>
        </w:rPr>
      </w:pPr>
      <w:hyperlink w:anchor="_Toc352247361" w:history="1">
        <w:r w:rsidRPr="0062571E">
          <w:rPr>
            <w:rStyle w:val="Hyperlink"/>
            <w:noProof/>
            <w:lang w:eastAsia="en-AU"/>
          </w:rPr>
          <w:t>2.3</w:t>
        </w:r>
        <w:r>
          <w:rPr>
            <w:rFonts w:ascii="Calibri" w:eastAsia="Times New Roman" w:hAnsi="Calibri"/>
            <w:iCs w:val="0"/>
            <w:noProof/>
            <w:sz w:val="22"/>
            <w:szCs w:val="22"/>
            <w:lang w:eastAsia="en-AU"/>
          </w:rPr>
          <w:tab/>
        </w:r>
        <w:r w:rsidRPr="0062571E">
          <w:rPr>
            <w:rStyle w:val="Hyperlink"/>
            <w:noProof/>
            <w:lang w:eastAsia="en-AU"/>
          </w:rPr>
          <w:t>Disconnections and reconnections</w:t>
        </w:r>
        <w:r>
          <w:rPr>
            <w:noProof/>
            <w:webHidden/>
          </w:rPr>
          <w:tab/>
        </w:r>
        <w:r>
          <w:rPr>
            <w:noProof/>
            <w:webHidden/>
          </w:rPr>
          <w:fldChar w:fldCharType="begin"/>
        </w:r>
        <w:r>
          <w:rPr>
            <w:noProof/>
            <w:webHidden/>
          </w:rPr>
          <w:instrText xml:space="preserve"> PAGEREF _Toc352247361 \h </w:instrText>
        </w:r>
        <w:r>
          <w:rPr>
            <w:noProof/>
            <w:webHidden/>
          </w:rPr>
        </w:r>
        <w:r>
          <w:rPr>
            <w:noProof/>
            <w:webHidden/>
          </w:rPr>
          <w:fldChar w:fldCharType="separate"/>
        </w:r>
        <w:r>
          <w:rPr>
            <w:noProof/>
            <w:webHidden/>
          </w:rPr>
          <w:t>18</w:t>
        </w:r>
        <w:r>
          <w:rPr>
            <w:noProof/>
            <w:webHidden/>
          </w:rPr>
          <w:fldChar w:fldCharType="end"/>
        </w:r>
      </w:hyperlink>
    </w:p>
    <w:p w:rsidR="00301B93" w:rsidRDefault="00301B93">
      <w:pPr>
        <w:pStyle w:val="TOC3"/>
        <w:tabs>
          <w:tab w:val="left" w:pos="1200"/>
          <w:tab w:val="right" w:leader="dot" w:pos="9016"/>
        </w:tabs>
        <w:rPr>
          <w:rFonts w:ascii="Calibri" w:eastAsia="Times New Roman" w:hAnsi="Calibri"/>
          <w:noProof/>
          <w:sz w:val="22"/>
          <w:szCs w:val="22"/>
          <w:lang w:eastAsia="en-AU"/>
        </w:rPr>
      </w:pPr>
      <w:hyperlink w:anchor="_Toc352247362" w:history="1">
        <w:r w:rsidRPr="0062571E">
          <w:rPr>
            <w:rStyle w:val="Hyperlink"/>
            <w:noProof/>
          </w:rPr>
          <w:t>2.3.1</w:t>
        </w:r>
        <w:r>
          <w:rPr>
            <w:rFonts w:ascii="Calibri" w:eastAsia="Times New Roman" w:hAnsi="Calibri"/>
            <w:noProof/>
            <w:sz w:val="22"/>
            <w:szCs w:val="22"/>
            <w:lang w:eastAsia="en-AU"/>
          </w:rPr>
          <w:tab/>
        </w:r>
        <w:r w:rsidRPr="0062571E">
          <w:rPr>
            <w:rStyle w:val="Hyperlink"/>
            <w:noProof/>
          </w:rPr>
          <w:t>Residential customers</w:t>
        </w:r>
        <w:r>
          <w:rPr>
            <w:noProof/>
            <w:webHidden/>
          </w:rPr>
          <w:tab/>
        </w:r>
        <w:r>
          <w:rPr>
            <w:noProof/>
            <w:webHidden/>
          </w:rPr>
          <w:fldChar w:fldCharType="begin"/>
        </w:r>
        <w:r>
          <w:rPr>
            <w:noProof/>
            <w:webHidden/>
          </w:rPr>
          <w:instrText xml:space="preserve"> PAGEREF _Toc352247362 \h </w:instrText>
        </w:r>
        <w:r>
          <w:rPr>
            <w:noProof/>
            <w:webHidden/>
          </w:rPr>
        </w:r>
        <w:r>
          <w:rPr>
            <w:noProof/>
            <w:webHidden/>
          </w:rPr>
          <w:fldChar w:fldCharType="separate"/>
        </w:r>
        <w:r>
          <w:rPr>
            <w:noProof/>
            <w:webHidden/>
          </w:rPr>
          <w:t>18</w:t>
        </w:r>
        <w:r>
          <w:rPr>
            <w:noProof/>
            <w:webHidden/>
          </w:rPr>
          <w:fldChar w:fldCharType="end"/>
        </w:r>
      </w:hyperlink>
    </w:p>
    <w:p w:rsidR="00301B93" w:rsidRDefault="00301B93">
      <w:pPr>
        <w:pStyle w:val="TOC3"/>
        <w:tabs>
          <w:tab w:val="left" w:pos="1200"/>
          <w:tab w:val="right" w:leader="dot" w:pos="9016"/>
        </w:tabs>
        <w:rPr>
          <w:rFonts w:ascii="Calibri" w:eastAsia="Times New Roman" w:hAnsi="Calibri"/>
          <w:noProof/>
          <w:sz w:val="22"/>
          <w:szCs w:val="22"/>
          <w:lang w:eastAsia="en-AU"/>
        </w:rPr>
      </w:pPr>
      <w:hyperlink w:anchor="_Toc352247363" w:history="1">
        <w:r w:rsidRPr="0062571E">
          <w:rPr>
            <w:rStyle w:val="Hyperlink"/>
            <w:noProof/>
          </w:rPr>
          <w:t>2.3.2</w:t>
        </w:r>
        <w:r>
          <w:rPr>
            <w:rFonts w:ascii="Calibri" w:eastAsia="Times New Roman" w:hAnsi="Calibri"/>
            <w:noProof/>
            <w:sz w:val="22"/>
            <w:szCs w:val="22"/>
            <w:lang w:eastAsia="en-AU"/>
          </w:rPr>
          <w:tab/>
        </w:r>
        <w:r w:rsidRPr="0062571E">
          <w:rPr>
            <w:rStyle w:val="Hyperlink"/>
            <w:noProof/>
          </w:rPr>
          <w:t>Small business customers</w:t>
        </w:r>
        <w:r>
          <w:rPr>
            <w:noProof/>
            <w:webHidden/>
          </w:rPr>
          <w:tab/>
        </w:r>
        <w:r>
          <w:rPr>
            <w:noProof/>
            <w:webHidden/>
          </w:rPr>
          <w:fldChar w:fldCharType="begin"/>
        </w:r>
        <w:r>
          <w:rPr>
            <w:noProof/>
            <w:webHidden/>
          </w:rPr>
          <w:instrText xml:space="preserve"> PAGEREF _Toc352247363 \h </w:instrText>
        </w:r>
        <w:r>
          <w:rPr>
            <w:noProof/>
            <w:webHidden/>
          </w:rPr>
        </w:r>
        <w:r>
          <w:rPr>
            <w:noProof/>
            <w:webHidden/>
          </w:rPr>
          <w:fldChar w:fldCharType="separate"/>
        </w:r>
        <w:r>
          <w:rPr>
            <w:noProof/>
            <w:webHidden/>
          </w:rPr>
          <w:t>20</w:t>
        </w:r>
        <w:r>
          <w:rPr>
            <w:noProof/>
            <w:webHidden/>
          </w:rPr>
          <w:fldChar w:fldCharType="end"/>
        </w:r>
      </w:hyperlink>
    </w:p>
    <w:p w:rsidR="00301B93" w:rsidRDefault="00301B93">
      <w:pPr>
        <w:pStyle w:val="TOC2"/>
        <w:tabs>
          <w:tab w:val="left" w:pos="800"/>
          <w:tab w:val="right" w:leader="dot" w:pos="9016"/>
        </w:tabs>
        <w:rPr>
          <w:rFonts w:ascii="Calibri" w:eastAsia="Times New Roman" w:hAnsi="Calibri"/>
          <w:iCs w:val="0"/>
          <w:noProof/>
          <w:sz w:val="22"/>
          <w:szCs w:val="22"/>
          <w:lang w:eastAsia="en-AU"/>
        </w:rPr>
      </w:pPr>
      <w:hyperlink w:anchor="_Toc352247364" w:history="1">
        <w:r w:rsidRPr="0062571E">
          <w:rPr>
            <w:rStyle w:val="Hyperlink"/>
            <w:noProof/>
          </w:rPr>
          <w:t>2.4</w:t>
        </w:r>
        <w:r>
          <w:rPr>
            <w:rFonts w:ascii="Calibri" w:eastAsia="Times New Roman" w:hAnsi="Calibri"/>
            <w:iCs w:val="0"/>
            <w:noProof/>
            <w:sz w:val="22"/>
            <w:szCs w:val="22"/>
            <w:lang w:eastAsia="en-AU"/>
          </w:rPr>
          <w:tab/>
        </w:r>
        <w:r w:rsidRPr="0062571E">
          <w:rPr>
            <w:rStyle w:val="Hyperlink"/>
            <w:noProof/>
          </w:rPr>
          <w:t>Complaints</w:t>
        </w:r>
        <w:r>
          <w:rPr>
            <w:noProof/>
            <w:webHidden/>
          </w:rPr>
          <w:tab/>
        </w:r>
        <w:r>
          <w:rPr>
            <w:noProof/>
            <w:webHidden/>
          </w:rPr>
          <w:fldChar w:fldCharType="begin"/>
        </w:r>
        <w:r>
          <w:rPr>
            <w:noProof/>
            <w:webHidden/>
          </w:rPr>
          <w:instrText xml:space="preserve"> PAGEREF _Toc352247364 \h </w:instrText>
        </w:r>
        <w:r>
          <w:rPr>
            <w:noProof/>
            <w:webHidden/>
          </w:rPr>
        </w:r>
        <w:r>
          <w:rPr>
            <w:noProof/>
            <w:webHidden/>
          </w:rPr>
          <w:fldChar w:fldCharType="separate"/>
        </w:r>
        <w:r>
          <w:rPr>
            <w:noProof/>
            <w:webHidden/>
          </w:rPr>
          <w:t>21</w:t>
        </w:r>
        <w:r>
          <w:rPr>
            <w:noProof/>
            <w:webHidden/>
          </w:rPr>
          <w:fldChar w:fldCharType="end"/>
        </w:r>
      </w:hyperlink>
    </w:p>
    <w:p w:rsidR="00301B93" w:rsidRDefault="00301B93">
      <w:pPr>
        <w:pStyle w:val="TOC3"/>
        <w:tabs>
          <w:tab w:val="left" w:pos="1200"/>
          <w:tab w:val="right" w:leader="dot" w:pos="9016"/>
        </w:tabs>
        <w:rPr>
          <w:rFonts w:ascii="Calibri" w:eastAsia="Times New Roman" w:hAnsi="Calibri"/>
          <w:noProof/>
          <w:sz w:val="22"/>
          <w:szCs w:val="22"/>
          <w:lang w:eastAsia="en-AU"/>
        </w:rPr>
      </w:pPr>
      <w:hyperlink w:anchor="_Toc352247365" w:history="1">
        <w:r w:rsidRPr="0062571E">
          <w:rPr>
            <w:rStyle w:val="Hyperlink"/>
            <w:noProof/>
            <w:lang w:eastAsia="en-AU"/>
          </w:rPr>
          <w:t>2.4.1</w:t>
        </w:r>
        <w:r>
          <w:rPr>
            <w:rFonts w:ascii="Calibri" w:eastAsia="Times New Roman" w:hAnsi="Calibri"/>
            <w:noProof/>
            <w:sz w:val="22"/>
            <w:szCs w:val="22"/>
            <w:lang w:eastAsia="en-AU"/>
          </w:rPr>
          <w:tab/>
        </w:r>
        <w:r w:rsidRPr="0062571E">
          <w:rPr>
            <w:rStyle w:val="Hyperlink"/>
            <w:noProof/>
            <w:lang w:eastAsia="en-AU"/>
          </w:rPr>
          <w:t>Residential customer complaints</w:t>
        </w:r>
        <w:r>
          <w:rPr>
            <w:noProof/>
            <w:webHidden/>
          </w:rPr>
          <w:tab/>
        </w:r>
        <w:r>
          <w:rPr>
            <w:noProof/>
            <w:webHidden/>
          </w:rPr>
          <w:fldChar w:fldCharType="begin"/>
        </w:r>
        <w:r>
          <w:rPr>
            <w:noProof/>
            <w:webHidden/>
          </w:rPr>
          <w:instrText xml:space="preserve"> PAGEREF _Toc352247365 \h </w:instrText>
        </w:r>
        <w:r>
          <w:rPr>
            <w:noProof/>
            <w:webHidden/>
          </w:rPr>
        </w:r>
        <w:r>
          <w:rPr>
            <w:noProof/>
            <w:webHidden/>
          </w:rPr>
          <w:fldChar w:fldCharType="separate"/>
        </w:r>
        <w:r>
          <w:rPr>
            <w:noProof/>
            <w:webHidden/>
          </w:rPr>
          <w:t>21</w:t>
        </w:r>
        <w:r>
          <w:rPr>
            <w:noProof/>
            <w:webHidden/>
          </w:rPr>
          <w:fldChar w:fldCharType="end"/>
        </w:r>
      </w:hyperlink>
    </w:p>
    <w:p w:rsidR="00301B93" w:rsidRDefault="00301B93">
      <w:pPr>
        <w:pStyle w:val="TOC3"/>
        <w:tabs>
          <w:tab w:val="right" w:leader="dot" w:pos="9016"/>
        </w:tabs>
        <w:rPr>
          <w:rFonts w:ascii="Calibri" w:eastAsia="Times New Roman" w:hAnsi="Calibri"/>
          <w:noProof/>
          <w:sz w:val="22"/>
          <w:szCs w:val="22"/>
          <w:lang w:eastAsia="en-AU"/>
        </w:rPr>
      </w:pPr>
      <w:hyperlink w:anchor="_Toc352247366" w:history="1">
        <w:r w:rsidRPr="0062571E">
          <w:rPr>
            <w:rStyle w:val="Hyperlink"/>
            <w:noProof/>
            <w:lang w:eastAsia="en-AU"/>
          </w:rPr>
          <w:t>Small business customer complaints</w:t>
        </w:r>
        <w:r>
          <w:rPr>
            <w:noProof/>
            <w:webHidden/>
          </w:rPr>
          <w:tab/>
        </w:r>
        <w:r>
          <w:rPr>
            <w:noProof/>
            <w:webHidden/>
          </w:rPr>
          <w:fldChar w:fldCharType="begin"/>
        </w:r>
        <w:r>
          <w:rPr>
            <w:noProof/>
            <w:webHidden/>
          </w:rPr>
          <w:instrText xml:space="preserve"> PAGEREF _Toc352247366 \h </w:instrText>
        </w:r>
        <w:r>
          <w:rPr>
            <w:noProof/>
            <w:webHidden/>
          </w:rPr>
        </w:r>
        <w:r>
          <w:rPr>
            <w:noProof/>
            <w:webHidden/>
          </w:rPr>
          <w:fldChar w:fldCharType="separate"/>
        </w:r>
        <w:r>
          <w:rPr>
            <w:noProof/>
            <w:webHidden/>
          </w:rPr>
          <w:t>22</w:t>
        </w:r>
        <w:r>
          <w:rPr>
            <w:noProof/>
            <w:webHidden/>
          </w:rPr>
          <w:fldChar w:fldCharType="end"/>
        </w:r>
      </w:hyperlink>
    </w:p>
    <w:p w:rsidR="00301B93" w:rsidRDefault="00301B93">
      <w:pPr>
        <w:pStyle w:val="TOC2"/>
        <w:tabs>
          <w:tab w:val="left" w:pos="800"/>
          <w:tab w:val="right" w:leader="dot" w:pos="9016"/>
        </w:tabs>
        <w:rPr>
          <w:rFonts w:ascii="Calibri" w:eastAsia="Times New Roman" w:hAnsi="Calibri"/>
          <w:iCs w:val="0"/>
          <w:noProof/>
          <w:sz w:val="22"/>
          <w:szCs w:val="22"/>
          <w:lang w:eastAsia="en-AU"/>
        </w:rPr>
      </w:pPr>
      <w:hyperlink w:anchor="_Toc352247367" w:history="1">
        <w:r w:rsidRPr="0062571E">
          <w:rPr>
            <w:rStyle w:val="Hyperlink"/>
            <w:noProof/>
            <w:lang w:eastAsia="en-AU"/>
          </w:rPr>
          <w:t>2.5</w:t>
        </w:r>
        <w:r>
          <w:rPr>
            <w:rFonts w:ascii="Calibri" w:eastAsia="Times New Roman" w:hAnsi="Calibri"/>
            <w:iCs w:val="0"/>
            <w:noProof/>
            <w:sz w:val="22"/>
            <w:szCs w:val="22"/>
            <w:lang w:eastAsia="en-AU"/>
          </w:rPr>
          <w:tab/>
        </w:r>
        <w:r w:rsidRPr="0062571E">
          <w:rPr>
            <w:rStyle w:val="Hyperlink"/>
            <w:noProof/>
            <w:lang w:eastAsia="en-AU"/>
          </w:rPr>
          <w:t>Prepaymen</w:t>
        </w:r>
        <w:r w:rsidRPr="0062571E">
          <w:rPr>
            <w:rStyle w:val="Hyperlink"/>
            <w:noProof/>
            <w:lang w:eastAsia="en-AU"/>
          </w:rPr>
          <w:t>t</w:t>
        </w:r>
        <w:r w:rsidRPr="0062571E">
          <w:rPr>
            <w:rStyle w:val="Hyperlink"/>
            <w:noProof/>
            <w:lang w:eastAsia="en-AU"/>
          </w:rPr>
          <w:t xml:space="preserve"> meters</w:t>
        </w:r>
        <w:r>
          <w:rPr>
            <w:noProof/>
            <w:webHidden/>
          </w:rPr>
          <w:tab/>
        </w:r>
        <w:r>
          <w:rPr>
            <w:noProof/>
            <w:webHidden/>
          </w:rPr>
          <w:fldChar w:fldCharType="begin"/>
        </w:r>
        <w:r>
          <w:rPr>
            <w:noProof/>
            <w:webHidden/>
          </w:rPr>
          <w:instrText xml:space="preserve"> PAGEREF _Toc352247367 \h </w:instrText>
        </w:r>
        <w:r>
          <w:rPr>
            <w:noProof/>
            <w:webHidden/>
          </w:rPr>
        </w:r>
        <w:r>
          <w:rPr>
            <w:noProof/>
            <w:webHidden/>
          </w:rPr>
          <w:fldChar w:fldCharType="separate"/>
        </w:r>
        <w:r>
          <w:rPr>
            <w:noProof/>
            <w:webHidden/>
          </w:rPr>
          <w:t>23</w:t>
        </w:r>
        <w:r>
          <w:rPr>
            <w:noProof/>
            <w:webHidden/>
          </w:rPr>
          <w:fldChar w:fldCharType="end"/>
        </w:r>
      </w:hyperlink>
    </w:p>
    <w:p w:rsidR="00301B93" w:rsidRDefault="00301B93">
      <w:pPr>
        <w:pStyle w:val="TOC1"/>
        <w:tabs>
          <w:tab w:val="right" w:leader="dot" w:pos="9016"/>
        </w:tabs>
        <w:rPr>
          <w:rFonts w:ascii="Calibri" w:eastAsia="Times New Roman" w:hAnsi="Calibri"/>
          <w:b w:val="0"/>
          <w:bCs w:val="0"/>
          <w:noProof/>
          <w:sz w:val="22"/>
          <w:szCs w:val="22"/>
          <w:lang w:eastAsia="en-AU"/>
        </w:rPr>
      </w:pPr>
      <w:hyperlink w:anchor="_Toc352247368" w:history="1">
        <w:r w:rsidRPr="0062571E">
          <w:rPr>
            <w:rStyle w:val="Hyperlink"/>
            <w:noProof/>
          </w:rPr>
          <w:t>Appendix 1 — Summary of data</w:t>
        </w:r>
        <w:r>
          <w:rPr>
            <w:noProof/>
            <w:webHidden/>
          </w:rPr>
          <w:tab/>
        </w:r>
        <w:r>
          <w:rPr>
            <w:noProof/>
            <w:webHidden/>
          </w:rPr>
          <w:fldChar w:fldCharType="begin"/>
        </w:r>
        <w:r>
          <w:rPr>
            <w:noProof/>
            <w:webHidden/>
          </w:rPr>
          <w:instrText xml:space="preserve"> PAGEREF _Toc352247368 \h </w:instrText>
        </w:r>
        <w:r>
          <w:rPr>
            <w:noProof/>
            <w:webHidden/>
          </w:rPr>
        </w:r>
        <w:r>
          <w:rPr>
            <w:noProof/>
            <w:webHidden/>
          </w:rPr>
          <w:fldChar w:fldCharType="separate"/>
        </w:r>
        <w:r>
          <w:rPr>
            <w:noProof/>
            <w:webHidden/>
          </w:rPr>
          <w:t>24</w:t>
        </w:r>
        <w:r>
          <w:rPr>
            <w:noProof/>
            <w:webHidden/>
          </w:rPr>
          <w:fldChar w:fldCharType="end"/>
        </w:r>
      </w:hyperlink>
    </w:p>
    <w:p w:rsidR="00301B93" w:rsidRDefault="00115D75" w:rsidP="00301B93">
      <w:pPr>
        <w:pStyle w:val="AERbodytext"/>
      </w:pPr>
      <w:r w:rsidRPr="00F35C3E">
        <w:fldChar w:fldCharType="end"/>
      </w:r>
    </w:p>
    <w:p w:rsidR="00301B93" w:rsidRDefault="00301B93" w:rsidP="00301B93">
      <w:pPr>
        <w:pStyle w:val="AERbodytext"/>
        <w:numPr>
          <w:ilvl w:val="0"/>
          <w:numId w:val="0"/>
        </w:numPr>
      </w:pPr>
    </w:p>
    <w:p w:rsidR="00301B93" w:rsidRPr="000C7A18" w:rsidRDefault="00301B93" w:rsidP="00301B93">
      <w:pPr>
        <w:pStyle w:val="AERbodytext"/>
        <w:numPr>
          <w:ilvl w:val="0"/>
          <w:numId w:val="0"/>
        </w:numPr>
        <w:sectPr w:rsidR="00301B93" w:rsidRPr="000C7A18" w:rsidSect="0061694C">
          <w:footerReference w:type="default" r:id="rId7"/>
          <w:pgSz w:w="11906" w:h="16838"/>
          <w:pgMar w:top="1440" w:right="1440" w:bottom="1440" w:left="1440" w:header="708" w:footer="708" w:gutter="0"/>
          <w:cols w:space="708"/>
          <w:docGrid w:linePitch="360"/>
        </w:sectPr>
      </w:pPr>
    </w:p>
    <w:p w:rsidR="008E5707" w:rsidRDefault="008E5707" w:rsidP="000F13F6">
      <w:pPr>
        <w:pStyle w:val="Heading1"/>
        <w:numPr>
          <w:ilvl w:val="0"/>
          <w:numId w:val="0"/>
        </w:numPr>
      </w:pPr>
      <w:bookmarkStart w:id="1" w:name="_Toc352247346"/>
      <w:r w:rsidRPr="008E5707">
        <w:lastRenderedPageBreak/>
        <w:t>About this report</w:t>
      </w:r>
      <w:bookmarkEnd w:id="1"/>
    </w:p>
    <w:p w:rsidR="00DE3ACE" w:rsidRDefault="00DE3ACE" w:rsidP="00DE3ACE">
      <w:pPr>
        <w:pStyle w:val="AERbodytext"/>
      </w:pPr>
      <w:r w:rsidRPr="00DE3ACE">
        <w:t xml:space="preserve">The Australian Energy Regulator (AER) is an independent statutory authority under Part IIIAA of the </w:t>
      </w:r>
      <w:r w:rsidRPr="00B010FC">
        <w:rPr>
          <w:rStyle w:val="AERtextitalic"/>
        </w:rPr>
        <w:t>Competition and Consumer Act 2010 (Cth)</w:t>
      </w:r>
      <w:r w:rsidRPr="00DE3ACE">
        <w:t xml:space="preserve"> and is Australia’s national energy market regulator. </w:t>
      </w:r>
    </w:p>
    <w:p w:rsidR="00DE3ACE" w:rsidRDefault="00DE3ACE" w:rsidP="00DE3ACE">
      <w:pPr>
        <w:pStyle w:val="AERbodytext"/>
      </w:pPr>
      <w:r w:rsidRPr="00DE3ACE">
        <w:t xml:space="preserve">The National Energy Retail Law and Rules commenced on 1 July 2012 in the Australian Capital Territory (ACT) and Tasmania (for electricity only). South Australia adopted the Retail Law on 1 February 2013 and will feature in the Quarter 3 report. </w:t>
      </w:r>
    </w:p>
    <w:p w:rsidR="00DE3ACE" w:rsidRDefault="00DE3ACE" w:rsidP="00DE3ACE">
      <w:pPr>
        <w:pStyle w:val="AERbodytext"/>
      </w:pPr>
      <w:r w:rsidRPr="00DE3ACE">
        <w:t xml:space="preserve">New South Wales (which has passed the legislation in preparation for National Energy Customer Framework (NECF) implementation) has indicated its intention to commence the NECF in 2013 and is aiming for a start date of 1 July 2013, although this date is still subject to the New South Wales Government’s formal endorsement. In June 2012, the Victorian Government announced it will defer its transition to the NECF and Queensland is yet to consider the matter. Western Australia and the Northern Territory are not adopting the NECF. </w:t>
      </w:r>
    </w:p>
    <w:p w:rsidR="00DE3ACE" w:rsidRDefault="00DE3ACE" w:rsidP="00DE3ACE">
      <w:pPr>
        <w:pStyle w:val="AERbodytext"/>
      </w:pPr>
      <w:r w:rsidRPr="00DE3ACE">
        <w:t xml:space="preserve">In states and territories where the Retail Law has commenced, the AER is required to monitor and report on compliance and performance. </w:t>
      </w:r>
    </w:p>
    <w:p w:rsidR="00DE3ACE" w:rsidRPr="00DE3ACE" w:rsidRDefault="00DE3ACE" w:rsidP="00DE3ACE">
      <w:pPr>
        <w:pStyle w:val="AERbodytext"/>
      </w:pPr>
      <w:r w:rsidRPr="00DE3ACE">
        <w:t xml:space="preserve">The first </w:t>
      </w:r>
      <w:r w:rsidRPr="00B010FC">
        <w:rPr>
          <w:rStyle w:val="AERtextitalic"/>
        </w:rPr>
        <w:t>Retail Energy Market Update</w:t>
      </w:r>
      <w:r w:rsidRPr="00DE3ACE">
        <w:t xml:space="preserve"> was published in December 2012, and covered retail market performance from 1 July to 30 September 2012. That update is available on the AER’s website (</w:t>
      </w:r>
      <w:hyperlink r:id="rId8" w:history="1">
        <w:r w:rsidR="00B010FC" w:rsidRPr="00845B74">
          <w:rPr>
            <w:rStyle w:val="Hyperlink"/>
          </w:rPr>
          <w:t>www.aer.gov.au</w:t>
        </w:r>
      </w:hyperlink>
      <w:r w:rsidRPr="00DE3ACE">
        <w:t xml:space="preserve">) and contains additional background that readers may find useful. </w:t>
      </w:r>
    </w:p>
    <w:p w:rsidR="00DE3ACE" w:rsidRPr="00DE3ACE" w:rsidRDefault="00DE3ACE" w:rsidP="00DE3ACE">
      <w:pPr>
        <w:pStyle w:val="AERbodytext"/>
      </w:pPr>
      <w:r w:rsidRPr="00DE3ACE">
        <w:t xml:space="preserve">This second update provides an overview of key market and retail performance indicators for the ACT and Tasmania, including customer switching levels, customers experiencing payment difficulties, hardship, disconnections and reconnections, and complaints for December quarter (1 October to 31 December 2012). A summary of the data reported is also provided (Appendix 1). </w:t>
      </w:r>
    </w:p>
    <w:p w:rsidR="00DE3ACE" w:rsidRPr="00DE3ACE" w:rsidRDefault="00DE3ACE" w:rsidP="00DE3ACE">
      <w:pPr>
        <w:pStyle w:val="AERbodytext"/>
      </w:pPr>
      <w:r w:rsidRPr="00DE3ACE">
        <w:t xml:space="preserve">Our next performance report, covering the period from 1 January to 31 March 2013, will include performance indicators from South Australia in addition to the ACT and Tasmania. </w:t>
      </w:r>
    </w:p>
    <w:p w:rsidR="00DE3ACE" w:rsidRPr="00DE3ACE" w:rsidRDefault="00DE3ACE" w:rsidP="00DE3ACE">
      <w:pPr>
        <w:pStyle w:val="AERbodytext"/>
      </w:pPr>
      <w:r w:rsidRPr="00DE3ACE">
        <w:t xml:space="preserve">While we have noted some variations in performance between the September and December quarters, we feel that it is too early to attach any significance to them. Rather, trends will emerge over time and more meaningful analysis will be possible once we have built up a more substantial body of data. We expect our report to continue to evolve as more jurisdictions apply the Retail Law and the scope for analysis and comparisons grows. </w:t>
      </w:r>
    </w:p>
    <w:p w:rsidR="00DE3ACE" w:rsidRPr="00DE3ACE" w:rsidRDefault="00DE3ACE" w:rsidP="00DE3ACE">
      <w:pPr>
        <w:pStyle w:val="AERbodytext"/>
      </w:pPr>
      <w:r w:rsidRPr="00DE3ACE">
        <w:t xml:space="preserve">This document is part of a suite of publications providing information about energy retailers’ compliance and performance. </w:t>
      </w:r>
    </w:p>
    <w:p w:rsidR="00DE3ACE" w:rsidRPr="00DE3ACE" w:rsidRDefault="00DE3ACE" w:rsidP="00DE3ACE">
      <w:pPr>
        <w:pStyle w:val="AERbulletlistfirststyle"/>
        <w:rPr>
          <w:rStyle w:val="AERtextbold"/>
        </w:rPr>
      </w:pPr>
      <w:r w:rsidRPr="00DE3ACE">
        <w:rPr>
          <w:rStyle w:val="AERtextbold"/>
        </w:rPr>
        <w:t xml:space="preserve">Retail Energy Market Update: Compliance (published six-monthly) </w:t>
      </w:r>
    </w:p>
    <w:p w:rsidR="00DE3ACE" w:rsidRPr="00DE3ACE" w:rsidRDefault="00DE3ACE" w:rsidP="00DE3ACE">
      <w:pPr>
        <w:pStyle w:val="AERbulletlistfirststyle"/>
        <w:rPr>
          <w:rStyle w:val="AERtextbold"/>
        </w:rPr>
      </w:pPr>
      <w:r w:rsidRPr="00DE3ACE">
        <w:rPr>
          <w:rStyle w:val="AERtextbold"/>
        </w:rPr>
        <w:t xml:space="preserve">Retail Energy Market Update: current consumer issues: notes for caseworkers (published six-monthly) </w:t>
      </w:r>
    </w:p>
    <w:p w:rsidR="00027EFF" w:rsidRPr="00DE3ACE" w:rsidRDefault="00DE3ACE" w:rsidP="00027EFF">
      <w:pPr>
        <w:pStyle w:val="AERbodytext"/>
      </w:pPr>
      <w:r w:rsidRPr="00DE3ACE">
        <w:t>These reports are available on the AER’s website (</w:t>
      </w:r>
      <w:hyperlink r:id="rId9" w:history="1">
        <w:r w:rsidRPr="00DE3ACE">
          <w:rPr>
            <w:rStyle w:val="Hyperlink"/>
          </w:rPr>
          <w:t>www.aer.gov.au</w:t>
        </w:r>
      </w:hyperlink>
      <w:r w:rsidRPr="00DE3ACE">
        <w:t>)</w:t>
      </w:r>
      <w:r w:rsidR="00027EFF">
        <w:t xml:space="preserve">. </w:t>
      </w:r>
    </w:p>
    <w:p w:rsidR="008E5707" w:rsidRPr="008E5707" w:rsidRDefault="00027EFF" w:rsidP="000F13F6">
      <w:pPr>
        <w:pStyle w:val="Heading1"/>
        <w:numPr>
          <w:ilvl w:val="0"/>
          <w:numId w:val="0"/>
        </w:numPr>
      </w:pPr>
      <w:bookmarkStart w:id="2" w:name="_Toc352247347"/>
      <w:r w:rsidRPr="00027EFF">
        <w:lastRenderedPageBreak/>
        <w:t>Quarter 2 2012–13 observations</w:t>
      </w:r>
      <w:bookmarkEnd w:id="2"/>
    </w:p>
    <w:p w:rsidR="00027EFF" w:rsidRDefault="00027EFF" w:rsidP="00301B93">
      <w:pPr>
        <w:pStyle w:val="AERbulletlistfirststyle"/>
      </w:pPr>
      <w:r w:rsidRPr="00027EFF">
        <w:t xml:space="preserve">The ACT and Tasmanian retail energy markets have remained fairly constant, with no retailers entering or exiting the market in the December quarter. </w:t>
      </w:r>
    </w:p>
    <w:p w:rsidR="00301B93" w:rsidRDefault="00027EFF" w:rsidP="00301B93">
      <w:pPr>
        <w:pStyle w:val="AERbulletlistfirststyle"/>
      </w:pPr>
      <w:r w:rsidRPr="00027EFF">
        <w:t xml:space="preserve">Compared with the previous quarter, the number of residential customers in Tasmania with an energy bill debt (that is, they owed money on their bill for longer than 90 days) almost doubled, increasing from 4602 to 9180. </w:t>
      </w:r>
    </w:p>
    <w:p w:rsidR="00027EFF" w:rsidRDefault="00301B93" w:rsidP="00301B93">
      <w:pPr>
        <w:pStyle w:val="AERbulletlistfirststyle"/>
      </w:pPr>
      <w:r w:rsidRPr="00027EFF">
        <w:t xml:space="preserve">In Tasmania, Aurora reported 226 residential electricity disconnections during the quarter. This represents an increase of around 45 per cent (up from 156) over the previous quarter and an increase on 2011-12 figures. Despite this increase, electricity disconnections are still generally lower than in previous years. </w:t>
      </w:r>
    </w:p>
    <w:p w:rsidR="00027EFF" w:rsidRDefault="00027EFF" w:rsidP="00301B93">
      <w:pPr>
        <w:pStyle w:val="AERbulletlistfirststyle"/>
      </w:pPr>
      <w:r w:rsidRPr="00027EFF">
        <w:t xml:space="preserve">ActewAGL had 328 customers enter its hardship program this quarter, a steep increase compared to 71 in the last quarter. There was a 20 percent increase in ActewAGL’s electricity customers on hardship programs from the previous quarter, and a 37 percent increase in its gas customers. A high proportion of these customers had less than $500 debt on entry. </w:t>
      </w:r>
    </w:p>
    <w:p w:rsidR="00027EFF" w:rsidRDefault="00027EFF" w:rsidP="00301B93">
      <w:pPr>
        <w:pStyle w:val="AERbulletlistfirststyle"/>
      </w:pPr>
      <w:r w:rsidRPr="00027EFF">
        <w:t xml:space="preserve">In the ACT, residential customers made 716 complaints to their retailer, which represents an increase of 34 per cent. The majority of customer complaints in the ACT were in relation to billing, however customer transfers comprised 20.7 per cent of complaints (a threefold increase from the previous quarter). </w:t>
      </w:r>
    </w:p>
    <w:p w:rsidR="008E5707" w:rsidRPr="008E5707" w:rsidRDefault="00027EFF" w:rsidP="00301B93">
      <w:pPr>
        <w:pStyle w:val="AERbulletlistfirststyle"/>
      </w:pPr>
      <w:r w:rsidRPr="00027EFF">
        <w:t>ActewAGL and EnergyAustralia, the two largest retailers supplying electricity to residential customers in the ACT, did not report any electricity disconnections for the quarter.</w:t>
      </w:r>
    </w:p>
    <w:p w:rsidR="008E5707" w:rsidRDefault="008E5707" w:rsidP="00D10F5F">
      <w:pPr>
        <w:pStyle w:val="Heading1"/>
      </w:pPr>
      <w:bookmarkStart w:id="3" w:name="_Toc352247348"/>
      <w:r w:rsidRPr="008E5707">
        <w:lastRenderedPageBreak/>
        <w:t>Retail market overview</w:t>
      </w:r>
      <w:bookmarkEnd w:id="3"/>
      <w:r w:rsidRPr="008E5707">
        <w:t xml:space="preserve"> </w:t>
      </w:r>
    </w:p>
    <w:p w:rsidR="00027EFF" w:rsidRPr="00027EFF" w:rsidRDefault="00027EFF" w:rsidP="00027EFF">
      <w:pPr>
        <w:pStyle w:val="AERbodytext"/>
        <w:rPr>
          <w:lang w:eastAsia="en-AU"/>
        </w:rPr>
      </w:pPr>
      <w:r w:rsidRPr="00027EFF">
        <w:rPr>
          <w:lang w:eastAsia="en-AU"/>
        </w:rPr>
        <w:t xml:space="preserve">This section provides an overview of the ACT and Tasmanian retail markets, with a particular focus on: </w:t>
      </w:r>
    </w:p>
    <w:p w:rsidR="00027EFF" w:rsidRPr="00027EFF" w:rsidRDefault="00027EFF" w:rsidP="00027EFF">
      <w:pPr>
        <w:pStyle w:val="AERbulletlistfirststyle"/>
      </w:pPr>
      <w:r w:rsidRPr="00027EFF">
        <w:t xml:space="preserve">the number of active energy retailers in those markets, </w:t>
      </w:r>
    </w:p>
    <w:p w:rsidR="00027EFF" w:rsidRPr="00027EFF" w:rsidRDefault="00027EFF" w:rsidP="00027EFF">
      <w:pPr>
        <w:pStyle w:val="AERbulletlistfirststyle"/>
      </w:pPr>
      <w:r w:rsidRPr="00027EFF">
        <w:t xml:space="preserve">the proportion of customers on standard and market retail contracts, and </w:t>
      </w:r>
    </w:p>
    <w:p w:rsidR="00027EFF" w:rsidRDefault="00027EFF" w:rsidP="00A22CFB">
      <w:pPr>
        <w:pStyle w:val="AERbulletlistfirststyle"/>
      </w:pPr>
      <w:r w:rsidRPr="00027EFF">
        <w:t xml:space="preserve">the extent to which customers are switching between retailers. </w:t>
      </w:r>
    </w:p>
    <w:p w:rsidR="00A22CFB" w:rsidRPr="00027EFF" w:rsidRDefault="00A22CFB" w:rsidP="00A22CFB">
      <w:pPr>
        <w:pStyle w:val="AERbulletlistfirststyle"/>
        <w:numPr>
          <w:ilvl w:val="0"/>
          <w:numId w:val="0"/>
        </w:numPr>
      </w:pPr>
    </w:p>
    <w:p w:rsidR="009530EB" w:rsidRDefault="00A22CFB" w:rsidP="00A22CFB">
      <w:pPr>
        <w:pStyle w:val="Heading2"/>
      </w:pPr>
      <w:bookmarkStart w:id="4" w:name="_Toc352247349"/>
      <w:r w:rsidRPr="00A22CFB">
        <w:t>Energy retailers in the ACT and Tasmania</w:t>
      </w:r>
      <w:bookmarkEnd w:id="4"/>
    </w:p>
    <w:p w:rsidR="00A22CFB" w:rsidRPr="00A22CFB" w:rsidRDefault="00A22CFB" w:rsidP="00A22CFB">
      <w:pPr>
        <w:rPr>
          <w:lang w:eastAsia="en-AU"/>
        </w:rPr>
      </w:pPr>
      <w:r w:rsidRPr="00A22CFB">
        <w:rPr>
          <w:lang w:eastAsia="en-AU"/>
        </w:rPr>
        <w:t xml:space="preserve">As in the previous quarter, there were ten active retailers in the ACT. Four retailers supplied energy to residential, small business and large customers—these were ActewAGL, EnergyAustralia, Origin Energy and Red Energy. The remainder supplied small business and/or large customers only—AGL Energy, Aurora Energy, EnergyAustralia Yallourn, ERM Power Retail, Momentum Energy and Powerdirect. ActewAGL remains the largest retailer in the ACT, supplying around 96 per cent of residential electricity and gas customers. In our first report we noted some factors that contributed to lower competitive activity in the ACT retail energy market. These factors included the small size of the market compared to other jurisdictions and ActewAGL’s large customer share. </w:t>
      </w:r>
    </w:p>
    <w:p w:rsidR="00A22CFB" w:rsidRPr="00A22CFB" w:rsidRDefault="00A22CFB" w:rsidP="00A22CFB">
      <w:pPr>
        <w:rPr>
          <w:lang w:eastAsia="en-AU"/>
        </w:rPr>
      </w:pPr>
      <w:r w:rsidRPr="00A22CFB">
        <w:rPr>
          <w:lang w:eastAsia="en-AU"/>
        </w:rPr>
        <w:t xml:space="preserve">In Tasmania, only customers who use more than 50 megawatt hours (MWh) per year are able to choose their electricity retailer. As at 31 December 2012, there were three retailers—Aurora Energy, ERM Power Retail and Progressive Green—selling electricity to customers above the 50 MWh threshold in Tasmania. </w:t>
      </w:r>
    </w:p>
    <w:p w:rsidR="00A22CFB" w:rsidRDefault="00A22CFB" w:rsidP="00A22CFB">
      <w:pPr>
        <w:pStyle w:val="AERbodytext"/>
      </w:pPr>
      <w:r w:rsidRPr="00A22CFB">
        <w:rPr>
          <w:lang w:eastAsia="en-AU"/>
        </w:rPr>
        <w:t>Aurora Energy—a wholly government owned retailer— supplies electricity to all residential and small business electricity customers under this threshold. We expect the number of retailers supplying electricity to customers in Tasmania to increase as policy changes designed to promote customer choice take effect from 2014.</w:t>
      </w:r>
    </w:p>
    <w:p w:rsidR="00A22CFB" w:rsidRDefault="00A22CFB" w:rsidP="00A22CFB">
      <w:pPr>
        <w:pStyle w:val="Heading2"/>
      </w:pPr>
      <w:bookmarkStart w:id="5" w:name="_Toc352247350"/>
      <w:r w:rsidRPr="00A22CFB">
        <w:t>Proportion of customers on standard and market retail contracts</w:t>
      </w:r>
      <w:bookmarkEnd w:id="5"/>
    </w:p>
    <w:p w:rsidR="00A22CFB" w:rsidRPr="00A22CFB" w:rsidRDefault="00A22CFB" w:rsidP="00A22CFB">
      <w:pPr>
        <w:rPr>
          <w:lang w:eastAsia="en-AU"/>
        </w:rPr>
      </w:pPr>
      <w:r w:rsidRPr="00A22CFB">
        <w:rPr>
          <w:lang w:eastAsia="en-AU"/>
        </w:rPr>
        <w:t xml:space="preserve">In the ACT and Tasmania, the majority of small electricity customers are on standard retail contracts—82 per cent and 85 per cent, respectively. The proportion of small gas customers in the ACT on standard retail contracts increased slightly from 77 per cent in the previous quarter to 78 per cent this quarter. </w:t>
      </w:r>
    </w:p>
    <w:p w:rsidR="00A22CFB" w:rsidRPr="00A22CFB" w:rsidRDefault="00A22CFB" w:rsidP="00A22CFB">
      <w:pPr>
        <w:pStyle w:val="AERbodytext"/>
      </w:pPr>
      <w:r w:rsidRPr="00A22CFB">
        <w:rPr>
          <w:lang w:eastAsia="en-AU"/>
        </w:rPr>
        <w:t>The low proportion of customers on market retail contracts reflects the lower level of competition in both markets compared to other NEM jurisdictions. For the ACT this outcome reflects the findings of the Australian Energy Market Commission’s March 2011 review which found that competition in the small customer market was not effective, partly because customers were unaware of their ability to switch retailers. In jurisdictions where there is a higher level of competition, there is more incentive for retailers to use the flexibility of market retail contracts to encourage customers to switch. This relationship will become more apparent in the next report, which covers the more active South Australian market.</w:t>
      </w:r>
    </w:p>
    <w:p w:rsidR="008E5707" w:rsidRPr="008E5707" w:rsidRDefault="008E5707" w:rsidP="009530EB">
      <w:pPr>
        <w:pStyle w:val="Caption"/>
      </w:pPr>
      <w:r w:rsidRPr="008E5707">
        <w:lastRenderedPageBreak/>
        <w:t>Figure 1: Proportion of small customers on standard and market retail contracts—by jurisdiction</w:t>
      </w:r>
    </w:p>
    <w:p w:rsidR="008E5707" w:rsidRDefault="00282B2B" w:rsidP="008E5707">
      <w:pPr>
        <w:pStyle w:val="AERbodytext"/>
        <w:numPr>
          <w:ilvl w:val="0"/>
          <w:numId w:val="13"/>
        </w:numPr>
      </w:pPr>
      <w:r w:rsidRPr="00A22CF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igure 1: Proportion of small customers on standard and market retail contracts—by jurisdiction&#10;&#10;In the ACT, 82 per cent of small electricity customers and 78 per cent of small gas customers are on standard retail contracts. In Tasmania, 85 per cent of small customers are on a standard retail contract for electricity." style="width:449.85pt;height:345pt">
            <v:imagedata r:id="rId10" o:title=""/>
          </v:shape>
        </w:pict>
      </w:r>
    </w:p>
    <w:p w:rsidR="008E5707" w:rsidRDefault="008E5707" w:rsidP="00D10F5F">
      <w:pPr>
        <w:pStyle w:val="Heading2"/>
      </w:pPr>
      <w:bookmarkStart w:id="6" w:name="_Toc352247351"/>
      <w:r w:rsidRPr="008E5707">
        <w:t>Customer switching rates</w:t>
      </w:r>
      <w:bookmarkEnd w:id="6"/>
      <w:r w:rsidRPr="008E5707">
        <w:t xml:space="preserve"> </w:t>
      </w:r>
    </w:p>
    <w:p w:rsidR="00B72C8C" w:rsidRPr="00B72C8C" w:rsidRDefault="00B72C8C" w:rsidP="00B72C8C">
      <w:pPr>
        <w:rPr>
          <w:lang w:eastAsia="en-AU"/>
        </w:rPr>
      </w:pPr>
      <w:r w:rsidRPr="00B72C8C">
        <w:rPr>
          <w:lang w:eastAsia="en-AU"/>
        </w:rPr>
        <w:t>The frequency with which customers switch their energy retailer is one indication of customer participation in the retail energy market. Figures 2 and 3 below show the percentage of electricity and gas customers (respectively) who switched retailers in each quarter for the previous three years in Queensland, New South Wales, Victoria and South Australia.</w:t>
      </w:r>
      <w:r w:rsidR="00D404EE">
        <w:rPr>
          <w:rStyle w:val="FootnoteReference"/>
          <w:lang w:eastAsia="en-AU"/>
        </w:rPr>
        <w:footnoteReference w:id="1"/>
      </w:r>
    </w:p>
    <w:p w:rsidR="00B72C8C" w:rsidRPr="00B72C8C" w:rsidRDefault="00B72C8C" w:rsidP="00B72C8C">
      <w:pPr>
        <w:rPr>
          <w:lang w:eastAsia="en-AU"/>
        </w:rPr>
      </w:pPr>
      <w:r w:rsidRPr="00B72C8C">
        <w:rPr>
          <w:lang w:eastAsia="en-AU"/>
        </w:rPr>
        <w:t xml:space="preserve">The figures show that switching rates range between about 2 and 8 per cent in these jurisdictions, with the highest rates in Victoria for both electricity and gas. Not only does Victoria have the largest number of active retailers, but also a higher proportion of smaller retailers supplying energy to small customers—which could help explain the greater competition between retailers as they seek to entice </w:t>
      </w:r>
      <w:r w:rsidR="00E412D2">
        <w:t>c</w:t>
      </w:r>
      <w:r w:rsidR="00E412D2" w:rsidRPr="00E412D2">
        <w:t>ustomers</w:t>
      </w:r>
      <w:r w:rsidR="00E412D2" w:rsidRPr="00E412D2">
        <w:rPr>
          <w:lang w:eastAsia="en-AU"/>
        </w:rPr>
        <w:t xml:space="preserve"> with attractive offers and to increase their market share. Figures 2 and 3 also show that while switching in Victoria and New South Wales continues to grow for gas and electricity, it has decreased in both the Queensland and South Austr</w:t>
      </w:r>
      <w:r w:rsidR="00E412D2">
        <w:rPr>
          <w:lang w:eastAsia="en-AU"/>
        </w:rPr>
        <w:t xml:space="preserve">alia markets in recent months. </w:t>
      </w:r>
    </w:p>
    <w:p w:rsidR="00B72C8C" w:rsidRPr="00B72C8C" w:rsidRDefault="00B72C8C" w:rsidP="00B72C8C">
      <w:pPr>
        <w:rPr>
          <w:lang w:eastAsia="en-AU"/>
        </w:rPr>
      </w:pPr>
      <w:r w:rsidRPr="00B72C8C">
        <w:rPr>
          <w:lang w:eastAsia="en-AU"/>
        </w:rPr>
        <w:lastRenderedPageBreak/>
        <w:t>In comparison, switching rates in the ACT are comparatively and consistently low for both electricity and gas (Figure 4). Since the commencement of the Retail Law in July 2012, rates have been less than 0.15 per cent for electricity, an</w:t>
      </w:r>
      <w:r w:rsidR="00D404EE">
        <w:rPr>
          <w:lang w:eastAsia="en-AU"/>
        </w:rPr>
        <w:t>d 0.10 percent or less for gas.</w:t>
      </w:r>
      <w:r w:rsidR="00D404EE">
        <w:rPr>
          <w:rStyle w:val="FootnoteReference"/>
          <w:lang w:eastAsia="en-AU"/>
        </w:rPr>
        <w:footnoteReference w:id="2"/>
      </w:r>
      <w:r w:rsidRPr="00B72C8C">
        <w:rPr>
          <w:lang w:eastAsia="en-AU"/>
        </w:rPr>
        <w:t xml:space="preserve"> </w:t>
      </w:r>
    </w:p>
    <w:p w:rsidR="00B72C8C" w:rsidRPr="00B72C8C" w:rsidRDefault="00B72C8C" w:rsidP="00B72C8C">
      <w:pPr>
        <w:pStyle w:val="AERbodytext"/>
        <w:numPr>
          <w:ilvl w:val="0"/>
          <w:numId w:val="0"/>
        </w:numPr>
      </w:pPr>
      <w:r w:rsidRPr="00B72C8C">
        <w:rPr>
          <w:lang w:eastAsia="en-AU"/>
        </w:rPr>
        <w:t>Given the small number of competitors in the market, and the large market share historically held by ActewAGL, the low switching rates are not surprising.</w:t>
      </w:r>
    </w:p>
    <w:p w:rsidR="008E5707" w:rsidRPr="008E5707" w:rsidRDefault="008E5707" w:rsidP="009530EB">
      <w:pPr>
        <w:pStyle w:val="Caption"/>
      </w:pPr>
      <w:r w:rsidRPr="008E5707">
        <w:t>Figure 2: Quarterly electricity customer switching rates—by jurisdiction</w:t>
      </w:r>
    </w:p>
    <w:p w:rsidR="008E5707" w:rsidRPr="008E5707" w:rsidRDefault="00282B2B" w:rsidP="008E5707">
      <w:pPr>
        <w:pStyle w:val="AERbodytext"/>
        <w:numPr>
          <w:ilvl w:val="0"/>
          <w:numId w:val="13"/>
        </w:numPr>
      </w:pPr>
      <w:r w:rsidRPr="00E412D2">
        <w:pict>
          <v:shape id="_x0000_i1026" type="#_x0000_t75" alt="Figure 2: Quarterly electricity customer switching rates—by jurisdiction&#10;&#10;Figures 2 shows a significantly higher level of switching in those jurisdictions where competition in the retail energy market is more developed, with 2–7.5 per cent of electricity and gas customers switching retailer each quarter over the past three years." style="width:451pt;height:355.4pt">
            <v:imagedata r:id="rId11" o:title=""/>
          </v:shape>
        </w:pict>
      </w:r>
    </w:p>
    <w:p w:rsidR="008E5707" w:rsidRPr="008E5707" w:rsidRDefault="008E5707" w:rsidP="009530EB">
      <w:pPr>
        <w:pStyle w:val="Caption"/>
      </w:pPr>
      <w:r w:rsidRPr="008E5707">
        <w:lastRenderedPageBreak/>
        <w:t>Figure 3: Quarterly gas customer switching rates—by jurisdiction</w:t>
      </w:r>
    </w:p>
    <w:p w:rsidR="008E5707" w:rsidRPr="008E5707" w:rsidRDefault="00623781" w:rsidP="008E5707">
      <w:pPr>
        <w:pStyle w:val="AERbodytext"/>
        <w:numPr>
          <w:ilvl w:val="0"/>
          <w:numId w:val="13"/>
        </w:numPr>
      </w:pPr>
      <w:r w:rsidRPr="00E412D2">
        <w:pict>
          <v:shape id="_x0000_i1027" type="#_x0000_t75" alt="Figure 3: Quarterly gas customer switching rates—by jurisdiction&#10;&#10;Figures 3 shows a significantly higher level of switching in those jurisdictions where competition in the retail energy market is more developed, with 2–7.5 per cent of electricity and gas customers switching retailer each quarter over the past three years." style="width:449.3pt;height:354.8pt">
            <v:imagedata r:id="rId12" o:title=""/>
          </v:shape>
        </w:pict>
      </w:r>
    </w:p>
    <w:p w:rsidR="008E5707" w:rsidRPr="008E5707" w:rsidRDefault="008E5707" w:rsidP="00C44046">
      <w:pPr>
        <w:pStyle w:val="Caption"/>
      </w:pPr>
      <w:r w:rsidRPr="008E5707">
        <w:lastRenderedPageBreak/>
        <w:t>Figure 4: Monthly electricity and gas customer switching rates in the ACT</w:t>
      </w:r>
    </w:p>
    <w:p w:rsidR="008E5707" w:rsidRPr="008E5707" w:rsidRDefault="00282B2B" w:rsidP="008E5707">
      <w:pPr>
        <w:pStyle w:val="AERbodytext"/>
        <w:numPr>
          <w:ilvl w:val="0"/>
          <w:numId w:val="13"/>
        </w:numPr>
      </w:pPr>
      <w:r w:rsidRPr="00E412D2">
        <w:pict>
          <v:shape id="_x0000_i1028" type="#_x0000_t75" alt="Figure 4: Monthly electricity and gas customer switching rates in the ACT&#10;&#10;Figure 4 shows a comparatively and consistently low level of switching in the ACT for both electricity and gas customers, ranging between 0.09 per cent and 0.15 per cent during the quarter." style="width:451pt;height:357.1pt">
            <v:imagedata r:id="rId13" o:title=""/>
          </v:shape>
        </w:pict>
      </w:r>
    </w:p>
    <w:p w:rsidR="008E5707" w:rsidRPr="008E5707" w:rsidRDefault="008E5707" w:rsidP="00D10F5F">
      <w:pPr>
        <w:pStyle w:val="Heading1"/>
      </w:pPr>
      <w:bookmarkStart w:id="7" w:name="_Toc352247352"/>
      <w:r w:rsidRPr="008E5707">
        <w:lastRenderedPageBreak/>
        <w:t>Retail market activities report</w:t>
      </w:r>
      <w:bookmarkEnd w:id="7"/>
      <w:r w:rsidRPr="008E5707">
        <w:t xml:space="preserve"> </w:t>
      </w:r>
    </w:p>
    <w:p w:rsidR="00AC5526" w:rsidRPr="00AC5526" w:rsidRDefault="00AC5526" w:rsidP="00AC5526">
      <w:pPr>
        <w:rPr>
          <w:rStyle w:val="AERbody"/>
          <w:lang w:eastAsia="en-AU"/>
        </w:rPr>
      </w:pPr>
      <w:r w:rsidRPr="00AC5526">
        <w:rPr>
          <w:rStyle w:val="AERbody"/>
          <w:lang w:eastAsia="en-AU"/>
        </w:rPr>
        <w:t xml:space="preserve">This section provides information on: </w:t>
      </w:r>
    </w:p>
    <w:p w:rsidR="00AC5526" w:rsidRPr="00AC5526" w:rsidRDefault="00AC5526" w:rsidP="00AC5526">
      <w:pPr>
        <w:pStyle w:val="AERbulletlistfirststyle"/>
        <w:rPr>
          <w:rStyle w:val="AERbody"/>
        </w:rPr>
      </w:pPr>
      <w:r w:rsidRPr="00AC5526">
        <w:rPr>
          <w:rStyle w:val="AERbody"/>
        </w:rPr>
        <w:t xml:space="preserve">retailers’ handling of customers experiencing payment difficulties </w:t>
      </w:r>
    </w:p>
    <w:p w:rsidR="00AC5526" w:rsidRPr="00AC5526" w:rsidRDefault="00AC5526" w:rsidP="00AC5526">
      <w:pPr>
        <w:pStyle w:val="AERbulletlistfirststyle"/>
        <w:rPr>
          <w:rStyle w:val="AERbody"/>
        </w:rPr>
      </w:pPr>
      <w:r w:rsidRPr="00AC5526">
        <w:rPr>
          <w:rStyle w:val="AERbody"/>
        </w:rPr>
        <w:t xml:space="preserve">customer disconnections and reconnections </w:t>
      </w:r>
    </w:p>
    <w:p w:rsidR="00AC5526" w:rsidRPr="00AC5526" w:rsidRDefault="00AC5526" w:rsidP="00AC5526">
      <w:pPr>
        <w:pStyle w:val="AERbulletlistfirststyle"/>
        <w:rPr>
          <w:rStyle w:val="AERbody"/>
        </w:rPr>
      </w:pPr>
      <w:r w:rsidRPr="00AC5526">
        <w:rPr>
          <w:rStyle w:val="AERbody"/>
        </w:rPr>
        <w:t xml:space="preserve">customers on hardship programs </w:t>
      </w:r>
    </w:p>
    <w:p w:rsidR="00AC5526" w:rsidRPr="00AC5526" w:rsidRDefault="00AC5526" w:rsidP="00AC5526">
      <w:pPr>
        <w:pStyle w:val="AERbulletlistfirststyle"/>
        <w:rPr>
          <w:rStyle w:val="AERbody"/>
        </w:rPr>
      </w:pPr>
      <w:r w:rsidRPr="00AC5526">
        <w:rPr>
          <w:rStyle w:val="AERbody"/>
        </w:rPr>
        <w:t xml:space="preserve">the number and type of customer complaints and </w:t>
      </w:r>
    </w:p>
    <w:p w:rsidR="00AC5526" w:rsidRPr="00AC5526" w:rsidRDefault="00AC5526" w:rsidP="00AC5526">
      <w:pPr>
        <w:pStyle w:val="AERbulletlistfirststyle"/>
        <w:rPr>
          <w:rStyle w:val="AERbody"/>
        </w:rPr>
      </w:pPr>
      <w:r w:rsidRPr="00AC5526">
        <w:rPr>
          <w:rStyle w:val="AERbody"/>
        </w:rPr>
        <w:t xml:space="preserve">customers using prepayment meters. </w:t>
      </w:r>
    </w:p>
    <w:p w:rsidR="008E5707" w:rsidRPr="008E5707" w:rsidRDefault="008E5707" w:rsidP="00D10F5F">
      <w:pPr>
        <w:pStyle w:val="Heading2"/>
      </w:pPr>
      <w:bookmarkStart w:id="8" w:name="_Toc352247353"/>
      <w:r w:rsidRPr="008E5707">
        <w:t>Handling of customers experiencing payment difficulties</w:t>
      </w:r>
      <w:bookmarkEnd w:id="8"/>
      <w:r w:rsidRPr="008E5707">
        <w:t xml:space="preserve"> </w:t>
      </w:r>
    </w:p>
    <w:p w:rsidR="00AC5526" w:rsidRPr="00AC5526" w:rsidRDefault="00AC5526" w:rsidP="00AC5526">
      <w:pPr>
        <w:pStyle w:val="AERbodytext"/>
        <w:rPr>
          <w:lang w:eastAsia="en-AU"/>
        </w:rPr>
      </w:pPr>
      <w:r w:rsidRPr="00AC5526">
        <w:rPr>
          <w:lang w:eastAsia="en-AU"/>
        </w:rPr>
        <w:t xml:space="preserve">The number of small customers with energy bill debt, and the levels of that debt, can help us understand the extent of payment difficulties. ‘Energy bill debt’ for this purpose is defined as an amount owed to a retailer that has been outstanding for 90 days or more. Energy bill debt indicators can also provide an indication of the overall affordability of energy. </w:t>
      </w:r>
    </w:p>
    <w:p w:rsidR="00AC5526" w:rsidRDefault="00AC5526" w:rsidP="00AC5526">
      <w:pPr>
        <w:pStyle w:val="AERbodytext"/>
      </w:pPr>
      <w:r w:rsidRPr="00AC5526">
        <w:rPr>
          <w:lang w:eastAsia="en-AU"/>
        </w:rPr>
        <w:t>The Retail Rules require the AER to distinguish between customers experiencing payment difficulties generally and customers on hardship programs. Payment difficulties— as distinct from customer hardship—is when a customer has an energy bill debt but has not been identified as a hardship customer.</w:t>
      </w:r>
    </w:p>
    <w:p w:rsidR="00EB0D9C" w:rsidRDefault="008E5707" w:rsidP="00EB0D9C">
      <w:pPr>
        <w:pStyle w:val="Heading3"/>
      </w:pPr>
      <w:bookmarkStart w:id="9" w:name="_Toc352247354"/>
      <w:r w:rsidRPr="008E5707">
        <w:t>Reside</w:t>
      </w:r>
      <w:r w:rsidR="00EB0D9C">
        <w:t>ntial customer energy bill debt</w:t>
      </w:r>
      <w:bookmarkEnd w:id="9"/>
    </w:p>
    <w:p w:rsidR="00AC5526" w:rsidRPr="00AC5526" w:rsidRDefault="00AC5526" w:rsidP="00AC5526">
      <w:pPr>
        <w:rPr>
          <w:lang w:eastAsia="en-AU"/>
        </w:rPr>
      </w:pPr>
      <w:r w:rsidRPr="00AC5526">
        <w:t xml:space="preserve">As Figure 5 shows, there was only a slight increase in </w:t>
      </w:r>
      <w:r w:rsidRPr="00AC5526">
        <w:rPr>
          <w:lang w:eastAsia="en-AU"/>
        </w:rPr>
        <w:t xml:space="preserve">the number of customers with an electricity bill debt in the ACT in the December quarter, but a much more significant increase of 45 per cent for gas. While over twice as many of the ACT’s households had a gas bill debt compared with an electricity bill debt, the average amount owed on their electricity bill debt was higher—$739 compared to $467 for gas (Figure 6). The majority of customers with an energy bill debt owed less than $500 (54.1 per cent for electricity and 71.6 per cent for gas) whilst a small number of energy customers with an energy bill debt owed over $2500 (5 per cent for electricity and 2.1 per cent for gas). </w:t>
      </w:r>
    </w:p>
    <w:p w:rsidR="00AC5526" w:rsidRPr="00AC5526" w:rsidRDefault="00AC5526" w:rsidP="00AC5526">
      <w:pPr>
        <w:rPr>
          <w:lang w:eastAsia="en-AU"/>
        </w:rPr>
      </w:pPr>
      <w:r w:rsidRPr="00AC5526">
        <w:rPr>
          <w:lang w:eastAsia="en-AU"/>
        </w:rPr>
        <w:t xml:space="preserve">Compared with the previous quarter, the number of customers with an electricity bill debt almost doubled in Tasmania, although the average amount of money owed by customers with a bill debt actually decreased. The majority of customers (59 per cent) with an electricity bill debt in Tasmania had a debt under $500 whilst 6.1 per cent had a bill debt over $2500. We are interested in the movement in the debt brackets over time, and in particular, whether these reflect seasonal variations in energy consumption, as retailers suggest. </w:t>
      </w:r>
    </w:p>
    <w:p w:rsidR="00AC5526" w:rsidRDefault="00AC5526" w:rsidP="00AC5526">
      <w:pPr>
        <w:pStyle w:val="AERbodytext"/>
        <w:rPr>
          <w:rStyle w:val="AERbody"/>
        </w:rPr>
      </w:pPr>
      <w:r w:rsidRPr="00AC5526">
        <w:rPr>
          <w:lang w:eastAsia="en-AU"/>
        </w:rPr>
        <w:t>The increase in the number of customers with a debt below $500 is consistent with the retailers’ explanation that the increase is due to the heavier energy consumption during the winter months. However, more data will be required before we can confirm that this is a seasonal variation.</w:t>
      </w:r>
    </w:p>
    <w:p w:rsidR="008E5707" w:rsidRPr="00D05486" w:rsidRDefault="008E5707" w:rsidP="009530EB">
      <w:pPr>
        <w:pStyle w:val="Caption"/>
        <w:rPr>
          <w:rStyle w:val="AERbody"/>
        </w:rPr>
      </w:pPr>
      <w:r w:rsidRPr="00D05486">
        <w:rPr>
          <w:rStyle w:val="AERbody"/>
        </w:rPr>
        <w:lastRenderedPageBreak/>
        <w:t>Figure 5: Residential customers with energy bill debt— by jurisdiction</w:t>
      </w:r>
    </w:p>
    <w:p w:rsidR="008E5707" w:rsidRPr="00D05486" w:rsidRDefault="000D1F73" w:rsidP="00D05486">
      <w:pPr>
        <w:pStyle w:val="AERbodytext"/>
        <w:rPr>
          <w:rStyle w:val="AERbody"/>
        </w:rPr>
      </w:pPr>
      <w:r w:rsidRPr="00705E56">
        <w:rPr>
          <w:rStyle w:val="AERbody"/>
        </w:rPr>
        <w:pict>
          <v:shape id="_x0000_i1029" type="#_x0000_t75" alt="Figure 5 shows that, compared with the previous quarter, the number of customers with an energy bill debt almost doubled in Tasmania from 4602 in Q1 to 9180 in Q2.&#10;&#10;In the ACT, the number of customers with a gas energy bill debt had increased by 45 per cent from 6022 in Q1 to 8677 in Q2. In electricity the number of customers with an energy bill debt increased marginally from 3371 in Q1 to 3546 in Q2. " style="width:449.85pt;height:338.7pt">
            <v:imagedata r:id="rId14" o:title=""/>
          </v:shape>
        </w:pict>
      </w:r>
    </w:p>
    <w:p w:rsidR="008E5707" w:rsidRPr="00D05486" w:rsidRDefault="008E5707" w:rsidP="009530EB">
      <w:pPr>
        <w:pStyle w:val="Caption"/>
        <w:rPr>
          <w:rStyle w:val="AERbody"/>
        </w:rPr>
      </w:pPr>
      <w:r w:rsidRPr="00D05486">
        <w:rPr>
          <w:rStyle w:val="AERbody"/>
        </w:rPr>
        <w:lastRenderedPageBreak/>
        <w:t>Figure 6: Average residential energy bill debt—by jurisdiction</w:t>
      </w:r>
      <w:r w:rsidR="00D404EE">
        <w:rPr>
          <w:rStyle w:val="FootnoteReference"/>
        </w:rPr>
        <w:footnoteReference w:id="3"/>
      </w:r>
    </w:p>
    <w:p w:rsidR="008E5707" w:rsidRPr="00D05486" w:rsidRDefault="000D1F73" w:rsidP="00D05486">
      <w:pPr>
        <w:pStyle w:val="AERbodytext"/>
        <w:rPr>
          <w:rStyle w:val="AERbody"/>
        </w:rPr>
      </w:pPr>
      <w:r w:rsidRPr="00FD4F37">
        <w:rPr>
          <w:rStyle w:val="AERbody"/>
        </w:rPr>
        <w:pict>
          <v:shape id="_x0000_i1030" type="#_x0000_t75" alt="Figure 6: Average residential energy bill debt—by jurisdiction&#10;&#10;In the ACT the average amount owed for electricity was $739 in Q2 compared to $711 in Q1 and $467 in Q2 compared to $450 for Gas.&#10;&#10;In the Tasmania the average amount owed for electricity in Q2 was $720 compared to $898 in Q1.&#10;" style="width:449.85pt;height:337.55pt">
            <v:imagedata r:id="rId15" o:title=""/>
          </v:shape>
        </w:pict>
      </w:r>
    </w:p>
    <w:p w:rsidR="008E5707" w:rsidRPr="00D05486" w:rsidRDefault="008E5707" w:rsidP="009530EB">
      <w:pPr>
        <w:pStyle w:val="Caption"/>
      </w:pPr>
      <w:r w:rsidRPr="00D05486">
        <w:lastRenderedPageBreak/>
        <w:t>Figure 7: Residential customer energy bill debt levels— by jurisdiction</w:t>
      </w:r>
    </w:p>
    <w:p w:rsidR="008E5707" w:rsidRPr="00D05486" w:rsidRDefault="00243BCE" w:rsidP="00D05486">
      <w:pPr>
        <w:pStyle w:val="AERbodytext"/>
      </w:pPr>
      <w:r w:rsidRPr="00FD4F37">
        <w:pict>
          <v:shape id="_x0000_i1031" type="#_x0000_t75" alt="Figure 7 also shows that more than half (54.8 per cent) of the residential customers in the ACT with an electricity bill debt had a debt below $500. Thirty one per cent of customers had a bill debt of $500–1500 and a further 8.7 per cent had a debt of $1500–2500. Around 5 per cent had an electricity bill debt over $2500. The yellow dot shows that the average electricity debt was $739.&#10;&#10;Similarly for gas, the majority of ACT residential customers with a gas bill debt owed less than $500 (71.6 per cent). Nearly 22 per cent had a gas debt of $500–1500. A smaller proportion (4.5 per cent) owed $1500–2500 with only 2.1 per cent having a debt above $2500. The yellow dot shows that the average gas debt was $467.&#10;&#10;&#10;In Tasmania, over half (59.1 per cent) had a debt below $500, 27.2 per cent had a debt between $500–1500, 7.7 per cent had a debt of $1500–2500 and 6.1 per cent had a debt in excess of $2500. This represents a general decrease of customers in all debt brackets over $500 from the previous quarter’s figures. The yellow dot shows that the average electricity debt was $720.&#10;&#10;&#10;" style="width:450.45pt;height:422.2pt">
            <v:imagedata r:id="rId16" o:title=""/>
          </v:shape>
        </w:pict>
      </w:r>
    </w:p>
    <w:p w:rsidR="008E5707" w:rsidRPr="008E5707" w:rsidRDefault="008E5707" w:rsidP="00EB0D9C">
      <w:pPr>
        <w:pStyle w:val="Heading3"/>
      </w:pPr>
      <w:bookmarkStart w:id="10" w:name="_Toc352247355"/>
      <w:r w:rsidRPr="008E5707">
        <w:t>Residential customers on payment plans</w:t>
      </w:r>
      <w:bookmarkEnd w:id="10"/>
      <w:r w:rsidRPr="008E5707">
        <w:t xml:space="preserve"> </w:t>
      </w:r>
    </w:p>
    <w:p w:rsidR="00FD4F37" w:rsidRPr="00FD4F37" w:rsidRDefault="00FD4F37" w:rsidP="00FD4F37">
      <w:pPr>
        <w:rPr>
          <w:lang w:eastAsia="en-AU"/>
        </w:rPr>
      </w:pPr>
      <w:r w:rsidRPr="00FD4F37">
        <w:rPr>
          <w:lang w:eastAsia="en-AU"/>
        </w:rPr>
        <w:t xml:space="preserve">Retailers are required to report the number of residential customers on a payment plan. A payment plan must consist of at least three instalments and provide for the repayment of arrears. </w:t>
      </w:r>
    </w:p>
    <w:p w:rsidR="00FD4F37" w:rsidRPr="00FD4F37" w:rsidRDefault="00FD4F37" w:rsidP="00FD4F37">
      <w:pPr>
        <w:rPr>
          <w:lang w:eastAsia="en-AU"/>
        </w:rPr>
      </w:pPr>
      <w:r w:rsidRPr="00FD4F37">
        <w:rPr>
          <w:lang w:eastAsia="en-AU"/>
        </w:rPr>
        <w:t xml:space="preserve">Taken together, the number of customers with an energy bill debt and the number on payment plans provide information about the assistance provided by retailers to customers experiencing payment difficulties. </w:t>
      </w:r>
    </w:p>
    <w:p w:rsidR="00FD4F37" w:rsidRPr="00FD4F37" w:rsidRDefault="00FD4F37" w:rsidP="00FD4F37">
      <w:pPr>
        <w:rPr>
          <w:lang w:eastAsia="en-AU"/>
        </w:rPr>
      </w:pPr>
      <w:r w:rsidRPr="00FD4F37">
        <w:rPr>
          <w:lang w:eastAsia="en-AU"/>
        </w:rPr>
        <w:t xml:space="preserve">Figure 8 compares the number of customers on a payment plan by jurisdiction. It shows that in the ACT, 512 residential electricity customers and 651 residential gas customers were on a payment plan at the end of December. In Tasmania, 2942 residential electricity customers were on a payment plan at the end of the quarter. </w:t>
      </w:r>
    </w:p>
    <w:p w:rsidR="008E5707" w:rsidRPr="00D05486" w:rsidRDefault="00FD4F37" w:rsidP="00FD4F37">
      <w:pPr>
        <w:pStyle w:val="AERbodytext"/>
      </w:pPr>
      <w:r w:rsidRPr="00FD4F37">
        <w:rPr>
          <w:lang w:eastAsia="en-AU"/>
        </w:rPr>
        <w:t xml:space="preserve">The number of customers on a payment plan in the ACT is small compared to the number of customers with an energy bill debt, even after taking into account the seasonal variation associated with the cooler weather. Part of the reason for this difference may be that in the ACT the ACT Civil and Administrative Tribunal also has a payment plan scheme for energy customers in financial </w:t>
      </w:r>
      <w:r w:rsidRPr="00FD4F37">
        <w:rPr>
          <w:lang w:eastAsia="en-AU"/>
        </w:rPr>
        <w:lastRenderedPageBreak/>
        <w:t>hardship. These customers are not included in the number of customers on payment plans reported by energy retailers.</w:t>
      </w:r>
    </w:p>
    <w:p w:rsidR="008E5707" w:rsidRPr="00D05486" w:rsidRDefault="008E5707" w:rsidP="009530EB">
      <w:pPr>
        <w:pStyle w:val="Caption"/>
      </w:pPr>
      <w:r w:rsidRPr="00D05486">
        <w:t>Figure 8: Residential customers on payment plans—by jurisdiction</w:t>
      </w:r>
    </w:p>
    <w:p w:rsidR="008E5707" w:rsidRPr="008E5707" w:rsidRDefault="00F239CC" w:rsidP="008E5707">
      <w:pPr>
        <w:pStyle w:val="AERbodytext"/>
        <w:numPr>
          <w:ilvl w:val="0"/>
          <w:numId w:val="13"/>
        </w:numPr>
      </w:pPr>
      <w:r w:rsidRPr="00FD4F37">
        <w:pict>
          <v:shape id="_x0000_i1032" type="#_x0000_t75" alt="Figure 8 compares the number of customers on a payment plan based on jurisdiction. It shows that in the ACT, 512 residential electricity customers (0.3 per 100 customers) and 651 residential gas customers (0.6 per 100 customers) were on a payment plan at the end of December.&#10;&#10;There were 2942 residential electricity customers (1.3 per 100 customers) in Tasmania on a payment plan at the end of the December quarter. This represents an increase of 452 customers from the September quarter." style="width:451pt;height:335.8pt">
            <v:imagedata r:id="rId17" o:title=""/>
          </v:shape>
        </w:pict>
      </w:r>
    </w:p>
    <w:p w:rsidR="008E5707" w:rsidRPr="008E5707" w:rsidRDefault="008E5707" w:rsidP="00EB0D9C">
      <w:pPr>
        <w:pStyle w:val="Heading3"/>
      </w:pPr>
      <w:bookmarkStart w:id="11" w:name="_Toc352247356"/>
      <w:r w:rsidRPr="008E5707">
        <w:t>Small business customer energy bill debt</w:t>
      </w:r>
      <w:bookmarkEnd w:id="11"/>
      <w:r w:rsidRPr="008E5707">
        <w:t xml:space="preserve"> </w:t>
      </w:r>
    </w:p>
    <w:p w:rsidR="00FD4F37" w:rsidRDefault="00FD4F37" w:rsidP="00D05486">
      <w:pPr>
        <w:pStyle w:val="AERbodytext"/>
      </w:pPr>
      <w:r w:rsidRPr="00FD4F37">
        <w:t>In the ACT, 331 small business electricity customers (2.7 per 100 customers) and 182 small business gas customers (10 per 100 customers) had an energy bill debt. This presents a significant upward trend compared to the September quarter. The average electricity bill debt rose by $174 to $1052, and the average gas bill debt almost doubled, rising from $1234 to $2073. In Tasmania, 1362 small business electricity customers had an average bill debt of $1596 which is a significant drop from the September quarter average bill debt of $2375.</w:t>
      </w:r>
    </w:p>
    <w:p w:rsidR="008E5707" w:rsidRPr="008E5707" w:rsidRDefault="008E5707" w:rsidP="00EB0D9C">
      <w:pPr>
        <w:pStyle w:val="Heading2"/>
      </w:pPr>
      <w:bookmarkStart w:id="12" w:name="_Toc352247357"/>
      <w:r w:rsidRPr="008E5707">
        <w:t>Hardship program indicators</w:t>
      </w:r>
      <w:bookmarkEnd w:id="12"/>
      <w:r w:rsidRPr="008E5707">
        <w:t xml:space="preserve"> </w:t>
      </w:r>
    </w:p>
    <w:p w:rsidR="00FD4F37" w:rsidRDefault="00FD4F37" w:rsidP="00D05486">
      <w:pPr>
        <w:pStyle w:val="AERbodytext"/>
      </w:pPr>
      <w:r w:rsidRPr="00FD4F37">
        <w:t>The Retail Law requires energy retailers to have a customer hardship policy for residential customers. Hardship indicators aim to provide an overall picture of retailers’ activities to assist residential customers experiencing financial hardship</w:t>
      </w:r>
      <w:r>
        <w:t>.</w:t>
      </w:r>
      <w:r w:rsidR="000C5DFB">
        <w:rPr>
          <w:rStyle w:val="FootnoteReference"/>
        </w:rPr>
        <w:footnoteReference w:id="4"/>
      </w:r>
    </w:p>
    <w:p w:rsidR="008E5707" w:rsidRPr="008E5707" w:rsidRDefault="008E5707" w:rsidP="00EB0D9C">
      <w:pPr>
        <w:pStyle w:val="Heading3"/>
      </w:pPr>
      <w:bookmarkStart w:id="13" w:name="_Toc352247358"/>
      <w:r w:rsidRPr="008E5707">
        <w:t>Residential customers on hardship programs</w:t>
      </w:r>
      <w:bookmarkEnd w:id="13"/>
      <w:r w:rsidRPr="008E5707">
        <w:t xml:space="preserve"> </w:t>
      </w:r>
    </w:p>
    <w:p w:rsidR="004E6D5B" w:rsidRDefault="004E6D5B" w:rsidP="00D05486">
      <w:pPr>
        <w:pStyle w:val="AERbodytext"/>
      </w:pPr>
      <w:r w:rsidRPr="004E6D5B">
        <w:t>Figure 9 shows the number of residential customers in the ACT and Tasmania on hardship programs as a proportion of the total number of residential customers.</w:t>
      </w:r>
    </w:p>
    <w:p w:rsidR="008E5707" w:rsidRPr="00D05486" w:rsidRDefault="008E5707" w:rsidP="004E6D5B">
      <w:pPr>
        <w:pStyle w:val="Caption"/>
        <w:ind w:left="0" w:firstLine="0"/>
      </w:pPr>
      <w:r w:rsidRPr="00D05486">
        <w:lastRenderedPageBreak/>
        <w:t>Figure 9: Number of residential customers on a hardship program—by jurisdiction</w:t>
      </w:r>
    </w:p>
    <w:p w:rsidR="008E5707" w:rsidRPr="00D05486" w:rsidRDefault="00F239CC" w:rsidP="00D05486">
      <w:pPr>
        <w:pStyle w:val="AERbodytext"/>
      </w:pPr>
      <w:r w:rsidRPr="004E6D5B">
        <w:pict>
          <v:shape id="_x0000_i1033" type="#_x0000_t75" alt="Figure 9 shows the number of residential customers in the ACT and Tasmania on hardship programs as a proportion of the total number of residential customers.&#10;&#10;In the ACT, 701 residential electricity customers (0.5 per 100 customers) and 280 residential gas customers (0.3 per 100 customers) were on a hardship program at the end of December.&#10;&#10;In Tasmania, Aurora had 178 residential electricity customers (0.08 per 100 customers) on its hardship program at the end of the December quarter. " style="width:450.45pt;height:352.5pt">
            <v:imagedata r:id="rId18" o:title=""/>
          </v:shape>
        </w:pict>
      </w:r>
    </w:p>
    <w:p w:rsidR="004E6D5B" w:rsidRPr="004E6D5B" w:rsidRDefault="004E6D5B" w:rsidP="004E6D5B">
      <w:pPr>
        <w:rPr>
          <w:lang w:eastAsia="en-AU"/>
        </w:rPr>
      </w:pPr>
      <w:r w:rsidRPr="004E6D5B">
        <w:rPr>
          <w:lang w:eastAsia="en-AU"/>
        </w:rPr>
        <w:t xml:space="preserve">In the ACT, 701 residential electricity customers (0.5 per 100 customers) and 280 residential gas customers (0.3 per 100 customers) were on a hardship program at the end of December. </w:t>
      </w:r>
    </w:p>
    <w:p w:rsidR="004E6D5B" w:rsidRPr="004E6D5B" w:rsidRDefault="004E6D5B" w:rsidP="004E6D5B">
      <w:pPr>
        <w:rPr>
          <w:lang w:eastAsia="en-AU"/>
        </w:rPr>
      </w:pPr>
      <w:r w:rsidRPr="004E6D5B">
        <w:rPr>
          <w:lang w:eastAsia="en-AU"/>
        </w:rPr>
        <w:t xml:space="preserve">Of these, ActewAGL accounted for 674 customers (0.5 per 100 customers) for electricity and 257 customers (0.0025 per 100 customers) for gas. This is a 20 percent increase in ActewAGL’s electricity customers on hardship programs from the previous quarter, and a 37 percent increase in its gas customers. A high proportion of customers entering ActewAGL’s hardship program entered with under $500 debt. This increase might suggest that ActewAGL has been proactive in identifying customers experiencing financial hardship. </w:t>
      </w:r>
    </w:p>
    <w:p w:rsidR="004E6D5B" w:rsidRPr="004E6D5B" w:rsidRDefault="004E6D5B" w:rsidP="004E6D5B">
      <w:pPr>
        <w:rPr>
          <w:lang w:eastAsia="en-AU"/>
        </w:rPr>
      </w:pPr>
      <w:r w:rsidRPr="004E6D5B">
        <w:rPr>
          <w:lang w:eastAsia="en-AU"/>
        </w:rPr>
        <w:t xml:space="preserve">EnergyAustralia had 27 electricity and 23 residential gas customers on its hardship program which is comparable with the previous quarter. Red Energy and Origin Energy did not report any hardship customers for the December quarter. </w:t>
      </w:r>
    </w:p>
    <w:p w:rsidR="004E6D5B" w:rsidRDefault="004E6D5B" w:rsidP="004E6D5B">
      <w:pPr>
        <w:pStyle w:val="AERbodytext"/>
      </w:pPr>
      <w:r w:rsidRPr="004E6D5B">
        <w:rPr>
          <w:lang w:eastAsia="en-AU"/>
        </w:rPr>
        <w:t>In Tasmania, Aurora had 178 residential electricity customers (0.08 per 100 customers) on its hardship program, which is three times the number of hardship customers reported in the September quarter. Aurora attributed this increase to the introduction of the new hardship requirements introduced by the Retail Law in July 2012. Aurora advised that before the Retail Law and Rules took effect on 1 July 2012, it voluntarily maintained a hardship policy and hardship assistance fund as no hardship regulation existed. Under the voluntary approach, Aurora did not record specific hardship data, therefore these numbers may not necessarily reflect a rise of customers in hardship, rather the reporting of customers in hardship. The number remains small given</w:t>
      </w:r>
      <w:r>
        <w:t xml:space="preserve"> </w:t>
      </w:r>
      <w:r w:rsidRPr="004E6D5B">
        <w:t>the large number of customers with an energy debt at the end of the quarter.</w:t>
      </w:r>
    </w:p>
    <w:p w:rsidR="00D05486" w:rsidRPr="00D05486" w:rsidRDefault="00D05486" w:rsidP="00D05486">
      <w:pPr>
        <w:pStyle w:val="Heading3"/>
      </w:pPr>
      <w:bookmarkStart w:id="14" w:name="_Toc352247359"/>
      <w:r w:rsidRPr="00D05486">
        <w:lastRenderedPageBreak/>
        <w:t>Debt levels of hardship program customers</w:t>
      </w:r>
      <w:bookmarkEnd w:id="14"/>
      <w:r w:rsidRPr="00D05486">
        <w:t xml:space="preserve"> </w:t>
      </w:r>
    </w:p>
    <w:p w:rsidR="004E6D5B" w:rsidRPr="004E6D5B" w:rsidRDefault="004E6D5B" w:rsidP="004E6D5B">
      <w:pPr>
        <w:rPr>
          <w:lang w:eastAsia="en-AU"/>
        </w:rPr>
      </w:pPr>
      <w:r w:rsidRPr="004E6D5B">
        <w:rPr>
          <w:lang w:eastAsia="en-AU"/>
        </w:rPr>
        <w:t xml:space="preserve">The AER collects data on the average debt upon entry into a hardship program (see Figure 10). High debt levels may help determine the effectiveness of retailers’ processes for promptly identifying customers experiencing payment difficulties and assisting them in managing their debt at an earlier stage. </w:t>
      </w:r>
    </w:p>
    <w:p w:rsidR="004E6D5B" w:rsidRPr="004E6D5B" w:rsidRDefault="004E6D5B" w:rsidP="004E6D5B">
      <w:pPr>
        <w:rPr>
          <w:lang w:eastAsia="en-AU"/>
        </w:rPr>
      </w:pPr>
      <w:r w:rsidRPr="004E6D5B">
        <w:rPr>
          <w:lang w:eastAsia="en-AU"/>
        </w:rPr>
        <w:t xml:space="preserve">As shown in Figure 10, the average debt of both gas and electricity customers who entered ActewAGL’s hardship program in the December quarter decreased compared to the September quarter. The decrease was most marked for gas, where the average debt on entry was $1000, down from $1713; and for electricity it was $703, down from $994. At the end of the quarter, the average debt of hardship customers in ActewAGL’s hardship program was $1101 for electricity customers and $3517 for gas customers, which is higher than the average debt of customers entering the hardship program for the quarter. </w:t>
      </w:r>
    </w:p>
    <w:p w:rsidR="004E6D5B" w:rsidRPr="004E6D5B" w:rsidRDefault="004E6D5B" w:rsidP="004E6D5B">
      <w:pPr>
        <w:rPr>
          <w:lang w:eastAsia="en-AU"/>
        </w:rPr>
      </w:pPr>
      <w:r w:rsidRPr="004E6D5B">
        <w:rPr>
          <w:lang w:eastAsia="en-AU"/>
        </w:rPr>
        <w:t xml:space="preserve">EnergyAustralia reported the average debt on entry for its hardship customers was $2138 for electricity and $692 for its gas—an increase of $327 for electricity and a decrease of $803 for gas. For the same period, the average debt of EnergyAustralia’s ACT hardship customers was lower for electricity at $1656, and significantly higher for gas, at $2199. </w:t>
      </w:r>
    </w:p>
    <w:p w:rsidR="004E6D5B" w:rsidRDefault="004E6D5B" w:rsidP="004E6D5B">
      <w:pPr>
        <w:pStyle w:val="AERbodytext"/>
      </w:pPr>
      <w:r w:rsidRPr="004E6D5B">
        <w:rPr>
          <w:lang w:eastAsia="en-AU"/>
        </w:rPr>
        <w:t>In Tasmania, Aurora reported an average debt on entry of $2353 for residential electricity customers, up slightly from $2178 last quarter. However, Aurora’s electricity hardship customers had an average debt of $1927, which is both lower than the debt on entry for the quarter, and a slight decrease from last quarter.</w:t>
      </w:r>
    </w:p>
    <w:p w:rsidR="00D05486" w:rsidRPr="00733CF8" w:rsidRDefault="00D05486" w:rsidP="009530EB">
      <w:pPr>
        <w:pStyle w:val="Caption"/>
        <w:rPr>
          <w:rStyle w:val="AERbody"/>
        </w:rPr>
      </w:pPr>
      <w:r w:rsidRPr="00733CF8">
        <w:rPr>
          <w:rStyle w:val="AERbody"/>
        </w:rPr>
        <w:t>Figure 10: Average debt of customers who entered the hardship program—by retailer</w:t>
      </w:r>
    </w:p>
    <w:p w:rsidR="00D05486" w:rsidRPr="00583F24" w:rsidRDefault="00301B93" w:rsidP="00583F24">
      <w:pPr>
        <w:pStyle w:val="AERbodytext"/>
        <w:rPr>
          <w:rStyle w:val="AERbody"/>
        </w:rPr>
      </w:pPr>
      <w:r w:rsidRPr="00301B93">
        <w:rPr>
          <w:rStyle w:val="AERbody"/>
        </w:rPr>
        <w:pict>
          <v:shape id="_x0000_i1034" type="#_x0000_t75" style="width:450.45pt;height:335.25pt">
            <v:imagedata r:id="rId19" o:title=""/>
          </v:shape>
        </w:pict>
      </w:r>
    </w:p>
    <w:p w:rsidR="004E6D5B" w:rsidRDefault="004E6D5B" w:rsidP="00583F24">
      <w:pPr>
        <w:pStyle w:val="AERbodytext"/>
        <w:rPr>
          <w:rStyle w:val="AERbody"/>
        </w:rPr>
      </w:pPr>
      <w:r w:rsidRPr="004E6D5B">
        <w:lastRenderedPageBreak/>
        <w:t>The average bill debt on entry to a hardship program compared with the average bill debt of all customers on that hardship program may indicate the effectiveness of the program in assisting customers to reduce their debt. For example, if the average debt of all customers is less than the average debt on entry, it may suggest the program has helped customers.</w:t>
      </w:r>
    </w:p>
    <w:p w:rsidR="00733CF8" w:rsidRDefault="00733CF8" w:rsidP="009530EB">
      <w:pPr>
        <w:pStyle w:val="Caption"/>
      </w:pPr>
      <w:r w:rsidRPr="00733CF8">
        <w:t>Figure 11: Average debt of hardship program customers—by retailer</w:t>
      </w:r>
    </w:p>
    <w:p w:rsidR="00733CF8" w:rsidRPr="00733CF8" w:rsidRDefault="00D5675B" w:rsidP="00733CF8">
      <w:pPr>
        <w:pStyle w:val="AERbodytext"/>
      </w:pPr>
      <w:r w:rsidRPr="004E6D5B">
        <w:pict>
          <v:shape id="_x0000_i1035" type="#_x0000_t75" alt="Figure 11 shows the average debt of hardship customers participating in ActewAGL’s hardship program was $1101 for electricity customers and $3517 for gas customers.&#10;&#10;For the same period, the average debt of EnergyAustralia’s ACT hardship customers was $1656 for electricity and $2199 for gas. &#10;&#10;In Tasmania, Aurora’s electricity hardship customers had an average debt of $1927 which is a slight decrease from last quarter." style="width:451pt;height:351.95pt">
            <v:imagedata r:id="rId20" o:title=""/>
          </v:shape>
        </w:pict>
      </w:r>
    </w:p>
    <w:p w:rsidR="00733CF8" w:rsidRPr="00733CF8" w:rsidRDefault="00733CF8" w:rsidP="00733CF8">
      <w:pPr>
        <w:pStyle w:val="Heading3"/>
        <w:rPr>
          <w:lang w:eastAsia="en-AU"/>
        </w:rPr>
      </w:pPr>
      <w:bookmarkStart w:id="15" w:name="_Toc352247360"/>
      <w:r w:rsidRPr="00733CF8">
        <w:rPr>
          <w:lang w:eastAsia="en-AU"/>
        </w:rPr>
        <w:t>Customers exiting hardship programs</w:t>
      </w:r>
      <w:bookmarkEnd w:id="15"/>
      <w:r w:rsidRPr="00733CF8">
        <w:rPr>
          <w:lang w:eastAsia="en-AU"/>
        </w:rPr>
        <w:t xml:space="preserve"> </w:t>
      </w:r>
    </w:p>
    <w:p w:rsidR="00B86770" w:rsidRPr="00B86770" w:rsidRDefault="00B86770" w:rsidP="00B86770">
      <w:pPr>
        <w:rPr>
          <w:lang w:eastAsia="en-AU"/>
        </w:rPr>
      </w:pPr>
      <w:r w:rsidRPr="00B86770">
        <w:rPr>
          <w:lang w:eastAsia="en-AU"/>
        </w:rPr>
        <w:t xml:space="preserve">Retailers report the number of customers exiting their hardship programs for each of the following reasons: </w:t>
      </w:r>
    </w:p>
    <w:p w:rsidR="00B86770" w:rsidRPr="00B86770" w:rsidRDefault="00B86770" w:rsidP="00B86770">
      <w:pPr>
        <w:pStyle w:val="AERbulletlistfirststyle"/>
      </w:pPr>
      <w:r w:rsidRPr="00B86770">
        <w:t xml:space="preserve">customers who successfully completed the program or exited with the agreement of the retailer </w:t>
      </w:r>
    </w:p>
    <w:p w:rsidR="00B86770" w:rsidRPr="00B86770" w:rsidRDefault="00B86770" w:rsidP="00301B93">
      <w:pPr>
        <w:pStyle w:val="AERbulletlistfirststyle"/>
      </w:pPr>
      <w:r w:rsidRPr="00B86770">
        <w:t xml:space="preserve">customers who were excluded or removed from the program for not meeting the program’s commitments (this also includes hardship program customers who leave the program because they feel they are not able to meet the program requirements or payments requested by the retailer), and </w:t>
      </w:r>
    </w:p>
    <w:p w:rsidR="00B86770" w:rsidRPr="00B86770" w:rsidRDefault="00B86770" w:rsidP="00B86770">
      <w:pPr>
        <w:pStyle w:val="AERbulletlistfirststyle"/>
      </w:pPr>
      <w:r w:rsidRPr="00B86770">
        <w:t xml:space="preserve">customers who transferred, switched or left the retailer. </w:t>
      </w:r>
    </w:p>
    <w:p w:rsidR="00B86770" w:rsidRPr="00B86770" w:rsidRDefault="00B86770" w:rsidP="00B86770">
      <w:pPr>
        <w:rPr>
          <w:lang w:eastAsia="en-AU"/>
        </w:rPr>
      </w:pPr>
      <w:r w:rsidRPr="00B86770">
        <w:rPr>
          <w:lang w:eastAsia="en-AU"/>
        </w:rPr>
        <w:t xml:space="preserve">Higher levels of customers successfully completing a retailer’s hardship program may indicate the program has been effective in reducing customer debts. Conversely, higher levels of customers excluded or removed from the program for not meeting their commitments may suggest a hardship program that is less effectively helping customers to manage their energy bills. </w:t>
      </w:r>
    </w:p>
    <w:p w:rsidR="00B86770" w:rsidRPr="00B86770" w:rsidRDefault="00B86770" w:rsidP="00B86770">
      <w:pPr>
        <w:rPr>
          <w:lang w:eastAsia="en-AU"/>
        </w:rPr>
      </w:pPr>
      <w:r w:rsidRPr="00B86770">
        <w:rPr>
          <w:lang w:eastAsia="en-AU"/>
        </w:rPr>
        <w:lastRenderedPageBreak/>
        <w:t xml:space="preserve">Of the electricity customers who exited ActewAGL’s hardship program during the December quarter, 22 customers exited after successfully completing the program; 29 were excluded and another 25 transferred or left ActewAGL. Of its gas hardship customers, three successfully exited the program, 11 were excluded and another four exited because they transferred or left ActewAGL. </w:t>
      </w:r>
    </w:p>
    <w:p w:rsidR="00B86770" w:rsidRPr="00B86770" w:rsidRDefault="00B86770" w:rsidP="00B86770">
      <w:pPr>
        <w:rPr>
          <w:lang w:eastAsia="en-AU"/>
        </w:rPr>
      </w:pPr>
      <w:r w:rsidRPr="00B86770">
        <w:rPr>
          <w:lang w:eastAsia="en-AU"/>
        </w:rPr>
        <w:t xml:space="preserve">Of the electricity customers exiting EnergyAustralia’s hardship program during the December quarter, four successfully completed the hardship program while the other four were excluded. Of its gas hardship program customers, two customers successfully completed the program and four were excluded. </w:t>
      </w:r>
    </w:p>
    <w:p w:rsidR="00B86770" w:rsidRPr="00B86770" w:rsidRDefault="00B86770" w:rsidP="00B86770">
      <w:pPr>
        <w:rPr>
          <w:lang w:eastAsia="en-AU"/>
        </w:rPr>
      </w:pPr>
      <w:r w:rsidRPr="00B86770">
        <w:rPr>
          <w:lang w:eastAsia="en-AU"/>
        </w:rPr>
        <w:t xml:space="preserve">In Tasmania, Aurora reported 30 customers exited its hardship program during the quarter—four exited after successfully completing the program, 23 were excluded and three transferred or left. </w:t>
      </w:r>
    </w:p>
    <w:p w:rsidR="00B86770" w:rsidRDefault="00B86770" w:rsidP="00B86770">
      <w:pPr>
        <w:pStyle w:val="AERbodytext"/>
      </w:pPr>
      <w:r w:rsidRPr="00B86770">
        <w:rPr>
          <w:lang w:eastAsia="en-AU"/>
        </w:rPr>
        <w:t>No hardship program customers were disconnected in the ACT or Tasmania during the quarter.</w:t>
      </w:r>
    </w:p>
    <w:p w:rsidR="00733CF8" w:rsidRPr="00733CF8" w:rsidRDefault="00733CF8" w:rsidP="00733CF8">
      <w:pPr>
        <w:pStyle w:val="Heading2"/>
        <w:rPr>
          <w:lang w:eastAsia="en-AU"/>
        </w:rPr>
      </w:pPr>
      <w:bookmarkStart w:id="16" w:name="_Toc352247361"/>
      <w:r w:rsidRPr="00733CF8">
        <w:rPr>
          <w:lang w:eastAsia="en-AU"/>
        </w:rPr>
        <w:t>Disconnections and reconnections</w:t>
      </w:r>
      <w:bookmarkEnd w:id="16"/>
      <w:r w:rsidRPr="00733CF8">
        <w:rPr>
          <w:lang w:eastAsia="en-AU"/>
        </w:rPr>
        <w:t xml:space="preserve"> </w:t>
      </w:r>
    </w:p>
    <w:p w:rsidR="00733CF8" w:rsidRPr="00985ECD" w:rsidRDefault="00733CF8" w:rsidP="00985ECD">
      <w:pPr>
        <w:pStyle w:val="Heading3"/>
      </w:pPr>
      <w:bookmarkStart w:id="17" w:name="_Toc352247362"/>
      <w:r w:rsidRPr="00985ECD">
        <w:t>Residential customers</w:t>
      </w:r>
      <w:bookmarkEnd w:id="17"/>
      <w:r w:rsidRPr="00985ECD">
        <w:t xml:space="preserve"> </w:t>
      </w:r>
    </w:p>
    <w:p w:rsidR="00B86770" w:rsidRPr="00B86770" w:rsidRDefault="00B86770" w:rsidP="00B86770">
      <w:pPr>
        <w:rPr>
          <w:lang w:eastAsia="en-AU"/>
        </w:rPr>
      </w:pPr>
      <w:r w:rsidRPr="00B86770">
        <w:rPr>
          <w:lang w:eastAsia="en-AU"/>
        </w:rPr>
        <w:t>A general principle of the Retail Law is that disconnection of a customer due to hardship or an inability to pay their energy bills should be a last resort. A disconnection of such customers may only occur when a retailer has genuinely exhausted all of its obligations to assist a customer to manage their energy bill debt.</w:t>
      </w:r>
      <w:r w:rsidR="000C5DFB">
        <w:rPr>
          <w:rStyle w:val="FootnoteReference"/>
          <w:lang w:eastAsia="en-AU"/>
        </w:rPr>
        <w:footnoteReference w:id="5"/>
      </w:r>
      <w:r w:rsidRPr="00B86770">
        <w:rPr>
          <w:lang w:eastAsia="en-AU"/>
        </w:rPr>
        <w:t xml:space="preserve"> </w:t>
      </w:r>
    </w:p>
    <w:p w:rsidR="00B86770" w:rsidRPr="00B86770" w:rsidRDefault="00B86770" w:rsidP="00B86770">
      <w:pPr>
        <w:rPr>
          <w:lang w:eastAsia="en-AU"/>
        </w:rPr>
      </w:pPr>
      <w:r w:rsidRPr="00B86770">
        <w:rPr>
          <w:lang w:eastAsia="en-AU"/>
        </w:rPr>
        <w:t>In the ACT, 582 residential gas customers were disconnected during the December quarter. This is notably higher than the September quarter, when 325</w:t>
      </w:r>
      <w:r>
        <w:t xml:space="preserve"> </w:t>
      </w:r>
      <w:r w:rsidRPr="00B86770">
        <w:rPr>
          <w:lang w:eastAsia="en-AU"/>
        </w:rPr>
        <w:t>customers were disconnected. This higher level of disconnections is largely consistent with di</w:t>
      </w:r>
      <w:r w:rsidR="000C5DFB">
        <w:rPr>
          <w:lang w:eastAsia="en-AU"/>
        </w:rPr>
        <w:t>sconnection levels for 2011–12.</w:t>
      </w:r>
      <w:r w:rsidR="000C5DFB">
        <w:rPr>
          <w:rStyle w:val="FootnoteReference"/>
          <w:lang w:eastAsia="en-AU"/>
        </w:rPr>
        <w:footnoteReference w:id="6"/>
      </w:r>
      <w:r w:rsidRPr="00B86770">
        <w:rPr>
          <w:lang w:eastAsia="en-AU"/>
        </w:rPr>
        <w:t xml:space="preserve"> </w:t>
      </w:r>
    </w:p>
    <w:p w:rsidR="00B86770" w:rsidRDefault="00B86770" w:rsidP="00B86770">
      <w:pPr>
        <w:pStyle w:val="AERbodytext"/>
        <w:rPr>
          <w:lang w:eastAsia="en-AU"/>
        </w:rPr>
      </w:pPr>
      <w:r w:rsidRPr="00B86770">
        <w:rPr>
          <w:lang w:eastAsia="en-AU"/>
        </w:rPr>
        <w:t>ActewAGL and EnergyAustralia, the two largest retailers supplying electricity to residential customers in the ACT, did not report any electricity disconnections for the quarter. In Tasmania, Aurora reported 226 residential electricity disconnections during the quarter. This represents an increase of around 45 per cent (up from 156) over the previous quarter and an increase on 2011–12 figures. Despite this increase, electricity disconnections are still generally lower than in previous years.</w:t>
      </w:r>
    </w:p>
    <w:p w:rsidR="00733CF8" w:rsidRDefault="00D425F6" w:rsidP="009530EB">
      <w:pPr>
        <w:pStyle w:val="Caption"/>
      </w:pPr>
      <w:r w:rsidRPr="00D425F6">
        <w:rPr>
          <w:lang w:eastAsia="en-AU"/>
        </w:rPr>
        <w:lastRenderedPageBreak/>
        <w:t>Figure 12: Residential customers disconnected for non-payment—by jurisdiction</w:t>
      </w:r>
    </w:p>
    <w:p w:rsidR="00D425F6" w:rsidRDefault="00924461" w:rsidP="00D425F6">
      <w:pPr>
        <w:pStyle w:val="AERbodytext"/>
      </w:pPr>
      <w:r w:rsidRPr="00B86770">
        <w:pict>
          <v:shape id="_x0000_i1036" type="#_x0000_t75" alt="Figure 12: Residential customers disconnected for non-payment—by jurisdiction&#10;&#10;In the ACT, 0 (down from 14 in Q1) electricity and 582 (up from 325 in Q1) gas customers were disconnected during the October to December period, equating to 0 in every 100 electricity customers and 0.5 in every 100 gas customers. &#10;&#10;In Tasmania, Aurora reported 226 (up from 156 in Q1) residential electricity disconnections during the quarter (almost 0.1 per 100 customers)&#10;" style="width:450.45pt;height:329.45pt">
            <v:imagedata r:id="rId21" o:title=""/>
          </v:shape>
        </w:pict>
      </w:r>
    </w:p>
    <w:p w:rsidR="00D425F6" w:rsidRDefault="00D425F6" w:rsidP="009530EB">
      <w:pPr>
        <w:pStyle w:val="Caption"/>
      </w:pPr>
      <w:r w:rsidRPr="00D425F6">
        <w:lastRenderedPageBreak/>
        <w:t>Figure 13: Residential electricity customers disconnected for non-payment over time</w:t>
      </w:r>
    </w:p>
    <w:p w:rsidR="00D425F6" w:rsidRDefault="00FE285C" w:rsidP="00D425F6">
      <w:pPr>
        <w:pStyle w:val="AERbodytext"/>
      </w:pPr>
      <w:r w:rsidRPr="00B86770">
        <w:pict>
          <v:shape id="_x0000_i1037" type="#_x0000_t75" alt="Figure 13: Residential electricity customers disconnected for non-payment over time&#10;&#10;During 2011–12, 420 electricity disconnections were reported in the ACT (around 105 each quarter prorated) and 2377 gas disconnections (approximately 594 each quarter).&#10;&#10;Tasmania report 178 electricity disconnections in 2011-12." style="width:449.85pt;height:354.25pt">
            <v:imagedata r:id="rId22" o:title=""/>
          </v:shape>
        </w:pict>
      </w:r>
    </w:p>
    <w:p w:rsidR="00985ECD" w:rsidRPr="00985ECD" w:rsidRDefault="00D04389" w:rsidP="00985ECD">
      <w:pPr>
        <w:rPr>
          <w:lang w:eastAsia="en-AU"/>
        </w:rPr>
      </w:pPr>
      <w:r w:rsidRPr="00D04389">
        <w:t>In the ACT, ActewAGL reconnected two electricity customers in the same name and address although</w:t>
      </w:r>
      <w:r>
        <w:t xml:space="preserve"> </w:t>
      </w:r>
      <w:r w:rsidR="00985ECD" w:rsidRPr="00985ECD">
        <w:rPr>
          <w:lang w:eastAsia="en-AU"/>
        </w:rPr>
        <w:t>neither of these were reconnected within seven days.</w:t>
      </w:r>
      <w:r w:rsidR="000C5DFB">
        <w:rPr>
          <w:rStyle w:val="FootnoteReference"/>
          <w:lang w:eastAsia="en-AU"/>
        </w:rPr>
        <w:footnoteReference w:id="7"/>
      </w:r>
      <w:r w:rsidR="00985ECD" w:rsidRPr="00985ECD">
        <w:rPr>
          <w:lang w:eastAsia="en-AU"/>
        </w:rPr>
        <w:t xml:space="preserve"> For gas, 326 residential gas customers were reconnected in the same name and address (up from 213 in the previous quarter)—280 of these were within seven days (or 86 per cent). EnergyAustralia reconnected one electricity customer, but not within seven days of the disconnection. EnergyAustralia did not report reconnecting any gas customers during the quarter. </w:t>
      </w:r>
    </w:p>
    <w:p w:rsidR="00D04389" w:rsidRDefault="00985ECD" w:rsidP="00985ECD">
      <w:pPr>
        <w:pStyle w:val="AERbodytext"/>
        <w:rPr>
          <w:lang w:eastAsia="en-AU"/>
        </w:rPr>
      </w:pPr>
      <w:r w:rsidRPr="00985ECD">
        <w:rPr>
          <w:lang w:eastAsia="en-AU"/>
        </w:rPr>
        <w:t>In Tasmania, Aurora reconnected 62 customers within seven days out of a total of 79 customers reconnected (or 78 per cent).</w:t>
      </w:r>
    </w:p>
    <w:p w:rsidR="00D425F6" w:rsidRPr="00985ECD" w:rsidRDefault="00D425F6" w:rsidP="00985ECD">
      <w:pPr>
        <w:pStyle w:val="Heading3"/>
      </w:pPr>
      <w:bookmarkStart w:id="18" w:name="_Toc352247363"/>
      <w:r w:rsidRPr="00985ECD">
        <w:t>Small business customers</w:t>
      </w:r>
      <w:bookmarkEnd w:id="18"/>
      <w:r w:rsidRPr="00985ECD">
        <w:t xml:space="preserve"> </w:t>
      </w:r>
    </w:p>
    <w:p w:rsidR="00985ECD" w:rsidRPr="00985ECD" w:rsidRDefault="00985ECD" w:rsidP="00985ECD">
      <w:pPr>
        <w:rPr>
          <w:lang w:eastAsia="en-AU"/>
        </w:rPr>
      </w:pPr>
      <w:r w:rsidRPr="00985ECD">
        <w:rPr>
          <w:lang w:eastAsia="en-AU"/>
        </w:rPr>
        <w:t xml:space="preserve">ActewAGL did not disconnect any small business electricity customers in the ACT during the quarter, but it did report disconnecting 10 small business gas customers for non-payment, three more than in the previous quarter. Of these customers, two were reconnected in the same name and address within seven days of being disconnected. EnergyAustralia did not report any small business customer disconnections for gas or electricity. </w:t>
      </w:r>
    </w:p>
    <w:p w:rsidR="00D425F6" w:rsidRPr="00D425F6" w:rsidRDefault="00D425F6" w:rsidP="00D425F6">
      <w:pPr>
        <w:pStyle w:val="Heading2"/>
      </w:pPr>
      <w:bookmarkStart w:id="19" w:name="_Toc352247364"/>
      <w:r w:rsidRPr="00D425F6">
        <w:lastRenderedPageBreak/>
        <w:t>Complaints</w:t>
      </w:r>
      <w:bookmarkEnd w:id="19"/>
      <w:r w:rsidRPr="00D425F6">
        <w:t xml:space="preserve"> </w:t>
      </w:r>
    </w:p>
    <w:p w:rsidR="00985ECD" w:rsidRDefault="00985ECD" w:rsidP="00D425F6">
      <w:pPr>
        <w:pStyle w:val="AERbodytext"/>
      </w:pPr>
      <w:r w:rsidRPr="00985ECD">
        <w:t xml:space="preserve">Customer complaints can give an indication of customer satisfaction and how well retailers are managing aspects of their service delivery. </w:t>
      </w:r>
    </w:p>
    <w:p w:rsidR="00985ECD" w:rsidRPr="00985ECD" w:rsidRDefault="00985ECD" w:rsidP="00985ECD">
      <w:pPr>
        <w:rPr>
          <w:lang w:eastAsia="en-AU"/>
        </w:rPr>
      </w:pPr>
      <w:r w:rsidRPr="00985ECD">
        <w:rPr>
          <w:lang w:eastAsia="en-AU"/>
        </w:rPr>
        <w:t xml:space="preserve">Energy retailers are required to report the number of small customer complaints they receive in each of these categories: </w:t>
      </w:r>
    </w:p>
    <w:p w:rsidR="00985ECD" w:rsidRPr="00985ECD" w:rsidRDefault="00985ECD" w:rsidP="00985ECD">
      <w:pPr>
        <w:pStyle w:val="AERbulletlistfirststyle"/>
      </w:pPr>
      <w:r w:rsidRPr="00985ECD">
        <w:t xml:space="preserve">Billing complaints—includes complaints about prices, billing errors, payment arrangements, debt recovery practices and disconnections. </w:t>
      </w:r>
    </w:p>
    <w:p w:rsidR="00985ECD" w:rsidRPr="00985ECD" w:rsidRDefault="00985ECD" w:rsidP="00985ECD">
      <w:pPr>
        <w:pStyle w:val="AERbulletlistfirststyle"/>
      </w:pPr>
      <w:r w:rsidRPr="00985ECD">
        <w:t xml:space="preserve">Energy marketing complaints—includes complaints about sales practices, advertising, contract terms, sales techniques and misleading conduct. </w:t>
      </w:r>
    </w:p>
    <w:p w:rsidR="00985ECD" w:rsidRPr="00985ECD" w:rsidRDefault="00985ECD" w:rsidP="00985ECD">
      <w:pPr>
        <w:pStyle w:val="AERbulletlistfirststyle"/>
      </w:pPr>
      <w:r w:rsidRPr="00985ECD">
        <w:t xml:space="preserve">Customer transfer complaints—includes complaints about timeliness of a transfer, disruption of supply due to transfer and billing problems directly associated with a transfer. </w:t>
      </w:r>
    </w:p>
    <w:p w:rsidR="00985ECD" w:rsidRDefault="00333274" w:rsidP="00985ECD">
      <w:pPr>
        <w:pStyle w:val="AERbulletlistfirststyle"/>
      </w:pPr>
      <w:r w:rsidRPr="00985ECD">
        <w:t>Other complaints—include</w:t>
      </w:r>
      <w:r w:rsidR="00985ECD" w:rsidRPr="00985ECD">
        <w:t xml:space="preserve"> any other complaint, such as complaints about customer service, privacy issues, failure to respond to complaints, and health and safety issues. </w:t>
      </w:r>
    </w:p>
    <w:p w:rsidR="00D425F6" w:rsidRDefault="00D425F6" w:rsidP="00985ECD">
      <w:pPr>
        <w:pStyle w:val="Heading3"/>
        <w:rPr>
          <w:lang w:eastAsia="en-AU"/>
        </w:rPr>
      </w:pPr>
      <w:bookmarkStart w:id="20" w:name="_Toc352247365"/>
      <w:r>
        <w:rPr>
          <w:lang w:eastAsia="en-AU"/>
        </w:rPr>
        <w:t>Residential customer complaints</w:t>
      </w:r>
      <w:bookmarkEnd w:id="20"/>
    </w:p>
    <w:p w:rsidR="00CF0E88" w:rsidRPr="00CF0E88" w:rsidRDefault="00CF0E88" w:rsidP="00CF0E88">
      <w:pPr>
        <w:rPr>
          <w:lang w:eastAsia="en-AU"/>
        </w:rPr>
      </w:pPr>
      <w:r w:rsidRPr="00CF0E88">
        <w:rPr>
          <w:lang w:eastAsia="en-AU"/>
        </w:rPr>
        <w:t xml:space="preserve">ACT retailers reported a total of 716 complaints by residential customers for the December quarter, which represents an increase of 34 per cent. The majority of complaints were in relation to billing. Customer transfers comprised 20.7 per cent of complaints (a threefold increase from the previous quarter), and only a very small proportion of complaints were in relation to energy marketing. The remaining 18.9 per cent were recorded in the ‘other’ category. See Figure 14. </w:t>
      </w:r>
    </w:p>
    <w:p w:rsidR="00246E9B" w:rsidRPr="00D425F6" w:rsidRDefault="00CF0E88" w:rsidP="00CF0E88">
      <w:pPr>
        <w:pStyle w:val="AERbodytext"/>
        <w:rPr>
          <w:lang w:eastAsia="en-AU"/>
        </w:rPr>
      </w:pPr>
      <w:r w:rsidRPr="00CF0E88">
        <w:rPr>
          <w:lang w:eastAsia="en-AU"/>
        </w:rPr>
        <w:t>Residential electricity customers in Tasmania made 94 complaints to Aurora during the December quarter which is a modest fall from the previous quarter (125 complaints). Billing complaints represented the majority (86.2 per cent) of all complaints made. Marketing complaints, which includes misleading conduct and contract terms, comprised the remainder of complaints made (13.8 per cent).</w:t>
      </w:r>
    </w:p>
    <w:p w:rsidR="00D425F6" w:rsidRDefault="00D425F6" w:rsidP="009530EB">
      <w:pPr>
        <w:pStyle w:val="Caption"/>
      </w:pPr>
      <w:r w:rsidRPr="00D425F6">
        <w:rPr>
          <w:lang w:eastAsia="en-AU"/>
        </w:rPr>
        <w:lastRenderedPageBreak/>
        <w:t>Figure 15: Residential customer complaints—by jurisdiction</w:t>
      </w:r>
    </w:p>
    <w:p w:rsidR="00246E9B" w:rsidRDefault="00FE285C" w:rsidP="00246E9B">
      <w:pPr>
        <w:pStyle w:val="AERbodytext"/>
        <w:numPr>
          <w:ilvl w:val="0"/>
          <w:numId w:val="0"/>
        </w:numPr>
      </w:pPr>
      <w:r w:rsidRPr="00CF0E88">
        <w:pict>
          <v:shape id="_x0000_i1038" type="#_x0000_t75" alt="ACT retailers reported a total of 716 complaints by residential customers (0.3 per 100) for the December quarter, which represents an increase of 34 per cent. The majority of complaints (59.1 per cent) were in relation to billing. Customer transfers comprised 20.7 per cent of complaints (a threefold increase from the previous quarter), and only a very small proportion of complaints were in relation to energy marketing (1.4 per cent). The remaining 18.9 per cent were recorded in the ‘other’ category. &#10;&#10;Residential electricity customers in Tasmania made 94 complaints to Aurora during the December quarter (0.04 complaints per 100 customers) which is a modest fall from the previous quarter (125 complaints). Billing complaints represented the majority (86.2 per cent) of all complaints made. Marketing complaints, which includes misleading conduct and contract terms, comprised the remainder of complaints made (13.8 per cent). &#10;&#10;" style="width:451pt;height:316.2pt">
            <v:imagedata r:id="rId23" o:title=""/>
          </v:shape>
        </w:pict>
      </w:r>
    </w:p>
    <w:p w:rsidR="00246E9B" w:rsidRPr="00246E9B" w:rsidRDefault="00246E9B" w:rsidP="00246E9B">
      <w:pPr>
        <w:pStyle w:val="Heading3"/>
        <w:numPr>
          <w:ilvl w:val="0"/>
          <w:numId w:val="0"/>
        </w:numPr>
        <w:rPr>
          <w:lang w:eastAsia="en-AU"/>
        </w:rPr>
      </w:pPr>
      <w:bookmarkStart w:id="21" w:name="_Toc352247366"/>
      <w:r w:rsidRPr="00246E9B">
        <w:rPr>
          <w:lang w:eastAsia="en-AU"/>
        </w:rPr>
        <w:t>Small business customer complaints</w:t>
      </w:r>
      <w:bookmarkEnd w:id="21"/>
      <w:r w:rsidRPr="00246E9B">
        <w:rPr>
          <w:lang w:eastAsia="en-AU"/>
        </w:rPr>
        <w:t xml:space="preserve"> </w:t>
      </w:r>
    </w:p>
    <w:p w:rsidR="00CF0E88" w:rsidRPr="00CF0E88" w:rsidRDefault="00CF0E88" w:rsidP="00CF0E88">
      <w:pPr>
        <w:rPr>
          <w:lang w:eastAsia="en-AU"/>
        </w:rPr>
      </w:pPr>
      <w:r w:rsidRPr="00CF0E88">
        <w:rPr>
          <w:lang w:eastAsia="en-AU"/>
        </w:rPr>
        <w:t xml:space="preserve">Small business customers in the ACT reported relatively few complaints to their retailers—31 complaints during the December quarter. The majority of these complaints were in relation to billing (74.2 per cent). Transfers accounted for 9.7 per cent, marketing for 3.2 per cent, and “other”, for 12.9 per cent. See Figure 15 </w:t>
      </w:r>
    </w:p>
    <w:p w:rsidR="00CF0E88" w:rsidRDefault="00CF0E88" w:rsidP="00CF0E88">
      <w:pPr>
        <w:pStyle w:val="AERbodytext"/>
      </w:pPr>
      <w:r w:rsidRPr="00CF0E88">
        <w:rPr>
          <w:lang w:eastAsia="en-AU"/>
        </w:rPr>
        <w:t>In Tasmania, only five small business complaints were reported during the period (and all of these were billing complaints). This may be explained by the lack of marketing and customer transfer options in Tasmania with Aurora being the only retailer.</w:t>
      </w:r>
    </w:p>
    <w:p w:rsidR="00246E9B" w:rsidRDefault="00246E9B" w:rsidP="00A70F43">
      <w:pPr>
        <w:pStyle w:val="Caption"/>
      </w:pPr>
      <w:r w:rsidRPr="00246E9B">
        <w:rPr>
          <w:lang w:eastAsia="en-AU"/>
        </w:rPr>
        <w:lastRenderedPageBreak/>
        <w:t>Figure 16: Small business customer complaints—by jurisdiction</w:t>
      </w:r>
    </w:p>
    <w:p w:rsidR="00A70F43" w:rsidRDefault="00243BCE" w:rsidP="00A70F43">
      <w:pPr>
        <w:pStyle w:val="AERbodytext"/>
        <w:numPr>
          <w:ilvl w:val="0"/>
          <w:numId w:val="0"/>
        </w:numPr>
      </w:pPr>
      <w:r w:rsidRPr="00CF0E88">
        <w:pict>
          <v:shape id="_x0000_i1039" type="#_x0000_t75" alt="Figure 16 also shows the number of complaints made by small business customers in the ACT reported relatively few complaints to their retailers─31 complaints (0.2 per 100 customers) during the December quarter. The clear majority of these complaints were in relation to billing (74.2 per cent). Transfers accounted for 9.7 per cent, marketing for 3.2 per cent, and other, for 12.9 per cent.&#10;&#10;In Tasmania, only five small business complaints were reported during the period (0.014 complaints per 100 customers) and all of these were billing complaints." style="width:451pt;height:315.65pt">
            <v:imagedata r:id="rId24" o:title=""/>
          </v:shape>
        </w:pict>
      </w:r>
    </w:p>
    <w:p w:rsidR="00246E9B" w:rsidRPr="00246E9B" w:rsidRDefault="00246E9B" w:rsidP="00246E9B">
      <w:pPr>
        <w:pStyle w:val="Heading2"/>
        <w:rPr>
          <w:lang w:eastAsia="en-AU"/>
        </w:rPr>
      </w:pPr>
      <w:bookmarkStart w:id="22" w:name="_Toc352247367"/>
      <w:r w:rsidRPr="00246E9B">
        <w:rPr>
          <w:lang w:eastAsia="en-AU"/>
        </w:rPr>
        <w:t>Prepayment meters</w:t>
      </w:r>
      <w:bookmarkEnd w:id="22"/>
      <w:r w:rsidRPr="00246E9B">
        <w:rPr>
          <w:lang w:eastAsia="en-AU"/>
        </w:rPr>
        <w:t xml:space="preserve"> </w:t>
      </w:r>
    </w:p>
    <w:p w:rsidR="00CF0E88" w:rsidRPr="00CF0E88" w:rsidRDefault="00CF0E88" w:rsidP="00CF0E88">
      <w:pPr>
        <w:rPr>
          <w:lang w:eastAsia="en-AU"/>
        </w:rPr>
      </w:pPr>
      <w:r w:rsidRPr="00CF0E88">
        <w:rPr>
          <w:lang w:eastAsia="en-AU"/>
        </w:rPr>
        <w:t xml:space="preserve">The Retail Rules require the AER to report on the number of customers using prepayment meter systems, self-disconnections and the number of prepayment meters removed due to payment difficulties. </w:t>
      </w:r>
    </w:p>
    <w:p w:rsidR="00CF0E88" w:rsidRPr="00CF0E88" w:rsidRDefault="00CF0E88" w:rsidP="00CF0E88">
      <w:pPr>
        <w:rPr>
          <w:lang w:eastAsia="en-AU"/>
        </w:rPr>
      </w:pPr>
      <w:r w:rsidRPr="00CF0E88">
        <w:rPr>
          <w:lang w:eastAsia="en-AU"/>
        </w:rPr>
        <w:t xml:space="preserve">Aurora was the only retailer to report customers using prepayment meters—34 343 residential electricity customers (around 15 per cent) at the end of December. This is a small decrease of 389 customers since September, continuing the downward trend observed by the Office of the Tasmanian Economic Regulator (OTTER) over recent years. The OTTER reports show the number of prepayment meter customers peaked in January 2008 at around 40 000, and has been steadily declining ever since. </w:t>
      </w:r>
    </w:p>
    <w:p w:rsidR="00694558" w:rsidRDefault="00CF0E88" w:rsidP="00694558">
      <w:pPr>
        <w:pStyle w:val="AERbodytext"/>
      </w:pPr>
      <w:r w:rsidRPr="00CF0E88">
        <w:rPr>
          <w:lang w:eastAsia="en-AU"/>
        </w:rPr>
        <w:t>The average duration of self-disconnection events for this period was 218 minutes. This has increased from 182 minutes as reported in the September quarter report.</w:t>
      </w:r>
    </w:p>
    <w:p w:rsidR="000C7A18" w:rsidRDefault="000C7A18" w:rsidP="00694558">
      <w:pPr>
        <w:pStyle w:val="AERbodytext"/>
      </w:pPr>
    </w:p>
    <w:p w:rsidR="000C7A18" w:rsidRPr="000C7A18" w:rsidRDefault="000C7A18" w:rsidP="000C7A18">
      <w:pPr>
        <w:pStyle w:val="AERbodytext"/>
        <w:numPr>
          <w:ilvl w:val="0"/>
          <w:numId w:val="0"/>
        </w:numPr>
        <w:sectPr w:rsidR="000C7A18" w:rsidRPr="000C7A18" w:rsidSect="0061694C">
          <w:footerReference w:type="default" r:id="rId25"/>
          <w:pgSz w:w="11906" w:h="16838"/>
          <w:pgMar w:top="1440" w:right="1440" w:bottom="1440" w:left="1440" w:header="708" w:footer="708" w:gutter="0"/>
          <w:cols w:space="708"/>
          <w:docGrid w:linePitch="360"/>
        </w:sectPr>
      </w:pPr>
    </w:p>
    <w:p w:rsidR="00982EC0" w:rsidRDefault="00694558" w:rsidP="00982EC0">
      <w:pPr>
        <w:pStyle w:val="UnnumberedHeading"/>
        <w:numPr>
          <w:ilvl w:val="0"/>
          <w:numId w:val="0"/>
        </w:numPr>
        <w:tabs>
          <w:tab w:val="num" w:pos="0"/>
        </w:tabs>
      </w:pPr>
      <w:bookmarkStart w:id="23" w:name="_Toc352247368"/>
      <w:r w:rsidRPr="00694558">
        <w:rPr>
          <w:rStyle w:val="AERbody"/>
          <w:color w:val="E36C0A"/>
          <w:sz w:val="36"/>
        </w:rPr>
        <w:lastRenderedPageBreak/>
        <w:t>Appendix 1 — Summary of data</w:t>
      </w:r>
      <w:bookmarkEnd w:id="23"/>
    </w:p>
    <w:tbl>
      <w:tblPr>
        <w:tblW w:w="12879" w:type="dxa"/>
        <w:tblInd w:w="9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3142"/>
        <w:gridCol w:w="1076"/>
        <w:gridCol w:w="928"/>
        <w:gridCol w:w="1076"/>
        <w:gridCol w:w="1273"/>
        <w:gridCol w:w="1075"/>
        <w:gridCol w:w="157"/>
        <w:gridCol w:w="918"/>
        <w:gridCol w:w="1075"/>
        <w:gridCol w:w="1075"/>
        <w:gridCol w:w="1069"/>
        <w:gridCol w:w="8"/>
        <w:gridCol w:w="7"/>
      </w:tblGrid>
      <w:tr w:rsidR="00982EC0" w:rsidRPr="004338D8" w:rsidTr="00982EC0">
        <w:trPr>
          <w:gridAfter w:val="1"/>
          <w:wAfter w:w="7" w:type="dxa"/>
          <w:trHeight w:val="255"/>
          <w:tblHeader/>
        </w:trPr>
        <w:tc>
          <w:tcPr>
            <w:tcW w:w="3142" w:type="dxa"/>
            <w:vMerge w:val="restart"/>
            <w:tcBorders>
              <w:top w:val="single" w:sz="12" w:space="0" w:color="auto"/>
              <w:left w:val="single" w:sz="12" w:space="0" w:color="auto"/>
              <w:right w:val="single" w:sz="12" w:space="0" w:color="auto"/>
            </w:tcBorders>
            <w:shd w:val="clear" w:color="auto" w:fill="auto"/>
            <w:noWrap/>
            <w:vAlign w:val="bottom"/>
            <w:hideMark/>
          </w:tcPr>
          <w:p w:rsidR="00982EC0" w:rsidRPr="00982EC0" w:rsidRDefault="00982EC0" w:rsidP="00982EC0">
            <w:pPr>
              <w:pStyle w:val="AERtabletextleft"/>
            </w:pPr>
          </w:p>
        </w:tc>
        <w:tc>
          <w:tcPr>
            <w:tcW w:w="2004" w:type="dxa"/>
            <w:gridSpan w:val="2"/>
            <w:vMerge w:val="restart"/>
            <w:tcBorders>
              <w:top w:val="single" w:sz="12" w:space="0" w:color="auto"/>
              <w:left w:val="single" w:sz="12" w:space="0" w:color="auto"/>
              <w:right w:val="single" w:sz="12" w:space="0" w:color="auto"/>
            </w:tcBorders>
            <w:vAlign w:val="center"/>
          </w:tcPr>
          <w:p w:rsidR="00982EC0" w:rsidRPr="00982EC0" w:rsidRDefault="00982EC0" w:rsidP="00982EC0">
            <w:pPr>
              <w:pStyle w:val="AERtabletextleft"/>
            </w:pPr>
            <w:r w:rsidRPr="00982EC0">
              <w:t>Data by jurisdiction</w:t>
            </w:r>
          </w:p>
        </w:tc>
        <w:tc>
          <w:tcPr>
            <w:tcW w:w="7726" w:type="dxa"/>
            <w:gridSpan w:val="9"/>
            <w:tcBorders>
              <w:top w:val="single" w:sz="12" w:space="0" w:color="auto"/>
              <w:left w:val="single" w:sz="12" w:space="0" w:color="auto"/>
              <w:right w:val="single" w:sz="12" w:space="0" w:color="auto"/>
            </w:tcBorders>
            <w:vAlign w:val="center"/>
          </w:tcPr>
          <w:p w:rsidR="00982EC0" w:rsidRPr="00982EC0" w:rsidRDefault="00982EC0" w:rsidP="00982EC0">
            <w:pPr>
              <w:pStyle w:val="AERtabletextleft"/>
            </w:pPr>
            <w:r w:rsidRPr="00982EC0">
              <w:t xml:space="preserve">                     Data by retailers</w:t>
            </w:r>
          </w:p>
        </w:tc>
      </w:tr>
      <w:tr w:rsidR="00982EC0" w:rsidRPr="004338D8" w:rsidTr="00982EC0">
        <w:trPr>
          <w:gridAfter w:val="1"/>
          <w:wAfter w:w="7" w:type="dxa"/>
          <w:trHeight w:val="255"/>
          <w:tblHeader/>
        </w:trPr>
        <w:tc>
          <w:tcPr>
            <w:tcW w:w="3142" w:type="dxa"/>
            <w:vMerge/>
            <w:tcBorders>
              <w:left w:val="single" w:sz="12" w:space="0" w:color="auto"/>
              <w:right w:val="single" w:sz="12" w:space="0" w:color="auto"/>
            </w:tcBorders>
            <w:shd w:val="clear" w:color="auto" w:fill="auto"/>
            <w:noWrap/>
            <w:vAlign w:val="bottom"/>
            <w:hideMark/>
          </w:tcPr>
          <w:p w:rsidR="00982EC0" w:rsidRPr="00982EC0" w:rsidRDefault="00982EC0" w:rsidP="00982EC0">
            <w:pPr>
              <w:pStyle w:val="AERtabletextleft"/>
            </w:pPr>
          </w:p>
        </w:tc>
        <w:tc>
          <w:tcPr>
            <w:tcW w:w="2004" w:type="dxa"/>
            <w:gridSpan w:val="2"/>
            <w:vMerge/>
            <w:tcBorders>
              <w:left w:val="single" w:sz="12" w:space="0" w:color="auto"/>
              <w:right w:val="single" w:sz="12" w:space="0" w:color="auto"/>
            </w:tcBorders>
            <w:vAlign w:val="center"/>
          </w:tcPr>
          <w:p w:rsidR="00982EC0" w:rsidRPr="00982EC0" w:rsidRDefault="00982EC0" w:rsidP="00982EC0">
            <w:pPr>
              <w:pStyle w:val="AERtabletextleft"/>
            </w:pPr>
          </w:p>
        </w:tc>
        <w:tc>
          <w:tcPr>
            <w:tcW w:w="1076" w:type="dxa"/>
            <w:tcBorders>
              <w:left w:val="single" w:sz="12" w:space="0" w:color="auto"/>
            </w:tcBorders>
            <w:shd w:val="clear" w:color="auto" w:fill="auto"/>
            <w:noWrap/>
            <w:vAlign w:val="center"/>
            <w:hideMark/>
          </w:tcPr>
          <w:p w:rsidR="00982EC0" w:rsidRPr="00982EC0" w:rsidRDefault="00982EC0" w:rsidP="00982EC0">
            <w:pPr>
              <w:pStyle w:val="AERtabletextleft"/>
            </w:pPr>
            <w:r w:rsidRPr="00982EC0">
              <w:t>TAS</w:t>
            </w:r>
          </w:p>
        </w:tc>
        <w:tc>
          <w:tcPr>
            <w:tcW w:w="6650" w:type="dxa"/>
            <w:gridSpan w:val="8"/>
            <w:tcBorders>
              <w:right w:val="single" w:sz="12" w:space="0" w:color="auto"/>
            </w:tcBorders>
            <w:shd w:val="clear" w:color="auto" w:fill="auto"/>
            <w:vAlign w:val="center"/>
          </w:tcPr>
          <w:p w:rsidR="00982EC0" w:rsidRPr="00982EC0" w:rsidRDefault="00982EC0" w:rsidP="00982EC0">
            <w:pPr>
              <w:pStyle w:val="AERtabletextleft"/>
            </w:pPr>
            <w:r w:rsidRPr="00982EC0">
              <w:t>ACT</w:t>
            </w:r>
          </w:p>
        </w:tc>
      </w:tr>
      <w:tr w:rsidR="00982EC0" w:rsidRPr="004338D8" w:rsidTr="00982EC0">
        <w:trPr>
          <w:gridAfter w:val="1"/>
          <w:wAfter w:w="7" w:type="dxa"/>
          <w:trHeight w:val="255"/>
          <w:tblHeader/>
        </w:trPr>
        <w:tc>
          <w:tcPr>
            <w:tcW w:w="3142" w:type="dxa"/>
            <w:vMerge/>
            <w:tcBorders>
              <w:left w:val="single" w:sz="12" w:space="0" w:color="auto"/>
              <w:right w:val="single" w:sz="12" w:space="0" w:color="auto"/>
            </w:tcBorders>
            <w:shd w:val="clear" w:color="auto" w:fill="auto"/>
            <w:noWrap/>
            <w:vAlign w:val="bottom"/>
            <w:hideMark/>
          </w:tcPr>
          <w:p w:rsidR="00982EC0" w:rsidRPr="00982EC0" w:rsidRDefault="00982EC0" w:rsidP="00982EC0">
            <w:pPr>
              <w:pStyle w:val="AERtabletextleft"/>
            </w:pPr>
          </w:p>
        </w:tc>
        <w:tc>
          <w:tcPr>
            <w:tcW w:w="1076" w:type="dxa"/>
            <w:tcBorders>
              <w:left w:val="single" w:sz="12" w:space="0" w:color="auto"/>
            </w:tcBorders>
            <w:vAlign w:val="center"/>
          </w:tcPr>
          <w:p w:rsidR="00982EC0" w:rsidRPr="00982EC0" w:rsidRDefault="00982EC0" w:rsidP="00982EC0">
            <w:pPr>
              <w:pStyle w:val="AERtabletextleft"/>
            </w:pPr>
            <w:r w:rsidRPr="00982EC0">
              <w:t>TAS</w:t>
            </w:r>
          </w:p>
        </w:tc>
        <w:tc>
          <w:tcPr>
            <w:tcW w:w="928" w:type="dxa"/>
            <w:tcBorders>
              <w:right w:val="single" w:sz="12" w:space="0" w:color="auto"/>
            </w:tcBorders>
            <w:shd w:val="clear" w:color="auto" w:fill="auto"/>
            <w:noWrap/>
            <w:vAlign w:val="center"/>
            <w:hideMark/>
          </w:tcPr>
          <w:p w:rsidR="00982EC0" w:rsidRPr="00982EC0" w:rsidRDefault="00982EC0" w:rsidP="00982EC0">
            <w:pPr>
              <w:pStyle w:val="AERtabletextleft"/>
            </w:pPr>
            <w:r w:rsidRPr="00982EC0">
              <w:t>ACT</w:t>
            </w:r>
          </w:p>
        </w:tc>
        <w:tc>
          <w:tcPr>
            <w:tcW w:w="1076" w:type="dxa"/>
            <w:tcBorders>
              <w:left w:val="single" w:sz="12" w:space="0" w:color="auto"/>
            </w:tcBorders>
            <w:vAlign w:val="center"/>
          </w:tcPr>
          <w:p w:rsidR="00982EC0" w:rsidRPr="00982EC0" w:rsidRDefault="00982EC0" w:rsidP="00982EC0">
            <w:pPr>
              <w:pStyle w:val="AERtabletextleft"/>
            </w:pPr>
            <w:r w:rsidRPr="00982EC0">
              <w:t>Aurora</w:t>
            </w:r>
          </w:p>
        </w:tc>
        <w:tc>
          <w:tcPr>
            <w:tcW w:w="1273" w:type="dxa"/>
            <w:shd w:val="clear" w:color="auto" w:fill="auto"/>
            <w:noWrap/>
            <w:vAlign w:val="center"/>
            <w:hideMark/>
          </w:tcPr>
          <w:p w:rsidR="00982EC0" w:rsidRPr="00982EC0" w:rsidRDefault="00982EC0" w:rsidP="00982EC0">
            <w:pPr>
              <w:pStyle w:val="AERtabletextleft"/>
            </w:pPr>
            <w:r w:rsidRPr="00982EC0">
              <w:t>ActewAGL</w:t>
            </w:r>
          </w:p>
        </w:tc>
        <w:tc>
          <w:tcPr>
            <w:tcW w:w="1232" w:type="dxa"/>
            <w:gridSpan w:val="2"/>
            <w:shd w:val="clear" w:color="auto" w:fill="auto"/>
            <w:noWrap/>
            <w:vAlign w:val="center"/>
            <w:hideMark/>
          </w:tcPr>
          <w:p w:rsidR="00982EC0" w:rsidRPr="00982EC0" w:rsidRDefault="00982EC0" w:rsidP="00982EC0">
            <w:pPr>
              <w:pStyle w:val="AERtabletextleft"/>
            </w:pPr>
            <w:r w:rsidRPr="00982EC0">
              <w:t>Energy</w:t>
            </w:r>
          </w:p>
          <w:p w:rsidR="00982EC0" w:rsidRPr="00982EC0" w:rsidRDefault="00982EC0" w:rsidP="00982EC0">
            <w:pPr>
              <w:pStyle w:val="AERtabletextleft"/>
            </w:pPr>
            <w:r w:rsidRPr="00982EC0">
              <w:t>Australia</w:t>
            </w:r>
          </w:p>
        </w:tc>
        <w:tc>
          <w:tcPr>
            <w:tcW w:w="918" w:type="dxa"/>
            <w:shd w:val="clear" w:color="auto" w:fill="auto"/>
            <w:noWrap/>
            <w:vAlign w:val="center"/>
            <w:hideMark/>
          </w:tcPr>
          <w:p w:rsidR="00982EC0" w:rsidRPr="00982EC0" w:rsidRDefault="00982EC0" w:rsidP="00982EC0">
            <w:pPr>
              <w:pStyle w:val="AERtabletextleft"/>
            </w:pPr>
            <w:r w:rsidRPr="00982EC0">
              <w:t>Power-</w:t>
            </w:r>
          </w:p>
          <w:p w:rsidR="00982EC0" w:rsidRPr="00982EC0" w:rsidRDefault="00982EC0" w:rsidP="00982EC0">
            <w:pPr>
              <w:pStyle w:val="AERtabletextleft"/>
            </w:pPr>
            <w:r w:rsidRPr="00982EC0">
              <w:t>direct</w:t>
            </w:r>
          </w:p>
        </w:tc>
        <w:tc>
          <w:tcPr>
            <w:tcW w:w="1075" w:type="dxa"/>
            <w:shd w:val="clear" w:color="auto" w:fill="auto"/>
            <w:noWrap/>
            <w:vAlign w:val="center"/>
            <w:hideMark/>
          </w:tcPr>
          <w:p w:rsidR="00982EC0" w:rsidRPr="00982EC0" w:rsidRDefault="00982EC0" w:rsidP="00982EC0">
            <w:pPr>
              <w:pStyle w:val="AERtabletextleft"/>
            </w:pPr>
            <w:r w:rsidRPr="00982EC0">
              <w:t>Origin</w:t>
            </w:r>
          </w:p>
        </w:tc>
        <w:tc>
          <w:tcPr>
            <w:tcW w:w="1075" w:type="dxa"/>
            <w:shd w:val="clear" w:color="auto" w:fill="auto"/>
            <w:noWrap/>
            <w:vAlign w:val="center"/>
            <w:hideMark/>
          </w:tcPr>
          <w:p w:rsidR="00982EC0" w:rsidRPr="00982EC0" w:rsidRDefault="00982EC0" w:rsidP="00982EC0">
            <w:pPr>
              <w:pStyle w:val="AERtabletextleft"/>
            </w:pPr>
            <w:r w:rsidRPr="00982EC0">
              <w:t>Momentum</w:t>
            </w:r>
          </w:p>
        </w:tc>
        <w:tc>
          <w:tcPr>
            <w:tcW w:w="1077" w:type="dxa"/>
            <w:gridSpan w:val="2"/>
            <w:tcBorders>
              <w:right w:val="single" w:sz="12" w:space="0" w:color="auto"/>
            </w:tcBorders>
            <w:shd w:val="clear" w:color="auto" w:fill="auto"/>
            <w:noWrap/>
            <w:vAlign w:val="center"/>
            <w:hideMark/>
          </w:tcPr>
          <w:p w:rsidR="00982EC0" w:rsidRPr="00982EC0" w:rsidRDefault="00982EC0" w:rsidP="00982EC0">
            <w:pPr>
              <w:pStyle w:val="AERtabletextleft"/>
            </w:pPr>
            <w:r w:rsidRPr="00982EC0">
              <w:t>Red</w:t>
            </w:r>
          </w:p>
        </w:tc>
      </w:tr>
      <w:tr w:rsidR="00982EC0" w:rsidRPr="0081390E" w:rsidTr="00982EC0">
        <w:trPr>
          <w:gridAfter w:val="2"/>
          <w:wAfter w:w="15" w:type="dxa"/>
          <w:trHeight w:val="255"/>
        </w:trPr>
        <w:tc>
          <w:tcPr>
            <w:tcW w:w="12864" w:type="dxa"/>
            <w:gridSpan w:val="11"/>
            <w:tcBorders>
              <w:left w:val="single" w:sz="12" w:space="0" w:color="auto"/>
              <w:right w:val="single" w:sz="12" w:space="0" w:color="auto"/>
            </w:tcBorders>
            <w:shd w:val="clear" w:color="auto" w:fill="DBE5F1"/>
            <w:noWrap/>
            <w:vAlign w:val="bottom"/>
            <w:hideMark/>
          </w:tcPr>
          <w:p w:rsidR="00982EC0" w:rsidRPr="00982EC0" w:rsidRDefault="00982EC0" w:rsidP="00982EC0">
            <w:pPr>
              <w:pStyle w:val="AERtabletextleft"/>
            </w:pPr>
            <w:r w:rsidRPr="00982EC0">
              <w:t>Customer Number [**Drafting note: cannot publish red numbers**]</w:t>
            </w:r>
          </w:p>
        </w:tc>
      </w:tr>
      <w:tr w:rsidR="00982EC0" w:rsidRPr="0081390E" w:rsidTr="00982EC0">
        <w:trPr>
          <w:gridAfter w:val="2"/>
          <w:wAfter w:w="15" w:type="dxa"/>
          <w:trHeight w:val="255"/>
        </w:trPr>
        <w:tc>
          <w:tcPr>
            <w:tcW w:w="3142" w:type="dxa"/>
            <w:tcBorders>
              <w:left w:val="single" w:sz="12" w:space="0" w:color="auto"/>
              <w:right w:val="single" w:sz="12" w:space="0" w:color="auto"/>
            </w:tcBorders>
            <w:shd w:val="clear" w:color="auto" w:fill="auto"/>
            <w:noWrap/>
            <w:vAlign w:val="bottom"/>
            <w:hideMark/>
          </w:tcPr>
          <w:p w:rsidR="00982EC0" w:rsidRPr="00982EC0" w:rsidRDefault="00982EC0" w:rsidP="00982EC0">
            <w:pPr>
              <w:pStyle w:val="AERtabletextleft"/>
            </w:pPr>
            <w:r w:rsidRPr="00982EC0">
              <w:t xml:space="preserve">   Residential</w:t>
            </w:r>
            <w:r>
              <w:t xml:space="preserve"> </w:t>
            </w:r>
          </w:p>
        </w:tc>
        <w:tc>
          <w:tcPr>
            <w:tcW w:w="2004" w:type="dxa"/>
            <w:gridSpan w:val="2"/>
            <w:tcBorders>
              <w:left w:val="single" w:sz="12" w:space="0" w:color="auto"/>
              <w:right w:val="single" w:sz="12" w:space="0" w:color="auto"/>
            </w:tcBorders>
            <w:shd w:val="clear" w:color="auto" w:fill="D9D9D9"/>
            <w:vAlign w:val="bottom"/>
          </w:tcPr>
          <w:p w:rsidR="00982EC0" w:rsidRPr="00982EC0" w:rsidRDefault="00982EC0" w:rsidP="00982EC0">
            <w:pPr>
              <w:pStyle w:val="AERtabletextleft"/>
            </w:pPr>
          </w:p>
        </w:tc>
        <w:tc>
          <w:tcPr>
            <w:tcW w:w="7718" w:type="dxa"/>
            <w:gridSpan w:val="8"/>
            <w:tcBorders>
              <w:left w:val="single" w:sz="12" w:space="0" w:color="auto"/>
              <w:right w:val="single" w:sz="12" w:space="0" w:color="auto"/>
            </w:tcBorders>
            <w:shd w:val="clear" w:color="auto" w:fill="auto"/>
            <w:vAlign w:val="bottom"/>
          </w:tcPr>
          <w:p w:rsidR="00982EC0" w:rsidRPr="00982EC0" w:rsidRDefault="00982EC0" w:rsidP="00982EC0">
            <w:pPr>
              <w:pStyle w:val="AERtabletextleft"/>
            </w:pPr>
          </w:p>
        </w:tc>
      </w:tr>
      <w:tr w:rsidR="00982EC0" w:rsidRPr="009F1D03" w:rsidTr="00982EC0">
        <w:trPr>
          <w:gridAfter w:val="1"/>
          <w:wAfter w:w="7" w:type="dxa"/>
          <w:trHeight w:val="255"/>
        </w:trPr>
        <w:tc>
          <w:tcPr>
            <w:tcW w:w="3142" w:type="dxa"/>
            <w:tcBorders>
              <w:left w:val="single" w:sz="12" w:space="0" w:color="auto"/>
              <w:right w:val="single" w:sz="12" w:space="0" w:color="auto"/>
            </w:tcBorders>
            <w:shd w:val="clear" w:color="auto" w:fill="auto"/>
            <w:noWrap/>
            <w:vAlign w:val="bottom"/>
            <w:hideMark/>
          </w:tcPr>
          <w:p w:rsidR="00982EC0" w:rsidRPr="00982EC0" w:rsidRDefault="00982EC0" w:rsidP="00982EC0">
            <w:pPr>
              <w:pStyle w:val="AERtabletextleft"/>
            </w:pPr>
            <w:r w:rsidRPr="00982EC0">
              <w:t xml:space="preserve">     Electricity</w:t>
            </w:r>
          </w:p>
        </w:tc>
        <w:tc>
          <w:tcPr>
            <w:tcW w:w="1076" w:type="dxa"/>
            <w:tcBorders>
              <w:left w:val="single" w:sz="12" w:space="0" w:color="auto"/>
            </w:tcBorders>
            <w:shd w:val="clear" w:color="auto" w:fill="D9D9D9"/>
          </w:tcPr>
          <w:p w:rsidR="00982EC0" w:rsidRPr="00982EC0" w:rsidRDefault="00982EC0" w:rsidP="00982EC0">
            <w:pPr>
              <w:pStyle w:val="AERtabletextleft"/>
            </w:pPr>
          </w:p>
        </w:tc>
        <w:tc>
          <w:tcPr>
            <w:tcW w:w="928" w:type="dxa"/>
            <w:tcBorders>
              <w:right w:val="single" w:sz="12" w:space="0" w:color="auto"/>
            </w:tcBorders>
            <w:shd w:val="clear" w:color="auto" w:fill="D9D9D9"/>
            <w:noWrap/>
            <w:vAlign w:val="bottom"/>
            <w:hideMark/>
          </w:tcPr>
          <w:p w:rsidR="00982EC0" w:rsidRPr="00982EC0" w:rsidRDefault="00982EC0" w:rsidP="00982EC0">
            <w:pPr>
              <w:pStyle w:val="AERtabletextleft"/>
            </w:pPr>
          </w:p>
        </w:tc>
        <w:tc>
          <w:tcPr>
            <w:tcW w:w="1076" w:type="dxa"/>
            <w:tcBorders>
              <w:left w:val="single" w:sz="12" w:space="0" w:color="auto"/>
            </w:tcBorders>
            <w:vAlign w:val="bottom"/>
          </w:tcPr>
          <w:p w:rsidR="00982EC0" w:rsidRPr="00982EC0" w:rsidRDefault="00982EC0" w:rsidP="00982EC0">
            <w:pPr>
              <w:pStyle w:val="AERtabletextleft"/>
            </w:pPr>
            <w:r w:rsidRPr="00982EC0">
              <w:t>226419</w:t>
            </w:r>
          </w:p>
        </w:tc>
        <w:tc>
          <w:tcPr>
            <w:tcW w:w="1273" w:type="dxa"/>
            <w:shd w:val="clear" w:color="auto" w:fill="auto"/>
            <w:noWrap/>
            <w:vAlign w:val="bottom"/>
            <w:hideMark/>
          </w:tcPr>
          <w:p w:rsidR="00982EC0" w:rsidRPr="00982EC0" w:rsidRDefault="00982EC0" w:rsidP="00982EC0">
            <w:pPr>
              <w:pStyle w:val="AERtabletextleft"/>
            </w:pPr>
            <w:r w:rsidRPr="00982EC0">
              <w:t>145904</w:t>
            </w:r>
          </w:p>
        </w:tc>
        <w:tc>
          <w:tcPr>
            <w:tcW w:w="1075" w:type="dxa"/>
            <w:shd w:val="clear" w:color="auto" w:fill="auto"/>
            <w:noWrap/>
            <w:vAlign w:val="bottom"/>
            <w:hideMark/>
          </w:tcPr>
          <w:p w:rsidR="00982EC0" w:rsidRPr="00982EC0" w:rsidRDefault="00982EC0" w:rsidP="00982EC0">
            <w:pPr>
              <w:pStyle w:val="AERtabletextleft"/>
            </w:pPr>
          </w:p>
        </w:tc>
        <w:tc>
          <w:tcPr>
            <w:tcW w:w="1075" w:type="dxa"/>
            <w:gridSpan w:val="2"/>
            <w:shd w:val="clear" w:color="auto" w:fill="auto"/>
            <w:noWrap/>
            <w:vAlign w:val="bottom"/>
            <w:hideMark/>
          </w:tcPr>
          <w:p w:rsidR="00982EC0" w:rsidRPr="00982EC0" w:rsidRDefault="00982EC0" w:rsidP="00982EC0">
            <w:pPr>
              <w:pStyle w:val="AERtabletextleft"/>
            </w:pPr>
          </w:p>
        </w:tc>
        <w:tc>
          <w:tcPr>
            <w:tcW w:w="1075" w:type="dxa"/>
            <w:shd w:val="clear" w:color="auto" w:fill="auto"/>
            <w:noWrap/>
            <w:vAlign w:val="bottom"/>
            <w:hideMark/>
          </w:tcPr>
          <w:p w:rsidR="00982EC0" w:rsidRPr="00982EC0" w:rsidRDefault="00982EC0" w:rsidP="00982EC0">
            <w:pPr>
              <w:pStyle w:val="AERtabletextleft"/>
            </w:pPr>
          </w:p>
        </w:tc>
        <w:tc>
          <w:tcPr>
            <w:tcW w:w="1075" w:type="dxa"/>
            <w:shd w:val="clear" w:color="auto" w:fill="auto"/>
            <w:noWrap/>
            <w:vAlign w:val="bottom"/>
            <w:hideMark/>
          </w:tcPr>
          <w:p w:rsidR="00982EC0" w:rsidRPr="00982EC0" w:rsidRDefault="00982EC0" w:rsidP="00982EC0">
            <w:pPr>
              <w:pStyle w:val="AERtabletextleft"/>
            </w:pPr>
          </w:p>
        </w:tc>
        <w:tc>
          <w:tcPr>
            <w:tcW w:w="1077" w:type="dxa"/>
            <w:gridSpan w:val="2"/>
            <w:tcBorders>
              <w:right w:val="single" w:sz="12" w:space="0" w:color="auto"/>
            </w:tcBorders>
            <w:shd w:val="clear" w:color="auto" w:fill="auto"/>
            <w:noWrap/>
            <w:vAlign w:val="bottom"/>
            <w:hideMark/>
          </w:tcPr>
          <w:p w:rsidR="00982EC0" w:rsidRPr="00982EC0" w:rsidRDefault="00982EC0" w:rsidP="00982EC0">
            <w:pPr>
              <w:pStyle w:val="AERtabletextleft"/>
            </w:pPr>
          </w:p>
        </w:tc>
      </w:tr>
      <w:tr w:rsidR="00982EC0" w:rsidRPr="009F1D03" w:rsidTr="00982EC0">
        <w:trPr>
          <w:gridAfter w:val="1"/>
          <w:wAfter w:w="7" w:type="dxa"/>
          <w:trHeight w:val="255"/>
        </w:trPr>
        <w:tc>
          <w:tcPr>
            <w:tcW w:w="3142" w:type="dxa"/>
            <w:tcBorders>
              <w:left w:val="single" w:sz="12" w:space="0" w:color="auto"/>
              <w:right w:val="single" w:sz="12" w:space="0" w:color="auto"/>
            </w:tcBorders>
            <w:shd w:val="clear" w:color="auto" w:fill="auto"/>
            <w:noWrap/>
            <w:vAlign w:val="bottom"/>
            <w:hideMark/>
          </w:tcPr>
          <w:p w:rsidR="00982EC0" w:rsidRPr="00982EC0" w:rsidRDefault="00982EC0" w:rsidP="00982EC0">
            <w:pPr>
              <w:pStyle w:val="AERtabletextleft"/>
            </w:pPr>
            <w:r w:rsidRPr="00982EC0">
              <w:t xml:space="preserve">     Gas</w:t>
            </w:r>
          </w:p>
        </w:tc>
        <w:tc>
          <w:tcPr>
            <w:tcW w:w="1076" w:type="dxa"/>
            <w:tcBorders>
              <w:left w:val="single" w:sz="12" w:space="0" w:color="auto"/>
            </w:tcBorders>
            <w:shd w:val="clear" w:color="auto" w:fill="D9D9D9"/>
          </w:tcPr>
          <w:p w:rsidR="00982EC0" w:rsidRPr="00982EC0" w:rsidRDefault="00982EC0" w:rsidP="00982EC0">
            <w:pPr>
              <w:pStyle w:val="AERtabletextleft"/>
            </w:pPr>
          </w:p>
        </w:tc>
        <w:tc>
          <w:tcPr>
            <w:tcW w:w="928" w:type="dxa"/>
            <w:tcBorders>
              <w:right w:val="single" w:sz="12" w:space="0" w:color="auto"/>
            </w:tcBorders>
            <w:shd w:val="clear" w:color="auto" w:fill="D9D9D9"/>
            <w:noWrap/>
            <w:vAlign w:val="bottom"/>
            <w:hideMark/>
          </w:tcPr>
          <w:p w:rsidR="00982EC0" w:rsidRPr="00982EC0" w:rsidRDefault="00982EC0" w:rsidP="00982EC0">
            <w:pPr>
              <w:pStyle w:val="AERtabletextleft"/>
            </w:pPr>
          </w:p>
        </w:tc>
        <w:tc>
          <w:tcPr>
            <w:tcW w:w="1076" w:type="dxa"/>
            <w:tcBorders>
              <w:left w:val="single" w:sz="12" w:space="0" w:color="auto"/>
            </w:tcBorders>
            <w:vAlign w:val="bottom"/>
          </w:tcPr>
          <w:p w:rsidR="00982EC0" w:rsidRPr="00982EC0" w:rsidRDefault="00982EC0" w:rsidP="00982EC0">
            <w:pPr>
              <w:pStyle w:val="AERtabletextleft"/>
            </w:pPr>
            <w:r w:rsidRPr="00982EC0">
              <w:t>0</w:t>
            </w:r>
          </w:p>
        </w:tc>
        <w:tc>
          <w:tcPr>
            <w:tcW w:w="1273" w:type="dxa"/>
            <w:shd w:val="clear" w:color="auto" w:fill="auto"/>
            <w:noWrap/>
            <w:vAlign w:val="bottom"/>
            <w:hideMark/>
          </w:tcPr>
          <w:p w:rsidR="00982EC0" w:rsidRPr="00982EC0" w:rsidRDefault="00982EC0" w:rsidP="00982EC0">
            <w:pPr>
              <w:pStyle w:val="AERtabletextleft"/>
            </w:pPr>
            <w:r w:rsidRPr="00982EC0">
              <w:t>103421</w:t>
            </w:r>
          </w:p>
        </w:tc>
        <w:tc>
          <w:tcPr>
            <w:tcW w:w="1075" w:type="dxa"/>
            <w:shd w:val="clear" w:color="auto" w:fill="auto"/>
            <w:noWrap/>
            <w:vAlign w:val="bottom"/>
            <w:hideMark/>
          </w:tcPr>
          <w:p w:rsidR="00982EC0" w:rsidRPr="00982EC0" w:rsidRDefault="00982EC0" w:rsidP="00982EC0">
            <w:pPr>
              <w:pStyle w:val="AERtabletextleft"/>
            </w:pPr>
          </w:p>
        </w:tc>
        <w:tc>
          <w:tcPr>
            <w:tcW w:w="1075" w:type="dxa"/>
            <w:gridSpan w:val="2"/>
            <w:shd w:val="clear" w:color="auto" w:fill="auto"/>
            <w:noWrap/>
            <w:vAlign w:val="bottom"/>
            <w:hideMark/>
          </w:tcPr>
          <w:p w:rsidR="00982EC0" w:rsidRPr="00982EC0" w:rsidRDefault="00982EC0" w:rsidP="00982EC0">
            <w:pPr>
              <w:pStyle w:val="AERtabletextleft"/>
            </w:pPr>
          </w:p>
        </w:tc>
        <w:tc>
          <w:tcPr>
            <w:tcW w:w="1075" w:type="dxa"/>
            <w:shd w:val="clear" w:color="auto" w:fill="auto"/>
            <w:noWrap/>
            <w:vAlign w:val="bottom"/>
            <w:hideMark/>
          </w:tcPr>
          <w:p w:rsidR="00982EC0" w:rsidRPr="00982EC0" w:rsidRDefault="00982EC0" w:rsidP="00982EC0">
            <w:pPr>
              <w:pStyle w:val="AERtabletextleft"/>
            </w:pPr>
          </w:p>
        </w:tc>
        <w:tc>
          <w:tcPr>
            <w:tcW w:w="1075" w:type="dxa"/>
            <w:shd w:val="clear" w:color="auto" w:fill="auto"/>
            <w:noWrap/>
            <w:vAlign w:val="bottom"/>
            <w:hideMark/>
          </w:tcPr>
          <w:p w:rsidR="00982EC0" w:rsidRPr="00982EC0" w:rsidRDefault="00982EC0" w:rsidP="00982EC0">
            <w:pPr>
              <w:pStyle w:val="AERtabletextleft"/>
            </w:pPr>
          </w:p>
        </w:tc>
        <w:tc>
          <w:tcPr>
            <w:tcW w:w="1077" w:type="dxa"/>
            <w:gridSpan w:val="2"/>
            <w:tcBorders>
              <w:right w:val="single" w:sz="12" w:space="0" w:color="auto"/>
            </w:tcBorders>
            <w:shd w:val="clear" w:color="auto" w:fill="auto"/>
            <w:noWrap/>
            <w:vAlign w:val="bottom"/>
            <w:hideMark/>
          </w:tcPr>
          <w:p w:rsidR="00982EC0" w:rsidRPr="00982EC0" w:rsidRDefault="00982EC0" w:rsidP="00982EC0">
            <w:pPr>
              <w:pStyle w:val="AERtabletextleft"/>
            </w:pPr>
          </w:p>
        </w:tc>
      </w:tr>
      <w:tr w:rsidR="00982EC0" w:rsidRPr="009F1D03" w:rsidTr="00982EC0">
        <w:trPr>
          <w:gridAfter w:val="1"/>
          <w:wAfter w:w="7" w:type="dxa"/>
          <w:trHeight w:val="255"/>
        </w:trPr>
        <w:tc>
          <w:tcPr>
            <w:tcW w:w="3142" w:type="dxa"/>
            <w:tcBorders>
              <w:left w:val="single" w:sz="12" w:space="0" w:color="auto"/>
              <w:right w:val="single" w:sz="12" w:space="0" w:color="auto"/>
            </w:tcBorders>
            <w:shd w:val="clear" w:color="auto" w:fill="auto"/>
            <w:noWrap/>
            <w:vAlign w:val="bottom"/>
            <w:hideMark/>
          </w:tcPr>
          <w:p w:rsidR="00982EC0" w:rsidRPr="00982EC0" w:rsidRDefault="00982EC0" w:rsidP="00982EC0">
            <w:pPr>
              <w:pStyle w:val="AERtabletextleft"/>
            </w:pPr>
            <w:r w:rsidRPr="00982EC0">
              <w:t xml:space="preserve">   Small business</w:t>
            </w:r>
          </w:p>
        </w:tc>
        <w:tc>
          <w:tcPr>
            <w:tcW w:w="1076" w:type="dxa"/>
            <w:tcBorders>
              <w:left w:val="single" w:sz="12" w:space="0" w:color="auto"/>
            </w:tcBorders>
            <w:shd w:val="clear" w:color="auto" w:fill="D9D9D9"/>
          </w:tcPr>
          <w:p w:rsidR="00982EC0" w:rsidRPr="00982EC0" w:rsidRDefault="00982EC0" w:rsidP="00982EC0">
            <w:pPr>
              <w:pStyle w:val="AERtabletextleft"/>
            </w:pPr>
          </w:p>
        </w:tc>
        <w:tc>
          <w:tcPr>
            <w:tcW w:w="928" w:type="dxa"/>
            <w:tcBorders>
              <w:right w:val="single" w:sz="12" w:space="0" w:color="auto"/>
            </w:tcBorders>
            <w:shd w:val="clear" w:color="auto" w:fill="D9D9D9"/>
            <w:noWrap/>
            <w:vAlign w:val="bottom"/>
            <w:hideMark/>
          </w:tcPr>
          <w:p w:rsidR="00982EC0" w:rsidRPr="00982EC0" w:rsidRDefault="00982EC0" w:rsidP="00982EC0">
            <w:pPr>
              <w:pStyle w:val="AERtabletextleft"/>
            </w:pPr>
          </w:p>
        </w:tc>
        <w:tc>
          <w:tcPr>
            <w:tcW w:w="1076" w:type="dxa"/>
            <w:tcBorders>
              <w:left w:val="single" w:sz="12" w:space="0" w:color="auto"/>
            </w:tcBorders>
            <w:vAlign w:val="bottom"/>
          </w:tcPr>
          <w:p w:rsidR="00982EC0" w:rsidRPr="00982EC0" w:rsidRDefault="00982EC0" w:rsidP="00982EC0">
            <w:pPr>
              <w:pStyle w:val="AERtabletextleft"/>
            </w:pPr>
            <w:r w:rsidRPr="00982EC0">
              <w:t> </w:t>
            </w:r>
          </w:p>
        </w:tc>
        <w:tc>
          <w:tcPr>
            <w:tcW w:w="1273" w:type="dxa"/>
            <w:shd w:val="clear" w:color="auto" w:fill="auto"/>
            <w:noWrap/>
            <w:vAlign w:val="bottom"/>
            <w:hideMark/>
          </w:tcPr>
          <w:p w:rsidR="00982EC0" w:rsidRPr="00982EC0" w:rsidRDefault="00982EC0" w:rsidP="00982EC0">
            <w:pPr>
              <w:pStyle w:val="AERtabletextleft"/>
            </w:pPr>
          </w:p>
        </w:tc>
        <w:tc>
          <w:tcPr>
            <w:tcW w:w="1075" w:type="dxa"/>
            <w:shd w:val="clear" w:color="auto" w:fill="auto"/>
            <w:noWrap/>
            <w:vAlign w:val="bottom"/>
            <w:hideMark/>
          </w:tcPr>
          <w:p w:rsidR="00982EC0" w:rsidRPr="00982EC0" w:rsidRDefault="00982EC0" w:rsidP="00982EC0">
            <w:pPr>
              <w:pStyle w:val="AERtabletextleft"/>
            </w:pPr>
          </w:p>
        </w:tc>
        <w:tc>
          <w:tcPr>
            <w:tcW w:w="1075" w:type="dxa"/>
            <w:gridSpan w:val="2"/>
            <w:shd w:val="clear" w:color="auto" w:fill="auto"/>
            <w:noWrap/>
            <w:vAlign w:val="bottom"/>
            <w:hideMark/>
          </w:tcPr>
          <w:p w:rsidR="00982EC0" w:rsidRPr="00982EC0" w:rsidRDefault="00982EC0" w:rsidP="00982EC0">
            <w:pPr>
              <w:pStyle w:val="AERtabletextleft"/>
            </w:pPr>
          </w:p>
        </w:tc>
        <w:tc>
          <w:tcPr>
            <w:tcW w:w="1075" w:type="dxa"/>
            <w:shd w:val="clear" w:color="auto" w:fill="auto"/>
            <w:noWrap/>
            <w:vAlign w:val="bottom"/>
            <w:hideMark/>
          </w:tcPr>
          <w:p w:rsidR="00982EC0" w:rsidRPr="00982EC0" w:rsidRDefault="00982EC0" w:rsidP="00982EC0">
            <w:pPr>
              <w:pStyle w:val="AERtabletextleft"/>
            </w:pPr>
          </w:p>
        </w:tc>
        <w:tc>
          <w:tcPr>
            <w:tcW w:w="1075" w:type="dxa"/>
            <w:shd w:val="clear" w:color="auto" w:fill="auto"/>
            <w:noWrap/>
            <w:vAlign w:val="bottom"/>
            <w:hideMark/>
          </w:tcPr>
          <w:p w:rsidR="00982EC0" w:rsidRPr="00982EC0" w:rsidRDefault="00982EC0" w:rsidP="00982EC0">
            <w:pPr>
              <w:pStyle w:val="AERtabletextleft"/>
            </w:pPr>
          </w:p>
        </w:tc>
        <w:tc>
          <w:tcPr>
            <w:tcW w:w="1077" w:type="dxa"/>
            <w:gridSpan w:val="2"/>
            <w:tcBorders>
              <w:right w:val="single" w:sz="12" w:space="0" w:color="auto"/>
            </w:tcBorders>
            <w:shd w:val="clear" w:color="auto" w:fill="auto"/>
            <w:noWrap/>
            <w:vAlign w:val="bottom"/>
            <w:hideMark/>
          </w:tcPr>
          <w:p w:rsidR="00982EC0" w:rsidRPr="00982EC0" w:rsidRDefault="00982EC0" w:rsidP="00982EC0">
            <w:pPr>
              <w:pStyle w:val="AERtabletextleft"/>
            </w:pPr>
          </w:p>
        </w:tc>
      </w:tr>
      <w:tr w:rsidR="00982EC0" w:rsidRPr="009F1D03" w:rsidTr="00982EC0">
        <w:trPr>
          <w:gridAfter w:val="1"/>
          <w:wAfter w:w="7" w:type="dxa"/>
          <w:trHeight w:val="255"/>
        </w:trPr>
        <w:tc>
          <w:tcPr>
            <w:tcW w:w="3142" w:type="dxa"/>
            <w:tcBorders>
              <w:left w:val="single" w:sz="12" w:space="0" w:color="auto"/>
              <w:right w:val="single" w:sz="12" w:space="0" w:color="auto"/>
            </w:tcBorders>
            <w:shd w:val="clear" w:color="auto" w:fill="auto"/>
            <w:noWrap/>
            <w:vAlign w:val="bottom"/>
            <w:hideMark/>
          </w:tcPr>
          <w:p w:rsidR="00982EC0" w:rsidRPr="00982EC0" w:rsidRDefault="00982EC0" w:rsidP="00982EC0">
            <w:pPr>
              <w:pStyle w:val="AERtabletextleft"/>
            </w:pPr>
            <w:r w:rsidRPr="00982EC0">
              <w:t xml:space="preserve">     Electricity</w:t>
            </w:r>
          </w:p>
        </w:tc>
        <w:tc>
          <w:tcPr>
            <w:tcW w:w="1076" w:type="dxa"/>
            <w:tcBorders>
              <w:left w:val="single" w:sz="12" w:space="0" w:color="auto"/>
            </w:tcBorders>
            <w:shd w:val="clear" w:color="auto" w:fill="D9D9D9"/>
          </w:tcPr>
          <w:p w:rsidR="00982EC0" w:rsidRPr="00982EC0" w:rsidRDefault="00982EC0" w:rsidP="00982EC0">
            <w:pPr>
              <w:pStyle w:val="AERtabletextleft"/>
            </w:pPr>
          </w:p>
        </w:tc>
        <w:tc>
          <w:tcPr>
            <w:tcW w:w="928" w:type="dxa"/>
            <w:tcBorders>
              <w:right w:val="single" w:sz="12" w:space="0" w:color="auto"/>
            </w:tcBorders>
            <w:shd w:val="clear" w:color="auto" w:fill="D9D9D9"/>
            <w:noWrap/>
            <w:vAlign w:val="bottom"/>
            <w:hideMark/>
          </w:tcPr>
          <w:p w:rsidR="00982EC0" w:rsidRPr="00982EC0" w:rsidRDefault="00982EC0" w:rsidP="00982EC0">
            <w:pPr>
              <w:pStyle w:val="AERtabletextleft"/>
            </w:pPr>
          </w:p>
        </w:tc>
        <w:tc>
          <w:tcPr>
            <w:tcW w:w="1076" w:type="dxa"/>
            <w:tcBorders>
              <w:left w:val="single" w:sz="12" w:space="0" w:color="auto"/>
            </w:tcBorders>
            <w:vAlign w:val="bottom"/>
          </w:tcPr>
          <w:p w:rsidR="00982EC0" w:rsidRPr="00982EC0" w:rsidRDefault="00982EC0" w:rsidP="00982EC0">
            <w:pPr>
              <w:pStyle w:val="AERtabletextleft"/>
            </w:pPr>
            <w:r w:rsidRPr="00982EC0">
              <w:t>36430</w:t>
            </w:r>
          </w:p>
        </w:tc>
        <w:tc>
          <w:tcPr>
            <w:tcW w:w="1273" w:type="dxa"/>
            <w:shd w:val="clear" w:color="auto" w:fill="auto"/>
            <w:noWrap/>
            <w:vAlign w:val="bottom"/>
            <w:hideMark/>
          </w:tcPr>
          <w:p w:rsidR="00982EC0" w:rsidRPr="00982EC0" w:rsidRDefault="00982EC0" w:rsidP="00982EC0">
            <w:pPr>
              <w:pStyle w:val="AERtabletextleft"/>
            </w:pPr>
            <w:r w:rsidRPr="00982EC0">
              <w:t>11218</w:t>
            </w:r>
          </w:p>
        </w:tc>
        <w:tc>
          <w:tcPr>
            <w:tcW w:w="1075" w:type="dxa"/>
            <w:shd w:val="clear" w:color="auto" w:fill="auto"/>
            <w:noWrap/>
            <w:vAlign w:val="bottom"/>
            <w:hideMark/>
          </w:tcPr>
          <w:p w:rsidR="00982EC0" w:rsidRPr="00982EC0" w:rsidRDefault="00982EC0" w:rsidP="00982EC0">
            <w:pPr>
              <w:pStyle w:val="AERtabletextleft"/>
            </w:pPr>
          </w:p>
        </w:tc>
        <w:tc>
          <w:tcPr>
            <w:tcW w:w="1075" w:type="dxa"/>
            <w:gridSpan w:val="2"/>
            <w:shd w:val="clear" w:color="auto" w:fill="auto"/>
            <w:noWrap/>
            <w:vAlign w:val="bottom"/>
            <w:hideMark/>
          </w:tcPr>
          <w:p w:rsidR="00982EC0" w:rsidRPr="00982EC0" w:rsidRDefault="00982EC0" w:rsidP="00982EC0">
            <w:pPr>
              <w:pStyle w:val="AERtabletextleft"/>
            </w:pPr>
          </w:p>
        </w:tc>
        <w:tc>
          <w:tcPr>
            <w:tcW w:w="1075" w:type="dxa"/>
            <w:shd w:val="clear" w:color="auto" w:fill="auto"/>
            <w:noWrap/>
            <w:vAlign w:val="bottom"/>
            <w:hideMark/>
          </w:tcPr>
          <w:p w:rsidR="00982EC0" w:rsidRPr="00982EC0" w:rsidRDefault="00982EC0" w:rsidP="00982EC0">
            <w:pPr>
              <w:pStyle w:val="AERtabletextleft"/>
            </w:pPr>
          </w:p>
        </w:tc>
        <w:tc>
          <w:tcPr>
            <w:tcW w:w="1075" w:type="dxa"/>
            <w:shd w:val="clear" w:color="auto" w:fill="auto"/>
            <w:noWrap/>
            <w:vAlign w:val="bottom"/>
            <w:hideMark/>
          </w:tcPr>
          <w:p w:rsidR="00982EC0" w:rsidRPr="00982EC0" w:rsidRDefault="00982EC0" w:rsidP="00982EC0">
            <w:pPr>
              <w:pStyle w:val="AERtabletextleft"/>
            </w:pPr>
          </w:p>
        </w:tc>
        <w:tc>
          <w:tcPr>
            <w:tcW w:w="1077" w:type="dxa"/>
            <w:gridSpan w:val="2"/>
            <w:tcBorders>
              <w:right w:val="single" w:sz="12" w:space="0" w:color="auto"/>
            </w:tcBorders>
            <w:shd w:val="clear" w:color="auto" w:fill="auto"/>
            <w:noWrap/>
            <w:vAlign w:val="bottom"/>
            <w:hideMark/>
          </w:tcPr>
          <w:p w:rsidR="00982EC0" w:rsidRPr="00982EC0" w:rsidRDefault="00982EC0" w:rsidP="00982EC0">
            <w:pPr>
              <w:pStyle w:val="AERtabletextleft"/>
            </w:pPr>
          </w:p>
        </w:tc>
      </w:tr>
      <w:tr w:rsidR="00982EC0" w:rsidRPr="009F1D03" w:rsidTr="00982EC0">
        <w:trPr>
          <w:gridAfter w:val="1"/>
          <w:wAfter w:w="7" w:type="dxa"/>
          <w:trHeight w:val="270"/>
        </w:trPr>
        <w:tc>
          <w:tcPr>
            <w:tcW w:w="3142" w:type="dxa"/>
            <w:tcBorders>
              <w:left w:val="single" w:sz="12" w:space="0" w:color="auto"/>
              <w:right w:val="single" w:sz="12" w:space="0" w:color="auto"/>
            </w:tcBorders>
            <w:shd w:val="clear" w:color="auto" w:fill="auto"/>
            <w:noWrap/>
            <w:vAlign w:val="bottom"/>
            <w:hideMark/>
          </w:tcPr>
          <w:p w:rsidR="00982EC0" w:rsidRPr="00982EC0" w:rsidRDefault="00982EC0" w:rsidP="00982EC0">
            <w:pPr>
              <w:pStyle w:val="AERtabletextleft"/>
            </w:pPr>
            <w:r w:rsidRPr="00982EC0">
              <w:t xml:space="preserve">     Gas</w:t>
            </w:r>
          </w:p>
        </w:tc>
        <w:tc>
          <w:tcPr>
            <w:tcW w:w="1076" w:type="dxa"/>
            <w:tcBorders>
              <w:left w:val="single" w:sz="12" w:space="0" w:color="auto"/>
            </w:tcBorders>
            <w:shd w:val="clear" w:color="auto" w:fill="D9D9D9"/>
          </w:tcPr>
          <w:p w:rsidR="00982EC0" w:rsidRPr="00982EC0" w:rsidRDefault="00982EC0" w:rsidP="00982EC0">
            <w:pPr>
              <w:pStyle w:val="AERtabletextleft"/>
            </w:pPr>
          </w:p>
        </w:tc>
        <w:tc>
          <w:tcPr>
            <w:tcW w:w="928" w:type="dxa"/>
            <w:tcBorders>
              <w:right w:val="single" w:sz="12" w:space="0" w:color="auto"/>
            </w:tcBorders>
            <w:shd w:val="clear" w:color="auto" w:fill="D9D9D9"/>
            <w:noWrap/>
            <w:vAlign w:val="bottom"/>
            <w:hideMark/>
          </w:tcPr>
          <w:p w:rsidR="00982EC0" w:rsidRPr="00982EC0" w:rsidRDefault="00982EC0" w:rsidP="00982EC0">
            <w:pPr>
              <w:pStyle w:val="AERtabletextleft"/>
            </w:pPr>
          </w:p>
        </w:tc>
        <w:tc>
          <w:tcPr>
            <w:tcW w:w="1076" w:type="dxa"/>
            <w:tcBorders>
              <w:left w:val="single" w:sz="12" w:space="0" w:color="auto"/>
            </w:tcBorders>
            <w:vAlign w:val="bottom"/>
          </w:tcPr>
          <w:p w:rsidR="00982EC0" w:rsidRPr="00982EC0" w:rsidRDefault="00982EC0" w:rsidP="00982EC0">
            <w:pPr>
              <w:pStyle w:val="AERtabletextleft"/>
            </w:pPr>
            <w:r w:rsidRPr="00982EC0">
              <w:t>0</w:t>
            </w:r>
          </w:p>
        </w:tc>
        <w:tc>
          <w:tcPr>
            <w:tcW w:w="1273" w:type="dxa"/>
            <w:shd w:val="clear" w:color="auto" w:fill="auto"/>
            <w:noWrap/>
            <w:vAlign w:val="bottom"/>
            <w:hideMark/>
          </w:tcPr>
          <w:p w:rsidR="00982EC0" w:rsidRPr="00982EC0" w:rsidRDefault="00982EC0" w:rsidP="00982EC0">
            <w:pPr>
              <w:pStyle w:val="AERtabletextleft"/>
            </w:pPr>
            <w:r w:rsidRPr="00982EC0">
              <w:t>1731</w:t>
            </w:r>
          </w:p>
        </w:tc>
        <w:tc>
          <w:tcPr>
            <w:tcW w:w="1075" w:type="dxa"/>
            <w:shd w:val="clear" w:color="auto" w:fill="auto"/>
            <w:noWrap/>
            <w:vAlign w:val="bottom"/>
            <w:hideMark/>
          </w:tcPr>
          <w:p w:rsidR="00982EC0" w:rsidRPr="00982EC0" w:rsidRDefault="00982EC0" w:rsidP="00982EC0">
            <w:pPr>
              <w:pStyle w:val="AERtabletextleft"/>
            </w:pPr>
          </w:p>
        </w:tc>
        <w:tc>
          <w:tcPr>
            <w:tcW w:w="1075" w:type="dxa"/>
            <w:gridSpan w:val="2"/>
            <w:shd w:val="clear" w:color="auto" w:fill="auto"/>
            <w:noWrap/>
            <w:vAlign w:val="bottom"/>
            <w:hideMark/>
          </w:tcPr>
          <w:p w:rsidR="00982EC0" w:rsidRPr="00982EC0" w:rsidRDefault="00982EC0" w:rsidP="00982EC0">
            <w:pPr>
              <w:pStyle w:val="AERtabletextleft"/>
            </w:pPr>
          </w:p>
        </w:tc>
        <w:tc>
          <w:tcPr>
            <w:tcW w:w="1075" w:type="dxa"/>
            <w:shd w:val="clear" w:color="auto" w:fill="auto"/>
            <w:noWrap/>
            <w:vAlign w:val="bottom"/>
            <w:hideMark/>
          </w:tcPr>
          <w:p w:rsidR="00982EC0" w:rsidRPr="00982EC0" w:rsidRDefault="00982EC0" w:rsidP="00982EC0">
            <w:pPr>
              <w:pStyle w:val="AERtabletextleft"/>
            </w:pPr>
          </w:p>
        </w:tc>
        <w:tc>
          <w:tcPr>
            <w:tcW w:w="1075" w:type="dxa"/>
            <w:shd w:val="clear" w:color="auto" w:fill="auto"/>
            <w:noWrap/>
            <w:vAlign w:val="bottom"/>
            <w:hideMark/>
          </w:tcPr>
          <w:p w:rsidR="00982EC0" w:rsidRPr="00982EC0" w:rsidRDefault="00982EC0" w:rsidP="00982EC0">
            <w:pPr>
              <w:pStyle w:val="AERtabletextleft"/>
            </w:pPr>
          </w:p>
        </w:tc>
        <w:tc>
          <w:tcPr>
            <w:tcW w:w="1077" w:type="dxa"/>
            <w:gridSpan w:val="2"/>
            <w:tcBorders>
              <w:right w:val="single" w:sz="12" w:space="0" w:color="auto"/>
            </w:tcBorders>
            <w:shd w:val="clear" w:color="auto" w:fill="auto"/>
            <w:noWrap/>
            <w:vAlign w:val="bottom"/>
            <w:hideMark/>
          </w:tcPr>
          <w:p w:rsidR="00982EC0" w:rsidRPr="00982EC0" w:rsidRDefault="00982EC0" w:rsidP="00982EC0">
            <w:pPr>
              <w:pStyle w:val="AERtabletextleft"/>
            </w:pPr>
          </w:p>
        </w:tc>
      </w:tr>
      <w:tr w:rsidR="00982EC0" w:rsidRPr="0081390E" w:rsidTr="00982EC0">
        <w:trPr>
          <w:gridAfter w:val="2"/>
          <w:wAfter w:w="15" w:type="dxa"/>
          <w:trHeight w:val="255"/>
        </w:trPr>
        <w:tc>
          <w:tcPr>
            <w:tcW w:w="12864" w:type="dxa"/>
            <w:gridSpan w:val="11"/>
            <w:tcBorders>
              <w:left w:val="single" w:sz="12" w:space="0" w:color="auto"/>
              <w:right w:val="single" w:sz="12" w:space="0" w:color="auto"/>
            </w:tcBorders>
            <w:shd w:val="clear" w:color="auto" w:fill="DBE5F1"/>
            <w:noWrap/>
            <w:vAlign w:val="bottom"/>
            <w:hideMark/>
          </w:tcPr>
          <w:p w:rsidR="00982EC0" w:rsidRPr="00982EC0" w:rsidRDefault="00982EC0" w:rsidP="00982EC0">
            <w:pPr>
              <w:pStyle w:val="AERtabletextleft"/>
            </w:pPr>
            <w:r w:rsidRPr="00982EC0">
              <w:t>Complaints</w:t>
            </w:r>
          </w:p>
        </w:tc>
      </w:tr>
      <w:tr w:rsidR="00982EC0" w:rsidRPr="0081390E" w:rsidTr="00982EC0">
        <w:trPr>
          <w:gridAfter w:val="2"/>
          <w:wAfter w:w="15" w:type="dxa"/>
          <w:trHeight w:val="255"/>
        </w:trPr>
        <w:tc>
          <w:tcPr>
            <w:tcW w:w="3142" w:type="dxa"/>
            <w:tcBorders>
              <w:left w:val="single" w:sz="12" w:space="0" w:color="auto"/>
              <w:right w:val="single" w:sz="12" w:space="0" w:color="auto"/>
            </w:tcBorders>
            <w:shd w:val="clear" w:color="auto" w:fill="auto"/>
            <w:noWrap/>
            <w:vAlign w:val="bottom"/>
            <w:hideMark/>
          </w:tcPr>
          <w:p w:rsidR="00982EC0" w:rsidRPr="00982EC0" w:rsidRDefault="00982EC0" w:rsidP="00982EC0">
            <w:pPr>
              <w:pStyle w:val="AERtabletextleft"/>
            </w:pPr>
            <w:r w:rsidRPr="00982EC0">
              <w:t xml:space="preserve">   Residential</w:t>
            </w:r>
          </w:p>
        </w:tc>
        <w:tc>
          <w:tcPr>
            <w:tcW w:w="2004" w:type="dxa"/>
            <w:gridSpan w:val="2"/>
            <w:tcBorders>
              <w:left w:val="single" w:sz="12" w:space="0" w:color="auto"/>
              <w:right w:val="single" w:sz="12" w:space="0" w:color="auto"/>
            </w:tcBorders>
            <w:shd w:val="clear" w:color="auto" w:fill="D9D9D9"/>
            <w:vAlign w:val="bottom"/>
          </w:tcPr>
          <w:p w:rsidR="00982EC0" w:rsidRPr="00982EC0" w:rsidRDefault="00982EC0" w:rsidP="00982EC0">
            <w:pPr>
              <w:pStyle w:val="AERtabletextleft"/>
            </w:pPr>
          </w:p>
        </w:tc>
        <w:tc>
          <w:tcPr>
            <w:tcW w:w="7718" w:type="dxa"/>
            <w:gridSpan w:val="8"/>
            <w:tcBorders>
              <w:left w:val="single" w:sz="12" w:space="0" w:color="auto"/>
              <w:right w:val="single" w:sz="12" w:space="0" w:color="auto"/>
            </w:tcBorders>
            <w:shd w:val="clear" w:color="auto" w:fill="auto"/>
            <w:vAlign w:val="bottom"/>
          </w:tcPr>
          <w:p w:rsidR="00982EC0" w:rsidRPr="00982EC0" w:rsidRDefault="00982EC0" w:rsidP="00982EC0">
            <w:pPr>
              <w:pStyle w:val="AERtabletextleft"/>
            </w:pPr>
          </w:p>
        </w:tc>
      </w:tr>
      <w:tr w:rsidR="00982EC0" w:rsidRPr="0081390E" w:rsidTr="00982EC0">
        <w:trPr>
          <w:gridAfter w:val="1"/>
          <w:wAfter w:w="7" w:type="dxa"/>
          <w:trHeight w:val="255"/>
        </w:trPr>
        <w:tc>
          <w:tcPr>
            <w:tcW w:w="3142" w:type="dxa"/>
            <w:tcBorders>
              <w:left w:val="single" w:sz="12" w:space="0" w:color="auto"/>
              <w:right w:val="single" w:sz="12" w:space="0" w:color="auto"/>
            </w:tcBorders>
            <w:shd w:val="clear" w:color="auto" w:fill="auto"/>
            <w:noWrap/>
            <w:vAlign w:val="bottom"/>
            <w:hideMark/>
          </w:tcPr>
          <w:p w:rsidR="00982EC0" w:rsidRPr="00982EC0" w:rsidRDefault="00982EC0" w:rsidP="00982EC0">
            <w:pPr>
              <w:pStyle w:val="AERtabletextleft"/>
            </w:pPr>
            <w:r w:rsidRPr="00982EC0">
              <w:t xml:space="preserve">     Billing</w:t>
            </w:r>
          </w:p>
        </w:tc>
        <w:tc>
          <w:tcPr>
            <w:tcW w:w="1076" w:type="dxa"/>
            <w:tcBorders>
              <w:left w:val="single" w:sz="12" w:space="0" w:color="auto"/>
            </w:tcBorders>
            <w:shd w:val="clear" w:color="auto" w:fill="D9D9D9"/>
          </w:tcPr>
          <w:p w:rsidR="00982EC0" w:rsidRPr="00982EC0" w:rsidRDefault="00982EC0" w:rsidP="00982EC0">
            <w:pPr>
              <w:pStyle w:val="AERtabletextleft"/>
            </w:pPr>
          </w:p>
        </w:tc>
        <w:tc>
          <w:tcPr>
            <w:tcW w:w="928" w:type="dxa"/>
            <w:tcBorders>
              <w:right w:val="single" w:sz="12" w:space="0" w:color="auto"/>
            </w:tcBorders>
            <w:shd w:val="clear" w:color="auto" w:fill="D9D9D9"/>
            <w:noWrap/>
            <w:vAlign w:val="bottom"/>
            <w:hideMark/>
          </w:tcPr>
          <w:p w:rsidR="00982EC0" w:rsidRPr="00982EC0" w:rsidRDefault="00982EC0" w:rsidP="00982EC0">
            <w:pPr>
              <w:pStyle w:val="AERtabletextleft"/>
            </w:pPr>
          </w:p>
        </w:tc>
        <w:tc>
          <w:tcPr>
            <w:tcW w:w="1076" w:type="dxa"/>
            <w:tcBorders>
              <w:left w:val="single" w:sz="12" w:space="0" w:color="auto"/>
            </w:tcBorders>
            <w:vAlign w:val="bottom"/>
          </w:tcPr>
          <w:p w:rsidR="00982EC0" w:rsidRPr="00982EC0" w:rsidRDefault="00982EC0" w:rsidP="00982EC0">
            <w:pPr>
              <w:pStyle w:val="AERtabletextleft"/>
            </w:pPr>
            <w:r w:rsidRPr="00982EC0">
              <w:t>81</w:t>
            </w:r>
          </w:p>
        </w:tc>
        <w:tc>
          <w:tcPr>
            <w:tcW w:w="1273" w:type="dxa"/>
            <w:shd w:val="clear" w:color="auto" w:fill="auto"/>
            <w:noWrap/>
            <w:vAlign w:val="bottom"/>
            <w:hideMark/>
          </w:tcPr>
          <w:p w:rsidR="00982EC0" w:rsidRPr="00982EC0" w:rsidRDefault="00982EC0" w:rsidP="00982EC0">
            <w:pPr>
              <w:pStyle w:val="AERtabletextleft"/>
            </w:pPr>
            <w:r w:rsidRPr="00982EC0">
              <w:t>405</w:t>
            </w:r>
          </w:p>
        </w:tc>
        <w:tc>
          <w:tcPr>
            <w:tcW w:w="1075" w:type="dxa"/>
            <w:shd w:val="clear" w:color="auto" w:fill="auto"/>
            <w:noWrap/>
            <w:vAlign w:val="bottom"/>
            <w:hideMark/>
          </w:tcPr>
          <w:p w:rsidR="00982EC0" w:rsidRPr="00982EC0" w:rsidRDefault="00982EC0" w:rsidP="00982EC0">
            <w:pPr>
              <w:pStyle w:val="AERtabletextleft"/>
            </w:pPr>
            <w:r w:rsidRPr="00982EC0">
              <w:t>18</w:t>
            </w:r>
          </w:p>
        </w:tc>
        <w:tc>
          <w:tcPr>
            <w:tcW w:w="1075" w:type="dxa"/>
            <w:gridSpan w:val="2"/>
            <w:shd w:val="clear" w:color="auto" w:fill="auto"/>
            <w:noWrap/>
            <w:vAlign w:val="bottom"/>
            <w:hideMark/>
          </w:tcPr>
          <w:p w:rsidR="00982EC0" w:rsidRPr="00982EC0" w:rsidRDefault="00982EC0" w:rsidP="00982EC0">
            <w:pPr>
              <w:pStyle w:val="AERtabletextleft"/>
            </w:pPr>
          </w:p>
        </w:tc>
        <w:tc>
          <w:tcPr>
            <w:tcW w:w="1075" w:type="dxa"/>
            <w:shd w:val="clear" w:color="auto" w:fill="auto"/>
            <w:noWrap/>
            <w:vAlign w:val="bottom"/>
            <w:hideMark/>
          </w:tcPr>
          <w:p w:rsidR="00982EC0" w:rsidRPr="00982EC0" w:rsidRDefault="00982EC0" w:rsidP="00982EC0">
            <w:pPr>
              <w:pStyle w:val="AERtabletextleft"/>
            </w:pPr>
            <w:r w:rsidRPr="00982EC0">
              <w:t> </w:t>
            </w:r>
          </w:p>
        </w:tc>
        <w:tc>
          <w:tcPr>
            <w:tcW w:w="1075" w:type="dxa"/>
            <w:shd w:val="clear" w:color="auto" w:fill="auto"/>
            <w:noWrap/>
            <w:vAlign w:val="bottom"/>
            <w:hideMark/>
          </w:tcPr>
          <w:p w:rsidR="00982EC0" w:rsidRPr="00982EC0" w:rsidRDefault="00982EC0" w:rsidP="00982EC0">
            <w:pPr>
              <w:pStyle w:val="AERtabletextleft"/>
            </w:pPr>
          </w:p>
        </w:tc>
        <w:tc>
          <w:tcPr>
            <w:tcW w:w="1077" w:type="dxa"/>
            <w:gridSpan w:val="2"/>
            <w:tcBorders>
              <w:right w:val="single" w:sz="12" w:space="0" w:color="auto"/>
            </w:tcBorders>
            <w:shd w:val="clear" w:color="auto" w:fill="auto"/>
            <w:noWrap/>
            <w:vAlign w:val="bottom"/>
            <w:hideMark/>
          </w:tcPr>
          <w:p w:rsidR="00982EC0" w:rsidRPr="00982EC0" w:rsidRDefault="00982EC0" w:rsidP="00982EC0">
            <w:pPr>
              <w:pStyle w:val="AERtabletextleft"/>
            </w:pPr>
            <w:r w:rsidRPr="00982EC0">
              <w:t> </w:t>
            </w:r>
          </w:p>
        </w:tc>
      </w:tr>
      <w:tr w:rsidR="00982EC0" w:rsidRPr="0081390E" w:rsidTr="00982EC0">
        <w:trPr>
          <w:gridAfter w:val="1"/>
          <w:wAfter w:w="7" w:type="dxa"/>
          <w:trHeight w:val="255"/>
        </w:trPr>
        <w:tc>
          <w:tcPr>
            <w:tcW w:w="3142" w:type="dxa"/>
            <w:tcBorders>
              <w:left w:val="single" w:sz="12" w:space="0" w:color="auto"/>
              <w:right w:val="single" w:sz="12" w:space="0" w:color="auto"/>
            </w:tcBorders>
            <w:shd w:val="clear" w:color="auto" w:fill="auto"/>
            <w:noWrap/>
            <w:vAlign w:val="bottom"/>
            <w:hideMark/>
          </w:tcPr>
          <w:p w:rsidR="00982EC0" w:rsidRPr="00982EC0" w:rsidRDefault="00982EC0" w:rsidP="00982EC0">
            <w:pPr>
              <w:pStyle w:val="AERtabletextleft"/>
            </w:pPr>
            <w:r w:rsidRPr="00982EC0">
              <w:t xml:space="preserve">     Marketing</w:t>
            </w:r>
          </w:p>
        </w:tc>
        <w:tc>
          <w:tcPr>
            <w:tcW w:w="1076" w:type="dxa"/>
            <w:tcBorders>
              <w:left w:val="single" w:sz="12" w:space="0" w:color="auto"/>
            </w:tcBorders>
            <w:shd w:val="clear" w:color="auto" w:fill="D9D9D9"/>
          </w:tcPr>
          <w:p w:rsidR="00982EC0" w:rsidRPr="00982EC0" w:rsidRDefault="00982EC0" w:rsidP="00982EC0">
            <w:pPr>
              <w:pStyle w:val="AERtabletextleft"/>
            </w:pPr>
          </w:p>
        </w:tc>
        <w:tc>
          <w:tcPr>
            <w:tcW w:w="928" w:type="dxa"/>
            <w:tcBorders>
              <w:right w:val="single" w:sz="12" w:space="0" w:color="auto"/>
            </w:tcBorders>
            <w:shd w:val="clear" w:color="auto" w:fill="D9D9D9"/>
            <w:noWrap/>
            <w:vAlign w:val="bottom"/>
            <w:hideMark/>
          </w:tcPr>
          <w:p w:rsidR="00982EC0" w:rsidRPr="00982EC0" w:rsidRDefault="00982EC0" w:rsidP="00982EC0">
            <w:pPr>
              <w:pStyle w:val="AERtabletextleft"/>
            </w:pPr>
          </w:p>
        </w:tc>
        <w:tc>
          <w:tcPr>
            <w:tcW w:w="1076" w:type="dxa"/>
            <w:tcBorders>
              <w:left w:val="single" w:sz="12" w:space="0" w:color="auto"/>
            </w:tcBorders>
            <w:vAlign w:val="bottom"/>
          </w:tcPr>
          <w:p w:rsidR="00982EC0" w:rsidRPr="00982EC0" w:rsidRDefault="00982EC0" w:rsidP="00982EC0">
            <w:pPr>
              <w:pStyle w:val="AERtabletextleft"/>
            </w:pPr>
            <w:r w:rsidRPr="00982EC0">
              <w:t>13</w:t>
            </w:r>
          </w:p>
        </w:tc>
        <w:tc>
          <w:tcPr>
            <w:tcW w:w="1273" w:type="dxa"/>
            <w:shd w:val="clear" w:color="auto" w:fill="auto"/>
            <w:noWrap/>
            <w:vAlign w:val="bottom"/>
            <w:hideMark/>
          </w:tcPr>
          <w:p w:rsidR="00982EC0" w:rsidRPr="00982EC0" w:rsidRDefault="00982EC0" w:rsidP="00982EC0">
            <w:pPr>
              <w:pStyle w:val="AERtabletextleft"/>
            </w:pPr>
            <w:r w:rsidRPr="00982EC0">
              <w:t>8</w:t>
            </w:r>
          </w:p>
        </w:tc>
        <w:tc>
          <w:tcPr>
            <w:tcW w:w="1075" w:type="dxa"/>
            <w:shd w:val="clear" w:color="auto" w:fill="auto"/>
            <w:noWrap/>
            <w:vAlign w:val="bottom"/>
            <w:hideMark/>
          </w:tcPr>
          <w:p w:rsidR="00982EC0" w:rsidRPr="00982EC0" w:rsidRDefault="00982EC0" w:rsidP="00982EC0">
            <w:pPr>
              <w:pStyle w:val="AERtabletextleft"/>
            </w:pPr>
            <w:r w:rsidRPr="00982EC0">
              <w:t>2</w:t>
            </w:r>
          </w:p>
        </w:tc>
        <w:tc>
          <w:tcPr>
            <w:tcW w:w="1075" w:type="dxa"/>
            <w:gridSpan w:val="2"/>
            <w:shd w:val="clear" w:color="auto" w:fill="auto"/>
            <w:noWrap/>
            <w:vAlign w:val="bottom"/>
            <w:hideMark/>
          </w:tcPr>
          <w:p w:rsidR="00982EC0" w:rsidRPr="00982EC0" w:rsidRDefault="00982EC0" w:rsidP="00982EC0">
            <w:pPr>
              <w:pStyle w:val="AERtabletextleft"/>
            </w:pPr>
          </w:p>
        </w:tc>
        <w:tc>
          <w:tcPr>
            <w:tcW w:w="1075" w:type="dxa"/>
            <w:shd w:val="clear" w:color="auto" w:fill="auto"/>
            <w:noWrap/>
            <w:vAlign w:val="bottom"/>
            <w:hideMark/>
          </w:tcPr>
          <w:p w:rsidR="00982EC0" w:rsidRPr="00982EC0" w:rsidRDefault="00982EC0" w:rsidP="00982EC0">
            <w:pPr>
              <w:pStyle w:val="AERtabletextleft"/>
            </w:pPr>
            <w:r w:rsidRPr="00982EC0">
              <w:t> </w:t>
            </w:r>
          </w:p>
        </w:tc>
        <w:tc>
          <w:tcPr>
            <w:tcW w:w="1075" w:type="dxa"/>
            <w:shd w:val="clear" w:color="auto" w:fill="auto"/>
            <w:noWrap/>
            <w:vAlign w:val="bottom"/>
            <w:hideMark/>
          </w:tcPr>
          <w:p w:rsidR="00982EC0" w:rsidRPr="00982EC0" w:rsidRDefault="00982EC0" w:rsidP="00982EC0">
            <w:pPr>
              <w:pStyle w:val="AERtabletextleft"/>
            </w:pPr>
          </w:p>
        </w:tc>
        <w:tc>
          <w:tcPr>
            <w:tcW w:w="1077" w:type="dxa"/>
            <w:gridSpan w:val="2"/>
            <w:tcBorders>
              <w:right w:val="single" w:sz="12" w:space="0" w:color="auto"/>
            </w:tcBorders>
            <w:shd w:val="clear" w:color="auto" w:fill="auto"/>
            <w:noWrap/>
            <w:vAlign w:val="bottom"/>
            <w:hideMark/>
          </w:tcPr>
          <w:p w:rsidR="00982EC0" w:rsidRPr="00982EC0" w:rsidRDefault="00982EC0" w:rsidP="00982EC0">
            <w:pPr>
              <w:pStyle w:val="AERtabletextleft"/>
            </w:pPr>
            <w:r w:rsidRPr="00982EC0">
              <w:t> </w:t>
            </w:r>
          </w:p>
        </w:tc>
      </w:tr>
      <w:tr w:rsidR="00982EC0" w:rsidRPr="0081390E" w:rsidTr="00982EC0">
        <w:trPr>
          <w:gridAfter w:val="1"/>
          <w:wAfter w:w="7" w:type="dxa"/>
          <w:trHeight w:val="255"/>
        </w:trPr>
        <w:tc>
          <w:tcPr>
            <w:tcW w:w="3142" w:type="dxa"/>
            <w:tcBorders>
              <w:left w:val="single" w:sz="12" w:space="0" w:color="auto"/>
              <w:right w:val="single" w:sz="12" w:space="0" w:color="auto"/>
            </w:tcBorders>
            <w:shd w:val="clear" w:color="auto" w:fill="auto"/>
            <w:noWrap/>
            <w:vAlign w:val="bottom"/>
            <w:hideMark/>
          </w:tcPr>
          <w:p w:rsidR="00982EC0" w:rsidRPr="00982EC0" w:rsidRDefault="00982EC0" w:rsidP="00982EC0">
            <w:pPr>
              <w:pStyle w:val="AERtabletextleft"/>
            </w:pPr>
            <w:r w:rsidRPr="00982EC0">
              <w:t xml:space="preserve">     Transfer</w:t>
            </w:r>
          </w:p>
        </w:tc>
        <w:tc>
          <w:tcPr>
            <w:tcW w:w="1076" w:type="dxa"/>
            <w:tcBorders>
              <w:left w:val="single" w:sz="12" w:space="0" w:color="auto"/>
            </w:tcBorders>
            <w:shd w:val="clear" w:color="auto" w:fill="D9D9D9"/>
          </w:tcPr>
          <w:p w:rsidR="00982EC0" w:rsidRPr="00982EC0" w:rsidRDefault="00982EC0" w:rsidP="00982EC0">
            <w:pPr>
              <w:pStyle w:val="AERtabletextleft"/>
            </w:pPr>
          </w:p>
        </w:tc>
        <w:tc>
          <w:tcPr>
            <w:tcW w:w="928" w:type="dxa"/>
            <w:tcBorders>
              <w:right w:val="single" w:sz="12" w:space="0" w:color="auto"/>
            </w:tcBorders>
            <w:shd w:val="clear" w:color="auto" w:fill="D9D9D9"/>
            <w:noWrap/>
            <w:vAlign w:val="bottom"/>
            <w:hideMark/>
          </w:tcPr>
          <w:p w:rsidR="00982EC0" w:rsidRPr="00982EC0" w:rsidRDefault="00982EC0" w:rsidP="00982EC0">
            <w:pPr>
              <w:pStyle w:val="AERtabletextleft"/>
            </w:pPr>
          </w:p>
        </w:tc>
        <w:tc>
          <w:tcPr>
            <w:tcW w:w="1076" w:type="dxa"/>
            <w:tcBorders>
              <w:left w:val="single" w:sz="12" w:space="0" w:color="auto"/>
            </w:tcBorders>
            <w:vAlign w:val="bottom"/>
          </w:tcPr>
          <w:p w:rsidR="00982EC0" w:rsidRPr="00982EC0" w:rsidRDefault="00982EC0" w:rsidP="00982EC0">
            <w:pPr>
              <w:pStyle w:val="AERtabletextleft"/>
            </w:pPr>
            <w:r w:rsidRPr="00982EC0">
              <w:t>0</w:t>
            </w:r>
          </w:p>
        </w:tc>
        <w:tc>
          <w:tcPr>
            <w:tcW w:w="1273" w:type="dxa"/>
            <w:shd w:val="clear" w:color="auto" w:fill="auto"/>
            <w:noWrap/>
            <w:vAlign w:val="bottom"/>
            <w:hideMark/>
          </w:tcPr>
          <w:p w:rsidR="00982EC0" w:rsidRPr="00982EC0" w:rsidRDefault="00982EC0" w:rsidP="00982EC0">
            <w:pPr>
              <w:pStyle w:val="AERtabletextleft"/>
            </w:pPr>
            <w:r w:rsidRPr="00982EC0">
              <w:t>145</w:t>
            </w:r>
          </w:p>
        </w:tc>
        <w:tc>
          <w:tcPr>
            <w:tcW w:w="1075" w:type="dxa"/>
            <w:shd w:val="clear" w:color="auto" w:fill="auto"/>
            <w:noWrap/>
            <w:vAlign w:val="bottom"/>
            <w:hideMark/>
          </w:tcPr>
          <w:p w:rsidR="00982EC0" w:rsidRPr="00982EC0" w:rsidRDefault="00982EC0" w:rsidP="00982EC0">
            <w:pPr>
              <w:pStyle w:val="AERtabletextleft"/>
            </w:pPr>
            <w:r w:rsidRPr="00982EC0">
              <w:t>3</w:t>
            </w:r>
          </w:p>
        </w:tc>
        <w:tc>
          <w:tcPr>
            <w:tcW w:w="1075" w:type="dxa"/>
            <w:gridSpan w:val="2"/>
            <w:shd w:val="clear" w:color="auto" w:fill="auto"/>
            <w:noWrap/>
            <w:vAlign w:val="bottom"/>
            <w:hideMark/>
          </w:tcPr>
          <w:p w:rsidR="00982EC0" w:rsidRPr="00982EC0" w:rsidRDefault="00982EC0" w:rsidP="00982EC0">
            <w:pPr>
              <w:pStyle w:val="AERtabletextleft"/>
            </w:pPr>
          </w:p>
        </w:tc>
        <w:tc>
          <w:tcPr>
            <w:tcW w:w="1075" w:type="dxa"/>
            <w:shd w:val="clear" w:color="auto" w:fill="auto"/>
            <w:noWrap/>
            <w:vAlign w:val="bottom"/>
            <w:hideMark/>
          </w:tcPr>
          <w:p w:rsidR="00982EC0" w:rsidRPr="00982EC0" w:rsidRDefault="00982EC0" w:rsidP="00982EC0">
            <w:pPr>
              <w:pStyle w:val="AERtabletextleft"/>
            </w:pPr>
            <w:r w:rsidRPr="00982EC0">
              <w:t> </w:t>
            </w:r>
          </w:p>
        </w:tc>
        <w:tc>
          <w:tcPr>
            <w:tcW w:w="1075" w:type="dxa"/>
            <w:shd w:val="clear" w:color="auto" w:fill="auto"/>
            <w:noWrap/>
            <w:vAlign w:val="bottom"/>
            <w:hideMark/>
          </w:tcPr>
          <w:p w:rsidR="00982EC0" w:rsidRPr="00982EC0" w:rsidRDefault="00982EC0" w:rsidP="00982EC0">
            <w:pPr>
              <w:pStyle w:val="AERtabletextleft"/>
            </w:pPr>
          </w:p>
        </w:tc>
        <w:tc>
          <w:tcPr>
            <w:tcW w:w="1077" w:type="dxa"/>
            <w:gridSpan w:val="2"/>
            <w:tcBorders>
              <w:right w:val="single" w:sz="12" w:space="0" w:color="auto"/>
            </w:tcBorders>
            <w:shd w:val="clear" w:color="auto" w:fill="auto"/>
            <w:noWrap/>
            <w:vAlign w:val="bottom"/>
            <w:hideMark/>
          </w:tcPr>
          <w:p w:rsidR="00982EC0" w:rsidRPr="00982EC0" w:rsidRDefault="00982EC0" w:rsidP="00982EC0">
            <w:pPr>
              <w:pStyle w:val="AERtabletextleft"/>
            </w:pPr>
            <w:r w:rsidRPr="00982EC0">
              <w:t> </w:t>
            </w:r>
          </w:p>
        </w:tc>
      </w:tr>
      <w:tr w:rsidR="00982EC0" w:rsidRPr="0081390E" w:rsidTr="00982EC0">
        <w:trPr>
          <w:gridAfter w:val="1"/>
          <w:wAfter w:w="7" w:type="dxa"/>
          <w:trHeight w:val="255"/>
        </w:trPr>
        <w:tc>
          <w:tcPr>
            <w:tcW w:w="3142" w:type="dxa"/>
            <w:tcBorders>
              <w:left w:val="single" w:sz="12" w:space="0" w:color="auto"/>
              <w:right w:val="single" w:sz="12" w:space="0" w:color="auto"/>
            </w:tcBorders>
            <w:shd w:val="clear" w:color="auto" w:fill="auto"/>
            <w:noWrap/>
            <w:vAlign w:val="bottom"/>
            <w:hideMark/>
          </w:tcPr>
          <w:p w:rsidR="00982EC0" w:rsidRPr="00982EC0" w:rsidRDefault="00982EC0" w:rsidP="00982EC0">
            <w:pPr>
              <w:pStyle w:val="AERtabletextleft"/>
            </w:pPr>
            <w:r w:rsidRPr="00982EC0">
              <w:t xml:space="preserve">     Other</w:t>
            </w:r>
          </w:p>
        </w:tc>
        <w:tc>
          <w:tcPr>
            <w:tcW w:w="1076" w:type="dxa"/>
            <w:tcBorders>
              <w:left w:val="single" w:sz="12" w:space="0" w:color="auto"/>
            </w:tcBorders>
            <w:shd w:val="clear" w:color="auto" w:fill="D9D9D9"/>
          </w:tcPr>
          <w:p w:rsidR="00982EC0" w:rsidRPr="00982EC0" w:rsidRDefault="00982EC0" w:rsidP="00982EC0">
            <w:pPr>
              <w:pStyle w:val="AERtabletextleft"/>
            </w:pPr>
          </w:p>
        </w:tc>
        <w:tc>
          <w:tcPr>
            <w:tcW w:w="928" w:type="dxa"/>
            <w:tcBorders>
              <w:right w:val="single" w:sz="12" w:space="0" w:color="auto"/>
            </w:tcBorders>
            <w:shd w:val="clear" w:color="auto" w:fill="D9D9D9"/>
            <w:noWrap/>
            <w:vAlign w:val="bottom"/>
            <w:hideMark/>
          </w:tcPr>
          <w:p w:rsidR="00982EC0" w:rsidRPr="00982EC0" w:rsidRDefault="00982EC0" w:rsidP="00982EC0">
            <w:pPr>
              <w:pStyle w:val="AERtabletextleft"/>
            </w:pPr>
          </w:p>
        </w:tc>
        <w:tc>
          <w:tcPr>
            <w:tcW w:w="1076" w:type="dxa"/>
            <w:tcBorders>
              <w:left w:val="single" w:sz="12" w:space="0" w:color="auto"/>
            </w:tcBorders>
            <w:vAlign w:val="bottom"/>
          </w:tcPr>
          <w:p w:rsidR="00982EC0" w:rsidRPr="00982EC0" w:rsidRDefault="00982EC0" w:rsidP="00982EC0">
            <w:pPr>
              <w:pStyle w:val="AERtabletextleft"/>
            </w:pPr>
            <w:r w:rsidRPr="00982EC0">
              <w:t>0</w:t>
            </w:r>
          </w:p>
        </w:tc>
        <w:tc>
          <w:tcPr>
            <w:tcW w:w="1273" w:type="dxa"/>
            <w:shd w:val="clear" w:color="auto" w:fill="auto"/>
            <w:noWrap/>
            <w:vAlign w:val="bottom"/>
            <w:hideMark/>
          </w:tcPr>
          <w:p w:rsidR="00982EC0" w:rsidRPr="00982EC0" w:rsidRDefault="00982EC0" w:rsidP="00982EC0">
            <w:pPr>
              <w:pStyle w:val="AERtabletextleft"/>
            </w:pPr>
            <w:r w:rsidRPr="00982EC0">
              <w:t>126</w:t>
            </w:r>
          </w:p>
        </w:tc>
        <w:tc>
          <w:tcPr>
            <w:tcW w:w="1075" w:type="dxa"/>
            <w:shd w:val="clear" w:color="auto" w:fill="auto"/>
            <w:noWrap/>
            <w:vAlign w:val="bottom"/>
            <w:hideMark/>
          </w:tcPr>
          <w:p w:rsidR="00982EC0" w:rsidRPr="00982EC0" w:rsidRDefault="00982EC0" w:rsidP="00982EC0">
            <w:pPr>
              <w:pStyle w:val="AERtabletextleft"/>
            </w:pPr>
            <w:r w:rsidRPr="00982EC0">
              <w:t>9</w:t>
            </w:r>
          </w:p>
        </w:tc>
        <w:tc>
          <w:tcPr>
            <w:tcW w:w="1075" w:type="dxa"/>
            <w:gridSpan w:val="2"/>
            <w:shd w:val="clear" w:color="auto" w:fill="auto"/>
            <w:noWrap/>
            <w:vAlign w:val="bottom"/>
            <w:hideMark/>
          </w:tcPr>
          <w:p w:rsidR="00982EC0" w:rsidRPr="00982EC0" w:rsidRDefault="00982EC0" w:rsidP="00982EC0">
            <w:pPr>
              <w:pStyle w:val="AERtabletextleft"/>
            </w:pPr>
          </w:p>
        </w:tc>
        <w:tc>
          <w:tcPr>
            <w:tcW w:w="1075" w:type="dxa"/>
            <w:shd w:val="clear" w:color="auto" w:fill="auto"/>
            <w:noWrap/>
            <w:vAlign w:val="bottom"/>
            <w:hideMark/>
          </w:tcPr>
          <w:p w:rsidR="00982EC0" w:rsidRPr="00982EC0" w:rsidRDefault="00982EC0" w:rsidP="00982EC0">
            <w:pPr>
              <w:pStyle w:val="AERtabletextleft"/>
            </w:pPr>
            <w:r w:rsidRPr="00982EC0">
              <w:t> </w:t>
            </w:r>
          </w:p>
        </w:tc>
        <w:tc>
          <w:tcPr>
            <w:tcW w:w="1075" w:type="dxa"/>
            <w:shd w:val="clear" w:color="auto" w:fill="auto"/>
            <w:noWrap/>
            <w:vAlign w:val="bottom"/>
            <w:hideMark/>
          </w:tcPr>
          <w:p w:rsidR="00982EC0" w:rsidRPr="00982EC0" w:rsidRDefault="00982EC0" w:rsidP="00982EC0">
            <w:pPr>
              <w:pStyle w:val="AERtabletextleft"/>
            </w:pPr>
          </w:p>
        </w:tc>
        <w:tc>
          <w:tcPr>
            <w:tcW w:w="1077" w:type="dxa"/>
            <w:gridSpan w:val="2"/>
            <w:tcBorders>
              <w:right w:val="single" w:sz="12" w:space="0" w:color="auto"/>
            </w:tcBorders>
            <w:shd w:val="clear" w:color="auto" w:fill="auto"/>
            <w:noWrap/>
            <w:vAlign w:val="bottom"/>
            <w:hideMark/>
          </w:tcPr>
          <w:p w:rsidR="00982EC0" w:rsidRPr="00982EC0" w:rsidRDefault="00982EC0" w:rsidP="00982EC0">
            <w:pPr>
              <w:pStyle w:val="AERtabletextleft"/>
            </w:pPr>
            <w:r w:rsidRPr="00982EC0">
              <w:t> </w:t>
            </w:r>
          </w:p>
        </w:tc>
      </w:tr>
      <w:tr w:rsidR="00982EC0" w:rsidRPr="0081390E" w:rsidTr="00982EC0">
        <w:trPr>
          <w:gridAfter w:val="2"/>
          <w:wAfter w:w="15" w:type="dxa"/>
          <w:trHeight w:val="255"/>
        </w:trPr>
        <w:tc>
          <w:tcPr>
            <w:tcW w:w="3142" w:type="dxa"/>
            <w:tcBorders>
              <w:left w:val="single" w:sz="12" w:space="0" w:color="auto"/>
              <w:right w:val="single" w:sz="12" w:space="0" w:color="auto"/>
            </w:tcBorders>
            <w:shd w:val="clear" w:color="auto" w:fill="auto"/>
            <w:noWrap/>
            <w:vAlign w:val="bottom"/>
            <w:hideMark/>
          </w:tcPr>
          <w:p w:rsidR="00982EC0" w:rsidRPr="00982EC0" w:rsidRDefault="00982EC0" w:rsidP="00982EC0">
            <w:pPr>
              <w:pStyle w:val="AERtabletextleft"/>
            </w:pPr>
            <w:r w:rsidRPr="00982EC0">
              <w:t xml:space="preserve">   Small business </w:t>
            </w:r>
          </w:p>
        </w:tc>
        <w:tc>
          <w:tcPr>
            <w:tcW w:w="2004" w:type="dxa"/>
            <w:gridSpan w:val="2"/>
            <w:tcBorders>
              <w:left w:val="single" w:sz="12" w:space="0" w:color="auto"/>
              <w:right w:val="single" w:sz="12" w:space="0" w:color="auto"/>
            </w:tcBorders>
            <w:shd w:val="clear" w:color="auto" w:fill="D9D9D9"/>
            <w:vAlign w:val="bottom"/>
          </w:tcPr>
          <w:p w:rsidR="00982EC0" w:rsidRPr="00982EC0" w:rsidRDefault="00982EC0" w:rsidP="00982EC0">
            <w:pPr>
              <w:pStyle w:val="AERtabletextleft"/>
            </w:pPr>
          </w:p>
        </w:tc>
        <w:tc>
          <w:tcPr>
            <w:tcW w:w="7718" w:type="dxa"/>
            <w:gridSpan w:val="8"/>
            <w:tcBorders>
              <w:left w:val="single" w:sz="12" w:space="0" w:color="auto"/>
              <w:right w:val="single" w:sz="12" w:space="0" w:color="auto"/>
            </w:tcBorders>
            <w:shd w:val="clear" w:color="auto" w:fill="auto"/>
            <w:vAlign w:val="bottom"/>
          </w:tcPr>
          <w:p w:rsidR="00982EC0" w:rsidRPr="00982EC0" w:rsidRDefault="00982EC0" w:rsidP="00982EC0">
            <w:pPr>
              <w:pStyle w:val="AERtabletextleft"/>
            </w:pPr>
          </w:p>
        </w:tc>
      </w:tr>
      <w:tr w:rsidR="00982EC0" w:rsidRPr="0081390E" w:rsidTr="00982EC0">
        <w:trPr>
          <w:gridAfter w:val="1"/>
          <w:wAfter w:w="7" w:type="dxa"/>
          <w:trHeight w:val="255"/>
        </w:trPr>
        <w:tc>
          <w:tcPr>
            <w:tcW w:w="3142" w:type="dxa"/>
            <w:tcBorders>
              <w:left w:val="single" w:sz="12" w:space="0" w:color="auto"/>
              <w:right w:val="single" w:sz="12" w:space="0" w:color="auto"/>
            </w:tcBorders>
            <w:shd w:val="clear" w:color="auto" w:fill="auto"/>
            <w:noWrap/>
            <w:vAlign w:val="bottom"/>
            <w:hideMark/>
          </w:tcPr>
          <w:p w:rsidR="00982EC0" w:rsidRPr="00982EC0" w:rsidRDefault="00982EC0" w:rsidP="00982EC0">
            <w:pPr>
              <w:pStyle w:val="AERtabletextleft"/>
            </w:pPr>
            <w:r w:rsidRPr="00982EC0">
              <w:t xml:space="preserve">     Billing</w:t>
            </w:r>
          </w:p>
        </w:tc>
        <w:tc>
          <w:tcPr>
            <w:tcW w:w="1076" w:type="dxa"/>
            <w:tcBorders>
              <w:left w:val="single" w:sz="12" w:space="0" w:color="auto"/>
            </w:tcBorders>
            <w:shd w:val="clear" w:color="auto" w:fill="D9D9D9"/>
          </w:tcPr>
          <w:p w:rsidR="00982EC0" w:rsidRPr="00982EC0" w:rsidRDefault="00982EC0" w:rsidP="00982EC0">
            <w:pPr>
              <w:pStyle w:val="AERtabletextleft"/>
            </w:pPr>
          </w:p>
        </w:tc>
        <w:tc>
          <w:tcPr>
            <w:tcW w:w="928" w:type="dxa"/>
            <w:tcBorders>
              <w:right w:val="single" w:sz="12" w:space="0" w:color="auto"/>
            </w:tcBorders>
            <w:shd w:val="clear" w:color="auto" w:fill="D9D9D9"/>
            <w:noWrap/>
            <w:vAlign w:val="bottom"/>
            <w:hideMark/>
          </w:tcPr>
          <w:p w:rsidR="00982EC0" w:rsidRPr="00982EC0" w:rsidRDefault="00982EC0" w:rsidP="00982EC0">
            <w:pPr>
              <w:pStyle w:val="AERtabletextleft"/>
            </w:pPr>
          </w:p>
        </w:tc>
        <w:tc>
          <w:tcPr>
            <w:tcW w:w="1076" w:type="dxa"/>
            <w:tcBorders>
              <w:left w:val="single" w:sz="12" w:space="0" w:color="auto"/>
            </w:tcBorders>
            <w:vAlign w:val="bottom"/>
          </w:tcPr>
          <w:p w:rsidR="00982EC0" w:rsidRPr="00982EC0" w:rsidRDefault="00982EC0" w:rsidP="00982EC0">
            <w:pPr>
              <w:pStyle w:val="AERtabletextleft"/>
            </w:pPr>
            <w:r w:rsidRPr="00982EC0">
              <w:t>5</w:t>
            </w:r>
          </w:p>
        </w:tc>
        <w:tc>
          <w:tcPr>
            <w:tcW w:w="1273" w:type="dxa"/>
            <w:shd w:val="clear" w:color="auto" w:fill="auto"/>
            <w:noWrap/>
            <w:vAlign w:val="bottom"/>
            <w:hideMark/>
          </w:tcPr>
          <w:p w:rsidR="00982EC0" w:rsidRPr="00982EC0" w:rsidRDefault="00982EC0" w:rsidP="00982EC0">
            <w:pPr>
              <w:pStyle w:val="AERtabletextleft"/>
            </w:pPr>
            <w:r w:rsidRPr="00982EC0">
              <w:t>22</w:t>
            </w:r>
          </w:p>
        </w:tc>
        <w:tc>
          <w:tcPr>
            <w:tcW w:w="1075" w:type="dxa"/>
            <w:shd w:val="clear" w:color="auto" w:fill="auto"/>
            <w:noWrap/>
            <w:vAlign w:val="bottom"/>
            <w:hideMark/>
          </w:tcPr>
          <w:p w:rsidR="00982EC0" w:rsidRPr="00982EC0" w:rsidRDefault="00982EC0" w:rsidP="00982EC0">
            <w:pPr>
              <w:pStyle w:val="AERtabletextleft"/>
            </w:pPr>
            <w:r w:rsidRPr="00982EC0">
              <w:t>1</w:t>
            </w:r>
          </w:p>
        </w:tc>
        <w:tc>
          <w:tcPr>
            <w:tcW w:w="1075" w:type="dxa"/>
            <w:gridSpan w:val="2"/>
            <w:shd w:val="clear" w:color="auto" w:fill="auto"/>
            <w:noWrap/>
            <w:vAlign w:val="bottom"/>
            <w:hideMark/>
          </w:tcPr>
          <w:p w:rsidR="00982EC0" w:rsidRPr="00982EC0" w:rsidRDefault="00982EC0" w:rsidP="00982EC0">
            <w:pPr>
              <w:pStyle w:val="AERtabletextleft"/>
            </w:pPr>
          </w:p>
        </w:tc>
        <w:tc>
          <w:tcPr>
            <w:tcW w:w="1075" w:type="dxa"/>
            <w:shd w:val="clear" w:color="auto" w:fill="auto"/>
            <w:noWrap/>
            <w:vAlign w:val="bottom"/>
            <w:hideMark/>
          </w:tcPr>
          <w:p w:rsidR="00982EC0" w:rsidRPr="00982EC0" w:rsidRDefault="00982EC0" w:rsidP="00982EC0">
            <w:pPr>
              <w:pStyle w:val="AERtabletextleft"/>
            </w:pPr>
            <w:r w:rsidRPr="00982EC0">
              <w:t> </w:t>
            </w:r>
          </w:p>
        </w:tc>
        <w:tc>
          <w:tcPr>
            <w:tcW w:w="1075" w:type="dxa"/>
            <w:shd w:val="clear" w:color="auto" w:fill="auto"/>
            <w:noWrap/>
            <w:vAlign w:val="bottom"/>
            <w:hideMark/>
          </w:tcPr>
          <w:p w:rsidR="00982EC0" w:rsidRPr="00982EC0" w:rsidRDefault="00982EC0" w:rsidP="00982EC0">
            <w:pPr>
              <w:pStyle w:val="AERtabletextleft"/>
            </w:pPr>
          </w:p>
        </w:tc>
        <w:tc>
          <w:tcPr>
            <w:tcW w:w="1077" w:type="dxa"/>
            <w:gridSpan w:val="2"/>
            <w:tcBorders>
              <w:right w:val="single" w:sz="12" w:space="0" w:color="auto"/>
            </w:tcBorders>
            <w:shd w:val="clear" w:color="auto" w:fill="auto"/>
            <w:noWrap/>
            <w:vAlign w:val="bottom"/>
            <w:hideMark/>
          </w:tcPr>
          <w:p w:rsidR="00982EC0" w:rsidRPr="00982EC0" w:rsidRDefault="00982EC0" w:rsidP="00982EC0">
            <w:pPr>
              <w:pStyle w:val="AERtabletextleft"/>
            </w:pPr>
            <w:r w:rsidRPr="00982EC0">
              <w:t> </w:t>
            </w:r>
          </w:p>
        </w:tc>
      </w:tr>
      <w:tr w:rsidR="00982EC0" w:rsidRPr="0081390E" w:rsidTr="00982EC0">
        <w:trPr>
          <w:gridAfter w:val="1"/>
          <w:wAfter w:w="7" w:type="dxa"/>
          <w:trHeight w:val="255"/>
        </w:trPr>
        <w:tc>
          <w:tcPr>
            <w:tcW w:w="3142" w:type="dxa"/>
            <w:tcBorders>
              <w:left w:val="single" w:sz="12" w:space="0" w:color="auto"/>
              <w:right w:val="single" w:sz="12" w:space="0" w:color="auto"/>
            </w:tcBorders>
            <w:shd w:val="clear" w:color="auto" w:fill="auto"/>
            <w:noWrap/>
            <w:vAlign w:val="bottom"/>
            <w:hideMark/>
          </w:tcPr>
          <w:p w:rsidR="00982EC0" w:rsidRPr="00982EC0" w:rsidRDefault="00982EC0" w:rsidP="00982EC0">
            <w:pPr>
              <w:pStyle w:val="AERtabletextleft"/>
            </w:pPr>
            <w:r w:rsidRPr="00982EC0">
              <w:lastRenderedPageBreak/>
              <w:t xml:space="preserve">     Marketing</w:t>
            </w:r>
          </w:p>
        </w:tc>
        <w:tc>
          <w:tcPr>
            <w:tcW w:w="1076" w:type="dxa"/>
            <w:tcBorders>
              <w:left w:val="single" w:sz="12" w:space="0" w:color="auto"/>
            </w:tcBorders>
            <w:shd w:val="clear" w:color="auto" w:fill="D9D9D9"/>
          </w:tcPr>
          <w:p w:rsidR="00982EC0" w:rsidRPr="00982EC0" w:rsidRDefault="00982EC0" w:rsidP="00982EC0">
            <w:pPr>
              <w:pStyle w:val="AERtabletextleft"/>
            </w:pPr>
          </w:p>
        </w:tc>
        <w:tc>
          <w:tcPr>
            <w:tcW w:w="928" w:type="dxa"/>
            <w:tcBorders>
              <w:right w:val="single" w:sz="12" w:space="0" w:color="auto"/>
            </w:tcBorders>
            <w:shd w:val="clear" w:color="auto" w:fill="D9D9D9"/>
            <w:noWrap/>
            <w:vAlign w:val="bottom"/>
            <w:hideMark/>
          </w:tcPr>
          <w:p w:rsidR="00982EC0" w:rsidRPr="00982EC0" w:rsidRDefault="00982EC0" w:rsidP="00982EC0">
            <w:pPr>
              <w:pStyle w:val="AERtabletextleft"/>
            </w:pPr>
          </w:p>
        </w:tc>
        <w:tc>
          <w:tcPr>
            <w:tcW w:w="1076" w:type="dxa"/>
            <w:tcBorders>
              <w:left w:val="single" w:sz="12" w:space="0" w:color="auto"/>
            </w:tcBorders>
            <w:vAlign w:val="bottom"/>
          </w:tcPr>
          <w:p w:rsidR="00982EC0" w:rsidRPr="00982EC0" w:rsidRDefault="00982EC0" w:rsidP="00982EC0">
            <w:pPr>
              <w:pStyle w:val="AERtabletextleft"/>
            </w:pPr>
            <w:r w:rsidRPr="00982EC0">
              <w:t>0</w:t>
            </w:r>
          </w:p>
        </w:tc>
        <w:tc>
          <w:tcPr>
            <w:tcW w:w="1273" w:type="dxa"/>
            <w:shd w:val="clear" w:color="auto" w:fill="auto"/>
            <w:noWrap/>
            <w:vAlign w:val="bottom"/>
            <w:hideMark/>
          </w:tcPr>
          <w:p w:rsidR="00982EC0" w:rsidRPr="00982EC0" w:rsidRDefault="00982EC0" w:rsidP="00982EC0">
            <w:pPr>
              <w:pStyle w:val="AERtabletextleft"/>
            </w:pPr>
            <w:r w:rsidRPr="00982EC0">
              <w:t>0</w:t>
            </w:r>
          </w:p>
        </w:tc>
        <w:tc>
          <w:tcPr>
            <w:tcW w:w="1075" w:type="dxa"/>
            <w:shd w:val="clear" w:color="auto" w:fill="auto"/>
            <w:noWrap/>
            <w:vAlign w:val="bottom"/>
            <w:hideMark/>
          </w:tcPr>
          <w:p w:rsidR="00982EC0" w:rsidRPr="00982EC0" w:rsidRDefault="00982EC0" w:rsidP="00982EC0">
            <w:pPr>
              <w:pStyle w:val="AERtabletextleft"/>
            </w:pPr>
            <w:r w:rsidRPr="00982EC0">
              <w:t>1</w:t>
            </w:r>
          </w:p>
        </w:tc>
        <w:tc>
          <w:tcPr>
            <w:tcW w:w="1075" w:type="dxa"/>
            <w:gridSpan w:val="2"/>
            <w:shd w:val="clear" w:color="auto" w:fill="auto"/>
            <w:noWrap/>
            <w:vAlign w:val="bottom"/>
            <w:hideMark/>
          </w:tcPr>
          <w:p w:rsidR="00982EC0" w:rsidRPr="00982EC0" w:rsidRDefault="00982EC0" w:rsidP="00982EC0">
            <w:pPr>
              <w:pStyle w:val="AERtabletextleft"/>
            </w:pPr>
          </w:p>
        </w:tc>
        <w:tc>
          <w:tcPr>
            <w:tcW w:w="1075" w:type="dxa"/>
            <w:shd w:val="clear" w:color="auto" w:fill="auto"/>
            <w:noWrap/>
            <w:vAlign w:val="bottom"/>
            <w:hideMark/>
          </w:tcPr>
          <w:p w:rsidR="00982EC0" w:rsidRPr="00982EC0" w:rsidRDefault="00982EC0" w:rsidP="00982EC0">
            <w:pPr>
              <w:pStyle w:val="AERtabletextleft"/>
            </w:pPr>
            <w:r w:rsidRPr="00982EC0">
              <w:t> </w:t>
            </w:r>
          </w:p>
        </w:tc>
        <w:tc>
          <w:tcPr>
            <w:tcW w:w="1075" w:type="dxa"/>
            <w:shd w:val="clear" w:color="auto" w:fill="auto"/>
            <w:noWrap/>
            <w:vAlign w:val="bottom"/>
            <w:hideMark/>
          </w:tcPr>
          <w:p w:rsidR="00982EC0" w:rsidRPr="00982EC0" w:rsidRDefault="00982EC0" w:rsidP="00982EC0">
            <w:pPr>
              <w:pStyle w:val="AERtabletextleft"/>
            </w:pPr>
          </w:p>
        </w:tc>
        <w:tc>
          <w:tcPr>
            <w:tcW w:w="1077" w:type="dxa"/>
            <w:gridSpan w:val="2"/>
            <w:tcBorders>
              <w:right w:val="single" w:sz="12" w:space="0" w:color="auto"/>
            </w:tcBorders>
            <w:shd w:val="clear" w:color="auto" w:fill="auto"/>
            <w:noWrap/>
            <w:vAlign w:val="bottom"/>
            <w:hideMark/>
          </w:tcPr>
          <w:p w:rsidR="00982EC0" w:rsidRPr="00982EC0" w:rsidRDefault="00982EC0" w:rsidP="00982EC0">
            <w:pPr>
              <w:pStyle w:val="AERtabletextleft"/>
            </w:pPr>
            <w:r w:rsidRPr="00982EC0">
              <w:t> </w:t>
            </w:r>
          </w:p>
        </w:tc>
      </w:tr>
      <w:tr w:rsidR="00982EC0" w:rsidRPr="0081390E" w:rsidTr="00982EC0">
        <w:trPr>
          <w:gridAfter w:val="1"/>
          <w:wAfter w:w="7" w:type="dxa"/>
          <w:trHeight w:val="255"/>
        </w:trPr>
        <w:tc>
          <w:tcPr>
            <w:tcW w:w="3142" w:type="dxa"/>
            <w:tcBorders>
              <w:left w:val="single" w:sz="12" w:space="0" w:color="auto"/>
              <w:right w:val="single" w:sz="12" w:space="0" w:color="auto"/>
            </w:tcBorders>
            <w:shd w:val="clear" w:color="auto" w:fill="auto"/>
            <w:noWrap/>
            <w:vAlign w:val="bottom"/>
            <w:hideMark/>
          </w:tcPr>
          <w:p w:rsidR="00982EC0" w:rsidRPr="00982EC0" w:rsidRDefault="00982EC0" w:rsidP="00982EC0">
            <w:pPr>
              <w:pStyle w:val="AERtabletextleft"/>
            </w:pPr>
            <w:r w:rsidRPr="00982EC0">
              <w:t xml:space="preserve">     Transfer</w:t>
            </w:r>
          </w:p>
        </w:tc>
        <w:tc>
          <w:tcPr>
            <w:tcW w:w="1076" w:type="dxa"/>
            <w:tcBorders>
              <w:left w:val="single" w:sz="12" w:space="0" w:color="auto"/>
            </w:tcBorders>
            <w:shd w:val="clear" w:color="auto" w:fill="D9D9D9"/>
          </w:tcPr>
          <w:p w:rsidR="00982EC0" w:rsidRPr="00982EC0" w:rsidRDefault="00982EC0" w:rsidP="00982EC0">
            <w:pPr>
              <w:pStyle w:val="AERtabletextleft"/>
            </w:pPr>
          </w:p>
        </w:tc>
        <w:tc>
          <w:tcPr>
            <w:tcW w:w="928" w:type="dxa"/>
            <w:tcBorders>
              <w:right w:val="single" w:sz="12" w:space="0" w:color="auto"/>
            </w:tcBorders>
            <w:shd w:val="clear" w:color="auto" w:fill="D9D9D9"/>
            <w:noWrap/>
            <w:vAlign w:val="bottom"/>
            <w:hideMark/>
          </w:tcPr>
          <w:p w:rsidR="00982EC0" w:rsidRPr="00982EC0" w:rsidRDefault="00982EC0" w:rsidP="00982EC0">
            <w:pPr>
              <w:pStyle w:val="AERtabletextleft"/>
            </w:pPr>
          </w:p>
        </w:tc>
        <w:tc>
          <w:tcPr>
            <w:tcW w:w="1076" w:type="dxa"/>
            <w:tcBorders>
              <w:left w:val="single" w:sz="12" w:space="0" w:color="auto"/>
            </w:tcBorders>
            <w:vAlign w:val="bottom"/>
          </w:tcPr>
          <w:p w:rsidR="00982EC0" w:rsidRPr="00982EC0" w:rsidRDefault="00982EC0" w:rsidP="00982EC0">
            <w:pPr>
              <w:pStyle w:val="AERtabletextleft"/>
            </w:pPr>
            <w:r w:rsidRPr="00982EC0">
              <w:t>0</w:t>
            </w:r>
          </w:p>
        </w:tc>
        <w:tc>
          <w:tcPr>
            <w:tcW w:w="1273" w:type="dxa"/>
            <w:shd w:val="clear" w:color="auto" w:fill="auto"/>
            <w:noWrap/>
            <w:vAlign w:val="bottom"/>
            <w:hideMark/>
          </w:tcPr>
          <w:p w:rsidR="00982EC0" w:rsidRPr="00982EC0" w:rsidRDefault="00982EC0" w:rsidP="00982EC0">
            <w:pPr>
              <w:pStyle w:val="AERtabletextleft"/>
            </w:pPr>
            <w:r w:rsidRPr="00982EC0">
              <w:t>3</w:t>
            </w:r>
          </w:p>
        </w:tc>
        <w:tc>
          <w:tcPr>
            <w:tcW w:w="1075" w:type="dxa"/>
            <w:shd w:val="clear" w:color="auto" w:fill="auto"/>
            <w:noWrap/>
            <w:vAlign w:val="bottom"/>
            <w:hideMark/>
          </w:tcPr>
          <w:p w:rsidR="00982EC0" w:rsidRPr="00982EC0" w:rsidRDefault="00982EC0" w:rsidP="00982EC0">
            <w:pPr>
              <w:pStyle w:val="AERtabletextleft"/>
            </w:pPr>
            <w:r w:rsidRPr="00982EC0">
              <w:t>0</w:t>
            </w:r>
          </w:p>
        </w:tc>
        <w:tc>
          <w:tcPr>
            <w:tcW w:w="1075" w:type="dxa"/>
            <w:gridSpan w:val="2"/>
            <w:shd w:val="clear" w:color="auto" w:fill="auto"/>
            <w:noWrap/>
            <w:vAlign w:val="bottom"/>
            <w:hideMark/>
          </w:tcPr>
          <w:p w:rsidR="00982EC0" w:rsidRPr="00982EC0" w:rsidRDefault="00982EC0" w:rsidP="00982EC0">
            <w:pPr>
              <w:pStyle w:val="AERtabletextleft"/>
            </w:pPr>
          </w:p>
        </w:tc>
        <w:tc>
          <w:tcPr>
            <w:tcW w:w="1075" w:type="dxa"/>
            <w:shd w:val="clear" w:color="auto" w:fill="auto"/>
            <w:noWrap/>
            <w:vAlign w:val="bottom"/>
            <w:hideMark/>
          </w:tcPr>
          <w:p w:rsidR="00982EC0" w:rsidRPr="00982EC0" w:rsidRDefault="00982EC0" w:rsidP="00982EC0">
            <w:pPr>
              <w:pStyle w:val="AERtabletextleft"/>
            </w:pPr>
            <w:r w:rsidRPr="00982EC0">
              <w:t> </w:t>
            </w:r>
          </w:p>
        </w:tc>
        <w:tc>
          <w:tcPr>
            <w:tcW w:w="1075" w:type="dxa"/>
            <w:shd w:val="clear" w:color="auto" w:fill="auto"/>
            <w:noWrap/>
            <w:vAlign w:val="bottom"/>
            <w:hideMark/>
          </w:tcPr>
          <w:p w:rsidR="00982EC0" w:rsidRPr="00982EC0" w:rsidRDefault="00982EC0" w:rsidP="00982EC0">
            <w:pPr>
              <w:pStyle w:val="AERtabletextleft"/>
            </w:pPr>
          </w:p>
        </w:tc>
        <w:tc>
          <w:tcPr>
            <w:tcW w:w="1077" w:type="dxa"/>
            <w:gridSpan w:val="2"/>
            <w:tcBorders>
              <w:right w:val="single" w:sz="12" w:space="0" w:color="auto"/>
            </w:tcBorders>
            <w:shd w:val="clear" w:color="auto" w:fill="auto"/>
            <w:noWrap/>
            <w:vAlign w:val="bottom"/>
            <w:hideMark/>
          </w:tcPr>
          <w:p w:rsidR="00982EC0" w:rsidRPr="00982EC0" w:rsidRDefault="00982EC0" w:rsidP="00982EC0">
            <w:pPr>
              <w:pStyle w:val="AERtabletextleft"/>
            </w:pPr>
            <w:r w:rsidRPr="00982EC0">
              <w:t> </w:t>
            </w:r>
          </w:p>
        </w:tc>
      </w:tr>
      <w:tr w:rsidR="00982EC0" w:rsidRPr="0081390E" w:rsidTr="00982EC0">
        <w:trPr>
          <w:gridAfter w:val="1"/>
          <w:wAfter w:w="7" w:type="dxa"/>
          <w:trHeight w:val="270"/>
        </w:trPr>
        <w:tc>
          <w:tcPr>
            <w:tcW w:w="3142" w:type="dxa"/>
            <w:tcBorders>
              <w:left w:val="single" w:sz="12" w:space="0" w:color="auto"/>
              <w:right w:val="single" w:sz="12" w:space="0" w:color="auto"/>
            </w:tcBorders>
            <w:shd w:val="clear" w:color="auto" w:fill="auto"/>
            <w:noWrap/>
            <w:vAlign w:val="bottom"/>
            <w:hideMark/>
          </w:tcPr>
          <w:p w:rsidR="00982EC0" w:rsidRPr="00982EC0" w:rsidRDefault="00982EC0" w:rsidP="00982EC0">
            <w:pPr>
              <w:pStyle w:val="AERtabletextleft"/>
            </w:pPr>
            <w:r w:rsidRPr="00982EC0">
              <w:t xml:space="preserve">     Other</w:t>
            </w:r>
          </w:p>
        </w:tc>
        <w:tc>
          <w:tcPr>
            <w:tcW w:w="1076" w:type="dxa"/>
            <w:tcBorders>
              <w:left w:val="single" w:sz="12" w:space="0" w:color="auto"/>
            </w:tcBorders>
            <w:shd w:val="clear" w:color="auto" w:fill="D9D9D9"/>
          </w:tcPr>
          <w:p w:rsidR="00982EC0" w:rsidRPr="00982EC0" w:rsidRDefault="00982EC0" w:rsidP="00982EC0">
            <w:pPr>
              <w:pStyle w:val="AERtabletextleft"/>
            </w:pPr>
          </w:p>
        </w:tc>
        <w:tc>
          <w:tcPr>
            <w:tcW w:w="928" w:type="dxa"/>
            <w:tcBorders>
              <w:right w:val="single" w:sz="12" w:space="0" w:color="auto"/>
            </w:tcBorders>
            <w:shd w:val="clear" w:color="auto" w:fill="D9D9D9"/>
            <w:noWrap/>
            <w:vAlign w:val="bottom"/>
            <w:hideMark/>
          </w:tcPr>
          <w:p w:rsidR="00982EC0" w:rsidRPr="00982EC0" w:rsidRDefault="00982EC0" w:rsidP="00982EC0">
            <w:pPr>
              <w:pStyle w:val="AERtabletextleft"/>
            </w:pPr>
          </w:p>
        </w:tc>
        <w:tc>
          <w:tcPr>
            <w:tcW w:w="1076" w:type="dxa"/>
            <w:tcBorders>
              <w:left w:val="single" w:sz="12" w:space="0" w:color="auto"/>
            </w:tcBorders>
            <w:vAlign w:val="bottom"/>
          </w:tcPr>
          <w:p w:rsidR="00982EC0" w:rsidRPr="00982EC0" w:rsidRDefault="00982EC0" w:rsidP="00982EC0">
            <w:pPr>
              <w:pStyle w:val="AERtabletextleft"/>
            </w:pPr>
            <w:r w:rsidRPr="00982EC0">
              <w:t>0</w:t>
            </w:r>
          </w:p>
        </w:tc>
        <w:tc>
          <w:tcPr>
            <w:tcW w:w="1273" w:type="dxa"/>
            <w:shd w:val="clear" w:color="auto" w:fill="auto"/>
            <w:noWrap/>
            <w:vAlign w:val="bottom"/>
            <w:hideMark/>
          </w:tcPr>
          <w:p w:rsidR="00982EC0" w:rsidRPr="00982EC0" w:rsidRDefault="00982EC0" w:rsidP="00982EC0">
            <w:pPr>
              <w:pStyle w:val="AERtabletextleft"/>
            </w:pPr>
            <w:r w:rsidRPr="00982EC0">
              <w:t>4</w:t>
            </w:r>
          </w:p>
        </w:tc>
        <w:tc>
          <w:tcPr>
            <w:tcW w:w="1075" w:type="dxa"/>
            <w:shd w:val="clear" w:color="auto" w:fill="auto"/>
            <w:noWrap/>
            <w:vAlign w:val="bottom"/>
            <w:hideMark/>
          </w:tcPr>
          <w:p w:rsidR="00982EC0" w:rsidRPr="00982EC0" w:rsidRDefault="00982EC0" w:rsidP="00982EC0">
            <w:pPr>
              <w:pStyle w:val="AERtabletextleft"/>
            </w:pPr>
            <w:r w:rsidRPr="00982EC0">
              <w:t>0</w:t>
            </w:r>
          </w:p>
        </w:tc>
        <w:tc>
          <w:tcPr>
            <w:tcW w:w="1075" w:type="dxa"/>
            <w:gridSpan w:val="2"/>
            <w:shd w:val="clear" w:color="auto" w:fill="auto"/>
            <w:noWrap/>
            <w:vAlign w:val="bottom"/>
            <w:hideMark/>
          </w:tcPr>
          <w:p w:rsidR="00982EC0" w:rsidRPr="00982EC0" w:rsidRDefault="00982EC0" w:rsidP="00982EC0">
            <w:pPr>
              <w:pStyle w:val="AERtabletextleft"/>
            </w:pPr>
            <w:r w:rsidRPr="00982EC0">
              <w:t> </w:t>
            </w:r>
          </w:p>
        </w:tc>
        <w:tc>
          <w:tcPr>
            <w:tcW w:w="1075" w:type="dxa"/>
            <w:shd w:val="clear" w:color="auto" w:fill="auto"/>
            <w:noWrap/>
            <w:vAlign w:val="bottom"/>
            <w:hideMark/>
          </w:tcPr>
          <w:p w:rsidR="00982EC0" w:rsidRPr="00982EC0" w:rsidRDefault="00982EC0" w:rsidP="00982EC0">
            <w:pPr>
              <w:pStyle w:val="AERtabletextleft"/>
            </w:pPr>
            <w:r w:rsidRPr="00982EC0">
              <w:t> </w:t>
            </w:r>
          </w:p>
        </w:tc>
        <w:tc>
          <w:tcPr>
            <w:tcW w:w="1075" w:type="dxa"/>
            <w:shd w:val="clear" w:color="auto" w:fill="auto"/>
            <w:noWrap/>
            <w:vAlign w:val="bottom"/>
            <w:hideMark/>
          </w:tcPr>
          <w:p w:rsidR="00982EC0" w:rsidRPr="00982EC0" w:rsidRDefault="00982EC0" w:rsidP="00982EC0">
            <w:pPr>
              <w:pStyle w:val="AERtabletextleft"/>
            </w:pPr>
            <w:r w:rsidRPr="00982EC0">
              <w:t> </w:t>
            </w:r>
          </w:p>
        </w:tc>
        <w:tc>
          <w:tcPr>
            <w:tcW w:w="1077" w:type="dxa"/>
            <w:gridSpan w:val="2"/>
            <w:tcBorders>
              <w:right w:val="single" w:sz="12" w:space="0" w:color="auto"/>
            </w:tcBorders>
            <w:shd w:val="clear" w:color="auto" w:fill="auto"/>
            <w:noWrap/>
            <w:vAlign w:val="bottom"/>
            <w:hideMark/>
          </w:tcPr>
          <w:p w:rsidR="00982EC0" w:rsidRPr="00982EC0" w:rsidRDefault="00982EC0" w:rsidP="00982EC0">
            <w:pPr>
              <w:pStyle w:val="AERtabletextleft"/>
            </w:pPr>
            <w:r w:rsidRPr="00982EC0">
              <w:t> </w:t>
            </w:r>
          </w:p>
        </w:tc>
      </w:tr>
      <w:tr w:rsidR="00982EC0" w:rsidRPr="0081390E" w:rsidTr="00982EC0">
        <w:trPr>
          <w:gridAfter w:val="2"/>
          <w:wAfter w:w="15" w:type="dxa"/>
          <w:trHeight w:val="255"/>
        </w:trPr>
        <w:tc>
          <w:tcPr>
            <w:tcW w:w="12864" w:type="dxa"/>
            <w:gridSpan w:val="11"/>
            <w:tcBorders>
              <w:left w:val="single" w:sz="12" w:space="0" w:color="auto"/>
              <w:right w:val="single" w:sz="12" w:space="0" w:color="auto"/>
            </w:tcBorders>
            <w:shd w:val="clear" w:color="auto" w:fill="DBE5F1"/>
            <w:noWrap/>
            <w:vAlign w:val="bottom"/>
            <w:hideMark/>
          </w:tcPr>
          <w:p w:rsidR="00982EC0" w:rsidRPr="00982EC0" w:rsidRDefault="00982EC0" w:rsidP="00982EC0">
            <w:pPr>
              <w:pStyle w:val="AERtabletextleft"/>
            </w:pPr>
            <w:r w:rsidRPr="00982EC0">
              <w:t>Number of Customers in Debt </w:t>
            </w:r>
          </w:p>
        </w:tc>
      </w:tr>
      <w:tr w:rsidR="00982EC0" w:rsidRPr="0081390E" w:rsidTr="00982EC0">
        <w:trPr>
          <w:trHeight w:val="255"/>
        </w:trPr>
        <w:tc>
          <w:tcPr>
            <w:tcW w:w="3142" w:type="dxa"/>
            <w:tcBorders>
              <w:left w:val="single" w:sz="12" w:space="0" w:color="auto"/>
              <w:right w:val="single" w:sz="12" w:space="0" w:color="auto"/>
            </w:tcBorders>
            <w:shd w:val="clear" w:color="auto" w:fill="auto"/>
            <w:noWrap/>
            <w:vAlign w:val="bottom"/>
            <w:hideMark/>
          </w:tcPr>
          <w:p w:rsidR="00982EC0" w:rsidRPr="00982EC0" w:rsidRDefault="00982EC0" w:rsidP="00982EC0">
            <w:pPr>
              <w:pStyle w:val="AERtabletextleft"/>
            </w:pPr>
            <w:r w:rsidRPr="00982EC0">
              <w:t xml:space="preserve">   Residential </w:t>
            </w:r>
          </w:p>
        </w:tc>
        <w:tc>
          <w:tcPr>
            <w:tcW w:w="2004" w:type="dxa"/>
            <w:gridSpan w:val="2"/>
            <w:tcBorders>
              <w:left w:val="single" w:sz="12" w:space="0" w:color="auto"/>
              <w:right w:val="single" w:sz="12" w:space="0" w:color="auto"/>
            </w:tcBorders>
            <w:shd w:val="clear" w:color="auto" w:fill="auto"/>
            <w:vAlign w:val="bottom"/>
          </w:tcPr>
          <w:p w:rsidR="00982EC0" w:rsidRPr="00982EC0" w:rsidRDefault="00982EC0" w:rsidP="00982EC0">
            <w:pPr>
              <w:pStyle w:val="AERtabletextleft"/>
            </w:pPr>
          </w:p>
        </w:tc>
        <w:tc>
          <w:tcPr>
            <w:tcW w:w="7733" w:type="dxa"/>
            <w:gridSpan w:val="10"/>
            <w:tcBorders>
              <w:left w:val="single" w:sz="12" w:space="0" w:color="auto"/>
              <w:right w:val="single" w:sz="12" w:space="0" w:color="auto"/>
            </w:tcBorders>
            <w:shd w:val="clear" w:color="auto" w:fill="auto"/>
            <w:vAlign w:val="bottom"/>
          </w:tcPr>
          <w:p w:rsidR="00982EC0" w:rsidRPr="00982EC0" w:rsidRDefault="00982EC0" w:rsidP="00982EC0">
            <w:pPr>
              <w:pStyle w:val="AERtabletextleft"/>
            </w:pPr>
          </w:p>
        </w:tc>
      </w:tr>
      <w:tr w:rsidR="00982EC0" w:rsidRPr="0081390E" w:rsidTr="00982EC0">
        <w:trPr>
          <w:gridAfter w:val="1"/>
          <w:wAfter w:w="7" w:type="dxa"/>
          <w:trHeight w:val="255"/>
        </w:trPr>
        <w:tc>
          <w:tcPr>
            <w:tcW w:w="3142" w:type="dxa"/>
            <w:tcBorders>
              <w:left w:val="single" w:sz="12" w:space="0" w:color="auto"/>
              <w:right w:val="single" w:sz="12" w:space="0" w:color="auto"/>
            </w:tcBorders>
            <w:shd w:val="clear" w:color="auto" w:fill="auto"/>
            <w:noWrap/>
            <w:vAlign w:val="bottom"/>
            <w:hideMark/>
          </w:tcPr>
          <w:p w:rsidR="00982EC0" w:rsidRPr="00982EC0" w:rsidRDefault="00982EC0" w:rsidP="00982EC0">
            <w:pPr>
              <w:pStyle w:val="AERtabletextleft"/>
            </w:pPr>
            <w:r w:rsidRPr="00982EC0">
              <w:t xml:space="preserve">     Electricity</w:t>
            </w:r>
          </w:p>
        </w:tc>
        <w:tc>
          <w:tcPr>
            <w:tcW w:w="1076" w:type="dxa"/>
            <w:tcBorders>
              <w:left w:val="single" w:sz="12" w:space="0" w:color="auto"/>
            </w:tcBorders>
            <w:vAlign w:val="bottom"/>
          </w:tcPr>
          <w:p w:rsidR="00982EC0" w:rsidRPr="00982EC0" w:rsidRDefault="00982EC0" w:rsidP="00982EC0">
            <w:pPr>
              <w:pStyle w:val="AERtabletextleft"/>
            </w:pPr>
            <w:r w:rsidRPr="00982EC0">
              <w:t>3546</w:t>
            </w:r>
          </w:p>
        </w:tc>
        <w:tc>
          <w:tcPr>
            <w:tcW w:w="928" w:type="dxa"/>
            <w:tcBorders>
              <w:right w:val="single" w:sz="12" w:space="0" w:color="auto"/>
            </w:tcBorders>
            <w:shd w:val="clear" w:color="auto" w:fill="auto"/>
            <w:noWrap/>
            <w:vAlign w:val="bottom"/>
            <w:hideMark/>
          </w:tcPr>
          <w:p w:rsidR="00982EC0" w:rsidRPr="00982EC0" w:rsidRDefault="00982EC0" w:rsidP="00982EC0">
            <w:pPr>
              <w:pStyle w:val="AERtabletextleft"/>
            </w:pPr>
            <w:r w:rsidRPr="00982EC0">
              <w:t>9180</w:t>
            </w:r>
          </w:p>
        </w:tc>
        <w:tc>
          <w:tcPr>
            <w:tcW w:w="1076" w:type="dxa"/>
            <w:tcBorders>
              <w:left w:val="single" w:sz="12" w:space="0" w:color="auto"/>
            </w:tcBorders>
            <w:shd w:val="clear" w:color="auto" w:fill="D9D9D9"/>
            <w:vAlign w:val="bottom"/>
          </w:tcPr>
          <w:p w:rsidR="00982EC0" w:rsidRPr="00982EC0" w:rsidRDefault="00982EC0" w:rsidP="00982EC0">
            <w:pPr>
              <w:pStyle w:val="AERtabletextleft"/>
            </w:pPr>
          </w:p>
        </w:tc>
        <w:tc>
          <w:tcPr>
            <w:tcW w:w="1273" w:type="dxa"/>
            <w:shd w:val="clear" w:color="auto" w:fill="D9D9D9"/>
            <w:noWrap/>
            <w:vAlign w:val="bottom"/>
            <w:hideMark/>
          </w:tcPr>
          <w:p w:rsidR="00982EC0" w:rsidRPr="00982EC0" w:rsidRDefault="00982EC0" w:rsidP="00982EC0">
            <w:pPr>
              <w:pStyle w:val="AERtabletextleft"/>
            </w:pPr>
          </w:p>
        </w:tc>
        <w:tc>
          <w:tcPr>
            <w:tcW w:w="1075" w:type="dxa"/>
            <w:shd w:val="clear" w:color="auto" w:fill="D9D9D9"/>
            <w:noWrap/>
            <w:vAlign w:val="bottom"/>
            <w:hideMark/>
          </w:tcPr>
          <w:p w:rsidR="00982EC0" w:rsidRPr="00982EC0" w:rsidRDefault="00982EC0" w:rsidP="00982EC0">
            <w:pPr>
              <w:pStyle w:val="AERtabletextleft"/>
            </w:pPr>
            <w:r w:rsidRPr="00982EC0">
              <w:t> </w:t>
            </w:r>
          </w:p>
        </w:tc>
        <w:tc>
          <w:tcPr>
            <w:tcW w:w="1075" w:type="dxa"/>
            <w:gridSpan w:val="2"/>
            <w:shd w:val="clear" w:color="auto" w:fill="D9D9D9"/>
            <w:noWrap/>
            <w:vAlign w:val="bottom"/>
            <w:hideMark/>
          </w:tcPr>
          <w:p w:rsidR="00982EC0" w:rsidRPr="00982EC0" w:rsidRDefault="00982EC0" w:rsidP="00982EC0">
            <w:pPr>
              <w:pStyle w:val="AERtabletextleft"/>
            </w:pPr>
          </w:p>
        </w:tc>
        <w:tc>
          <w:tcPr>
            <w:tcW w:w="1075" w:type="dxa"/>
            <w:shd w:val="clear" w:color="auto" w:fill="D9D9D9"/>
            <w:noWrap/>
            <w:vAlign w:val="bottom"/>
            <w:hideMark/>
          </w:tcPr>
          <w:p w:rsidR="00982EC0" w:rsidRPr="00982EC0" w:rsidRDefault="00982EC0" w:rsidP="00982EC0">
            <w:pPr>
              <w:pStyle w:val="AERtabletextleft"/>
            </w:pPr>
            <w:r w:rsidRPr="00982EC0">
              <w:t> </w:t>
            </w:r>
          </w:p>
        </w:tc>
        <w:tc>
          <w:tcPr>
            <w:tcW w:w="1075" w:type="dxa"/>
            <w:shd w:val="clear" w:color="auto" w:fill="D9D9D9"/>
            <w:noWrap/>
            <w:vAlign w:val="bottom"/>
            <w:hideMark/>
          </w:tcPr>
          <w:p w:rsidR="00982EC0" w:rsidRPr="00982EC0" w:rsidRDefault="00982EC0" w:rsidP="00982EC0">
            <w:pPr>
              <w:pStyle w:val="AERtabletextleft"/>
            </w:pPr>
          </w:p>
        </w:tc>
        <w:tc>
          <w:tcPr>
            <w:tcW w:w="1077" w:type="dxa"/>
            <w:gridSpan w:val="2"/>
            <w:tcBorders>
              <w:right w:val="single" w:sz="12" w:space="0" w:color="auto"/>
            </w:tcBorders>
            <w:shd w:val="clear" w:color="auto" w:fill="D9D9D9"/>
            <w:noWrap/>
            <w:vAlign w:val="bottom"/>
            <w:hideMark/>
          </w:tcPr>
          <w:p w:rsidR="00982EC0" w:rsidRPr="00982EC0" w:rsidRDefault="00982EC0" w:rsidP="00982EC0">
            <w:pPr>
              <w:pStyle w:val="AERtabletextleft"/>
            </w:pPr>
            <w:r w:rsidRPr="00982EC0">
              <w:t> </w:t>
            </w:r>
          </w:p>
        </w:tc>
      </w:tr>
      <w:tr w:rsidR="00982EC0" w:rsidRPr="0081390E" w:rsidTr="00982EC0">
        <w:trPr>
          <w:gridAfter w:val="1"/>
          <w:wAfter w:w="7" w:type="dxa"/>
          <w:trHeight w:val="255"/>
        </w:trPr>
        <w:tc>
          <w:tcPr>
            <w:tcW w:w="3142" w:type="dxa"/>
            <w:tcBorders>
              <w:left w:val="single" w:sz="12" w:space="0" w:color="auto"/>
              <w:right w:val="single" w:sz="12" w:space="0" w:color="auto"/>
            </w:tcBorders>
            <w:shd w:val="clear" w:color="auto" w:fill="auto"/>
            <w:noWrap/>
            <w:vAlign w:val="bottom"/>
            <w:hideMark/>
          </w:tcPr>
          <w:p w:rsidR="00982EC0" w:rsidRPr="00982EC0" w:rsidRDefault="00982EC0" w:rsidP="00982EC0">
            <w:pPr>
              <w:pStyle w:val="AERtabletextleft"/>
            </w:pPr>
            <w:r w:rsidRPr="00982EC0">
              <w:t xml:space="preserve">     Gas</w:t>
            </w:r>
          </w:p>
        </w:tc>
        <w:tc>
          <w:tcPr>
            <w:tcW w:w="1076" w:type="dxa"/>
            <w:tcBorders>
              <w:left w:val="single" w:sz="12" w:space="0" w:color="auto"/>
            </w:tcBorders>
            <w:vAlign w:val="bottom"/>
          </w:tcPr>
          <w:p w:rsidR="00982EC0" w:rsidRPr="00982EC0" w:rsidRDefault="00982EC0" w:rsidP="00982EC0">
            <w:pPr>
              <w:pStyle w:val="AERtabletextleft"/>
            </w:pPr>
            <w:r w:rsidRPr="00982EC0">
              <w:t> </w:t>
            </w:r>
          </w:p>
        </w:tc>
        <w:tc>
          <w:tcPr>
            <w:tcW w:w="928" w:type="dxa"/>
            <w:tcBorders>
              <w:right w:val="single" w:sz="12" w:space="0" w:color="auto"/>
            </w:tcBorders>
            <w:shd w:val="clear" w:color="auto" w:fill="auto"/>
            <w:noWrap/>
            <w:vAlign w:val="bottom"/>
            <w:hideMark/>
          </w:tcPr>
          <w:p w:rsidR="00982EC0" w:rsidRPr="00982EC0" w:rsidRDefault="00982EC0" w:rsidP="00982EC0">
            <w:pPr>
              <w:pStyle w:val="AERtabletextleft"/>
            </w:pPr>
            <w:r w:rsidRPr="00982EC0">
              <w:t>8677</w:t>
            </w:r>
          </w:p>
        </w:tc>
        <w:tc>
          <w:tcPr>
            <w:tcW w:w="1076" w:type="dxa"/>
            <w:tcBorders>
              <w:left w:val="single" w:sz="12" w:space="0" w:color="auto"/>
            </w:tcBorders>
            <w:shd w:val="clear" w:color="auto" w:fill="D9D9D9"/>
            <w:vAlign w:val="bottom"/>
          </w:tcPr>
          <w:p w:rsidR="00982EC0" w:rsidRPr="00982EC0" w:rsidRDefault="00982EC0" w:rsidP="00982EC0">
            <w:pPr>
              <w:pStyle w:val="AERtabletextleft"/>
            </w:pPr>
          </w:p>
        </w:tc>
        <w:tc>
          <w:tcPr>
            <w:tcW w:w="1273" w:type="dxa"/>
            <w:shd w:val="clear" w:color="auto" w:fill="D9D9D9"/>
            <w:noWrap/>
            <w:vAlign w:val="bottom"/>
            <w:hideMark/>
          </w:tcPr>
          <w:p w:rsidR="00982EC0" w:rsidRPr="00982EC0" w:rsidRDefault="00982EC0" w:rsidP="00982EC0">
            <w:pPr>
              <w:pStyle w:val="AERtabletextleft"/>
            </w:pPr>
          </w:p>
        </w:tc>
        <w:tc>
          <w:tcPr>
            <w:tcW w:w="1075" w:type="dxa"/>
            <w:shd w:val="clear" w:color="auto" w:fill="D9D9D9"/>
            <w:noWrap/>
            <w:vAlign w:val="bottom"/>
            <w:hideMark/>
          </w:tcPr>
          <w:p w:rsidR="00982EC0" w:rsidRPr="00982EC0" w:rsidRDefault="00982EC0" w:rsidP="00982EC0">
            <w:pPr>
              <w:pStyle w:val="AERtabletextleft"/>
            </w:pPr>
            <w:r w:rsidRPr="00982EC0">
              <w:t> </w:t>
            </w:r>
          </w:p>
        </w:tc>
        <w:tc>
          <w:tcPr>
            <w:tcW w:w="1075" w:type="dxa"/>
            <w:gridSpan w:val="2"/>
            <w:shd w:val="clear" w:color="auto" w:fill="D9D9D9"/>
            <w:noWrap/>
            <w:vAlign w:val="bottom"/>
            <w:hideMark/>
          </w:tcPr>
          <w:p w:rsidR="00982EC0" w:rsidRPr="00982EC0" w:rsidRDefault="00982EC0" w:rsidP="00982EC0">
            <w:pPr>
              <w:pStyle w:val="AERtabletextleft"/>
            </w:pPr>
          </w:p>
        </w:tc>
        <w:tc>
          <w:tcPr>
            <w:tcW w:w="1075" w:type="dxa"/>
            <w:shd w:val="clear" w:color="auto" w:fill="D9D9D9"/>
            <w:noWrap/>
            <w:vAlign w:val="bottom"/>
            <w:hideMark/>
          </w:tcPr>
          <w:p w:rsidR="00982EC0" w:rsidRPr="00982EC0" w:rsidRDefault="00982EC0" w:rsidP="00982EC0">
            <w:pPr>
              <w:pStyle w:val="AERtabletextleft"/>
            </w:pPr>
            <w:r w:rsidRPr="00982EC0">
              <w:t> </w:t>
            </w:r>
          </w:p>
        </w:tc>
        <w:tc>
          <w:tcPr>
            <w:tcW w:w="1075" w:type="dxa"/>
            <w:shd w:val="clear" w:color="auto" w:fill="D9D9D9"/>
            <w:noWrap/>
            <w:vAlign w:val="bottom"/>
            <w:hideMark/>
          </w:tcPr>
          <w:p w:rsidR="00982EC0" w:rsidRPr="00982EC0" w:rsidRDefault="00982EC0" w:rsidP="00982EC0">
            <w:pPr>
              <w:pStyle w:val="AERtabletextleft"/>
            </w:pPr>
          </w:p>
        </w:tc>
        <w:tc>
          <w:tcPr>
            <w:tcW w:w="1077" w:type="dxa"/>
            <w:gridSpan w:val="2"/>
            <w:tcBorders>
              <w:right w:val="single" w:sz="12" w:space="0" w:color="auto"/>
            </w:tcBorders>
            <w:shd w:val="clear" w:color="auto" w:fill="D9D9D9"/>
            <w:noWrap/>
            <w:vAlign w:val="bottom"/>
            <w:hideMark/>
          </w:tcPr>
          <w:p w:rsidR="00982EC0" w:rsidRPr="00982EC0" w:rsidRDefault="00982EC0" w:rsidP="00982EC0">
            <w:pPr>
              <w:pStyle w:val="AERtabletextleft"/>
            </w:pPr>
            <w:r w:rsidRPr="00982EC0">
              <w:t> </w:t>
            </w:r>
          </w:p>
        </w:tc>
      </w:tr>
      <w:tr w:rsidR="00982EC0" w:rsidRPr="0081390E" w:rsidTr="00982EC0">
        <w:trPr>
          <w:gridAfter w:val="2"/>
          <w:wAfter w:w="15" w:type="dxa"/>
          <w:trHeight w:val="255"/>
        </w:trPr>
        <w:tc>
          <w:tcPr>
            <w:tcW w:w="3142" w:type="dxa"/>
            <w:tcBorders>
              <w:left w:val="single" w:sz="12" w:space="0" w:color="auto"/>
              <w:right w:val="single" w:sz="12" w:space="0" w:color="auto"/>
            </w:tcBorders>
            <w:shd w:val="clear" w:color="auto" w:fill="auto"/>
            <w:noWrap/>
            <w:vAlign w:val="bottom"/>
            <w:hideMark/>
          </w:tcPr>
          <w:p w:rsidR="00982EC0" w:rsidRPr="00982EC0" w:rsidRDefault="00982EC0" w:rsidP="00982EC0">
            <w:pPr>
              <w:pStyle w:val="AERtabletextleft"/>
            </w:pPr>
            <w:r w:rsidRPr="00982EC0">
              <w:t xml:space="preserve">   Small business </w:t>
            </w:r>
          </w:p>
        </w:tc>
        <w:tc>
          <w:tcPr>
            <w:tcW w:w="2004" w:type="dxa"/>
            <w:gridSpan w:val="2"/>
            <w:tcBorders>
              <w:left w:val="single" w:sz="12" w:space="0" w:color="auto"/>
              <w:right w:val="single" w:sz="12" w:space="0" w:color="auto"/>
            </w:tcBorders>
            <w:shd w:val="clear" w:color="auto" w:fill="auto"/>
            <w:vAlign w:val="bottom"/>
          </w:tcPr>
          <w:p w:rsidR="00982EC0" w:rsidRPr="00982EC0" w:rsidRDefault="00982EC0" w:rsidP="00982EC0">
            <w:pPr>
              <w:pStyle w:val="AERtabletextleft"/>
            </w:pPr>
          </w:p>
        </w:tc>
        <w:tc>
          <w:tcPr>
            <w:tcW w:w="7718" w:type="dxa"/>
            <w:gridSpan w:val="8"/>
            <w:tcBorders>
              <w:left w:val="single" w:sz="12" w:space="0" w:color="auto"/>
              <w:right w:val="single" w:sz="12" w:space="0" w:color="auto"/>
            </w:tcBorders>
            <w:shd w:val="clear" w:color="auto" w:fill="D9D9D9"/>
            <w:vAlign w:val="bottom"/>
          </w:tcPr>
          <w:p w:rsidR="00982EC0" w:rsidRPr="00982EC0" w:rsidRDefault="00982EC0" w:rsidP="00982EC0">
            <w:pPr>
              <w:pStyle w:val="AERtabletextleft"/>
            </w:pPr>
          </w:p>
        </w:tc>
      </w:tr>
      <w:tr w:rsidR="00982EC0" w:rsidRPr="0081390E" w:rsidTr="00982EC0">
        <w:trPr>
          <w:gridAfter w:val="1"/>
          <w:wAfter w:w="7" w:type="dxa"/>
          <w:trHeight w:val="255"/>
        </w:trPr>
        <w:tc>
          <w:tcPr>
            <w:tcW w:w="3142" w:type="dxa"/>
            <w:tcBorders>
              <w:left w:val="single" w:sz="12" w:space="0" w:color="auto"/>
              <w:right w:val="single" w:sz="12" w:space="0" w:color="auto"/>
            </w:tcBorders>
            <w:shd w:val="clear" w:color="auto" w:fill="auto"/>
            <w:noWrap/>
            <w:vAlign w:val="bottom"/>
            <w:hideMark/>
          </w:tcPr>
          <w:p w:rsidR="00982EC0" w:rsidRPr="00982EC0" w:rsidRDefault="00982EC0" w:rsidP="00982EC0">
            <w:pPr>
              <w:pStyle w:val="AERtabletextleft"/>
            </w:pPr>
            <w:r w:rsidRPr="00982EC0">
              <w:t xml:space="preserve">     Electricity</w:t>
            </w:r>
          </w:p>
        </w:tc>
        <w:tc>
          <w:tcPr>
            <w:tcW w:w="1076" w:type="dxa"/>
            <w:tcBorders>
              <w:left w:val="single" w:sz="12" w:space="0" w:color="auto"/>
            </w:tcBorders>
            <w:vAlign w:val="bottom"/>
          </w:tcPr>
          <w:p w:rsidR="00982EC0" w:rsidRPr="00982EC0" w:rsidRDefault="00982EC0" w:rsidP="00982EC0">
            <w:pPr>
              <w:pStyle w:val="AERtabletextleft"/>
            </w:pPr>
            <w:r w:rsidRPr="00982EC0">
              <w:t>1362</w:t>
            </w:r>
          </w:p>
        </w:tc>
        <w:tc>
          <w:tcPr>
            <w:tcW w:w="928" w:type="dxa"/>
            <w:tcBorders>
              <w:right w:val="single" w:sz="12" w:space="0" w:color="auto"/>
            </w:tcBorders>
            <w:shd w:val="clear" w:color="auto" w:fill="auto"/>
            <w:noWrap/>
            <w:vAlign w:val="bottom"/>
            <w:hideMark/>
          </w:tcPr>
          <w:p w:rsidR="00982EC0" w:rsidRPr="00982EC0" w:rsidRDefault="00982EC0" w:rsidP="00982EC0">
            <w:pPr>
              <w:pStyle w:val="AERtabletextleft"/>
            </w:pPr>
            <w:r w:rsidRPr="00982EC0">
              <w:t>331</w:t>
            </w:r>
          </w:p>
        </w:tc>
        <w:tc>
          <w:tcPr>
            <w:tcW w:w="1076" w:type="dxa"/>
            <w:tcBorders>
              <w:left w:val="single" w:sz="12" w:space="0" w:color="auto"/>
            </w:tcBorders>
            <w:shd w:val="clear" w:color="auto" w:fill="D9D9D9"/>
            <w:vAlign w:val="bottom"/>
          </w:tcPr>
          <w:p w:rsidR="00982EC0" w:rsidRPr="00982EC0" w:rsidRDefault="00982EC0" w:rsidP="00982EC0">
            <w:pPr>
              <w:pStyle w:val="AERtabletextleft"/>
            </w:pPr>
          </w:p>
        </w:tc>
        <w:tc>
          <w:tcPr>
            <w:tcW w:w="1273" w:type="dxa"/>
            <w:shd w:val="clear" w:color="auto" w:fill="D9D9D9"/>
            <w:noWrap/>
            <w:vAlign w:val="bottom"/>
            <w:hideMark/>
          </w:tcPr>
          <w:p w:rsidR="00982EC0" w:rsidRPr="00982EC0" w:rsidRDefault="00982EC0" w:rsidP="00982EC0">
            <w:pPr>
              <w:pStyle w:val="AERtabletextleft"/>
            </w:pPr>
          </w:p>
        </w:tc>
        <w:tc>
          <w:tcPr>
            <w:tcW w:w="1075" w:type="dxa"/>
            <w:shd w:val="clear" w:color="auto" w:fill="D9D9D9"/>
            <w:noWrap/>
            <w:vAlign w:val="bottom"/>
            <w:hideMark/>
          </w:tcPr>
          <w:p w:rsidR="00982EC0" w:rsidRPr="00982EC0" w:rsidRDefault="00982EC0" w:rsidP="00982EC0">
            <w:pPr>
              <w:pStyle w:val="AERtabletextleft"/>
            </w:pPr>
            <w:r w:rsidRPr="00982EC0">
              <w:t> </w:t>
            </w:r>
          </w:p>
        </w:tc>
        <w:tc>
          <w:tcPr>
            <w:tcW w:w="1075" w:type="dxa"/>
            <w:gridSpan w:val="2"/>
            <w:shd w:val="clear" w:color="auto" w:fill="D9D9D9"/>
            <w:noWrap/>
            <w:vAlign w:val="bottom"/>
            <w:hideMark/>
          </w:tcPr>
          <w:p w:rsidR="00982EC0" w:rsidRPr="00982EC0" w:rsidRDefault="00982EC0" w:rsidP="00982EC0">
            <w:pPr>
              <w:pStyle w:val="AERtabletextleft"/>
            </w:pPr>
          </w:p>
        </w:tc>
        <w:tc>
          <w:tcPr>
            <w:tcW w:w="1075" w:type="dxa"/>
            <w:shd w:val="clear" w:color="auto" w:fill="D9D9D9"/>
            <w:noWrap/>
            <w:vAlign w:val="bottom"/>
            <w:hideMark/>
          </w:tcPr>
          <w:p w:rsidR="00982EC0" w:rsidRPr="00982EC0" w:rsidRDefault="00982EC0" w:rsidP="00982EC0">
            <w:pPr>
              <w:pStyle w:val="AERtabletextleft"/>
            </w:pPr>
            <w:r w:rsidRPr="00982EC0">
              <w:t> </w:t>
            </w:r>
          </w:p>
        </w:tc>
        <w:tc>
          <w:tcPr>
            <w:tcW w:w="1075" w:type="dxa"/>
            <w:shd w:val="clear" w:color="auto" w:fill="D9D9D9"/>
            <w:noWrap/>
            <w:vAlign w:val="bottom"/>
            <w:hideMark/>
          </w:tcPr>
          <w:p w:rsidR="00982EC0" w:rsidRPr="00982EC0" w:rsidRDefault="00982EC0" w:rsidP="00982EC0">
            <w:pPr>
              <w:pStyle w:val="AERtabletextleft"/>
            </w:pPr>
          </w:p>
        </w:tc>
        <w:tc>
          <w:tcPr>
            <w:tcW w:w="1077" w:type="dxa"/>
            <w:gridSpan w:val="2"/>
            <w:tcBorders>
              <w:right w:val="single" w:sz="12" w:space="0" w:color="auto"/>
            </w:tcBorders>
            <w:shd w:val="clear" w:color="auto" w:fill="D9D9D9"/>
            <w:noWrap/>
            <w:vAlign w:val="bottom"/>
            <w:hideMark/>
          </w:tcPr>
          <w:p w:rsidR="00982EC0" w:rsidRPr="00982EC0" w:rsidRDefault="00982EC0" w:rsidP="00982EC0">
            <w:pPr>
              <w:pStyle w:val="AERtabletextleft"/>
            </w:pPr>
            <w:r w:rsidRPr="00982EC0">
              <w:t> </w:t>
            </w:r>
          </w:p>
        </w:tc>
      </w:tr>
      <w:tr w:rsidR="00982EC0" w:rsidRPr="0081390E" w:rsidTr="00982EC0">
        <w:trPr>
          <w:gridAfter w:val="1"/>
          <w:wAfter w:w="7" w:type="dxa"/>
          <w:trHeight w:val="270"/>
        </w:trPr>
        <w:tc>
          <w:tcPr>
            <w:tcW w:w="3142" w:type="dxa"/>
            <w:tcBorders>
              <w:left w:val="single" w:sz="12" w:space="0" w:color="auto"/>
              <w:right w:val="single" w:sz="12" w:space="0" w:color="auto"/>
            </w:tcBorders>
            <w:shd w:val="clear" w:color="auto" w:fill="auto"/>
            <w:noWrap/>
            <w:vAlign w:val="bottom"/>
            <w:hideMark/>
          </w:tcPr>
          <w:p w:rsidR="00982EC0" w:rsidRPr="00982EC0" w:rsidRDefault="00982EC0" w:rsidP="00982EC0">
            <w:pPr>
              <w:pStyle w:val="AERtabletextleft"/>
            </w:pPr>
            <w:r w:rsidRPr="00982EC0">
              <w:t xml:space="preserve">     Gas</w:t>
            </w:r>
          </w:p>
        </w:tc>
        <w:tc>
          <w:tcPr>
            <w:tcW w:w="1076" w:type="dxa"/>
            <w:tcBorders>
              <w:left w:val="single" w:sz="12" w:space="0" w:color="auto"/>
            </w:tcBorders>
            <w:vAlign w:val="bottom"/>
          </w:tcPr>
          <w:p w:rsidR="00982EC0" w:rsidRPr="00982EC0" w:rsidRDefault="00982EC0" w:rsidP="00982EC0">
            <w:pPr>
              <w:pStyle w:val="AERtabletextleft"/>
            </w:pPr>
            <w:r w:rsidRPr="00982EC0">
              <w:t> </w:t>
            </w:r>
          </w:p>
        </w:tc>
        <w:tc>
          <w:tcPr>
            <w:tcW w:w="928" w:type="dxa"/>
            <w:tcBorders>
              <w:right w:val="single" w:sz="12" w:space="0" w:color="auto"/>
            </w:tcBorders>
            <w:shd w:val="clear" w:color="auto" w:fill="auto"/>
            <w:noWrap/>
            <w:vAlign w:val="bottom"/>
            <w:hideMark/>
          </w:tcPr>
          <w:p w:rsidR="00982EC0" w:rsidRPr="00982EC0" w:rsidRDefault="00982EC0" w:rsidP="00982EC0">
            <w:pPr>
              <w:pStyle w:val="AERtabletextleft"/>
            </w:pPr>
            <w:r w:rsidRPr="00982EC0">
              <w:t>182</w:t>
            </w:r>
          </w:p>
        </w:tc>
        <w:tc>
          <w:tcPr>
            <w:tcW w:w="1076" w:type="dxa"/>
            <w:tcBorders>
              <w:left w:val="single" w:sz="12" w:space="0" w:color="auto"/>
            </w:tcBorders>
            <w:shd w:val="clear" w:color="auto" w:fill="D9D9D9"/>
            <w:vAlign w:val="bottom"/>
          </w:tcPr>
          <w:p w:rsidR="00982EC0" w:rsidRPr="00982EC0" w:rsidRDefault="00982EC0" w:rsidP="00982EC0">
            <w:pPr>
              <w:pStyle w:val="AERtabletextleft"/>
            </w:pPr>
          </w:p>
        </w:tc>
        <w:tc>
          <w:tcPr>
            <w:tcW w:w="1273" w:type="dxa"/>
            <w:shd w:val="clear" w:color="auto" w:fill="D9D9D9"/>
            <w:noWrap/>
            <w:vAlign w:val="bottom"/>
            <w:hideMark/>
          </w:tcPr>
          <w:p w:rsidR="00982EC0" w:rsidRPr="00982EC0" w:rsidRDefault="00982EC0" w:rsidP="00982EC0">
            <w:pPr>
              <w:pStyle w:val="AERtabletextleft"/>
            </w:pPr>
          </w:p>
        </w:tc>
        <w:tc>
          <w:tcPr>
            <w:tcW w:w="1075" w:type="dxa"/>
            <w:shd w:val="clear" w:color="auto" w:fill="D9D9D9"/>
            <w:noWrap/>
            <w:vAlign w:val="bottom"/>
            <w:hideMark/>
          </w:tcPr>
          <w:p w:rsidR="00982EC0" w:rsidRPr="00982EC0" w:rsidRDefault="00982EC0" w:rsidP="00982EC0">
            <w:pPr>
              <w:pStyle w:val="AERtabletextleft"/>
            </w:pPr>
            <w:r w:rsidRPr="00982EC0">
              <w:t> </w:t>
            </w:r>
          </w:p>
        </w:tc>
        <w:tc>
          <w:tcPr>
            <w:tcW w:w="1075" w:type="dxa"/>
            <w:gridSpan w:val="2"/>
            <w:shd w:val="clear" w:color="auto" w:fill="D9D9D9"/>
            <w:noWrap/>
            <w:vAlign w:val="bottom"/>
            <w:hideMark/>
          </w:tcPr>
          <w:p w:rsidR="00982EC0" w:rsidRPr="00982EC0" w:rsidRDefault="00982EC0" w:rsidP="00982EC0">
            <w:pPr>
              <w:pStyle w:val="AERtabletextleft"/>
            </w:pPr>
            <w:r w:rsidRPr="00982EC0">
              <w:t> </w:t>
            </w:r>
          </w:p>
        </w:tc>
        <w:tc>
          <w:tcPr>
            <w:tcW w:w="1075" w:type="dxa"/>
            <w:shd w:val="clear" w:color="auto" w:fill="D9D9D9"/>
            <w:noWrap/>
            <w:vAlign w:val="bottom"/>
            <w:hideMark/>
          </w:tcPr>
          <w:p w:rsidR="00982EC0" w:rsidRPr="00982EC0" w:rsidRDefault="00982EC0" w:rsidP="00982EC0">
            <w:pPr>
              <w:pStyle w:val="AERtabletextleft"/>
            </w:pPr>
            <w:r w:rsidRPr="00982EC0">
              <w:t> </w:t>
            </w:r>
          </w:p>
        </w:tc>
        <w:tc>
          <w:tcPr>
            <w:tcW w:w="1075" w:type="dxa"/>
            <w:shd w:val="clear" w:color="auto" w:fill="D9D9D9"/>
            <w:noWrap/>
            <w:vAlign w:val="bottom"/>
            <w:hideMark/>
          </w:tcPr>
          <w:p w:rsidR="00982EC0" w:rsidRPr="00982EC0" w:rsidRDefault="00982EC0" w:rsidP="00982EC0">
            <w:pPr>
              <w:pStyle w:val="AERtabletextleft"/>
            </w:pPr>
            <w:r w:rsidRPr="00982EC0">
              <w:t> </w:t>
            </w:r>
          </w:p>
        </w:tc>
        <w:tc>
          <w:tcPr>
            <w:tcW w:w="1077" w:type="dxa"/>
            <w:gridSpan w:val="2"/>
            <w:tcBorders>
              <w:right w:val="single" w:sz="12" w:space="0" w:color="auto"/>
            </w:tcBorders>
            <w:shd w:val="clear" w:color="auto" w:fill="D9D9D9"/>
            <w:noWrap/>
            <w:vAlign w:val="bottom"/>
            <w:hideMark/>
          </w:tcPr>
          <w:p w:rsidR="00982EC0" w:rsidRPr="00982EC0" w:rsidRDefault="00982EC0" w:rsidP="00982EC0">
            <w:pPr>
              <w:pStyle w:val="AERtabletextleft"/>
            </w:pPr>
            <w:r w:rsidRPr="00982EC0">
              <w:t> </w:t>
            </w:r>
          </w:p>
        </w:tc>
      </w:tr>
      <w:tr w:rsidR="00982EC0" w:rsidRPr="0081390E" w:rsidTr="00982EC0">
        <w:trPr>
          <w:gridAfter w:val="2"/>
          <w:wAfter w:w="15" w:type="dxa"/>
          <w:trHeight w:val="255"/>
        </w:trPr>
        <w:tc>
          <w:tcPr>
            <w:tcW w:w="12864" w:type="dxa"/>
            <w:gridSpan w:val="11"/>
            <w:tcBorders>
              <w:left w:val="single" w:sz="12" w:space="0" w:color="auto"/>
              <w:right w:val="single" w:sz="12" w:space="0" w:color="auto"/>
            </w:tcBorders>
            <w:shd w:val="clear" w:color="auto" w:fill="DBE5F1"/>
            <w:noWrap/>
            <w:vAlign w:val="bottom"/>
            <w:hideMark/>
          </w:tcPr>
          <w:p w:rsidR="00982EC0" w:rsidRPr="00982EC0" w:rsidRDefault="00982EC0" w:rsidP="00982EC0">
            <w:pPr>
              <w:pStyle w:val="AERtabletextleft"/>
            </w:pPr>
            <w:r w:rsidRPr="00982EC0">
              <w:t>Average Energy Bill Debt</w:t>
            </w:r>
          </w:p>
        </w:tc>
      </w:tr>
      <w:tr w:rsidR="00982EC0" w:rsidRPr="0081390E" w:rsidTr="00982EC0">
        <w:trPr>
          <w:gridAfter w:val="2"/>
          <w:wAfter w:w="15" w:type="dxa"/>
          <w:trHeight w:val="255"/>
        </w:trPr>
        <w:tc>
          <w:tcPr>
            <w:tcW w:w="3142" w:type="dxa"/>
            <w:tcBorders>
              <w:left w:val="single" w:sz="12" w:space="0" w:color="auto"/>
              <w:right w:val="single" w:sz="12" w:space="0" w:color="auto"/>
            </w:tcBorders>
            <w:shd w:val="clear" w:color="auto" w:fill="auto"/>
            <w:noWrap/>
            <w:vAlign w:val="bottom"/>
            <w:hideMark/>
          </w:tcPr>
          <w:p w:rsidR="00982EC0" w:rsidRPr="00982EC0" w:rsidRDefault="00982EC0" w:rsidP="00982EC0">
            <w:pPr>
              <w:pStyle w:val="AERtabletextleft"/>
            </w:pPr>
            <w:r w:rsidRPr="00982EC0">
              <w:t xml:space="preserve">   Residential</w:t>
            </w:r>
          </w:p>
        </w:tc>
        <w:tc>
          <w:tcPr>
            <w:tcW w:w="2004" w:type="dxa"/>
            <w:gridSpan w:val="2"/>
            <w:tcBorders>
              <w:left w:val="single" w:sz="12" w:space="0" w:color="auto"/>
              <w:right w:val="single" w:sz="12" w:space="0" w:color="auto"/>
            </w:tcBorders>
            <w:shd w:val="clear" w:color="auto" w:fill="auto"/>
            <w:vAlign w:val="bottom"/>
          </w:tcPr>
          <w:p w:rsidR="00982EC0" w:rsidRPr="00982EC0" w:rsidRDefault="00982EC0" w:rsidP="00982EC0">
            <w:pPr>
              <w:pStyle w:val="AERtabletextleft"/>
            </w:pPr>
          </w:p>
        </w:tc>
        <w:tc>
          <w:tcPr>
            <w:tcW w:w="7718" w:type="dxa"/>
            <w:gridSpan w:val="8"/>
            <w:tcBorders>
              <w:left w:val="single" w:sz="12" w:space="0" w:color="auto"/>
              <w:right w:val="single" w:sz="12" w:space="0" w:color="auto"/>
            </w:tcBorders>
            <w:shd w:val="clear" w:color="auto" w:fill="D9D9D9"/>
            <w:vAlign w:val="bottom"/>
          </w:tcPr>
          <w:p w:rsidR="00982EC0" w:rsidRPr="00982EC0" w:rsidRDefault="00982EC0" w:rsidP="00982EC0">
            <w:pPr>
              <w:pStyle w:val="AERtabletextleft"/>
            </w:pPr>
          </w:p>
        </w:tc>
      </w:tr>
      <w:tr w:rsidR="00982EC0" w:rsidRPr="0081390E" w:rsidTr="00982EC0">
        <w:trPr>
          <w:gridAfter w:val="1"/>
          <w:wAfter w:w="7" w:type="dxa"/>
          <w:trHeight w:val="255"/>
        </w:trPr>
        <w:tc>
          <w:tcPr>
            <w:tcW w:w="3142" w:type="dxa"/>
            <w:tcBorders>
              <w:left w:val="single" w:sz="12" w:space="0" w:color="auto"/>
              <w:right w:val="single" w:sz="12" w:space="0" w:color="auto"/>
            </w:tcBorders>
            <w:shd w:val="clear" w:color="auto" w:fill="auto"/>
            <w:noWrap/>
            <w:vAlign w:val="bottom"/>
            <w:hideMark/>
          </w:tcPr>
          <w:p w:rsidR="00982EC0" w:rsidRPr="00982EC0" w:rsidRDefault="00982EC0" w:rsidP="00982EC0">
            <w:pPr>
              <w:pStyle w:val="AERtabletextleft"/>
            </w:pPr>
            <w:r w:rsidRPr="00982EC0">
              <w:t xml:space="preserve">     Electricity</w:t>
            </w:r>
          </w:p>
        </w:tc>
        <w:tc>
          <w:tcPr>
            <w:tcW w:w="1076" w:type="dxa"/>
            <w:tcBorders>
              <w:left w:val="single" w:sz="12" w:space="0" w:color="auto"/>
            </w:tcBorders>
            <w:vAlign w:val="bottom"/>
          </w:tcPr>
          <w:p w:rsidR="00982EC0" w:rsidRPr="00982EC0" w:rsidRDefault="00982EC0" w:rsidP="00982EC0">
            <w:pPr>
              <w:pStyle w:val="AERtabletextleft"/>
            </w:pPr>
            <w:r w:rsidRPr="00982EC0">
              <w:t xml:space="preserve"> $ 720 </w:t>
            </w:r>
          </w:p>
        </w:tc>
        <w:tc>
          <w:tcPr>
            <w:tcW w:w="928" w:type="dxa"/>
            <w:tcBorders>
              <w:right w:val="single" w:sz="12" w:space="0" w:color="auto"/>
            </w:tcBorders>
            <w:shd w:val="clear" w:color="auto" w:fill="auto"/>
            <w:noWrap/>
            <w:vAlign w:val="bottom"/>
            <w:hideMark/>
          </w:tcPr>
          <w:p w:rsidR="00982EC0" w:rsidRPr="00982EC0" w:rsidRDefault="00982EC0" w:rsidP="00982EC0">
            <w:pPr>
              <w:pStyle w:val="AERtabletextleft"/>
            </w:pPr>
            <w:r w:rsidRPr="00982EC0">
              <w:t xml:space="preserve"> $ 739 </w:t>
            </w:r>
          </w:p>
        </w:tc>
        <w:tc>
          <w:tcPr>
            <w:tcW w:w="1076" w:type="dxa"/>
            <w:tcBorders>
              <w:left w:val="single" w:sz="12" w:space="0" w:color="auto"/>
            </w:tcBorders>
            <w:shd w:val="clear" w:color="auto" w:fill="D9D9D9"/>
            <w:vAlign w:val="bottom"/>
          </w:tcPr>
          <w:p w:rsidR="00982EC0" w:rsidRPr="00982EC0" w:rsidRDefault="00982EC0" w:rsidP="00982EC0">
            <w:pPr>
              <w:pStyle w:val="AERtabletextleft"/>
            </w:pPr>
          </w:p>
        </w:tc>
        <w:tc>
          <w:tcPr>
            <w:tcW w:w="1273" w:type="dxa"/>
            <w:shd w:val="clear" w:color="auto" w:fill="D9D9D9"/>
            <w:noWrap/>
            <w:vAlign w:val="bottom"/>
            <w:hideMark/>
          </w:tcPr>
          <w:p w:rsidR="00982EC0" w:rsidRPr="00982EC0" w:rsidRDefault="00982EC0" w:rsidP="00982EC0">
            <w:pPr>
              <w:pStyle w:val="AERtabletextleft"/>
            </w:pPr>
          </w:p>
        </w:tc>
        <w:tc>
          <w:tcPr>
            <w:tcW w:w="1075" w:type="dxa"/>
            <w:shd w:val="clear" w:color="auto" w:fill="D9D9D9"/>
            <w:noWrap/>
            <w:vAlign w:val="bottom"/>
            <w:hideMark/>
          </w:tcPr>
          <w:p w:rsidR="00982EC0" w:rsidRPr="00982EC0" w:rsidRDefault="00982EC0" w:rsidP="00982EC0">
            <w:pPr>
              <w:pStyle w:val="AERtabletextleft"/>
            </w:pPr>
            <w:r w:rsidRPr="00982EC0">
              <w:t> </w:t>
            </w:r>
          </w:p>
        </w:tc>
        <w:tc>
          <w:tcPr>
            <w:tcW w:w="1075" w:type="dxa"/>
            <w:gridSpan w:val="2"/>
            <w:shd w:val="clear" w:color="auto" w:fill="D9D9D9"/>
            <w:noWrap/>
            <w:vAlign w:val="bottom"/>
            <w:hideMark/>
          </w:tcPr>
          <w:p w:rsidR="00982EC0" w:rsidRPr="00982EC0" w:rsidRDefault="00982EC0" w:rsidP="00982EC0">
            <w:pPr>
              <w:pStyle w:val="AERtabletextleft"/>
            </w:pPr>
          </w:p>
        </w:tc>
        <w:tc>
          <w:tcPr>
            <w:tcW w:w="1075" w:type="dxa"/>
            <w:shd w:val="clear" w:color="auto" w:fill="D9D9D9"/>
            <w:noWrap/>
            <w:vAlign w:val="bottom"/>
            <w:hideMark/>
          </w:tcPr>
          <w:p w:rsidR="00982EC0" w:rsidRPr="00982EC0" w:rsidRDefault="00982EC0" w:rsidP="00982EC0">
            <w:pPr>
              <w:pStyle w:val="AERtabletextleft"/>
            </w:pPr>
            <w:r w:rsidRPr="00982EC0">
              <w:t> </w:t>
            </w:r>
          </w:p>
        </w:tc>
        <w:tc>
          <w:tcPr>
            <w:tcW w:w="1075" w:type="dxa"/>
            <w:shd w:val="clear" w:color="auto" w:fill="D9D9D9"/>
            <w:noWrap/>
            <w:vAlign w:val="bottom"/>
            <w:hideMark/>
          </w:tcPr>
          <w:p w:rsidR="00982EC0" w:rsidRPr="00982EC0" w:rsidRDefault="00982EC0" w:rsidP="00982EC0">
            <w:pPr>
              <w:pStyle w:val="AERtabletextleft"/>
            </w:pPr>
          </w:p>
        </w:tc>
        <w:tc>
          <w:tcPr>
            <w:tcW w:w="1077" w:type="dxa"/>
            <w:gridSpan w:val="2"/>
            <w:tcBorders>
              <w:right w:val="single" w:sz="12" w:space="0" w:color="auto"/>
            </w:tcBorders>
            <w:shd w:val="clear" w:color="auto" w:fill="D9D9D9"/>
            <w:noWrap/>
            <w:vAlign w:val="bottom"/>
            <w:hideMark/>
          </w:tcPr>
          <w:p w:rsidR="00982EC0" w:rsidRPr="00982EC0" w:rsidRDefault="00982EC0" w:rsidP="00982EC0">
            <w:pPr>
              <w:pStyle w:val="AERtabletextleft"/>
            </w:pPr>
            <w:r w:rsidRPr="00982EC0">
              <w:t> </w:t>
            </w:r>
          </w:p>
        </w:tc>
      </w:tr>
      <w:tr w:rsidR="00982EC0" w:rsidRPr="0081390E" w:rsidTr="00982EC0">
        <w:trPr>
          <w:gridAfter w:val="1"/>
          <w:wAfter w:w="7" w:type="dxa"/>
          <w:trHeight w:val="255"/>
        </w:trPr>
        <w:tc>
          <w:tcPr>
            <w:tcW w:w="3142" w:type="dxa"/>
            <w:tcBorders>
              <w:left w:val="single" w:sz="12" w:space="0" w:color="auto"/>
              <w:right w:val="single" w:sz="12" w:space="0" w:color="auto"/>
            </w:tcBorders>
            <w:shd w:val="clear" w:color="auto" w:fill="auto"/>
            <w:noWrap/>
            <w:vAlign w:val="bottom"/>
            <w:hideMark/>
          </w:tcPr>
          <w:p w:rsidR="00982EC0" w:rsidRPr="00982EC0" w:rsidRDefault="00982EC0" w:rsidP="00982EC0">
            <w:pPr>
              <w:pStyle w:val="AERtabletextleft"/>
            </w:pPr>
            <w:r w:rsidRPr="00982EC0">
              <w:t xml:space="preserve">     Gas</w:t>
            </w:r>
          </w:p>
        </w:tc>
        <w:tc>
          <w:tcPr>
            <w:tcW w:w="1076" w:type="dxa"/>
            <w:tcBorders>
              <w:left w:val="single" w:sz="12" w:space="0" w:color="auto"/>
            </w:tcBorders>
            <w:vAlign w:val="bottom"/>
          </w:tcPr>
          <w:p w:rsidR="00982EC0" w:rsidRPr="00982EC0" w:rsidRDefault="00982EC0" w:rsidP="00982EC0">
            <w:pPr>
              <w:pStyle w:val="AERtabletextleft"/>
            </w:pPr>
            <w:r w:rsidRPr="00982EC0">
              <w:t> </w:t>
            </w:r>
          </w:p>
        </w:tc>
        <w:tc>
          <w:tcPr>
            <w:tcW w:w="928" w:type="dxa"/>
            <w:tcBorders>
              <w:right w:val="single" w:sz="12" w:space="0" w:color="auto"/>
            </w:tcBorders>
            <w:shd w:val="clear" w:color="auto" w:fill="auto"/>
            <w:noWrap/>
            <w:vAlign w:val="bottom"/>
            <w:hideMark/>
          </w:tcPr>
          <w:p w:rsidR="00982EC0" w:rsidRPr="00982EC0" w:rsidRDefault="00982EC0" w:rsidP="00982EC0">
            <w:pPr>
              <w:pStyle w:val="AERtabletextleft"/>
            </w:pPr>
            <w:r w:rsidRPr="00982EC0">
              <w:t xml:space="preserve"> $ 467 </w:t>
            </w:r>
          </w:p>
        </w:tc>
        <w:tc>
          <w:tcPr>
            <w:tcW w:w="1076" w:type="dxa"/>
            <w:tcBorders>
              <w:left w:val="single" w:sz="12" w:space="0" w:color="auto"/>
            </w:tcBorders>
            <w:shd w:val="clear" w:color="auto" w:fill="D9D9D9"/>
            <w:vAlign w:val="bottom"/>
          </w:tcPr>
          <w:p w:rsidR="00982EC0" w:rsidRPr="00982EC0" w:rsidRDefault="00982EC0" w:rsidP="00982EC0">
            <w:pPr>
              <w:pStyle w:val="AERtabletextleft"/>
            </w:pPr>
          </w:p>
        </w:tc>
        <w:tc>
          <w:tcPr>
            <w:tcW w:w="1273" w:type="dxa"/>
            <w:shd w:val="clear" w:color="auto" w:fill="D9D9D9"/>
            <w:noWrap/>
            <w:vAlign w:val="bottom"/>
            <w:hideMark/>
          </w:tcPr>
          <w:p w:rsidR="00982EC0" w:rsidRPr="00982EC0" w:rsidRDefault="00982EC0" w:rsidP="00982EC0">
            <w:pPr>
              <w:pStyle w:val="AERtabletextleft"/>
            </w:pPr>
          </w:p>
        </w:tc>
        <w:tc>
          <w:tcPr>
            <w:tcW w:w="1075" w:type="dxa"/>
            <w:shd w:val="clear" w:color="auto" w:fill="D9D9D9"/>
            <w:noWrap/>
            <w:vAlign w:val="bottom"/>
            <w:hideMark/>
          </w:tcPr>
          <w:p w:rsidR="00982EC0" w:rsidRPr="00982EC0" w:rsidRDefault="00982EC0" w:rsidP="00982EC0">
            <w:pPr>
              <w:pStyle w:val="AERtabletextleft"/>
            </w:pPr>
            <w:r w:rsidRPr="00982EC0">
              <w:t> </w:t>
            </w:r>
          </w:p>
        </w:tc>
        <w:tc>
          <w:tcPr>
            <w:tcW w:w="1075" w:type="dxa"/>
            <w:gridSpan w:val="2"/>
            <w:shd w:val="clear" w:color="auto" w:fill="D9D9D9"/>
            <w:noWrap/>
            <w:vAlign w:val="bottom"/>
            <w:hideMark/>
          </w:tcPr>
          <w:p w:rsidR="00982EC0" w:rsidRPr="00982EC0" w:rsidRDefault="00982EC0" w:rsidP="00982EC0">
            <w:pPr>
              <w:pStyle w:val="AERtabletextleft"/>
            </w:pPr>
          </w:p>
        </w:tc>
        <w:tc>
          <w:tcPr>
            <w:tcW w:w="1075" w:type="dxa"/>
            <w:shd w:val="clear" w:color="auto" w:fill="D9D9D9"/>
            <w:noWrap/>
            <w:vAlign w:val="bottom"/>
            <w:hideMark/>
          </w:tcPr>
          <w:p w:rsidR="00982EC0" w:rsidRPr="00982EC0" w:rsidRDefault="00982EC0" w:rsidP="00982EC0">
            <w:pPr>
              <w:pStyle w:val="AERtabletextleft"/>
            </w:pPr>
            <w:r w:rsidRPr="00982EC0">
              <w:t> </w:t>
            </w:r>
          </w:p>
        </w:tc>
        <w:tc>
          <w:tcPr>
            <w:tcW w:w="1075" w:type="dxa"/>
            <w:shd w:val="clear" w:color="auto" w:fill="D9D9D9"/>
            <w:noWrap/>
            <w:vAlign w:val="bottom"/>
            <w:hideMark/>
          </w:tcPr>
          <w:p w:rsidR="00982EC0" w:rsidRPr="00982EC0" w:rsidRDefault="00982EC0" w:rsidP="00982EC0">
            <w:pPr>
              <w:pStyle w:val="AERtabletextleft"/>
            </w:pPr>
          </w:p>
        </w:tc>
        <w:tc>
          <w:tcPr>
            <w:tcW w:w="1077" w:type="dxa"/>
            <w:gridSpan w:val="2"/>
            <w:tcBorders>
              <w:right w:val="single" w:sz="12" w:space="0" w:color="auto"/>
            </w:tcBorders>
            <w:shd w:val="clear" w:color="auto" w:fill="D9D9D9"/>
            <w:noWrap/>
            <w:vAlign w:val="bottom"/>
            <w:hideMark/>
          </w:tcPr>
          <w:p w:rsidR="00982EC0" w:rsidRPr="00982EC0" w:rsidRDefault="00982EC0" w:rsidP="00982EC0">
            <w:pPr>
              <w:pStyle w:val="AERtabletextleft"/>
            </w:pPr>
            <w:r w:rsidRPr="00982EC0">
              <w:t> </w:t>
            </w:r>
          </w:p>
        </w:tc>
      </w:tr>
      <w:tr w:rsidR="00982EC0" w:rsidRPr="0081390E" w:rsidTr="00982EC0">
        <w:trPr>
          <w:gridAfter w:val="2"/>
          <w:wAfter w:w="15" w:type="dxa"/>
          <w:trHeight w:val="255"/>
        </w:trPr>
        <w:tc>
          <w:tcPr>
            <w:tcW w:w="3142" w:type="dxa"/>
            <w:tcBorders>
              <w:left w:val="single" w:sz="12" w:space="0" w:color="auto"/>
              <w:right w:val="single" w:sz="12" w:space="0" w:color="auto"/>
            </w:tcBorders>
            <w:shd w:val="clear" w:color="auto" w:fill="auto"/>
            <w:noWrap/>
            <w:vAlign w:val="bottom"/>
            <w:hideMark/>
          </w:tcPr>
          <w:p w:rsidR="00982EC0" w:rsidRPr="00982EC0" w:rsidRDefault="00982EC0" w:rsidP="00982EC0">
            <w:pPr>
              <w:pStyle w:val="AERtabletextleft"/>
            </w:pPr>
            <w:r w:rsidRPr="00982EC0">
              <w:t xml:space="preserve">   Small business </w:t>
            </w:r>
          </w:p>
        </w:tc>
        <w:tc>
          <w:tcPr>
            <w:tcW w:w="2004" w:type="dxa"/>
            <w:gridSpan w:val="2"/>
            <w:tcBorders>
              <w:left w:val="single" w:sz="12" w:space="0" w:color="auto"/>
              <w:right w:val="single" w:sz="12" w:space="0" w:color="auto"/>
            </w:tcBorders>
            <w:shd w:val="clear" w:color="auto" w:fill="auto"/>
            <w:vAlign w:val="bottom"/>
          </w:tcPr>
          <w:p w:rsidR="00982EC0" w:rsidRPr="00982EC0" w:rsidRDefault="00982EC0" w:rsidP="00982EC0">
            <w:pPr>
              <w:pStyle w:val="AERtabletextleft"/>
            </w:pPr>
          </w:p>
        </w:tc>
        <w:tc>
          <w:tcPr>
            <w:tcW w:w="7718" w:type="dxa"/>
            <w:gridSpan w:val="8"/>
            <w:tcBorders>
              <w:left w:val="single" w:sz="12" w:space="0" w:color="auto"/>
              <w:right w:val="single" w:sz="12" w:space="0" w:color="auto"/>
            </w:tcBorders>
            <w:shd w:val="clear" w:color="auto" w:fill="D9D9D9"/>
            <w:vAlign w:val="bottom"/>
          </w:tcPr>
          <w:p w:rsidR="00982EC0" w:rsidRPr="00982EC0" w:rsidRDefault="00982EC0" w:rsidP="00982EC0">
            <w:pPr>
              <w:pStyle w:val="AERtabletextleft"/>
            </w:pPr>
          </w:p>
        </w:tc>
      </w:tr>
      <w:tr w:rsidR="00982EC0" w:rsidRPr="0081390E" w:rsidTr="00982EC0">
        <w:trPr>
          <w:gridAfter w:val="1"/>
          <w:wAfter w:w="7" w:type="dxa"/>
          <w:trHeight w:val="255"/>
        </w:trPr>
        <w:tc>
          <w:tcPr>
            <w:tcW w:w="3142" w:type="dxa"/>
            <w:tcBorders>
              <w:left w:val="single" w:sz="12" w:space="0" w:color="auto"/>
              <w:right w:val="single" w:sz="12" w:space="0" w:color="auto"/>
            </w:tcBorders>
            <w:shd w:val="clear" w:color="auto" w:fill="auto"/>
            <w:noWrap/>
            <w:vAlign w:val="bottom"/>
            <w:hideMark/>
          </w:tcPr>
          <w:p w:rsidR="00982EC0" w:rsidRPr="00982EC0" w:rsidRDefault="00982EC0" w:rsidP="00982EC0">
            <w:pPr>
              <w:pStyle w:val="AERtabletextleft"/>
            </w:pPr>
            <w:r w:rsidRPr="00982EC0">
              <w:t xml:space="preserve">     Electricity</w:t>
            </w:r>
          </w:p>
        </w:tc>
        <w:tc>
          <w:tcPr>
            <w:tcW w:w="1076" w:type="dxa"/>
            <w:tcBorders>
              <w:left w:val="single" w:sz="12" w:space="0" w:color="auto"/>
            </w:tcBorders>
            <w:vAlign w:val="bottom"/>
          </w:tcPr>
          <w:p w:rsidR="00982EC0" w:rsidRPr="00982EC0" w:rsidRDefault="00982EC0" w:rsidP="00982EC0">
            <w:pPr>
              <w:pStyle w:val="AERtabletextleft"/>
            </w:pPr>
            <w:r w:rsidRPr="00982EC0">
              <w:t xml:space="preserve"> $1,596 </w:t>
            </w:r>
          </w:p>
        </w:tc>
        <w:tc>
          <w:tcPr>
            <w:tcW w:w="928" w:type="dxa"/>
            <w:tcBorders>
              <w:right w:val="single" w:sz="12" w:space="0" w:color="auto"/>
            </w:tcBorders>
            <w:shd w:val="clear" w:color="auto" w:fill="auto"/>
            <w:noWrap/>
            <w:vAlign w:val="bottom"/>
            <w:hideMark/>
          </w:tcPr>
          <w:p w:rsidR="00982EC0" w:rsidRPr="00982EC0" w:rsidRDefault="00982EC0" w:rsidP="00982EC0">
            <w:pPr>
              <w:pStyle w:val="AERtabletextleft"/>
            </w:pPr>
            <w:r w:rsidRPr="00982EC0">
              <w:t xml:space="preserve"> $ 1,052 </w:t>
            </w:r>
          </w:p>
        </w:tc>
        <w:tc>
          <w:tcPr>
            <w:tcW w:w="1076" w:type="dxa"/>
            <w:tcBorders>
              <w:left w:val="single" w:sz="12" w:space="0" w:color="auto"/>
            </w:tcBorders>
            <w:shd w:val="clear" w:color="auto" w:fill="D9D9D9"/>
            <w:vAlign w:val="bottom"/>
          </w:tcPr>
          <w:p w:rsidR="00982EC0" w:rsidRPr="00982EC0" w:rsidRDefault="00982EC0" w:rsidP="00982EC0">
            <w:pPr>
              <w:pStyle w:val="AERtabletextleft"/>
            </w:pPr>
          </w:p>
        </w:tc>
        <w:tc>
          <w:tcPr>
            <w:tcW w:w="1273" w:type="dxa"/>
            <w:shd w:val="clear" w:color="auto" w:fill="D9D9D9"/>
            <w:noWrap/>
            <w:vAlign w:val="bottom"/>
            <w:hideMark/>
          </w:tcPr>
          <w:p w:rsidR="00982EC0" w:rsidRPr="00982EC0" w:rsidRDefault="00982EC0" w:rsidP="00982EC0">
            <w:pPr>
              <w:pStyle w:val="AERtabletextleft"/>
            </w:pPr>
          </w:p>
        </w:tc>
        <w:tc>
          <w:tcPr>
            <w:tcW w:w="1075" w:type="dxa"/>
            <w:shd w:val="clear" w:color="auto" w:fill="D9D9D9"/>
            <w:noWrap/>
            <w:vAlign w:val="bottom"/>
            <w:hideMark/>
          </w:tcPr>
          <w:p w:rsidR="00982EC0" w:rsidRPr="00982EC0" w:rsidRDefault="00982EC0" w:rsidP="00982EC0">
            <w:pPr>
              <w:pStyle w:val="AERtabletextleft"/>
            </w:pPr>
            <w:r w:rsidRPr="00982EC0">
              <w:t> </w:t>
            </w:r>
          </w:p>
        </w:tc>
        <w:tc>
          <w:tcPr>
            <w:tcW w:w="1075" w:type="dxa"/>
            <w:gridSpan w:val="2"/>
            <w:shd w:val="clear" w:color="auto" w:fill="D9D9D9"/>
            <w:noWrap/>
            <w:vAlign w:val="bottom"/>
            <w:hideMark/>
          </w:tcPr>
          <w:p w:rsidR="00982EC0" w:rsidRPr="00982EC0" w:rsidRDefault="00982EC0" w:rsidP="00982EC0">
            <w:pPr>
              <w:pStyle w:val="AERtabletextleft"/>
            </w:pPr>
          </w:p>
        </w:tc>
        <w:tc>
          <w:tcPr>
            <w:tcW w:w="1075" w:type="dxa"/>
            <w:shd w:val="clear" w:color="auto" w:fill="D9D9D9"/>
            <w:noWrap/>
            <w:vAlign w:val="bottom"/>
            <w:hideMark/>
          </w:tcPr>
          <w:p w:rsidR="00982EC0" w:rsidRPr="00982EC0" w:rsidRDefault="00982EC0" w:rsidP="00982EC0">
            <w:pPr>
              <w:pStyle w:val="AERtabletextleft"/>
            </w:pPr>
            <w:r w:rsidRPr="00982EC0">
              <w:t> </w:t>
            </w:r>
          </w:p>
        </w:tc>
        <w:tc>
          <w:tcPr>
            <w:tcW w:w="1075" w:type="dxa"/>
            <w:shd w:val="clear" w:color="auto" w:fill="D9D9D9"/>
            <w:noWrap/>
            <w:vAlign w:val="bottom"/>
            <w:hideMark/>
          </w:tcPr>
          <w:p w:rsidR="00982EC0" w:rsidRPr="00982EC0" w:rsidRDefault="00982EC0" w:rsidP="00982EC0">
            <w:pPr>
              <w:pStyle w:val="AERtabletextleft"/>
            </w:pPr>
          </w:p>
        </w:tc>
        <w:tc>
          <w:tcPr>
            <w:tcW w:w="1077" w:type="dxa"/>
            <w:gridSpan w:val="2"/>
            <w:tcBorders>
              <w:right w:val="single" w:sz="12" w:space="0" w:color="auto"/>
            </w:tcBorders>
            <w:shd w:val="clear" w:color="auto" w:fill="D9D9D9"/>
            <w:noWrap/>
            <w:vAlign w:val="bottom"/>
            <w:hideMark/>
          </w:tcPr>
          <w:p w:rsidR="00982EC0" w:rsidRPr="00982EC0" w:rsidRDefault="00982EC0" w:rsidP="00982EC0">
            <w:pPr>
              <w:pStyle w:val="AERtabletextleft"/>
            </w:pPr>
            <w:r w:rsidRPr="00982EC0">
              <w:t> </w:t>
            </w:r>
          </w:p>
        </w:tc>
      </w:tr>
      <w:tr w:rsidR="00982EC0" w:rsidRPr="0081390E" w:rsidTr="00982EC0">
        <w:trPr>
          <w:gridAfter w:val="1"/>
          <w:wAfter w:w="7" w:type="dxa"/>
          <w:trHeight w:val="270"/>
        </w:trPr>
        <w:tc>
          <w:tcPr>
            <w:tcW w:w="3142" w:type="dxa"/>
            <w:tcBorders>
              <w:left w:val="single" w:sz="12" w:space="0" w:color="auto"/>
              <w:right w:val="single" w:sz="12" w:space="0" w:color="auto"/>
            </w:tcBorders>
            <w:shd w:val="clear" w:color="auto" w:fill="auto"/>
            <w:noWrap/>
            <w:vAlign w:val="bottom"/>
            <w:hideMark/>
          </w:tcPr>
          <w:p w:rsidR="00982EC0" w:rsidRPr="00982EC0" w:rsidRDefault="00982EC0" w:rsidP="00982EC0">
            <w:pPr>
              <w:pStyle w:val="AERtabletextleft"/>
            </w:pPr>
            <w:r w:rsidRPr="00982EC0">
              <w:lastRenderedPageBreak/>
              <w:t xml:space="preserve">     Gas</w:t>
            </w:r>
          </w:p>
        </w:tc>
        <w:tc>
          <w:tcPr>
            <w:tcW w:w="1076" w:type="dxa"/>
            <w:tcBorders>
              <w:left w:val="single" w:sz="12" w:space="0" w:color="auto"/>
            </w:tcBorders>
            <w:vAlign w:val="bottom"/>
          </w:tcPr>
          <w:p w:rsidR="00982EC0" w:rsidRPr="00982EC0" w:rsidRDefault="00982EC0" w:rsidP="00982EC0">
            <w:pPr>
              <w:pStyle w:val="AERtabletextleft"/>
            </w:pPr>
            <w:r w:rsidRPr="00982EC0">
              <w:t> </w:t>
            </w:r>
          </w:p>
        </w:tc>
        <w:tc>
          <w:tcPr>
            <w:tcW w:w="928" w:type="dxa"/>
            <w:tcBorders>
              <w:right w:val="single" w:sz="12" w:space="0" w:color="auto"/>
            </w:tcBorders>
            <w:shd w:val="clear" w:color="auto" w:fill="auto"/>
            <w:noWrap/>
            <w:vAlign w:val="bottom"/>
            <w:hideMark/>
          </w:tcPr>
          <w:p w:rsidR="00982EC0" w:rsidRPr="00982EC0" w:rsidRDefault="00982EC0" w:rsidP="00982EC0">
            <w:pPr>
              <w:pStyle w:val="AERtabletextleft"/>
            </w:pPr>
            <w:r w:rsidRPr="00982EC0">
              <w:t xml:space="preserve"> $ 2,073 </w:t>
            </w:r>
          </w:p>
        </w:tc>
        <w:tc>
          <w:tcPr>
            <w:tcW w:w="1076" w:type="dxa"/>
            <w:tcBorders>
              <w:left w:val="single" w:sz="12" w:space="0" w:color="auto"/>
            </w:tcBorders>
            <w:shd w:val="clear" w:color="auto" w:fill="D9D9D9"/>
            <w:vAlign w:val="bottom"/>
          </w:tcPr>
          <w:p w:rsidR="00982EC0" w:rsidRPr="00982EC0" w:rsidRDefault="00982EC0" w:rsidP="00982EC0">
            <w:pPr>
              <w:pStyle w:val="AERtabletextleft"/>
            </w:pPr>
          </w:p>
        </w:tc>
        <w:tc>
          <w:tcPr>
            <w:tcW w:w="1273" w:type="dxa"/>
            <w:shd w:val="clear" w:color="auto" w:fill="D9D9D9"/>
            <w:noWrap/>
            <w:vAlign w:val="bottom"/>
            <w:hideMark/>
          </w:tcPr>
          <w:p w:rsidR="00982EC0" w:rsidRPr="00982EC0" w:rsidRDefault="00982EC0" w:rsidP="00982EC0">
            <w:pPr>
              <w:pStyle w:val="AERtabletextleft"/>
            </w:pPr>
          </w:p>
        </w:tc>
        <w:tc>
          <w:tcPr>
            <w:tcW w:w="1075" w:type="dxa"/>
            <w:shd w:val="clear" w:color="auto" w:fill="D9D9D9"/>
            <w:noWrap/>
            <w:vAlign w:val="bottom"/>
            <w:hideMark/>
          </w:tcPr>
          <w:p w:rsidR="00982EC0" w:rsidRPr="00982EC0" w:rsidRDefault="00982EC0" w:rsidP="00982EC0">
            <w:pPr>
              <w:pStyle w:val="AERtabletextleft"/>
            </w:pPr>
            <w:r w:rsidRPr="00982EC0">
              <w:t> </w:t>
            </w:r>
          </w:p>
        </w:tc>
        <w:tc>
          <w:tcPr>
            <w:tcW w:w="1075" w:type="dxa"/>
            <w:gridSpan w:val="2"/>
            <w:shd w:val="clear" w:color="auto" w:fill="D9D9D9"/>
            <w:noWrap/>
            <w:vAlign w:val="bottom"/>
            <w:hideMark/>
          </w:tcPr>
          <w:p w:rsidR="00982EC0" w:rsidRPr="00982EC0" w:rsidRDefault="00982EC0" w:rsidP="00982EC0">
            <w:pPr>
              <w:pStyle w:val="AERtabletextleft"/>
            </w:pPr>
            <w:r w:rsidRPr="00982EC0">
              <w:t> </w:t>
            </w:r>
          </w:p>
        </w:tc>
        <w:tc>
          <w:tcPr>
            <w:tcW w:w="1075" w:type="dxa"/>
            <w:shd w:val="clear" w:color="auto" w:fill="D9D9D9"/>
            <w:noWrap/>
            <w:vAlign w:val="bottom"/>
            <w:hideMark/>
          </w:tcPr>
          <w:p w:rsidR="00982EC0" w:rsidRPr="00982EC0" w:rsidRDefault="00982EC0" w:rsidP="00982EC0">
            <w:pPr>
              <w:pStyle w:val="AERtabletextleft"/>
            </w:pPr>
            <w:r w:rsidRPr="00982EC0">
              <w:t> </w:t>
            </w:r>
          </w:p>
        </w:tc>
        <w:tc>
          <w:tcPr>
            <w:tcW w:w="1075" w:type="dxa"/>
            <w:shd w:val="clear" w:color="auto" w:fill="D9D9D9"/>
            <w:noWrap/>
            <w:vAlign w:val="bottom"/>
            <w:hideMark/>
          </w:tcPr>
          <w:p w:rsidR="00982EC0" w:rsidRPr="00982EC0" w:rsidRDefault="00982EC0" w:rsidP="00982EC0">
            <w:pPr>
              <w:pStyle w:val="AERtabletextleft"/>
            </w:pPr>
            <w:r w:rsidRPr="00982EC0">
              <w:t> </w:t>
            </w:r>
          </w:p>
        </w:tc>
        <w:tc>
          <w:tcPr>
            <w:tcW w:w="1077" w:type="dxa"/>
            <w:gridSpan w:val="2"/>
            <w:tcBorders>
              <w:right w:val="single" w:sz="12" w:space="0" w:color="auto"/>
            </w:tcBorders>
            <w:shd w:val="clear" w:color="auto" w:fill="D9D9D9"/>
            <w:noWrap/>
            <w:vAlign w:val="bottom"/>
            <w:hideMark/>
          </w:tcPr>
          <w:p w:rsidR="00982EC0" w:rsidRPr="00982EC0" w:rsidRDefault="00982EC0" w:rsidP="00982EC0">
            <w:pPr>
              <w:pStyle w:val="AERtabletextleft"/>
            </w:pPr>
            <w:r w:rsidRPr="00982EC0">
              <w:t> </w:t>
            </w:r>
          </w:p>
        </w:tc>
      </w:tr>
      <w:tr w:rsidR="00982EC0" w:rsidRPr="0081390E" w:rsidTr="00982EC0">
        <w:trPr>
          <w:gridAfter w:val="2"/>
          <w:wAfter w:w="15" w:type="dxa"/>
          <w:trHeight w:val="255"/>
        </w:trPr>
        <w:tc>
          <w:tcPr>
            <w:tcW w:w="12864" w:type="dxa"/>
            <w:gridSpan w:val="11"/>
            <w:tcBorders>
              <w:left w:val="single" w:sz="12" w:space="0" w:color="auto"/>
              <w:right w:val="single" w:sz="12" w:space="0" w:color="auto"/>
            </w:tcBorders>
            <w:shd w:val="clear" w:color="auto" w:fill="DBE5F1"/>
            <w:noWrap/>
            <w:vAlign w:val="bottom"/>
            <w:hideMark/>
          </w:tcPr>
          <w:p w:rsidR="00982EC0" w:rsidRPr="00982EC0" w:rsidRDefault="00982EC0" w:rsidP="00982EC0">
            <w:pPr>
              <w:pStyle w:val="AERtabletextleft"/>
            </w:pPr>
            <w:r w:rsidRPr="00982EC0">
              <w:t>Number of Customers on a Payment Plan</w:t>
            </w:r>
          </w:p>
        </w:tc>
      </w:tr>
      <w:tr w:rsidR="00982EC0" w:rsidRPr="0081390E" w:rsidTr="00982EC0">
        <w:trPr>
          <w:gridAfter w:val="1"/>
          <w:wAfter w:w="7" w:type="dxa"/>
          <w:trHeight w:val="255"/>
        </w:trPr>
        <w:tc>
          <w:tcPr>
            <w:tcW w:w="3142" w:type="dxa"/>
            <w:tcBorders>
              <w:left w:val="single" w:sz="12" w:space="0" w:color="auto"/>
              <w:right w:val="single" w:sz="12" w:space="0" w:color="auto"/>
            </w:tcBorders>
            <w:shd w:val="clear" w:color="auto" w:fill="auto"/>
            <w:noWrap/>
            <w:vAlign w:val="bottom"/>
            <w:hideMark/>
          </w:tcPr>
          <w:p w:rsidR="00982EC0" w:rsidRPr="00982EC0" w:rsidRDefault="00982EC0" w:rsidP="00982EC0">
            <w:pPr>
              <w:pStyle w:val="AERtabletextleft"/>
            </w:pPr>
            <w:r w:rsidRPr="00982EC0">
              <w:t xml:space="preserve">   Residential</w:t>
            </w:r>
          </w:p>
        </w:tc>
        <w:tc>
          <w:tcPr>
            <w:tcW w:w="1076" w:type="dxa"/>
            <w:tcBorders>
              <w:left w:val="single" w:sz="12" w:space="0" w:color="auto"/>
            </w:tcBorders>
          </w:tcPr>
          <w:p w:rsidR="00982EC0" w:rsidRPr="00982EC0" w:rsidRDefault="00982EC0" w:rsidP="00982EC0">
            <w:pPr>
              <w:pStyle w:val="AERtabletextleft"/>
            </w:pPr>
          </w:p>
        </w:tc>
        <w:tc>
          <w:tcPr>
            <w:tcW w:w="928" w:type="dxa"/>
            <w:tcBorders>
              <w:right w:val="single" w:sz="12" w:space="0" w:color="auto"/>
            </w:tcBorders>
            <w:shd w:val="clear" w:color="auto" w:fill="auto"/>
            <w:noWrap/>
            <w:vAlign w:val="bottom"/>
            <w:hideMark/>
          </w:tcPr>
          <w:p w:rsidR="00982EC0" w:rsidRPr="00982EC0" w:rsidRDefault="00982EC0" w:rsidP="00982EC0">
            <w:pPr>
              <w:pStyle w:val="AERtabletextleft"/>
            </w:pPr>
          </w:p>
        </w:tc>
        <w:tc>
          <w:tcPr>
            <w:tcW w:w="1076" w:type="dxa"/>
            <w:tcBorders>
              <w:left w:val="single" w:sz="12" w:space="0" w:color="auto"/>
            </w:tcBorders>
            <w:vAlign w:val="bottom"/>
          </w:tcPr>
          <w:p w:rsidR="00982EC0" w:rsidRPr="00982EC0" w:rsidRDefault="00982EC0" w:rsidP="00982EC0">
            <w:pPr>
              <w:pStyle w:val="AERtabletextleft"/>
            </w:pPr>
            <w:r w:rsidRPr="00982EC0">
              <w:t> </w:t>
            </w:r>
          </w:p>
        </w:tc>
        <w:tc>
          <w:tcPr>
            <w:tcW w:w="1273" w:type="dxa"/>
            <w:shd w:val="clear" w:color="auto" w:fill="auto"/>
            <w:noWrap/>
            <w:vAlign w:val="bottom"/>
            <w:hideMark/>
          </w:tcPr>
          <w:p w:rsidR="00982EC0" w:rsidRPr="00982EC0" w:rsidRDefault="00982EC0" w:rsidP="00982EC0">
            <w:pPr>
              <w:pStyle w:val="AERtabletextleft"/>
            </w:pPr>
          </w:p>
        </w:tc>
        <w:tc>
          <w:tcPr>
            <w:tcW w:w="1075" w:type="dxa"/>
            <w:shd w:val="clear" w:color="auto" w:fill="auto"/>
            <w:noWrap/>
            <w:vAlign w:val="bottom"/>
            <w:hideMark/>
          </w:tcPr>
          <w:p w:rsidR="00982EC0" w:rsidRPr="00982EC0" w:rsidRDefault="00982EC0" w:rsidP="00982EC0">
            <w:pPr>
              <w:pStyle w:val="AERtabletextleft"/>
            </w:pPr>
            <w:r w:rsidRPr="00982EC0">
              <w:t> </w:t>
            </w:r>
          </w:p>
        </w:tc>
        <w:tc>
          <w:tcPr>
            <w:tcW w:w="1075" w:type="dxa"/>
            <w:gridSpan w:val="2"/>
            <w:shd w:val="clear" w:color="auto" w:fill="auto"/>
            <w:noWrap/>
            <w:vAlign w:val="bottom"/>
            <w:hideMark/>
          </w:tcPr>
          <w:p w:rsidR="00982EC0" w:rsidRPr="00982EC0" w:rsidRDefault="00982EC0" w:rsidP="00982EC0">
            <w:pPr>
              <w:pStyle w:val="AERtabletextleft"/>
            </w:pPr>
          </w:p>
        </w:tc>
        <w:tc>
          <w:tcPr>
            <w:tcW w:w="1075" w:type="dxa"/>
            <w:shd w:val="clear" w:color="auto" w:fill="auto"/>
            <w:noWrap/>
            <w:vAlign w:val="bottom"/>
            <w:hideMark/>
          </w:tcPr>
          <w:p w:rsidR="00982EC0" w:rsidRPr="00982EC0" w:rsidRDefault="00982EC0" w:rsidP="00982EC0">
            <w:pPr>
              <w:pStyle w:val="AERtabletextleft"/>
            </w:pPr>
            <w:r w:rsidRPr="00982EC0">
              <w:t> </w:t>
            </w:r>
          </w:p>
        </w:tc>
        <w:tc>
          <w:tcPr>
            <w:tcW w:w="1075" w:type="dxa"/>
            <w:shd w:val="clear" w:color="auto" w:fill="auto"/>
            <w:noWrap/>
            <w:vAlign w:val="bottom"/>
            <w:hideMark/>
          </w:tcPr>
          <w:p w:rsidR="00982EC0" w:rsidRPr="00982EC0" w:rsidRDefault="00982EC0" w:rsidP="00982EC0">
            <w:pPr>
              <w:pStyle w:val="AERtabletextleft"/>
            </w:pPr>
          </w:p>
        </w:tc>
        <w:tc>
          <w:tcPr>
            <w:tcW w:w="1077" w:type="dxa"/>
            <w:gridSpan w:val="2"/>
            <w:tcBorders>
              <w:right w:val="single" w:sz="12" w:space="0" w:color="auto"/>
            </w:tcBorders>
            <w:shd w:val="clear" w:color="auto" w:fill="auto"/>
            <w:noWrap/>
            <w:vAlign w:val="bottom"/>
            <w:hideMark/>
          </w:tcPr>
          <w:p w:rsidR="00982EC0" w:rsidRPr="00982EC0" w:rsidRDefault="00982EC0" w:rsidP="00982EC0">
            <w:pPr>
              <w:pStyle w:val="AERtabletextleft"/>
            </w:pPr>
            <w:r w:rsidRPr="00982EC0">
              <w:t> </w:t>
            </w:r>
          </w:p>
        </w:tc>
      </w:tr>
      <w:tr w:rsidR="00982EC0" w:rsidRPr="0081390E" w:rsidTr="00982EC0">
        <w:trPr>
          <w:gridAfter w:val="1"/>
          <w:wAfter w:w="7" w:type="dxa"/>
          <w:trHeight w:val="255"/>
        </w:trPr>
        <w:tc>
          <w:tcPr>
            <w:tcW w:w="3142" w:type="dxa"/>
            <w:tcBorders>
              <w:left w:val="single" w:sz="12" w:space="0" w:color="auto"/>
              <w:right w:val="single" w:sz="12" w:space="0" w:color="auto"/>
            </w:tcBorders>
            <w:shd w:val="clear" w:color="auto" w:fill="auto"/>
            <w:noWrap/>
            <w:vAlign w:val="bottom"/>
            <w:hideMark/>
          </w:tcPr>
          <w:p w:rsidR="00982EC0" w:rsidRPr="00982EC0" w:rsidRDefault="00982EC0" w:rsidP="00982EC0">
            <w:pPr>
              <w:pStyle w:val="AERtabletextleft"/>
            </w:pPr>
            <w:r w:rsidRPr="00982EC0">
              <w:t xml:space="preserve">     Electricity</w:t>
            </w:r>
          </w:p>
        </w:tc>
        <w:tc>
          <w:tcPr>
            <w:tcW w:w="1076" w:type="dxa"/>
            <w:tcBorders>
              <w:left w:val="single" w:sz="12" w:space="0" w:color="auto"/>
            </w:tcBorders>
          </w:tcPr>
          <w:p w:rsidR="00982EC0" w:rsidRPr="00982EC0" w:rsidRDefault="00982EC0" w:rsidP="00982EC0">
            <w:pPr>
              <w:pStyle w:val="AERtabletextleft"/>
            </w:pPr>
          </w:p>
        </w:tc>
        <w:tc>
          <w:tcPr>
            <w:tcW w:w="928" w:type="dxa"/>
            <w:tcBorders>
              <w:right w:val="single" w:sz="12" w:space="0" w:color="auto"/>
            </w:tcBorders>
            <w:shd w:val="clear" w:color="auto" w:fill="auto"/>
            <w:noWrap/>
            <w:vAlign w:val="bottom"/>
            <w:hideMark/>
          </w:tcPr>
          <w:p w:rsidR="00982EC0" w:rsidRPr="00982EC0" w:rsidRDefault="00982EC0" w:rsidP="00982EC0">
            <w:pPr>
              <w:pStyle w:val="AERtabletextleft"/>
            </w:pPr>
          </w:p>
        </w:tc>
        <w:tc>
          <w:tcPr>
            <w:tcW w:w="1076" w:type="dxa"/>
            <w:tcBorders>
              <w:left w:val="single" w:sz="12" w:space="0" w:color="auto"/>
            </w:tcBorders>
            <w:vAlign w:val="bottom"/>
          </w:tcPr>
          <w:p w:rsidR="00982EC0" w:rsidRPr="00982EC0" w:rsidRDefault="00982EC0" w:rsidP="00982EC0">
            <w:pPr>
              <w:pStyle w:val="AERtabletextleft"/>
            </w:pPr>
            <w:r w:rsidRPr="00982EC0">
              <w:t>2942</w:t>
            </w:r>
          </w:p>
        </w:tc>
        <w:tc>
          <w:tcPr>
            <w:tcW w:w="1273" w:type="dxa"/>
            <w:shd w:val="clear" w:color="auto" w:fill="auto"/>
            <w:noWrap/>
            <w:vAlign w:val="bottom"/>
            <w:hideMark/>
          </w:tcPr>
          <w:p w:rsidR="00982EC0" w:rsidRPr="00982EC0" w:rsidRDefault="00982EC0" w:rsidP="00982EC0">
            <w:pPr>
              <w:pStyle w:val="AERtabletextleft"/>
            </w:pPr>
            <w:r w:rsidRPr="00982EC0">
              <w:t>303</w:t>
            </w:r>
          </w:p>
        </w:tc>
        <w:tc>
          <w:tcPr>
            <w:tcW w:w="1075" w:type="dxa"/>
            <w:shd w:val="clear" w:color="auto" w:fill="auto"/>
            <w:noWrap/>
            <w:vAlign w:val="bottom"/>
            <w:hideMark/>
          </w:tcPr>
          <w:p w:rsidR="00982EC0" w:rsidRPr="00982EC0" w:rsidRDefault="00982EC0" w:rsidP="00982EC0">
            <w:pPr>
              <w:pStyle w:val="AERtabletextleft"/>
            </w:pPr>
            <w:r w:rsidRPr="00982EC0">
              <w:t>204</w:t>
            </w:r>
          </w:p>
        </w:tc>
        <w:tc>
          <w:tcPr>
            <w:tcW w:w="1075" w:type="dxa"/>
            <w:gridSpan w:val="2"/>
            <w:shd w:val="clear" w:color="auto" w:fill="auto"/>
            <w:noWrap/>
            <w:vAlign w:val="bottom"/>
            <w:hideMark/>
          </w:tcPr>
          <w:p w:rsidR="00982EC0" w:rsidRPr="00982EC0" w:rsidRDefault="00982EC0" w:rsidP="00982EC0">
            <w:pPr>
              <w:pStyle w:val="AERtabletextleft"/>
            </w:pPr>
          </w:p>
        </w:tc>
        <w:tc>
          <w:tcPr>
            <w:tcW w:w="1075" w:type="dxa"/>
            <w:shd w:val="clear" w:color="auto" w:fill="auto"/>
            <w:noWrap/>
            <w:vAlign w:val="bottom"/>
            <w:hideMark/>
          </w:tcPr>
          <w:p w:rsidR="00982EC0" w:rsidRPr="00982EC0" w:rsidRDefault="00982EC0" w:rsidP="00982EC0">
            <w:pPr>
              <w:pStyle w:val="AERtabletextleft"/>
            </w:pPr>
            <w:r w:rsidRPr="00982EC0">
              <w:t>5</w:t>
            </w:r>
          </w:p>
        </w:tc>
        <w:tc>
          <w:tcPr>
            <w:tcW w:w="1075" w:type="dxa"/>
            <w:shd w:val="clear" w:color="auto" w:fill="auto"/>
            <w:noWrap/>
            <w:vAlign w:val="bottom"/>
            <w:hideMark/>
          </w:tcPr>
          <w:p w:rsidR="00982EC0" w:rsidRPr="00982EC0" w:rsidRDefault="00982EC0" w:rsidP="00982EC0">
            <w:pPr>
              <w:pStyle w:val="AERtabletextleft"/>
            </w:pPr>
          </w:p>
        </w:tc>
        <w:tc>
          <w:tcPr>
            <w:tcW w:w="1077" w:type="dxa"/>
            <w:gridSpan w:val="2"/>
            <w:tcBorders>
              <w:right w:val="single" w:sz="12" w:space="0" w:color="auto"/>
            </w:tcBorders>
            <w:shd w:val="clear" w:color="auto" w:fill="auto"/>
            <w:noWrap/>
            <w:vAlign w:val="bottom"/>
            <w:hideMark/>
          </w:tcPr>
          <w:p w:rsidR="00982EC0" w:rsidRPr="00982EC0" w:rsidRDefault="00982EC0" w:rsidP="00982EC0">
            <w:pPr>
              <w:pStyle w:val="AERtabletextleft"/>
            </w:pPr>
            <w:r w:rsidRPr="00982EC0">
              <w:t> </w:t>
            </w:r>
          </w:p>
        </w:tc>
      </w:tr>
      <w:tr w:rsidR="00982EC0" w:rsidRPr="0081390E" w:rsidTr="00982EC0">
        <w:trPr>
          <w:gridAfter w:val="1"/>
          <w:wAfter w:w="7" w:type="dxa"/>
          <w:trHeight w:val="270"/>
        </w:trPr>
        <w:tc>
          <w:tcPr>
            <w:tcW w:w="3142" w:type="dxa"/>
            <w:tcBorders>
              <w:left w:val="single" w:sz="12" w:space="0" w:color="auto"/>
              <w:right w:val="single" w:sz="12" w:space="0" w:color="auto"/>
            </w:tcBorders>
            <w:shd w:val="clear" w:color="auto" w:fill="auto"/>
            <w:noWrap/>
            <w:vAlign w:val="bottom"/>
            <w:hideMark/>
          </w:tcPr>
          <w:p w:rsidR="00982EC0" w:rsidRPr="00982EC0" w:rsidRDefault="00982EC0" w:rsidP="00982EC0">
            <w:pPr>
              <w:pStyle w:val="AERtabletextleft"/>
            </w:pPr>
            <w:r w:rsidRPr="00982EC0">
              <w:t xml:space="preserve">     Gas</w:t>
            </w:r>
          </w:p>
        </w:tc>
        <w:tc>
          <w:tcPr>
            <w:tcW w:w="1076" w:type="dxa"/>
            <w:tcBorders>
              <w:left w:val="single" w:sz="12" w:space="0" w:color="auto"/>
            </w:tcBorders>
          </w:tcPr>
          <w:p w:rsidR="00982EC0" w:rsidRPr="00982EC0" w:rsidRDefault="00982EC0" w:rsidP="00982EC0">
            <w:pPr>
              <w:pStyle w:val="AERtabletextleft"/>
            </w:pPr>
          </w:p>
        </w:tc>
        <w:tc>
          <w:tcPr>
            <w:tcW w:w="928" w:type="dxa"/>
            <w:tcBorders>
              <w:right w:val="single" w:sz="12" w:space="0" w:color="auto"/>
            </w:tcBorders>
            <w:shd w:val="clear" w:color="auto" w:fill="auto"/>
            <w:noWrap/>
            <w:vAlign w:val="bottom"/>
            <w:hideMark/>
          </w:tcPr>
          <w:p w:rsidR="00982EC0" w:rsidRPr="00982EC0" w:rsidRDefault="00982EC0" w:rsidP="00982EC0">
            <w:pPr>
              <w:pStyle w:val="AERtabletextleft"/>
            </w:pPr>
          </w:p>
        </w:tc>
        <w:tc>
          <w:tcPr>
            <w:tcW w:w="1076" w:type="dxa"/>
            <w:tcBorders>
              <w:left w:val="single" w:sz="12" w:space="0" w:color="auto"/>
            </w:tcBorders>
            <w:vAlign w:val="bottom"/>
          </w:tcPr>
          <w:p w:rsidR="00982EC0" w:rsidRPr="00982EC0" w:rsidRDefault="00982EC0" w:rsidP="00982EC0">
            <w:pPr>
              <w:pStyle w:val="AERtabletextleft"/>
            </w:pPr>
            <w:r w:rsidRPr="00982EC0">
              <w:t> </w:t>
            </w:r>
          </w:p>
        </w:tc>
        <w:tc>
          <w:tcPr>
            <w:tcW w:w="1273" w:type="dxa"/>
            <w:shd w:val="clear" w:color="auto" w:fill="auto"/>
            <w:noWrap/>
            <w:vAlign w:val="bottom"/>
            <w:hideMark/>
          </w:tcPr>
          <w:p w:rsidR="00982EC0" w:rsidRPr="00982EC0" w:rsidRDefault="00982EC0" w:rsidP="00982EC0">
            <w:pPr>
              <w:pStyle w:val="AERtabletextleft"/>
            </w:pPr>
            <w:r w:rsidRPr="00982EC0">
              <w:t>530</w:t>
            </w:r>
          </w:p>
        </w:tc>
        <w:tc>
          <w:tcPr>
            <w:tcW w:w="1075" w:type="dxa"/>
            <w:shd w:val="clear" w:color="auto" w:fill="auto"/>
            <w:noWrap/>
            <w:vAlign w:val="bottom"/>
            <w:hideMark/>
          </w:tcPr>
          <w:p w:rsidR="00982EC0" w:rsidRPr="00982EC0" w:rsidRDefault="00982EC0" w:rsidP="00982EC0">
            <w:pPr>
              <w:pStyle w:val="AERtabletextleft"/>
            </w:pPr>
            <w:r w:rsidRPr="00982EC0">
              <w:t>118</w:t>
            </w:r>
          </w:p>
        </w:tc>
        <w:tc>
          <w:tcPr>
            <w:tcW w:w="1075" w:type="dxa"/>
            <w:gridSpan w:val="2"/>
            <w:shd w:val="clear" w:color="auto" w:fill="auto"/>
            <w:noWrap/>
            <w:vAlign w:val="bottom"/>
            <w:hideMark/>
          </w:tcPr>
          <w:p w:rsidR="00982EC0" w:rsidRPr="00982EC0" w:rsidRDefault="00982EC0" w:rsidP="00982EC0">
            <w:pPr>
              <w:pStyle w:val="AERtabletextleft"/>
            </w:pPr>
            <w:r w:rsidRPr="00982EC0">
              <w:t> </w:t>
            </w:r>
          </w:p>
        </w:tc>
        <w:tc>
          <w:tcPr>
            <w:tcW w:w="1075" w:type="dxa"/>
            <w:shd w:val="clear" w:color="auto" w:fill="auto"/>
            <w:noWrap/>
            <w:vAlign w:val="bottom"/>
            <w:hideMark/>
          </w:tcPr>
          <w:p w:rsidR="00982EC0" w:rsidRPr="00982EC0" w:rsidRDefault="00982EC0" w:rsidP="00982EC0">
            <w:pPr>
              <w:pStyle w:val="AERtabletextleft"/>
            </w:pPr>
            <w:r w:rsidRPr="00982EC0">
              <w:t>3</w:t>
            </w:r>
          </w:p>
        </w:tc>
        <w:tc>
          <w:tcPr>
            <w:tcW w:w="1075" w:type="dxa"/>
            <w:shd w:val="clear" w:color="auto" w:fill="auto"/>
            <w:noWrap/>
            <w:vAlign w:val="bottom"/>
            <w:hideMark/>
          </w:tcPr>
          <w:p w:rsidR="00982EC0" w:rsidRPr="00982EC0" w:rsidRDefault="00982EC0" w:rsidP="00982EC0">
            <w:pPr>
              <w:pStyle w:val="AERtabletextleft"/>
            </w:pPr>
            <w:r w:rsidRPr="00982EC0">
              <w:t> </w:t>
            </w:r>
          </w:p>
        </w:tc>
        <w:tc>
          <w:tcPr>
            <w:tcW w:w="1077" w:type="dxa"/>
            <w:gridSpan w:val="2"/>
            <w:tcBorders>
              <w:right w:val="single" w:sz="12" w:space="0" w:color="auto"/>
            </w:tcBorders>
            <w:shd w:val="clear" w:color="auto" w:fill="auto"/>
            <w:noWrap/>
            <w:vAlign w:val="bottom"/>
            <w:hideMark/>
          </w:tcPr>
          <w:p w:rsidR="00982EC0" w:rsidRPr="00982EC0" w:rsidRDefault="00982EC0" w:rsidP="00982EC0">
            <w:pPr>
              <w:pStyle w:val="AERtabletextleft"/>
            </w:pPr>
            <w:r w:rsidRPr="00982EC0">
              <w:t> </w:t>
            </w:r>
          </w:p>
        </w:tc>
      </w:tr>
      <w:tr w:rsidR="00982EC0" w:rsidRPr="0081390E" w:rsidTr="00982EC0">
        <w:trPr>
          <w:gridAfter w:val="2"/>
          <w:wAfter w:w="15" w:type="dxa"/>
          <w:trHeight w:val="255"/>
        </w:trPr>
        <w:tc>
          <w:tcPr>
            <w:tcW w:w="12864" w:type="dxa"/>
            <w:gridSpan w:val="11"/>
            <w:tcBorders>
              <w:left w:val="single" w:sz="12" w:space="0" w:color="auto"/>
              <w:right w:val="single" w:sz="12" w:space="0" w:color="auto"/>
            </w:tcBorders>
            <w:shd w:val="clear" w:color="auto" w:fill="DBE5F1"/>
            <w:noWrap/>
            <w:vAlign w:val="bottom"/>
            <w:hideMark/>
          </w:tcPr>
          <w:p w:rsidR="00982EC0" w:rsidRPr="00982EC0" w:rsidRDefault="00982EC0" w:rsidP="00982EC0">
            <w:pPr>
              <w:pStyle w:val="AERtabletextleft"/>
            </w:pPr>
            <w:r w:rsidRPr="00982EC0">
              <w:t>Number of customers disconnected</w:t>
            </w:r>
          </w:p>
        </w:tc>
      </w:tr>
      <w:tr w:rsidR="00982EC0" w:rsidRPr="0081390E" w:rsidTr="00982EC0">
        <w:trPr>
          <w:gridAfter w:val="2"/>
          <w:wAfter w:w="15" w:type="dxa"/>
          <w:trHeight w:val="255"/>
        </w:trPr>
        <w:tc>
          <w:tcPr>
            <w:tcW w:w="3142" w:type="dxa"/>
            <w:tcBorders>
              <w:left w:val="single" w:sz="12" w:space="0" w:color="auto"/>
              <w:right w:val="single" w:sz="12" w:space="0" w:color="auto"/>
            </w:tcBorders>
            <w:shd w:val="clear" w:color="auto" w:fill="auto"/>
            <w:noWrap/>
            <w:vAlign w:val="bottom"/>
            <w:hideMark/>
          </w:tcPr>
          <w:p w:rsidR="00982EC0" w:rsidRPr="00982EC0" w:rsidRDefault="00982EC0" w:rsidP="00982EC0">
            <w:pPr>
              <w:pStyle w:val="AERtabletextleft"/>
            </w:pPr>
            <w:r w:rsidRPr="00982EC0">
              <w:t xml:space="preserve">   Residential</w:t>
            </w:r>
          </w:p>
        </w:tc>
        <w:tc>
          <w:tcPr>
            <w:tcW w:w="9722" w:type="dxa"/>
            <w:gridSpan w:val="10"/>
            <w:tcBorders>
              <w:left w:val="single" w:sz="12" w:space="0" w:color="auto"/>
              <w:right w:val="single" w:sz="12" w:space="0" w:color="auto"/>
            </w:tcBorders>
            <w:shd w:val="clear" w:color="auto" w:fill="auto"/>
            <w:vAlign w:val="bottom"/>
          </w:tcPr>
          <w:p w:rsidR="00982EC0" w:rsidRPr="00982EC0" w:rsidRDefault="00982EC0" w:rsidP="00982EC0">
            <w:pPr>
              <w:pStyle w:val="AERtabletextleft"/>
            </w:pPr>
          </w:p>
        </w:tc>
      </w:tr>
      <w:tr w:rsidR="00982EC0" w:rsidRPr="0081390E" w:rsidTr="00982EC0">
        <w:trPr>
          <w:gridAfter w:val="1"/>
          <w:wAfter w:w="7" w:type="dxa"/>
          <w:trHeight w:val="255"/>
        </w:trPr>
        <w:tc>
          <w:tcPr>
            <w:tcW w:w="3142" w:type="dxa"/>
            <w:tcBorders>
              <w:left w:val="single" w:sz="12" w:space="0" w:color="auto"/>
              <w:right w:val="single" w:sz="12" w:space="0" w:color="auto"/>
            </w:tcBorders>
            <w:shd w:val="clear" w:color="auto" w:fill="auto"/>
            <w:noWrap/>
            <w:vAlign w:val="bottom"/>
            <w:hideMark/>
          </w:tcPr>
          <w:p w:rsidR="00982EC0" w:rsidRPr="00982EC0" w:rsidRDefault="00982EC0" w:rsidP="00982EC0">
            <w:pPr>
              <w:pStyle w:val="AERtabletextleft"/>
            </w:pPr>
            <w:r w:rsidRPr="00982EC0">
              <w:t xml:space="preserve">     Electricity</w:t>
            </w:r>
          </w:p>
        </w:tc>
        <w:tc>
          <w:tcPr>
            <w:tcW w:w="1076" w:type="dxa"/>
            <w:tcBorders>
              <w:left w:val="single" w:sz="12" w:space="0" w:color="auto"/>
            </w:tcBorders>
            <w:shd w:val="clear" w:color="auto" w:fill="D9D9D9"/>
          </w:tcPr>
          <w:p w:rsidR="00982EC0" w:rsidRPr="00982EC0" w:rsidRDefault="00982EC0" w:rsidP="00982EC0">
            <w:pPr>
              <w:pStyle w:val="AERtabletextleft"/>
            </w:pPr>
          </w:p>
        </w:tc>
        <w:tc>
          <w:tcPr>
            <w:tcW w:w="928" w:type="dxa"/>
            <w:tcBorders>
              <w:right w:val="single" w:sz="12" w:space="0" w:color="auto"/>
            </w:tcBorders>
            <w:shd w:val="clear" w:color="auto" w:fill="D9D9D9"/>
            <w:noWrap/>
            <w:vAlign w:val="bottom"/>
            <w:hideMark/>
          </w:tcPr>
          <w:p w:rsidR="00982EC0" w:rsidRPr="00982EC0" w:rsidRDefault="00982EC0" w:rsidP="00982EC0">
            <w:pPr>
              <w:pStyle w:val="AERtabletextleft"/>
            </w:pPr>
          </w:p>
        </w:tc>
        <w:tc>
          <w:tcPr>
            <w:tcW w:w="1076" w:type="dxa"/>
            <w:tcBorders>
              <w:left w:val="single" w:sz="12" w:space="0" w:color="auto"/>
            </w:tcBorders>
            <w:vAlign w:val="bottom"/>
          </w:tcPr>
          <w:p w:rsidR="00982EC0" w:rsidRPr="00982EC0" w:rsidRDefault="00982EC0" w:rsidP="00982EC0">
            <w:pPr>
              <w:pStyle w:val="AERtabletextleft"/>
            </w:pPr>
            <w:r w:rsidRPr="00982EC0">
              <w:t>226</w:t>
            </w:r>
          </w:p>
        </w:tc>
        <w:tc>
          <w:tcPr>
            <w:tcW w:w="1273" w:type="dxa"/>
            <w:shd w:val="clear" w:color="auto" w:fill="auto"/>
            <w:noWrap/>
            <w:vAlign w:val="bottom"/>
            <w:hideMark/>
          </w:tcPr>
          <w:p w:rsidR="00982EC0" w:rsidRPr="00982EC0" w:rsidRDefault="00982EC0" w:rsidP="00982EC0">
            <w:pPr>
              <w:pStyle w:val="AERtabletextleft"/>
            </w:pPr>
          </w:p>
        </w:tc>
        <w:tc>
          <w:tcPr>
            <w:tcW w:w="1075" w:type="dxa"/>
            <w:shd w:val="clear" w:color="auto" w:fill="auto"/>
            <w:noWrap/>
            <w:vAlign w:val="bottom"/>
            <w:hideMark/>
          </w:tcPr>
          <w:p w:rsidR="00982EC0" w:rsidRPr="00982EC0" w:rsidRDefault="00982EC0" w:rsidP="00982EC0">
            <w:pPr>
              <w:pStyle w:val="AERtabletextleft"/>
            </w:pPr>
            <w:r w:rsidRPr="00982EC0">
              <w:t> </w:t>
            </w:r>
          </w:p>
        </w:tc>
        <w:tc>
          <w:tcPr>
            <w:tcW w:w="1075" w:type="dxa"/>
            <w:gridSpan w:val="2"/>
            <w:shd w:val="clear" w:color="auto" w:fill="auto"/>
            <w:noWrap/>
            <w:vAlign w:val="bottom"/>
            <w:hideMark/>
          </w:tcPr>
          <w:p w:rsidR="00982EC0" w:rsidRPr="00982EC0" w:rsidRDefault="00982EC0" w:rsidP="00982EC0">
            <w:pPr>
              <w:pStyle w:val="AERtabletextleft"/>
            </w:pPr>
          </w:p>
        </w:tc>
        <w:tc>
          <w:tcPr>
            <w:tcW w:w="1075" w:type="dxa"/>
            <w:shd w:val="clear" w:color="auto" w:fill="auto"/>
            <w:noWrap/>
            <w:vAlign w:val="bottom"/>
            <w:hideMark/>
          </w:tcPr>
          <w:p w:rsidR="00982EC0" w:rsidRPr="00982EC0" w:rsidRDefault="00982EC0" w:rsidP="00982EC0">
            <w:pPr>
              <w:pStyle w:val="AERtabletextleft"/>
            </w:pPr>
            <w:r w:rsidRPr="00982EC0">
              <w:t> </w:t>
            </w:r>
          </w:p>
        </w:tc>
        <w:tc>
          <w:tcPr>
            <w:tcW w:w="1075" w:type="dxa"/>
            <w:shd w:val="clear" w:color="auto" w:fill="auto"/>
            <w:noWrap/>
            <w:vAlign w:val="bottom"/>
            <w:hideMark/>
          </w:tcPr>
          <w:p w:rsidR="00982EC0" w:rsidRPr="00982EC0" w:rsidRDefault="00982EC0" w:rsidP="00982EC0">
            <w:pPr>
              <w:pStyle w:val="AERtabletextleft"/>
            </w:pPr>
          </w:p>
        </w:tc>
        <w:tc>
          <w:tcPr>
            <w:tcW w:w="1077" w:type="dxa"/>
            <w:gridSpan w:val="2"/>
            <w:tcBorders>
              <w:right w:val="single" w:sz="12" w:space="0" w:color="auto"/>
            </w:tcBorders>
            <w:shd w:val="clear" w:color="auto" w:fill="auto"/>
            <w:noWrap/>
            <w:vAlign w:val="bottom"/>
            <w:hideMark/>
          </w:tcPr>
          <w:p w:rsidR="00982EC0" w:rsidRPr="00982EC0" w:rsidRDefault="00982EC0" w:rsidP="00982EC0">
            <w:pPr>
              <w:pStyle w:val="AERtabletextleft"/>
            </w:pPr>
            <w:r w:rsidRPr="00982EC0">
              <w:t> </w:t>
            </w:r>
          </w:p>
        </w:tc>
      </w:tr>
      <w:tr w:rsidR="00982EC0" w:rsidRPr="0081390E" w:rsidTr="00982EC0">
        <w:trPr>
          <w:gridAfter w:val="1"/>
          <w:wAfter w:w="7" w:type="dxa"/>
          <w:trHeight w:val="255"/>
        </w:trPr>
        <w:tc>
          <w:tcPr>
            <w:tcW w:w="3142" w:type="dxa"/>
            <w:tcBorders>
              <w:left w:val="single" w:sz="12" w:space="0" w:color="auto"/>
              <w:right w:val="single" w:sz="12" w:space="0" w:color="auto"/>
            </w:tcBorders>
            <w:shd w:val="clear" w:color="auto" w:fill="auto"/>
            <w:noWrap/>
            <w:vAlign w:val="bottom"/>
            <w:hideMark/>
          </w:tcPr>
          <w:p w:rsidR="00982EC0" w:rsidRPr="00982EC0" w:rsidRDefault="00982EC0" w:rsidP="00982EC0">
            <w:pPr>
              <w:pStyle w:val="AERtabletextleft"/>
            </w:pPr>
            <w:r w:rsidRPr="00982EC0">
              <w:t xml:space="preserve">     Gas</w:t>
            </w:r>
          </w:p>
        </w:tc>
        <w:tc>
          <w:tcPr>
            <w:tcW w:w="1076" w:type="dxa"/>
            <w:tcBorders>
              <w:left w:val="single" w:sz="12" w:space="0" w:color="auto"/>
            </w:tcBorders>
            <w:shd w:val="clear" w:color="auto" w:fill="D9D9D9"/>
          </w:tcPr>
          <w:p w:rsidR="00982EC0" w:rsidRPr="00982EC0" w:rsidRDefault="00982EC0" w:rsidP="00982EC0">
            <w:pPr>
              <w:pStyle w:val="AERtabletextleft"/>
            </w:pPr>
          </w:p>
        </w:tc>
        <w:tc>
          <w:tcPr>
            <w:tcW w:w="928" w:type="dxa"/>
            <w:tcBorders>
              <w:right w:val="single" w:sz="12" w:space="0" w:color="auto"/>
            </w:tcBorders>
            <w:shd w:val="clear" w:color="auto" w:fill="D9D9D9"/>
            <w:noWrap/>
            <w:vAlign w:val="bottom"/>
            <w:hideMark/>
          </w:tcPr>
          <w:p w:rsidR="00982EC0" w:rsidRPr="00982EC0" w:rsidRDefault="00982EC0" w:rsidP="00982EC0">
            <w:pPr>
              <w:pStyle w:val="AERtabletextleft"/>
            </w:pPr>
          </w:p>
        </w:tc>
        <w:tc>
          <w:tcPr>
            <w:tcW w:w="1076" w:type="dxa"/>
            <w:tcBorders>
              <w:left w:val="single" w:sz="12" w:space="0" w:color="auto"/>
            </w:tcBorders>
            <w:vAlign w:val="bottom"/>
          </w:tcPr>
          <w:p w:rsidR="00982EC0" w:rsidRPr="00982EC0" w:rsidRDefault="00982EC0" w:rsidP="00982EC0">
            <w:pPr>
              <w:pStyle w:val="AERtabletextleft"/>
            </w:pPr>
            <w:r w:rsidRPr="00982EC0">
              <w:t> </w:t>
            </w:r>
          </w:p>
        </w:tc>
        <w:tc>
          <w:tcPr>
            <w:tcW w:w="1273" w:type="dxa"/>
            <w:shd w:val="clear" w:color="auto" w:fill="auto"/>
            <w:noWrap/>
            <w:vAlign w:val="bottom"/>
            <w:hideMark/>
          </w:tcPr>
          <w:p w:rsidR="00982EC0" w:rsidRPr="00982EC0" w:rsidRDefault="00982EC0" w:rsidP="00982EC0">
            <w:pPr>
              <w:pStyle w:val="AERtabletextleft"/>
            </w:pPr>
            <w:r w:rsidRPr="00982EC0">
              <w:t>582</w:t>
            </w:r>
          </w:p>
        </w:tc>
        <w:tc>
          <w:tcPr>
            <w:tcW w:w="1075" w:type="dxa"/>
            <w:shd w:val="clear" w:color="auto" w:fill="auto"/>
            <w:noWrap/>
            <w:vAlign w:val="bottom"/>
            <w:hideMark/>
          </w:tcPr>
          <w:p w:rsidR="00982EC0" w:rsidRPr="00982EC0" w:rsidRDefault="00982EC0" w:rsidP="00982EC0">
            <w:pPr>
              <w:pStyle w:val="AERtabletextleft"/>
            </w:pPr>
            <w:r w:rsidRPr="00982EC0">
              <w:t> </w:t>
            </w:r>
          </w:p>
        </w:tc>
        <w:tc>
          <w:tcPr>
            <w:tcW w:w="1075" w:type="dxa"/>
            <w:gridSpan w:val="2"/>
            <w:shd w:val="clear" w:color="auto" w:fill="auto"/>
            <w:noWrap/>
            <w:vAlign w:val="bottom"/>
            <w:hideMark/>
          </w:tcPr>
          <w:p w:rsidR="00982EC0" w:rsidRPr="00982EC0" w:rsidRDefault="00982EC0" w:rsidP="00982EC0">
            <w:pPr>
              <w:pStyle w:val="AERtabletextleft"/>
            </w:pPr>
          </w:p>
        </w:tc>
        <w:tc>
          <w:tcPr>
            <w:tcW w:w="1075" w:type="dxa"/>
            <w:shd w:val="clear" w:color="auto" w:fill="auto"/>
            <w:noWrap/>
            <w:vAlign w:val="bottom"/>
            <w:hideMark/>
          </w:tcPr>
          <w:p w:rsidR="00982EC0" w:rsidRPr="00982EC0" w:rsidRDefault="00982EC0" w:rsidP="00982EC0">
            <w:pPr>
              <w:pStyle w:val="AERtabletextleft"/>
            </w:pPr>
            <w:r w:rsidRPr="00982EC0">
              <w:t> </w:t>
            </w:r>
          </w:p>
        </w:tc>
        <w:tc>
          <w:tcPr>
            <w:tcW w:w="1075" w:type="dxa"/>
            <w:shd w:val="clear" w:color="auto" w:fill="auto"/>
            <w:noWrap/>
            <w:vAlign w:val="bottom"/>
            <w:hideMark/>
          </w:tcPr>
          <w:p w:rsidR="00982EC0" w:rsidRPr="00982EC0" w:rsidRDefault="00982EC0" w:rsidP="00982EC0">
            <w:pPr>
              <w:pStyle w:val="AERtabletextleft"/>
            </w:pPr>
          </w:p>
        </w:tc>
        <w:tc>
          <w:tcPr>
            <w:tcW w:w="1077" w:type="dxa"/>
            <w:gridSpan w:val="2"/>
            <w:tcBorders>
              <w:right w:val="single" w:sz="12" w:space="0" w:color="auto"/>
            </w:tcBorders>
            <w:shd w:val="clear" w:color="auto" w:fill="auto"/>
            <w:noWrap/>
            <w:vAlign w:val="bottom"/>
            <w:hideMark/>
          </w:tcPr>
          <w:p w:rsidR="00982EC0" w:rsidRPr="00982EC0" w:rsidRDefault="00982EC0" w:rsidP="00982EC0">
            <w:pPr>
              <w:pStyle w:val="AERtabletextleft"/>
            </w:pPr>
            <w:r w:rsidRPr="00982EC0">
              <w:t> </w:t>
            </w:r>
          </w:p>
        </w:tc>
      </w:tr>
      <w:tr w:rsidR="00982EC0" w:rsidRPr="0081390E" w:rsidTr="00982EC0">
        <w:trPr>
          <w:gridAfter w:val="2"/>
          <w:wAfter w:w="15" w:type="dxa"/>
          <w:trHeight w:val="255"/>
        </w:trPr>
        <w:tc>
          <w:tcPr>
            <w:tcW w:w="3142" w:type="dxa"/>
            <w:tcBorders>
              <w:left w:val="single" w:sz="12" w:space="0" w:color="auto"/>
              <w:right w:val="single" w:sz="12" w:space="0" w:color="auto"/>
            </w:tcBorders>
            <w:shd w:val="clear" w:color="auto" w:fill="auto"/>
            <w:noWrap/>
            <w:vAlign w:val="bottom"/>
            <w:hideMark/>
          </w:tcPr>
          <w:p w:rsidR="00982EC0" w:rsidRPr="00982EC0" w:rsidRDefault="00982EC0" w:rsidP="00982EC0">
            <w:pPr>
              <w:pStyle w:val="AERtabletextleft"/>
            </w:pPr>
            <w:r w:rsidRPr="00982EC0">
              <w:t xml:space="preserve">   Small business </w:t>
            </w:r>
          </w:p>
        </w:tc>
        <w:tc>
          <w:tcPr>
            <w:tcW w:w="2004" w:type="dxa"/>
            <w:gridSpan w:val="2"/>
            <w:tcBorders>
              <w:left w:val="single" w:sz="12" w:space="0" w:color="auto"/>
              <w:right w:val="single" w:sz="12" w:space="0" w:color="auto"/>
            </w:tcBorders>
            <w:shd w:val="clear" w:color="auto" w:fill="D9D9D9"/>
            <w:vAlign w:val="bottom"/>
          </w:tcPr>
          <w:p w:rsidR="00982EC0" w:rsidRPr="00982EC0" w:rsidRDefault="00982EC0" w:rsidP="00982EC0">
            <w:pPr>
              <w:pStyle w:val="AERtabletextleft"/>
            </w:pPr>
          </w:p>
        </w:tc>
        <w:tc>
          <w:tcPr>
            <w:tcW w:w="7718" w:type="dxa"/>
            <w:gridSpan w:val="8"/>
            <w:tcBorders>
              <w:left w:val="single" w:sz="12" w:space="0" w:color="auto"/>
              <w:right w:val="single" w:sz="12" w:space="0" w:color="auto"/>
            </w:tcBorders>
            <w:shd w:val="clear" w:color="auto" w:fill="auto"/>
            <w:vAlign w:val="bottom"/>
          </w:tcPr>
          <w:p w:rsidR="00982EC0" w:rsidRPr="00982EC0" w:rsidRDefault="00982EC0" w:rsidP="00982EC0">
            <w:pPr>
              <w:pStyle w:val="AERtabletextleft"/>
            </w:pPr>
          </w:p>
        </w:tc>
      </w:tr>
      <w:tr w:rsidR="00982EC0" w:rsidRPr="0081390E" w:rsidTr="00982EC0">
        <w:trPr>
          <w:gridAfter w:val="1"/>
          <w:wAfter w:w="7" w:type="dxa"/>
          <w:trHeight w:val="255"/>
        </w:trPr>
        <w:tc>
          <w:tcPr>
            <w:tcW w:w="3142" w:type="dxa"/>
            <w:tcBorders>
              <w:left w:val="single" w:sz="12" w:space="0" w:color="auto"/>
              <w:right w:val="single" w:sz="12" w:space="0" w:color="auto"/>
            </w:tcBorders>
            <w:shd w:val="clear" w:color="auto" w:fill="auto"/>
            <w:noWrap/>
            <w:vAlign w:val="bottom"/>
            <w:hideMark/>
          </w:tcPr>
          <w:p w:rsidR="00982EC0" w:rsidRPr="00982EC0" w:rsidRDefault="00982EC0" w:rsidP="00982EC0">
            <w:pPr>
              <w:pStyle w:val="AERtabletextleft"/>
            </w:pPr>
            <w:r w:rsidRPr="00982EC0">
              <w:t xml:space="preserve">     Electricity</w:t>
            </w:r>
          </w:p>
        </w:tc>
        <w:tc>
          <w:tcPr>
            <w:tcW w:w="1076" w:type="dxa"/>
            <w:tcBorders>
              <w:left w:val="single" w:sz="12" w:space="0" w:color="auto"/>
            </w:tcBorders>
            <w:shd w:val="clear" w:color="auto" w:fill="D9D9D9"/>
          </w:tcPr>
          <w:p w:rsidR="00982EC0" w:rsidRPr="00982EC0" w:rsidRDefault="00982EC0" w:rsidP="00982EC0">
            <w:pPr>
              <w:pStyle w:val="AERtabletextleft"/>
            </w:pPr>
          </w:p>
        </w:tc>
        <w:tc>
          <w:tcPr>
            <w:tcW w:w="928" w:type="dxa"/>
            <w:tcBorders>
              <w:right w:val="single" w:sz="12" w:space="0" w:color="auto"/>
            </w:tcBorders>
            <w:shd w:val="clear" w:color="auto" w:fill="D9D9D9"/>
            <w:noWrap/>
            <w:vAlign w:val="bottom"/>
            <w:hideMark/>
          </w:tcPr>
          <w:p w:rsidR="00982EC0" w:rsidRPr="00982EC0" w:rsidRDefault="00982EC0" w:rsidP="00982EC0">
            <w:pPr>
              <w:pStyle w:val="AERtabletextleft"/>
            </w:pPr>
          </w:p>
        </w:tc>
        <w:tc>
          <w:tcPr>
            <w:tcW w:w="1076" w:type="dxa"/>
            <w:tcBorders>
              <w:left w:val="single" w:sz="12" w:space="0" w:color="auto"/>
            </w:tcBorders>
            <w:vAlign w:val="bottom"/>
          </w:tcPr>
          <w:p w:rsidR="00982EC0" w:rsidRPr="00982EC0" w:rsidRDefault="00982EC0" w:rsidP="00982EC0">
            <w:pPr>
              <w:pStyle w:val="AERtabletextleft"/>
            </w:pPr>
            <w:r w:rsidRPr="00982EC0">
              <w:t> </w:t>
            </w:r>
          </w:p>
        </w:tc>
        <w:tc>
          <w:tcPr>
            <w:tcW w:w="1273" w:type="dxa"/>
            <w:shd w:val="clear" w:color="auto" w:fill="auto"/>
            <w:noWrap/>
            <w:vAlign w:val="bottom"/>
            <w:hideMark/>
          </w:tcPr>
          <w:p w:rsidR="00982EC0" w:rsidRPr="00982EC0" w:rsidRDefault="00982EC0" w:rsidP="00982EC0">
            <w:pPr>
              <w:pStyle w:val="AERtabletextleft"/>
            </w:pPr>
          </w:p>
        </w:tc>
        <w:tc>
          <w:tcPr>
            <w:tcW w:w="1075" w:type="dxa"/>
            <w:shd w:val="clear" w:color="auto" w:fill="auto"/>
            <w:noWrap/>
            <w:vAlign w:val="bottom"/>
            <w:hideMark/>
          </w:tcPr>
          <w:p w:rsidR="00982EC0" w:rsidRPr="00982EC0" w:rsidRDefault="00982EC0" w:rsidP="00982EC0">
            <w:pPr>
              <w:pStyle w:val="AERtabletextleft"/>
            </w:pPr>
            <w:r w:rsidRPr="00982EC0">
              <w:t> </w:t>
            </w:r>
          </w:p>
        </w:tc>
        <w:tc>
          <w:tcPr>
            <w:tcW w:w="1075" w:type="dxa"/>
            <w:gridSpan w:val="2"/>
            <w:shd w:val="clear" w:color="auto" w:fill="auto"/>
            <w:noWrap/>
            <w:vAlign w:val="bottom"/>
            <w:hideMark/>
          </w:tcPr>
          <w:p w:rsidR="00982EC0" w:rsidRPr="00982EC0" w:rsidRDefault="00982EC0" w:rsidP="00982EC0">
            <w:pPr>
              <w:pStyle w:val="AERtabletextleft"/>
            </w:pPr>
          </w:p>
        </w:tc>
        <w:tc>
          <w:tcPr>
            <w:tcW w:w="1075" w:type="dxa"/>
            <w:shd w:val="clear" w:color="auto" w:fill="auto"/>
            <w:noWrap/>
            <w:vAlign w:val="bottom"/>
            <w:hideMark/>
          </w:tcPr>
          <w:p w:rsidR="00982EC0" w:rsidRPr="00982EC0" w:rsidRDefault="00982EC0" w:rsidP="00982EC0">
            <w:pPr>
              <w:pStyle w:val="AERtabletextleft"/>
            </w:pPr>
            <w:r w:rsidRPr="00982EC0">
              <w:t> </w:t>
            </w:r>
          </w:p>
        </w:tc>
        <w:tc>
          <w:tcPr>
            <w:tcW w:w="1075" w:type="dxa"/>
            <w:shd w:val="clear" w:color="auto" w:fill="auto"/>
            <w:noWrap/>
            <w:vAlign w:val="bottom"/>
            <w:hideMark/>
          </w:tcPr>
          <w:p w:rsidR="00982EC0" w:rsidRPr="00982EC0" w:rsidRDefault="00982EC0" w:rsidP="00982EC0">
            <w:pPr>
              <w:pStyle w:val="AERtabletextleft"/>
            </w:pPr>
          </w:p>
        </w:tc>
        <w:tc>
          <w:tcPr>
            <w:tcW w:w="1077" w:type="dxa"/>
            <w:gridSpan w:val="2"/>
            <w:tcBorders>
              <w:right w:val="single" w:sz="12" w:space="0" w:color="auto"/>
            </w:tcBorders>
            <w:shd w:val="clear" w:color="auto" w:fill="auto"/>
            <w:noWrap/>
            <w:vAlign w:val="bottom"/>
            <w:hideMark/>
          </w:tcPr>
          <w:p w:rsidR="00982EC0" w:rsidRPr="00982EC0" w:rsidRDefault="00982EC0" w:rsidP="00982EC0">
            <w:pPr>
              <w:pStyle w:val="AERtabletextleft"/>
            </w:pPr>
            <w:r w:rsidRPr="00982EC0">
              <w:t> </w:t>
            </w:r>
          </w:p>
        </w:tc>
      </w:tr>
      <w:tr w:rsidR="00982EC0" w:rsidRPr="0081390E" w:rsidTr="00982EC0">
        <w:trPr>
          <w:gridAfter w:val="1"/>
          <w:wAfter w:w="7" w:type="dxa"/>
          <w:trHeight w:val="270"/>
        </w:trPr>
        <w:tc>
          <w:tcPr>
            <w:tcW w:w="3142" w:type="dxa"/>
            <w:tcBorders>
              <w:left w:val="single" w:sz="12" w:space="0" w:color="auto"/>
              <w:right w:val="single" w:sz="12" w:space="0" w:color="auto"/>
            </w:tcBorders>
            <w:shd w:val="clear" w:color="auto" w:fill="auto"/>
            <w:noWrap/>
            <w:vAlign w:val="bottom"/>
            <w:hideMark/>
          </w:tcPr>
          <w:p w:rsidR="00982EC0" w:rsidRPr="00982EC0" w:rsidRDefault="00982EC0" w:rsidP="00982EC0">
            <w:pPr>
              <w:pStyle w:val="AERtabletextleft"/>
            </w:pPr>
            <w:r w:rsidRPr="00982EC0">
              <w:t xml:space="preserve">     Gas</w:t>
            </w:r>
          </w:p>
        </w:tc>
        <w:tc>
          <w:tcPr>
            <w:tcW w:w="1076" w:type="dxa"/>
            <w:tcBorders>
              <w:left w:val="single" w:sz="12" w:space="0" w:color="auto"/>
            </w:tcBorders>
            <w:shd w:val="clear" w:color="auto" w:fill="D9D9D9"/>
          </w:tcPr>
          <w:p w:rsidR="00982EC0" w:rsidRPr="00982EC0" w:rsidRDefault="00982EC0" w:rsidP="00982EC0">
            <w:pPr>
              <w:pStyle w:val="AERtabletextleft"/>
            </w:pPr>
          </w:p>
        </w:tc>
        <w:tc>
          <w:tcPr>
            <w:tcW w:w="928" w:type="dxa"/>
            <w:tcBorders>
              <w:right w:val="single" w:sz="12" w:space="0" w:color="auto"/>
            </w:tcBorders>
            <w:shd w:val="clear" w:color="auto" w:fill="D9D9D9"/>
            <w:noWrap/>
            <w:vAlign w:val="bottom"/>
            <w:hideMark/>
          </w:tcPr>
          <w:p w:rsidR="00982EC0" w:rsidRPr="00982EC0" w:rsidRDefault="00982EC0" w:rsidP="00982EC0">
            <w:pPr>
              <w:pStyle w:val="AERtabletextleft"/>
            </w:pPr>
          </w:p>
        </w:tc>
        <w:tc>
          <w:tcPr>
            <w:tcW w:w="1076" w:type="dxa"/>
            <w:tcBorders>
              <w:left w:val="single" w:sz="12" w:space="0" w:color="auto"/>
            </w:tcBorders>
            <w:vAlign w:val="bottom"/>
          </w:tcPr>
          <w:p w:rsidR="00982EC0" w:rsidRPr="00982EC0" w:rsidRDefault="00982EC0" w:rsidP="00982EC0">
            <w:pPr>
              <w:pStyle w:val="AERtabletextleft"/>
            </w:pPr>
            <w:r w:rsidRPr="00982EC0">
              <w:t> </w:t>
            </w:r>
          </w:p>
        </w:tc>
        <w:tc>
          <w:tcPr>
            <w:tcW w:w="1273" w:type="dxa"/>
            <w:shd w:val="clear" w:color="auto" w:fill="auto"/>
            <w:noWrap/>
            <w:vAlign w:val="bottom"/>
            <w:hideMark/>
          </w:tcPr>
          <w:p w:rsidR="00982EC0" w:rsidRPr="00982EC0" w:rsidRDefault="00982EC0" w:rsidP="00982EC0">
            <w:pPr>
              <w:pStyle w:val="AERtabletextleft"/>
            </w:pPr>
            <w:r w:rsidRPr="00982EC0">
              <w:t>10</w:t>
            </w:r>
          </w:p>
        </w:tc>
        <w:tc>
          <w:tcPr>
            <w:tcW w:w="1075" w:type="dxa"/>
            <w:shd w:val="clear" w:color="auto" w:fill="auto"/>
            <w:noWrap/>
            <w:vAlign w:val="bottom"/>
            <w:hideMark/>
          </w:tcPr>
          <w:p w:rsidR="00982EC0" w:rsidRPr="00982EC0" w:rsidRDefault="00982EC0" w:rsidP="00982EC0">
            <w:pPr>
              <w:pStyle w:val="AERtabletextleft"/>
            </w:pPr>
            <w:r w:rsidRPr="00982EC0">
              <w:t> </w:t>
            </w:r>
          </w:p>
        </w:tc>
        <w:tc>
          <w:tcPr>
            <w:tcW w:w="1075" w:type="dxa"/>
            <w:gridSpan w:val="2"/>
            <w:shd w:val="clear" w:color="auto" w:fill="auto"/>
            <w:noWrap/>
            <w:vAlign w:val="bottom"/>
            <w:hideMark/>
          </w:tcPr>
          <w:p w:rsidR="00982EC0" w:rsidRPr="00982EC0" w:rsidRDefault="00982EC0" w:rsidP="00982EC0">
            <w:pPr>
              <w:pStyle w:val="AERtabletextleft"/>
            </w:pPr>
            <w:r w:rsidRPr="00982EC0">
              <w:t> </w:t>
            </w:r>
          </w:p>
        </w:tc>
        <w:tc>
          <w:tcPr>
            <w:tcW w:w="1075" w:type="dxa"/>
            <w:shd w:val="clear" w:color="auto" w:fill="auto"/>
            <w:noWrap/>
            <w:vAlign w:val="bottom"/>
            <w:hideMark/>
          </w:tcPr>
          <w:p w:rsidR="00982EC0" w:rsidRPr="00982EC0" w:rsidRDefault="00982EC0" w:rsidP="00982EC0">
            <w:pPr>
              <w:pStyle w:val="AERtabletextleft"/>
            </w:pPr>
            <w:r w:rsidRPr="00982EC0">
              <w:t> </w:t>
            </w:r>
          </w:p>
        </w:tc>
        <w:tc>
          <w:tcPr>
            <w:tcW w:w="1075" w:type="dxa"/>
            <w:shd w:val="clear" w:color="auto" w:fill="auto"/>
            <w:noWrap/>
            <w:vAlign w:val="bottom"/>
            <w:hideMark/>
          </w:tcPr>
          <w:p w:rsidR="00982EC0" w:rsidRPr="00982EC0" w:rsidRDefault="00982EC0" w:rsidP="00982EC0">
            <w:pPr>
              <w:pStyle w:val="AERtabletextleft"/>
            </w:pPr>
            <w:r w:rsidRPr="00982EC0">
              <w:t> </w:t>
            </w:r>
          </w:p>
        </w:tc>
        <w:tc>
          <w:tcPr>
            <w:tcW w:w="1077" w:type="dxa"/>
            <w:gridSpan w:val="2"/>
            <w:tcBorders>
              <w:right w:val="single" w:sz="12" w:space="0" w:color="auto"/>
            </w:tcBorders>
            <w:shd w:val="clear" w:color="auto" w:fill="auto"/>
            <w:noWrap/>
            <w:vAlign w:val="bottom"/>
            <w:hideMark/>
          </w:tcPr>
          <w:p w:rsidR="00982EC0" w:rsidRPr="00982EC0" w:rsidRDefault="00982EC0" w:rsidP="00982EC0">
            <w:pPr>
              <w:pStyle w:val="AERtabletextleft"/>
            </w:pPr>
            <w:r w:rsidRPr="00982EC0">
              <w:t> </w:t>
            </w:r>
          </w:p>
        </w:tc>
      </w:tr>
      <w:tr w:rsidR="00982EC0" w:rsidRPr="0081390E" w:rsidTr="00982EC0">
        <w:trPr>
          <w:gridAfter w:val="2"/>
          <w:wAfter w:w="15" w:type="dxa"/>
          <w:trHeight w:val="255"/>
        </w:trPr>
        <w:tc>
          <w:tcPr>
            <w:tcW w:w="5146" w:type="dxa"/>
            <w:gridSpan w:val="3"/>
            <w:tcBorders>
              <w:left w:val="single" w:sz="12" w:space="0" w:color="auto"/>
              <w:right w:val="single" w:sz="12" w:space="0" w:color="auto"/>
            </w:tcBorders>
            <w:shd w:val="clear" w:color="auto" w:fill="DBE5F1"/>
            <w:noWrap/>
            <w:vAlign w:val="bottom"/>
            <w:hideMark/>
          </w:tcPr>
          <w:p w:rsidR="00982EC0" w:rsidRPr="00982EC0" w:rsidRDefault="00982EC0" w:rsidP="00982EC0">
            <w:pPr>
              <w:pStyle w:val="AERtabletextleft"/>
            </w:pPr>
            <w:r w:rsidRPr="00982EC0">
              <w:t>Number of customers reconnected following a disconnection</w:t>
            </w:r>
          </w:p>
        </w:tc>
        <w:tc>
          <w:tcPr>
            <w:tcW w:w="7718" w:type="dxa"/>
            <w:gridSpan w:val="8"/>
            <w:tcBorders>
              <w:left w:val="single" w:sz="12" w:space="0" w:color="auto"/>
              <w:right w:val="single" w:sz="12" w:space="0" w:color="auto"/>
            </w:tcBorders>
            <w:shd w:val="clear" w:color="auto" w:fill="DBE5F1"/>
            <w:vAlign w:val="bottom"/>
          </w:tcPr>
          <w:p w:rsidR="00982EC0" w:rsidRPr="00982EC0" w:rsidRDefault="00982EC0" w:rsidP="00982EC0">
            <w:pPr>
              <w:pStyle w:val="AERtabletextleft"/>
            </w:pPr>
          </w:p>
        </w:tc>
      </w:tr>
      <w:tr w:rsidR="00982EC0" w:rsidRPr="0081390E" w:rsidTr="00982EC0">
        <w:trPr>
          <w:gridAfter w:val="2"/>
          <w:wAfter w:w="15" w:type="dxa"/>
          <w:trHeight w:val="255"/>
        </w:trPr>
        <w:tc>
          <w:tcPr>
            <w:tcW w:w="3142" w:type="dxa"/>
            <w:tcBorders>
              <w:left w:val="single" w:sz="12" w:space="0" w:color="auto"/>
              <w:right w:val="single" w:sz="12" w:space="0" w:color="auto"/>
            </w:tcBorders>
            <w:shd w:val="clear" w:color="auto" w:fill="auto"/>
            <w:noWrap/>
            <w:vAlign w:val="bottom"/>
            <w:hideMark/>
          </w:tcPr>
          <w:p w:rsidR="00982EC0" w:rsidRPr="00982EC0" w:rsidRDefault="00982EC0" w:rsidP="00982EC0">
            <w:pPr>
              <w:pStyle w:val="AERtabletextleft"/>
            </w:pPr>
            <w:r w:rsidRPr="00982EC0">
              <w:t xml:space="preserve">   Residential</w:t>
            </w:r>
          </w:p>
        </w:tc>
        <w:tc>
          <w:tcPr>
            <w:tcW w:w="2004" w:type="dxa"/>
            <w:gridSpan w:val="2"/>
            <w:tcBorders>
              <w:left w:val="single" w:sz="12" w:space="0" w:color="auto"/>
              <w:right w:val="single" w:sz="12" w:space="0" w:color="auto"/>
            </w:tcBorders>
            <w:shd w:val="clear" w:color="auto" w:fill="D9D9D9"/>
            <w:vAlign w:val="bottom"/>
          </w:tcPr>
          <w:p w:rsidR="00982EC0" w:rsidRPr="00982EC0" w:rsidRDefault="00982EC0" w:rsidP="00982EC0">
            <w:pPr>
              <w:pStyle w:val="AERtabletextleft"/>
            </w:pPr>
          </w:p>
        </w:tc>
        <w:tc>
          <w:tcPr>
            <w:tcW w:w="7718" w:type="dxa"/>
            <w:gridSpan w:val="8"/>
            <w:tcBorders>
              <w:left w:val="single" w:sz="12" w:space="0" w:color="auto"/>
              <w:right w:val="single" w:sz="12" w:space="0" w:color="auto"/>
            </w:tcBorders>
            <w:shd w:val="clear" w:color="auto" w:fill="auto"/>
            <w:vAlign w:val="bottom"/>
          </w:tcPr>
          <w:p w:rsidR="00982EC0" w:rsidRPr="00982EC0" w:rsidRDefault="00982EC0" w:rsidP="00982EC0">
            <w:pPr>
              <w:pStyle w:val="AERtabletextleft"/>
            </w:pPr>
          </w:p>
        </w:tc>
      </w:tr>
      <w:tr w:rsidR="00982EC0" w:rsidRPr="0081390E" w:rsidTr="00982EC0">
        <w:trPr>
          <w:gridAfter w:val="1"/>
          <w:wAfter w:w="7" w:type="dxa"/>
          <w:trHeight w:val="255"/>
        </w:trPr>
        <w:tc>
          <w:tcPr>
            <w:tcW w:w="3142" w:type="dxa"/>
            <w:tcBorders>
              <w:left w:val="single" w:sz="12" w:space="0" w:color="auto"/>
              <w:right w:val="single" w:sz="12" w:space="0" w:color="auto"/>
            </w:tcBorders>
            <w:shd w:val="clear" w:color="auto" w:fill="auto"/>
            <w:noWrap/>
            <w:vAlign w:val="bottom"/>
            <w:hideMark/>
          </w:tcPr>
          <w:p w:rsidR="00982EC0" w:rsidRPr="00982EC0" w:rsidRDefault="00982EC0" w:rsidP="00982EC0">
            <w:pPr>
              <w:pStyle w:val="AERtabletextleft"/>
            </w:pPr>
            <w:r w:rsidRPr="00982EC0">
              <w:t xml:space="preserve">     Electricity</w:t>
            </w:r>
          </w:p>
        </w:tc>
        <w:tc>
          <w:tcPr>
            <w:tcW w:w="1076" w:type="dxa"/>
            <w:tcBorders>
              <w:left w:val="single" w:sz="12" w:space="0" w:color="auto"/>
            </w:tcBorders>
            <w:shd w:val="clear" w:color="auto" w:fill="D9D9D9"/>
          </w:tcPr>
          <w:p w:rsidR="00982EC0" w:rsidRPr="00982EC0" w:rsidRDefault="00982EC0" w:rsidP="00982EC0">
            <w:pPr>
              <w:pStyle w:val="AERtabletextleft"/>
            </w:pPr>
          </w:p>
        </w:tc>
        <w:tc>
          <w:tcPr>
            <w:tcW w:w="928" w:type="dxa"/>
            <w:tcBorders>
              <w:right w:val="single" w:sz="12" w:space="0" w:color="auto"/>
            </w:tcBorders>
            <w:shd w:val="clear" w:color="auto" w:fill="D9D9D9"/>
            <w:noWrap/>
            <w:vAlign w:val="bottom"/>
            <w:hideMark/>
          </w:tcPr>
          <w:p w:rsidR="00982EC0" w:rsidRPr="00982EC0" w:rsidRDefault="00982EC0" w:rsidP="00982EC0">
            <w:pPr>
              <w:pStyle w:val="AERtabletextleft"/>
            </w:pPr>
          </w:p>
        </w:tc>
        <w:tc>
          <w:tcPr>
            <w:tcW w:w="1076" w:type="dxa"/>
            <w:tcBorders>
              <w:left w:val="single" w:sz="12" w:space="0" w:color="auto"/>
            </w:tcBorders>
            <w:vAlign w:val="bottom"/>
          </w:tcPr>
          <w:p w:rsidR="00982EC0" w:rsidRPr="00982EC0" w:rsidRDefault="00982EC0" w:rsidP="00982EC0">
            <w:pPr>
              <w:pStyle w:val="AERtabletextleft"/>
            </w:pPr>
            <w:r w:rsidRPr="00982EC0">
              <w:t>79</w:t>
            </w:r>
          </w:p>
        </w:tc>
        <w:tc>
          <w:tcPr>
            <w:tcW w:w="1273" w:type="dxa"/>
            <w:shd w:val="clear" w:color="auto" w:fill="auto"/>
            <w:noWrap/>
            <w:vAlign w:val="bottom"/>
            <w:hideMark/>
          </w:tcPr>
          <w:p w:rsidR="00982EC0" w:rsidRPr="00982EC0" w:rsidRDefault="00982EC0" w:rsidP="00982EC0">
            <w:pPr>
              <w:pStyle w:val="AERtabletextleft"/>
            </w:pPr>
            <w:r w:rsidRPr="00982EC0">
              <w:t>2</w:t>
            </w:r>
          </w:p>
        </w:tc>
        <w:tc>
          <w:tcPr>
            <w:tcW w:w="1075" w:type="dxa"/>
            <w:shd w:val="clear" w:color="auto" w:fill="auto"/>
            <w:noWrap/>
            <w:vAlign w:val="bottom"/>
            <w:hideMark/>
          </w:tcPr>
          <w:p w:rsidR="00982EC0" w:rsidRPr="00982EC0" w:rsidRDefault="00982EC0" w:rsidP="00982EC0">
            <w:pPr>
              <w:pStyle w:val="AERtabletextleft"/>
            </w:pPr>
            <w:r w:rsidRPr="00982EC0">
              <w:t>1</w:t>
            </w:r>
          </w:p>
        </w:tc>
        <w:tc>
          <w:tcPr>
            <w:tcW w:w="1075" w:type="dxa"/>
            <w:gridSpan w:val="2"/>
            <w:shd w:val="clear" w:color="auto" w:fill="auto"/>
            <w:noWrap/>
            <w:vAlign w:val="bottom"/>
            <w:hideMark/>
          </w:tcPr>
          <w:p w:rsidR="00982EC0" w:rsidRPr="00982EC0" w:rsidRDefault="00982EC0" w:rsidP="00982EC0">
            <w:pPr>
              <w:pStyle w:val="AERtabletextleft"/>
            </w:pPr>
          </w:p>
        </w:tc>
        <w:tc>
          <w:tcPr>
            <w:tcW w:w="1075" w:type="dxa"/>
            <w:shd w:val="clear" w:color="auto" w:fill="auto"/>
            <w:noWrap/>
            <w:vAlign w:val="bottom"/>
            <w:hideMark/>
          </w:tcPr>
          <w:p w:rsidR="00982EC0" w:rsidRPr="00982EC0" w:rsidRDefault="00982EC0" w:rsidP="00982EC0">
            <w:pPr>
              <w:pStyle w:val="AERtabletextleft"/>
            </w:pPr>
            <w:r w:rsidRPr="00982EC0">
              <w:t> </w:t>
            </w:r>
          </w:p>
        </w:tc>
        <w:tc>
          <w:tcPr>
            <w:tcW w:w="1075" w:type="dxa"/>
            <w:shd w:val="clear" w:color="auto" w:fill="auto"/>
            <w:noWrap/>
            <w:vAlign w:val="bottom"/>
            <w:hideMark/>
          </w:tcPr>
          <w:p w:rsidR="00982EC0" w:rsidRPr="00982EC0" w:rsidRDefault="00982EC0" w:rsidP="00982EC0">
            <w:pPr>
              <w:pStyle w:val="AERtabletextleft"/>
            </w:pPr>
          </w:p>
        </w:tc>
        <w:tc>
          <w:tcPr>
            <w:tcW w:w="1077" w:type="dxa"/>
            <w:gridSpan w:val="2"/>
            <w:tcBorders>
              <w:right w:val="single" w:sz="12" w:space="0" w:color="auto"/>
            </w:tcBorders>
            <w:shd w:val="clear" w:color="auto" w:fill="auto"/>
            <w:noWrap/>
            <w:vAlign w:val="bottom"/>
            <w:hideMark/>
          </w:tcPr>
          <w:p w:rsidR="00982EC0" w:rsidRPr="00982EC0" w:rsidRDefault="00982EC0" w:rsidP="00982EC0">
            <w:pPr>
              <w:pStyle w:val="AERtabletextleft"/>
            </w:pPr>
            <w:r w:rsidRPr="00982EC0">
              <w:t> </w:t>
            </w:r>
          </w:p>
        </w:tc>
      </w:tr>
      <w:tr w:rsidR="00982EC0" w:rsidRPr="0081390E" w:rsidTr="00982EC0">
        <w:trPr>
          <w:gridAfter w:val="1"/>
          <w:wAfter w:w="7" w:type="dxa"/>
          <w:trHeight w:val="255"/>
        </w:trPr>
        <w:tc>
          <w:tcPr>
            <w:tcW w:w="3142" w:type="dxa"/>
            <w:tcBorders>
              <w:left w:val="single" w:sz="12" w:space="0" w:color="auto"/>
              <w:right w:val="single" w:sz="12" w:space="0" w:color="auto"/>
            </w:tcBorders>
            <w:shd w:val="clear" w:color="auto" w:fill="auto"/>
            <w:noWrap/>
            <w:vAlign w:val="bottom"/>
            <w:hideMark/>
          </w:tcPr>
          <w:p w:rsidR="00982EC0" w:rsidRPr="00982EC0" w:rsidRDefault="00982EC0" w:rsidP="00982EC0">
            <w:pPr>
              <w:pStyle w:val="AERtabletextleft"/>
            </w:pPr>
            <w:r w:rsidRPr="00982EC0">
              <w:t xml:space="preserve">     Gas</w:t>
            </w:r>
          </w:p>
        </w:tc>
        <w:tc>
          <w:tcPr>
            <w:tcW w:w="1076" w:type="dxa"/>
            <w:tcBorders>
              <w:left w:val="single" w:sz="12" w:space="0" w:color="auto"/>
            </w:tcBorders>
            <w:shd w:val="clear" w:color="auto" w:fill="D9D9D9"/>
          </w:tcPr>
          <w:p w:rsidR="00982EC0" w:rsidRPr="00982EC0" w:rsidRDefault="00982EC0" w:rsidP="00982EC0">
            <w:pPr>
              <w:pStyle w:val="AERtabletextleft"/>
            </w:pPr>
          </w:p>
        </w:tc>
        <w:tc>
          <w:tcPr>
            <w:tcW w:w="928" w:type="dxa"/>
            <w:tcBorders>
              <w:right w:val="single" w:sz="12" w:space="0" w:color="auto"/>
            </w:tcBorders>
            <w:shd w:val="clear" w:color="auto" w:fill="D9D9D9"/>
            <w:noWrap/>
            <w:vAlign w:val="bottom"/>
            <w:hideMark/>
          </w:tcPr>
          <w:p w:rsidR="00982EC0" w:rsidRPr="00982EC0" w:rsidRDefault="00982EC0" w:rsidP="00982EC0">
            <w:pPr>
              <w:pStyle w:val="AERtabletextleft"/>
            </w:pPr>
          </w:p>
        </w:tc>
        <w:tc>
          <w:tcPr>
            <w:tcW w:w="1076" w:type="dxa"/>
            <w:tcBorders>
              <w:left w:val="single" w:sz="12" w:space="0" w:color="auto"/>
            </w:tcBorders>
            <w:vAlign w:val="bottom"/>
          </w:tcPr>
          <w:p w:rsidR="00982EC0" w:rsidRPr="00982EC0" w:rsidRDefault="00982EC0" w:rsidP="00982EC0">
            <w:pPr>
              <w:pStyle w:val="AERtabletextleft"/>
            </w:pPr>
            <w:r w:rsidRPr="00982EC0">
              <w:t> </w:t>
            </w:r>
          </w:p>
        </w:tc>
        <w:tc>
          <w:tcPr>
            <w:tcW w:w="1273" w:type="dxa"/>
            <w:shd w:val="clear" w:color="auto" w:fill="auto"/>
            <w:noWrap/>
            <w:vAlign w:val="bottom"/>
            <w:hideMark/>
          </w:tcPr>
          <w:p w:rsidR="00982EC0" w:rsidRPr="00982EC0" w:rsidRDefault="00982EC0" w:rsidP="00982EC0">
            <w:pPr>
              <w:pStyle w:val="AERtabletextleft"/>
            </w:pPr>
            <w:r w:rsidRPr="00982EC0">
              <w:t>326</w:t>
            </w:r>
          </w:p>
        </w:tc>
        <w:tc>
          <w:tcPr>
            <w:tcW w:w="1075" w:type="dxa"/>
            <w:shd w:val="clear" w:color="auto" w:fill="auto"/>
            <w:noWrap/>
            <w:vAlign w:val="bottom"/>
            <w:hideMark/>
          </w:tcPr>
          <w:p w:rsidR="00982EC0" w:rsidRPr="00982EC0" w:rsidRDefault="00982EC0" w:rsidP="00982EC0">
            <w:pPr>
              <w:pStyle w:val="AERtabletextleft"/>
            </w:pPr>
            <w:r w:rsidRPr="00982EC0">
              <w:t>3</w:t>
            </w:r>
          </w:p>
        </w:tc>
        <w:tc>
          <w:tcPr>
            <w:tcW w:w="1075" w:type="dxa"/>
            <w:gridSpan w:val="2"/>
            <w:shd w:val="clear" w:color="auto" w:fill="auto"/>
            <w:noWrap/>
            <w:vAlign w:val="bottom"/>
            <w:hideMark/>
          </w:tcPr>
          <w:p w:rsidR="00982EC0" w:rsidRPr="00982EC0" w:rsidRDefault="00982EC0" w:rsidP="00982EC0">
            <w:pPr>
              <w:pStyle w:val="AERtabletextleft"/>
            </w:pPr>
          </w:p>
        </w:tc>
        <w:tc>
          <w:tcPr>
            <w:tcW w:w="1075" w:type="dxa"/>
            <w:shd w:val="clear" w:color="auto" w:fill="auto"/>
            <w:noWrap/>
            <w:vAlign w:val="bottom"/>
            <w:hideMark/>
          </w:tcPr>
          <w:p w:rsidR="00982EC0" w:rsidRPr="00982EC0" w:rsidRDefault="00982EC0" w:rsidP="00982EC0">
            <w:pPr>
              <w:pStyle w:val="AERtabletextleft"/>
            </w:pPr>
            <w:r w:rsidRPr="00982EC0">
              <w:t> </w:t>
            </w:r>
          </w:p>
        </w:tc>
        <w:tc>
          <w:tcPr>
            <w:tcW w:w="1075" w:type="dxa"/>
            <w:shd w:val="clear" w:color="auto" w:fill="auto"/>
            <w:noWrap/>
            <w:vAlign w:val="bottom"/>
            <w:hideMark/>
          </w:tcPr>
          <w:p w:rsidR="00982EC0" w:rsidRPr="00982EC0" w:rsidRDefault="00982EC0" w:rsidP="00982EC0">
            <w:pPr>
              <w:pStyle w:val="AERtabletextleft"/>
            </w:pPr>
          </w:p>
        </w:tc>
        <w:tc>
          <w:tcPr>
            <w:tcW w:w="1077" w:type="dxa"/>
            <w:gridSpan w:val="2"/>
            <w:tcBorders>
              <w:right w:val="single" w:sz="12" w:space="0" w:color="auto"/>
            </w:tcBorders>
            <w:shd w:val="clear" w:color="auto" w:fill="auto"/>
            <w:noWrap/>
            <w:vAlign w:val="bottom"/>
            <w:hideMark/>
          </w:tcPr>
          <w:p w:rsidR="00982EC0" w:rsidRPr="00982EC0" w:rsidRDefault="00982EC0" w:rsidP="00982EC0">
            <w:pPr>
              <w:pStyle w:val="AERtabletextleft"/>
            </w:pPr>
            <w:r w:rsidRPr="00982EC0">
              <w:t> </w:t>
            </w:r>
          </w:p>
        </w:tc>
      </w:tr>
      <w:tr w:rsidR="00982EC0" w:rsidRPr="0081390E" w:rsidTr="00982EC0">
        <w:trPr>
          <w:gridAfter w:val="2"/>
          <w:wAfter w:w="15" w:type="dxa"/>
          <w:trHeight w:val="255"/>
        </w:trPr>
        <w:tc>
          <w:tcPr>
            <w:tcW w:w="3142" w:type="dxa"/>
            <w:tcBorders>
              <w:left w:val="single" w:sz="12" w:space="0" w:color="auto"/>
              <w:right w:val="single" w:sz="12" w:space="0" w:color="auto"/>
            </w:tcBorders>
            <w:shd w:val="clear" w:color="auto" w:fill="auto"/>
            <w:noWrap/>
            <w:vAlign w:val="bottom"/>
            <w:hideMark/>
          </w:tcPr>
          <w:p w:rsidR="00982EC0" w:rsidRPr="00982EC0" w:rsidRDefault="00982EC0" w:rsidP="00982EC0">
            <w:pPr>
              <w:pStyle w:val="AERtabletextleft"/>
            </w:pPr>
            <w:r w:rsidRPr="00982EC0">
              <w:lastRenderedPageBreak/>
              <w:t xml:space="preserve">   Small business </w:t>
            </w:r>
          </w:p>
        </w:tc>
        <w:tc>
          <w:tcPr>
            <w:tcW w:w="2004" w:type="dxa"/>
            <w:gridSpan w:val="2"/>
            <w:tcBorders>
              <w:left w:val="single" w:sz="12" w:space="0" w:color="auto"/>
              <w:right w:val="single" w:sz="12" w:space="0" w:color="auto"/>
            </w:tcBorders>
            <w:shd w:val="clear" w:color="auto" w:fill="D9D9D9"/>
            <w:vAlign w:val="bottom"/>
          </w:tcPr>
          <w:p w:rsidR="00982EC0" w:rsidRPr="00982EC0" w:rsidRDefault="00982EC0" w:rsidP="00982EC0">
            <w:pPr>
              <w:pStyle w:val="AERtabletextleft"/>
            </w:pPr>
          </w:p>
        </w:tc>
        <w:tc>
          <w:tcPr>
            <w:tcW w:w="7718" w:type="dxa"/>
            <w:gridSpan w:val="8"/>
            <w:tcBorders>
              <w:left w:val="single" w:sz="12" w:space="0" w:color="auto"/>
              <w:right w:val="single" w:sz="12" w:space="0" w:color="auto"/>
            </w:tcBorders>
            <w:shd w:val="clear" w:color="auto" w:fill="auto"/>
            <w:vAlign w:val="bottom"/>
          </w:tcPr>
          <w:p w:rsidR="00982EC0" w:rsidRPr="00982EC0" w:rsidRDefault="00982EC0" w:rsidP="00982EC0">
            <w:pPr>
              <w:pStyle w:val="AERtabletextleft"/>
            </w:pPr>
          </w:p>
        </w:tc>
      </w:tr>
      <w:tr w:rsidR="00982EC0" w:rsidRPr="0081390E" w:rsidTr="00982EC0">
        <w:trPr>
          <w:gridAfter w:val="1"/>
          <w:wAfter w:w="7" w:type="dxa"/>
          <w:trHeight w:val="255"/>
        </w:trPr>
        <w:tc>
          <w:tcPr>
            <w:tcW w:w="3142" w:type="dxa"/>
            <w:tcBorders>
              <w:left w:val="single" w:sz="12" w:space="0" w:color="auto"/>
              <w:right w:val="single" w:sz="12" w:space="0" w:color="auto"/>
            </w:tcBorders>
            <w:shd w:val="clear" w:color="auto" w:fill="auto"/>
            <w:noWrap/>
            <w:vAlign w:val="bottom"/>
            <w:hideMark/>
          </w:tcPr>
          <w:p w:rsidR="00982EC0" w:rsidRPr="00982EC0" w:rsidRDefault="00982EC0" w:rsidP="00982EC0">
            <w:pPr>
              <w:pStyle w:val="AERtabletextleft"/>
            </w:pPr>
            <w:r w:rsidRPr="00982EC0">
              <w:t xml:space="preserve">     Electricity</w:t>
            </w:r>
          </w:p>
        </w:tc>
        <w:tc>
          <w:tcPr>
            <w:tcW w:w="1076" w:type="dxa"/>
            <w:tcBorders>
              <w:left w:val="single" w:sz="12" w:space="0" w:color="auto"/>
            </w:tcBorders>
            <w:shd w:val="clear" w:color="auto" w:fill="D9D9D9"/>
          </w:tcPr>
          <w:p w:rsidR="00982EC0" w:rsidRPr="00982EC0" w:rsidRDefault="00982EC0" w:rsidP="00982EC0">
            <w:pPr>
              <w:pStyle w:val="AERtabletextleft"/>
            </w:pPr>
          </w:p>
        </w:tc>
        <w:tc>
          <w:tcPr>
            <w:tcW w:w="928" w:type="dxa"/>
            <w:tcBorders>
              <w:right w:val="single" w:sz="12" w:space="0" w:color="auto"/>
            </w:tcBorders>
            <w:shd w:val="clear" w:color="auto" w:fill="D9D9D9"/>
            <w:noWrap/>
            <w:vAlign w:val="bottom"/>
            <w:hideMark/>
          </w:tcPr>
          <w:p w:rsidR="00982EC0" w:rsidRPr="00982EC0" w:rsidRDefault="00982EC0" w:rsidP="00982EC0">
            <w:pPr>
              <w:pStyle w:val="AERtabletextleft"/>
            </w:pPr>
          </w:p>
        </w:tc>
        <w:tc>
          <w:tcPr>
            <w:tcW w:w="1076" w:type="dxa"/>
            <w:tcBorders>
              <w:left w:val="single" w:sz="12" w:space="0" w:color="auto"/>
            </w:tcBorders>
            <w:vAlign w:val="bottom"/>
          </w:tcPr>
          <w:p w:rsidR="00982EC0" w:rsidRPr="00982EC0" w:rsidRDefault="00982EC0" w:rsidP="00982EC0">
            <w:pPr>
              <w:pStyle w:val="AERtabletextleft"/>
            </w:pPr>
            <w:r w:rsidRPr="00982EC0">
              <w:t> </w:t>
            </w:r>
          </w:p>
        </w:tc>
        <w:tc>
          <w:tcPr>
            <w:tcW w:w="1273" w:type="dxa"/>
            <w:shd w:val="clear" w:color="auto" w:fill="auto"/>
            <w:noWrap/>
            <w:vAlign w:val="bottom"/>
            <w:hideMark/>
          </w:tcPr>
          <w:p w:rsidR="00982EC0" w:rsidRPr="00982EC0" w:rsidRDefault="00982EC0" w:rsidP="00982EC0">
            <w:pPr>
              <w:pStyle w:val="AERtabletextleft"/>
            </w:pPr>
          </w:p>
        </w:tc>
        <w:tc>
          <w:tcPr>
            <w:tcW w:w="1075" w:type="dxa"/>
            <w:shd w:val="clear" w:color="auto" w:fill="auto"/>
            <w:noWrap/>
            <w:vAlign w:val="bottom"/>
            <w:hideMark/>
          </w:tcPr>
          <w:p w:rsidR="00982EC0" w:rsidRPr="00982EC0" w:rsidRDefault="00982EC0" w:rsidP="00982EC0">
            <w:pPr>
              <w:pStyle w:val="AERtabletextleft"/>
            </w:pPr>
            <w:r w:rsidRPr="00982EC0">
              <w:t> </w:t>
            </w:r>
          </w:p>
        </w:tc>
        <w:tc>
          <w:tcPr>
            <w:tcW w:w="1075" w:type="dxa"/>
            <w:gridSpan w:val="2"/>
            <w:shd w:val="clear" w:color="auto" w:fill="auto"/>
            <w:noWrap/>
            <w:vAlign w:val="bottom"/>
            <w:hideMark/>
          </w:tcPr>
          <w:p w:rsidR="00982EC0" w:rsidRPr="00982EC0" w:rsidRDefault="00982EC0" w:rsidP="00982EC0">
            <w:pPr>
              <w:pStyle w:val="AERtabletextleft"/>
            </w:pPr>
          </w:p>
        </w:tc>
        <w:tc>
          <w:tcPr>
            <w:tcW w:w="1075" w:type="dxa"/>
            <w:shd w:val="clear" w:color="auto" w:fill="auto"/>
            <w:noWrap/>
            <w:vAlign w:val="bottom"/>
            <w:hideMark/>
          </w:tcPr>
          <w:p w:rsidR="00982EC0" w:rsidRPr="00982EC0" w:rsidRDefault="00982EC0" w:rsidP="00982EC0">
            <w:pPr>
              <w:pStyle w:val="AERtabletextleft"/>
            </w:pPr>
            <w:r w:rsidRPr="00982EC0">
              <w:t> </w:t>
            </w:r>
          </w:p>
        </w:tc>
        <w:tc>
          <w:tcPr>
            <w:tcW w:w="1075" w:type="dxa"/>
            <w:shd w:val="clear" w:color="auto" w:fill="auto"/>
            <w:noWrap/>
            <w:vAlign w:val="bottom"/>
            <w:hideMark/>
          </w:tcPr>
          <w:p w:rsidR="00982EC0" w:rsidRPr="00982EC0" w:rsidRDefault="00982EC0" w:rsidP="00982EC0">
            <w:pPr>
              <w:pStyle w:val="AERtabletextleft"/>
            </w:pPr>
          </w:p>
        </w:tc>
        <w:tc>
          <w:tcPr>
            <w:tcW w:w="1077" w:type="dxa"/>
            <w:gridSpan w:val="2"/>
            <w:tcBorders>
              <w:right w:val="single" w:sz="12" w:space="0" w:color="auto"/>
            </w:tcBorders>
            <w:shd w:val="clear" w:color="auto" w:fill="auto"/>
            <w:noWrap/>
            <w:vAlign w:val="bottom"/>
            <w:hideMark/>
          </w:tcPr>
          <w:p w:rsidR="00982EC0" w:rsidRPr="00982EC0" w:rsidRDefault="00982EC0" w:rsidP="00982EC0">
            <w:pPr>
              <w:pStyle w:val="AERtabletextleft"/>
            </w:pPr>
            <w:r w:rsidRPr="00982EC0">
              <w:t> </w:t>
            </w:r>
          </w:p>
        </w:tc>
      </w:tr>
      <w:tr w:rsidR="00982EC0" w:rsidRPr="0081390E" w:rsidTr="00982EC0">
        <w:trPr>
          <w:gridAfter w:val="1"/>
          <w:wAfter w:w="7" w:type="dxa"/>
          <w:trHeight w:val="270"/>
        </w:trPr>
        <w:tc>
          <w:tcPr>
            <w:tcW w:w="3142" w:type="dxa"/>
            <w:tcBorders>
              <w:left w:val="single" w:sz="12" w:space="0" w:color="auto"/>
              <w:right w:val="single" w:sz="12" w:space="0" w:color="auto"/>
            </w:tcBorders>
            <w:shd w:val="clear" w:color="auto" w:fill="auto"/>
            <w:noWrap/>
            <w:vAlign w:val="bottom"/>
            <w:hideMark/>
          </w:tcPr>
          <w:p w:rsidR="00982EC0" w:rsidRPr="00982EC0" w:rsidRDefault="00982EC0" w:rsidP="00982EC0">
            <w:pPr>
              <w:pStyle w:val="AERtabletextleft"/>
            </w:pPr>
            <w:r w:rsidRPr="00982EC0">
              <w:t xml:space="preserve">     Gas</w:t>
            </w:r>
          </w:p>
        </w:tc>
        <w:tc>
          <w:tcPr>
            <w:tcW w:w="1076" w:type="dxa"/>
            <w:tcBorders>
              <w:left w:val="single" w:sz="12" w:space="0" w:color="auto"/>
            </w:tcBorders>
            <w:shd w:val="clear" w:color="auto" w:fill="D9D9D9"/>
          </w:tcPr>
          <w:p w:rsidR="00982EC0" w:rsidRPr="00982EC0" w:rsidRDefault="00982EC0" w:rsidP="00982EC0">
            <w:pPr>
              <w:pStyle w:val="AERtabletextleft"/>
            </w:pPr>
          </w:p>
        </w:tc>
        <w:tc>
          <w:tcPr>
            <w:tcW w:w="928" w:type="dxa"/>
            <w:tcBorders>
              <w:right w:val="single" w:sz="12" w:space="0" w:color="auto"/>
            </w:tcBorders>
            <w:shd w:val="clear" w:color="auto" w:fill="D9D9D9"/>
            <w:noWrap/>
            <w:vAlign w:val="bottom"/>
            <w:hideMark/>
          </w:tcPr>
          <w:p w:rsidR="00982EC0" w:rsidRPr="00982EC0" w:rsidRDefault="00982EC0" w:rsidP="00982EC0">
            <w:pPr>
              <w:pStyle w:val="AERtabletextleft"/>
            </w:pPr>
          </w:p>
        </w:tc>
        <w:tc>
          <w:tcPr>
            <w:tcW w:w="1076" w:type="dxa"/>
            <w:tcBorders>
              <w:left w:val="single" w:sz="12" w:space="0" w:color="auto"/>
            </w:tcBorders>
            <w:vAlign w:val="bottom"/>
          </w:tcPr>
          <w:p w:rsidR="00982EC0" w:rsidRPr="00982EC0" w:rsidRDefault="00982EC0" w:rsidP="00982EC0">
            <w:pPr>
              <w:pStyle w:val="AERtabletextleft"/>
            </w:pPr>
            <w:r w:rsidRPr="00982EC0">
              <w:t> </w:t>
            </w:r>
          </w:p>
        </w:tc>
        <w:tc>
          <w:tcPr>
            <w:tcW w:w="1273" w:type="dxa"/>
            <w:shd w:val="clear" w:color="auto" w:fill="auto"/>
            <w:noWrap/>
            <w:vAlign w:val="bottom"/>
            <w:hideMark/>
          </w:tcPr>
          <w:p w:rsidR="00982EC0" w:rsidRPr="00982EC0" w:rsidRDefault="00982EC0" w:rsidP="00982EC0">
            <w:pPr>
              <w:pStyle w:val="AERtabletextleft"/>
            </w:pPr>
            <w:r w:rsidRPr="00982EC0">
              <w:t>2</w:t>
            </w:r>
          </w:p>
        </w:tc>
        <w:tc>
          <w:tcPr>
            <w:tcW w:w="1075" w:type="dxa"/>
            <w:shd w:val="clear" w:color="auto" w:fill="auto"/>
            <w:noWrap/>
            <w:vAlign w:val="bottom"/>
            <w:hideMark/>
          </w:tcPr>
          <w:p w:rsidR="00982EC0" w:rsidRPr="00982EC0" w:rsidRDefault="00982EC0" w:rsidP="00982EC0">
            <w:pPr>
              <w:pStyle w:val="AERtabletextleft"/>
            </w:pPr>
            <w:r w:rsidRPr="00982EC0">
              <w:t> </w:t>
            </w:r>
          </w:p>
        </w:tc>
        <w:tc>
          <w:tcPr>
            <w:tcW w:w="1075" w:type="dxa"/>
            <w:gridSpan w:val="2"/>
            <w:shd w:val="clear" w:color="auto" w:fill="auto"/>
            <w:noWrap/>
            <w:vAlign w:val="bottom"/>
            <w:hideMark/>
          </w:tcPr>
          <w:p w:rsidR="00982EC0" w:rsidRPr="00982EC0" w:rsidRDefault="00982EC0" w:rsidP="00982EC0">
            <w:pPr>
              <w:pStyle w:val="AERtabletextleft"/>
            </w:pPr>
            <w:r w:rsidRPr="00982EC0">
              <w:t> </w:t>
            </w:r>
          </w:p>
        </w:tc>
        <w:tc>
          <w:tcPr>
            <w:tcW w:w="1075" w:type="dxa"/>
            <w:shd w:val="clear" w:color="auto" w:fill="auto"/>
            <w:noWrap/>
            <w:vAlign w:val="bottom"/>
            <w:hideMark/>
          </w:tcPr>
          <w:p w:rsidR="00982EC0" w:rsidRPr="00982EC0" w:rsidRDefault="00982EC0" w:rsidP="00982EC0">
            <w:pPr>
              <w:pStyle w:val="AERtabletextleft"/>
            </w:pPr>
            <w:r w:rsidRPr="00982EC0">
              <w:t> </w:t>
            </w:r>
          </w:p>
        </w:tc>
        <w:tc>
          <w:tcPr>
            <w:tcW w:w="1075" w:type="dxa"/>
            <w:shd w:val="clear" w:color="auto" w:fill="auto"/>
            <w:noWrap/>
            <w:vAlign w:val="bottom"/>
            <w:hideMark/>
          </w:tcPr>
          <w:p w:rsidR="00982EC0" w:rsidRPr="00982EC0" w:rsidRDefault="00982EC0" w:rsidP="00982EC0">
            <w:pPr>
              <w:pStyle w:val="AERtabletextleft"/>
            </w:pPr>
            <w:r w:rsidRPr="00982EC0">
              <w:t> </w:t>
            </w:r>
          </w:p>
        </w:tc>
        <w:tc>
          <w:tcPr>
            <w:tcW w:w="1077" w:type="dxa"/>
            <w:gridSpan w:val="2"/>
            <w:tcBorders>
              <w:right w:val="single" w:sz="12" w:space="0" w:color="auto"/>
            </w:tcBorders>
            <w:shd w:val="clear" w:color="auto" w:fill="auto"/>
            <w:noWrap/>
            <w:vAlign w:val="bottom"/>
            <w:hideMark/>
          </w:tcPr>
          <w:p w:rsidR="00982EC0" w:rsidRPr="00982EC0" w:rsidRDefault="00982EC0" w:rsidP="00982EC0">
            <w:pPr>
              <w:pStyle w:val="AERtabletextleft"/>
            </w:pPr>
            <w:r w:rsidRPr="00982EC0">
              <w:t> </w:t>
            </w:r>
          </w:p>
        </w:tc>
      </w:tr>
      <w:tr w:rsidR="00982EC0" w:rsidRPr="0081390E" w:rsidTr="00982EC0">
        <w:trPr>
          <w:gridAfter w:val="2"/>
          <w:wAfter w:w="15" w:type="dxa"/>
          <w:trHeight w:val="255"/>
        </w:trPr>
        <w:tc>
          <w:tcPr>
            <w:tcW w:w="12864" w:type="dxa"/>
            <w:gridSpan w:val="11"/>
            <w:tcBorders>
              <w:left w:val="single" w:sz="12" w:space="0" w:color="auto"/>
              <w:right w:val="single" w:sz="12" w:space="0" w:color="auto"/>
            </w:tcBorders>
            <w:shd w:val="clear" w:color="auto" w:fill="DBE5F1"/>
            <w:noWrap/>
            <w:vAlign w:val="bottom"/>
            <w:hideMark/>
          </w:tcPr>
          <w:p w:rsidR="00982EC0" w:rsidRPr="00982EC0" w:rsidRDefault="00982EC0" w:rsidP="00982EC0">
            <w:pPr>
              <w:pStyle w:val="AERtabletextleft"/>
            </w:pPr>
            <w:r w:rsidRPr="00982EC0">
              <w:t>Number of hardship customers</w:t>
            </w:r>
          </w:p>
        </w:tc>
      </w:tr>
      <w:tr w:rsidR="00982EC0" w:rsidRPr="0081390E" w:rsidTr="00982EC0">
        <w:trPr>
          <w:gridAfter w:val="2"/>
          <w:wAfter w:w="15" w:type="dxa"/>
          <w:trHeight w:val="255"/>
        </w:trPr>
        <w:tc>
          <w:tcPr>
            <w:tcW w:w="3142" w:type="dxa"/>
            <w:tcBorders>
              <w:left w:val="single" w:sz="12" w:space="0" w:color="auto"/>
              <w:right w:val="single" w:sz="12" w:space="0" w:color="auto"/>
            </w:tcBorders>
            <w:shd w:val="clear" w:color="auto" w:fill="auto"/>
            <w:noWrap/>
            <w:vAlign w:val="bottom"/>
            <w:hideMark/>
          </w:tcPr>
          <w:p w:rsidR="00982EC0" w:rsidRPr="00982EC0" w:rsidRDefault="00982EC0" w:rsidP="00982EC0">
            <w:pPr>
              <w:pStyle w:val="AERtabletextleft"/>
            </w:pPr>
            <w:r w:rsidRPr="00982EC0">
              <w:t xml:space="preserve">   Residential </w:t>
            </w:r>
          </w:p>
        </w:tc>
        <w:tc>
          <w:tcPr>
            <w:tcW w:w="2004" w:type="dxa"/>
            <w:gridSpan w:val="2"/>
            <w:tcBorders>
              <w:left w:val="single" w:sz="12" w:space="0" w:color="auto"/>
              <w:right w:val="single" w:sz="12" w:space="0" w:color="auto"/>
            </w:tcBorders>
            <w:shd w:val="clear" w:color="auto" w:fill="D9D9D9"/>
            <w:vAlign w:val="bottom"/>
          </w:tcPr>
          <w:p w:rsidR="00982EC0" w:rsidRPr="00982EC0" w:rsidRDefault="00982EC0" w:rsidP="00982EC0">
            <w:pPr>
              <w:pStyle w:val="AERtabletextleft"/>
            </w:pPr>
          </w:p>
        </w:tc>
        <w:tc>
          <w:tcPr>
            <w:tcW w:w="7718" w:type="dxa"/>
            <w:gridSpan w:val="8"/>
            <w:tcBorders>
              <w:left w:val="single" w:sz="12" w:space="0" w:color="auto"/>
              <w:right w:val="single" w:sz="12" w:space="0" w:color="auto"/>
            </w:tcBorders>
            <w:shd w:val="clear" w:color="auto" w:fill="auto"/>
            <w:vAlign w:val="bottom"/>
          </w:tcPr>
          <w:p w:rsidR="00982EC0" w:rsidRPr="00982EC0" w:rsidRDefault="00982EC0" w:rsidP="00982EC0">
            <w:pPr>
              <w:pStyle w:val="AERtabletextleft"/>
            </w:pPr>
          </w:p>
        </w:tc>
      </w:tr>
      <w:tr w:rsidR="00982EC0" w:rsidRPr="0081390E" w:rsidTr="00982EC0">
        <w:trPr>
          <w:gridAfter w:val="1"/>
          <w:wAfter w:w="7" w:type="dxa"/>
          <w:trHeight w:val="255"/>
        </w:trPr>
        <w:tc>
          <w:tcPr>
            <w:tcW w:w="3142" w:type="dxa"/>
            <w:tcBorders>
              <w:left w:val="single" w:sz="12" w:space="0" w:color="auto"/>
              <w:right w:val="single" w:sz="12" w:space="0" w:color="auto"/>
            </w:tcBorders>
            <w:shd w:val="clear" w:color="auto" w:fill="auto"/>
            <w:noWrap/>
            <w:vAlign w:val="bottom"/>
            <w:hideMark/>
          </w:tcPr>
          <w:p w:rsidR="00982EC0" w:rsidRPr="00982EC0" w:rsidRDefault="00982EC0" w:rsidP="00982EC0">
            <w:pPr>
              <w:pStyle w:val="AERtabletextleft"/>
            </w:pPr>
            <w:r w:rsidRPr="00982EC0">
              <w:t xml:space="preserve">     Electricity</w:t>
            </w:r>
          </w:p>
        </w:tc>
        <w:tc>
          <w:tcPr>
            <w:tcW w:w="1076" w:type="dxa"/>
            <w:tcBorders>
              <w:left w:val="single" w:sz="12" w:space="0" w:color="auto"/>
            </w:tcBorders>
            <w:shd w:val="clear" w:color="auto" w:fill="D9D9D9"/>
          </w:tcPr>
          <w:p w:rsidR="00982EC0" w:rsidRPr="00982EC0" w:rsidRDefault="00982EC0" w:rsidP="00982EC0">
            <w:pPr>
              <w:pStyle w:val="AERtabletextleft"/>
            </w:pPr>
          </w:p>
        </w:tc>
        <w:tc>
          <w:tcPr>
            <w:tcW w:w="928" w:type="dxa"/>
            <w:tcBorders>
              <w:right w:val="single" w:sz="12" w:space="0" w:color="auto"/>
            </w:tcBorders>
            <w:shd w:val="clear" w:color="auto" w:fill="D9D9D9"/>
            <w:noWrap/>
            <w:vAlign w:val="bottom"/>
            <w:hideMark/>
          </w:tcPr>
          <w:p w:rsidR="00982EC0" w:rsidRPr="00982EC0" w:rsidRDefault="00982EC0" w:rsidP="00982EC0">
            <w:pPr>
              <w:pStyle w:val="AERtabletextleft"/>
            </w:pPr>
          </w:p>
        </w:tc>
        <w:tc>
          <w:tcPr>
            <w:tcW w:w="1076" w:type="dxa"/>
            <w:tcBorders>
              <w:left w:val="single" w:sz="12" w:space="0" w:color="auto"/>
            </w:tcBorders>
            <w:vAlign w:val="bottom"/>
          </w:tcPr>
          <w:p w:rsidR="00982EC0" w:rsidRPr="00982EC0" w:rsidRDefault="00982EC0" w:rsidP="00982EC0">
            <w:pPr>
              <w:pStyle w:val="AERtabletextleft"/>
            </w:pPr>
            <w:r w:rsidRPr="00982EC0">
              <w:t>178</w:t>
            </w:r>
          </w:p>
        </w:tc>
        <w:tc>
          <w:tcPr>
            <w:tcW w:w="1273" w:type="dxa"/>
            <w:shd w:val="clear" w:color="auto" w:fill="auto"/>
            <w:noWrap/>
            <w:vAlign w:val="bottom"/>
            <w:hideMark/>
          </w:tcPr>
          <w:p w:rsidR="00982EC0" w:rsidRPr="00982EC0" w:rsidRDefault="00982EC0" w:rsidP="00982EC0">
            <w:pPr>
              <w:pStyle w:val="AERtabletextleft"/>
            </w:pPr>
            <w:r w:rsidRPr="00982EC0">
              <w:t>674</w:t>
            </w:r>
          </w:p>
        </w:tc>
        <w:tc>
          <w:tcPr>
            <w:tcW w:w="1075" w:type="dxa"/>
            <w:shd w:val="clear" w:color="auto" w:fill="auto"/>
            <w:noWrap/>
            <w:vAlign w:val="bottom"/>
            <w:hideMark/>
          </w:tcPr>
          <w:p w:rsidR="00982EC0" w:rsidRPr="00982EC0" w:rsidRDefault="00982EC0" w:rsidP="00982EC0">
            <w:pPr>
              <w:pStyle w:val="AERtabletextleft"/>
            </w:pPr>
            <w:r w:rsidRPr="00982EC0">
              <w:t>27</w:t>
            </w:r>
          </w:p>
        </w:tc>
        <w:tc>
          <w:tcPr>
            <w:tcW w:w="1075" w:type="dxa"/>
            <w:gridSpan w:val="2"/>
            <w:shd w:val="clear" w:color="auto" w:fill="auto"/>
            <w:noWrap/>
            <w:vAlign w:val="bottom"/>
            <w:hideMark/>
          </w:tcPr>
          <w:p w:rsidR="00982EC0" w:rsidRPr="00982EC0" w:rsidRDefault="00982EC0" w:rsidP="00982EC0">
            <w:pPr>
              <w:pStyle w:val="AERtabletextleft"/>
            </w:pPr>
          </w:p>
        </w:tc>
        <w:tc>
          <w:tcPr>
            <w:tcW w:w="1075" w:type="dxa"/>
            <w:shd w:val="clear" w:color="auto" w:fill="auto"/>
            <w:noWrap/>
            <w:vAlign w:val="bottom"/>
            <w:hideMark/>
          </w:tcPr>
          <w:p w:rsidR="00982EC0" w:rsidRPr="00982EC0" w:rsidRDefault="00982EC0" w:rsidP="00982EC0">
            <w:pPr>
              <w:pStyle w:val="AERtabletextleft"/>
            </w:pPr>
            <w:r w:rsidRPr="00982EC0">
              <w:t> </w:t>
            </w:r>
          </w:p>
        </w:tc>
        <w:tc>
          <w:tcPr>
            <w:tcW w:w="1075" w:type="dxa"/>
            <w:shd w:val="clear" w:color="auto" w:fill="auto"/>
            <w:noWrap/>
            <w:vAlign w:val="bottom"/>
            <w:hideMark/>
          </w:tcPr>
          <w:p w:rsidR="00982EC0" w:rsidRPr="00982EC0" w:rsidRDefault="00982EC0" w:rsidP="00982EC0">
            <w:pPr>
              <w:pStyle w:val="AERtabletextleft"/>
            </w:pPr>
          </w:p>
        </w:tc>
        <w:tc>
          <w:tcPr>
            <w:tcW w:w="1077" w:type="dxa"/>
            <w:gridSpan w:val="2"/>
            <w:tcBorders>
              <w:right w:val="single" w:sz="12" w:space="0" w:color="auto"/>
            </w:tcBorders>
            <w:shd w:val="clear" w:color="auto" w:fill="auto"/>
            <w:noWrap/>
            <w:vAlign w:val="bottom"/>
            <w:hideMark/>
          </w:tcPr>
          <w:p w:rsidR="00982EC0" w:rsidRPr="00982EC0" w:rsidRDefault="00982EC0" w:rsidP="00982EC0">
            <w:pPr>
              <w:pStyle w:val="AERtabletextleft"/>
            </w:pPr>
            <w:r w:rsidRPr="00982EC0">
              <w:t> </w:t>
            </w:r>
          </w:p>
        </w:tc>
      </w:tr>
      <w:tr w:rsidR="00982EC0" w:rsidRPr="0081390E" w:rsidTr="00982EC0">
        <w:trPr>
          <w:gridAfter w:val="1"/>
          <w:wAfter w:w="7" w:type="dxa"/>
          <w:trHeight w:val="270"/>
        </w:trPr>
        <w:tc>
          <w:tcPr>
            <w:tcW w:w="3142" w:type="dxa"/>
            <w:tcBorders>
              <w:left w:val="single" w:sz="12" w:space="0" w:color="auto"/>
              <w:right w:val="single" w:sz="12" w:space="0" w:color="auto"/>
            </w:tcBorders>
            <w:shd w:val="clear" w:color="auto" w:fill="auto"/>
            <w:noWrap/>
            <w:vAlign w:val="bottom"/>
            <w:hideMark/>
          </w:tcPr>
          <w:p w:rsidR="00982EC0" w:rsidRPr="00982EC0" w:rsidRDefault="00982EC0" w:rsidP="00982EC0">
            <w:pPr>
              <w:pStyle w:val="AERtabletextleft"/>
            </w:pPr>
            <w:r w:rsidRPr="00982EC0">
              <w:t xml:space="preserve">     Gas</w:t>
            </w:r>
          </w:p>
        </w:tc>
        <w:tc>
          <w:tcPr>
            <w:tcW w:w="1076" w:type="dxa"/>
            <w:tcBorders>
              <w:left w:val="single" w:sz="12" w:space="0" w:color="auto"/>
            </w:tcBorders>
            <w:shd w:val="clear" w:color="auto" w:fill="D9D9D9"/>
          </w:tcPr>
          <w:p w:rsidR="00982EC0" w:rsidRPr="00982EC0" w:rsidRDefault="00982EC0" w:rsidP="00982EC0">
            <w:pPr>
              <w:pStyle w:val="AERtabletextleft"/>
            </w:pPr>
          </w:p>
        </w:tc>
        <w:tc>
          <w:tcPr>
            <w:tcW w:w="928" w:type="dxa"/>
            <w:tcBorders>
              <w:right w:val="single" w:sz="12" w:space="0" w:color="auto"/>
            </w:tcBorders>
            <w:shd w:val="clear" w:color="auto" w:fill="D9D9D9"/>
            <w:noWrap/>
            <w:vAlign w:val="bottom"/>
            <w:hideMark/>
          </w:tcPr>
          <w:p w:rsidR="00982EC0" w:rsidRPr="00982EC0" w:rsidRDefault="00982EC0" w:rsidP="00982EC0">
            <w:pPr>
              <w:pStyle w:val="AERtabletextleft"/>
            </w:pPr>
          </w:p>
        </w:tc>
        <w:tc>
          <w:tcPr>
            <w:tcW w:w="1076" w:type="dxa"/>
            <w:tcBorders>
              <w:left w:val="single" w:sz="12" w:space="0" w:color="auto"/>
            </w:tcBorders>
            <w:vAlign w:val="bottom"/>
          </w:tcPr>
          <w:p w:rsidR="00982EC0" w:rsidRPr="00982EC0" w:rsidRDefault="00982EC0" w:rsidP="00982EC0">
            <w:pPr>
              <w:pStyle w:val="AERtabletextleft"/>
            </w:pPr>
            <w:r w:rsidRPr="00982EC0">
              <w:t> </w:t>
            </w:r>
          </w:p>
        </w:tc>
        <w:tc>
          <w:tcPr>
            <w:tcW w:w="1273" w:type="dxa"/>
            <w:shd w:val="clear" w:color="auto" w:fill="auto"/>
            <w:noWrap/>
            <w:vAlign w:val="bottom"/>
            <w:hideMark/>
          </w:tcPr>
          <w:p w:rsidR="00982EC0" w:rsidRPr="00982EC0" w:rsidRDefault="00982EC0" w:rsidP="00982EC0">
            <w:pPr>
              <w:pStyle w:val="AERtabletextleft"/>
            </w:pPr>
            <w:r w:rsidRPr="00982EC0">
              <w:t>257</w:t>
            </w:r>
          </w:p>
        </w:tc>
        <w:tc>
          <w:tcPr>
            <w:tcW w:w="1075" w:type="dxa"/>
            <w:shd w:val="clear" w:color="auto" w:fill="auto"/>
            <w:noWrap/>
            <w:vAlign w:val="bottom"/>
            <w:hideMark/>
          </w:tcPr>
          <w:p w:rsidR="00982EC0" w:rsidRPr="00982EC0" w:rsidRDefault="00982EC0" w:rsidP="00982EC0">
            <w:pPr>
              <w:pStyle w:val="AERtabletextleft"/>
            </w:pPr>
            <w:r w:rsidRPr="00982EC0">
              <w:t>23</w:t>
            </w:r>
          </w:p>
        </w:tc>
        <w:tc>
          <w:tcPr>
            <w:tcW w:w="1075" w:type="dxa"/>
            <w:gridSpan w:val="2"/>
            <w:shd w:val="clear" w:color="auto" w:fill="auto"/>
            <w:noWrap/>
            <w:vAlign w:val="bottom"/>
            <w:hideMark/>
          </w:tcPr>
          <w:p w:rsidR="00982EC0" w:rsidRPr="00982EC0" w:rsidRDefault="00982EC0" w:rsidP="00982EC0">
            <w:pPr>
              <w:pStyle w:val="AERtabletextleft"/>
            </w:pPr>
            <w:r w:rsidRPr="00982EC0">
              <w:t> </w:t>
            </w:r>
          </w:p>
        </w:tc>
        <w:tc>
          <w:tcPr>
            <w:tcW w:w="1075" w:type="dxa"/>
            <w:shd w:val="clear" w:color="auto" w:fill="auto"/>
            <w:noWrap/>
            <w:vAlign w:val="bottom"/>
            <w:hideMark/>
          </w:tcPr>
          <w:p w:rsidR="00982EC0" w:rsidRPr="00982EC0" w:rsidRDefault="00982EC0" w:rsidP="00982EC0">
            <w:pPr>
              <w:pStyle w:val="AERtabletextleft"/>
            </w:pPr>
            <w:r w:rsidRPr="00982EC0">
              <w:t> </w:t>
            </w:r>
          </w:p>
        </w:tc>
        <w:tc>
          <w:tcPr>
            <w:tcW w:w="1075" w:type="dxa"/>
            <w:shd w:val="clear" w:color="auto" w:fill="auto"/>
            <w:noWrap/>
            <w:vAlign w:val="bottom"/>
            <w:hideMark/>
          </w:tcPr>
          <w:p w:rsidR="00982EC0" w:rsidRPr="00982EC0" w:rsidRDefault="00982EC0" w:rsidP="00982EC0">
            <w:pPr>
              <w:pStyle w:val="AERtabletextleft"/>
            </w:pPr>
            <w:r w:rsidRPr="00982EC0">
              <w:t> </w:t>
            </w:r>
          </w:p>
        </w:tc>
        <w:tc>
          <w:tcPr>
            <w:tcW w:w="1077" w:type="dxa"/>
            <w:gridSpan w:val="2"/>
            <w:tcBorders>
              <w:right w:val="single" w:sz="12" w:space="0" w:color="auto"/>
            </w:tcBorders>
            <w:shd w:val="clear" w:color="auto" w:fill="auto"/>
            <w:noWrap/>
            <w:vAlign w:val="bottom"/>
            <w:hideMark/>
          </w:tcPr>
          <w:p w:rsidR="00982EC0" w:rsidRPr="00982EC0" w:rsidRDefault="00982EC0" w:rsidP="00982EC0">
            <w:pPr>
              <w:pStyle w:val="AERtabletextleft"/>
            </w:pPr>
            <w:r w:rsidRPr="00982EC0">
              <w:t> </w:t>
            </w:r>
          </w:p>
        </w:tc>
      </w:tr>
      <w:tr w:rsidR="00982EC0" w:rsidRPr="0081390E" w:rsidTr="00982EC0">
        <w:trPr>
          <w:gridAfter w:val="2"/>
          <w:wAfter w:w="15" w:type="dxa"/>
          <w:trHeight w:val="255"/>
        </w:trPr>
        <w:tc>
          <w:tcPr>
            <w:tcW w:w="12864" w:type="dxa"/>
            <w:gridSpan w:val="11"/>
            <w:tcBorders>
              <w:left w:val="single" w:sz="12" w:space="0" w:color="auto"/>
              <w:right w:val="single" w:sz="12" w:space="0" w:color="auto"/>
            </w:tcBorders>
            <w:shd w:val="clear" w:color="auto" w:fill="DBE5F1"/>
            <w:noWrap/>
            <w:vAlign w:val="bottom"/>
            <w:hideMark/>
          </w:tcPr>
          <w:p w:rsidR="00982EC0" w:rsidRPr="00982EC0" w:rsidRDefault="00982EC0" w:rsidP="00982EC0">
            <w:pPr>
              <w:pStyle w:val="AERtabletextleft"/>
            </w:pPr>
            <w:r w:rsidRPr="00982EC0">
              <w:t>Average debt of customers who entered hardship</w:t>
            </w:r>
          </w:p>
        </w:tc>
      </w:tr>
      <w:tr w:rsidR="00982EC0" w:rsidRPr="0081390E" w:rsidTr="00982EC0">
        <w:trPr>
          <w:gridAfter w:val="2"/>
          <w:wAfter w:w="15" w:type="dxa"/>
          <w:trHeight w:val="255"/>
        </w:trPr>
        <w:tc>
          <w:tcPr>
            <w:tcW w:w="3142" w:type="dxa"/>
            <w:tcBorders>
              <w:left w:val="single" w:sz="12" w:space="0" w:color="auto"/>
              <w:right w:val="single" w:sz="12" w:space="0" w:color="auto"/>
            </w:tcBorders>
            <w:shd w:val="clear" w:color="auto" w:fill="auto"/>
            <w:noWrap/>
            <w:vAlign w:val="bottom"/>
            <w:hideMark/>
          </w:tcPr>
          <w:p w:rsidR="00982EC0" w:rsidRPr="00982EC0" w:rsidRDefault="00982EC0" w:rsidP="00982EC0">
            <w:pPr>
              <w:pStyle w:val="AERtabletextleft"/>
            </w:pPr>
            <w:r w:rsidRPr="00982EC0">
              <w:t xml:space="preserve">   Residential </w:t>
            </w:r>
          </w:p>
        </w:tc>
        <w:tc>
          <w:tcPr>
            <w:tcW w:w="2004" w:type="dxa"/>
            <w:gridSpan w:val="2"/>
            <w:tcBorders>
              <w:left w:val="single" w:sz="12" w:space="0" w:color="auto"/>
              <w:right w:val="single" w:sz="12" w:space="0" w:color="auto"/>
            </w:tcBorders>
            <w:shd w:val="clear" w:color="auto" w:fill="D9D9D9"/>
            <w:vAlign w:val="bottom"/>
          </w:tcPr>
          <w:p w:rsidR="00982EC0" w:rsidRPr="00982EC0" w:rsidRDefault="00982EC0" w:rsidP="00982EC0">
            <w:pPr>
              <w:pStyle w:val="AERtabletextleft"/>
            </w:pPr>
          </w:p>
        </w:tc>
        <w:tc>
          <w:tcPr>
            <w:tcW w:w="7718" w:type="dxa"/>
            <w:gridSpan w:val="8"/>
            <w:tcBorders>
              <w:left w:val="single" w:sz="12" w:space="0" w:color="auto"/>
              <w:right w:val="single" w:sz="12" w:space="0" w:color="auto"/>
            </w:tcBorders>
            <w:shd w:val="clear" w:color="auto" w:fill="auto"/>
            <w:vAlign w:val="bottom"/>
          </w:tcPr>
          <w:p w:rsidR="00982EC0" w:rsidRPr="00982EC0" w:rsidRDefault="00982EC0" w:rsidP="00982EC0">
            <w:pPr>
              <w:pStyle w:val="AERtabletextleft"/>
            </w:pPr>
          </w:p>
        </w:tc>
      </w:tr>
      <w:tr w:rsidR="00982EC0" w:rsidRPr="0081390E" w:rsidTr="00982EC0">
        <w:trPr>
          <w:gridAfter w:val="1"/>
          <w:wAfter w:w="7" w:type="dxa"/>
          <w:trHeight w:val="208"/>
        </w:trPr>
        <w:tc>
          <w:tcPr>
            <w:tcW w:w="3142" w:type="dxa"/>
            <w:tcBorders>
              <w:left w:val="single" w:sz="12" w:space="0" w:color="auto"/>
              <w:right w:val="single" w:sz="12" w:space="0" w:color="auto"/>
            </w:tcBorders>
            <w:shd w:val="clear" w:color="auto" w:fill="auto"/>
            <w:noWrap/>
            <w:vAlign w:val="bottom"/>
            <w:hideMark/>
          </w:tcPr>
          <w:p w:rsidR="00982EC0" w:rsidRPr="00982EC0" w:rsidRDefault="00982EC0" w:rsidP="00982EC0">
            <w:pPr>
              <w:pStyle w:val="AERtabletextleft"/>
            </w:pPr>
            <w:r w:rsidRPr="00982EC0">
              <w:t xml:space="preserve">     Electricity</w:t>
            </w:r>
          </w:p>
        </w:tc>
        <w:tc>
          <w:tcPr>
            <w:tcW w:w="1076" w:type="dxa"/>
            <w:tcBorders>
              <w:left w:val="single" w:sz="12" w:space="0" w:color="auto"/>
            </w:tcBorders>
            <w:shd w:val="clear" w:color="auto" w:fill="D9D9D9"/>
          </w:tcPr>
          <w:p w:rsidR="00982EC0" w:rsidRPr="00982EC0" w:rsidRDefault="00982EC0" w:rsidP="00982EC0">
            <w:pPr>
              <w:pStyle w:val="AERtabletextleft"/>
            </w:pPr>
          </w:p>
        </w:tc>
        <w:tc>
          <w:tcPr>
            <w:tcW w:w="928" w:type="dxa"/>
            <w:tcBorders>
              <w:right w:val="single" w:sz="12" w:space="0" w:color="auto"/>
            </w:tcBorders>
            <w:shd w:val="clear" w:color="auto" w:fill="D9D9D9"/>
            <w:noWrap/>
            <w:vAlign w:val="bottom"/>
            <w:hideMark/>
          </w:tcPr>
          <w:p w:rsidR="00982EC0" w:rsidRPr="00982EC0" w:rsidRDefault="00982EC0" w:rsidP="00982EC0">
            <w:pPr>
              <w:pStyle w:val="AERtabletextleft"/>
            </w:pPr>
          </w:p>
        </w:tc>
        <w:tc>
          <w:tcPr>
            <w:tcW w:w="1076" w:type="dxa"/>
            <w:tcBorders>
              <w:left w:val="single" w:sz="12" w:space="0" w:color="auto"/>
            </w:tcBorders>
            <w:vAlign w:val="bottom"/>
          </w:tcPr>
          <w:p w:rsidR="00982EC0" w:rsidRPr="00982EC0" w:rsidRDefault="00982EC0" w:rsidP="00982EC0">
            <w:pPr>
              <w:pStyle w:val="AERtabletextleft"/>
            </w:pPr>
            <w:r w:rsidRPr="00982EC0">
              <w:t xml:space="preserve">$2,353 </w:t>
            </w:r>
          </w:p>
        </w:tc>
        <w:tc>
          <w:tcPr>
            <w:tcW w:w="1273" w:type="dxa"/>
            <w:shd w:val="clear" w:color="auto" w:fill="auto"/>
            <w:noWrap/>
            <w:vAlign w:val="bottom"/>
            <w:hideMark/>
          </w:tcPr>
          <w:p w:rsidR="00982EC0" w:rsidRPr="00982EC0" w:rsidRDefault="00982EC0" w:rsidP="00982EC0">
            <w:pPr>
              <w:pStyle w:val="AERtabletextleft"/>
            </w:pPr>
            <w:r w:rsidRPr="00982EC0">
              <w:t xml:space="preserve">$ 703 </w:t>
            </w:r>
          </w:p>
        </w:tc>
        <w:tc>
          <w:tcPr>
            <w:tcW w:w="1075" w:type="dxa"/>
            <w:shd w:val="clear" w:color="auto" w:fill="auto"/>
            <w:noWrap/>
            <w:vAlign w:val="bottom"/>
            <w:hideMark/>
          </w:tcPr>
          <w:p w:rsidR="00982EC0" w:rsidRPr="00982EC0" w:rsidRDefault="00982EC0" w:rsidP="00982EC0">
            <w:pPr>
              <w:pStyle w:val="AERtabletextleft"/>
            </w:pPr>
            <w:r w:rsidRPr="00982EC0">
              <w:t xml:space="preserve">$2,138 </w:t>
            </w:r>
          </w:p>
        </w:tc>
        <w:tc>
          <w:tcPr>
            <w:tcW w:w="1075" w:type="dxa"/>
            <w:gridSpan w:val="2"/>
            <w:shd w:val="clear" w:color="auto" w:fill="auto"/>
            <w:noWrap/>
            <w:vAlign w:val="bottom"/>
            <w:hideMark/>
          </w:tcPr>
          <w:p w:rsidR="00982EC0" w:rsidRPr="00982EC0" w:rsidRDefault="00982EC0" w:rsidP="00982EC0">
            <w:pPr>
              <w:pStyle w:val="AERtabletextleft"/>
            </w:pPr>
          </w:p>
        </w:tc>
        <w:tc>
          <w:tcPr>
            <w:tcW w:w="1075" w:type="dxa"/>
            <w:shd w:val="clear" w:color="auto" w:fill="auto"/>
            <w:noWrap/>
            <w:vAlign w:val="bottom"/>
            <w:hideMark/>
          </w:tcPr>
          <w:p w:rsidR="00982EC0" w:rsidRPr="00982EC0" w:rsidRDefault="00982EC0" w:rsidP="00982EC0">
            <w:pPr>
              <w:pStyle w:val="AERtabletextleft"/>
            </w:pPr>
            <w:r w:rsidRPr="00982EC0">
              <w:t> </w:t>
            </w:r>
          </w:p>
        </w:tc>
        <w:tc>
          <w:tcPr>
            <w:tcW w:w="1075" w:type="dxa"/>
            <w:shd w:val="clear" w:color="auto" w:fill="auto"/>
            <w:noWrap/>
            <w:vAlign w:val="bottom"/>
            <w:hideMark/>
          </w:tcPr>
          <w:p w:rsidR="00982EC0" w:rsidRPr="00982EC0" w:rsidRDefault="00982EC0" w:rsidP="00982EC0">
            <w:pPr>
              <w:pStyle w:val="AERtabletextleft"/>
            </w:pPr>
          </w:p>
        </w:tc>
        <w:tc>
          <w:tcPr>
            <w:tcW w:w="1077" w:type="dxa"/>
            <w:gridSpan w:val="2"/>
            <w:tcBorders>
              <w:right w:val="single" w:sz="12" w:space="0" w:color="auto"/>
            </w:tcBorders>
            <w:shd w:val="clear" w:color="auto" w:fill="auto"/>
            <w:noWrap/>
            <w:vAlign w:val="bottom"/>
            <w:hideMark/>
          </w:tcPr>
          <w:p w:rsidR="00982EC0" w:rsidRPr="00982EC0" w:rsidRDefault="00982EC0" w:rsidP="00982EC0">
            <w:pPr>
              <w:pStyle w:val="AERtabletextleft"/>
            </w:pPr>
            <w:r w:rsidRPr="00982EC0">
              <w:t> </w:t>
            </w:r>
          </w:p>
        </w:tc>
      </w:tr>
      <w:tr w:rsidR="00982EC0" w:rsidRPr="0081390E" w:rsidTr="00982EC0">
        <w:trPr>
          <w:gridAfter w:val="1"/>
          <w:wAfter w:w="7" w:type="dxa"/>
          <w:trHeight w:val="270"/>
        </w:trPr>
        <w:tc>
          <w:tcPr>
            <w:tcW w:w="3142" w:type="dxa"/>
            <w:tcBorders>
              <w:left w:val="single" w:sz="12" w:space="0" w:color="auto"/>
              <w:right w:val="single" w:sz="12" w:space="0" w:color="auto"/>
            </w:tcBorders>
            <w:shd w:val="clear" w:color="auto" w:fill="auto"/>
            <w:noWrap/>
            <w:vAlign w:val="bottom"/>
            <w:hideMark/>
          </w:tcPr>
          <w:p w:rsidR="00982EC0" w:rsidRPr="00982EC0" w:rsidRDefault="00982EC0" w:rsidP="00982EC0">
            <w:pPr>
              <w:pStyle w:val="AERtabletextleft"/>
            </w:pPr>
            <w:r w:rsidRPr="00982EC0">
              <w:t xml:space="preserve">     Gas</w:t>
            </w:r>
          </w:p>
        </w:tc>
        <w:tc>
          <w:tcPr>
            <w:tcW w:w="1076" w:type="dxa"/>
            <w:tcBorders>
              <w:left w:val="single" w:sz="12" w:space="0" w:color="auto"/>
            </w:tcBorders>
            <w:shd w:val="clear" w:color="auto" w:fill="D9D9D9"/>
          </w:tcPr>
          <w:p w:rsidR="00982EC0" w:rsidRPr="00982EC0" w:rsidRDefault="00982EC0" w:rsidP="00982EC0">
            <w:pPr>
              <w:pStyle w:val="AERtabletextleft"/>
            </w:pPr>
          </w:p>
        </w:tc>
        <w:tc>
          <w:tcPr>
            <w:tcW w:w="928" w:type="dxa"/>
            <w:tcBorders>
              <w:right w:val="single" w:sz="12" w:space="0" w:color="auto"/>
            </w:tcBorders>
            <w:shd w:val="clear" w:color="auto" w:fill="D9D9D9"/>
            <w:noWrap/>
            <w:vAlign w:val="bottom"/>
            <w:hideMark/>
          </w:tcPr>
          <w:p w:rsidR="00982EC0" w:rsidRPr="00982EC0" w:rsidRDefault="00982EC0" w:rsidP="00982EC0">
            <w:pPr>
              <w:pStyle w:val="AERtabletextleft"/>
            </w:pPr>
          </w:p>
        </w:tc>
        <w:tc>
          <w:tcPr>
            <w:tcW w:w="1076" w:type="dxa"/>
            <w:tcBorders>
              <w:left w:val="single" w:sz="12" w:space="0" w:color="auto"/>
            </w:tcBorders>
            <w:vAlign w:val="bottom"/>
          </w:tcPr>
          <w:p w:rsidR="00982EC0" w:rsidRPr="00982EC0" w:rsidRDefault="00982EC0" w:rsidP="00982EC0">
            <w:pPr>
              <w:pStyle w:val="AERtabletextleft"/>
            </w:pPr>
            <w:r w:rsidRPr="00982EC0">
              <w:t> </w:t>
            </w:r>
          </w:p>
        </w:tc>
        <w:tc>
          <w:tcPr>
            <w:tcW w:w="1273" w:type="dxa"/>
            <w:shd w:val="clear" w:color="auto" w:fill="auto"/>
            <w:noWrap/>
            <w:vAlign w:val="bottom"/>
            <w:hideMark/>
          </w:tcPr>
          <w:p w:rsidR="00982EC0" w:rsidRPr="00982EC0" w:rsidRDefault="00982EC0" w:rsidP="00982EC0">
            <w:pPr>
              <w:pStyle w:val="AERtabletextleft"/>
            </w:pPr>
            <w:r w:rsidRPr="00982EC0">
              <w:t xml:space="preserve">$ 1,000 </w:t>
            </w:r>
          </w:p>
        </w:tc>
        <w:tc>
          <w:tcPr>
            <w:tcW w:w="1075" w:type="dxa"/>
            <w:shd w:val="clear" w:color="auto" w:fill="auto"/>
            <w:noWrap/>
            <w:vAlign w:val="bottom"/>
            <w:hideMark/>
          </w:tcPr>
          <w:p w:rsidR="00982EC0" w:rsidRPr="00982EC0" w:rsidRDefault="00982EC0" w:rsidP="00982EC0">
            <w:pPr>
              <w:pStyle w:val="AERtabletextleft"/>
            </w:pPr>
            <w:r w:rsidRPr="00982EC0">
              <w:t xml:space="preserve">$ 692 </w:t>
            </w:r>
          </w:p>
        </w:tc>
        <w:tc>
          <w:tcPr>
            <w:tcW w:w="1075" w:type="dxa"/>
            <w:gridSpan w:val="2"/>
            <w:shd w:val="clear" w:color="auto" w:fill="auto"/>
            <w:noWrap/>
            <w:vAlign w:val="bottom"/>
            <w:hideMark/>
          </w:tcPr>
          <w:p w:rsidR="00982EC0" w:rsidRPr="00982EC0" w:rsidRDefault="00982EC0" w:rsidP="00982EC0">
            <w:pPr>
              <w:pStyle w:val="AERtabletextleft"/>
            </w:pPr>
            <w:r w:rsidRPr="00982EC0">
              <w:t> </w:t>
            </w:r>
          </w:p>
        </w:tc>
        <w:tc>
          <w:tcPr>
            <w:tcW w:w="1075" w:type="dxa"/>
            <w:shd w:val="clear" w:color="auto" w:fill="auto"/>
            <w:noWrap/>
            <w:vAlign w:val="bottom"/>
            <w:hideMark/>
          </w:tcPr>
          <w:p w:rsidR="00982EC0" w:rsidRPr="00982EC0" w:rsidRDefault="00982EC0" w:rsidP="00982EC0">
            <w:pPr>
              <w:pStyle w:val="AERtabletextleft"/>
            </w:pPr>
            <w:r w:rsidRPr="00982EC0">
              <w:t> </w:t>
            </w:r>
          </w:p>
        </w:tc>
        <w:tc>
          <w:tcPr>
            <w:tcW w:w="1075" w:type="dxa"/>
            <w:shd w:val="clear" w:color="auto" w:fill="auto"/>
            <w:noWrap/>
            <w:vAlign w:val="bottom"/>
            <w:hideMark/>
          </w:tcPr>
          <w:p w:rsidR="00982EC0" w:rsidRPr="00982EC0" w:rsidRDefault="00982EC0" w:rsidP="00982EC0">
            <w:pPr>
              <w:pStyle w:val="AERtabletextleft"/>
            </w:pPr>
            <w:r w:rsidRPr="00982EC0">
              <w:t> </w:t>
            </w:r>
          </w:p>
        </w:tc>
        <w:tc>
          <w:tcPr>
            <w:tcW w:w="1077" w:type="dxa"/>
            <w:gridSpan w:val="2"/>
            <w:tcBorders>
              <w:right w:val="single" w:sz="12" w:space="0" w:color="auto"/>
            </w:tcBorders>
            <w:shd w:val="clear" w:color="auto" w:fill="auto"/>
            <w:noWrap/>
            <w:vAlign w:val="bottom"/>
            <w:hideMark/>
          </w:tcPr>
          <w:p w:rsidR="00982EC0" w:rsidRPr="00982EC0" w:rsidRDefault="00982EC0" w:rsidP="00982EC0">
            <w:pPr>
              <w:pStyle w:val="AERtabletextleft"/>
            </w:pPr>
            <w:r w:rsidRPr="00982EC0">
              <w:t> </w:t>
            </w:r>
          </w:p>
        </w:tc>
      </w:tr>
      <w:tr w:rsidR="00982EC0" w:rsidRPr="0081390E" w:rsidTr="00982EC0">
        <w:trPr>
          <w:gridAfter w:val="2"/>
          <w:wAfter w:w="15" w:type="dxa"/>
          <w:trHeight w:val="255"/>
        </w:trPr>
        <w:tc>
          <w:tcPr>
            <w:tcW w:w="12864" w:type="dxa"/>
            <w:gridSpan w:val="11"/>
            <w:tcBorders>
              <w:left w:val="single" w:sz="12" w:space="0" w:color="auto"/>
              <w:right w:val="single" w:sz="12" w:space="0" w:color="auto"/>
            </w:tcBorders>
            <w:shd w:val="clear" w:color="auto" w:fill="DBE5F1"/>
            <w:noWrap/>
            <w:vAlign w:val="bottom"/>
            <w:hideMark/>
          </w:tcPr>
          <w:p w:rsidR="00982EC0" w:rsidRPr="00982EC0" w:rsidRDefault="00982EC0" w:rsidP="00982EC0">
            <w:pPr>
              <w:pStyle w:val="AERtabletextleft"/>
            </w:pPr>
            <w:r w:rsidRPr="00982EC0">
              <w:t>Average debt of customers on hardship</w:t>
            </w:r>
          </w:p>
        </w:tc>
      </w:tr>
      <w:tr w:rsidR="00982EC0" w:rsidRPr="0081390E" w:rsidTr="00982EC0">
        <w:trPr>
          <w:gridAfter w:val="2"/>
          <w:wAfter w:w="15" w:type="dxa"/>
          <w:trHeight w:val="255"/>
        </w:trPr>
        <w:tc>
          <w:tcPr>
            <w:tcW w:w="3142" w:type="dxa"/>
            <w:tcBorders>
              <w:left w:val="single" w:sz="12" w:space="0" w:color="auto"/>
              <w:right w:val="single" w:sz="12" w:space="0" w:color="auto"/>
            </w:tcBorders>
            <w:shd w:val="clear" w:color="auto" w:fill="auto"/>
            <w:noWrap/>
            <w:vAlign w:val="bottom"/>
            <w:hideMark/>
          </w:tcPr>
          <w:p w:rsidR="00982EC0" w:rsidRPr="00982EC0" w:rsidRDefault="00982EC0" w:rsidP="00982EC0">
            <w:pPr>
              <w:pStyle w:val="AERtabletextleft"/>
            </w:pPr>
            <w:r w:rsidRPr="00982EC0">
              <w:t xml:space="preserve">   Residential </w:t>
            </w:r>
          </w:p>
        </w:tc>
        <w:tc>
          <w:tcPr>
            <w:tcW w:w="2004" w:type="dxa"/>
            <w:gridSpan w:val="2"/>
            <w:tcBorders>
              <w:left w:val="single" w:sz="12" w:space="0" w:color="auto"/>
              <w:right w:val="single" w:sz="12" w:space="0" w:color="auto"/>
            </w:tcBorders>
            <w:shd w:val="clear" w:color="auto" w:fill="D9D9D9"/>
            <w:vAlign w:val="bottom"/>
          </w:tcPr>
          <w:p w:rsidR="00982EC0" w:rsidRPr="00982EC0" w:rsidRDefault="00982EC0" w:rsidP="00982EC0">
            <w:pPr>
              <w:pStyle w:val="AERtabletextleft"/>
            </w:pPr>
          </w:p>
        </w:tc>
        <w:tc>
          <w:tcPr>
            <w:tcW w:w="7718" w:type="dxa"/>
            <w:gridSpan w:val="8"/>
            <w:tcBorders>
              <w:left w:val="single" w:sz="12" w:space="0" w:color="auto"/>
              <w:right w:val="single" w:sz="12" w:space="0" w:color="auto"/>
            </w:tcBorders>
            <w:shd w:val="clear" w:color="auto" w:fill="auto"/>
            <w:vAlign w:val="bottom"/>
          </w:tcPr>
          <w:p w:rsidR="00982EC0" w:rsidRPr="00982EC0" w:rsidRDefault="00982EC0" w:rsidP="00982EC0">
            <w:pPr>
              <w:pStyle w:val="AERtabletextleft"/>
            </w:pPr>
          </w:p>
        </w:tc>
      </w:tr>
      <w:tr w:rsidR="00982EC0" w:rsidRPr="0081390E" w:rsidTr="00982EC0">
        <w:trPr>
          <w:gridAfter w:val="1"/>
          <w:wAfter w:w="7" w:type="dxa"/>
          <w:trHeight w:val="255"/>
        </w:trPr>
        <w:tc>
          <w:tcPr>
            <w:tcW w:w="3142" w:type="dxa"/>
            <w:tcBorders>
              <w:left w:val="single" w:sz="12" w:space="0" w:color="auto"/>
              <w:right w:val="single" w:sz="12" w:space="0" w:color="auto"/>
            </w:tcBorders>
            <w:shd w:val="clear" w:color="auto" w:fill="auto"/>
            <w:noWrap/>
            <w:vAlign w:val="bottom"/>
            <w:hideMark/>
          </w:tcPr>
          <w:p w:rsidR="00982EC0" w:rsidRPr="00982EC0" w:rsidRDefault="00982EC0" w:rsidP="00982EC0">
            <w:pPr>
              <w:pStyle w:val="AERtabletextleft"/>
            </w:pPr>
            <w:r w:rsidRPr="00982EC0">
              <w:t xml:space="preserve">     Electricity</w:t>
            </w:r>
          </w:p>
        </w:tc>
        <w:tc>
          <w:tcPr>
            <w:tcW w:w="1076" w:type="dxa"/>
            <w:tcBorders>
              <w:left w:val="single" w:sz="12" w:space="0" w:color="auto"/>
            </w:tcBorders>
            <w:shd w:val="clear" w:color="auto" w:fill="D9D9D9"/>
          </w:tcPr>
          <w:p w:rsidR="00982EC0" w:rsidRPr="00982EC0" w:rsidRDefault="00982EC0" w:rsidP="00982EC0">
            <w:pPr>
              <w:pStyle w:val="AERtabletextleft"/>
            </w:pPr>
          </w:p>
        </w:tc>
        <w:tc>
          <w:tcPr>
            <w:tcW w:w="928" w:type="dxa"/>
            <w:tcBorders>
              <w:right w:val="single" w:sz="12" w:space="0" w:color="auto"/>
            </w:tcBorders>
            <w:shd w:val="clear" w:color="auto" w:fill="D9D9D9"/>
            <w:noWrap/>
            <w:vAlign w:val="bottom"/>
            <w:hideMark/>
          </w:tcPr>
          <w:p w:rsidR="00982EC0" w:rsidRPr="00982EC0" w:rsidRDefault="00982EC0" w:rsidP="00982EC0">
            <w:pPr>
              <w:pStyle w:val="AERtabletextleft"/>
            </w:pPr>
          </w:p>
        </w:tc>
        <w:tc>
          <w:tcPr>
            <w:tcW w:w="1076" w:type="dxa"/>
            <w:tcBorders>
              <w:left w:val="single" w:sz="12" w:space="0" w:color="auto"/>
            </w:tcBorders>
            <w:vAlign w:val="bottom"/>
          </w:tcPr>
          <w:p w:rsidR="00982EC0" w:rsidRPr="00982EC0" w:rsidRDefault="00982EC0" w:rsidP="00982EC0">
            <w:pPr>
              <w:pStyle w:val="AERtabletextleft"/>
            </w:pPr>
            <w:r w:rsidRPr="00982EC0">
              <w:t xml:space="preserve">$1,927 </w:t>
            </w:r>
          </w:p>
        </w:tc>
        <w:tc>
          <w:tcPr>
            <w:tcW w:w="1273" w:type="dxa"/>
            <w:shd w:val="clear" w:color="auto" w:fill="auto"/>
            <w:noWrap/>
            <w:vAlign w:val="bottom"/>
            <w:hideMark/>
          </w:tcPr>
          <w:p w:rsidR="00982EC0" w:rsidRPr="00982EC0" w:rsidRDefault="00982EC0" w:rsidP="00982EC0">
            <w:pPr>
              <w:pStyle w:val="AERtabletextleft"/>
            </w:pPr>
            <w:r w:rsidRPr="00982EC0">
              <w:t>$ 1,101</w:t>
            </w:r>
          </w:p>
        </w:tc>
        <w:tc>
          <w:tcPr>
            <w:tcW w:w="1075" w:type="dxa"/>
            <w:shd w:val="clear" w:color="auto" w:fill="auto"/>
            <w:noWrap/>
            <w:vAlign w:val="bottom"/>
            <w:hideMark/>
          </w:tcPr>
          <w:p w:rsidR="00982EC0" w:rsidRPr="00982EC0" w:rsidRDefault="00982EC0" w:rsidP="00982EC0">
            <w:pPr>
              <w:pStyle w:val="AERtabletextleft"/>
            </w:pPr>
            <w:r w:rsidRPr="00982EC0">
              <w:t xml:space="preserve">$ 1,656 </w:t>
            </w:r>
          </w:p>
        </w:tc>
        <w:tc>
          <w:tcPr>
            <w:tcW w:w="1075" w:type="dxa"/>
            <w:gridSpan w:val="2"/>
            <w:shd w:val="clear" w:color="auto" w:fill="auto"/>
            <w:noWrap/>
            <w:vAlign w:val="bottom"/>
            <w:hideMark/>
          </w:tcPr>
          <w:p w:rsidR="00982EC0" w:rsidRPr="00982EC0" w:rsidRDefault="00982EC0" w:rsidP="00982EC0">
            <w:pPr>
              <w:pStyle w:val="AERtabletextleft"/>
            </w:pPr>
          </w:p>
        </w:tc>
        <w:tc>
          <w:tcPr>
            <w:tcW w:w="1075" w:type="dxa"/>
            <w:shd w:val="clear" w:color="auto" w:fill="auto"/>
            <w:noWrap/>
            <w:vAlign w:val="bottom"/>
            <w:hideMark/>
          </w:tcPr>
          <w:p w:rsidR="00982EC0" w:rsidRPr="00982EC0" w:rsidRDefault="00982EC0" w:rsidP="00982EC0">
            <w:pPr>
              <w:pStyle w:val="AERtabletextleft"/>
            </w:pPr>
            <w:r w:rsidRPr="00982EC0">
              <w:t> </w:t>
            </w:r>
          </w:p>
        </w:tc>
        <w:tc>
          <w:tcPr>
            <w:tcW w:w="1075" w:type="dxa"/>
            <w:shd w:val="clear" w:color="auto" w:fill="auto"/>
            <w:noWrap/>
            <w:vAlign w:val="bottom"/>
            <w:hideMark/>
          </w:tcPr>
          <w:p w:rsidR="00982EC0" w:rsidRPr="00982EC0" w:rsidRDefault="00982EC0" w:rsidP="00982EC0">
            <w:pPr>
              <w:pStyle w:val="AERtabletextleft"/>
            </w:pPr>
          </w:p>
        </w:tc>
        <w:tc>
          <w:tcPr>
            <w:tcW w:w="1077" w:type="dxa"/>
            <w:gridSpan w:val="2"/>
            <w:tcBorders>
              <w:right w:val="single" w:sz="12" w:space="0" w:color="auto"/>
            </w:tcBorders>
            <w:shd w:val="clear" w:color="auto" w:fill="auto"/>
            <w:noWrap/>
            <w:vAlign w:val="bottom"/>
            <w:hideMark/>
          </w:tcPr>
          <w:p w:rsidR="00982EC0" w:rsidRPr="00982EC0" w:rsidRDefault="00982EC0" w:rsidP="00982EC0">
            <w:pPr>
              <w:pStyle w:val="AERtabletextleft"/>
            </w:pPr>
            <w:r w:rsidRPr="00982EC0">
              <w:t> </w:t>
            </w:r>
          </w:p>
        </w:tc>
      </w:tr>
      <w:tr w:rsidR="00982EC0" w:rsidRPr="0081390E" w:rsidTr="00982EC0">
        <w:trPr>
          <w:gridAfter w:val="1"/>
          <w:wAfter w:w="7" w:type="dxa"/>
          <w:trHeight w:val="270"/>
        </w:trPr>
        <w:tc>
          <w:tcPr>
            <w:tcW w:w="3142" w:type="dxa"/>
            <w:tcBorders>
              <w:left w:val="single" w:sz="12" w:space="0" w:color="auto"/>
              <w:right w:val="single" w:sz="12" w:space="0" w:color="auto"/>
            </w:tcBorders>
            <w:shd w:val="clear" w:color="auto" w:fill="auto"/>
            <w:noWrap/>
            <w:vAlign w:val="bottom"/>
            <w:hideMark/>
          </w:tcPr>
          <w:p w:rsidR="00982EC0" w:rsidRPr="00982EC0" w:rsidRDefault="00982EC0" w:rsidP="00982EC0">
            <w:pPr>
              <w:pStyle w:val="AERtabletextleft"/>
            </w:pPr>
            <w:r w:rsidRPr="00982EC0">
              <w:t xml:space="preserve">     Gas</w:t>
            </w:r>
          </w:p>
        </w:tc>
        <w:tc>
          <w:tcPr>
            <w:tcW w:w="1076" w:type="dxa"/>
            <w:tcBorders>
              <w:left w:val="single" w:sz="12" w:space="0" w:color="auto"/>
            </w:tcBorders>
            <w:shd w:val="clear" w:color="auto" w:fill="D9D9D9"/>
          </w:tcPr>
          <w:p w:rsidR="00982EC0" w:rsidRPr="00982EC0" w:rsidRDefault="00982EC0" w:rsidP="00982EC0">
            <w:pPr>
              <w:pStyle w:val="AERtabletextleft"/>
            </w:pPr>
          </w:p>
        </w:tc>
        <w:tc>
          <w:tcPr>
            <w:tcW w:w="928" w:type="dxa"/>
            <w:tcBorders>
              <w:right w:val="single" w:sz="12" w:space="0" w:color="auto"/>
            </w:tcBorders>
            <w:shd w:val="clear" w:color="auto" w:fill="D9D9D9"/>
            <w:noWrap/>
            <w:vAlign w:val="bottom"/>
            <w:hideMark/>
          </w:tcPr>
          <w:p w:rsidR="00982EC0" w:rsidRPr="00982EC0" w:rsidRDefault="00982EC0" w:rsidP="00982EC0">
            <w:pPr>
              <w:pStyle w:val="AERtabletextleft"/>
            </w:pPr>
          </w:p>
        </w:tc>
        <w:tc>
          <w:tcPr>
            <w:tcW w:w="1076" w:type="dxa"/>
            <w:tcBorders>
              <w:left w:val="single" w:sz="12" w:space="0" w:color="auto"/>
            </w:tcBorders>
            <w:vAlign w:val="bottom"/>
          </w:tcPr>
          <w:p w:rsidR="00982EC0" w:rsidRPr="00982EC0" w:rsidRDefault="00982EC0" w:rsidP="00982EC0">
            <w:pPr>
              <w:pStyle w:val="AERtabletextleft"/>
            </w:pPr>
            <w:r w:rsidRPr="00982EC0">
              <w:t> </w:t>
            </w:r>
          </w:p>
        </w:tc>
        <w:tc>
          <w:tcPr>
            <w:tcW w:w="1273" w:type="dxa"/>
            <w:shd w:val="clear" w:color="auto" w:fill="auto"/>
            <w:noWrap/>
            <w:vAlign w:val="bottom"/>
            <w:hideMark/>
          </w:tcPr>
          <w:p w:rsidR="00982EC0" w:rsidRPr="00982EC0" w:rsidRDefault="00982EC0" w:rsidP="00982EC0">
            <w:pPr>
              <w:pStyle w:val="AERtabletextleft"/>
            </w:pPr>
            <w:r w:rsidRPr="00982EC0">
              <w:t>$ 3,517</w:t>
            </w:r>
          </w:p>
        </w:tc>
        <w:tc>
          <w:tcPr>
            <w:tcW w:w="1075" w:type="dxa"/>
            <w:shd w:val="clear" w:color="auto" w:fill="auto"/>
            <w:noWrap/>
            <w:vAlign w:val="bottom"/>
            <w:hideMark/>
          </w:tcPr>
          <w:p w:rsidR="00982EC0" w:rsidRPr="00982EC0" w:rsidRDefault="00982EC0" w:rsidP="00982EC0">
            <w:pPr>
              <w:pStyle w:val="AERtabletextleft"/>
            </w:pPr>
            <w:r w:rsidRPr="00982EC0">
              <w:t xml:space="preserve">$  2,199 </w:t>
            </w:r>
          </w:p>
        </w:tc>
        <w:tc>
          <w:tcPr>
            <w:tcW w:w="1075" w:type="dxa"/>
            <w:gridSpan w:val="2"/>
            <w:shd w:val="clear" w:color="auto" w:fill="auto"/>
            <w:noWrap/>
            <w:vAlign w:val="bottom"/>
            <w:hideMark/>
          </w:tcPr>
          <w:p w:rsidR="00982EC0" w:rsidRPr="00982EC0" w:rsidRDefault="00982EC0" w:rsidP="00982EC0">
            <w:pPr>
              <w:pStyle w:val="AERtabletextleft"/>
            </w:pPr>
            <w:r w:rsidRPr="00982EC0">
              <w:t> </w:t>
            </w:r>
          </w:p>
        </w:tc>
        <w:tc>
          <w:tcPr>
            <w:tcW w:w="1075" w:type="dxa"/>
            <w:shd w:val="clear" w:color="auto" w:fill="auto"/>
            <w:noWrap/>
            <w:vAlign w:val="bottom"/>
            <w:hideMark/>
          </w:tcPr>
          <w:p w:rsidR="00982EC0" w:rsidRPr="00982EC0" w:rsidRDefault="00982EC0" w:rsidP="00982EC0">
            <w:pPr>
              <w:pStyle w:val="AERtabletextleft"/>
            </w:pPr>
            <w:r w:rsidRPr="00982EC0">
              <w:t> </w:t>
            </w:r>
          </w:p>
        </w:tc>
        <w:tc>
          <w:tcPr>
            <w:tcW w:w="1075" w:type="dxa"/>
            <w:shd w:val="clear" w:color="auto" w:fill="auto"/>
            <w:noWrap/>
            <w:vAlign w:val="bottom"/>
            <w:hideMark/>
          </w:tcPr>
          <w:p w:rsidR="00982EC0" w:rsidRPr="00982EC0" w:rsidRDefault="00982EC0" w:rsidP="00982EC0">
            <w:pPr>
              <w:pStyle w:val="AERtabletextleft"/>
            </w:pPr>
            <w:r w:rsidRPr="00982EC0">
              <w:t> </w:t>
            </w:r>
          </w:p>
        </w:tc>
        <w:tc>
          <w:tcPr>
            <w:tcW w:w="1077" w:type="dxa"/>
            <w:gridSpan w:val="2"/>
            <w:tcBorders>
              <w:right w:val="single" w:sz="12" w:space="0" w:color="auto"/>
            </w:tcBorders>
            <w:shd w:val="clear" w:color="auto" w:fill="auto"/>
            <w:noWrap/>
            <w:vAlign w:val="bottom"/>
            <w:hideMark/>
          </w:tcPr>
          <w:p w:rsidR="00982EC0" w:rsidRPr="00982EC0" w:rsidRDefault="00982EC0" w:rsidP="00982EC0">
            <w:pPr>
              <w:pStyle w:val="AERtabletextleft"/>
            </w:pPr>
            <w:r w:rsidRPr="00982EC0">
              <w:t> </w:t>
            </w:r>
          </w:p>
        </w:tc>
      </w:tr>
      <w:tr w:rsidR="00982EC0" w:rsidRPr="0081390E" w:rsidTr="00982EC0">
        <w:trPr>
          <w:gridAfter w:val="2"/>
          <w:wAfter w:w="15" w:type="dxa"/>
          <w:trHeight w:val="255"/>
        </w:trPr>
        <w:tc>
          <w:tcPr>
            <w:tcW w:w="12864" w:type="dxa"/>
            <w:gridSpan w:val="11"/>
            <w:tcBorders>
              <w:left w:val="single" w:sz="12" w:space="0" w:color="auto"/>
              <w:right w:val="single" w:sz="12" w:space="0" w:color="auto"/>
            </w:tcBorders>
            <w:shd w:val="clear" w:color="auto" w:fill="DBE5F1"/>
            <w:noWrap/>
            <w:vAlign w:val="bottom"/>
            <w:hideMark/>
          </w:tcPr>
          <w:p w:rsidR="00982EC0" w:rsidRPr="00982EC0" w:rsidRDefault="00982EC0" w:rsidP="00982EC0">
            <w:pPr>
              <w:pStyle w:val="AERtabletextleft"/>
            </w:pPr>
            <w:r w:rsidRPr="00982EC0">
              <w:t>Average debt of customers on hardship</w:t>
            </w:r>
          </w:p>
        </w:tc>
      </w:tr>
      <w:tr w:rsidR="00982EC0" w:rsidRPr="0081390E" w:rsidTr="00982EC0">
        <w:trPr>
          <w:gridAfter w:val="2"/>
          <w:wAfter w:w="15" w:type="dxa"/>
          <w:trHeight w:val="255"/>
        </w:trPr>
        <w:tc>
          <w:tcPr>
            <w:tcW w:w="3142" w:type="dxa"/>
            <w:tcBorders>
              <w:left w:val="single" w:sz="12" w:space="0" w:color="auto"/>
              <w:right w:val="single" w:sz="12" w:space="0" w:color="auto"/>
            </w:tcBorders>
            <w:shd w:val="clear" w:color="auto" w:fill="auto"/>
            <w:noWrap/>
            <w:vAlign w:val="bottom"/>
            <w:hideMark/>
          </w:tcPr>
          <w:p w:rsidR="00982EC0" w:rsidRPr="00982EC0" w:rsidRDefault="00982EC0" w:rsidP="00982EC0">
            <w:pPr>
              <w:pStyle w:val="AERtabletextleft"/>
            </w:pPr>
            <w:r w:rsidRPr="00982EC0">
              <w:lastRenderedPageBreak/>
              <w:t xml:space="preserve">   Residential </w:t>
            </w:r>
          </w:p>
        </w:tc>
        <w:tc>
          <w:tcPr>
            <w:tcW w:w="2004" w:type="dxa"/>
            <w:gridSpan w:val="2"/>
            <w:tcBorders>
              <w:left w:val="single" w:sz="12" w:space="0" w:color="auto"/>
              <w:right w:val="single" w:sz="12" w:space="0" w:color="auto"/>
            </w:tcBorders>
            <w:shd w:val="clear" w:color="auto" w:fill="D9D9D9"/>
            <w:vAlign w:val="bottom"/>
          </w:tcPr>
          <w:p w:rsidR="00982EC0" w:rsidRPr="00982EC0" w:rsidRDefault="00982EC0" w:rsidP="00982EC0">
            <w:pPr>
              <w:pStyle w:val="AERtabletextleft"/>
            </w:pPr>
          </w:p>
        </w:tc>
        <w:tc>
          <w:tcPr>
            <w:tcW w:w="7718" w:type="dxa"/>
            <w:gridSpan w:val="8"/>
            <w:tcBorders>
              <w:left w:val="single" w:sz="12" w:space="0" w:color="auto"/>
              <w:right w:val="single" w:sz="12" w:space="0" w:color="auto"/>
            </w:tcBorders>
            <w:shd w:val="clear" w:color="auto" w:fill="auto"/>
            <w:vAlign w:val="bottom"/>
          </w:tcPr>
          <w:p w:rsidR="00982EC0" w:rsidRPr="00982EC0" w:rsidRDefault="00982EC0" w:rsidP="00982EC0">
            <w:pPr>
              <w:pStyle w:val="AERtabletextleft"/>
            </w:pPr>
          </w:p>
        </w:tc>
      </w:tr>
      <w:tr w:rsidR="00982EC0" w:rsidRPr="0081390E" w:rsidTr="00982EC0">
        <w:trPr>
          <w:gridAfter w:val="1"/>
          <w:wAfter w:w="7" w:type="dxa"/>
          <w:trHeight w:val="255"/>
        </w:trPr>
        <w:tc>
          <w:tcPr>
            <w:tcW w:w="3142" w:type="dxa"/>
            <w:tcBorders>
              <w:left w:val="single" w:sz="12" w:space="0" w:color="auto"/>
              <w:right w:val="single" w:sz="12" w:space="0" w:color="auto"/>
            </w:tcBorders>
            <w:shd w:val="clear" w:color="auto" w:fill="auto"/>
            <w:noWrap/>
            <w:vAlign w:val="bottom"/>
            <w:hideMark/>
          </w:tcPr>
          <w:p w:rsidR="00982EC0" w:rsidRPr="00982EC0" w:rsidRDefault="00982EC0" w:rsidP="00982EC0">
            <w:pPr>
              <w:pStyle w:val="AERtabletextleft"/>
            </w:pPr>
            <w:r w:rsidRPr="00982EC0">
              <w:t xml:space="preserve">     Electricity</w:t>
            </w:r>
          </w:p>
        </w:tc>
        <w:tc>
          <w:tcPr>
            <w:tcW w:w="1076" w:type="dxa"/>
            <w:tcBorders>
              <w:left w:val="single" w:sz="12" w:space="0" w:color="auto"/>
            </w:tcBorders>
            <w:shd w:val="clear" w:color="auto" w:fill="D9D9D9"/>
          </w:tcPr>
          <w:p w:rsidR="00982EC0" w:rsidRPr="00982EC0" w:rsidRDefault="00982EC0" w:rsidP="00982EC0">
            <w:pPr>
              <w:pStyle w:val="AERtabletextleft"/>
            </w:pPr>
          </w:p>
        </w:tc>
        <w:tc>
          <w:tcPr>
            <w:tcW w:w="928" w:type="dxa"/>
            <w:tcBorders>
              <w:right w:val="single" w:sz="12" w:space="0" w:color="auto"/>
            </w:tcBorders>
            <w:shd w:val="clear" w:color="auto" w:fill="D9D9D9"/>
            <w:noWrap/>
            <w:vAlign w:val="bottom"/>
            <w:hideMark/>
          </w:tcPr>
          <w:p w:rsidR="00982EC0" w:rsidRPr="00982EC0" w:rsidRDefault="00982EC0" w:rsidP="00982EC0">
            <w:pPr>
              <w:pStyle w:val="AERtabletextleft"/>
            </w:pPr>
          </w:p>
        </w:tc>
        <w:tc>
          <w:tcPr>
            <w:tcW w:w="1076" w:type="dxa"/>
            <w:tcBorders>
              <w:left w:val="single" w:sz="12" w:space="0" w:color="auto"/>
            </w:tcBorders>
            <w:vAlign w:val="bottom"/>
          </w:tcPr>
          <w:p w:rsidR="00982EC0" w:rsidRPr="00982EC0" w:rsidRDefault="00982EC0" w:rsidP="00982EC0">
            <w:pPr>
              <w:pStyle w:val="AERtabletextleft"/>
            </w:pPr>
            <w:r w:rsidRPr="00982EC0">
              <w:t> </w:t>
            </w:r>
          </w:p>
        </w:tc>
        <w:tc>
          <w:tcPr>
            <w:tcW w:w="1273" w:type="dxa"/>
            <w:shd w:val="clear" w:color="auto" w:fill="auto"/>
            <w:noWrap/>
            <w:vAlign w:val="bottom"/>
            <w:hideMark/>
          </w:tcPr>
          <w:p w:rsidR="00982EC0" w:rsidRPr="00982EC0" w:rsidRDefault="00982EC0" w:rsidP="00982EC0">
            <w:pPr>
              <w:pStyle w:val="AERtabletextleft"/>
            </w:pPr>
          </w:p>
        </w:tc>
        <w:tc>
          <w:tcPr>
            <w:tcW w:w="1075" w:type="dxa"/>
            <w:shd w:val="clear" w:color="auto" w:fill="auto"/>
            <w:noWrap/>
            <w:vAlign w:val="bottom"/>
            <w:hideMark/>
          </w:tcPr>
          <w:p w:rsidR="00982EC0" w:rsidRPr="00982EC0" w:rsidRDefault="00982EC0" w:rsidP="00982EC0">
            <w:pPr>
              <w:pStyle w:val="AERtabletextleft"/>
            </w:pPr>
            <w:r w:rsidRPr="00982EC0">
              <w:t> </w:t>
            </w:r>
          </w:p>
        </w:tc>
        <w:tc>
          <w:tcPr>
            <w:tcW w:w="1075" w:type="dxa"/>
            <w:gridSpan w:val="2"/>
            <w:shd w:val="clear" w:color="auto" w:fill="auto"/>
            <w:noWrap/>
            <w:vAlign w:val="bottom"/>
            <w:hideMark/>
          </w:tcPr>
          <w:p w:rsidR="00982EC0" w:rsidRPr="00982EC0" w:rsidRDefault="00982EC0" w:rsidP="00982EC0">
            <w:pPr>
              <w:pStyle w:val="AERtabletextleft"/>
            </w:pPr>
          </w:p>
        </w:tc>
        <w:tc>
          <w:tcPr>
            <w:tcW w:w="1075" w:type="dxa"/>
            <w:shd w:val="clear" w:color="auto" w:fill="auto"/>
            <w:noWrap/>
            <w:vAlign w:val="bottom"/>
            <w:hideMark/>
          </w:tcPr>
          <w:p w:rsidR="00982EC0" w:rsidRPr="00982EC0" w:rsidRDefault="00982EC0" w:rsidP="00982EC0">
            <w:pPr>
              <w:pStyle w:val="AERtabletextleft"/>
            </w:pPr>
            <w:r w:rsidRPr="00982EC0">
              <w:t> </w:t>
            </w:r>
          </w:p>
        </w:tc>
        <w:tc>
          <w:tcPr>
            <w:tcW w:w="1075" w:type="dxa"/>
            <w:shd w:val="clear" w:color="auto" w:fill="auto"/>
            <w:noWrap/>
            <w:vAlign w:val="bottom"/>
            <w:hideMark/>
          </w:tcPr>
          <w:p w:rsidR="00982EC0" w:rsidRPr="00982EC0" w:rsidRDefault="00982EC0" w:rsidP="00982EC0">
            <w:pPr>
              <w:pStyle w:val="AERtabletextleft"/>
            </w:pPr>
          </w:p>
        </w:tc>
        <w:tc>
          <w:tcPr>
            <w:tcW w:w="1077" w:type="dxa"/>
            <w:gridSpan w:val="2"/>
            <w:tcBorders>
              <w:right w:val="single" w:sz="12" w:space="0" w:color="auto"/>
            </w:tcBorders>
            <w:shd w:val="clear" w:color="auto" w:fill="auto"/>
            <w:noWrap/>
            <w:vAlign w:val="bottom"/>
            <w:hideMark/>
          </w:tcPr>
          <w:p w:rsidR="00982EC0" w:rsidRPr="00982EC0" w:rsidRDefault="00982EC0" w:rsidP="00982EC0">
            <w:pPr>
              <w:pStyle w:val="AERtabletextleft"/>
            </w:pPr>
            <w:r w:rsidRPr="00982EC0">
              <w:t> </w:t>
            </w:r>
          </w:p>
        </w:tc>
      </w:tr>
      <w:tr w:rsidR="00982EC0" w:rsidRPr="0081390E" w:rsidTr="00982EC0">
        <w:trPr>
          <w:gridAfter w:val="1"/>
          <w:wAfter w:w="7" w:type="dxa"/>
          <w:trHeight w:val="255"/>
        </w:trPr>
        <w:tc>
          <w:tcPr>
            <w:tcW w:w="3142" w:type="dxa"/>
            <w:tcBorders>
              <w:left w:val="single" w:sz="12" w:space="0" w:color="auto"/>
              <w:right w:val="single" w:sz="12" w:space="0" w:color="auto"/>
            </w:tcBorders>
            <w:shd w:val="clear" w:color="auto" w:fill="auto"/>
            <w:noWrap/>
            <w:vAlign w:val="bottom"/>
            <w:hideMark/>
          </w:tcPr>
          <w:p w:rsidR="00982EC0" w:rsidRPr="00982EC0" w:rsidRDefault="00982EC0" w:rsidP="00982EC0">
            <w:pPr>
              <w:pStyle w:val="AERtabletextleft"/>
            </w:pPr>
            <w:r w:rsidRPr="00982EC0">
              <w:t xml:space="preserve">        Successfully completed</w:t>
            </w:r>
          </w:p>
        </w:tc>
        <w:tc>
          <w:tcPr>
            <w:tcW w:w="1076" w:type="dxa"/>
            <w:tcBorders>
              <w:left w:val="single" w:sz="12" w:space="0" w:color="auto"/>
            </w:tcBorders>
            <w:shd w:val="clear" w:color="auto" w:fill="D9D9D9"/>
          </w:tcPr>
          <w:p w:rsidR="00982EC0" w:rsidRPr="00982EC0" w:rsidRDefault="00982EC0" w:rsidP="00982EC0">
            <w:pPr>
              <w:pStyle w:val="AERtabletextleft"/>
            </w:pPr>
          </w:p>
        </w:tc>
        <w:tc>
          <w:tcPr>
            <w:tcW w:w="928" w:type="dxa"/>
            <w:tcBorders>
              <w:right w:val="single" w:sz="12" w:space="0" w:color="auto"/>
            </w:tcBorders>
            <w:shd w:val="clear" w:color="auto" w:fill="D9D9D9"/>
            <w:noWrap/>
            <w:vAlign w:val="bottom"/>
            <w:hideMark/>
          </w:tcPr>
          <w:p w:rsidR="00982EC0" w:rsidRPr="00982EC0" w:rsidRDefault="00982EC0" w:rsidP="00982EC0">
            <w:pPr>
              <w:pStyle w:val="AERtabletextleft"/>
            </w:pPr>
          </w:p>
        </w:tc>
        <w:tc>
          <w:tcPr>
            <w:tcW w:w="1076" w:type="dxa"/>
            <w:tcBorders>
              <w:left w:val="single" w:sz="12" w:space="0" w:color="auto"/>
            </w:tcBorders>
            <w:vAlign w:val="bottom"/>
          </w:tcPr>
          <w:p w:rsidR="00982EC0" w:rsidRPr="00982EC0" w:rsidRDefault="00982EC0" w:rsidP="00982EC0">
            <w:pPr>
              <w:pStyle w:val="AERtabletextleft"/>
            </w:pPr>
            <w:r w:rsidRPr="00982EC0">
              <w:t>4</w:t>
            </w:r>
          </w:p>
        </w:tc>
        <w:tc>
          <w:tcPr>
            <w:tcW w:w="1273" w:type="dxa"/>
            <w:shd w:val="clear" w:color="auto" w:fill="auto"/>
            <w:noWrap/>
            <w:vAlign w:val="bottom"/>
            <w:hideMark/>
          </w:tcPr>
          <w:p w:rsidR="00982EC0" w:rsidRPr="00982EC0" w:rsidRDefault="00982EC0" w:rsidP="00982EC0">
            <w:pPr>
              <w:pStyle w:val="AERtabletextleft"/>
            </w:pPr>
            <w:r w:rsidRPr="00982EC0">
              <w:t>22</w:t>
            </w:r>
          </w:p>
        </w:tc>
        <w:tc>
          <w:tcPr>
            <w:tcW w:w="1075" w:type="dxa"/>
            <w:shd w:val="clear" w:color="auto" w:fill="auto"/>
            <w:noWrap/>
            <w:vAlign w:val="bottom"/>
            <w:hideMark/>
          </w:tcPr>
          <w:p w:rsidR="00982EC0" w:rsidRPr="00982EC0" w:rsidRDefault="00982EC0" w:rsidP="00982EC0">
            <w:pPr>
              <w:pStyle w:val="AERtabletextleft"/>
            </w:pPr>
            <w:r w:rsidRPr="00982EC0">
              <w:t>4</w:t>
            </w:r>
          </w:p>
        </w:tc>
        <w:tc>
          <w:tcPr>
            <w:tcW w:w="1075" w:type="dxa"/>
            <w:gridSpan w:val="2"/>
            <w:shd w:val="clear" w:color="auto" w:fill="auto"/>
            <w:noWrap/>
            <w:vAlign w:val="bottom"/>
            <w:hideMark/>
          </w:tcPr>
          <w:p w:rsidR="00982EC0" w:rsidRPr="00982EC0" w:rsidRDefault="00982EC0" w:rsidP="00982EC0">
            <w:pPr>
              <w:pStyle w:val="AERtabletextleft"/>
            </w:pPr>
          </w:p>
        </w:tc>
        <w:tc>
          <w:tcPr>
            <w:tcW w:w="1075" w:type="dxa"/>
            <w:shd w:val="clear" w:color="auto" w:fill="auto"/>
            <w:noWrap/>
            <w:vAlign w:val="bottom"/>
            <w:hideMark/>
          </w:tcPr>
          <w:p w:rsidR="00982EC0" w:rsidRPr="00982EC0" w:rsidRDefault="00982EC0" w:rsidP="00982EC0">
            <w:pPr>
              <w:pStyle w:val="AERtabletextleft"/>
            </w:pPr>
            <w:r w:rsidRPr="00982EC0">
              <w:t> </w:t>
            </w:r>
          </w:p>
        </w:tc>
        <w:tc>
          <w:tcPr>
            <w:tcW w:w="1075" w:type="dxa"/>
            <w:shd w:val="clear" w:color="auto" w:fill="auto"/>
            <w:noWrap/>
            <w:vAlign w:val="bottom"/>
            <w:hideMark/>
          </w:tcPr>
          <w:p w:rsidR="00982EC0" w:rsidRPr="00982EC0" w:rsidRDefault="00982EC0" w:rsidP="00982EC0">
            <w:pPr>
              <w:pStyle w:val="AERtabletextleft"/>
            </w:pPr>
          </w:p>
        </w:tc>
        <w:tc>
          <w:tcPr>
            <w:tcW w:w="1077" w:type="dxa"/>
            <w:gridSpan w:val="2"/>
            <w:tcBorders>
              <w:right w:val="single" w:sz="12" w:space="0" w:color="auto"/>
            </w:tcBorders>
            <w:shd w:val="clear" w:color="auto" w:fill="auto"/>
            <w:noWrap/>
            <w:vAlign w:val="bottom"/>
            <w:hideMark/>
          </w:tcPr>
          <w:p w:rsidR="00982EC0" w:rsidRPr="00982EC0" w:rsidRDefault="00982EC0" w:rsidP="00982EC0">
            <w:pPr>
              <w:pStyle w:val="AERtabletextleft"/>
            </w:pPr>
            <w:r w:rsidRPr="00982EC0">
              <w:t> </w:t>
            </w:r>
          </w:p>
        </w:tc>
      </w:tr>
      <w:tr w:rsidR="00982EC0" w:rsidRPr="0081390E" w:rsidTr="00982EC0">
        <w:trPr>
          <w:gridAfter w:val="1"/>
          <w:wAfter w:w="7" w:type="dxa"/>
          <w:trHeight w:val="255"/>
        </w:trPr>
        <w:tc>
          <w:tcPr>
            <w:tcW w:w="3142" w:type="dxa"/>
            <w:tcBorders>
              <w:left w:val="single" w:sz="12" w:space="0" w:color="auto"/>
              <w:right w:val="single" w:sz="12" w:space="0" w:color="auto"/>
            </w:tcBorders>
            <w:shd w:val="clear" w:color="auto" w:fill="auto"/>
            <w:noWrap/>
            <w:vAlign w:val="bottom"/>
            <w:hideMark/>
          </w:tcPr>
          <w:p w:rsidR="00982EC0" w:rsidRPr="00982EC0" w:rsidRDefault="00982EC0" w:rsidP="00982EC0">
            <w:pPr>
              <w:pStyle w:val="AERtabletextleft"/>
            </w:pPr>
            <w:r w:rsidRPr="00982EC0">
              <w:t xml:space="preserve">        Excluded</w:t>
            </w:r>
          </w:p>
        </w:tc>
        <w:tc>
          <w:tcPr>
            <w:tcW w:w="1076" w:type="dxa"/>
            <w:tcBorders>
              <w:left w:val="single" w:sz="12" w:space="0" w:color="auto"/>
            </w:tcBorders>
            <w:shd w:val="clear" w:color="auto" w:fill="D9D9D9"/>
          </w:tcPr>
          <w:p w:rsidR="00982EC0" w:rsidRPr="00982EC0" w:rsidRDefault="00982EC0" w:rsidP="00982EC0">
            <w:pPr>
              <w:pStyle w:val="AERtabletextleft"/>
            </w:pPr>
          </w:p>
        </w:tc>
        <w:tc>
          <w:tcPr>
            <w:tcW w:w="928" w:type="dxa"/>
            <w:tcBorders>
              <w:right w:val="single" w:sz="12" w:space="0" w:color="auto"/>
            </w:tcBorders>
            <w:shd w:val="clear" w:color="auto" w:fill="D9D9D9"/>
            <w:noWrap/>
            <w:vAlign w:val="bottom"/>
            <w:hideMark/>
          </w:tcPr>
          <w:p w:rsidR="00982EC0" w:rsidRPr="00982EC0" w:rsidRDefault="00982EC0" w:rsidP="00982EC0">
            <w:pPr>
              <w:pStyle w:val="AERtabletextleft"/>
            </w:pPr>
          </w:p>
        </w:tc>
        <w:tc>
          <w:tcPr>
            <w:tcW w:w="1076" w:type="dxa"/>
            <w:tcBorders>
              <w:left w:val="single" w:sz="12" w:space="0" w:color="auto"/>
            </w:tcBorders>
            <w:vAlign w:val="bottom"/>
          </w:tcPr>
          <w:p w:rsidR="00982EC0" w:rsidRPr="00982EC0" w:rsidRDefault="00982EC0" w:rsidP="00982EC0">
            <w:pPr>
              <w:pStyle w:val="AERtabletextleft"/>
            </w:pPr>
            <w:r w:rsidRPr="00982EC0">
              <w:t>23</w:t>
            </w:r>
          </w:p>
        </w:tc>
        <w:tc>
          <w:tcPr>
            <w:tcW w:w="1273" w:type="dxa"/>
            <w:shd w:val="clear" w:color="auto" w:fill="auto"/>
            <w:noWrap/>
            <w:vAlign w:val="bottom"/>
            <w:hideMark/>
          </w:tcPr>
          <w:p w:rsidR="00982EC0" w:rsidRPr="00982EC0" w:rsidRDefault="00982EC0" w:rsidP="00982EC0">
            <w:pPr>
              <w:pStyle w:val="AERtabletextleft"/>
            </w:pPr>
            <w:r w:rsidRPr="00982EC0">
              <w:t>29</w:t>
            </w:r>
          </w:p>
        </w:tc>
        <w:tc>
          <w:tcPr>
            <w:tcW w:w="1075" w:type="dxa"/>
            <w:shd w:val="clear" w:color="auto" w:fill="auto"/>
            <w:noWrap/>
            <w:vAlign w:val="bottom"/>
            <w:hideMark/>
          </w:tcPr>
          <w:p w:rsidR="00982EC0" w:rsidRPr="00982EC0" w:rsidRDefault="00982EC0" w:rsidP="00982EC0">
            <w:pPr>
              <w:pStyle w:val="AERtabletextleft"/>
            </w:pPr>
            <w:r w:rsidRPr="00982EC0">
              <w:t>4</w:t>
            </w:r>
          </w:p>
        </w:tc>
        <w:tc>
          <w:tcPr>
            <w:tcW w:w="1075" w:type="dxa"/>
            <w:gridSpan w:val="2"/>
            <w:shd w:val="clear" w:color="auto" w:fill="auto"/>
            <w:noWrap/>
            <w:vAlign w:val="bottom"/>
            <w:hideMark/>
          </w:tcPr>
          <w:p w:rsidR="00982EC0" w:rsidRPr="00982EC0" w:rsidRDefault="00982EC0" w:rsidP="00982EC0">
            <w:pPr>
              <w:pStyle w:val="AERtabletextleft"/>
            </w:pPr>
          </w:p>
        </w:tc>
        <w:tc>
          <w:tcPr>
            <w:tcW w:w="1075" w:type="dxa"/>
            <w:shd w:val="clear" w:color="auto" w:fill="auto"/>
            <w:noWrap/>
            <w:vAlign w:val="bottom"/>
            <w:hideMark/>
          </w:tcPr>
          <w:p w:rsidR="00982EC0" w:rsidRPr="00982EC0" w:rsidRDefault="00982EC0" w:rsidP="00982EC0">
            <w:pPr>
              <w:pStyle w:val="AERtabletextleft"/>
            </w:pPr>
            <w:r w:rsidRPr="00982EC0">
              <w:t> </w:t>
            </w:r>
          </w:p>
        </w:tc>
        <w:tc>
          <w:tcPr>
            <w:tcW w:w="1075" w:type="dxa"/>
            <w:shd w:val="clear" w:color="auto" w:fill="auto"/>
            <w:noWrap/>
            <w:vAlign w:val="bottom"/>
            <w:hideMark/>
          </w:tcPr>
          <w:p w:rsidR="00982EC0" w:rsidRPr="00982EC0" w:rsidRDefault="00982EC0" w:rsidP="00982EC0">
            <w:pPr>
              <w:pStyle w:val="AERtabletextleft"/>
            </w:pPr>
          </w:p>
        </w:tc>
        <w:tc>
          <w:tcPr>
            <w:tcW w:w="1077" w:type="dxa"/>
            <w:gridSpan w:val="2"/>
            <w:tcBorders>
              <w:right w:val="single" w:sz="12" w:space="0" w:color="auto"/>
            </w:tcBorders>
            <w:shd w:val="clear" w:color="auto" w:fill="auto"/>
            <w:noWrap/>
            <w:vAlign w:val="bottom"/>
            <w:hideMark/>
          </w:tcPr>
          <w:p w:rsidR="00982EC0" w:rsidRPr="00982EC0" w:rsidRDefault="00982EC0" w:rsidP="00982EC0">
            <w:pPr>
              <w:pStyle w:val="AERtabletextleft"/>
            </w:pPr>
            <w:r w:rsidRPr="00982EC0">
              <w:t> </w:t>
            </w:r>
          </w:p>
        </w:tc>
      </w:tr>
      <w:tr w:rsidR="00982EC0" w:rsidRPr="0081390E" w:rsidTr="00982EC0">
        <w:trPr>
          <w:gridAfter w:val="1"/>
          <w:wAfter w:w="7" w:type="dxa"/>
          <w:trHeight w:val="255"/>
        </w:trPr>
        <w:tc>
          <w:tcPr>
            <w:tcW w:w="3142" w:type="dxa"/>
            <w:tcBorders>
              <w:left w:val="single" w:sz="12" w:space="0" w:color="auto"/>
              <w:right w:val="single" w:sz="12" w:space="0" w:color="auto"/>
            </w:tcBorders>
            <w:shd w:val="clear" w:color="auto" w:fill="auto"/>
            <w:noWrap/>
            <w:vAlign w:val="bottom"/>
            <w:hideMark/>
          </w:tcPr>
          <w:p w:rsidR="00982EC0" w:rsidRPr="00982EC0" w:rsidRDefault="00982EC0" w:rsidP="00982EC0">
            <w:pPr>
              <w:pStyle w:val="AERtabletextleft"/>
            </w:pPr>
            <w:r w:rsidRPr="00982EC0">
              <w:t xml:space="preserve">        Transferred</w:t>
            </w:r>
          </w:p>
        </w:tc>
        <w:tc>
          <w:tcPr>
            <w:tcW w:w="1076" w:type="dxa"/>
            <w:tcBorders>
              <w:left w:val="single" w:sz="12" w:space="0" w:color="auto"/>
            </w:tcBorders>
            <w:shd w:val="clear" w:color="auto" w:fill="D9D9D9"/>
          </w:tcPr>
          <w:p w:rsidR="00982EC0" w:rsidRPr="00982EC0" w:rsidRDefault="00982EC0" w:rsidP="00982EC0">
            <w:pPr>
              <w:pStyle w:val="AERtabletextleft"/>
            </w:pPr>
          </w:p>
        </w:tc>
        <w:tc>
          <w:tcPr>
            <w:tcW w:w="928" w:type="dxa"/>
            <w:tcBorders>
              <w:right w:val="single" w:sz="12" w:space="0" w:color="auto"/>
            </w:tcBorders>
            <w:shd w:val="clear" w:color="auto" w:fill="D9D9D9"/>
            <w:noWrap/>
            <w:vAlign w:val="bottom"/>
            <w:hideMark/>
          </w:tcPr>
          <w:p w:rsidR="00982EC0" w:rsidRPr="00982EC0" w:rsidRDefault="00982EC0" w:rsidP="00982EC0">
            <w:pPr>
              <w:pStyle w:val="AERtabletextleft"/>
            </w:pPr>
          </w:p>
        </w:tc>
        <w:tc>
          <w:tcPr>
            <w:tcW w:w="1076" w:type="dxa"/>
            <w:tcBorders>
              <w:left w:val="single" w:sz="12" w:space="0" w:color="auto"/>
            </w:tcBorders>
            <w:vAlign w:val="bottom"/>
          </w:tcPr>
          <w:p w:rsidR="00982EC0" w:rsidRPr="00982EC0" w:rsidRDefault="00982EC0" w:rsidP="00982EC0">
            <w:pPr>
              <w:pStyle w:val="AERtabletextleft"/>
            </w:pPr>
            <w:r w:rsidRPr="00982EC0">
              <w:t>3</w:t>
            </w:r>
          </w:p>
        </w:tc>
        <w:tc>
          <w:tcPr>
            <w:tcW w:w="1273" w:type="dxa"/>
            <w:shd w:val="clear" w:color="auto" w:fill="auto"/>
            <w:noWrap/>
            <w:vAlign w:val="bottom"/>
            <w:hideMark/>
          </w:tcPr>
          <w:p w:rsidR="00982EC0" w:rsidRPr="00982EC0" w:rsidRDefault="00982EC0" w:rsidP="00982EC0">
            <w:pPr>
              <w:pStyle w:val="AERtabletextleft"/>
            </w:pPr>
            <w:r w:rsidRPr="00982EC0">
              <w:t>25</w:t>
            </w:r>
          </w:p>
        </w:tc>
        <w:tc>
          <w:tcPr>
            <w:tcW w:w="1075" w:type="dxa"/>
            <w:shd w:val="clear" w:color="auto" w:fill="auto"/>
            <w:noWrap/>
            <w:vAlign w:val="bottom"/>
            <w:hideMark/>
          </w:tcPr>
          <w:p w:rsidR="00982EC0" w:rsidRPr="00982EC0" w:rsidRDefault="00982EC0" w:rsidP="00982EC0">
            <w:pPr>
              <w:pStyle w:val="AERtabletextleft"/>
            </w:pPr>
            <w:r w:rsidRPr="00982EC0">
              <w:t>0</w:t>
            </w:r>
          </w:p>
        </w:tc>
        <w:tc>
          <w:tcPr>
            <w:tcW w:w="1075" w:type="dxa"/>
            <w:gridSpan w:val="2"/>
            <w:shd w:val="clear" w:color="auto" w:fill="auto"/>
            <w:noWrap/>
            <w:vAlign w:val="bottom"/>
            <w:hideMark/>
          </w:tcPr>
          <w:p w:rsidR="00982EC0" w:rsidRPr="00982EC0" w:rsidRDefault="00982EC0" w:rsidP="00982EC0">
            <w:pPr>
              <w:pStyle w:val="AERtabletextleft"/>
            </w:pPr>
          </w:p>
        </w:tc>
        <w:tc>
          <w:tcPr>
            <w:tcW w:w="1075" w:type="dxa"/>
            <w:shd w:val="clear" w:color="auto" w:fill="auto"/>
            <w:noWrap/>
            <w:vAlign w:val="bottom"/>
            <w:hideMark/>
          </w:tcPr>
          <w:p w:rsidR="00982EC0" w:rsidRPr="00982EC0" w:rsidRDefault="00982EC0" w:rsidP="00982EC0">
            <w:pPr>
              <w:pStyle w:val="AERtabletextleft"/>
            </w:pPr>
            <w:r w:rsidRPr="00982EC0">
              <w:t> </w:t>
            </w:r>
          </w:p>
        </w:tc>
        <w:tc>
          <w:tcPr>
            <w:tcW w:w="1075" w:type="dxa"/>
            <w:shd w:val="clear" w:color="auto" w:fill="auto"/>
            <w:noWrap/>
            <w:vAlign w:val="bottom"/>
            <w:hideMark/>
          </w:tcPr>
          <w:p w:rsidR="00982EC0" w:rsidRPr="00982EC0" w:rsidRDefault="00982EC0" w:rsidP="00982EC0">
            <w:pPr>
              <w:pStyle w:val="AERtabletextleft"/>
            </w:pPr>
          </w:p>
        </w:tc>
        <w:tc>
          <w:tcPr>
            <w:tcW w:w="1077" w:type="dxa"/>
            <w:gridSpan w:val="2"/>
            <w:tcBorders>
              <w:right w:val="single" w:sz="12" w:space="0" w:color="auto"/>
            </w:tcBorders>
            <w:shd w:val="clear" w:color="auto" w:fill="auto"/>
            <w:noWrap/>
            <w:vAlign w:val="bottom"/>
            <w:hideMark/>
          </w:tcPr>
          <w:p w:rsidR="00982EC0" w:rsidRPr="00982EC0" w:rsidRDefault="00982EC0" w:rsidP="00982EC0">
            <w:pPr>
              <w:pStyle w:val="AERtabletextleft"/>
            </w:pPr>
            <w:r w:rsidRPr="00982EC0">
              <w:t> </w:t>
            </w:r>
          </w:p>
        </w:tc>
      </w:tr>
      <w:tr w:rsidR="00982EC0" w:rsidRPr="0081390E" w:rsidTr="00982EC0">
        <w:trPr>
          <w:gridAfter w:val="1"/>
          <w:wAfter w:w="7" w:type="dxa"/>
          <w:trHeight w:val="255"/>
        </w:trPr>
        <w:tc>
          <w:tcPr>
            <w:tcW w:w="3142" w:type="dxa"/>
            <w:tcBorders>
              <w:left w:val="single" w:sz="12" w:space="0" w:color="auto"/>
              <w:right w:val="single" w:sz="12" w:space="0" w:color="auto"/>
            </w:tcBorders>
            <w:shd w:val="clear" w:color="auto" w:fill="auto"/>
            <w:noWrap/>
            <w:vAlign w:val="bottom"/>
            <w:hideMark/>
          </w:tcPr>
          <w:p w:rsidR="00982EC0" w:rsidRPr="00982EC0" w:rsidRDefault="00982EC0" w:rsidP="00982EC0">
            <w:pPr>
              <w:pStyle w:val="AERtabletextleft"/>
            </w:pPr>
            <w:r w:rsidRPr="00982EC0">
              <w:t xml:space="preserve">     Gas</w:t>
            </w:r>
          </w:p>
        </w:tc>
        <w:tc>
          <w:tcPr>
            <w:tcW w:w="1076" w:type="dxa"/>
            <w:tcBorders>
              <w:left w:val="single" w:sz="12" w:space="0" w:color="auto"/>
            </w:tcBorders>
            <w:shd w:val="clear" w:color="auto" w:fill="D9D9D9"/>
          </w:tcPr>
          <w:p w:rsidR="00982EC0" w:rsidRPr="00982EC0" w:rsidRDefault="00982EC0" w:rsidP="00982EC0">
            <w:pPr>
              <w:pStyle w:val="AERtabletextleft"/>
            </w:pPr>
          </w:p>
        </w:tc>
        <w:tc>
          <w:tcPr>
            <w:tcW w:w="928" w:type="dxa"/>
            <w:tcBorders>
              <w:right w:val="single" w:sz="12" w:space="0" w:color="auto"/>
            </w:tcBorders>
            <w:shd w:val="clear" w:color="auto" w:fill="D9D9D9"/>
            <w:noWrap/>
            <w:vAlign w:val="bottom"/>
            <w:hideMark/>
          </w:tcPr>
          <w:p w:rsidR="00982EC0" w:rsidRPr="00982EC0" w:rsidRDefault="00982EC0" w:rsidP="00982EC0">
            <w:pPr>
              <w:pStyle w:val="AERtabletextleft"/>
            </w:pPr>
            <w:r w:rsidRPr="00982EC0">
              <w:t> </w:t>
            </w:r>
          </w:p>
        </w:tc>
        <w:tc>
          <w:tcPr>
            <w:tcW w:w="1076" w:type="dxa"/>
            <w:tcBorders>
              <w:left w:val="single" w:sz="12" w:space="0" w:color="auto"/>
            </w:tcBorders>
            <w:vAlign w:val="bottom"/>
          </w:tcPr>
          <w:p w:rsidR="00982EC0" w:rsidRPr="00982EC0" w:rsidRDefault="00982EC0" w:rsidP="00982EC0">
            <w:pPr>
              <w:pStyle w:val="AERtabletextleft"/>
            </w:pPr>
            <w:r w:rsidRPr="00982EC0">
              <w:t> </w:t>
            </w:r>
          </w:p>
        </w:tc>
        <w:tc>
          <w:tcPr>
            <w:tcW w:w="1273" w:type="dxa"/>
            <w:shd w:val="clear" w:color="auto" w:fill="auto"/>
            <w:noWrap/>
            <w:vAlign w:val="bottom"/>
            <w:hideMark/>
          </w:tcPr>
          <w:p w:rsidR="00982EC0" w:rsidRPr="00982EC0" w:rsidRDefault="00982EC0" w:rsidP="00982EC0">
            <w:pPr>
              <w:pStyle w:val="AERtabletextleft"/>
            </w:pPr>
          </w:p>
        </w:tc>
        <w:tc>
          <w:tcPr>
            <w:tcW w:w="1075" w:type="dxa"/>
            <w:shd w:val="clear" w:color="auto" w:fill="auto"/>
            <w:noWrap/>
            <w:vAlign w:val="bottom"/>
            <w:hideMark/>
          </w:tcPr>
          <w:p w:rsidR="00982EC0" w:rsidRPr="00982EC0" w:rsidRDefault="00982EC0" w:rsidP="00982EC0">
            <w:pPr>
              <w:pStyle w:val="AERtabletextleft"/>
            </w:pPr>
            <w:r w:rsidRPr="00982EC0">
              <w:t> </w:t>
            </w:r>
          </w:p>
        </w:tc>
        <w:tc>
          <w:tcPr>
            <w:tcW w:w="1075" w:type="dxa"/>
            <w:gridSpan w:val="2"/>
            <w:shd w:val="clear" w:color="auto" w:fill="auto"/>
            <w:noWrap/>
            <w:vAlign w:val="bottom"/>
            <w:hideMark/>
          </w:tcPr>
          <w:p w:rsidR="00982EC0" w:rsidRPr="00982EC0" w:rsidRDefault="00982EC0" w:rsidP="00982EC0">
            <w:pPr>
              <w:pStyle w:val="AERtabletextleft"/>
            </w:pPr>
          </w:p>
        </w:tc>
        <w:tc>
          <w:tcPr>
            <w:tcW w:w="1075" w:type="dxa"/>
            <w:shd w:val="clear" w:color="auto" w:fill="auto"/>
            <w:noWrap/>
            <w:vAlign w:val="bottom"/>
            <w:hideMark/>
          </w:tcPr>
          <w:p w:rsidR="00982EC0" w:rsidRPr="00982EC0" w:rsidRDefault="00982EC0" w:rsidP="00982EC0">
            <w:pPr>
              <w:pStyle w:val="AERtabletextleft"/>
            </w:pPr>
            <w:r w:rsidRPr="00982EC0">
              <w:t> </w:t>
            </w:r>
          </w:p>
        </w:tc>
        <w:tc>
          <w:tcPr>
            <w:tcW w:w="1075" w:type="dxa"/>
            <w:shd w:val="clear" w:color="auto" w:fill="auto"/>
            <w:noWrap/>
            <w:vAlign w:val="bottom"/>
            <w:hideMark/>
          </w:tcPr>
          <w:p w:rsidR="00982EC0" w:rsidRPr="00982EC0" w:rsidRDefault="00982EC0" w:rsidP="00982EC0">
            <w:pPr>
              <w:pStyle w:val="AERtabletextleft"/>
            </w:pPr>
          </w:p>
        </w:tc>
        <w:tc>
          <w:tcPr>
            <w:tcW w:w="1077" w:type="dxa"/>
            <w:gridSpan w:val="2"/>
            <w:tcBorders>
              <w:right w:val="single" w:sz="12" w:space="0" w:color="auto"/>
            </w:tcBorders>
            <w:shd w:val="clear" w:color="auto" w:fill="auto"/>
            <w:noWrap/>
            <w:vAlign w:val="bottom"/>
            <w:hideMark/>
          </w:tcPr>
          <w:p w:rsidR="00982EC0" w:rsidRPr="00982EC0" w:rsidRDefault="00982EC0" w:rsidP="00982EC0">
            <w:pPr>
              <w:pStyle w:val="AERtabletextleft"/>
            </w:pPr>
            <w:r w:rsidRPr="00982EC0">
              <w:t> </w:t>
            </w:r>
          </w:p>
        </w:tc>
      </w:tr>
      <w:tr w:rsidR="00982EC0" w:rsidRPr="0081390E" w:rsidTr="00982EC0">
        <w:trPr>
          <w:gridAfter w:val="1"/>
          <w:wAfter w:w="7" w:type="dxa"/>
          <w:trHeight w:val="255"/>
        </w:trPr>
        <w:tc>
          <w:tcPr>
            <w:tcW w:w="3142" w:type="dxa"/>
            <w:tcBorders>
              <w:left w:val="single" w:sz="12" w:space="0" w:color="auto"/>
              <w:right w:val="single" w:sz="12" w:space="0" w:color="auto"/>
            </w:tcBorders>
            <w:shd w:val="clear" w:color="auto" w:fill="auto"/>
            <w:noWrap/>
            <w:vAlign w:val="bottom"/>
            <w:hideMark/>
          </w:tcPr>
          <w:p w:rsidR="00982EC0" w:rsidRPr="00982EC0" w:rsidRDefault="00982EC0" w:rsidP="00982EC0">
            <w:pPr>
              <w:pStyle w:val="AERtabletextleft"/>
            </w:pPr>
            <w:r w:rsidRPr="00982EC0">
              <w:t xml:space="preserve">        Successfully completed</w:t>
            </w:r>
          </w:p>
        </w:tc>
        <w:tc>
          <w:tcPr>
            <w:tcW w:w="1076" w:type="dxa"/>
            <w:tcBorders>
              <w:left w:val="single" w:sz="12" w:space="0" w:color="auto"/>
            </w:tcBorders>
            <w:shd w:val="clear" w:color="auto" w:fill="D9D9D9"/>
          </w:tcPr>
          <w:p w:rsidR="00982EC0" w:rsidRPr="00982EC0" w:rsidRDefault="00982EC0" w:rsidP="00982EC0">
            <w:pPr>
              <w:pStyle w:val="AERtabletextleft"/>
            </w:pPr>
          </w:p>
        </w:tc>
        <w:tc>
          <w:tcPr>
            <w:tcW w:w="928" w:type="dxa"/>
            <w:tcBorders>
              <w:right w:val="single" w:sz="12" w:space="0" w:color="auto"/>
            </w:tcBorders>
            <w:shd w:val="clear" w:color="auto" w:fill="D9D9D9"/>
            <w:noWrap/>
            <w:vAlign w:val="bottom"/>
            <w:hideMark/>
          </w:tcPr>
          <w:p w:rsidR="00982EC0" w:rsidRPr="00982EC0" w:rsidRDefault="00982EC0" w:rsidP="00982EC0">
            <w:pPr>
              <w:pStyle w:val="AERtabletextleft"/>
            </w:pPr>
            <w:r w:rsidRPr="00982EC0">
              <w:t> </w:t>
            </w:r>
          </w:p>
        </w:tc>
        <w:tc>
          <w:tcPr>
            <w:tcW w:w="1076" w:type="dxa"/>
            <w:tcBorders>
              <w:left w:val="single" w:sz="12" w:space="0" w:color="auto"/>
            </w:tcBorders>
            <w:vAlign w:val="bottom"/>
          </w:tcPr>
          <w:p w:rsidR="00982EC0" w:rsidRPr="00982EC0" w:rsidRDefault="00982EC0" w:rsidP="00982EC0">
            <w:pPr>
              <w:pStyle w:val="AERtabletextleft"/>
            </w:pPr>
            <w:r w:rsidRPr="00982EC0">
              <w:t> </w:t>
            </w:r>
          </w:p>
        </w:tc>
        <w:tc>
          <w:tcPr>
            <w:tcW w:w="1273" w:type="dxa"/>
            <w:shd w:val="clear" w:color="auto" w:fill="auto"/>
            <w:noWrap/>
            <w:vAlign w:val="bottom"/>
            <w:hideMark/>
          </w:tcPr>
          <w:p w:rsidR="00982EC0" w:rsidRPr="00982EC0" w:rsidRDefault="00982EC0" w:rsidP="00982EC0">
            <w:pPr>
              <w:pStyle w:val="AERtabletextleft"/>
            </w:pPr>
            <w:r w:rsidRPr="00982EC0">
              <w:t>3</w:t>
            </w:r>
          </w:p>
        </w:tc>
        <w:tc>
          <w:tcPr>
            <w:tcW w:w="1075" w:type="dxa"/>
            <w:shd w:val="clear" w:color="auto" w:fill="auto"/>
            <w:noWrap/>
            <w:vAlign w:val="bottom"/>
            <w:hideMark/>
          </w:tcPr>
          <w:p w:rsidR="00982EC0" w:rsidRPr="00982EC0" w:rsidRDefault="00982EC0" w:rsidP="00982EC0">
            <w:pPr>
              <w:pStyle w:val="AERtabletextleft"/>
            </w:pPr>
            <w:r w:rsidRPr="00982EC0">
              <w:t>2</w:t>
            </w:r>
          </w:p>
        </w:tc>
        <w:tc>
          <w:tcPr>
            <w:tcW w:w="1075" w:type="dxa"/>
            <w:gridSpan w:val="2"/>
            <w:shd w:val="clear" w:color="auto" w:fill="auto"/>
            <w:noWrap/>
            <w:vAlign w:val="bottom"/>
            <w:hideMark/>
          </w:tcPr>
          <w:p w:rsidR="00982EC0" w:rsidRPr="00982EC0" w:rsidRDefault="00982EC0" w:rsidP="00982EC0">
            <w:pPr>
              <w:pStyle w:val="AERtabletextleft"/>
            </w:pPr>
          </w:p>
        </w:tc>
        <w:tc>
          <w:tcPr>
            <w:tcW w:w="1075" w:type="dxa"/>
            <w:shd w:val="clear" w:color="auto" w:fill="auto"/>
            <w:noWrap/>
            <w:vAlign w:val="bottom"/>
            <w:hideMark/>
          </w:tcPr>
          <w:p w:rsidR="00982EC0" w:rsidRPr="00982EC0" w:rsidRDefault="00982EC0" w:rsidP="00982EC0">
            <w:pPr>
              <w:pStyle w:val="AERtabletextleft"/>
            </w:pPr>
            <w:r w:rsidRPr="00982EC0">
              <w:t> </w:t>
            </w:r>
          </w:p>
        </w:tc>
        <w:tc>
          <w:tcPr>
            <w:tcW w:w="1075" w:type="dxa"/>
            <w:shd w:val="clear" w:color="auto" w:fill="auto"/>
            <w:noWrap/>
            <w:vAlign w:val="bottom"/>
            <w:hideMark/>
          </w:tcPr>
          <w:p w:rsidR="00982EC0" w:rsidRPr="00982EC0" w:rsidRDefault="00982EC0" w:rsidP="00982EC0">
            <w:pPr>
              <w:pStyle w:val="AERtabletextleft"/>
            </w:pPr>
          </w:p>
        </w:tc>
        <w:tc>
          <w:tcPr>
            <w:tcW w:w="1077" w:type="dxa"/>
            <w:gridSpan w:val="2"/>
            <w:tcBorders>
              <w:right w:val="single" w:sz="12" w:space="0" w:color="auto"/>
            </w:tcBorders>
            <w:shd w:val="clear" w:color="auto" w:fill="auto"/>
            <w:noWrap/>
            <w:vAlign w:val="bottom"/>
            <w:hideMark/>
          </w:tcPr>
          <w:p w:rsidR="00982EC0" w:rsidRPr="00982EC0" w:rsidRDefault="00982EC0" w:rsidP="00982EC0">
            <w:pPr>
              <w:pStyle w:val="AERtabletextleft"/>
            </w:pPr>
            <w:r w:rsidRPr="00982EC0">
              <w:t> </w:t>
            </w:r>
          </w:p>
        </w:tc>
      </w:tr>
      <w:tr w:rsidR="00982EC0" w:rsidRPr="0081390E" w:rsidTr="00982EC0">
        <w:trPr>
          <w:gridAfter w:val="1"/>
          <w:wAfter w:w="7" w:type="dxa"/>
          <w:trHeight w:val="255"/>
        </w:trPr>
        <w:tc>
          <w:tcPr>
            <w:tcW w:w="3142" w:type="dxa"/>
            <w:tcBorders>
              <w:left w:val="single" w:sz="12" w:space="0" w:color="auto"/>
              <w:right w:val="single" w:sz="12" w:space="0" w:color="auto"/>
            </w:tcBorders>
            <w:shd w:val="clear" w:color="auto" w:fill="auto"/>
            <w:noWrap/>
            <w:vAlign w:val="bottom"/>
            <w:hideMark/>
          </w:tcPr>
          <w:p w:rsidR="00982EC0" w:rsidRPr="00982EC0" w:rsidRDefault="00982EC0" w:rsidP="00982EC0">
            <w:pPr>
              <w:pStyle w:val="AERtabletextleft"/>
            </w:pPr>
            <w:r w:rsidRPr="00982EC0">
              <w:t xml:space="preserve">        Excluded</w:t>
            </w:r>
          </w:p>
        </w:tc>
        <w:tc>
          <w:tcPr>
            <w:tcW w:w="1076" w:type="dxa"/>
            <w:tcBorders>
              <w:left w:val="single" w:sz="12" w:space="0" w:color="auto"/>
            </w:tcBorders>
            <w:shd w:val="clear" w:color="auto" w:fill="D9D9D9"/>
          </w:tcPr>
          <w:p w:rsidR="00982EC0" w:rsidRPr="00982EC0" w:rsidRDefault="00982EC0" w:rsidP="00982EC0">
            <w:pPr>
              <w:pStyle w:val="AERtabletextleft"/>
            </w:pPr>
          </w:p>
        </w:tc>
        <w:tc>
          <w:tcPr>
            <w:tcW w:w="928" w:type="dxa"/>
            <w:tcBorders>
              <w:right w:val="single" w:sz="12" w:space="0" w:color="auto"/>
            </w:tcBorders>
            <w:shd w:val="clear" w:color="auto" w:fill="D9D9D9"/>
            <w:noWrap/>
            <w:vAlign w:val="bottom"/>
            <w:hideMark/>
          </w:tcPr>
          <w:p w:rsidR="00982EC0" w:rsidRPr="00982EC0" w:rsidRDefault="00982EC0" w:rsidP="00982EC0">
            <w:pPr>
              <w:pStyle w:val="AERtabletextleft"/>
            </w:pPr>
            <w:r w:rsidRPr="00982EC0">
              <w:t> </w:t>
            </w:r>
          </w:p>
        </w:tc>
        <w:tc>
          <w:tcPr>
            <w:tcW w:w="1076" w:type="dxa"/>
            <w:tcBorders>
              <w:left w:val="single" w:sz="12" w:space="0" w:color="auto"/>
            </w:tcBorders>
          </w:tcPr>
          <w:p w:rsidR="00982EC0" w:rsidRPr="00982EC0" w:rsidRDefault="00982EC0" w:rsidP="00982EC0">
            <w:pPr>
              <w:pStyle w:val="AERtabletextleft"/>
            </w:pPr>
          </w:p>
        </w:tc>
        <w:tc>
          <w:tcPr>
            <w:tcW w:w="1273" w:type="dxa"/>
            <w:shd w:val="clear" w:color="auto" w:fill="auto"/>
            <w:noWrap/>
            <w:vAlign w:val="bottom"/>
            <w:hideMark/>
          </w:tcPr>
          <w:p w:rsidR="00982EC0" w:rsidRPr="00982EC0" w:rsidRDefault="00982EC0" w:rsidP="00982EC0">
            <w:pPr>
              <w:pStyle w:val="AERtabletextleft"/>
            </w:pPr>
            <w:r w:rsidRPr="00982EC0">
              <w:t>11</w:t>
            </w:r>
          </w:p>
        </w:tc>
        <w:tc>
          <w:tcPr>
            <w:tcW w:w="1075" w:type="dxa"/>
            <w:shd w:val="clear" w:color="auto" w:fill="auto"/>
            <w:noWrap/>
            <w:vAlign w:val="bottom"/>
            <w:hideMark/>
          </w:tcPr>
          <w:p w:rsidR="00982EC0" w:rsidRPr="00982EC0" w:rsidRDefault="00982EC0" w:rsidP="00982EC0">
            <w:pPr>
              <w:pStyle w:val="AERtabletextleft"/>
            </w:pPr>
            <w:r w:rsidRPr="00982EC0">
              <w:t>4</w:t>
            </w:r>
          </w:p>
        </w:tc>
        <w:tc>
          <w:tcPr>
            <w:tcW w:w="1075" w:type="dxa"/>
            <w:gridSpan w:val="2"/>
            <w:shd w:val="clear" w:color="auto" w:fill="auto"/>
            <w:noWrap/>
            <w:vAlign w:val="bottom"/>
            <w:hideMark/>
          </w:tcPr>
          <w:p w:rsidR="00982EC0" w:rsidRPr="00982EC0" w:rsidRDefault="00982EC0" w:rsidP="00982EC0">
            <w:pPr>
              <w:pStyle w:val="AERtabletextleft"/>
            </w:pPr>
          </w:p>
        </w:tc>
        <w:tc>
          <w:tcPr>
            <w:tcW w:w="1075" w:type="dxa"/>
            <w:shd w:val="clear" w:color="auto" w:fill="auto"/>
            <w:noWrap/>
            <w:vAlign w:val="bottom"/>
            <w:hideMark/>
          </w:tcPr>
          <w:p w:rsidR="00982EC0" w:rsidRPr="00982EC0" w:rsidRDefault="00982EC0" w:rsidP="00982EC0">
            <w:pPr>
              <w:pStyle w:val="AERtabletextleft"/>
            </w:pPr>
            <w:r w:rsidRPr="00982EC0">
              <w:t> </w:t>
            </w:r>
          </w:p>
        </w:tc>
        <w:tc>
          <w:tcPr>
            <w:tcW w:w="1075" w:type="dxa"/>
            <w:shd w:val="clear" w:color="auto" w:fill="auto"/>
            <w:noWrap/>
            <w:vAlign w:val="bottom"/>
            <w:hideMark/>
          </w:tcPr>
          <w:p w:rsidR="00982EC0" w:rsidRPr="00982EC0" w:rsidRDefault="00982EC0" w:rsidP="00982EC0">
            <w:pPr>
              <w:pStyle w:val="AERtabletextleft"/>
            </w:pPr>
          </w:p>
        </w:tc>
        <w:tc>
          <w:tcPr>
            <w:tcW w:w="1077" w:type="dxa"/>
            <w:gridSpan w:val="2"/>
            <w:tcBorders>
              <w:right w:val="single" w:sz="12" w:space="0" w:color="auto"/>
            </w:tcBorders>
            <w:shd w:val="clear" w:color="auto" w:fill="auto"/>
            <w:noWrap/>
            <w:vAlign w:val="bottom"/>
            <w:hideMark/>
          </w:tcPr>
          <w:p w:rsidR="00982EC0" w:rsidRPr="00982EC0" w:rsidRDefault="00982EC0" w:rsidP="00982EC0">
            <w:pPr>
              <w:pStyle w:val="AERtabletextleft"/>
            </w:pPr>
            <w:r w:rsidRPr="00982EC0">
              <w:t> </w:t>
            </w:r>
          </w:p>
        </w:tc>
      </w:tr>
      <w:tr w:rsidR="00982EC0" w:rsidRPr="0081390E" w:rsidTr="00982EC0">
        <w:trPr>
          <w:gridAfter w:val="1"/>
          <w:wAfter w:w="7" w:type="dxa"/>
          <w:trHeight w:val="270"/>
        </w:trPr>
        <w:tc>
          <w:tcPr>
            <w:tcW w:w="3142" w:type="dxa"/>
            <w:tcBorders>
              <w:left w:val="single" w:sz="12" w:space="0" w:color="auto"/>
              <w:bottom w:val="single" w:sz="12" w:space="0" w:color="auto"/>
              <w:right w:val="single" w:sz="12" w:space="0" w:color="auto"/>
            </w:tcBorders>
            <w:shd w:val="clear" w:color="auto" w:fill="auto"/>
            <w:noWrap/>
            <w:vAlign w:val="bottom"/>
            <w:hideMark/>
          </w:tcPr>
          <w:p w:rsidR="00982EC0" w:rsidRPr="00982EC0" w:rsidRDefault="00982EC0" w:rsidP="00982EC0">
            <w:pPr>
              <w:pStyle w:val="AERtabletextleft"/>
            </w:pPr>
            <w:r w:rsidRPr="00982EC0">
              <w:t xml:space="preserve">        Transferred</w:t>
            </w:r>
          </w:p>
        </w:tc>
        <w:tc>
          <w:tcPr>
            <w:tcW w:w="1076" w:type="dxa"/>
            <w:tcBorders>
              <w:left w:val="single" w:sz="12" w:space="0" w:color="auto"/>
              <w:bottom w:val="single" w:sz="12" w:space="0" w:color="auto"/>
            </w:tcBorders>
            <w:shd w:val="clear" w:color="auto" w:fill="D9D9D9"/>
          </w:tcPr>
          <w:p w:rsidR="00982EC0" w:rsidRPr="00982EC0" w:rsidRDefault="00982EC0" w:rsidP="00982EC0">
            <w:pPr>
              <w:pStyle w:val="AERtabletextleft"/>
            </w:pPr>
          </w:p>
        </w:tc>
        <w:tc>
          <w:tcPr>
            <w:tcW w:w="928" w:type="dxa"/>
            <w:tcBorders>
              <w:bottom w:val="single" w:sz="12" w:space="0" w:color="auto"/>
              <w:right w:val="single" w:sz="12" w:space="0" w:color="auto"/>
            </w:tcBorders>
            <w:shd w:val="clear" w:color="auto" w:fill="D9D9D9"/>
            <w:noWrap/>
            <w:vAlign w:val="bottom"/>
            <w:hideMark/>
          </w:tcPr>
          <w:p w:rsidR="00982EC0" w:rsidRPr="00982EC0" w:rsidRDefault="00982EC0" w:rsidP="00982EC0">
            <w:pPr>
              <w:pStyle w:val="AERtabletextleft"/>
            </w:pPr>
            <w:r w:rsidRPr="00982EC0">
              <w:t> </w:t>
            </w:r>
          </w:p>
        </w:tc>
        <w:tc>
          <w:tcPr>
            <w:tcW w:w="1076" w:type="dxa"/>
            <w:tcBorders>
              <w:left w:val="single" w:sz="12" w:space="0" w:color="auto"/>
              <w:bottom w:val="single" w:sz="12" w:space="0" w:color="auto"/>
            </w:tcBorders>
          </w:tcPr>
          <w:p w:rsidR="00982EC0" w:rsidRPr="00982EC0" w:rsidRDefault="00982EC0" w:rsidP="00982EC0">
            <w:pPr>
              <w:pStyle w:val="AERtabletextleft"/>
            </w:pPr>
          </w:p>
        </w:tc>
        <w:tc>
          <w:tcPr>
            <w:tcW w:w="1273" w:type="dxa"/>
            <w:tcBorders>
              <w:bottom w:val="single" w:sz="12" w:space="0" w:color="auto"/>
            </w:tcBorders>
            <w:shd w:val="clear" w:color="auto" w:fill="auto"/>
            <w:noWrap/>
            <w:vAlign w:val="bottom"/>
            <w:hideMark/>
          </w:tcPr>
          <w:p w:rsidR="00982EC0" w:rsidRPr="00982EC0" w:rsidRDefault="00982EC0" w:rsidP="00982EC0">
            <w:pPr>
              <w:pStyle w:val="AERtabletextleft"/>
            </w:pPr>
            <w:r w:rsidRPr="00982EC0">
              <w:t>4</w:t>
            </w:r>
          </w:p>
        </w:tc>
        <w:tc>
          <w:tcPr>
            <w:tcW w:w="1075" w:type="dxa"/>
            <w:tcBorders>
              <w:bottom w:val="single" w:sz="12" w:space="0" w:color="auto"/>
            </w:tcBorders>
            <w:shd w:val="clear" w:color="auto" w:fill="auto"/>
            <w:noWrap/>
            <w:vAlign w:val="bottom"/>
            <w:hideMark/>
          </w:tcPr>
          <w:p w:rsidR="00982EC0" w:rsidRPr="00982EC0" w:rsidRDefault="00982EC0" w:rsidP="00982EC0">
            <w:pPr>
              <w:pStyle w:val="AERtabletextleft"/>
            </w:pPr>
            <w:r w:rsidRPr="00982EC0">
              <w:t> </w:t>
            </w:r>
          </w:p>
        </w:tc>
        <w:tc>
          <w:tcPr>
            <w:tcW w:w="1075" w:type="dxa"/>
            <w:gridSpan w:val="2"/>
            <w:tcBorders>
              <w:bottom w:val="single" w:sz="12" w:space="0" w:color="auto"/>
            </w:tcBorders>
            <w:shd w:val="clear" w:color="auto" w:fill="auto"/>
            <w:noWrap/>
            <w:vAlign w:val="bottom"/>
            <w:hideMark/>
          </w:tcPr>
          <w:p w:rsidR="00982EC0" w:rsidRPr="00982EC0" w:rsidRDefault="00982EC0" w:rsidP="00982EC0">
            <w:pPr>
              <w:pStyle w:val="AERtabletextleft"/>
            </w:pPr>
            <w:r w:rsidRPr="00982EC0">
              <w:t> </w:t>
            </w:r>
          </w:p>
        </w:tc>
        <w:tc>
          <w:tcPr>
            <w:tcW w:w="1075" w:type="dxa"/>
            <w:tcBorders>
              <w:bottom w:val="single" w:sz="12" w:space="0" w:color="auto"/>
            </w:tcBorders>
            <w:shd w:val="clear" w:color="auto" w:fill="auto"/>
            <w:noWrap/>
            <w:vAlign w:val="bottom"/>
            <w:hideMark/>
          </w:tcPr>
          <w:p w:rsidR="00982EC0" w:rsidRPr="00982EC0" w:rsidRDefault="00982EC0" w:rsidP="00982EC0">
            <w:pPr>
              <w:pStyle w:val="AERtabletextleft"/>
            </w:pPr>
            <w:r w:rsidRPr="00982EC0">
              <w:t> </w:t>
            </w:r>
          </w:p>
        </w:tc>
        <w:tc>
          <w:tcPr>
            <w:tcW w:w="1075" w:type="dxa"/>
            <w:tcBorders>
              <w:bottom w:val="single" w:sz="12" w:space="0" w:color="auto"/>
            </w:tcBorders>
            <w:shd w:val="clear" w:color="auto" w:fill="auto"/>
            <w:noWrap/>
            <w:vAlign w:val="bottom"/>
            <w:hideMark/>
          </w:tcPr>
          <w:p w:rsidR="00982EC0" w:rsidRPr="00982EC0" w:rsidRDefault="00982EC0" w:rsidP="00982EC0">
            <w:pPr>
              <w:pStyle w:val="AERtabletextleft"/>
            </w:pPr>
            <w:r w:rsidRPr="00982EC0">
              <w:t> </w:t>
            </w:r>
          </w:p>
        </w:tc>
        <w:tc>
          <w:tcPr>
            <w:tcW w:w="1077" w:type="dxa"/>
            <w:gridSpan w:val="2"/>
            <w:tcBorders>
              <w:bottom w:val="single" w:sz="12" w:space="0" w:color="auto"/>
              <w:right w:val="single" w:sz="12" w:space="0" w:color="auto"/>
            </w:tcBorders>
            <w:shd w:val="clear" w:color="auto" w:fill="auto"/>
            <w:noWrap/>
            <w:vAlign w:val="bottom"/>
            <w:hideMark/>
          </w:tcPr>
          <w:p w:rsidR="00982EC0" w:rsidRPr="00982EC0" w:rsidRDefault="00982EC0" w:rsidP="00982EC0">
            <w:pPr>
              <w:pStyle w:val="AERtabletextleft"/>
            </w:pPr>
            <w:r w:rsidRPr="00982EC0">
              <w:t> </w:t>
            </w:r>
          </w:p>
        </w:tc>
      </w:tr>
    </w:tbl>
    <w:p w:rsidR="00982EC0" w:rsidRPr="001B28A8" w:rsidRDefault="00982EC0" w:rsidP="00982EC0">
      <w:pPr>
        <w:pStyle w:val="AERbodytext"/>
        <w:numPr>
          <w:ilvl w:val="0"/>
          <w:numId w:val="13"/>
        </w:numPr>
      </w:pPr>
    </w:p>
    <w:p w:rsidR="00694558" w:rsidRPr="00694558" w:rsidRDefault="00694558" w:rsidP="00694558">
      <w:pPr>
        <w:pStyle w:val="AERbodytext"/>
      </w:pPr>
    </w:p>
    <w:sectPr w:rsidR="00694558" w:rsidRPr="00694558" w:rsidSect="000C7A18">
      <w:footerReference w:type="default" r:id="rId26"/>
      <w:pgSz w:w="16838" w:h="11906"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4E7" w:rsidRPr="00AB4345" w:rsidRDefault="006204E7" w:rsidP="00AB4345">
      <w:r>
        <w:separator/>
      </w:r>
    </w:p>
  </w:endnote>
  <w:endnote w:type="continuationSeparator" w:id="0">
    <w:p w:rsidR="006204E7" w:rsidRPr="00AB4345" w:rsidRDefault="006204E7" w:rsidP="00AB434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B93" w:rsidRPr="00301B93" w:rsidRDefault="00301B93">
    <w:pPr>
      <w:pStyle w:val="Footer"/>
    </w:pPr>
    <w:r>
      <w:tab/>
    </w:r>
  </w:p>
  <w:p w:rsidR="00301B93" w:rsidRDefault="00301B9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B93" w:rsidRPr="00301B93" w:rsidRDefault="00301B93">
    <w:pPr>
      <w:pStyle w:val="Footer"/>
    </w:pPr>
    <w:r>
      <w:tab/>
    </w:r>
    <w:r>
      <w:fldChar w:fldCharType="begin"/>
    </w:r>
    <w:r w:rsidRPr="00301B93">
      <w:instrText xml:space="preserve"> PAGE   \* MERGEFORMAT </w:instrText>
    </w:r>
    <w:r>
      <w:fldChar w:fldCharType="separate"/>
    </w:r>
    <w:r w:rsidR="00577EA0">
      <w:rPr>
        <w:noProof/>
      </w:rPr>
      <w:t>23</w:t>
    </w:r>
    <w:r>
      <w:fldChar w:fldCharType="end"/>
    </w:r>
  </w:p>
  <w:p w:rsidR="00301B93" w:rsidRDefault="00301B9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85C" w:rsidRPr="00210880" w:rsidRDefault="00FE285C" w:rsidP="00DD5520">
    <w:pPr>
      <w:pStyle w:val="Footer"/>
      <w:rPr>
        <w:rStyle w:val="AERbody"/>
      </w:rPr>
    </w:pPr>
    <w:r>
      <w:t xml:space="preserve">AER </w:t>
    </w:r>
    <w:r w:rsidRPr="00C44046">
      <w:t>Retail Market Performance Report - Q</w:t>
    </w:r>
    <w:r>
      <w:t>2</w:t>
    </w:r>
    <w:r w:rsidRPr="00C44046">
      <w:t xml:space="preserve"> 2012-13</w:t>
    </w:r>
    <w:r w:rsidRPr="00210880">
      <w:rPr>
        <w:rStyle w:val="AERbody"/>
      </w:rPr>
      <w:tab/>
    </w:r>
    <w:r w:rsidRPr="00210880">
      <w:rPr>
        <w:rStyle w:val="AERbody"/>
      </w:rPr>
      <w:fldChar w:fldCharType="begin"/>
    </w:r>
    <w:r w:rsidRPr="00210880">
      <w:rPr>
        <w:rStyle w:val="AERbody"/>
      </w:rPr>
      <w:instrText xml:space="preserve"> PAGE   \* MERGEFORMAT </w:instrText>
    </w:r>
    <w:r w:rsidRPr="00210880">
      <w:rPr>
        <w:rStyle w:val="AERbody"/>
      </w:rPr>
      <w:fldChar w:fldCharType="separate"/>
    </w:r>
    <w:r w:rsidR="00577EA0">
      <w:rPr>
        <w:rStyle w:val="AERbody"/>
        <w:noProof/>
      </w:rPr>
      <w:t>28</w:t>
    </w:r>
    <w:r w:rsidRPr="00210880">
      <w:rPr>
        <w:rStyle w:val="AERbody"/>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4E7" w:rsidRPr="00AB4345" w:rsidRDefault="006204E7" w:rsidP="00AB4345">
      <w:r>
        <w:separator/>
      </w:r>
    </w:p>
  </w:footnote>
  <w:footnote w:type="continuationSeparator" w:id="0">
    <w:p w:rsidR="006204E7" w:rsidRPr="00AB4345" w:rsidRDefault="006204E7" w:rsidP="00AB4345">
      <w:r>
        <w:continuationSeparator/>
      </w:r>
    </w:p>
  </w:footnote>
  <w:footnote w:id="1">
    <w:p w:rsidR="00FE285C" w:rsidRPr="00012094" w:rsidRDefault="00FE285C" w:rsidP="00012094">
      <w:pPr>
        <w:pStyle w:val="FootnoteText"/>
      </w:pPr>
      <w:r>
        <w:rPr>
          <w:rStyle w:val="FootnoteReference"/>
        </w:rPr>
        <w:footnoteRef/>
      </w:r>
      <w:r>
        <w:t xml:space="preserve"> </w:t>
      </w:r>
      <w:r w:rsidRPr="00012094">
        <w:t xml:space="preserve">The Australian Energy Market Operator (AEMO) regularly publishes switching data. For a more detailed discussion of switching see our Q1 2012-13 report. An explanation of how the AEMO’s switching data is calculated is available at: www.aemo.com.au. </w:t>
      </w:r>
    </w:p>
  </w:footnote>
  <w:footnote w:id="2">
    <w:p w:rsidR="00FE285C" w:rsidRDefault="00FE285C">
      <w:pPr>
        <w:pStyle w:val="FootnoteText"/>
      </w:pPr>
      <w:r>
        <w:rPr>
          <w:rStyle w:val="FootnoteReference"/>
        </w:rPr>
        <w:footnoteRef/>
      </w:r>
      <w:r>
        <w:t xml:space="preserve"> </w:t>
      </w:r>
      <w:r w:rsidRPr="00012094">
        <w:t xml:space="preserve">In our Q1 2012-13 report, we discussed some of the reasons for the ACT’s low level of switching. </w:t>
      </w:r>
      <w:r>
        <w:t xml:space="preserve"> </w:t>
      </w:r>
    </w:p>
  </w:footnote>
  <w:footnote w:id="3">
    <w:p w:rsidR="00FE285C" w:rsidRDefault="00FE285C">
      <w:pPr>
        <w:pStyle w:val="FootnoteText"/>
      </w:pPr>
      <w:r>
        <w:rPr>
          <w:rStyle w:val="FootnoteReference"/>
        </w:rPr>
        <w:footnoteRef/>
      </w:r>
      <w:r>
        <w:t xml:space="preserve"> </w:t>
      </w:r>
      <w:r w:rsidRPr="00012094">
        <w:t xml:space="preserve">The Q1 data has been updated as EnergyAustralia has revised the average debt of its residential customers for that quarter. </w:t>
      </w:r>
      <w:r>
        <w:t xml:space="preserve"> </w:t>
      </w:r>
    </w:p>
  </w:footnote>
  <w:footnote w:id="4">
    <w:p w:rsidR="00FE285C" w:rsidRDefault="00FE285C">
      <w:pPr>
        <w:pStyle w:val="FootnoteText"/>
      </w:pPr>
      <w:r>
        <w:rPr>
          <w:rStyle w:val="FootnoteReference"/>
        </w:rPr>
        <w:footnoteRef/>
      </w:r>
      <w:r>
        <w:t xml:space="preserve"> </w:t>
      </w:r>
      <w:r w:rsidRPr="00012094">
        <w:t>For further background and a discussion on the significance of hardship, please refer to the discussion in section 2.2 of the September quarter report.</w:t>
      </w:r>
    </w:p>
  </w:footnote>
  <w:footnote w:id="5">
    <w:p w:rsidR="00FE285C" w:rsidRDefault="00FE285C">
      <w:pPr>
        <w:pStyle w:val="FootnoteText"/>
      </w:pPr>
      <w:r>
        <w:rPr>
          <w:rStyle w:val="FootnoteReference"/>
        </w:rPr>
        <w:footnoteRef/>
      </w:r>
      <w:r>
        <w:t xml:space="preserve"> </w:t>
      </w:r>
      <w:r w:rsidRPr="00012094">
        <w:t>For further background and a discussion on the significance of disconnections as an indicator of financial hardship, please refer to the discussion in section 2.3 in the Q1 2012–13 report.</w:t>
      </w:r>
    </w:p>
  </w:footnote>
  <w:footnote w:id="6">
    <w:p w:rsidR="00FE285C" w:rsidRDefault="00FE285C">
      <w:pPr>
        <w:pStyle w:val="FootnoteText"/>
      </w:pPr>
      <w:r>
        <w:rPr>
          <w:rStyle w:val="FootnoteReference"/>
        </w:rPr>
        <w:footnoteRef/>
      </w:r>
      <w:r>
        <w:t xml:space="preserve"> </w:t>
      </w:r>
      <w:r w:rsidRPr="00012094">
        <w:t xml:space="preserve">In our Q1 2012–13 report we noted that in 2011–12 (prior to the commencement of NECF), ActewAGL reported 2377 gas disconnections. </w:t>
      </w:r>
      <w:r>
        <w:t xml:space="preserve"> </w:t>
      </w:r>
    </w:p>
  </w:footnote>
  <w:footnote w:id="7">
    <w:p w:rsidR="00FE285C" w:rsidRDefault="00FE285C">
      <w:pPr>
        <w:pStyle w:val="FootnoteText"/>
      </w:pPr>
      <w:r>
        <w:rPr>
          <w:rStyle w:val="FootnoteReference"/>
        </w:rPr>
        <w:footnoteRef/>
      </w:r>
      <w:r>
        <w:t xml:space="preserve"> </w:t>
      </w:r>
      <w:r w:rsidRPr="00012094">
        <w:t>This indicator may identify instances where a customer may have been able to avoid disconnection if appropriate support had been given.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1FBC03"/>
    <w:multiLevelType w:val="hybridMultilevel"/>
    <w:tmpl w:val="7EAB799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35CDFCF"/>
    <w:multiLevelType w:val="hybridMultilevel"/>
    <w:tmpl w:val="25807B5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238EB87"/>
    <w:multiLevelType w:val="hybridMultilevel"/>
    <w:tmpl w:val="C82A34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2E83E63"/>
    <w:multiLevelType w:val="multilevel"/>
    <w:tmpl w:val="1492709C"/>
    <w:numStyleLink w:val="AERHeadings"/>
  </w:abstractNum>
  <w:abstractNum w:abstractNumId="4">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
    <w:nsid w:val="0B102140"/>
    <w:multiLevelType w:val="multilevel"/>
    <w:tmpl w:val="B478DFE6"/>
    <w:numStyleLink w:val="AERnumberedlist"/>
  </w:abstractNum>
  <w:abstractNum w:abstractNumId="6">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7">
    <w:nsid w:val="13597CF9"/>
    <w:multiLevelType w:val="multilevel"/>
    <w:tmpl w:val="B478DFE6"/>
    <w:numStyleLink w:val="AERnumberedlist"/>
  </w:abstractNum>
  <w:abstractNum w:abstractNumId="8">
    <w:nsid w:val="176B27A6"/>
    <w:multiLevelType w:val="multilevel"/>
    <w:tmpl w:val="1492709C"/>
    <w:numStyleLink w:val="AERHeadings"/>
  </w:abstractNum>
  <w:abstractNum w:abstractNumId="9">
    <w:nsid w:val="1972601F"/>
    <w:multiLevelType w:val="multilevel"/>
    <w:tmpl w:val="1492709C"/>
    <w:numStyleLink w:val="AERHeadings"/>
  </w:abstractNum>
  <w:abstractNum w:abstractNumId="10">
    <w:nsid w:val="1DFA331B"/>
    <w:multiLevelType w:val="multilevel"/>
    <w:tmpl w:val="B478DFE6"/>
    <w:numStyleLink w:val="AERnumberedlist"/>
  </w:abstractNum>
  <w:abstractNum w:abstractNumId="11">
    <w:nsid w:val="233428C7"/>
    <w:multiLevelType w:val="multilevel"/>
    <w:tmpl w:val="B478DFE6"/>
    <w:numStyleLink w:val="AERnumberedlist"/>
  </w:abstractNum>
  <w:abstractNum w:abstractNumId="12">
    <w:nsid w:val="2380F361"/>
    <w:multiLevelType w:val="hybridMultilevel"/>
    <w:tmpl w:val="D9C1BB6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2776270C"/>
    <w:multiLevelType w:val="multilevel"/>
    <w:tmpl w:val="B478DFE6"/>
    <w:numStyleLink w:val="AERnumberedlist"/>
  </w:abstractNum>
  <w:abstractNum w:abstractNumId="14">
    <w:nsid w:val="281977C0"/>
    <w:multiLevelType w:val="multilevel"/>
    <w:tmpl w:val="1492709C"/>
    <w:numStyleLink w:val="AERHeadings"/>
  </w:abstractNum>
  <w:abstractNum w:abstractNumId="15">
    <w:nsid w:val="295C7239"/>
    <w:multiLevelType w:val="multilevel"/>
    <w:tmpl w:val="1492709C"/>
    <w:numStyleLink w:val="AERHeadings"/>
  </w:abstractNum>
  <w:abstractNum w:abstractNumId="16">
    <w:nsid w:val="297C529C"/>
    <w:multiLevelType w:val="hybridMultilevel"/>
    <w:tmpl w:val="5BA3849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2C2D6B9E"/>
    <w:multiLevelType w:val="multilevel"/>
    <w:tmpl w:val="1492709C"/>
    <w:numStyleLink w:val="AERHeadings"/>
  </w:abstractNum>
  <w:abstractNum w:abstractNumId="18">
    <w:nsid w:val="2DB12A3A"/>
    <w:multiLevelType w:val="multilevel"/>
    <w:tmpl w:val="1492709C"/>
    <w:numStyleLink w:val="AERHeadings"/>
  </w:abstractNum>
  <w:abstractNum w:abstractNumId="19">
    <w:nsid w:val="2FB612CC"/>
    <w:multiLevelType w:val="multilevel"/>
    <w:tmpl w:val="1492709C"/>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0">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2">
    <w:nsid w:val="333E0E05"/>
    <w:multiLevelType w:val="multilevel"/>
    <w:tmpl w:val="1492709C"/>
    <w:numStyleLink w:val="AERHeadings"/>
  </w:abstractNum>
  <w:abstractNum w:abstractNumId="23">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C721288"/>
    <w:multiLevelType w:val="multilevel"/>
    <w:tmpl w:val="1492709C"/>
    <w:numStyleLink w:val="AERHeadings"/>
  </w:abstractNum>
  <w:abstractNum w:abstractNumId="26">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7">
    <w:nsid w:val="4F037C49"/>
    <w:multiLevelType w:val="multilevel"/>
    <w:tmpl w:val="B478DFE6"/>
    <w:numStyleLink w:val="AERnumberedlist"/>
  </w:abstractNum>
  <w:abstractNum w:abstractNumId="28">
    <w:nsid w:val="51487971"/>
    <w:multiLevelType w:val="multilevel"/>
    <w:tmpl w:val="B478DFE6"/>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357"/>
        </w:tabs>
        <w:ind w:left="357" w:hanging="357"/>
      </w:pPr>
      <w:rPr>
        <w:rFonts w:hint="default"/>
      </w:rPr>
    </w:lvl>
    <w:lvl w:ilvl="5">
      <w:start w:val="1"/>
      <w:numFmt w:val="lowerLetter"/>
      <w:lvlRestart w:val="2"/>
      <w:pStyle w:val="AERnumberedlist2second"/>
      <w:lvlText w:val="(%6)"/>
      <w:lvlJc w:val="left"/>
      <w:pPr>
        <w:tabs>
          <w:tab w:val="num" w:pos="720"/>
        </w:tabs>
        <w:ind w:left="720" w:hanging="363"/>
      </w:pPr>
      <w:rPr>
        <w:rFonts w:hint="default"/>
      </w:rPr>
    </w:lvl>
    <w:lvl w:ilvl="6">
      <w:start w:val="1"/>
      <w:numFmt w:val="lowerRoman"/>
      <w:lvlRestart w:val="3"/>
      <w:pStyle w:val="AERnumberedlist2third"/>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1807103"/>
    <w:multiLevelType w:val="multilevel"/>
    <w:tmpl w:val="B478DFE6"/>
    <w:numStyleLink w:val="AERnumberedlist"/>
  </w:abstractNum>
  <w:abstractNum w:abstractNumId="30">
    <w:nsid w:val="5D386EA7"/>
    <w:multiLevelType w:val="multilevel"/>
    <w:tmpl w:val="1492709C"/>
    <w:numStyleLink w:val="AERHeadings"/>
  </w:abstractNum>
  <w:abstractNum w:abstractNumId="31">
    <w:nsid w:val="5D831C1C"/>
    <w:multiLevelType w:val="hybridMultilevel"/>
    <w:tmpl w:val="1E38BC3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5DCC1B18"/>
    <w:multiLevelType w:val="multilevel"/>
    <w:tmpl w:val="B478DFE6"/>
    <w:numStyleLink w:val="AERnumberedlist"/>
  </w:abstractNum>
  <w:abstractNum w:abstractNumId="33">
    <w:nsid w:val="68247CF7"/>
    <w:multiLevelType w:val="multilevel"/>
    <w:tmpl w:val="1492709C"/>
    <w:numStyleLink w:val="AERHeadings"/>
  </w:abstractNum>
  <w:abstractNum w:abstractNumId="34">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4595980"/>
    <w:multiLevelType w:val="multilevel"/>
    <w:tmpl w:val="1492709C"/>
    <w:numStyleLink w:val="AERHeadings"/>
  </w:abstractNum>
  <w:abstractNum w:abstractNumId="36">
    <w:nsid w:val="74F81DDF"/>
    <w:multiLevelType w:val="multilevel"/>
    <w:tmpl w:val="1492709C"/>
    <w:numStyleLink w:val="AERHeadings"/>
  </w:abstractNum>
  <w:abstractNum w:abstractNumId="37">
    <w:nsid w:val="787F66A4"/>
    <w:multiLevelType w:val="multilevel"/>
    <w:tmpl w:val="1492709C"/>
    <w:numStyleLink w:val="AERHeadings"/>
  </w:abstractNum>
  <w:abstractNum w:abstractNumId="38">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BE97BF8"/>
    <w:multiLevelType w:val="multilevel"/>
    <w:tmpl w:val="1492709C"/>
    <w:numStyleLink w:val="AERHeadings"/>
  </w:abstractNum>
  <w:abstractNum w:abstractNumId="40">
    <w:nsid w:val="7CDA0F5F"/>
    <w:multiLevelType w:val="multilevel"/>
    <w:tmpl w:val="1492709C"/>
    <w:numStyleLink w:val="AERHeadings"/>
  </w:abstractNum>
  <w:num w:numId="1">
    <w:abstractNumId w:val="34"/>
  </w:num>
  <w:num w:numId="2">
    <w:abstractNumId w:val="19"/>
  </w:num>
  <w:num w:numId="3">
    <w:abstractNumId w:val="26"/>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6"/>
    <w:lvlOverride w:ilvl="0">
      <w:startOverride w:val="1"/>
    </w:lvlOverride>
  </w:num>
  <w:num w:numId="7">
    <w:abstractNumId w:val="24"/>
  </w:num>
  <w:num w:numId="8">
    <w:abstractNumId w:val="21"/>
  </w:num>
  <w:num w:numId="9">
    <w:abstractNumId w:val="38"/>
  </w:num>
  <w:num w:numId="10">
    <w:abstractNumId w:val="26"/>
    <w:lvlOverride w:ilvl="0">
      <w:startOverride w:val="1"/>
    </w:lvlOverride>
  </w:num>
  <w:num w:numId="11">
    <w:abstractNumId w:val="4"/>
  </w:num>
  <w:num w:numId="12">
    <w:abstractNumId w:val="26"/>
    <w:lvlOverride w:ilvl="0">
      <w:startOverride w:val="1"/>
    </w:lvlOverride>
  </w:num>
  <w:num w:numId="13">
    <w:abstractNumId w:val="28"/>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5"/>
  </w:num>
  <w:num w:numId="17">
    <w:abstractNumId w:val="27"/>
  </w:num>
  <w:num w:numId="18">
    <w:abstractNumId w:val="10"/>
  </w:num>
  <w:num w:numId="19">
    <w:abstractNumId w:val="13"/>
  </w:num>
  <w:num w:numId="20">
    <w:abstractNumId w:val="36"/>
  </w:num>
  <w:num w:numId="21">
    <w:abstractNumId w:val="32"/>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40"/>
  </w:num>
  <w:num w:numId="28">
    <w:abstractNumId w:val="22"/>
  </w:num>
  <w:num w:numId="29">
    <w:abstractNumId w:val="14"/>
  </w:num>
  <w:num w:numId="30">
    <w:abstractNumId w:val="8"/>
  </w:num>
  <w:num w:numId="31">
    <w:abstractNumId w:val="3"/>
  </w:num>
  <w:num w:numId="32">
    <w:abstractNumId w:val="9"/>
  </w:num>
  <w:num w:numId="33">
    <w:abstractNumId w:val="37"/>
  </w:num>
  <w:num w:numId="34">
    <w:abstractNumId w:val="33"/>
  </w:num>
  <w:num w:numId="35">
    <w:abstractNumId w:val="35"/>
  </w:num>
  <w:num w:numId="36">
    <w:abstractNumId w:val="39"/>
  </w:num>
  <w:num w:numId="37">
    <w:abstractNumId w:val="30"/>
  </w:num>
  <w:num w:numId="38">
    <w:abstractNumId w:val="17"/>
  </w:num>
  <w:num w:numId="39">
    <w:abstractNumId w:val="18"/>
  </w:num>
  <w:num w:numId="40">
    <w:abstractNumId w:val="25"/>
  </w:num>
  <w:num w:numId="41">
    <w:abstractNumId w:val="29"/>
  </w:num>
  <w:num w:numId="42">
    <w:abstractNumId w:val="7"/>
  </w:num>
  <w:num w:numId="43">
    <w:abstractNumId w:val="31"/>
  </w:num>
  <w:num w:numId="44">
    <w:abstractNumId w:val="16"/>
  </w:num>
  <w:num w:numId="45">
    <w:abstractNumId w:val="0"/>
  </w:num>
  <w:num w:numId="46">
    <w:abstractNumId w:val="12"/>
  </w:num>
  <w:num w:numId="47">
    <w:abstractNumId w:val="2"/>
  </w:num>
  <w:num w:numId="4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doNotTrackMoves/>
  <w:documentProtection w:formatting="1" w:enforcement="1" w:cryptProviderType="rsaFull" w:cryptAlgorithmClass="hash" w:cryptAlgorithmType="typeAny" w:cryptAlgorithmSid="4" w:cryptSpinCount="100000" w:hash="WYuMU4FnbhlQvhCrYgEJSHUXzh4=" w:salt="HKJS6AOvajzGCimrXfYB8w=="/>
  <w:defaultTabStop w:val="720"/>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urrentname" w:val="C:\Documents and Settings\sjuri\Local Settings\Temporary Internet Files\Content.Outlook\YHED1I07\Retail Energy Market Update  Performance - Oct to Dec 2012 accessible version.doc"/>
  </w:docVars>
  <w:rsids>
    <w:rsidRoot w:val="000C052F"/>
    <w:rsid w:val="00012094"/>
    <w:rsid w:val="000223F3"/>
    <w:rsid w:val="00027EFF"/>
    <w:rsid w:val="00040599"/>
    <w:rsid w:val="00040749"/>
    <w:rsid w:val="000A1CC2"/>
    <w:rsid w:val="000A5342"/>
    <w:rsid w:val="000B15CA"/>
    <w:rsid w:val="000C052F"/>
    <w:rsid w:val="000C3430"/>
    <w:rsid w:val="000C5DFB"/>
    <w:rsid w:val="000C7A18"/>
    <w:rsid w:val="000D03C2"/>
    <w:rsid w:val="000D04B1"/>
    <w:rsid w:val="000D1F73"/>
    <w:rsid w:val="000E1A25"/>
    <w:rsid w:val="000F13F6"/>
    <w:rsid w:val="000F3A6A"/>
    <w:rsid w:val="001033B3"/>
    <w:rsid w:val="00105636"/>
    <w:rsid w:val="00115D75"/>
    <w:rsid w:val="001432B6"/>
    <w:rsid w:val="001543D2"/>
    <w:rsid w:val="00172BC2"/>
    <w:rsid w:val="00174026"/>
    <w:rsid w:val="00176FF4"/>
    <w:rsid w:val="00182050"/>
    <w:rsid w:val="001856EE"/>
    <w:rsid w:val="00194C3C"/>
    <w:rsid w:val="001C12E5"/>
    <w:rsid w:val="0020711E"/>
    <w:rsid w:val="00210880"/>
    <w:rsid w:val="002257B9"/>
    <w:rsid w:val="0023137D"/>
    <w:rsid w:val="0023174B"/>
    <w:rsid w:val="00243BCE"/>
    <w:rsid w:val="00246E9B"/>
    <w:rsid w:val="00266710"/>
    <w:rsid w:val="00282B2B"/>
    <w:rsid w:val="002938CE"/>
    <w:rsid w:val="002B6640"/>
    <w:rsid w:val="002D61AC"/>
    <w:rsid w:val="002F1B95"/>
    <w:rsid w:val="00301B93"/>
    <w:rsid w:val="00303452"/>
    <w:rsid w:val="003324F7"/>
    <w:rsid w:val="00333274"/>
    <w:rsid w:val="00334F88"/>
    <w:rsid w:val="003707DB"/>
    <w:rsid w:val="00375AEC"/>
    <w:rsid w:val="00376236"/>
    <w:rsid w:val="0037652C"/>
    <w:rsid w:val="00377578"/>
    <w:rsid w:val="003800E4"/>
    <w:rsid w:val="00380FF5"/>
    <w:rsid w:val="003A6174"/>
    <w:rsid w:val="004030AB"/>
    <w:rsid w:val="00404CD7"/>
    <w:rsid w:val="00412282"/>
    <w:rsid w:val="004256BA"/>
    <w:rsid w:val="00431999"/>
    <w:rsid w:val="00435682"/>
    <w:rsid w:val="00464F5D"/>
    <w:rsid w:val="00474FBD"/>
    <w:rsid w:val="00491D7D"/>
    <w:rsid w:val="0049400F"/>
    <w:rsid w:val="004B3249"/>
    <w:rsid w:val="004C04BE"/>
    <w:rsid w:val="004C3F45"/>
    <w:rsid w:val="004E40EF"/>
    <w:rsid w:val="004E6D5B"/>
    <w:rsid w:val="004F76A0"/>
    <w:rsid w:val="00500E7F"/>
    <w:rsid w:val="0052179D"/>
    <w:rsid w:val="005456A9"/>
    <w:rsid w:val="00555D52"/>
    <w:rsid w:val="005566D7"/>
    <w:rsid w:val="00561F7F"/>
    <w:rsid w:val="00566B35"/>
    <w:rsid w:val="005732CC"/>
    <w:rsid w:val="00575422"/>
    <w:rsid w:val="00577EA0"/>
    <w:rsid w:val="00583F24"/>
    <w:rsid w:val="00585977"/>
    <w:rsid w:val="005938C6"/>
    <w:rsid w:val="005B3752"/>
    <w:rsid w:val="005B61C2"/>
    <w:rsid w:val="005D05CF"/>
    <w:rsid w:val="005D26B7"/>
    <w:rsid w:val="005D4AA1"/>
    <w:rsid w:val="0060146C"/>
    <w:rsid w:val="006039F2"/>
    <w:rsid w:val="006061B0"/>
    <w:rsid w:val="0060732E"/>
    <w:rsid w:val="006076A9"/>
    <w:rsid w:val="0061694C"/>
    <w:rsid w:val="006204E7"/>
    <w:rsid w:val="00623781"/>
    <w:rsid w:val="00640C8E"/>
    <w:rsid w:val="006544EA"/>
    <w:rsid w:val="0066569F"/>
    <w:rsid w:val="0066785A"/>
    <w:rsid w:val="0069004B"/>
    <w:rsid w:val="00694558"/>
    <w:rsid w:val="006B08EB"/>
    <w:rsid w:val="006B481F"/>
    <w:rsid w:val="006E0349"/>
    <w:rsid w:val="006E60D6"/>
    <w:rsid w:val="006F638E"/>
    <w:rsid w:val="00703E42"/>
    <w:rsid w:val="00705E56"/>
    <w:rsid w:val="00733CF8"/>
    <w:rsid w:val="007368AD"/>
    <w:rsid w:val="00751D2A"/>
    <w:rsid w:val="00755095"/>
    <w:rsid w:val="00761A68"/>
    <w:rsid w:val="0078255B"/>
    <w:rsid w:val="0078701C"/>
    <w:rsid w:val="00793F9E"/>
    <w:rsid w:val="00796A07"/>
    <w:rsid w:val="007A2DF6"/>
    <w:rsid w:val="007C53ED"/>
    <w:rsid w:val="007D2487"/>
    <w:rsid w:val="007F10E3"/>
    <w:rsid w:val="007F2C0E"/>
    <w:rsid w:val="00836D17"/>
    <w:rsid w:val="00840A55"/>
    <w:rsid w:val="00841E25"/>
    <w:rsid w:val="008464CD"/>
    <w:rsid w:val="008515EE"/>
    <w:rsid w:val="00857F16"/>
    <w:rsid w:val="00861C4E"/>
    <w:rsid w:val="00866D21"/>
    <w:rsid w:val="00883DDA"/>
    <w:rsid w:val="0088427B"/>
    <w:rsid w:val="00891FF9"/>
    <w:rsid w:val="00893367"/>
    <w:rsid w:val="00894458"/>
    <w:rsid w:val="008C3B67"/>
    <w:rsid w:val="008D49B4"/>
    <w:rsid w:val="008D502E"/>
    <w:rsid w:val="008D7498"/>
    <w:rsid w:val="008E0FFA"/>
    <w:rsid w:val="008E5707"/>
    <w:rsid w:val="00924461"/>
    <w:rsid w:val="00932E96"/>
    <w:rsid w:val="009418E6"/>
    <w:rsid w:val="0094235F"/>
    <w:rsid w:val="0094279F"/>
    <w:rsid w:val="00946B98"/>
    <w:rsid w:val="009530EB"/>
    <w:rsid w:val="009606E1"/>
    <w:rsid w:val="009658F0"/>
    <w:rsid w:val="00971C63"/>
    <w:rsid w:val="00982EC0"/>
    <w:rsid w:val="00985ECD"/>
    <w:rsid w:val="009A4AE9"/>
    <w:rsid w:val="009C667F"/>
    <w:rsid w:val="009C71D5"/>
    <w:rsid w:val="009F7CE4"/>
    <w:rsid w:val="00A11162"/>
    <w:rsid w:val="00A17A9D"/>
    <w:rsid w:val="00A22CFB"/>
    <w:rsid w:val="00A26ADA"/>
    <w:rsid w:val="00A43227"/>
    <w:rsid w:val="00A65133"/>
    <w:rsid w:val="00A652C5"/>
    <w:rsid w:val="00A70F43"/>
    <w:rsid w:val="00A96A08"/>
    <w:rsid w:val="00AA0161"/>
    <w:rsid w:val="00AB1D08"/>
    <w:rsid w:val="00AB4345"/>
    <w:rsid w:val="00AB5BD7"/>
    <w:rsid w:val="00AC0122"/>
    <w:rsid w:val="00AC0135"/>
    <w:rsid w:val="00AC070D"/>
    <w:rsid w:val="00AC5526"/>
    <w:rsid w:val="00AD0616"/>
    <w:rsid w:val="00AD34FF"/>
    <w:rsid w:val="00AD4DE6"/>
    <w:rsid w:val="00AE77E0"/>
    <w:rsid w:val="00AF3E95"/>
    <w:rsid w:val="00B010FC"/>
    <w:rsid w:val="00B0724B"/>
    <w:rsid w:val="00B15FE9"/>
    <w:rsid w:val="00B35237"/>
    <w:rsid w:val="00B41180"/>
    <w:rsid w:val="00B51883"/>
    <w:rsid w:val="00B648EF"/>
    <w:rsid w:val="00B674DB"/>
    <w:rsid w:val="00B72C8C"/>
    <w:rsid w:val="00B82E8D"/>
    <w:rsid w:val="00B85F79"/>
    <w:rsid w:val="00B86770"/>
    <w:rsid w:val="00B9264D"/>
    <w:rsid w:val="00BA7AA7"/>
    <w:rsid w:val="00BB3FA1"/>
    <w:rsid w:val="00BB51E7"/>
    <w:rsid w:val="00BB62BB"/>
    <w:rsid w:val="00BC05C5"/>
    <w:rsid w:val="00BE6F28"/>
    <w:rsid w:val="00BE7A62"/>
    <w:rsid w:val="00BF29FA"/>
    <w:rsid w:val="00BF5041"/>
    <w:rsid w:val="00C04D2B"/>
    <w:rsid w:val="00C44046"/>
    <w:rsid w:val="00C47612"/>
    <w:rsid w:val="00C86A23"/>
    <w:rsid w:val="00CA3540"/>
    <w:rsid w:val="00CA3813"/>
    <w:rsid w:val="00CA6DED"/>
    <w:rsid w:val="00CB1911"/>
    <w:rsid w:val="00CE6F5A"/>
    <w:rsid w:val="00CF0E88"/>
    <w:rsid w:val="00CF42CF"/>
    <w:rsid w:val="00CF76FF"/>
    <w:rsid w:val="00D04389"/>
    <w:rsid w:val="00D05486"/>
    <w:rsid w:val="00D102E9"/>
    <w:rsid w:val="00D10F5F"/>
    <w:rsid w:val="00D1688F"/>
    <w:rsid w:val="00D2117F"/>
    <w:rsid w:val="00D25317"/>
    <w:rsid w:val="00D350B0"/>
    <w:rsid w:val="00D404EE"/>
    <w:rsid w:val="00D425F6"/>
    <w:rsid w:val="00D5675B"/>
    <w:rsid w:val="00D66E8B"/>
    <w:rsid w:val="00D767D6"/>
    <w:rsid w:val="00D82B81"/>
    <w:rsid w:val="00D85715"/>
    <w:rsid w:val="00D8706C"/>
    <w:rsid w:val="00DA3AF0"/>
    <w:rsid w:val="00DA4105"/>
    <w:rsid w:val="00DA4C62"/>
    <w:rsid w:val="00DB6A17"/>
    <w:rsid w:val="00DC0857"/>
    <w:rsid w:val="00DC2007"/>
    <w:rsid w:val="00DD5520"/>
    <w:rsid w:val="00DE3ACE"/>
    <w:rsid w:val="00E00F76"/>
    <w:rsid w:val="00E21E75"/>
    <w:rsid w:val="00E412D2"/>
    <w:rsid w:val="00E539D0"/>
    <w:rsid w:val="00E807DA"/>
    <w:rsid w:val="00E84E3A"/>
    <w:rsid w:val="00EA05AF"/>
    <w:rsid w:val="00EB0D9C"/>
    <w:rsid w:val="00EC43B9"/>
    <w:rsid w:val="00ED4D69"/>
    <w:rsid w:val="00EE362F"/>
    <w:rsid w:val="00EE466D"/>
    <w:rsid w:val="00F114AE"/>
    <w:rsid w:val="00F12EEC"/>
    <w:rsid w:val="00F239CC"/>
    <w:rsid w:val="00F35C3E"/>
    <w:rsid w:val="00F43CA0"/>
    <w:rsid w:val="00F55030"/>
    <w:rsid w:val="00F7696F"/>
    <w:rsid w:val="00FA0576"/>
    <w:rsid w:val="00FB50B4"/>
    <w:rsid w:val="00FC4F5F"/>
    <w:rsid w:val="00FD3D34"/>
    <w:rsid w:val="00FD4B97"/>
    <w:rsid w:val="00FD4F37"/>
    <w:rsid w:val="00FE285C"/>
    <w:rsid w:val="00FE55EB"/>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locked="0" w:semiHidden="0" w:uiPriority="9" w:unhideWhenUsed="0"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caption" w:locked="0" w:uiPriority="35" w:qFormat="1"/>
    <w:lsdException w:name="footnote reference" w:locked="0"/>
    <w:lsdException w:name="page number" w:locked="0"/>
    <w:lsdException w:name="Title" w:uiPriority="10"/>
    <w:lsdException w:name="Default Paragraph Font" w:locked="0" w:uiPriority="1"/>
    <w:lsdException w:name="Subtitle" w:uiPriority="11" w:qFormat="1"/>
    <w:lsdException w:name="Hyperlink" w:locked="0"/>
    <w:lsdException w:name="Strong" w:uiPriority="22" w:qFormat="1"/>
    <w:lsdException w:name="Emphasis" w:uiPriority="20" w:qFormat="1"/>
    <w:lsdException w:name="HTML Top of Form" w:locked="0"/>
    <w:lsdException w:name="HTML Bottom of Form" w:locked="0"/>
    <w:lsdException w:name="Normal Table" w:locked="0"/>
    <w:lsdException w:name="No List" w:locked="0"/>
    <w:lsdException w:name="Table Grid" w:locked="0" w:semiHidden="0" w:uiPriority="59"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AF3E95"/>
    <w:pPr>
      <w:spacing w:after="240" w:line="288" w:lineRule="auto"/>
      <w:jc w:val="both"/>
    </w:pPr>
    <w:rPr>
      <w:lang w:eastAsia="en-US"/>
    </w:rPr>
  </w:style>
  <w:style w:type="paragraph" w:styleId="Heading1">
    <w:name w:val="heading 1"/>
    <w:next w:val="AERbodytext"/>
    <w:link w:val="Heading1Char"/>
    <w:uiPriority w:val="9"/>
    <w:qFormat/>
    <w:rsid w:val="0069004B"/>
    <w:pPr>
      <w:keepNext/>
      <w:keepLines/>
      <w:pageBreakBefore/>
      <w:numPr>
        <w:ilvl w:val="1"/>
        <w:numId w:val="40"/>
      </w:numPr>
      <w:spacing w:before="120" w:after="120" w:line="288" w:lineRule="auto"/>
      <w:jc w:val="both"/>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qFormat/>
    <w:rsid w:val="00D2117F"/>
    <w:pPr>
      <w:keepNext/>
      <w:numPr>
        <w:numId w:val="0"/>
      </w:numPr>
      <w:outlineLvl w:val="3"/>
    </w:pPr>
    <w:rPr>
      <w:b/>
      <w:iCs/>
      <w:color w:val="365F91"/>
      <w:sz w:val="22"/>
    </w:rPr>
  </w:style>
  <w:style w:type="paragraph" w:styleId="Heading5">
    <w:name w:val="heading 5"/>
    <w:basedOn w:val="Heading4"/>
    <w:next w:val="AERbodytext"/>
    <w:link w:val="Heading5Char"/>
    <w:uiPriority w:val="9"/>
    <w:qFormat/>
    <w:rsid w:val="0066569F"/>
    <w:pPr>
      <w:numPr>
        <w:ilvl w:val="5"/>
      </w:numPr>
      <w:outlineLvl w:val="4"/>
    </w:pPr>
    <w:rPr>
      <w:i/>
      <w:color w:val="000000"/>
      <w:sz w:val="20"/>
    </w:rPr>
  </w:style>
  <w:style w:type="paragraph" w:styleId="Heading6">
    <w:name w:val="heading 6"/>
    <w:basedOn w:val="Heading5"/>
    <w:next w:val="AERbodytext"/>
    <w:link w:val="Heading6Char"/>
    <w:uiPriority w:val="9"/>
    <w:qFormat/>
    <w:rsid w:val="000A1CC2"/>
    <w:pPr>
      <w:numPr>
        <w:ilvl w:val="6"/>
      </w:numPr>
      <w:outlineLvl w:val="5"/>
    </w:pPr>
    <w:rPr>
      <w:b w:val="0"/>
      <w:iCs w:val="0"/>
      <w:color w:val="auto"/>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69004B"/>
    <w:pPr>
      <w:numPr>
        <w:numId w:val="2"/>
      </w:numPr>
    </w:pPr>
  </w:style>
  <w:style w:type="character" w:customStyle="1" w:styleId="Heading1Char">
    <w:name w:val="Heading 1 Char"/>
    <w:basedOn w:val="DefaultParagraphFont"/>
    <w:link w:val="Heading1"/>
    <w:uiPriority w:val="9"/>
    <w:rsid w:val="0069004B"/>
    <w:rPr>
      <w:rFonts w:eastAsia="Times New Roman"/>
      <w:b/>
      <w:bCs/>
      <w:color w:val="E36C0A"/>
      <w:sz w:val="36"/>
      <w:szCs w:val="28"/>
      <w:lang w:val="en-AU" w:eastAsia="en-US" w:bidi="ar-SA"/>
    </w:rPr>
  </w:style>
  <w:style w:type="character" w:customStyle="1" w:styleId="Heading2Char">
    <w:name w:val="Heading 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rsid w:val="00D2117F"/>
    <w:rPr>
      <w:rFonts w:eastAsia="Times New Roman" w:cs="Times New Roman"/>
      <w:b/>
      <w:iCs/>
      <w:color w:val="365F91"/>
      <w:sz w:val="22"/>
      <w:szCs w:val="24"/>
    </w:rPr>
  </w:style>
  <w:style w:type="character" w:customStyle="1" w:styleId="Heading5Char">
    <w:name w:val="Heading 5 Char"/>
    <w:basedOn w:val="DefaultParagraphFont"/>
    <w:link w:val="Heading5"/>
    <w:uiPriority w:val="9"/>
    <w:rsid w:val="0066569F"/>
    <w:rPr>
      <w:rFonts w:ascii="Gautami" w:eastAsia="Times New Roman" w:hAnsi="Gautami" w:cs="Times New Roman"/>
      <w:b/>
      <w:i/>
      <w:iCs/>
      <w:color w:val="000000"/>
      <w:sz w:val="20"/>
      <w:szCs w:val="24"/>
    </w:rPr>
  </w:style>
  <w:style w:type="character" w:customStyle="1" w:styleId="Heading6Char">
    <w:name w:val="Heading 6 Char"/>
    <w:basedOn w:val="DefaultParagraphFont"/>
    <w:link w:val="Heading6"/>
    <w:uiPriority w:val="9"/>
    <w:rsid w:val="000A1CC2"/>
    <w:rPr>
      <w:rFonts w:ascii="Gautami" w:eastAsia="Times New Roman" w:hAnsi="Gautami" w:cs="Times New Roman"/>
      <w:i/>
      <w:sz w:val="20"/>
      <w:szCs w:val="26"/>
    </w:rPr>
  </w:style>
  <w:style w:type="character" w:customStyle="1" w:styleId="Heading7Char">
    <w:name w:val="Heading 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qFormat/>
    <w:rsid w:val="000E1A25"/>
    <w:pPr>
      <w:numPr>
        <w:numId w:val="42"/>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basedOn w:val="DefaultParagraphFont"/>
    <w:uiPriority w:val="99"/>
    <w:semiHidden/>
    <w:unhideWhenUsed/>
    <w:rsid w:val="003800E4"/>
    <w:rPr>
      <w:vertAlign w:val="superscript"/>
    </w:rPr>
  </w:style>
  <w:style w:type="paragraph" w:styleId="Header">
    <w:name w:val="header"/>
    <w:basedOn w:val="Normal"/>
    <w:link w:val="HeaderChar"/>
    <w:uiPriority w:val="99"/>
    <w:semiHidden/>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69004B"/>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0E1A25"/>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semiHidden/>
    <w:unhideWhenUsed/>
    <w:qFormat/>
    <w:locked/>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0A5342"/>
    <w:rPr>
      <w:b/>
      <w:bC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locked/>
    <w:rsid w:val="00AF3E95"/>
    <w:pPr>
      <w:pageBreakBefore w:val="0"/>
      <w:numPr>
        <w:ilvl w:val="0"/>
        <w:numId w:val="0"/>
      </w:numPr>
      <w:spacing w:before="480" w:after="0" w:line="276" w:lineRule="auto"/>
      <w:jc w:val="left"/>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lock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locked/>
    <w:rsid w:val="00BE6F28"/>
    <w:rPr>
      <w:sz w:val="16"/>
      <w:szCs w:val="16"/>
    </w:rPr>
  </w:style>
  <w:style w:type="paragraph" w:styleId="CommentText">
    <w:name w:val="annotation text"/>
    <w:basedOn w:val="Normal"/>
    <w:link w:val="CommentTextChar"/>
    <w:uiPriority w:val="99"/>
    <w:semiHidden/>
    <w:unhideWhenUsed/>
    <w:lock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lock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styleId="EndnoteText">
    <w:name w:val="endnote text"/>
    <w:basedOn w:val="Normal"/>
    <w:link w:val="EndnoteTextChar"/>
    <w:uiPriority w:val="99"/>
    <w:semiHidden/>
    <w:unhideWhenUsed/>
    <w:locked/>
    <w:rsid w:val="00182050"/>
  </w:style>
  <w:style w:type="character" w:customStyle="1" w:styleId="EndnoteTextChar">
    <w:name w:val="Endnote Text Char"/>
    <w:basedOn w:val="DefaultParagraphFont"/>
    <w:link w:val="EndnoteText"/>
    <w:uiPriority w:val="99"/>
    <w:semiHidden/>
    <w:rsid w:val="00182050"/>
    <w:rPr>
      <w:lang w:eastAsia="en-US"/>
    </w:rPr>
  </w:style>
  <w:style w:type="character" w:styleId="EndnoteReference">
    <w:name w:val="endnote reference"/>
    <w:basedOn w:val="DefaultParagraphFont"/>
    <w:uiPriority w:val="99"/>
    <w:semiHidden/>
    <w:unhideWhenUsed/>
    <w:locked/>
    <w:rsid w:val="00182050"/>
    <w:rPr>
      <w:vertAlign w:val="superscript"/>
    </w:rPr>
  </w:style>
</w:styles>
</file>

<file path=word/webSettings.xml><?xml version="1.0" encoding="utf-8"?>
<w:webSettings xmlns:r="http://schemas.openxmlformats.org/officeDocument/2006/relationships" xmlns:w="http://schemas.openxmlformats.org/wordprocessingml/2006/main">
  <w:divs>
    <w:div w:id="99321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er.gov.au" TargetMode="Externa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image" Target="media/image12.emf"/><Relationship Id="rId7" Type="http://schemas.openxmlformats.org/officeDocument/2006/relationships/footer" Target="footer1.xml"/><Relationship Id="rId12" Type="http://schemas.openxmlformats.org/officeDocument/2006/relationships/image" Target="media/image3.wmf"/><Relationship Id="rId17" Type="http://schemas.openxmlformats.org/officeDocument/2006/relationships/image" Target="media/image8.emf"/><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24" Type="http://schemas.openxmlformats.org/officeDocument/2006/relationships/image" Target="media/image15.emf"/><Relationship Id="rId5"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image" Target="media/image10.emf"/><Relationship Id="rId4" Type="http://schemas.openxmlformats.org/officeDocument/2006/relationships/webSettings" Target="webSettings.xml"/><Relationship Id="rId9" Type="http://schemas.openxmlformats.org/officeDocument/2006/relationships/hyperlink" Target="http://www.aer.gov.au" TargetMode="External"/><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brvpwxfs01\home$\yuwan\AERWord20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AERWord2007.dotx</Template>
  <TotalTime>0</TotalTime>
  <Pages>28</Pages>
  <Words>4616</Words>
  <Characters>26314</Characters>
  <Application>Microsoft Office Word</Application>
  <DocSecurity>4</DocSecurity>
  <Lines>219</Lines>
  <Paragraphs>61</Paragraphs>
  <ScaleCrop>false</ScaleCrop>
  <HeadingPairs>
    <vt:vector size="2" baseType="variant">
      <vt:variant>
        <vt:lpstr>Title</vt:lpstr>
      </vt:variant>
      <vt:variant>
        <vt:i4>1</vt:i4>
      </vt:variant>
    </vt:vector>
  </HeadingPairs>
  <TitlesOfParts>
    <vt:vector size="1" baseType="lpstr">
      <vt:lpstr>AER retail energy market update - October to December2012</vt:lpstr>
    </vt:vector>
  </TitlesOfParts>
  <Company>ACCC</Company>
  <LinksUpToDate>false</LinksUpToDate>
  <CharactersWithSpaces>30869</CharactersWithSpaces>
  <SharedDoc>false</SharedDoc>
  <HLinks>
    <vt:vector size="156" baseType="variant">
      <vt:variant>
        <vt:i4>6750255</vt:i4>
      </vt:variant>
      <vt:variant>
        <vt:i4>150</vt:i4>
      </vt:variant>
      <vt:variant>
        <vt:i4>0</vt:i4>
      </vt:variant>
      <vt:variant>
        <vt:i4>5</vt:i4>
      </vt:variant>
      <vt:variant>
        <vt:lpwstr>http://www.aer.gov.au/</vt:lpwstr>
      </vt:variant>
      <vt:variant>
        <vt:lpwstr/>
      </vt:variant>
      <vt:variant>
        <vt:i4>6750255</vt:i4>
      </vt:variant>
      <vt:variant>
        <vt:i4>147</vt:i4>
      </vt:variant>
      <vt:variant>
        <vt:i4>0</vt:i4>
      </vt:variant>
      <vt:variant>
        <vt:i4>5</vt:i4>
      </vt:variant>
      <vt:variant>
        <vt:lpwstr>http://www.aer.gov.au/</vt:lpwstr>
      </vt:variant>
      <vt:variant>
        <vt:lpwstr/>
      </vt:variant>
      <vt:variant>
        <vt:i4>1114166</vt:i4>
      </vt:variant>
      <vt:variant>
        <vt:i4>140</vt:i4>
      </vt:variant>
      <vt:variant>
        <vt:i4>0</vt:i4>
      </vt:variant>
      <vt:variant>
        <vt:i4>5</vt:i4>
      </vt:variant>
      <vt:variant>
        <vt:lpwstr/>
      </vt:variant>
      <vt:variant>
        <vt:lpwstr>_Toc352247368</vt:lpwstr>
      </vt:variant>
      <vt:variant>
        <vt:i4>1114166</vt:i4>
      </vt:variant>
      <vt:variant>
        <vt:i4>134</vt:i4>
      </vt:variant>
      <vt:variant>
        <vt:i4>0</vt:i4>
      </vt:variant>
      <vt:variant>
        <vt:i4>5</vt:i4>
      </vt:variant>
      <vt:variant>
        <vt:lpwstr/>
      </vt:variant>
      <vt:variant>
        <vt:lpwstr>_Toc352247367</vt:lpwstr>
      </vt:variant>
      <vt:variant>
        <vt:i4>1114166</vt:i4>
      </vt:variant>
      <vt:variant>
        <vt:i4>128</vt:i4>
      </vt:variant>
      <vt:variant>
        <vt:i4>0</vt:i4>
      </vt:variant>
      <vt:variant>
        <vt:i4>5</vt:i4>
      </vt:variant>
      <vt:variant>
        <vt:lpwstr/>
      </vt:variant>
      <vt:variant>
        <vt:lpwstr>_Toc352247366</vt:lpwstr>
      </vt:variant>
      <vt:variant>
        <vt:i4>1114166</vt:i4>
      </vt:variant>
      <vt:variant>
        <vt:i4>122</vt:i4>
      </vt:variant>
      <vt:variant>
        <vt:i4>0</vt:i4>
      </vt:variant>
      <vt:variant>
        <vt:i4>5</vt:i4>
      </vt:variant>
      <vt:variant>
        <vt:lpwstr/>
      </vt:variant>
      <vt:variant>
        <vt:lpwstr>_Toc352247365</vt:lpwstr>
      </vt:variant>
      <vt:variant>
        <vt:i4>1114166</vt:i4>
      </vt:variant>
      <vt:variant>
        <vt:i4>116</vt:i4>
      </vt:variant>
      <vt:variant>
        <vt:i4>0</vt:i4>
      </vt:variant>
      <vt:variant>
        <vt:i4>5</vt:i4>
      </vt:variant>
      <vt:variant>
        <vt:lpwstr/>
      </vt:variant>
      <vt:variant>
        <vt:lpwstr>_Toc352247364</vt:lpwstr>
      </vt:variant>
      <vt:variant>
        <vt:i4>1114166</vt:i4>
      </vt:variant>
      <vt:variant>
        <vt:i4>110</vt:i4>
      </vt:variant>
      <vt:variant>
        <vt:i4>0</vt:i4>
      </vt:variant>
      <vt:variant>
        <vt:i4>5</vt:i4>
      </vt:variant>
      <vt:variant>
        <vt:lpwstr/>
      </vt:variant>
      <vt:variant>
        <vt:lpwstr>_Toc352247363</vt:lpwstr>
      </vt:variant>
      <vt:variant>
        <vt:i4>1114166</vt:i4>
      </vt:variant>
      <vt:variant>
        <vt:i4>104</vt:i4>
      </vt:variant>
      <vt:variant>
        <vt:i4>0</vt:i4>
      </vt:variant>
      <vt:variant>
        <vt:i4>5</vt:i4>
      </vt:variant>
      <vt:variant>
        <vt:lpwstr/>
      </vt:variant>
      <vt:variant>
        <vt:lpwstr>_Toc352247362</vt:lpwstr>
      </vt:variant>
      <vt:variant>
        <vt:i4>1114166</vt:i4>
      </vt:variant>
      <vt:variant>
        <vt:i4>98</vt:i4>
      </vt:variant>
      <vt:variant>
        <vt:i4>0</vt:i4>
      </vt:variant>
      <vt:variant>
        <vt:i4>5</vt:i4>
      </vt:variant>
      <vt:variant>
        <vt:lpwstr/>
      </vt:variant>
      <vt:variant>
        <vt:lpwstr>_Toc352247361</vt:lpwstr>
      </vt:variant>
      <vt:variant>
        <vt:i4>1114166</vt:i4>
      </vt:variant>
      <vt:variant>
        <vt:i4>92</vt:i4>
      </vt:variant>
      <vt:variant>
        <vt:i4>0</vt:i4>
      </vt:variant>
      <vt:variant>
        <vt:i4>5</vt:i4>
      </vt:variant>
      <vt:variant>
        <vt:lpwstr/>
      </vt:variant>
      <vt:variant>
        <vt:lpwstr>_Toc352247360</vt:lpwstr>
      </vt:variant>
      <vt:variant>
        <vt:i4>1179702</vt:i4>
      </vt:variant>
      <vt:variant>
        <vt:i4>86</vt:i4>
      </vt:variant>
      <vt:variant>
        <vt:i4>0</vt:i4>
      </vt:variant>
      <vt:variant>
        <vt:i4>5</vt:i4>
      </vt:variant>
      <vt:variant>
        <vt:lpwstr/>
      </vt:variant>
      <vt:variant>
        <vt:lpwstr>_Toc352247359</vt:lpwstr>
      </vt:variant>
      <vt:variant>
        <vt:i4>1179702</vt:i4>
      </vt:variant>
      <vt:variant>
        <vt:i4>80</vt:i4>
      </vt:variant>
      <vt:variant>
        <vt:i4>0</vt:i4>
      </vt:variant>
      <vt:variant>
        <vt:i4>5</vt:i4>
      </vt:variant>
      <vt:variant>
        <vt:lpwstr/>
      </vt:variant>
      <vt:variant>
        <vt:lpwstr>_Toc352247358</vt:lpwstr>
      </vt:variant>
      <vt:variant>
        <vt:i4>1179702</vt:i4>
      </vt:variant>
      <vt:variant>
        <vt:i4>74</vt:i4>
      </vt:variant>
      <vt:variant>
        <vt:i4>0</vt:i4>
      </vt:variant>
      <vt:variant>
        <vt:i4>5</vt:i4>
      </vt:variant>
      <vt:variant>
        <vt:lpwstr/>
      </vt:variant>
      <vt:variant>
        <vt:lpwstr>_Toc352247357</vt:lpwstr>
      </vt:variant>
      <vt:variant>
        <vt:i4>1179702</vt:i4>
      </vt:variant>
      <vt:variant>
        <vt:i4>68</vt:i4>
      </vt:variant>
      <vt:variant>
        <vt:i4>0</vt:i4>
      </vt:variant>
      <vt:variant>
        <vt:i4>5</vt:i4>
      </vt:variant>
      <vt:variant>
        <vt:lpwstr/>
      </vt:variant>
      <vt:variant>
        <vt:lpwstr>_Toc352247356</vt:lpwstr>
      </vt:variant>
      <vt:variant>
        <vt:i4>1179702</vt:i4>
      </vt:variant>
      <vt:variant>
        <vt:i4>62</vt:i4>
      </vt:variant>
      <vt:variant>
        <vt:i4>0</vt:i4>
      </vt:variant>
      <vt:variant>
        <vt:i4>5</vt:i4>
      </vt:variant>
      <vt:variant>
        <vt:lpwstr/>
      </vt:variant>
      <vt:variant>
        <vt:lpwstr>_Toc352247355</vt:lpwstr>
      </vt:variant>
      <vt:variant>
        <vt:i4>1179702</vt:i4>
      </vt:variant>
      <vt:variant>
        <vt:i4>56</vt:i4>
      </vt:variant>
      <vt:variant>
        <vt:i4>0</vt:i4>
      </vt:variant>
      <vt:variant>
        <vt:i4>5</vt:i4>
      </vt:variant>
      <vt:variant>
        <vt:lpwstr/>
      </vt:variant>
      <vt:variant>
        <vt:lpwstr>_Toc352247354</vt:lpwstr>
      </vt:variant>
      <vt:variant>
        <vt:i4>1179702</vt:i4>
      </vt:variant>
      <vt:variant>
        <vt:i4>50</vt:i4>
      </vt:variant>
      <vt:variant>
        <vt:i4>0</vt:i4>
      </vt:variant>
      <vt:variant>
        <vt:i4>5</vt:i4>
      </vt:variant>
      <vt:variant>
        <vt:lpwstr/>
      </vt:variant>
      <vt:variant>
        <vt:lpwstr>_Toc352247353</vt:lpwstr>
      </vt:variant>
      <vt:variant>
        <vt:i4>1179702</vt:i4>
      </vt:variant>
      <vt:variant>
        <vt:i4>44</vt:i4>
      </vt:variant>
      <vt:variant>
        <vt:i4>0</vt:i4>
      </vt:variant>
      <vt:variant>
        <vt:i4>5</vt:i4>
      </vt:variant>
      <vt:variant>
        <vt:lpwstr/>
      </vt:variant>
      <vt:variant>
        <vt:lpwstr>_Toc352247352</vt:lpwstr>
      </vt:variant>
      <vt:variant>
        <vt:i4>1179702</vt:i4>
      </vt:variant>
      <vt:variant>
        <vt:i4>38</vt:i4>
      </vt:variant>
      <vt:variant>
        <vt:i4>0</vt:i4>
      </vt:variant>
      <vt:variant>
        <vt:i4>5</vt:i4>
      </vt:variant>
      <vt:variant>
        <vt:lpwstr/>
      </vt:variant>
      <vt:variant>
        <vt:lpwstr>_Toc352247351</vt:lpwstr>
      </vt:variant>
      <vt:variant>
        <vt:i4>1179702</vt:i4>
      </vt:variant>
      <vt:variant>
        <vt:i4>32</vt:i4>
      </vt:variant>
      <vt:variant>
        <vt:i4>0</vt:i4>
      </vt:variant>
      <vt:variant>
        <vt:i4>5</vt:i4>
      </vt:variant>
      <vt:variant>
        <vt:lpwstr/>
      </vt:variant>
      <vt:variant>
        <vt:lpwstr>_Toc352247350</vt:lpwstr>
      </vt:variant>
      <vt:variant>
        <vt:i4>1245238</vt:i4>
      </vt:variant>
      <vt:variant>
        <vt:i4>26</vt:i4>
      </vt:variant>
      <vt:variant>
        <vt:i4>0</vt:i4>
      </vt:variant>
      <vt:variant>
        <vt:i4>5</vt:i4>
      </vt:variant>
      <vt:variant>
        <vt:lpwstr/>
      </vt:variant>
      <vt:variant>
        <vt:lpwstr>_Toc352247349</vt:lpwstr>
      </vt:variant>
      <vt:variant>
        <vt:i4>1245238</vt:i4>
      </vt:variant>
      <vt:variant>
        <vt:i4>20</vt:i4>
      </vt:variant>
      <vt:variant>
        <vt:i4>0</vt:i4>
      </vt:variant>
      <vt:variant>
        <vt:i4>5</vt:i4>
      </vt:variant>
      <vt:variant>
        <vt:lpwstr/>
      </vt:variant>
      <vt:variant>
        <vt:lpwstr>_Toc352247348</vt:lpwstr>
      </vt:variant>
      <vt:variant>
        <vt:i4>1245238</vt:i4>
      </vt:variant>
      <vt:variant>
        <vt:i4>14</vt:i4>
      </vt:variant>
      <vt:variant>
        <vt:i4>0</vt:i4>
      </vt:variant>
      <vt:variant>
        <vt:i4>5</vt:i4>
      </vt:variant>
      <vt:variant>
        <vt:lpwstr/>
      </vt:variant>
      <vt:variant>
        <vt:lpwstr>_Toc352247347</vt:lpwstr>
      </vt:variant>
      <vt:variant>
        <vt:i4>1245238</vt:i4>
      </vt:variant>
      <vt:variant>
        <vt:i4>8</vt:i4>
      </vt:variant>
      <vt:variant>
        <vt:i4>0</vt:i4>
      </vt:variant>
      <vt:variant>
        <vt:i4>5</vt:i4>
      </vt:variant>
      <vt:variant>
        <vt:lpwstr/>
      </vt:variant>
      <vt:variant>
        <vt:lpwstr>_Toc352247346</vt:lpwstr>
      </vt:variant>
      <vt:variant>
        <vt:i4>1245238</vt:i4>
      </vt:variant>
      <vt:variant>
        <vt:i4>2</vt:i4>
      </vt:variant>
      <vt:variant>
        <vt:i4>0</vt:i4>
      </vt:variant>
      <vt:variant>
        <vt:i4>5</vt:i4>
      </vt:variant>
      <vt:variant>
        <vt:lpwstr/>
      </vt:variant>
      <vt:variant>
        <vt:lpwstr>_Toc352247345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retail energy market update - October to December2012</dc:title>
  <dc:subject>Retail performance report</dc:subject>
  <dc:creator>dgupp</dc:creator>
  <cp:keywords>energy retail performance electricity gas</cp:keywords>
  <cp:lastModifiedBy>sjuri</cp:lastModifiedBy>
  <cp:revision>2</cp:revision>
  <cp:lastPrinted>2012-05-03T01:13:00Z</cp:lastPrinted>
  <dcterms:created xsi:type="dcterms:W3CDTF">2013-03-28T04:40:00Z</dcterms:created>
  <dcterms:modified xsi:type="dcterms:W3CDTF">2013-03-28T04:40:00Z</dcterms:modified>
  <cp:category>Performance reporting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C:\Documents and Settings\sjuri\Local Settings\Temporary Internet Files\Content.Outlook\YHED1I07\Retail Energy Market Update  Performance - Oct to Dec 2012 accessible version.doc</vt:lpwstr>
  </property>
</Properties>
</file>