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D4841A" w14:textId="26868217" w:rsidR="00985A39" w:rsidRDefault="00985A39" w:rsidP="00E01ED3">
      <w:pPr>
        <w:pStyle w:val="Bodycopy"/>
      </w:pPr>
    </w:p>
    <w:p w14:paraId="04A7F268" w14:textId="11397DA8" w:rsidR="00181A1F" w:rsidRPr="00E01ED3" w:rsidRDefault="00985A39" w:rsidP="00E01ED3">
      <w:pPr>
        <w:pStyle w:val="Bodycopy"/>
      </w:pPr>
      <w:r>
        <w:rPr>
          <w:noProof/>
          <w:lang w:val="en-AU" w:eastAsia="en-AU"/>
        </w:rPr>
        <mc:AlternateContent>
          <mc:Choice Requires="wps">
            <w:drawing>
              <wp:anchor distT="0" distB="0" distL="114300" distR="114300" simplePos="0" relativeHeight="251658245" behindDoc="0" locked="0" layoutInCell="1" allowOverlap="1" wp14:anchorId="12FDBE39" wp14:editId="61B55133">
                <wp:simplePos x="0" y="0"/>
                <wp:positionH relativeFrom="column">
                  <wp:posOffset>162450</wp:posOffset>
                </wp:positionH>
                <wp:positionV relativeFrom="paragraph">
                  <wp:posOffset>6892290</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510B03D1" w14:textId="203DC3F6" w:rsidR="003D0B6F" w:rsidRPr="00566050" w:rsidRDefault="003D0B6F">
                            <w:pPr>
                              <w:rPr>
                                <w:b/>
                                <w:color w:val="F58025" w:themeColor="accent2"/>
                                <w:sz w:val="36"/>
                                <w:szCs w:val="36"/>
                              </w:rPr>
                            </w:pPr>
                            <w:r w:rsidRPr="00566050">
                              <w:rPr>
                                <w:b/>
                                <w:color w:val="F58025" w:themeColor="accent2"/>
                                <w:sz w:val="36"/>
                                <w:szCs w:val="36"/>
                              </w:rPr>
                              <w:t>Your power, your say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12FDBE39" id="_x0000_t202" coordsize="21600,21600" o:spt="202" path="m,l,21600r21600,l21600,xe">
                <v:stroke joinstyle="miter"/>
                <v:path gradientshapeok="t" o:connecttype="rect"/>
              </v:shapetype>
              <v:shape id="Text Box 2" o:spid="_x0000_s1026" type="#_x0000_t202" style="position:absolute;margin-left:12.8pt;margin-top:542.7pt;width:186.95pt;height:110.55pt;z-index:251658245;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" filled="f" stroked="f">
                <v:textbox style="mso-fit-shape-to-text:t">
                  <w:txbxContent>
                    <w:p w14:paraId="510B03D1" w14:textId="203DC3F6" w:rsidR="003D0B6F" w:rsidRPr="00566050" w:rsidRDefault="003D0B6F">
                      <w:pPr>
                        <w:rPr>
                          <w:b/>
                          <w:color w:val="F58025" w:themeColor="accent2"/>
                          <w:sz w:val="36"/>
                          <w:szCs w:val="36"/>
                        </w:rPr>
                      </w:pPr>
                      <w:r w:rsidRPr="00566050">
                        <w:rPr>
                          <w:b/>
                          <w:color w:val="F58025" w:themeColor="accent2"/>
                          <w:sz w:val="36"/>
                          <w:szCs w:val="36"/>
                        </w:rPr>
                        <w:t>Your power, your say</w:t>
                      </w:r>
                    </w:p>
                  </w:txbxContent>
                </v:textbox>
              </v:shape>
            </w:pict>
          </mc:Fallback>
        </mc:AlternateContent>
      </w:r>
      <w:r w:rsidRPr="00E01ED3">
        <w:rPr>
          <w:noProof/>
          <w:lang w:val="en-AU" w:eastAsia="en-AU"/>
        </w:rPr>
        <mc:AlternateContent>
          <mc:Choice Requires="wps">
            <w:drawing>
              <wp:anchor distT="0" distB="0" distL="114300" distR="114300" simplePos="0" relativeHeight="251658244" behindDoc="0" locked="0" layoutInCell="1" allowOverlap="1" wp14:anchorId="04A7F290" wp14:editId="5D809B15">
                <wp:simplePos x="0" y="0"/>
                <wp:positionH relativeFrom="column">
                  <wp:posOffset>162560</wp:posOffset>
                </wp:positionH>
                <wp:positionV relativeFrom="paragraph">
                  <wp:posOffset>7652385</wp:posOffset>
                </wp:positionV>
                <wp:extent cx="6553200" cy="61468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553200" cy="614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A7F2A0" w14:textId="6A32A013" w:rsidR="003D0B6F" w:rsidRDefault="003D0B6F" w:rsidP="008765BB">
                            <w:pPr>
                              <w:rPr>
                                <w:color w:val="FFFFFF" w:themeColor="background1"/>
                                <w:sz w:val="56"/>
                              </w:rPr>
                            </w:pPr>
                            <w:r>
                              <w:rPr>
                                <w:color w:val="FFFFFF" w:themeColor="background1"/>
                                <w:sz w:val="56"/>
                              </w:rPr>
                              <w:t>4 October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4A7F290" id="Text Box 14" o:spid="_x0000_s1027" type="#_x0000_t202" style="position:absolute;margin-left:12.8pt;margin-top:602.55pt;width:516pt;height:48.4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" filled="f" stroked="f" strokeweight=".5pt">
                <v:textbox>
                  <w:txbxContent>
                    <w:p w14:paraId="04A7F2A0" w14:textId="6A32A013" w:rsidR="003D0B6F" w:rsidRDefault="003D0B6F" w:rsidP="008765BB">
                      <w:pPr>
                        <w:rPr>
                          <w:color w:val="FFFFFF" w:themeColor="background1"/>
                          <w:sz w:val="56"/>
                        </w:rPr>
                      </w:pPr>
                      <w:r>
                        <w:rPr>
                          <w:color w:val="FFFFFF" w:themeColor="background1"/>
                          <w:sz w:val="56"/>
                        </w:rPr>
                        <w:t>4 October 2016</w:t>
                      </w:r>
                    </w:p>
                  </w:txbxContent>
                </v:textbox>
              </v:shape>
            </w:pict>
          </mc:Fallback>
        </mc:AlternateContent>
      </w:r>
      <w:r w:rsidR="008765BB" w:rsidRPr="00611D0A">
        <w:rPr>
          <w:noProof/>
          <w:lang w:val="en-AU" w:eastAsia="en-AU"/>
        </w:rPr>
        <w:drawing>
          <wp:anchor distT="0" distB="0" distL="114300" distR="114300" simplePos="0" relativeHeight="251658243" behindDoc="1" locked="0" layoutInCell="1" allowOverlap="1" wp14:anchorId="04A7F28E" wp14:editId="13D7EBE0">
            <wp:simplePos x="0" y="0"/>
            <wp:positionH relativeFrom="column">
              <wp:posOffset>5323840</wp:posOffset>
            </wp:positionH>
            <wp:positionV relativeFrom="paragraph">
              <wp:posOffset>8830945</wp:posOffset>
            </wp:positionV>
            <wp:extent cx="1429385" cy="720725"/>
            <wp:effectExtent l="0" t="0" r="0" b="3175"/>
            <wp:wrapNone/>
            <wp:docPr id="31" name="Picture 31" descr="E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E_rg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9385" cy="720725"/>
                    </a:xfrm>
                    <a:prstGeom prst="rect">
                      <a:avLst/>
                    </a:prstGeom>
                    <a:noFill/>
                  </pic:spPr>
                </pic:pic>
              </a:graphicData>
            </a:graphic>
            <wp14:sizeRelH relativeFrom="page">
              <wp14:pctWidth>0</wp14:pctWidth>
            </wp14:sizeRelH>
            <wp14:sizeRelV relativeFrom="page">
              <wp14:pctHeight>0</wp14:pctHeight>
            </wp14:sizeRelV>
          </wp:anchor>
        </w:drawing>
      </w:r>
      <w:bookmarkStart w:id="0" w:name="_Ref432172450"/>
      <w:bookmarkEnd w:id="0"/>
      <w:r w:rsidR="008765BB" w:rsidRPr="00E01ED3">
        <w:rPr>
          <w:noProof/>
          <w:lang w:val="en-AU" w:eastAsia="en-AU"/>
        </w:rPr>
        <mc:AlternateContent>
          <mc:Choice Requires="wps">
            <w:drawing>
              <wp:anchor distT="0" distB="0" distL="114300" distR="114300" simplePos="0" relativeHeight="251658240" behindDoc="1" locked="0" layoutInCell="1" allowOverlap="1" wp14:anchorId="04A7F292" wp14:editId="3B197C54">
                <wp:simplePos x="0" y="0"/>
                <wp:positionH relativeFrom="column">
                  <wp:posOffset>-540385</wp:posOffset>
                </wp:positionH>
                <wp:positionV relativeFrom="paragraph">
                  <wp:posOffset>-935990</wp:posOffset>
                </wp:positionV>
                <wp:extent cx="7696200" cy="10744200"/>
                <wp:effectExtent l="0" t="0" r="0" b="0"/>
                <wp:wrapNone/>
                <wp:docPr id="9" name="Rectangle 9"/>
                <wp:cNvGraphicFramePr/>
                <a:graphic xmlns:a="http://schemas.openxmlformats.org/drawingml/2006/main">
                  <a:graphicData uri="http://schemas.microsoft.com/office/word/2010/wordprocessingShape">
                    <wps:wsp>
                      <wps:cNvSpPr/>
                      <wps:spPr>
                        <a:xfrm>
                          <a:off x="0" y="0"/>
                          <a:ext cx="7696200" cy="10744200"/>
                        </a:xfrm>
                        <a:prstGeom prst="rect">
                          <a:avLst/>
                        </a:prstGeom>
                        <a:solidFill>
                          <a:srgbClr val="5F60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3C73CBEB" id="Rectangle 9" o:spid="_x0000_s1026" style="position:absolute;margin-left:-42.55pt;margin-top:-73.7pt;width:606pt;height:8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" fillcolor="#5f6062" stroked="f" strokeweight="2pt"/>
            </w:pict>
          </mc:Fallback>
        </mc:AlternateContent>
      </w:r>
      <w:r w:rsidR="008765BB" w:rsidRPr="00E01ED3">
        <w:rPr>
          <w:noProof/>
          <w:lang w:val="en-AU" w:eastAsia="en-AU"/>
        </w:rPr>
        <w:drawing>
          <wp:anchor distT="0" distB="0" distL="114300" distR="114300" simplePos="0" relativeHeight="251658242" behindDoc="0" locked="0" layoutInCell="1" allowOverlap="1" wp14:anchorId="04A7F294" wp14:editId="5BC38785">
            <wp:simplePos x="0" y="0"/>
            <wp:positionH relativeFrom="column">
              <wp:posOffset>-387985</wp:posOffset>
            </wp:positionH>
            <wp:positionV relativeFrom="paragraph">
              <wp:posOffset>2000885</wp:posOffset>
            </wp:positionV>
            <wp:extent cx="7560945" cy="4429760"/>
            <wp:effectExtent l="0" t="0" r="1905"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Image 2.jpg"/>
                    <pic:cNvPicPr/>
                  </pic:nvPicPr>
                  <pic:blipFill>
                    <a:blip r:embed="rId13">
                      <a:extLst>
                        <a:ext uri="{28A0092B-C50C-407E-A947-70E740481C1C}">
                          <a14:useLocalDpi xmlns:a14="http://schemas.microsoft.com/office/drawing/2010/main" val="0"/>
                        </a:ext>
                      </a:extLst>
                    </a:blip>
                    <a:stretch>
                      <a:fillRect/>
                    </a:stretch>
                  </pic:blipFill>
                  <pic:spPr>
                    <a:xfrm>
                      <a:off x="0" y="0"/>
                      <a:ext cx="7560945" cy="4429760"/>
                    </a:xfrm>
                    <a:prstGeom prst="rect">
                      <a:avLst/>
                    </a:prstGeom>
                  </pic:spPr>
                </pic:pic>
              </a:graphicData>
            </a:graphic>
            <wp14:sizeRelH relativeFrom="margin">
              <wp14:pctWidth>0</wp14:pctWidth>
            </wp14:sizeRelH>
            <wp14:sizeRelV relativeFrom="margin">
              <wp14:pctHeight>0</wp14:pctHeight>
            </wp14:sizeRelV>
          </wp:anchor>
        </w:drawing>
      </w:r>
      <w:r w:rsidR="008765BB" w:rsidRPr="00E01ED3">
        <w:rPr>
          <w:noProof/>
          <w:lang w:val="en-AU" w:eastAsia="en-AU"/>
        </w:rPr>
        <mc:AlternateContent>
          <mc:Choice Requires="wps">
            <w:drawing>
              <wp:anchor distT="0" distB="0" distL="114300" distR="114300" simplePos="0" relativeHeight="251658241" behindDoc="0" locked="0" layoutInCell="1" allowOverlap="1" wp14:anchorId="04A7F296" wp14:editId="7732CD75">
                <wp:simplePos x="0" y="0"/>
                <wp:positionH relativeFrom="column">
                  <wp:posOffset>221615</wp:posOffset>
                </wp:positionH>
                <wp:positionV relativeFrom="paragraph">
                  <wp:posOffset>949960</wp:posOffset>
                </wp:positionV>
                <wp:extent cx="6553200" cy="1924050"/>
                <wp:effectExtent l="0" t="0" r="0" b="0"/>
                <wp:wrapNone/>
                <wp:docPr id="7" name="Text Box 7"/>
                <wp:cNvGraphicFramePr/>
                <a:graphic xmlns:a="http://schemas.openxmlformats.org/drawingml/2006/main">
                  <a:graphicData uri="http://schemas.microsoft.com/office/word/2010/wordprocessingShape">
                    <wps:wsp>
                      <wps:cNvSpPr txBox="1"/>
                      <wps:spPr>
                        <a:xfrm>
                          <a:off x="0" y="0"/>
                          <a:ext cx="6553200" cy="192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A7F2A1" w14:textId="6116746F" w:rsidR="003D0B6F" w:rsidRDefault="003D0B6F" w:rsidP="008765BB">
                            <w:pPr>
                              <w:rPr>
                                <w:color w:val="F58025" w:themeColor="accent2"/>
                                <w:sz w:val="56"/>
                              </w:rPr>
                            </w:pPr>
                            <w:r>
                              <w:rPr>
                                <w:color w:val="F58025" w:themeColor="accent2"/>
                                <w:sz w:val="56"/>
                              </w:rPr>
                              <w:t>TARIFF STRUCTURE</w:t>
                            </w:r>
                          </w:p>
                          <w:p w14:paraId="04A7F2A2" w14:textId="77777777" w:rsidR="003D0B6F" w:rsidRPr="00603E98" w:rsidRDefault="003D0B6F" w:rsidP="008765BB">
                            <w:pPr>
                              <w:rPr>
                                <w:color w:val="F58025" w:themeColor="accent2"/>
                                <w:sz w:val="56"/>
                              </w:rPr>
                            </w:pPr>
                            <w:r>
                              <w:rPr>
                                <w:color w:val="F58025" w:themeColor="accent2"/>
                                <w:sz w:val="56"/>
                              </w:rPr>
                              <w:t>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4A7F296" id="Text Box 7" o:spid="_x0000_s1028" type="#_x0000_t202" style="position:absolute;margin-left:17.45pt;margin-top:74.8pt;width:516pt;height:151.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" filled="f" stroked="f" strokeweight=".5pt">
                <v:textbox>
                  <w:txbxContent>
                    <w:p w14:paraId="04A7F2A1" w14:textId="6116746F" w:rsidR="003D0B6F" w:rsidRDefault="003D0B6F" w:rsidP="008765BB">
                      <w:pPr>
                        <w:rPr>
                          <w:color w:val="F58025" w:themeColor="accent2"/>
                          <w:sz w:val="56"/>
                        </w:rPr>
                      </w:pPr>
                      <w:r>
                        <w:rPr>
                          <w:color w:val="F58025" w:themeColor="accent2"/>
                          <w:sz w:val="56"/>
                        </w:rPr>
                        <w:t>TARIFF STRUCTURE</w:t>
                      </w:r>
                    </w:p>
                    <w:p w14:paraId="04A7F2A2" w14:textId="77777777" w:rsidR="003D0B6F" w:rsidRPr="00603E98" w:rsidRDefault="003D0B6F" w:rsidP="008765BB">
                      <w:pPr>
                        <w:rPr>
                          <w:color w:val="F58025" w:themeColor="accent2"/>
                          <w:sz w:val="56"/>
                        </w:rPr>
                      </w:pPr>
                      <w:r>
                        <w:rPr>
                          <w:color w:val="F58025" w:themeColor="accent2"/>
                          <w:sz w:val="56"/>
                        </w:rPr>
                        <w:t>STATEMENT</w:t>
                      </w:r>
                    </w:p>
                  </w:txbxContent>
                </v:textbox>
              </v:shape>
            </w:pict>
          </mc:Fallback>
        </mc:AlternateContent>
      </w:r>
      <w:r w:rsidR="00181A1F" w:rsidRPr="00E01ED3">
        <w:br w:type="page"/>
      </w:r>
    </w:p>
    <w:p w14:paraId="04A7F269" w14:textId="636D3D07" w:rsidR="009D6C44" w:rsidRPr="007B3F41" w:rsidRDefault="008D5450" w:rsidP="009720B9">
      <w:pPr>
        <w:pStyle w:val="Heading1notinTOC"/>
        <w:rPr>
          <w:rFonts w:hint="eastAsia"/>
        </w:rPr>
      </w:pPr>
      <w:r>
        <w:lastRenderedPageBreak/>
        <w:t>TABLE OF CONTENTS</w:t>
      </w:r>
    </w:p>
    <w:p w14:paraId="073D9992" w14:textId="2D645528" w:rsidR="00334740" w:rsidRDefault="009720B9">
      <w:pPr>
        <w:pStyle w:val="TOC1"/>
        <w:rPr>
          <w:rFonts w:asciiTheme="minorHAnsi" w:eastAsiaTheme="minorEastAsia" w:hAnsiTheme="minorHAnsi" w:cstheme="minorBidi"/>
          <w:caps w:val="0"/>
          <w:noProof/>
          <w:sz w:val="22"/>
          <w:szCs w:val="22"/>
          <w:lang w:eastAsia="en-AU"/>
        </w:rPr>
      </w:pPr>
      <w:r>
        <w:fldChar w:fldCharType="begin"/>
      </w:r>
      <w:r>
        <w:rPr>
          <w:caps w:val="0"/>
        </w:rPr>
        <w:instrText xml:space="preserve"> TOC \h \z \t "Heading 1,1,Heading 2,2,Style Heading 1 + 22 pt Not Bold Accent 2,1,Heading 1 no numbers,1" </w:instrText>
      </w:r>
      <w:r>
        <w:fldChar w:fldCharType="separate"/>
      </w:r>
      <w:hyperlink w:anchor="_Toc463343007" w:history="1">
        <w:r w:rsidR="00334740" w:rsidRPr="00D90956">
          <w:rPr>
            <w:rStyle w:val="Hyperlink"/>
            <w:noProof/>
          </w:rPr>
          <w:t>LIST OF TABLES</w:t>
        </w:r>
        <w:r w:rsidR="00334740">
          <w:rPr>
            <w:noProof/>
            <w:webHidden/>
          </w:rPr>
          <w:tab/>
        </w:r>
        <w:r w:rsidR="00334740">
          <w:rPr>
            <w:noProof/>
            <w:webHidden/>
          </w:rPr>
          <w:fldChar w:fldCharType="begin"/>
        </w:r>
        <w:r w:rsidR="00334740">
          <w:rPr>
            <w:noProof/>
            <w:webHidden/>
          </w:rPr>
          <w:instrText xml:space="preserve"> PAGEREF _Toc463343007 \h </w:instrText>
        </w:r>
        <w:r w:rsidR="00334740">
          <w:rPr>
            <w:noProof/>
            <w:webHidden/>
          </w:rPr>
        </w:r>
        <w:r w:rsidR="00334740">
          <w:rPr>
            <w:noProof/>
            <w:webHidden/>
          </w:rPr>
          <w:fldChar w:fldCharType="separate"/>
        </w:r>
        <w:r w:rsidR="0073687F">
          <w:rPr>
            <w:noProof/>
            <w:webHidden/>
          </w:rPr>
          <w:t>2</w:t>
        </w:r>
        <w:r w:rsidR="00334740">
          <w:rPr>
            <w:noProof/>
            <w:webHidden/>
          </w:rPr>
          <w:fldChar w:fldCharType="end"/>
        </w:r>
      </w:hyperlink>
    </w:p>
    <w:p w14:paraId="61392D09" w14:textId="6CBEBE71" w:rsidR="00334740" w:rsidRDefault="0073687F">
      <w:pPr>
        <w:pStyle w:val="TOC1"/>
        <w:rPr>
          <w:rFonts w:asciiTheme="minorHAnsi" w:eastAsiaTheme="minorEastAsia" w:hAnsiTheme="minorHAnsi" w:cstheme="minorBidi"/>
          <w:caps w:val="0"/>
          <w:noProof/>
          <w:sz w:val="22"/>
          <w:szCs w:val="22"/>
          <w:lang w:eastAsia="en-AU"/>
        </w:rPr>
      </w:pPr>
      <w:hyperlink w:anchor="_Toc463343008" w:history="1">
        <w:r w:rsidR="00334740" w:rsidRPr="00D90956">
          <w:rPr>
            <w:rStyle w:val="Hyperlink"/>
            <w:noProof/>
          </w:rPr>
          <w:t>LIST OF FIGURES</w:t>
        </w:r>
        <w:r w:rsidR="00334740">
          <w:rPr>
            <w:noProof/>
            <w:webHidden/>
          </w:rPr>
          <w:tab/>
        </w:r>
        <w:r w:rsidR="00334740">
          <w:rPr>
            <w:noProof/>
            <w:webHidden/>
          </w:rPr>
          <w:fldChar w:fldCharType="begin"/>
        </w:r>
        <w:r w:rsidR="00334740">
          <w:rPr>
            <w:noProof/>
            <w:webHidden/>
          </w:rPr>
          <w:instrText xml:space="preserve"> PAGEREF _Toc463343008 \h </w:instrText>
        </w:r>
        <w:r w:rsidR="00334740">
          <w:rPr>
            <w:noProof/>
            <w:webHidden/>
          </w:rPr>
        </w:r>
        <w:r w:rsidR="00334740">
          <w:rPr>
            <w:noProof/>
            <w:webHidden/>
          </w:rPr>
          <w:fldChar w:fldCharType="separate"/>
        </w:r>
        <w:r>
          <w:rPr>
            <w:noProof/>
            <w:webHidden/>
          </w:rPr>
          <w:t>3</w:t>
        </w:r>
        <w:r w:rsidR="00334740">
          <w:rPr>
            <w:noProof/>
            <w:webHidden/>
          </w:rPr>
          <w:fldChar w:fldCharType="end"/>
        </w:r>
      </w:hyperlink>
    </w:p>
    <w:p w14:paraId="6981988B" w14:textId="59C4CF9A" w:rsidR="00334740" w:rsidRDefault="0073687F">
      <w:pPr>
        <w:pStyle w:val="TOC1"/>
        <w:rPr>
          <w:rFonts w:asciiTheme="minorHAnsi" w:eastAsiaTheme="minorEastAsia" w:hAnsiTheme="minorHAnsi" w:cstheme="minorBidi"/>
          <w:caps w:val="0"/>
          <w:noProof/>
          <w:sz w:val="22"/>
          <w:szCs w:val="22"/>
          <w:lang w:eastAsia="en-AU"/>
        </w:rPr>
      </w:pPr>
      <w:hyperlink w:anchor="_Toc463343009" w:history="1">
        <w:r w:rsidR="00334740" w:rsidRPr="00D90956">
          <w:rPr>
            <w:rStyle w:val="Hyperlink"/>
            <w:noProof/>
          </w:rPr>
          <w:t>LIST OF ATTACHMENTS</w:t>
        </w:r>
        <w:r w:rsidR="00334740">
          <w:rPr>
            <w:noProof/>
            <w:webHidden/>
          </w:rPr>
          <w:tab/>
        </w:r>
        <w:r w:rsidR="00334740">
          <w:rPr>
            <w:noProof/>
            <w:webHidden/>
          </w:rPr>
          <w:fldChar w:fldCharType="begin"/>
        </w:r>
        <w:r w:rsidR="00334740">
          <w:rPr>
            <w:noProof/>
            <w:webHidden/>
          </w:rPr>
          <w:instrText xml:space="preserve"> PAGEREF _Toc463343009 \h </w:instrText>
        </w:r>
        <w:r w:rsidR="00334740">
          <w:rPr>
            <w:noProof/>
            <w:webHidden/>
          </w:rPr>
        </w:r>
        <w:r w:rsidR="00334740">
          <w:rPr>
            <w:noProof/>
            <w:webHidden/>
          </w:rPr>
          <w:fldChar w:fldCharType="separate"/>
        </w:r>
        <w:r>
          <w:rPr>
            <w:noProof/>
            <w:webHidden/>
          </w:rPr>
          <w:t>3</w:t>
        </w:r>
        <w:r w:rsidR="00334740">
          <w:rPr>
            <w:noProof/>
            <w:webHidden/>
          </w:rPr>
          <w:fldChar w:fldCharType="end"/>
        </w:r>
      </w:hyperlink>
    </w:p>
    <w:p w14:paraId="2BC60A61" w14:textId="072400A9" w:rsidR="00334740" w:rsidRDefault="0073687F">
      <w:pPr>
        <w:pStyle w:val="TOC1"/>
        <w:rPr>
          <w:rFonts w:asciiTheme="minorHAnsi" w:eastAsiaTheme="minorEastAsia" w:hAnsiTheme="minorHAnsi" w:cstheme="minorBidi"/>
          <w:caps w:val="0"/>
          <w:noProof/>
          <w:sz w:val="22"/>
          <w:szCs w:val="22"/>
          <w:lang w:eastAsia="en-AU"/>
        </w:rPr>
      </w:pPr>
      <w:hyperlink w:anchor="_Toc463343010" w:history="1">
        <w:r w:rsidR="00334740" w:rsidRPr="00D90956">
          <w:rPr>
            <w:rStyle w:val="Hyperlink"/>
            <w:noProof/>
          </w:rPr>
          <w:t>Glossary</w:t>
        </w:r>
        <w:r w:rsidR="00334740">
          <w:rPr>
            <w:noProof/>
            <w:webHidden/>
          </w:rPr>
          <w:tab/>
        </w:r>
        <w:r w:rsidR="00334740">
          <w:rPr>
            <w:noProof/>
            <w:webHidden/>
          </w:rPr>
          <w:fldChar w:fldCharType="begin"/>
        </w:r>
        <w:r w:rsidR="00334740">
          <w:rPr>
            <w:noProof/>
            <w:webHidden/>
          </w:rPr>
          <w:instrText xml:space="preserve"> PAGEREF _Toc463343010 \h </w:instrText>
        </w:r>
        <w:r w:rsidR="00334740">
          <w:rPr>
            <w:noProof/>
            <w:webHidden/>
          </w:rPr>
        </w:r>
        <w:r w:rsidR="00334740">
          <w:rPr>
            <w:noProof/>
            <w:webHidden/>
          </w:rPr>
          <w:fldChar w:fldCharType="separate"/>
        </w:r>
        <w:r>
          <w:rPr>
            <w:noProof/>
            <w:webHidden/>
          </w:rPr>
          <w:t>4</w:t>
        </w:r>
        <w:r w:rsidR="00334740">
          <w:rPr>
            <w:noProof/>
            <w:webHidden/>
          </w:rPr>
          <w:fldChar w:fldCharType="end"/>
        </w:r>
      </w:hyperlink>
    </w:p>
    <w:p w14:paraId="6788E4B5" w14:textId="4A438069" w:rsidR="00334740" w:rsidRDefault="0073687F">
      <w:pPr>
        <w:pStyle w:val="TOC1"/>
        <w:rPr>
          <w:rFonts w:asciiTheme="minorHAnsi" w:eastAsiaTheme="minorEastAsia" w:hAnsiTheme="minorHAnsi" w:cstheme="minorBidi"/>
          <w:caps w:val="0"/>
          <w:noProof/>
          <w:sz w:val="22"/>
          <w:szCs w:val="22"/>
          <w:lang w:eastAsia="en-AU"/>
        </w:rPr>
      </w:pPr>
      <w:hyperlink w:anchor="_Toc463343011" w:history="1">
        <w:r w:rsidR="00334740" w:rsidRPr="00D90956">
          <w:rPr>
            <w:rStyle w:val="Hyperlink"/>
            <w:noProof/>
          </w:rPr>
          <w:t>ABOUT THIS TARIFF STRUCTURE STATEMENT</w:t>
        </w:r>
        <w:r w:rsidR="00334740">
          <w:rPr>
            <w:noProof/>
            <w:webHidden/>
          </w:rPr>
          <w:tab/>
        </w:r>
        <w:r w:rsidR="00334740">
          <w:rPr>
            <w:noProof/>
            <w:webHidden/>
          </w:rPr>
          <w:fldChar w:fldCharType="begin"/>
        </w:r>
        <w:r w:rsidR="00334740">
          <w:rPr>
            <w:noProof/>
            <w:webHidden/>
          </w:rPr>
          <w:instrText xml:space="preserve"> PAGEREF _Toc463343011 \h </w:instrText>
        </w:r>
        <w:r w:rsidR="00334740">
          <w:rPr>
            <w:noProof/>
            <w:webHidden/>
          </w:rPr>
        </w:r>
        <w:r w:rsidR="00334740">
          <w:rPr>
            <w:noProof/>
            <w:webHidden/>
          </w:rPr>
          <w:fldChar w:fldCharType="separate"/>
        </w:r>
        <w:r>
          <w:rPr>
            <w:noProof/>
            <w:webHidden/>
          </w:rPr>
          <w:t>5</w:t>
        </w:r>
        <w:r w:rsidR="00334740">
          <w:rPr>
            <w:noProof/>
            <w:webHidden/>
          </w:rPr>
          <w:fldChar w:fldCharType="end"/>
        </w:r>
      </w:hyperlink>
    </w:p>
    <w:p w14:paraId="09BAD9CF" w14:textId="5765F3E4" w:rsidR="00334740" w:rsidRDefault="0073687F">
      <w:pPr>
        <w:pStyle w:val="TOC1"/>
        <w:rPr>
          <w:rFonts w:asciiTheme="minorHAnsi" w:eastAsiaTheme="minorEastAsia" w:hAnsiTheme="minorHAnsi" w:cstheme="minorBidi"/>
          <w:caps w:val="0"/>
          <w:noProof/>
          <w:sz w:val="22"/>
          <w:szCs w:val="22"/>
          <w:lang w:eastAsia="en-AU"/>
        </w:rPr>
      </w:pPr>
      <w:hyperlink w:anchor="_Toc463343012" w:history="1">
        <w:r w:rsidR="00334740" w:rsidRPr="00D90956">
          <w:rPr>
            <w:rStyle w:val="Hyperlink"/>
            <w:noProof/>
          </w:rPr>
          <w:t>1.</w:t>
        </w:r>
        <w:r w:rsidR="00334740">
          <w:rPr>
            <w:rFonts w:asciiTheme="minorHAnsi" w:eastAsiaTheme="minorEastAsia" w:hAnsiTheme="minorHAnsi" w:cstheme="minorBidi"/>
            <w:caps w:val="0"/>
            <w:noProof/>
            <w:sz w:val="22"/>
            <w:szCs w:val="22"/>
            <w:lang w:eastAsia="en-AU"/>
          </w:rPr>
          <w:tab/>
        </w:r>
        <w:r w:rsidR="00334740" w:rsidRPr="00D90956">
          <w:rPr>
            <w:rStyle w:val="Hyperlink"/>
            <w:noProof/>
          </w:rPr>
          <w:t>Executive summary</w:t>
        </w:r>
        <w:r w:rsidR="00334740">
          <w:rPr>
            <w:noProof/>
            <w:webHidden/>
          </w:rPr>
          <w:tab/>
        </w:r>
        <w:r w:rsidR="00334740">
          <w:rPr>
            <w:noProof/>
            <w:webHidden/>
          </w:rPr>
          <w:fldChar w:fldCharType="begin"/>
        </w:r>
        <w:r w:rsidR="00334740">
          <w:rPr>
            <w:noProof/>
            <w:webHidden/>
          </w:rPr>
          <w:instrText xml:space="preserve"> PAGEREF _Toc463343012 \h </w:instrText>
        </w:r>
        <w:r w:rsidR="00334740">
          <w:rPr>
            <w:noProof/>
            <w:webHidden/>
          </w:rPr>
        </w:r>
        <w:r w:rsidR="00334740">
          <w:rPr>
            <w:noProof/>
            <w:webHidden/>
          </w:rPr>
          <w:fldChar w:fldCharType="separate"/>
        </w:r>
        <w:r>
          <w:rPr>
            <w:noProof/>
            <w:webHidden/>
          </w:rPr>
          <w:t>7</w:t>
        </w:r>
        <w:r w:rsidR="00334740">
          <w:rPr>
            <w:noProof/>
            <w:webHidden/>
          </w:rPr>
          <w:fldChar w:fldCharType="end"/>
        </w:r>
      </w:hyperlink>
    </w:p>
    <w:p w14:paraId="60429CCF" w14:textId="26962D2C" w:rsidR="00334740" w:rsidRDefault="0073687F">
      <w:pPr>
        <w:pStyle w:val="TOC2"/>
        <w:rPr>
          <w:rFonts w:asciiTheme="minorHAnsi" w:eastAsiaTheme="minorEastAsia" w:hAnsiTheme="minorHAnsi" w:cstheme="minorBidi"/>
          <w:sz w:val="22"/>
          <w:szCs w:val="22"/>
          <w:lang w:eastAsia="en-AU"/>
        </w:rPr>
      </w:pPr>
      <w:hyperlink w:anchor="_Toc463343013" w:history="1">
        <w:r w:rsidR="00334740" w:rsidRPr="00D90956">
          <w:rPr>
            <w:rStyle w:val="Hyperlink"/>
          </w:rPr>
          <w:t>1.1</w:t>
        </w:r>
        <w:r w:rsidR="00334740">
          <w:rPr>
            <w:rFonts w:asciiTheme="minorHAnsi" w:eastAsiaTheme="minorEastAsia" w:hAnsiTheme="minorHAnsi" w:cstheme="minorBidi"/>
            <w:sz w:val="22"/>
            <w:szCs w:val="22"/>
            <w:lang w:eastAsia="en-AU"/>
          </w:rPr>
          <w:tab/>
        </w:r>
        <w:r w:rsidR="00334740" w:rsidRPr="00D90956">
          <w:rPr>
            <w:rStyle w:val="Hyperlink"/>
          </w:rPr>
          <w:t>Changes from our initial TSS published in November 2015</w:t>
        </w:r>
        <w:r w:rsidR="00334740">
          <w:rPr>
            <w:webHidden/>
          </w:rPr>
          <w:tab/>
        </w:r>
        <w:r w:rsidR="00334740">
          <w:rPr>
            <w:webHidden/>
          </w:rPr>
          <w:fldChar w:fldCharType="begin"/>
        </w:r>
        <w:r w:rsidR="00334740">
          <w:rPr>
            <w:webHidden/>
          </w:rPr>
          <w:instrText xml:space="preserve"> PAGEREF _Toc463343013 \h </w:instrText>
        </w:r>
        <w:r w:rsidR="00334740">
          <w:rPr>
            <w:webHidden/>
          </w:rPr>
        </w:r>
        <w:r w:rsidR="00334740">
          <w:rPr>
            <w:webHidden/>
          </w:rPr>
          <w:fldChar w:fldCharType="separate"/>
        </w:r>
        <w:r>
          <w:rPr>
            <w:webHidden/>
          </w:rPr>
          <w:t>8</w:t>
        </w:r>
        <w:r w:rsidR="00334740">
          <w:rPr>
            <w:webHidden/>
          </w:rPr>
          <w:fldChar w:fldCharType="end"/>
        </w:r>
      </w:hyperlink>
    </w:p>
    <w:p w14:paraId="76869D65" w14:textId="120DD35D" w:rsidR="00334740" w:rsidRDefault="0073687F">
      <w:pPr>
        <w:pStyle w:val="TOC2"/>
        <w:rPr>
          <w:rFonts w:asciiTheme="minorHAnsi" w:eastAsiaTheme="minorEastAsia" w:hAnsiTheme="minorHAnsi" w:cstheme="minorBidi"/>
          <w:sz w:val="22"/>
          <w:szCs w:val="22"/>
          <w:lang w:eastAsia="en-AU"/>
        </w:rPr>
      </w:pPr>
      <w:hyperlink w:anchor="_Toc463343014" w:history="1">
        <w:r w:rsidR="00334740" w:rsidRPr="00D90956">
          <w:rPr>
            <w:rStyle w:val="Hyperlink"/>
          </w:rPr>
          <w:t>1.2</w:t>
        </w:r>
        <w:r w:rsidR="00334740">
          <w:rPr>
            <w:rFonts w:asciiTheme="minorHAnsi" w:eastAsiaTheme="minorEastAsia" w:hAnsiTheme="minorHAnsi" w:cstheme="minorBidi"/>
            <w:sz w:val="22"/>
            <w:szCs w:val="22"/>
            <w:lang w:eastAsia="en-AU"/>
          </w:rPr>
          <w:tab/>
        </w:r>
        <w:r w:rsidR="00334740" w:rsidRPr="00D90956">
          <w:rPr>
            <w:rStyle w:val="Hyperlink"/>
          </w:rPr>
          <w:t>What has not changed following the AER’s draft decision</w:t>
        </w:r>
        <w:r w:rsidR="00334740">
          <w:rPr>
            <w:webHidden/>
          </w:rPr>
          <w:tab/>
        </w:r>
        <w:r w:rsidR="00334740">
          <w:rPr>
            <w:webHidden/>
          </w:rPr>
          <w:fldChar w:fldCharType="begin"/>
        </w:r>
        <w:r w:rsidR="00334740">
          <w:rPr>
            <w:webHidden/>
          </w:rPr>
          <w:instrText xml:space="preserve"> PAGEREF _Toc463343014 \h </w:instrText>
        </w:r>
        <w:r w:rsidR="00334740">
          <w:rPr>
            <w:webHidden/>
          </w:rPr>
        </w:r>
        <w:r w:rsidR="00334740">
          <w:rPr>
            <w:webHidden/>
          </w:rPr>
          <w:fldChar w:fldCharType="separate"/>
        </w:r>
        <w:r>
          <w:rPr>
            <w:webHidden/>
          </w:rPr>
          <w:t>8</w:t>
        </w:r>
        <w:r w:rsidR="00334740">
          <w:rPr>
            <w:webHidden/>
          </w:rPr>
          <w:fldChar w:fldCharType="end"/>
        </w:r>
      </w:hyperlink>
    </w:p>
    <w:p w14:paraId="2551109F" w14:textId="35B7881A" w:rsidR="00334740" w:rsidRDefault="0073687F">
      <w:pPr>
        <w:pStyle w:val="TOC1"/>
        <w:rPr>
          <w:rFonts w:asciiTheme="minorHAnsi" w:eastAsiaTheme="minorEastAsia" w:hAnsiTheme="minorHAnsi" w:cstheme="minorBidi"/>
          <w:caps w:val="0"/>
          <w:noProof/>
          <w:sz w:val="22"/>
          <w:szCs w:val="22"/>
          <w:lang w:eastAsia="en-AU"/>
        </w:rPr>
      </w:pPr>
      <w:hyperlink w:anchor="_Toc463343015" w:history="1">
        <w:r w:rsidR="00334740" w:rsidRPr="00D90956">
          <w:rPr>
            <w:rStyle w:val="Hyperlink"/>
            <w:noProof/>
          </w:rPr>
          <w:t>2.</w:t>
        </w:r>
        <w:r w:rsidR="00334740">
          <w:rPr>
            <w:rFonts w:asciiTheme="minorHAnsi" w:eastAsiaTheme="minorEastAsia" w:hAnsiTheme="minorHAnsi" w:cstheme="minorBidi"/>
            <w:caps w:val="0"/>
            <w:noProof/>
            <w:sz w:val="22"/>
            <w:szCs w:val="22"/>
            <w:lang w:eastAsia="en-AU"/>
          </w:rPr>
          <w:tab/>
        </w:r>
        <w:r w:rsidR="00334740" w:rsidRPr="00D90956">
          <w:rPr>
            <w:rStyle w:val="Hyperlink"/>
            <w:noProof/>
          </w:rPr>
          <w:t>Assigning customers to tariffs</w:t>
        </w:r>
        <w:r w:rsidR="00334740">
          <w:rPr>
            <w:noProof/>
            <w:webHidden/>
          </w:rPr>
          <w:tab/>
        </w:r>
        <w:r w:rsidR="00334740">
          <w:rPr>
            <w:noProof/>
            <w:webHidden/>
          </w:rPr>
          <w:fldChar w:fldCharType="begin"/>
        </w:r>
        <w:r w:rsidR="00334740">
          <w:rPr>
            <w:noProof/>
            <w:webHidden/>
          </w:rPr>
          <w:instrText xml:space="preserve"> PAGEREF _Toc463343015 \h </w:instrText>
        </w:r>
        <w:r w:rsidR="00334740">
          <w:rPr>
            <w:noProof/>
            <w:webHidden/>
          </w:rPr>
        </w:r>
        <w:r w:rsidR="00334740">
          <w:rPr>
            <w:noProof/>
            <w:webHidden/>
          </w:rPr>
          <w:fldChar w:fldCharType="separate"/>
        </w:r>
        <w:r>
          <w:rPr>
            <w:noProof/>
            <w:webHidden/>
          </w:rPr>
          <w:t>9</w:t>
        </w:r>
        <w:r w:rsidR="00334740">
          <w:rPr>
            <w:noProof/>
            <w:webHidden/>
          </w:rPr>
          <w:fldChar w:fldCharType="end"/>
        </w:r>
      </w:hyperlink>
    </w:p>
    <w:p w14:paraId="31F77104" w14:textId="0D659719" w:rsidR="00334740" w:rsidRDefault="0073687F">
      <w:pPr>
        <w:pStyle w:val="TOC2"/>
        <w:rPr>
          <w:rFonts w:asciiTheme="minorHAnsi" w:eastAsiaTheme="minorEastAsia" w:hAnsiTheme="minorHAnsi" w:cstheme="minorBidi"/>
          <w:sz w:val="22"/>
          <w:szCs w:val="22"/>
          <w:lang w:eastAsia="en-AU"/>
        </w:rPr>
      </w:pPr>
      <w:hyperlink w:anchor="_Toc463343016" w:history="1">
        <w:r w:rsidR="00334740" w:rsidRPr="00D90956">
          <w:rPr>
            <w:rStyle w:val="Hyperlink"/>
          </w:rPr>
          <w:t>2.1</w:t>
        </w:r>
        <w:r w:rsidR="00334740">
          <w:rPr>
            <w:rFonts w:asciiTheme="minorHAnsi" w:eastAsiaTheme="minorEastAsia" w:hAnsiTheme="minorHAnsi" w:cstheme="minorBidi"/>
            <w:sz w:val="22"/>
            <w:szCs w:val="22"/>
            <w:lang w:eastAsia="en-AU"/>
          </w:rPr>
          <w:tab/>
        </w:r>
        <w:r w:rsidR="00334740" w:rsidRPr="00D90956">
          <w:rPr>
            <w:rStyle w:val="Hyperlink"/>
          </w:rPr>
          <w:t>Default tariff assignment</w:t>
        </w:r>
        <w:r w:rsidR="00334740">
          <w:rPr>
            <w:webHidden/>
          </w:rPr>
          <w:tab/>
        </w:r>
        <w:r w:rsidR="00334740">
          <w:rPr>
            <w:webHidden/>
          </w:rPr>
          <w:fldChar w:fldCharType="begin"/>
        </w:r>
        <w:r w:rsidR="00334740">
          <w:rPr>
            <w:webHidden/>
          </w:rPr>
          <w:instrText xml:space="preserve"> PAGEREF _Toc463343016 \h </w:instrText>
        </w:r>
        <w:r w:rsidR="00334740">
          <w:rPr>
            <w:webHidden/>
          </w:rPr>
        </w:r>
        <w:r w:rsidR="00334740">
          <w:rPr>
            <w:webHidden/>
          </w:rPr>
          <w:fldChar w:fldCharType="separate"/>
        </w:r>
        <w:r>
          <w:rPr>
            <w:webHidden/>
          </w:rPr>
          <w:t>9</w:t>
        </w:r>
        <w:r w:rsidR="00334740">
          <w:rPr>
            <w:webHidden/>
          </w:rPr>
          <w:fldChar w:fldCharType="end"/>
        </w:r>
      </w:hyperlink>
    </w:p>
    <w:p w14:paraId="7CB76457" w14:textId="0E158655" w:rsidR="00334740" w:rsidRDefault="0073687F">
      <w:pPr>
        <w:pStyle w:val="TOC2"/>
        <w:rPr>
          <w:rFonts w:asciiTheme="minorHAnsi" w:eastAsiaTheme="minorEastAsia" w:hAnsiTheme="minorHAnsi" w:cstheme="minorBidi"/>
          <w:sz w:val="22"/>
          <w:szCs w:val="22"/>
          <w:lang w:eastAsia="en-AU"/>
        </w:rPr>
      </w:pPr>
      <w:hyperlink w:anchor="_Toc463343017" w:history="1">
        <w:r w:rsidR="00334740" w:rsidRPr="00D90956">
          <w:rPr>
            <w:rStyle w:val="Hyperlink"/>
          </w:rPr>
          <w:t>2.2</w:t>
        </w:r>
        <w:r w:rsidR="00334740">
          <w:rPr>
            <w:rFonts w:asciiTheme="minorHAnsi" w:eastAsiaTheme="minorEastAsia" w:hAnsiTheme="minorHAnsi" w:cstheme="minorBidi"/>
            <w:sz w:val="22"/>
            <w:szCs w:val="22"/>
            <w:lang w:eastAsia="en-AU"/>
          </w:rPr>
          <w:tab/>
        </w:r>
        <w:r w:rsidR="00334740" w:rsidRPr="00D90956">
          <w:rPr>
            <w:rStyle w:val="Hyperlink"/>
          </w:rPr>
          <w:t>Tariff reassignment</w:t>
        </w:r>
        <w:r w:rsidR="00334740">
          <w:rPr>
            <w:webHidden/>
          </w:rPr>
          <w:tab/>
        </w:r>
        <w:r w:rsidR="00334740">
          <w:rPr>
            <w:webHidden/>
          </w:rPr>
          <w:fldChar w:fldCharType="begin"/>
        </w:r>
        <w:r w:rsidR="00334740">
          <w:rPr>
            <w:webHidden/>
          </w:rPr>
          <w:instrText xml:space="preserve"> PAGEREF _Toc463343017 \h </w:instrText>
        </w:r>
        <w:r w:rsidR="00334740">
          <w:rPr>
            <w:webHidden/>
          </w:rPr>
        </w:r>
        <w:r w:rsidR="00334740">
          <w:rPr>
            <w:webHidden/>
          </w:rPr>
          <w:fldChar w:fldCharType="separate"/>
        </w:r>
        <w:r>
          <w:rPr>
            <w:webHidden/>
          </w:rPr>
          <w:t>9</w:t>
        </w:r>
        <w:r w:rsidR="00334740">
          <w:rPr>
            <w:webHidden/>
          </w:rPr>
          <w:fldChar w:fldCharType="end"/>
        </w:r>
      </w:hyperlink>
    </w:p>
    <w:p w14:paraId="22915F29" w14:textId="28F441E7" w:rsidR="00334740" w:rsidRDefault="0073687F">
      <w:pPr>
        <w:pStyle w:val="TOC2"/>
        <w:rPr>
          <w:rFonts w:asciiTheme="minorHAnsi" w:eastAsiaTheme="minorEastAsia" w:hAnsiTheme="minorHAnsi" w:cstheme="minorBidi"/>
          <w:sz w:val="22"/>
          <w:szCs w:val="22"/>
          <w:lang w:eastAsia="en-AU"/>
        </w:rPr>
      </w:pPr>
      <w:hyperlink w:anchor="_Toc463343018" w:history="1">
        <w:r w:rsidR="00334740" w:rsidRPr="00D90956">
          <w:rPr>
            <w:rStyle w:val="Hyperlink"/>
          </w:rPr>
          <w:t>2.3</w:t>
        </w:r>
        <w:r w:rsidR="00334740">
          <w:rPr>
            <w:rFonts w:asciiTheme="minorHAnsi" w:eastAsiaTheme="minorEastAsia" w:hAnsiTheme="minorHAnsi" w:cstheme="minorBidi"/>
            <w:sz w:val="22"/>
            <w:szCs w:val="22"/>
            <w:lang w:eastAsia="en-AU"/>
          </w:rPr>
          <w:tab/>
        </w:r>
        <w:r w:rsidR="00334740" w:rsidRPr="00D90956">
          <w:rPr>
            <w:rStyle w:val="Hyperlink"/>
          </w:rPr>
          <w:t>Changes to tariff assignment from our initial TSS</w:t>
        </w:r>
        <w:r w:rsidR="00334740">
          <w:rPr>
            <w:webHidden/>
          </w:rPr>
          <w:tab/>
        </w:r>
        <w:r w:rsidR="00334740">
          <w:rPr>
            <w:webHidden/>
          </w:rPr>
          <w:fldChar w:fldCharType="begin"/>
        </w:r>
        <w:r w:rsidR="00334740">
          <w:rPr>
            <w:webHidden/>
          </w:rPr>
          <w:instrText xml:space="preserve"> PAGEREF _Toc463343018 \h </w:instrText>
        </w:r>
        <w:r w:rsidR="00334740">
          <w:rPr>
            <w:webHidden/>
          </w:rPr>
        </w:r>
        <w:r w:rsidR="00334740">
          <w:rPr>
            <w:webHidden/>
          </w:rPr>
          <w:fldChar w:fldCharType="separate"/>
        </w:r>
        <w:r>
          <w:rPr>
            <w:webHidden/>
          </w:rPr>
          <w:t>9</w:t>
        </w:r>
        <w:r w:rsidR="00334740">
          <w:rPr>
            <w:webHidden/>
          </w:rPr>
          <w:fldChar w:fldCharType="end"/>
        </w:r>
      </w:hyperlink>
    </w:p>
    <w:p w14:paraId="3DFC5D9E" w14:textId="7E32D20C" w:rsidR="00334740" w:rsidRDefault="0073687F">
      <w:pPr>
        <w:pStyle w:val="TOC1"/>
        <w:rPr>
          <w:rFonts w:asciiTheme="minorHAnsi" w:eastAsiaTheme="minorEastAsia" w:hAnsiTheme="minorHAnsi" w:cstheme="minorBidi"/>
          <w:caps w:val="0"/>
          <w:noProof/>
          <w:sz w:val="22"/>
          <w:szCs w:val="22"/>
          <w:lang w:eastAsia="en-AU"/>
        </w:rPr>
      </w:pPr>
      <w:hyperlink w:anchor="_Toc463343019" w:history="1">
        <w:r w:rsidR="00334740" w:rsidRPr="00D90956">
          <w:rPr>
            <w:rStyle w:val="Hyperlink"/>
            <w:noProof/>
          </w:rPr>
          <w:t>3.</w:t>
        </w:r>
        <w:r w:rsidR="00334740">
          <w:rPr>
            <w:rFonts w:asciiTheme="minorHAnsi" w:eastAsiaTheme="minorEastAsia" w:hAnsiTheme="minorHAnsi" w:cstheme="minorBidi"/>
            <w:caps w:val="0"/>
            <w:noProof/>
            <w:sz w:val="22"/>
            <w:szCs w:val="22"/>
            <w:lang w:eastAsia="en-AU"/>
          </w:rPr>
          <w:tab/>
        </w:r>
        <w:r w:rsidR="00334740" w:rsidRPr="00D90956">
          <w:rPr>
            <w:rStyle w:val="Hyperlink"/>
            <w:noProof/>
          </w:rPr>
          <w:t>Our proposed tariff classes</w:t>
        </w:r>
        <w:r w:rsidR="00334740">
          <w:rPr>
            <w:noProof/>
            <w:webHidden/>
          </w:rPr>
          <w:tab/>
        </w:r>
        <w:r w:rsidR="00334740">
          <w:rPr>
            <w:noProof/>
            <w:webHidden/>
          </w:rPr>
          <w:fldChar w:fldCharType="begin"/>
        </w:r>
        <w:r w:rsidR="00334740">
          <w:rPr>
            <w:noProof/>
            <w:webHidden/>
          </w:rPr>
          <w:instrText xml:space="preserve"> PAGEREF _Toc463343019 \h </w:instrText>
        </w:r>
        <w:r w:rsidR="00334740">
          <w:rPr>
            <w:noProof/>
            <w:webHidden/>
          </w:rPr>
        </w:r>
        <w:r w:rsidR="00334740">
          <w:rPr>
            <w:noProof/>
            <w:webHidden/>
          </w:rPr>
          <w:fldChar w:fldCharType="separate"/>
        </w:r>
        <w:r>
          <w:rPr>
            <w:noProof/>
            <w:webHidden/>
          </w:rPr>
          <w:t>10</w:t>
        </w:r>
        <w:r w:rsidR="00334740">
          <w:rPr>
            <w:noProof/>
            <w:webHidden/>
          </w:rPr>
          <w:fldChar w:fldCharType="end"/>
        </w:r>
      </w:hyperlink>
    </w:p>
    <w:p w14:paraId="15A0594F" w14:textId="698AB1C4" w:rsidR="00334740" w:rsidRDefault="0073687F">
      <w:pPr>
        <w:pStyle w:val="TOC1"/>
        <w:rPr>
          <w:rFonts w:asciiTheme="minorHAnsi" w:eastAsiaTheme="minorEastAsia" w:hAnsiTheme="minorHAnsi" w:cstheme="minorBidi"/>
          <w:caps w:val="0"/>
          <w:noProof/>
          <w:sz w:val="22"/>
          <w:szCs w:val="22"/>
          <w:lang w:eastAsia="en-AU"/>
        </w:rPr>
      </w:pPr>
      <w:hyperlink w:anchor="_Toc463343020" w:history="1">
        <w:r w:rsidR="00334740" w:rsidRPr="00D90956">
          <w:rPr>
            <w:rStyle w:val="Hyperlink"/>
            <w:noProof/>
          </w:rPr>
          <w:t>4.</w:t>
        </w:r>
        <w:r w:rsidR="00334740">
          <w:rPr>
            <w:rFonts w:asciiTheme="minorHAnsi" w:eastAsiaTheme="minorEastAsia" w:hAnsiTheme="minorHAnsi" w:cstheme="minorBidi"/>
            <w:caps w:val="0"/>
            <w:noProof/>
            <w:sz w:val="22"/>
            <w:szCs w:val="22"/>
            <w:lang w:eastAsia="en-AU"/>
          </w:rPr>
          <w:tab/>
        </w:r>
        <w:r w:rsidR="00334740" w:rsidRPr="00D90956">
          <w:rPr>
            <w:rStyle w:val="Hyperlink"/>
            <w:noProof/>
          </w:rPr>
          <w:t>Our proposed tariff structures</w:t>
        </w:r>
        <w:r w:rsidR="00334740">
          <w:rPr>
            <w:noProof/>
            <w:webHidden/>
          </w:rPr>
          <w:tab/>
        </w:r>
        <w:r w:rsidR="00334740">
          <w:rPr>
            <w:noProof/>
            <w:webHidden/>
          </w:rPr>
          <w:fldChar w:fldCharType="begin"/>
        </w:r>
        <w:r w:rsidR="00334740">
          <w:rPr>
            <w:noProof/>
            <w:webHidden/>
          </w:rPr>
          <w:instrText xml:space="preserve"> PAGEREF _Toc463343020 \h </w:instrText>
        </w:r>
        <w:r w:rsidR="00334740">
          <w:rPr>
            <w:noProof/>
            <w:webHidden/>
          </w:rPr>
        </w:r>
        <w:r w:rsidR="00334740">
          <w:rPr>
            <w:noProof/>
            <w:webHidden/>
          </w:rPr>
          <w:fldChar w:fldCharType="separate"/>
        </w:r>
        <w:r>
          <w:rPr>
            <w:noProof/>
            <w:webHidden/>
          </w:rPr>
          <w:t>11</w:t>
        </w:r>
        <w:r w:rsidR="00334740">
          <w:rPr>
            <w:noProof/>
            <w:webHidden/>
          </w:rPr>
          <w:fldChar w:fldCharType="end"/>
        </w:r>
      </w:hyperlink>
    </w:p>
    <w:p w14:paraId="438ED62F" w14:textId="12A340AF" w:rsidR="00334740" w:rsidRDefault="0073687F">
      <w:pPr>
        <w:pStyle w:val="TOC2"/>
        <w:rPr>
          <w:rFonts w:asciiTheme="minorHAnsi" w:eastAsiaTheme="minorEastAsia" w:hAnsiTheme="minorHAnsi" w:cstheme="minorBidi"/>
          <w:sz w:val="22"/>
          <w:szCs w:val="22"/>
          <w:lang w:eastAsia="en-AU"/>
        </w:rPr>
      </w:pPr>
      <w:hyperlink w:anchor="_Toc463343021" w:history="1">
        <w:r w:rsidR="00334740" w:rsidRPr="00D90956">
          <w:rPr>
            <w:rStyle w:val="Hyperlink"/>
          </w:rPr>
          <w:t>4.1</w:t>
        </w:r>
        <w:r w:rsidR="00334740">
          <w:rPr>
            <w:rFonts w:asciiTheme="minorHAnsi" w:eastAsiaTheme="minorEastAsia" w:hAnsiTheme="minorHAnsi" w:cstheme="minorBidi"/>
            <w:sz w:val="22"/>
            <w:szCs w:val="22"/>
            <w:lang w:eastAsia="en-AU"/>
          </w:rPr>
          <w:tab/>
        </w:r>
        <w:r w:rsidR="00334740" w:rsidRPr="00D90956">
          <w:rPr>
            <w:rStyle w:val="Hyperlink"/>
          </w:rPr>
          <w:t>Changes to tariff structures from our initial TSS</w:t>
        </w:r>
        <w:r w:rsidR="00334740">
          <w:rPr>
            <w:webHidden/>
          </w:rPr>
          <w:tab/>
        </w:r>
        <w:r w:rsidR="00334740">
          <w:rPr>
            <w:webHidden/>
          </w:rPr>
          <w:fldChar w:fldCharType="begin"/>
        </w:r>
        <w:r w:rsidR="00334740">
          <w:rPr>
            <w:webHidden/>
          </w:rPr>
          <w:instrText xml:space="preserve"> PAGEREF _Toc463343021 \h </w:instrText>
        </w:r>
        <w:r w:rsidR="00334740">
          <w:rPr>
            <w:webHidden/>
          </w:rPr>
        </w:r>
        <w:r w:rsidR="00334740">
          <w:rPr>
            <w:webHidden/>
          </w:rPr>
          <w:fldChar w:fldCharType="separate"/>
        </w:r>
        <w:r>
          <w:rPr>
            <w:webHidden/>
          </w:rPr>
          <w:t>11</w:t>
        </w:r>
        <w:r w:rsidR="00334740">
          <w:rPr>
            <w:webHidden/>
          </w:rPr>
          <w:fldChar w:fldCharType="end"/>
        </w:r>
      </w:hyperlink>
    </w:p>
    <w:p w14:paraId="59BBA28A" w14:textId="29550BCF" w:rsidR="00334740" w:rsidRDefault="0073687F">
      <w:pPr>
        <w:pStyle w:val="TOC2"/>
        <w:rPr>
          <w:rFonts w:asciiTheme="minorHAnsi" w:eastAsiaTheme="minorEastAsia" w:hAnsiTheme="minorHAnsi" w:cstheme="minorBidi"/>
          <w:sz w:val="22"/>
          <w:szCs w:val="22"/>
          <w:lang w:eastAsia="en-AU"/>
        </w:rPr>
      </w:pPr>
      <w:hyperlink w:anchor="_Toc463343022" w:history="1">
        <w:r w:rsidR="00334740" w:rsidRPr="00D90956">
          <w:rPr>
            <w:rStyle w:val="Hyperlink"/>
          </w:rPr>
          <w:t>4.2</w:t>
        </w:r>
        <w:r w:rsidR="00334740">
          <w:rPr>
            <w:rFonts w:asciiTheme="minorHAnsi" w:eastAsiaTheme="minorEastAsia" w:hAnsiTheme="minorHAnsi" w:cstheme="minorBidi"/>
            <w:sz w:val="22"/>
            <w:szCs w:val="22"/>
            <w:lang w:eastAsia="en-AU"/>
          </w:rPr>
          <w:tab/>
        </w:r>
        <w:r w:rsidR="00334740" w:rsidRPr="00D90956">
          <w:rPr>
            <w:rStyle w:val="Hyperlink"/>
          </w:rPr>
          <w:t>Residential customers’ network tariffs and charging parameters</w:t>
        </w:r>
        <w:r w:rsidR="00334740">
          <w:rPr>
            <w:webHidden/>
          </w:rPr>
          <w:tab/>
        </w:r>
        <w:r w:rsidR="00334740">
          <w:rPr>
            <w:webHidden/>
          </w:rPr>
          <w:fldChar w:fldCharType="begin"/>
        </w:r>
        <w:r w:rsidR="00334740">
          <w:rPr>
            <w:webHidden/>
          </w:rPr>
          <w:instrText xml:space="preserve"> PAGEREF _Toc463343022 \h </w:instrText>
        </w:r>
        <w:r w:rsidR="00334740">
          <w:rPr>
            <w:webHidden/>
          </w:rPr>
        </w:r>
        <w:r w:rsidR="00334740">
          <w:rPr>
            <w:webHidden/>
          </w:rPr>
          <w:fldChar w:fldCharType="separate"/>
        </w:r>
        <w:r>
          <w:rPr>
            <w:webHidden/>
          </w:rPr>
          <w:t>12</w:t>
        </w:r>
        <w:r w:rsidR="00334740">
          <w:rPr>
            <w:webHidden/>
          </w:rPr>
          <w:fldChar w:fldCharType="end"/>
        </w:r>
      </w:hyperlink>
    </w:p>
    <w:p w14:paraId="0E575D54" w14:textId="6B6AE06E" w:rsidR="00334740" w:rsidRDefault="0073687F">
      <w:pPr>
        <w:pStyle w:val="TOC2"/>
        <w:rPr>
          <w:rFonts w:asciiTheme="minorHAnsi" w:eastAsiaTheme="minorEastAsia" w:hAnsiTheme="minorHAnsi" w:cstheme="minorBidi"/>
          <w:sz w:val="22"/>
          <w:szCs w:val="22"/>
          <w:lang w:eastAsia="en-AU"/>
        </w:rPr>
      </w:pPr>
      <w:hyperlink w:anchor="_Toc463343023" w:history="1">
        <w:r w:rsidR="00334740" w:rsidRPr="00D90956">
          <w:rPr>
            <w:rStyle w:val="Hyperlink"/>
          </w:rPr>
          <w:t>4.3</w:t>
        </w:r>
        <w:r w:rsidR="00334740">
          <w:rPr>
            <w:rFonts w:asciiTheme="minorHAnsi" w:eastAsiaTheme="minorEastAsia" w:hAnsiTheme="minorHAnsi" w:cstheme="minorBidi"/>
            <w:sz w:val="22"/>
            <w:szCs w:val="22"/>
            <w:lang w:eastAsia="en-AU"/>
          </w:rPr>
          <w:tab/>
        </w:r>
        <w:r w:rsidR="00334740" w:rsidRPr="00D90956">
          <w:rPr>
            <w:rStyle w:val="Hyperlink"/>
          </w:rPr>
          <w:t>Small Business customers’ network tariffs and charging parameters</w:t>
        </w:r>
        <w:r w:rsidR="00334740">
          <w:rPr>
            <w:webHidden/>
          </w:rPr>
          <w:tab/>
        </w:r>
        <w:r w:rsidR="00334740">
          <w:rPr>
            <w:webHidden/>
          </w:rPr>
          <w:fldChar w:fldCharType="begin"/>
        </w:r>
        <w:r w:rsidR="00334740">
          <w:rPr>
            <w:webHidden/>
          </w:rPr>
          <w:instrText xml:space="preserve"> PAGEREF _Toc463343023 \h </w:instrText>
        </w:r>
        <w:r w:rsidR="00334740">
          <w:rPr>
            <w:webHidden/>
          </w:rPr>
        </w:r>
        <w:r w:rsidR="00334740">
          <w:rPr>
            <w:webHidden/>
          </w:rPr>
          <w:fldChar w:fldCharType="separate"/>
        </w:r>
        <w:r>
          <w:rPr>
            <w:webHidden/>
          </w:rPr>
          <w:t>13</w:t>
        </w:r>
        <w:r w:rsidR="00334740">
          <w:rPr>
            <w:webHidden/>
          </w:rPr>
          <w:fldChar w:fldCharType="end"/>
        </w:r>
      </w:hyperlink>
    </w:p>
    <w:p w14:paraId="48A42726" w14:textId="2E95C164" w:rsidR="00334740" w:rsidRDefault="0073687F">
      <w:pPr>
        <w:pStyle w:val="TOC2"/>
        <w:rPr>
          <w:rFonts w:asciiTheme="minorHAnsi" w:eastAsiaTheme="minorEastAsia" w:hAnsiTheme="minorHAnsi" w:cstheme="minorBidi"/>
          <w:sz w:val="22"/>
          <w:szCs w:val="22"/>
          <w:lang w:eastAsia="en-AU"/>
        </w:rPr>
      </w:pPr>
      <w:hyperlink w:anchor="_Toc463343024" w:history="1">
        <w:r w:rsidR="00334740" w:rsidRPr="00D90956">
          <w:rPr>
            <w:rStyle w:val="Hyperlink"/>
          </w:rPr>
          <w:t>4.4</w:t>
        </w:r>
        <w:r w:rsidR="00334740">
          <w:rPr>
            <w:rFonts w:asciiTheme="minorHAnsi" w:eastAsiaTheme="minorEastAsia" w:hAnsiTheme="minorHAnsi" w:cstheme="minorBidi"/>
            <w:sz w:val="22"/>
            <w:szCs w:val="22"/>
            <w:lang w:eastAsia="en-AU"/>
          </w:rPr>
          <w:tab/>
        </w:r>
        <w:r w:rsidR="00334740" w:rsidRPr="00D90956">
          <w:rPr>
            <w:rStyle w:val="Hyperlink"/>
          </w:rPr>
          <w:t>Controlled Load customers’ network tariffs and charging parameters</w:t>
        </w:r>
        <w:r w:rsidR="00334740">
          <w:rPr>
            <w:webHidden/>
          </w:rPr>
          <w:tab/>
        </w:r>
        <w:r w:rsidR="00334740">
          <w:rPr>
            <w:webHidden/>
          </w:rPr>
          <w:fldChar w:fldCharType="begin"/>
        </w:r>
        <w:r w:rsidR="00334740">
          <w:rPr>
            <w:webHidden/>
          </w:rPr>
          <w:instrText xml:space="preserve"> PAGEREF _Toc463343024 \h </w:instrText>
        </w:r>
        <w:r w:rsidR="00334740">
          <w:rPr>
            <w:webHidden/>
          </w:rPr>
        </w:r>
        <w:r w:rsidR="00334740">
          <w:rPr>
            <w:webHidden/>
          </w:rPr>
          <w:fldChar w:fldCharType="separate"/>
        </w:r>
        <w:r>
          <w:rPr>
            <w:webHidden/>
          </w:rPr>
          <w:t>14</w:t>
        </w:r>
        <w:r w:rsidR="00334740">
          <w:rPr>
            <w:webHidden/>
          </w:rPr>
          <w:fldChar w:fldCharType="end"/>
        </w:r>
      </w:hyperlink>
    </w:p>
    <w:p w14:paraId="5C7EA928" w14:textId="381109C7" w:rsidR="00334740" w:rsidRDefault="0073687F">
      <w:pPr>
        <w:pStyle w:val="TOC2"/>
        <w:rPr>
          <w:rFonts w:asciiTheme="minorHAnsi" w:eastAsiaTheme="minorEastAsia" w:hAnsiTheme="minorHAnsi" w:cstheme="minorBidi"/>
          <w:sz w:val="22"/>
          <w:szCs w:val="22"/>
          <w:lang w:eastAsia="en-AU"/>
        </w:rPr>
      </w:pPr>
      <w:hyperlink w:anchor="_Toc463343025" w:history="1">
        <w:r w:rsidR="00334740" w:rsidRPr="00D90956">
          <w:rPr>
            <w:rStyle w:val="Hyperlink"/>
          </w:rPr>
          <w:t>4.5</w:t>
        </w:r>
        <w:r w:rsidR="00334740">
          <w:rPr>
            <w:rFonts w:asciiTheme="minorHAnsi" w:eastAsiaTheme="minorEastAsia" w:hAnsiTheme="minorHAnsi" w:cstheme="minorBidi"/>
            <w:sz w:val="22"/>
            <w:szCs w:val="22"/>
            <w:lang w:eastAsia="en-AU"/>
          </w:rPr>
          <w:tab/>
        </w:r>
        <w:r w:rsidR="00334740" w:rsidRPr="00D90956">
          <w:rPr>
            <w:rStyle w:val="Hyperlink"/>
          </w:rPr>
          <w:t>Business customers’ network tariffs and charging parameters</w:t>
        </w:r>
        <w:r w:rsidR="00334740">
          <w:rPr>
            <w:webHidden/>
          </w:rPr>
          <w:tab/>
        </w:r>
        <w:r w:rsidR="00334740">
          <w:rPr>
            <w:webHidden/>
          </w:rPr>
          <w:fldChar w:fldCharType="begin"/>
        </w:r>
        <w:r w:rsidR="00334740">
          <w:rPr>
            <w:webHidden/>
          </w:rPr>
          <w:instrText xml:space="preserve"> PAGEREF _Toc463343025 \h </w:instrText>
        </w:r>
        <w:r w:rsidR="00334740">
          <w:rPr>
            <w:webHidden/>
          </w:rPr>
        </w:r>
        <w:r w:rsidR="00334740">
          <w:rPr>
            <w:webHidden/>
          </w:rPr>
          <w:fldChar w:fldCharType="separate"/>
        </w:r>
        <w:r>
          <w:rPr>
            <w:webHidden/>
          </w:rPr>
          <w:t>15</w:t>
        </w:r>
        <w:r w:rsidR="00334740">
          <w:rPr>
            <w:webHidden/>
          </w:rPr>
          <w:fldChar w:fldCharType="end"/>
        </w:r>
      </w:hyperlink>
    </w:p>
    <w:p w14:paraId="022C40E5" w14:textId="1C95D441" w:rsidR="00334740" w:rsidRDefault="0073687F">
      <w:pPr>
        <w:pStyle w:val="TOC2"/>
        <w:rPr>
          <w:rFonts w:asciiTheme="minorHAnsi" w:eastAsiaTheme="minorEastAsia" w:hAnsiTheme="minorHAnsi" w:cstheme="minorBidi"/>
          <w:sz w:val="22"/>
          <w:szCs w:val="22"/>
          <w:lang w:eastAsia="en-AU"/>
        </w:rPr>
      </w:pPr>
      <w:hyperlink w:anchor="_Toc463343026" w:history="1">
        <w:r w:rsidR="00334740" w:rsidRPr="00D90956">
          <w:rPr>
            <w:rStyle w:val="Hyperlink"/>
          </w:rPr>
          <w:t>4.6</w:t>
        </w:r>
        <w:r w:rsidR="00334740">
          <w:rPr>
            <w:rFonts w:asciiTheme="minorHAnsi" w:eastAsiaTheme="minorEastAsia" w:hAnsiTheme="minorHAnsi" w:cstheme="minorBidi"/>
            <w:sz w:val="22"/>
            <w:szCs w:val="22"/>
            <w:lang w:eastAsia="en-AU"/>
          </w:rPr>
          <w:tab/>
        </w:r>
        <w:r w:rsidR="00334740" w:rsidRPr="00D90956">
          <w:rPr>
            <w:rStyle w:val="Hyperlink"/>
          </w:rPr>
          <w:t>Large Business customers’ network tariffs and charging parameters</w:t>
        </w:r>
        <w:r w:rsidR="00334740">
          <w:rPr>
            <w:webHidden/>
          </w:rPr>
          <w:tab/>
        </w:r>
        <w:r w:rsidR="00334740">
          <w:rPr>
            <w:webHidden/>
          </w:rPr>
          <w:fldChar w:fldCharType="begin"/>
        </w:r>
        <w:r w:rsidR="00334740">
          <w:rPr>
            <w:webHidden/>
          </w:rPr>
          <w:instrText xml:space="preserve"> PAGEREF _Toc463343026 \h </w:instrText>
        </w:r>
        <w:r w:rsidR="00334740">
          <w:rPr>
            <w:webHidden/>
          </w:rPr>
        </w:r>
        <w:r w:rsidR="00334740">
          <w:rPr>
            <w:webHidden/>
          </w:rPr>
          <w:fldChar w:fldCharType="separate"/>
        </w:r>
        <w:r>
          <w:rPr>
            <w:webHidden/>
          </w:rPr>
          <w:t>17</w:t>
        </w:r>
        <w:r w:rsidR="00334740">
          <w:rPr>
            <w:webHidden/>
          </w:rPr>
          <w:fldChar w:fldCharType="end"/>
        </w:r>
      </w:hyperlink>
    </w:p>
    <w:p w14:paraId="76C2511A" w14:textId="03ABBEF2" w:rsidR="00334740" w:rsidRDefault="0073687F">
      <w:pPr>
        <w:pStyle w:val="TOC2"/>
        <w:rPr>
          <w:rFonts w:asciiTheme="minorHAnsi" w:eastAsiaTheme="minorEastAsia" w:hAnsiTheme="minorHAnsi" w:cstheme="minorBidi"/>
          <w:sz w:val="22"/>
          <w:szCs w:val="22"/>
          <w:lang w:eastAsia="en-AU"/>
        </w:rPr>
      </w:pPr>
      <w:hyperlink w:anchor="_Toc463343027" w:history="1">
        <w:r w:rsidR="00334740" w:rsidRPr="00D90956">
          <w:rPr>
            <w:rStyle w:val="Hyperlink"/>
          </w:rPr>
          <w:t>4.7</w:t>
        </w:r>
        <w:r w:rsidR="00334740">
          <w:rPr>
            <w:rFonts w:asciiTheme="minorHAnsi" w:eastAsiaTheme="minorEastAsia" w:hAnsiTheme="minorHAnsi" w:cstheme="minorBidi"/>
            <w:sz w:val="22"/>
            <w:szCs w:val="22"/>
            <w:lang w:eastAsia="en-AU"/>
          </w:rPr>
          <w:tab/>
        </w:r>
        <w:r w:rsidR="00334740" w:rsidRPr="00D90956">
          <w:rPr>
            <w:rStyle w:val="Hyperlink"/>
          </w:rPr>
          <w:t>Large Business Sub-transmission customers’ network tariffs and charging parameters</w:t>
        </w:r>
        <w:r w:rsidR="00334740">
          <w:rPr>
            <w:webHidden/>
          </w:rPr>
          <w:tab/>
        </w:r>
        <w:r w:rsidR="00334740">
          <w:rPr>
            <w:webHidden/>
          </w:rPr>
          <w:fldChar w:fldCharType="begin"/>
        </w:r>
        <w:r w:rsidR="00334740">
          <w:rPr>
            <w:webHidden/>
          </w:rPr>
          <w:instrText xml:space="preserve"> PAGEREF _Toc463343027 \h </w:instrText>
        </w:r>
        <w:r w:rsidR="00334740">
          <w:rPr>
            <w:webHidden/>
          </w:rPr>
        </w:r>
        <w:r w:rsidR="00334740">
          <w:rPr>
            <w:webHidden/>
          </w:rPr>
          <w:fldChar w:fldCharType="separate"/>
        </w:r>
        <w:r>
          <w:rPr>
            <w:webHidden/>
          </w:rPr>
          <w:t>18</w:t>
        </w:r>
        <w:r w:rsidR="00334740">
          <w:rPr>
            <w:webHidden/>
          </w:rPr>
          <w:fldChar w:fldCharType="end"/>
        </w:r>
      </w:hyperlink>
    </w:p>
    <w:p w14:paraId="17AE5054" w14:textId="2E4C26E9" w:rsidR="00334740" w:rsidRDefault="0073687F">
      <w:pPr>
        <w:pStyle w:val="TOC2"/>
        <w:rPr>
          <w:rFonts w:asciiTheme="minorHAnsi" w:eastAsiaTheme="minorEastAsia" w:hAnsiTheme="minorHAnsi" w:cstheme="minorBidi"/>
          <w:sz w:val="22"/>
          <w:szCs w:val="22"/>
          <w:lang w:eastAsia="en-AU"/>
        </w:rPr>
      </w:pPr>
      <w:hyperlink w:anchor="_Toc463343028" w:history="1">
        <w:r w:rsidR="00334740" w:rsidRPr="00D90956">
          <w:rPr>
            <w:rStyle w:val="Hyperlink"/>
          </w:rPr>
          <w:t>4.8</w:t>
        </w:r>
        <w:r w:rsidR="00334740">
          <w:rPr>
            <w:rFonts w:asciiTheme="minorHAnsi" w:eastAsiaTheme="minorEastAsia" w:hAnsiTheme="minorHAnsi" w:cstheme="minorBidi"/>
            <w:sz w:val="22"/>
            <w:szCs w:val="22"/>
            <w:lang w:eastAsia="en-AU"/>
          </w:rPr>
          <w:tab/>
        </w:r>
        <w:r w:rsidR="00334740" w:rsidRPr="00D90956">
          <w:rPr>
            <w:rStyle w:val="Hyperlink"/>
          </w:rPr>
          <w:t>Unmetered customers’ network tariffs and charging parameters</w:t>
        </w:r>
        <w:r w:rsidR="00334740">
          <w:rPr>
            <w:webHidden/>
          </w:rPr>
          <w:tab/>
        </w:r>
        <w:r w:rsidR="00334740">
          <w:rPr>
            <w:webHidden/>
          </w:rPr>
          <w:fldChar w:fldCharType="begin"/>
        </w:r>
        <w:r w:rsidR="00334740">
          <w:rPr>
            <w:webHidden/>
          </w:rPr>
          <w:instrText xml:space="preserve"> PAGEREF _Toc463343028 \h </w:instrText>
        </w:r>
        <w:r w:rsidR="00334740">
          <w:rPr>
            <w:webHidden/>
          </w:rPr>
        </w:r>
        <w:r w:rsidR="00334740">
          <w:rPr>
            <w:webHidden/>
          </w:rPr>
          <w:fldChar w:fldCharType="separate"/>
        </w:r>
        <w:r>
          <w:rPr>
            <w:webHidden/>
          </w:rPr>
          <w:t>19</w:t>
        </w:r>
        <w:r w:rsidR="00334740">
          <w:rPr>
            <w:webHidden/>
          </w:rPr>
          <w:fldChar w:fldCharType="end"/>
        </w:r>
      </w:hyperlink>
    </w:p>
    <w:p w14:paraId="154C7711" w14:textId="79D4A57B" w:rsidR="00334740" w:rsidRDefault="0073687F">
      <w:pPr>
        <w:pStyle w:val="TOC1"/>
        <w:rPr>
          <w:rFonts w:asciiTheme="minorHAnsi" w:eastAsiaTheme="minorEastAsia" w:hAnsiTheme="minorHAnsi" w:cstheme="minorBidi"/>
          <w:caps w:val="0"/>
          <w:noProof/>
          <w:sz w:val="22"/>
          <w:szCs w:val="22"/>
          <w:lang w:eastAsia="en-AU"/>
        </w:rPr>
      </w:pPr>
      <w:hyperlink w:anchor="_Toc463343029" w:history="1">
        <w:r w:rsidR="00334740" w:rsidRPr="00D90956">
          <w:rPr>
            <w:rStyle w:val="Hyperlink"/>
            <w:rFonts w:cs="Arial"/>
            <w:noProof/>
          </w:rPr>
          <w:t>5.</w:t>
        </w:r>
        <w:r w:rsidR="00334740">
          <w:rPr>
            <w:rFonts w:asciiTheme="minorHAnsi" w:eastAsiaTheme="minorEastAsia" w:hAnsiTheme="minorHAnsi" w:cstheme="minorBidi"/>
            <w:caps w:val="0"/>
            <w:noProof/>
            <w:sz w:val="22"/>
            <w:szCs w:val="22"/>
            <w:lang w:eastAsia="en-AU"/>
          </w:rPr>
          <w:tab/>
        </w:r>
        <w:r w:rsidR="00334740" w:rsidRPr="00D90956">
          <w:rPr>
            <w:rStyle w:val="Hyperlink"/>
            <w:rFonts w:cs="Arial"/>
            <w:noProof/>
          </w:rPr>
          <w:t>Our Tariff Setting Methodology</w:t>
        </w:r>
        <w:r w:rsidR="00334740">
          <w:rPr>
            <w:noProof/>
            <w:webHidden/>
          </w:rPr>
          <w:tab/>
        </w:r>
        <w:r w:rsidR="00334740">
          <w:rPr>
            <w:noProof/>
            <w:webHidden/>
          </w:rPr>
          <w:fldChar w:fldCharType="begin"/>
        </w:r>
        <w:r w:rsidR="00334740">
          <w:rPr>
            <w:noProof/>
            <w:webHidden/>
          </w:rPr>
          <w:instrText xml:space="preserve"> PAGEREF _Toc463343029 \h </w:instrText>
        </w:r>
        <w:r w:rsidR="00334740">
          <w:rPr>
            <w:noProof/>
            <w:webHidden/>
          </w:rPr>
        </w:r>
        <w:r w:rsidR="00334740">
          <w:rPr>
            <w:noProof/>
            <w:webHidden/>
          </w:rPr>
          <w:fldChar w:fldCharType="separate"/>
        </w:r>
        <w:r>
          <w:rPr>
            <w:noProof/>
            <w:webHidden/>
          </w:rPr>
          <w:t>20</w:t>
        </w:r>
        <w:r w:rsidR="00334740">
          <w:rPr>
            <w:noProof/>
            <w:webHidden/>
          </w:rPr>
          <w:fldChar w:fldCharType="end"/>
        </w:r>
      </w:hyperlink>
    </w:p>
    <w:p w14:paraId="318084C5" w14:textId="5FA6255E" w:rsidR="00334740" w:rsidRDefault="0073687F">
      <w:pPr>
        <w:pStyle w:val="TOC2"/>
        <w:rPr>
          <w:rFonts w:asciiTheme="minorHAnsi" w:eastAsiaTheme="minorEastAsia" w:hAnsiTheme="minorHAnsi" w:cstheme="minorBidi"/>
          <w:sz w:val="22"/>
          <w:szCs w:val="22"/>
          <w:lang w:eastAsia="en-AU"/>
        </w:rPr>
      </w:pPr>
      <w:hyperlink w:anchor="_Toc463343030" w:history="1">
        <w:r w:rsidR="00334740" w:rsidRPr="00D90956">
          <w:rPr>
            <w:rStyle w:val="Hyperlink"/>
          </w:rPr>
          <w:t>5.1</w:t>
        </w:r>
        <w:r w:rsidR="00334740">
          <w:rPr>
            <w:rFonts w:asciiTheme="minorHAnsi" w:eastAsiaTheme="minorEastAsia" w:hAnsiTheme="minorHAnsi" w:cstheme="minorBidi"/>
            <w:sz w:val="22"/>
            <w:szCs w:val="22"/>
            <w:lang w:eastAsia="en-AU"/>
          </w:rPr>
          <w:tab/>
        </w:r>
        <w:r w:rsidR="00334740" w:rsidRPr="00D90956">
          <w:rPr>
            <w:rStyle w:val="Hyperlink"/>
          </w:rPr>
          <w:t>Rule requirements</w:t>
        </w:r>
        <w:r w:rsidR="00334740">
          <w:rPr>
            <w:webHidden/>
          </w:rPr>
          <w:tab/>
        </w:r>
        <w:r w:rsidR="00334740">
          <w:rPr>
            <w:webHidden/>
          </w:rPr>
          <w:fldChar w:fldCharType="begin"/>
        </w:r>
        <w:r w:rsidR="00334740">
          <w:rPr>
            <w:webHidden/>
          </w:rPr>
          <w:instrText xml:space="preserve"> PAGEREF _Toc463343030 \h </w:instrText>
        </w:r>
        <w:r w:rsidR="00334740">
          <w:rPr>
            <w:webHidden/>
          </w:rPr>
        </w:r>
        <w:r w:rsidR="00334740">
          <w:rPr>
            <w:webHidden/>
          </w:rPr>
          <w:fldChar w:fldCharType="separate"/>
        </w:r>
        <w:r>
          <w:rPr>
            <w:webHidden/>
          </w:rPr>
          <w:t>20</w:t>
        </w:r>
        <w:r w:rsidR="00334740">
          <w:rPr>
            <w:webHidden/>
          </w:rPr>
          <w:fldChar w:fldCharType="end"/>
        </w:r>
      </w:hyperlink>
    </w:p>
    <w:p w14:paraId="2A7238E2" w14:textId="52C649BC" w:rsidR="00334740" w:rsidRDefault="0073687F">
      <w:pPr>
        <w:pStyle w:val="TOC2"/>
        <w:rPr>
          <w:rFonts w:asciiTheme="minorHAnsi" w:eastAsiaTheme="minorEastAsia" w:hAnsiTheme="minorHAnsi" w:cstheme="minorBidi"/>
          <w:sz w:val="22"/>
          <w:szCs w:val="22"/>
          <w:lang w:eastAsia="en-AU"/>
        </w:rPr>
      </w:pPr>
      <w:hyperlink w:anchor="_Toc463343031" w:history="1">
        <w:r w:rsidR="00334740" w:rsidRPr="00D90956">
          <w:rPr>
            <w:rStyle w:val="Hyperlink"/>
          </w:rPr>
          <w:t>5.2</w:t>
        </w:r>
        <w:r w:rsidR="00334740">
          <w:rPr>
            <w:rFonts w:asciiTheme="minorHAnsi" w:eastAsiaTheme="minorEastAsia" w:hAnsiTheme="minorHAnsi" w:cstheme="minorBidi"/>
            <w:sz w:val="22"/>
            <w:szCs w:val="22"/>
            <w:lang w:eastAsia="en-AU"/>
          </w:rPr>
          <w:tab/>
        </w:r>
        <w:r w:rsidR="00334740" w:rsidRPr="00D90956">
          <w:rPr>
            <w:rStyle w:val="Hyperlink"/>
          </w:rPr>
          <w:t>Approach to setting tariffs</w:t>
        </w:r>
        <w:r w:rsidR="00334740">
          <w:rPr>
            <w:webHidden/>
          </w:rPr>
          <w:tab/>
        </w:r>
        <w:r w:rsidR="00334740">
          <w:rPr>
            <w:webHidden/>
          </w:rPr>
          <w:fldChar w:fldCharType="begin"/>
        </w:r>
        <w:r w:rsidR="00334740">
          <w:rPr>
            <w:webHidden/>
          </w:rPr>
          <w:instrText xml:space="preserve"> PAGEREF _Toc463343031 \h </w:instrText>
        </w:r>
        <w:r w:rsidR="00334740">
          <w:rPr>
            <w:webHidden/>
          </w:rPr>
        </w:r>
        <w:r w:rsidR="00334740">
          <w:rPr>
            <w:webHidden/>
          </w:rPr>
          <w:fldChar w:fldCharType="separate"/>
        </w:r>
        <w:r>
          <w:rPr>
            <w:webHidden/>
          </w:rPr>
          <w:t>22</w:t>
        </w:r>
        <w:r w:rsidR="00334740">
          <w:rPr>
            <w:webHidden/>
          </w:rPr>
          <w:fldChar w:fldCharType="end"/>
        </w:r>
      </w:hyperlink>
    </w:p>
    <w:p w14:paraId="7AFCFC3B" w14:textId="69630485" w:rsidR="00334740" w:rsidRDefault="0073687F">
      <w:pPr>
        <w:pStyle w:val="TOC2"/>
        <w:rPr>
          <w:rFonts w:asciiTheme="minorHAnsi" w:eastAsiaTheme="minorEastAsia" w:hAnsiTheme="minorHAnsi" w:cstheme="minorBidi"/>
          <w:sz w:val="22"/>
          <w:szCs w:val="22"/>
          <w:lang w:eastAsia="en-AU"/>
        </w:rPr>
      </w:pPr>
      <w:hyperlink w:anchor="_Toc463343032" w:history="1">
        <w:r w:rsidR="00334740" w:rsidRPr="00D90956">
          <w:rPr>
            <w:rStyle w:val="Hyperlink"/>
          </w:rPr>
          <w:t>5.3</w:t>
        </w:r>
        <w:r w:rsidR="00334740">
          <w:rPr>
            <w:rFonts w:asciiTheme="minorHAnsi" w:eastAsiaTheme="minorEastAsia" w:hAnsiTheme="minorHAnsi" w:cstheme="minorBidi"/>
            <w:sz w:val="22"/>
            <w:szCs w:val="22"/>
            <w:lang w:eastAsia="en-AU"/>
          </w:rPr>
          <w:tab/>
        </w:r>
        <w:r w:rsidR="00334740" w:rsidRPr="00D90956">
          <w:rPr>
            <w:rStyle w:val="Hyperlink"/>
          </w:rPr>
          <w:t>Tariff change project</w:t>
        </w:r>
        <w:r w:rsidR="00334740">
          <w:rPr>
            <w:webHidden/>
          </w:rPr>
          <w:tab/>
        </w:r>
        <w:r w:rsidR="00334740">
          <w:rPr>
            <w:webHidden/>
          </w:rPr>
          <w:fldChar w:fldCharType="begin"/>
        </w:r>
        <w:r w:rsidR="00334740">
          <w:rPr>
            <w:webHidden/>
          </w:rPr>
          <w:instrText xml:space="preserve"> PAGEREF _Toc463343032 \h </w:instrText>
        </w:r>
        <w:r w:rsidR="00334740">
          <w:rPr>
            <w:webHidden/>
          </w:rPr>
        </w:r>
        <w:r w:rsidR="00334740">
          <w:rPr>
            <w:webHidden/>
          </w:rPr>
          <w:fldChar w:fldCharType="separate"/>
        </w:r>
        <w:r>
          <w:rPr>
            <w:webHidden/>
          </w:rPr>
          <w:t>27</w:t>
        </w:r>
        <w:r w:rsidR="00334740">
          <w:rPr>
            <w:webHidden/>
          </w:rPr>
          <w:fldChar w:fldCharType="end"/>
        </w:r>
      </w:hyperlink>
    </w:p>
    <w:p w14:paraId="5FACCD7C" w14:textId="5E33E0A2" w:rsidR="003958A1" w:rsidRDefault="009720B9" w:rsidP="003958A1">
      <w:pPr>
        <w:pStyle w:val="Bodycopy"/>
      </w:pPr>
      <w:r>
        <w:fldChar w:fldCharType="end"/>
      </w:r>
    </w:p>
    <w:p w14:paraId="19A4315C" w14:textId="0353F710" w:rsidR="00A1141B" w:rsidRDefault="008D5450" w:rsidP="00B50601">
      <w:pPr>
        <w:pStyle w:val="Heading1nonumbers"/>
        <w:rPr>
          <w:rFonts w:hint="eastAsia"/>
        </w:rPr>
      </w:pPr>
      <w:bookmarkStart w:id="1" w:name="_Toc462994043"/>
      <w:bookmarkStart w:id="2" w:name="_Toc463343007"/>
      <w:r>
        <w:t>LIST OF TABLES</w:t>
      </w:r>
      <w:bookmarkEnd w:id="1"/>
      <w:bookmarkEnd w:id="2"/>
    </w:p>
    <w:p w14:paraId="59FD8D67" w14:textId="4828E18F" w:rsidR="00334740" w:rsidRDefault="00542728">
      <w:pPr>
        <w:pStyle w:val="TableofFigures"/>
        <w:tabs>
          <w:tab w:val="right" w:leader="dot" w:pos="10194"/>
        </w:tabs>
        <w:rPr>
          <w:rFonts w:asciiTheme="minorHAnsi" w:eastAsiaTheme="minorEastAsia" w:hAnsiTheme="minorHAnsi" w:cstheme="minorBidi"/>
          <w:noProof/>
          <w:sz w:val="22"/>
          <w:szCs w:val="22"/>
          <w:lang w:eastAsia="en-AU"/>
        </w:rPr>
      </w:pPr>
      <w:r>
        <w:fldChar w:fldCharType="begin"/>
      </w:r>
      <w:r>
        <w:instrText xml:space="preserve"> TOC \h \z \c "Table" </w:instrText>
      </w:r>
      <w:r>
        <w:fldChar w:fldCharType="separate"/>
      </w:r>
      <w:hyperlink w:anchor="_Toc463343033" w:history="1">
        <w:r w:rsidR="00334740" w:rsidRPr="006C4056">
          <w:rPr>
            <w:rStyle w:val="Hyperlink"/>
            <w:noProof/>
          </w:rPr>
          <w:t>Table A</w:t>
        </w:r>
        <w:r w:rsidR="00334740" w:rsidRPr="006C4056">
          <w:rPr>
            <w:rStyle w:val="Hyperlink"/>
            <w:noProof/>
          </w:rPr>
          <w:noBreakHyphen/>
          <w:t>1</w:t>
        </w:r>
        <w:r w:rsidR="00334740" w:rsidRPr="006C4056">
          <w:rPr>
            <w:rStyle w:val="Hyperlink"/>
            <w:noProof/>
          </w:rPr>
          <w:noBreakHyphen/>
          <w:t>1: How to find where Essential Energy has addressed the TSS Rule requirements</w:t>
        </w:r>
        <w:r w:rsidR="00334740">
          <w:rPr>
            <w:noProof/>
            <w:webHidden/>
          </w:rPr>
          <w:tab/>
        </w:r>
        <w:r w:rsidR="00334740">
          <w:rPr>
            <w:noProof/>
            <w:webHidden/>
          </w:rPr>
          <w:fldChar w:fldCharType="begin"/>
        </w:r>
        <w:r w:rsidR="00334740">
          <w:rPr>
            <w:noProof/>
            <w:webHidden/>
          </w:rPr>
          <w:instrText xml:space="preserve"> PAGEREF _Toc463343033 \h </w:instrText>
        </w:r>
        <w:r w:rsidR="00334740">
          <w:rPr>
            <w:noProof/>
            <w:webHidden/>
          </w:rPr>
        </w:r>
        <w:r w:rsidR="00334740">
          <w:rPr>
            <w:noProof/>
            <w:webHidden/>
          </w:rPr>
          <w:fldChar w:fldCharType="separate"/>
        </w:r>
        <w:r w:rsidR="0073687F">
          <w:rPr>
            <w:noProof/>
            <w:webHidden/>
          </w:rPr>
          <w:t>6</w:t>
        </w:r>
        <w:r w:rsidR="00334740">
          <w:rPr>
            <w:noProof/>
            <w:webHidden/>
          </w:rPr>
          <w:fldChar w:fldCharType="end"/>
        </w:r>
      </w:hyperlink>
    </w:p>
    <w:p w14:paraId="6F2691D7" w14:textId="42E2C51B" w:rsidR="00334740" w:rsidRDefault="0073687F">
      <w:pPr>
        <w:pStyle w:val="TableofFigures"/>
        <w:tabs>
          <w:tab w:val="right" w:leader="dot" w:pos="10194"/>
        </w:tabs>
        <w:rPr>
          <w:rFonts w:asciiTheme="minorHAnsi" w:eastAsiaTheme="minorEastAsia" w:hAnsiTheme="minorHAnsi" w:cstheme="minorBidi"/>
          <w:noProof/>
          <w:sz w:val="22"/>
          <w:szCs w:val="22"/>
          <w:lang w:eastAsia="en-AU"/>
        </w:rPr>
      </w:pPr>
      <w:hyperlink w:anchor="_Toc463343034" w:history="1">
        <w:r w:rsidR="00334740" w:rsidRPr="006C4056">
          <w:rPr>
            <w:rStyle w:val="Hyperlink"/>
            <w:noProof/>
          </w:rPr>
          <w:t>Table 4</w:t>
        </w:r>
        <w:r w:rsidR="00334740" w:rsidRPr="006C4056">
          <w:rPr>
            <w:rStyle w:val="Hyperlink"/>
            <w:noProof/>
          </w:rPr>
          <w:noBreakHyphen/>
          <w:t>1: Eligibility for Residential customer tariffs</w:t>
        </w:r>
        <w:r w:rsidR="00334740">
          <w:rPr>
            <w:noProof/>
            <w:webHidden/>
          </w:rPr>
          <w:tab/>
        </w:r>
        <w:r w:rsidR="00334740">
          <w:rPr>
            <w:noProof/>
            <w:webHidden/>
          </w:rPr>
          <w:fldChar w:fldCharType="begin"/>
        </w:r>
        <w:r w:rsidR="00334740">
          <w:rPr>
            <w:noProof/>
            <w:webHidden/>
          </w:rPr>
          <w:instrText xml:space="preserve"> PAGEREF _Toc463343034 \h </w:instrText>
        </w:r>
        <w:r w:rsidR="00334740">
          <w:rPr>
            <w:noProof/>
            <w:webHidden/>
          </w:rPr>
        </w:r>
        <w:r w:rsidR="00334740">
          <w:rPr>
            <w:noProof/>
            <w:webHidden/>
          </w:rPr>
          <w:fldChar w:fldCharType="separate"/>
        </w:r>
        <w:r>
          <w:rPr>
            <w:noProof/>
            <w:webHidden/>
          </w:rPr>
          <w:t>12</w:t>
        </w:r>
        <w:r w:rsidR="00334740">
          <w:rPr>
            <w:noProof/>
            <w:webHidden/>
          </w:rPr>
          <w:fldChar w:fldCharType="end"/>
        </w:r>
      </w:hyperlink>
    </w:p>
    <w:p w14:paraId="35B5D4C0" w14:textId="5D098CDF" w:rsidR="00334740" w:rsidRDefault="0073687F">
      <w:pPr>
        <w:pStyle w:val="TableofFigures"/>
        <w:tabs>
          <w:tab w:val="right" w:leader="dot" w:pos="10194"/>
        </w:tabs>
        <w:rPr>
          <w:rFonts w:asciiTheme="minorHAnsi" w:eastAsiaTheme="minorEastAsia" w:hAnsiTheme="minorHAnsi" w:cstheme="minorBidi"/>
          <w:noProof/>
          <w:sz w:val="22"/>
          <w:szCs w:val="22"/>
          <w:lang w:eastAsia="en-AU"/>
        </w:rPr>
      </w:pPr>
      <w:hyperlink w:anchor="_Toc463343035" w:history="1">
        <w:r w:rsidR="00334740" w:rsidRPr="006C4056">
          <w:rPr>
            <w:rStyle w:val="Hyperlink"/>
            <w:noProof/>
          </w:rPr>
          <w:t>Table 4</w:t>
        </w:r>
        <w:r w:rsidR="00334740" w:rsidRPr="006C4056">
          <w:rPr>
            <w:rStyle w:val="Hyperlink"/>
            <w:noProof/>
          </w:rPr>
          <w:noBreakHyphen/>
          <w:t>2: Residential network tariff structures and charging parameters</w:t>
        </w:r>
        <w:r w:rsidR="00334740">
          <w:rPr>
            <w:noProof/>
            <w:webHidden/>
          </w:rPr>
          <w:tab/>
        </w:r>
        <w:r w:rsidR="00334740">
          <w:rPr>
            <w:noProof/>
            <w:webHidden/>
          </w:rPr>
          <w:fldChar w:fldCharType="begin"/>
        </w:r>
        <w:r w:rsidR="00334740">
          <w:rPr>
            <w:noProof/>
            <w:webHidden/>
          </w:rPr>
          <w:instrText xml:space="preserve"> PAGEREF _Toc463343035 \h </w:instrText>
        </w:r>
        <w:r w:rsidR="00334740">
          <w:rPr>
            <w:noProof/>
            <w:webHidden/>
          </w:rPr>
        </w:r>
        <w:r w:rsidR="00334740">
          <w:rPr>
            <w:noProof/>
            <w:webHidden/>
          </w:rPr>
          <w:fldChar w:fldCharType="separate"/>
        </w:r>
        <w:r>
          <w:rPr>
            <w:noProof/>
            <w:webHidden/>
          </w:rPr>
          <w:t>12</w:t>
        </w:r>
        <w:r w:rsidR="00334740">
          <w:rPr>
            <w:noProof/>
            <w:webHidden/>
          </w:rPr>
          <w:fldChar w:fldCharType="end"/>
        </w:r>
      </w:hyperlink>
    </w:p>
    <w:p w14:paraId="1BAF961B" w14:textId="684AC1B5" w:rsidR="00334740" w:rsidRDefault="0073687F">
      <w:pPr>
        <w:pStyle w:val="TableofFigures"/>
        <w:tabs>
          <w:tab w:val="right" w:leader="dot" w:pos="10194"/>
        </w:tabs>
        <w:rPr>
          <w:rFonts w:asciiTheme="minorHAnsi" w:eastAsiaTheme="minorEastAsia" w:hAnsiTheme="minorHAnsi" w:cstheme="minorBidi"/>
          <w:noProof/>
          <w:sz w:val="22"/>
          <w:szCs w:val="22"/>
          <w:lang w:eastAsia="en-AU"/>
        </w:rPr>
      </w:pPr>
      <w:hyperlink w:anchor="_Toc463343036" w:history="1">
        <w:r w:rsidR="00334740" w:rsidRPr="006C4056">
          <w:rPr>
            <w:rStyle w:val="Hyperlink"/>
            <w:noProof/>
          </w:rPr>
          <w:t>Table 4</w:t>
        </w:r>
        <w:r w:rsidR="00334740" w:rsidRPr="006C4056">
          <w:rPr>
            <w:rStyle w:val="Hyperlink"/>
            <w:noProof/>
          </w:rPr>
          <w:noBreakHyphen/>
          <w:t>3: Eligibility for Small Business customer tariffs</w:t>
        </w:r>
        <w:r w:rsidR="00334740">
          <w:rPr>
            <w:noProof/>
            <w:webHidden/>
          </w:rPr>
          <w:tab/>
        </w:r>
        <w:r w:rsidR="00334740">
          <w:rPr>
            <w:noProof/>
            <w:webHidden/>
          </w:rPr>
          <w:fldChar w:fldCharType="begin"/>
        </w:r>
        <w:r w:rsidR="00334740">
          <w:rPr>
            <w:noProof/>
            <w:webHidden/>
          </w:rPr>
          <w:instrText xml:space="preserve"> PAGEREF _Toc463343036 \h </w:instrText>
        </w:r>
        <w:r w:rsidR="00334740">
          <w:rPr>
            <w:noProof/>
            <w:webHidden/>
          </w:rPr>
        </w:r>
        <w:r w:rsidR="00334740">
          <w:rPr>
            <w:noProof/>
            <w:webHidden/>
          </w:rPr>
          <w:fldChar w:fldCharType="separate"/>
        </w:r>
        <w:r>
          <w:rPr>
            <w:noProof/>
            <w:webHidden/>
          </w:rPr>
          <w:t>13</w:t>
        </w:r>
        <w:r w:rsidR="00334740">
          <w:rPr>
            <w:noProof/>
            <w:webHidden/>
          </w:rPr>
          <w:fldChar w:fldCharType="end"/>
        </w:r>
      </w:hyperlink>
    </w:p>
    <w:p w14:paraId="3A1E40CF" w14:textId="7C45FA6F" w:rsidR="00334740" w:rsidRDefault="0073687F">
      <w:pPr>
        <w:pStyle w:val="TableofFigures"/>
        <w:tabs>
          <w:tab w:val="right" w:leader="dot" w:pos="10194"/>
        </w:tabs>
        <w:rPr>
          <w:rFonts w:asciiTheme="minorHAnsi" w:eastAsiaTheme="minorEastAsia" w:hAnsiTheme="minorHAnsi" w:cstheme="minorBidi"/>
          <w:noProof/>
          <w:sz w:val="22"/>
          <w:szCs w:val="22"/>
          <w:lang w:eastAsia="en-AU"/>
        </w:rPr>
      </w:pPr>
      <w:hyperlink w:anchor="_Toc463343037" w:history="1">
        <w:r w:rsidR="00334740" w:rsidRPr="006C4056">
          <w:rPr>
            <w:rStyle w:val="Hyperlink"/>
            <w:noProof/>
          </w:rPr>
          <w:t>Table 4</w:t>
        </w:r>
        <w:r w:rsidR="00334740" w:rsidRPr="006C4056">
          <w:rPr>
            <w:rStyle w:val="Hyperlink"/>
            <w:noProof/>
          </w:rPr>
          <w:noBreakHyphen/>
          <w:t>4: Small Business customers proposed network tariff structures and charging parameters</w:t>
        </w:r>
        <w:r w:rsidR="00334740">
          <w:rPr>
            <w:noProof/>
            <w:webHidden/>
          </w:rPr>
          <w:tab/>
        </w:r>
        <w:r w:rsidR="00334740">
          <w:rPr>
            <w:noProof/>
            <w:webHidden/>
          </w:rPr>
          <w:fldChar w:fldCharType="begin"/>
        </w:r>
        <w:r w:rsidR="00334740">
          <w:rPr>
            <w:noProof/>
            <w:webHidden/>
          </w:rPr>
          <w:instrText xml:space="preserve"> PAGEREF _Toc463343037 \h </w:instrText>
        </w:r>
        <w:r w:rsidR="00334740">
          <w:rPr>
            <w:noProof/>
            <w:webHidden/>
          </w:rPr>
        </w:r>
        <w:r w:rsidR="00334740">
          <w:rPr>
            <w:noProof/>
            <w:webHidden/>
          </w:rPr>
          <w:fldChar w:fldCharType="separate"/>
        </w:r>
        <w:r>
          <w:rPr>
            <w:noProof/>
            <w:webHidden/>
          </w:rPr>
          <w:t>13</w:t>
        </w:r>
        <w:r w:rsidR="00334740">
          <w:rPr>
            <w:noProof/>
            <w:webHidden/>
          </w:rPr>
          <w:fldChar w:fldCharType="end"/>
        </w:r>
      </w:hyperlink>
    </w:p>
    <w:p w14:paraId="35A9051D" w14:textId="1F7F5941" w:rsidR="00334740" w:rsidRDefault="0073687F">
      <w:pPr>
        <w:pStyle w:val="TableofFigures"/>
        <w:tabs>
          <w:tab w:val="right" w:leader="dot" w:pos="10194"/>
        </w:tabs>
        <w:rPr>
          <w:rFonts w:asciiTheme="minorHAnsi" w:eastAsiaTheme="minorEastAsia" w:hAnsiTheme="minorHAnsi" w:cstheme="minorBidi"/>
          <w:noProof/>
          <w:sz w:val="22"/>
          <w:szCs w:val="22"/>
          <w:lang w:eastAsia="en-AU"/>
        </w:rPr>
      </w:pPr>
      <w:hyperlink w:anchor="_Toc463343038" w:history="1">
        <w:r w:rsidR="00334740" w:rsidRPr="006C4056">
          <w:rPr>
            <w:rStyle w:val="Hyperlink"/>
            <w:noProof/>
          </w:rPr>
          <w:t>Table 4</w:t>
        </w:r>
        <w:r w:rsidR="00334740" w:rsidRPr="006C4056">
          <w:rPr>
            <w:rStyle w:val="Hyperlink"/>
            <w:noProof/>
          </w:rPr>
          <w:noBreakHyphen/>
          <w:t>5: Eligibility for Controlled Load customer tariffs</w:t>
        </w:r>
        <w:r w:rsidR="00334740">
          <w:rPr>
            <w:noProof/>
            <w:webHidden/>
          </w:rPr>
          <w:tab/>
        </w:r>
        <w:r w:rsidR="00334740">
          <w:rPr>
            <w:noProof/>
            <w:webHidden/>
          </w:rPr>
          <w:fldChar w:fldCharType="begin"/>
        </w:r>
        <w:r w:rsidR="00334740">
          <w:rPr>
            <w:noProof/>
            <w:webHidden/>
          </w:rPr>
          <w:instrText xml:space="preserve"> PAGEREF _Toc463343038 \h </w:instrText>
        </w:r>
        <w:r w:rsidR="00334740">
          <w:rPr>
            <w:noProof/>
            <w:webHidden/>
          </w:rPr>
        </w:r>
        <w:r w:rsidR="00334740">
          <w:rPr>
            <w:noProof/>
            <w:webHidden/>
          </w:rPr>
          <w:fldChar w:fldCharType="separate"/>
        </w:r>
        <w:r>
          <w:rPr>
            <w:noProof/>
            <w:webHidden/>
          </w:rPr>
          <w:t>14</w:t>
        </w:r>
        <w:r w:rsidR="00334740">
          <w:rPr>
            <w:noProof/>
            <w:webHidden/>
          </w:rPr>
          <w:fldChar w:fldCharType="end"/>
        </w:r>
      </w:hyperlink>
    </w:p>
    <w:p w14:paraId="3036010D" w14:textId="713E6907" w:rsidR="00334740" w:rsidRDefault="0073687F">
      <w:pPr>
        <w:pStyle w:val="TableofFigures"/>
        <w:tabs>
          <w:tab w:val="right" w:leader="dot" w:pos="10194"/>
        </w:tabs>
        <w:rPr>
          <w:rFonts w:asciiTheme="minorHAnsi" w:eastAsiaTheme="minorEastAsia" w:hAnsiTheme="minorHAnsi" w:cstheme="minorBidi"/>
          <w:noProof/>
          <w:sz w:val="22"/>
          <w:szCs w:val="22"/>
          <w:lang w:eastAsia="en-AU"/>
        </w:rPr>
      </w:pPr>
      <w:hyperlink w:anchor="_Toc463343039" w:history="1">
        <w:r w:rsidR="00334740" w:rsidRPr="006C4056">
          <w:rPr>
            <w:rStyle w:val="Hyperlink"/>
            <w:noProof/>
          </w:rPr>
          <w:t>Table 4</w:t>
        </w:r>
        <w:r w:rsidR="00334740" w:rsidRPr="006C4056">
          <w:rPr>
            <w:rStyle w:val="Hyperlink"/>
            <w:noProof/>
          </w:rPr>
          <w:noBreakHyphen/>
          <w:t>6: Controlled Load customers proposed network tariff structures and charging parameters</w:t>
        </w:r>
        <w:r w:rsidR="00334740">
          <w:rPr>
            <w:noProof/>
            <w:webHidden/>
          </w:rPr>
          <w:tab/>
        </w:r>
        <w:r w:rsidR="00334740">
          <w:rPr>
            <w:noProof/>
            <w:webHidden/>
          </w:rPr>
          <w:fldChar w:fldCharType="begin"/>
        </w:r>
        <w:r w:rsidR="00334740">
          <w:rPr>
            <w:noProof/>
            <w:webHidden/>
          </w:rPr>
          <w:instrText xml:space="preserve"> PAGEREF _Toc463343039 \h </w:instrText>
        </w:r>
        <w:r w:rsidR="00334740">
          <w:rPr>
            <w:noProof/>
            <w:webHidden/>
          </w:rPr>
        </w:r>
        <w:r w:rsidR="00334740">
          <w:rPr>
            <w:noProof/>
            <w:webHidden/>
          </w:rPr>
          <w:fldChar w:fldCharType="separate"/>
        </w:r>
        <w:r>
          <w:rPr>
            <w:noProof/>
            <w:webHidden/>
          </w:rPr>
          <w:t>14</w:t>
        </w:r>
        <w:r w:rsidR="00334740">
          <w:rPr>
            <w:noProof/>
            <w:webHidden/>
          </w:rPr>
          <w:fldChar w:fldCharType="end"/>
        </w:r>
      </w:hyperlink>
    </w:p>
    <w:p w14:paraId="22D32F8F" w14:textId="59354245" w:rsidR="00334740" w:rsidRDefault="0073687F">
      <w:pPr>
        <w:pStyle w:val="TableofFigures"/>
        <w:tabs>
          <w:tab w:val="right" w:leader="dot" w:pos="10194"/>
        </w:tabs>
        <w:rPr>
          <w:rFonts w:asciiTheme="minorHAnsi" w:eastAsiaTheme="minorEastAsia" w:hAnsiTheme="minorHAnsi" w:cstheme="minorBidi"/>
          <w:noProof/>
          <w:sz w:val="22"/>
          <w:szCs w:val="22"/>
          <w:lang w:eastAsia="en-AU"/>
        </w:rPr>
      </w:pPr>
      <w:hyperlink w:anchor="_Toc463343040" w:history="1">
        <w:r w:rsidR="00334740" w:rsidRPr="006C4056">
          <w:rPr>
            <w:rStyle w:val="Hyperlink"/>
            <w:noProof/>
          </w:rPr>
          <w:t>Table 4</w:t>
        </w:r>
        <w:r w:rsidR="00334740" w:rsidRPr="006C4056">
          <w:rPr>
            <w:rStyle w:val="Hyperlink"/>
            <w:noProof/>
          </w:rPr>
          <w:noBreakHyphen/>
          <w:t>7: Eligibility for Business customer tariffs</w:t>
        </w:r>
        <w:r w:rsidR="00334740">
          <w:rPr>
            <w:noProof/>
            <w:webHidden/>
          </w:rPr>
          <w:tab/>
        </w:r>
        <w:r w:rsidR="00334740">
          <w:rPr>
            <w:noProof/>
            <w:webHidden/>
          </w:rPr>
          <w:fldChar w:fldCharType="begin"/>
        </w:r>
        <w:r w:rsidR="00334740">
          <w:rPr>
            <w:noProof/>
            <w:webHidden/>
          </w:rPr>
          <w:instrText xml:space="preserve"> PAGEREF _Toc463343040 \h </w:instrText>
        </w:r>
        <w:r w:rsidR="00334740">
          <w:rPr>
            <w:noProof/>
            <w:webHidden/>
          </w:rPr>
        </w:r>
        <w:r w:rsidR="00334740">
          <w:rPr>
            <w:noProof/>
            <w:webHidden/>
          </w:rPr>
          <w:fldChar w:fldCharType="separate"/>
        </w:r>
        <w:r>
          <w:rPr>
            <w:noProof/>
            <w:webHidden/>
          </w:rPr>
          <w:t>15</w:t>
        </w:r>
        <w:r w:rsidR="00334740">
          <w:rPr>
            <w:noProof/>
            <w:webHidden/>
          </w:rPr>
          <w:fldChar w:fldCharType="end"/>
        </w:r>
      </w:hyperlink>
    </w:p>
    <w:p w14:paraId="1AD440A4" w14:textId="01C4E6BD" w:rsidR="00334740" w:rsidRDefault="0073687F">
      <w:pPr>
        <w:pStyle w:val="TableofFigures"/>
        <w:tabs>
          <w:tab w:val="right" w:leader="dot" w:pos="10194"/>
        </w:tabs>
        <w:rPr>
          <w:rFonts w:asciiTheme="minorHAnsi" w:eastAsiaTheme="minorEastAsia" w:hAnsiTheme="minorHAnsi" w:cstheme="minorBidi"/>
          <w:noProof/>
          <w:sz w:val="22"/>
          <w:szCs w:val="22"/>
          <w:lang w:eastAsia="en-AU"/>
        </w:rPr>
      </w:pPr>
      <w:hyperlink w:anchor="_Toc463343041" w:history="1">
        <w:r w:rsidR="00334740" w:rsidRPr="006C4056">
          <w:rPr>
            <w:rStyle w:val="Hyperlink"/>
            <w:noProof/>
          </w:rPr>
          <w:t>Table 4</w:t>
        </w:r>
        <w:r w:rsidR="00334740" w:rsidRPr="006C4056">
          <w:rPr>
            <w:rStyle w:val="Hyperlink"/>
            <w:noProof/>
          </w:rPr>
          <w:noBreakHyphen/>
          <w:t>8: Business customers proposed network tariff structures and charging parameters</w:t>
        </w:r>
        <w:r w:rsidR="00334740">
          <w:rPr>
            <w:noProof/>
            <w:webHidden/>
          </w:rPr>
          <w:tab/>
        </w:r>
        <w:r w:rsidR="00334740">
          <w:rPr>
            <w:noProof/>
            <w:webHidden/>
          </w:rPr>
          <w:fldChar w:fldCharType="begin"/>
        </w:r>
        <w:r w:rsidR="00334740">
          <w:rPr>
            <w:noProof/>
            <w:webHidden/>
          </w:rPr>
          <w:instrText xml:space="preserve"> PAGEREF _Toc463343041 \h </w:instrText>
        </w:r>
        <w:r w:rsidR="00334740">
          <w:rPr>
            <w:noProof/>
            <w:webHidden/>
          </w:rPr>
        </w:r>
        <w:r w:rsidR="00334740">
          <w:rPr>
            <w:noProof/>
            <w:webHidden/>
          </w:rPr>
          <w:fldChar w:fldCharType="separate"/>
        </w:r>
        <w:r>
          <w:rPr>
            <w:noProof/>
            <w:webHidden/>
          </w:rPr>
          <w:t>16</w:t>
        </w:r>
        <w:r w:rsidR="00334740">
          <w:rPr>
            <w:noProof/>
            <w:webHidden/>
          </w:rPr>
          <w:fldChar w:fldCharType="end"/>
        </w:r>
      </w:hyperlink>
    </w:p>
    <w:p w14:paraId="5BC09630" w14:textId="6D3DBDA0" w:rsidR="00334740" w:rsidRDefault="0073687F">
      <w:pPr>
        <w:pStyle w:val="TableofFigures"/>
        <w:tabs>
          <w:tab w:val="right" w:leader="dot" w:pos="10194"/>
        </w:tabs>
        <w:rPr>
          <w:rFonts w:asciiTheme="minorHAnsi" w:eastAsiaTheme="minorEastAsia" w:hAnsiTheme="minorHAnsi" w:cstheme="minorBidi"/>
          <w:noProof/>
          <w:sz w:val="22"/>
          <w:szCs w:val="22"/>
          <w:lang w:eastAsia="en-AU"/>
        </w:rPr>
      </w:pPr>
      <w:hyperlink w:anchor="_Toc463343042" w:history="1">
        <w:r w:rsidR="00334740" w:rsidRPr="006C4056">
          <w:rPr>
            <w:rStyle w:val="Hyperlink"/>
            <w:noProof/>
          </w:rPr>
          <w:t>Table 4</w:t>
        </w:r>
        <w:r w:rsidR="00334740" w:rsidRPr="006C4056">
          <w:rPr>
            <w:rStyle w:val="Hyperlink"/>
            <w:noProof/>
          </w:rPr>
          <w:noBreakHyphen/>
          <w:t>9: Eligibility for Large Business customer tariffs</w:t>
        </w:r>
        <w:r w:rsidR="00334740">
          <w:rPr>
            <w:noProof/>
            <w:webHidden/>
          </w:rPr>
          <w:tab/>
        </w:r>
        <w:r w:rsidR="00334740">
          <w:rPr>
            <w:noProof/>
            <w:webHidden/>
          </w:rPr>
          <w:fldChar w:fldCharType="begin"/>
        </w:r>
        <w:r w:rsidR="00334740">
          <w:rPr>
            <w:noProof/>
            <w:webHidden/>
          </w:rPr>
          <w:instrText xml:space="preserve"> PAGEREF _Toc463343042 \h </w:instrText>
        </w:r>
        <w:r w:rsidR="00334740">
          <w:rPr>
            <w:noProof/>
            <w:webHidden/>
          </w:rPr>
        </w:r>
        <w:r w:rsidR="00334740">
          <w:rPr>
            <w:noProof/>
            <w:webHidden/>
          </w:rPr>
          <w:fldChar w:fldCharType="separate"/>
        </w:r>
        <w:r>
          <w:rPr>
            <w:noProof/>
            <w:webHidden/>
          </w:rPr>
          <w:t>17</w:t>
        </w:r>
        <w:r w:rsidR="00334740">
          <w:rPr>
            <w:noProof/>
            <w:webHidden/>
          </w:rPr>
          <w:fldChar w:fldCharType="end"/>
        </w:r>
      </w:hyperlink>
    </w:p>
    <w:p w14:paraId="064E9BA3" w14:textId="4FD4F436" w:rsidR="00334740" w:rsidRDefault="0073687F">
      <w:pPr>
        <w:pStyle w:val="TableofFigures"/>
        <w:tabs>
          <w:tab w:val="right" w:leader="dot" w:pos="10194"/>
        </w:tabs>
        <w:rPr>
          <w:rFonts w:asciiTheme="minorHAnsi" w:eastAsiaTheme="minorEastAsia" w:hAnsiTheme="minorHAnsi" w:cstheme="minorBidi"/>
          <w:noProof/>
          <w:sz w:val="22"/>
          <w:szCs w:val="22"/>
          <w:lang w:eastAsia="en-AU"/>
        </w:rPr>
      </w:pPr>
      <w:hyperlink w:anchor="_Toc463343043" w:history="1">
        <w:r w:rsidR="00334740" w:rsidRPr="006C4056">
          <w:rPr>
            <w:rStyle w:val="Hyperlink"/>
            <w:noProof/>
          </w:rPr>
          <w:t>Table 4</w:t>
        </w:r>
        <w:r w:rsidR="00334740" w:rsidRPr="006C4056">
          <w:rPr>
            <w:rStyle w:val="Hyperlink"/>
            <w:noProof/>
          </w:rPr>
          <w:noBreakHyphen/>
          <w:t>10: Large Business customers proposed network tariff structures</w:t>
        </w:r>
        <w:r w:rsidR="00334740">
          <w:rPr>
            <w:noProof/>
            <w:webHidden/>
          </w:rPr>
          <w:tab/>
        </w:r>
        <w:r w:rsidR="00334740">
          <w:rPr>
            <w:noProof/>
            <w:webHidden/>
          </w:rPr>
          <w:fldChar w:fldCharType="begin"/>
        </w:r>
        <w:r w:rsidR="00334740">
          <w:rPr>
            <w:noProof/>
            <w:webHidden/>
          </w:rPr>
          <w:instrText xml:space="preserve"> PAGEREF _Toc463343043 \h </w:instrText>
        </w:r>
        <w:r w:rsidR="00334740">
          <w:rPr>
            <w:noProof/>
            <w:webHidden/>
          </w:rPr>
        </w:r>
        <w:r w:rsidR="00334740">
          <w:rPr>
            <w:noProof/>
            <w:webHidden/>
          </w:rPr>
          <w:fldChar w:fldCharType="separate"/>
        </w:r>
        <w:r>
          <w:rPr>
            <w:noProof/>
            <w:webHidden/>
          </w:rPr>
          <w:t>17</w:t>
        </w:r>
        <w:r w:rsidR="00334740">
          <w:rPr>
            <w:noProof/>
            <w:webHidden/>
          </w:rPr>
          <w:fldChar w:fldCharType="end"/>
        </w:r>
      </w:hyperlink>
    </w:p>
    <w:p w14:paraId="10B57AC8" w14:textId="03249528" w:rsidR="00334740" w:rsidRDefault="0073687F">
      <w:pPr>
        <w:pStyle w:val="TableofFigures"/>
        <w:tabs>
          <w:tab w:val="right" w:leader="dot" w:pos="10194"/>
        </w:tabs>
        <w:rPr>
          <w:rFonts w:asciiTheme="minorHAnsi" w:eastAsiaTheme="minorEastAsia" w:hAnsiTheme="minorHAnsi" w:cstheme="minorBidi"/>
          <w:noProof/>
          <w:sz w:val="22"/>
          <w:szCs w:val="22"/>
          <w:lang w:eastAsia="en-AU"/>
        </w:rPr>
      </w:pPr>
      <w:hyperlink w:anchor="_Toc463343044" w:history="1">
        <w:r w:rsidR="00334740" w:rsidRPr="006C4056">
          <w:rPr>
            <w:rStyle w:val="Hyperlink"/>
            <w:noProof/>
          </w:rPr>
          <w:t>Table 4</w:t>
        </w:r>
        <w:r w:rsidR="00334740" w:rsidRPr="006C4056">
          <w:rPr>
            <w:rStyle w:val="Hyperlink"/>
            <w:noProof/>
          </w:rPr>
          <w:noBreakHyphen/>
          <w:t>11: Eligibility for Large Business Sub-transmission customer tariffs</w:t>
        </w:r>
        <w:r w:rsidR="00334740">
          <w:rPr>
            <w:noProof/>
            <w:webHidden/>
          </w:rPr>
          <w:tab/>
        </w:r>
        <w:r w:rsidR="00334740">
          <w:rPr>
            <w:noProof/>
            <w:webHidden/>
          </w:rPr>
          <w:fldChar w:fldCharType="begin"/>
        </w:r>
        <w:r w:rsidR="00334740">
          <w:rPr>
            <w:noProof/>
            <w:webHidden/>
          </w:rPr>
          <w:instrText xml:space="preserve"> PAGEREF _Toc463343044 \h </w:instrText>
        </w:r>
        <w:r w:rsidR="00334740">
          <w:rPr>
            <w:noProof/>
            <w:webHidden/>
          </w:rPr>
        </w:r>
        <w:r w:rsidR="00334740">
          <w:rPr>
            <w:noProof/>
            <w:webHidden/>
          </w:rPr>
          <w:fldChar w:fldCharType="separate"/>
        </w:r>
        <w:r>
          <w:rPr>
            <w:noProof/>
            <w:webHidden/>
          </w:rPr>
          <w:t>18</w:t>
        </w:r>
        <w:r w:rsidR="00334740">
          <w:rPr>
            <w:noProof/>
            <w:webHidden/>
          </w:rPr>
          <w:fldChar w:fldCharType="end"/>
        </w:r>
      </w:hyperlink>
    </w:p>
    <w:p w14:paraId="1D3417D6" w14:textId="5E53AA80" w:rsidR="00334740" w:rsidRDefault="0073687F">
      <w:pPr>
        <w:pStyle w:val="TableofFigures"/>
        <w:tabs>
          <w:tab w:val="right" w:leader="dot" w:pos="10194"/>
        </w:tabs>
        <w:rPr>
          <w:rFonts w:asciiTheme="minorHAnsi" w:eastAsiaTheme="minorEastAsia" w:hAnsiTheme="minorHAnsi" w:cstheme="minorBidi"/>
          <w:noProof/>
          <w:sz w:val="22"/>
          <w:szCs w:val="22"/>
          <w:lang w:eastAsia="en-AU"/>
        </w:rPr>
      </w:pPr>
      <w:hyperlink w:anchor="_Toc463343045" w:history="1">
        <w:r w:rsidR="00334740" w:rsidRPr="006C4056">
          <w:rPr>
            <w:rStyle w:val="Hyperlink"/>
            <w:noProof/>
          </w:rPr>
          <w:t>Table 4</w:t>
        </w:r>
        <w:r w:rsidR="00334740" w:rsidRPr="006C4056">
          <w:rPr>
            <w:rStyle w:val="Hyperlink"/>
            <w:noProof/>
          </w:rPr>
          <w:noBreakHyphen/>
          <w:t>12: Large Business Sub-transmission customers proposed network tariff structures</w:t>
        </w:r>
        <w:r w:rsidR="00334740">
          <w:rPr>
            <w:noProof/>
            <w:webHidden/>
          </w:rPr>
          <w:tab/>
        </w:r>
        <w:r w:rsidR="00334740">
          <w:rPr>
            <w:noProof/>
            <w:webHidden/>
          </w:rPr>
          <w:fldChar w:fldCharType="begin"/>
        </w:r>
        <w:r w:rsidR="00334740">
          <w:rPr>
            <w:noProof/>
            <w:webHidden/>
          </w:rPr>
          <w:instrText xml:space="preserve"> PAGEREF _Toc463343045 \h </w:instrText>
        </w:r>
        <w:r w:rsidR="00334740">
          <w:rPr>
            <w:noProof/>
            <w:webHidden/>
          </w:rPr>
        </w:r>
        <w:r w:rsidR="00334740">
          <w:rPr>
            <w:noProof/>
            <w:webHidden/>
          </w:rPr>
          <w:fldChar w:fldCharType="separate"/>
        </w:r>
        <w:r>
          <w:rPr>
            <w:noProof/>
            <w:webHidden/>
          </w:rPr>
          <w:t>18</w:t>
        </w:r>
        <w:r w:rsidR="00334740">
          <w:rPr>
            <w:noProof/>
            <w:webHidden/>
          </w:rPr>
          <w:fldChar w:fldCharType="end"/>
        </w:r>
      </w:hyperlink>
    </w:p>
    <w:p w14:paraId="728323A9" w14:textId="62868D1C" w:rsidR="00334740" w:rsidRDefault="0073687F">
      <w:pPr>
        <w:pStyle w:val="TableofFigures"/>
        <w:tabs>
          <w:tab w:val="right" w:leader="dot" w:pos="10194"/>
        </w:tabs>
        <w:rPr>
          <w:rFonts w:asciiTheme="minorHAnsi" w:eastAsiaTheme="minorEastAsia" w:hAnsiTheme="minorHAnsi" w:cstheme="minorBidi"/>
          <w:noProof/>
          <w:sz w:val="22"/>
          <w:szCs w:val="22"/>
          <w:lang w:eastAsia="en-AU"/>
        </w:rPr>
      </w:pPr>
      <w:hyperlink w:anchor="_Toc463343046" w:history="1">
        <w:r w:rsidR="00334740" w:rsidRPr="006C4056">
          <w:rPr>
            <w:rStyle w:val="Hyperlink"/>
            <w:noProof/>
          </w:rPr>
          <w:t>Table 4</w:t>
        </w:r>
        <w:r w:rsidR="00334740" w:rsidRPr="006C4056">
          <w:rPr>
            <w:rStyle w:val="Hyperlink"/>
            <w:noProof/>
          </w:rPr>
          <w:noBreakHyphen/>
          <w:t>13: Eligibility for Unmetered customer tariffs</w:t>
        </w:r>
        <w:r w:rsidR="00334740">
          <w:rPr>
            <w:noProof/>
            <w:webHidden/>
          </w:rPr>
          <w:tab/>
        </w:r>
        <w:r w:rsidR="00334740">
          <w:rPr>
            <w:noProof/>
            <w:webHidden/>
          </w:rPr>
          <w:fldChar w:fldCharType="begin"/>
        </w:r>
        <w:r w:rsidR="00334740">
          <w:rPr>
            <w:noProof/>
            <w:webHidden/>
          </w:rPr>
          <w:instrText xml:space="preserve"> PAGEREF _Toc463343046 \h </w:instrText>
        </w:r>
        <w:r w:rsidR="00334740">
          <w:rPr>
            <w:noProof/>
            <w:webHidden/>
          </w:rPr>
        </w:r>
        <w:r w:rsidR="00334740">
          <w:rPr>
            <w:noProof/>
            <w:webHidden/>
          </w:rPr>
          <w:fldChar w:fldCharType="separate"/>
        </w:r>
        <w:r>
          <w:rPr>
            <w:noProof/>
            <w:webHidden/>
          </w:rPr>
          <w:t>19</w:t>
        </w:r>
        <w:r w:rsidR="00334740">
          <w:rPr>
            <w:noProof/>
            <w:webHidden/>
          </w:rPr>
          <w:fldChar w:fldCharType="end"/>
        </w:r>
      </w:hyperlink>
    </w:p>
    <w:p w14:paraId="2BFC1011" w14:textId="5FFD50A5" w:rsidR="00334740" w:rsidRDefault="0073687F">
      <w:pPr>
        <w:pStyle w:val="TableofFigures"/>
        <w:tabs>
          <w:tab w:val="right" w:leader="dot" w:pos="10194"/>
        </w:tabs>
        <w:rPr>
          <w:rFonts w:asciiTheme="minorHAnsi" w:eastAsiaTheme="minorEastAsia" w:hAnsiTheme="minorHAnsi" w:cstheme="minorBidi"/>
          <w:noProof/>
          <w:sz w:val="22"/>
          <w:szCs w:val="22"/>
          <w:lang w:eastAsia="en-AU"/>
        </w:rPr>
      </w:pPr>
      <w:hyperlink w:anchor="_Toc463343047" w:history="1">
        <w:r w:rsidR="00334740" w:rsidRPr="006C4056">
          <w:rPr>
            <w:rStyle w:val="Hyperlink"/>
            <w:noProof/>
          </w:rPr>
          <w:t>Table 4</w:t>
        </w:r>
        <w:r w:rsidR="00334740" w:rsidRPr="006C4056">
          <w:rPr>
            <w:rStyle w:val="Hyperlink"/>
            <w:noProof/>
          </w:rPr>
          <w:noBreakHyphen/>
          <w:t>14: Unmetered customers proposed network tariff structures</w:t>
        </w:r>
        <w:r w:rsidR="00334740">
          <w:rPr>
            <w:noProof/>
            <w:webHidden/>
          </w:rPr>
          <w:tab/>
        </w:r>
        <w:r w:rsidR="00334740">
          <w:rPr>
            <w:noProof/>
            <w:webHidden/>
          </w:rPr>
          <w:fldChar w:fldCharType="begin"/>
        </w:r>
        <w:r w:rsidR="00334740">
          <w:rPr>
            <w:noProof/>
            <w:webHidden/>
          </w:rPr>
          <w:instrText xml:space="preserve"> PAGEREF _Toc463343047 \h </w:instrText>
        </w:r>
        <w:r w:rsidR="00334740">
          <w:rPr>
            <w:noProof/>
            <w:webHidden/>
          </w:rPr>
        </w:r>
        <w:r w:rsidR="00334740">
          <w:rPr>
            <w:noProof/>
            <w:webHidden/>
          </w:rPr>
          <w:fldChar w:fldCharType="separate"/>
        </w:r>
        <w:r>
          <w:rPr>
            <w:noProof/>
            <w:webHidden/>
          </w:rPr>
          <w:t>19</w:t>
        </w:r>
        <w:r w:rsidR="00334740">
          <w:rPr>
            <w:noProof/>
            <w:webHidden/>
          </w:rPr>
          <w:fldChar w:fldCharType="end"/>
        </w:r>
      </w:hyperlink>
    </w:p>
    <w:p w14:paraId="000137D1" w14:textId="1E7FD6DB" w:rsidR="00334740" w:rsidRDefault="0073687F">
      <w:pPr>
        <w:pStyle w:val="TableofFigures"/>
        <w:tabs>
          <w:tab w:val="right" w:leader="dot" w:pos="10194"/>
        </w:tabs>
        <w:rPr>
          <w:rFonts w:asciiTheme="minorHAnsi" w:eastAsiaTheme="minorEastAsia" w:hAnsiTheme="minorHAnsi" w:cstheme="minorBidi"/>
          <w:noProof/>
          <w:sz w:val="22"/>
          <w:szCs w:val="22"/>
          <w:lang w:eastAsia="en-AU"/>
        </w:rPr>
      </w:pPr>
      <w:hyperlink w:anchor="_Toc463343048" w:history="1">
        <w:r w:rsidR="00334740" w:rsidRPr="006C4056">
          <w:rPr>
            <w:rStyle w:val="Hyperlink"/>
            <w:noProof/>
          </w:rPr>
          <w:t>Table 5</w:t>
        </w:r>
        <w:r w:rsidR="00334740" w:rsidRPr="006C4056">
          <w:rPr>
            <w:rStyle w:val="Hyperlink"/>
            <w:noProof/>
          </w:rPr>
          <w:noBreakHyphen/>
          <w:t>1: The NER pricing principles</w:t>
        </w:r>
        <w:r w:rsidR="00334740">
          <w:rPr>
            <w:noProof/>
            <w:webHidden/>
          </w:rPr>
          <w:tab/>
        </w:r>
        <w:r w:rsidR="00334740">
          <w:rPr>
            <w:noProof/>
            <w:webHidden/>
          </w:rPr>
          <w:fldChar w:fldCharType="begin"/>
        </w:r>
        <w:r w:rsidR="00334740">
          <w:rPr>
            <w:noProof/>
            <w:webHidden/>
          </w:rPr>
          <w:instrText xml:space="preserve"> PAGEREF _Toc463343048 \h </w:instrText>
        </w:r>
        <w:r w:rsidR="00334740">
          <w:rPr>
            <w:noProof/>
            <w:webHidden/>
          </w:rPr>
        </w:r>
        <w:r w:rsidR="00334740">
          <w:rPr>
            <w:noProof/>
            <w:webHidden/>
          </w:rPr>
          <w:fldChar w:fldCharType="separate"/>
        </w:r>
        <w:r>
          <w:rPr>
            <w:noProof/>
            <w:webHidden/>
          </w:rPr>
          <w:t>20</w:t>
        </w:r>
        <w:r w:rsidR="00334740">
          <w:rPr>
            <w:noProof/>
            <w:webHidden/>
          </w:rPr>
          <w:fldChar w:fldCharType="end"/>
        </w:r>
      </w:hyperlink>
    </w:p>
    <w:p w14:paraId="49C70605" w14:textId="3B590EEE" w:rsidR="00334740" w:rsidRDefault="0073687F">
      <w:pPr>
        <w:pStyle w:val="TableofFigures"/>
        <w:tabs>
          <w:tab w:val="right" w:leader="dot" w:pos="10194"/>
        </w:tabs>
        <w:rPr>
          <w:rFonts w:asciiTheme="minorHAnsi" w:eastAsiaTheme="minorEastAsia" w:hAnsiTheme="minorHAnsi" w:cstheme="minorBidi"/>
          <w:noProof/>
          <w:sz w:val="22"/>
          <w:szCs w:val="22"/>
          <w:lang w:eastAsia="en-AU"/>
        </w:rPr>
      </w:pPr>
      <w:hyperlink w:anchor="_Toc463343049" w:history="1">
        <w:r w:rsidR="00334740" w:rsidRPr="006C4056">
          <w:rPr>
            <w:rStyle w:val="Hyperlink"/>
            <w:noProof/>
          </w:rPr>
          <w:t>Table 5</w:t>
        </w:r>
        <w:r w:rsidR="00334740" w:rsidRPr="006C4056">
          <w:rPr>
            <w:rStyle w:val="Hyperlink"/>
            <w:noProof/>
          </w:rPr>
          <w:noBreakHyphen/>
          <w:t>2: Proposed 2017-18 revenue ($M) by tariff class complies with the Rule</w:t>
        </w:r>
        <w:r w:rsidR="00334740">
          <w:rPr>
            <w:noProof/>
            <w:webHidden/>
          </w:rPr>
          <w:tab/>
        </w:r>
        <w:r w:rsidR="00334740">
          <w:rPr>
            <w:noProof/>
            <w:webHidden/>
          </w:rPr>
          <w:fldChar w:fldCharType="begin"/>
        </w:r>
        <w:r w:rsidR="00334740">
          <w:rPr>
            <w:noProof/>
            <w:webHidden/>
          </w:rPr>
          <w:instrText xml:space="preserve"> PAGEREF _Toc463343049 \h </w:instrText>
        </w:r>
        <w:r w:rsidR="00334740">
          <w:rPr>
            <w:noProof/>
            <w:webHidden/>
          </w:rPr>
        </w:r>
        <w:r w:rsidR="00334740">
          <w:rPr>
            <w:noProof/>
            <w:webHidden/>
          </w:rPr>
          <w:fldChar w:fldCharType="separate"/>
        </w:r>
        <w:r>
          <w:rPr>
            <w:noProof/>
            <w:webHidden/>
          </w:rPr>
          <w:t>20</w:t>
        </w:r>
        <w:r w:rsidR="00334740">
          <w:rPr>
            <w:noProof/>
            <w:webHidden/>
          </w:rPr>
          <w:fldChar w:fldCharType="end"/>
        </w:r>
      </w:hyperlink>
    </w:p>
    <w:p w14:paraId="625FFC24" w14:textId="70B48FCD" w:rsidR="003958A1" w:rsidRDefault="00542728" w:rsidP="003958A1">
      <w:pPr>
        <w:pStyle w:val="Bodycopy"/>
      </w:pPr>
      <w:r>
        <w:fldChar w:fldCharType="end"/>
      </w:r>
    </w:p>
    <w:p w14:paraId="4D0E3A0D" w14:textId="25F729D2" w:rsidR="00A1141B" w:rsidRDefault="00A1141B" w:rsidP="00CC0C0C">
      <w:pPr>
        <w:pStyle w:val="Heading1nonumbers"/>
        <w:rPr>
          <w:rFonts w:hint="eastAsia"/>
        </w:rPr>
      </w:pPr>
      <w:bookmarkStart w:id="3" w:name="_Toc462994044"/>
      <w:bookmarkStart w:id="4" w:name="_Toc463343008"/>
      <w:r>
        <w:t>LIST OF FIGURES</w:t>
      </w:r>
      <w:bookmarkEnd w:id="3"/>
      <w:bookmarkEnd w:id="4"/>
    </w:p>
    <w:p w14:paraId="777792E9" w14:textId="7AB4A094" w:rsidR="00334740" w:rsidRDefault="00542728">
      <w:pPr>
        <w:pStyle w:val="TableofFigures"/>
        <w:tabs>
          <w:tab w:val="right" w:leader="dot" w:pos="10194"/>
        </w:tabs>
        <w:rPr>
          <w:rFonts w:asciiTheme="minorHAnsi" w:eastAsiaTheme="minorEastAsia" w:hAnsiTheme="minorHAnsi" w:cstheme="minorBidi"/>
          <w:noProof/>
          <w:sz w:val="22"/>
          <w:szCs w:val="22"/>
          <w:lang w:eastAsia="en-AU"/>
        </w:rPr>
      </w:pPr>
      <w:r>
        <w:fldChar w:fldCharType="begin"/>
      </w:r>
      <w:r>
        <w:instrText xml:space="preserve"> TOC \h \z \c "Figure" </w:instrText>
      </w:r>
      <w:r>
        <w:fldChar w:fldCharType="separate"/>
      </w:r>
      <w:hyperlink w:anchor="_Toc463343131" w:history="1">
        <w:r w:rsidR="00334740" w:rsidRPr="00CE4103">
          <w:rPr>
            <w:rStyle w:val="Hyperlink"/>
            <w:iCs/>
            <w:noProof/>
          </w:rPr>
          <w:t>Figure 3</w:t>
        </w:r>
        <w:r w:rsidR="00334740" w:rsidRPr="00CE4103">
          <w:rPr>
            <w:rStyle w:val="Hyperlink"/>
            <w:iCs/>
            <w:noProof/>
          </w:rPr>
          <w:noBreakHyphen/>
          <w:t>1: Proposed tariff classes, customer classes and their associated characteristics</w:t>
        </w:r>
        <w:r w:rsidR="00334740">
          <w:rPr>
            <w:noProof/>
            <w:webHidden/>
          </w:rPr>
          <w:tab/>
        </w:r>
        <w:r w:rsidR="00334740">
          <w:rPr>
            <w:noProof/>
            <w:webHidden/>
          </w:rPr>
          <w:fldChar w:fldCharType="begin"/>
        </w:r>
        <w:r w:rsidR="00334740">
          <w:rPr>
            <w:noProof/>
            <w:webHidden/>
          </w:rPr>
          <w:instrText xml:space="preserve"> PAGEREF _Toc463343131 \h </w:instrText>
        </w:r>
        <w:r w:rsidR="00334740">
          <w:rPr>
            <w:noProof/>
            <w:webHidden/>
          </w:rPr>
        </w:r>
        <w:r w:rsidR="00334740">
          <w:rPr>
            <w:noProof/>
            <w:webHidden/>
          </w:rPr>
          <w:fldChar w:fldCharType="separate"/>
        </w:r>
        <w:r w:rsidR="0073687F">
          <w:rPr>
            <w:noProof/>
            <w:webHidden/>
          </w:rPr>
          <w:t>10</w:t>
        </w:r>
        <w:r w:rsidR="00334740">
          <w:rPr>
            <w:noProof/>
            <w:webHidden/>
          </w:rPr>
          <w:fldChar w:fldCharType="end"/>
        </w:r>
      </w:hyperlink>
    </w:p>
    <w:p w14:paraId="414BFF56" w14:textId="42650BBC" w:rsidR="00334740" w:rsidRDefault="0073687F">
      <w:pPr>
        <w:pStyle w:val="TableofFigures"/>
        <w:tabs>
          <w:tab w:val="right" w:leader="dot" w:pos="10194"/>
        </w:tabs>
        <w:rPr>
          <w:rFonts w:asciiTheme="minorHAnsi" w:eastAsiaTheme="minorEastAsia" w:hAnsiTheme="minorHAnsi" w:cstheme="minorBidi"/>
          <w:noProof/>
          <w:sz w:val="22"/>
          <w:szCs w:val="22"/>
          <w:lang w:eastAsia="en-AU"/>
        </w:rPr>
      </w:pPr>
      <w:hyperlink w:anchor="_Toc463343132" w:history="1">
        <w:r w:rsidR="00334740" w:rsidRPr="00CE4103">
          <w:rPr>
            <w:rStyle w:val="Hyperlink"/>
            <w:iCs/>
            <w:noProof/>
          </w:rPr>
          <w:t>Figure 5</w:t>
        </w:r>
        <w:r w:rsidR="00334740" w:rsidRPr="00CE4103">
          <w:rPr>
            <w:rStyle w:val="Hyperlink"/>
            <w:iCs/>
            <w:noProof/>
          </w:rPr>
          <w:noBreakHyphen/>
          <w:t>1: Allocation of residual costs between tariff types and customer types</w:t>
        </w:r>
        <w:r w:rsidR="00334740">
          <w:rPr>
            <w:noProof/>
            <w:webHidden/>
          </w:rPr>
          <w:tab/>
        </w:r>
        <w:r w:rsidR="00334740">
          <w:rPr>
            <w:noProof/>
            <w:webHidden/>
          </w:rPr>
          <w:fldChar w:fldCharType="begin"/>
        </w:r>
        <w:r w:rsidR="00334740">
          <w:rPr>
            <w:noProof/>
            <w:webHidden/>
          </w:rPr>
          <w:instrText xml:space="preserve"> PAGEREF _Toc463343132 \h </w:instrText>
        </w:r>
        <w:r w:rsidR="00334740">
          <w:rPr>
            <w:noProof/>
            <w:webHidden/>
          </w:rPr>
        </w:r>
        <w:r w:rsidR="00334740">
          <w:rPr>
            <w:noProof/>
            <w:webHidden/>
          </w:rPr>
          <w:fldChar w:fldCharType="separate"/>
        </w:r>
        <w:r>
          <w:rPr>
            <w:noProof/>
            <w:webHidden/>
          </w:rPr>
          <w:t>22</w:t>
        </w:r>
        <w:r w:rsidR="00334740">
          <w:rPr>
            <w:noProof/>
            <w:webHidden/>
          </w:rPr>
          <w:fldChar w:fldCharType="end"/>
        </w:r>
      </w:hyperlink>
    </w:p>
    <w:p w14:paraId="1B8F687A" w14:textId="7DBF737D" w:rsidR="00334740" w:rsidRDefault="0073687F">
      <w:pPr>
        <w:pStyle w:val="TableofFigures"/>
        <w:tabs>
          <w:tab w:val="right" w:leader="dot" w:pos="10194"/>
        </w:tabs>
        <w:rPr>
          <w:rFonts w:asciiTheme="minorHAnsi" w:eastAsiaTheme="minorEastAsia" w:hAnsiTheme="minorHAnsi" w:cstheme="minorBidi"/>
          <w:noProof/>
          <w:sz w:val="22"/>
          <w:szCs w:val="22"/>
          <w:lang w:eastAsia="en-AU"/>
        </w:rPr>
      </w:pPr>
      <w:hyperlink w:anchor="_Toc463343133" w:history="1">
        <w:r w:rsidR="00334740" w:rsidRPr="00CE4103">
          <w:rPr>
            <w:rStyle w:val="Hyperlink"/>
            <w:iCs/>
            <w:noProof/>
          </w:rPr>
          <w:t>Figure 5</w:t>
        </w:r>
        <w:r w:rsidR="00334740" w:rsidRPr="00CE4103">
          <w:rPr>
            <w:rStyle w:val="Hyperlink"/>
            <w:iCs/>
            <w:noProof/>
          </w:rPr>
          <w:noBreakHyphen/>
          <w:t>2: Allocation of residual costs by tariff component for residential &amp; small business customers</w:t>
        </w:r>
        <w:r w:rsidR="00334740">
          <w:rPr>
            <w:noProof/>
            <w:webHidden/>
          </w:rPr>
          <w:tab/>
        </w:r>
        <w:r w:rsidR="00334740">
          <w:rPr>
            <w:noProof/>
            <w:webHidden/>
          </w:rPr>
          <w:fldChar w:fldCharType="begin"/>
        </w:r>
        <w:r w:rsidR="00334740">
          <w:rPr>
            <w:noProof/>
            <w:webHidden/>
          </w:rPr>
          <w:instrText xml:space="preserve"> PAGEREF _Toc463343133 \h </w:instrText>
        </w:r>
        <w:r w:rsidR="00334740">
          <w:rPr>
            <w:noProof/>
            <w:webHidden/>
          </w:rPr>
        </w:r>
        <w:r w:rsidR="00334740">
          <w:rPr>
            <w:noProof/>
            <w:webHidden/>
          </w:rPr>
          <w:fldChar w:fldCharType="separate"/>
        </w:r>
        <w:r>
          <w:rPr>
            <w:noProof/>
            <w:webHidden/>
          </w:rPr>
          <w:t>23</w:t>
        </w:r>
        <w:r w:rsidR="00334740">
          <w:rPr>
            <w:noProof/>
            <w:webHidden/>
          </w:rPr>
          <w:fldChar w:fldCharType="end"/>
        </w:r>
      </w:hyperlink>
    </w:p>
    <w:p w14:paraId="67A7C8D0" w14:textId="0BCDD0FA" w:rsidR="00334740" w:rsidRDefault="0073687F">
      <w:pPr>
        <w:pStyle w:val="TableofFigures"/>
        <w:tabs>
          <w:tab w:val="right" w:leader="dot" w:pos="10194"/>
        </w:tabs>
        <w:rPr>
          <w:rFonts w:asciiTheme="minorHAnsi" w:eastAsiaTheme="minorEastAsia" w:hAnsiTheme="minorHAnsi" w:cstheme="minorBidi"/>
          <w:noProof/>
          <w:sz w:val="22"/>
          <w:szCs w:val="22"/>
          <w:lang w:eastAsia="en-AU"/>
        </w:rPr>
      </w:pPr>
      <w:hyperlink w:anchor="_Toc463343134" w:history="1">
        <w:r w:rsidR="00334740" w:rsidRPr="00CE4103">
          <w:rPr>
            <w:rStyle w:val="Hyperlink"/>
            <w:iCs/>
            <w:noProof/>
          </w:rPr>
          <w:t>Figure 5</w:t>
        </w:r>
        <w:r w:rsidR="00334740" w:rsidRPr="00CE4103">
          <w:rPr>
            <w:rStyle w:val="Hyperlink"/>
            <w:iCs/>
            <w:noProof/>
          </w:rPr>
          <w:noBreakHyphen/>
          <w:t>3: Comparison of proposed 2017-18 residential and small business NUOS bills by tariff</w:t>
        </w:r>
        <w:r w:rsidR="00334740">
          <w:rPr>
            <w:noProof/>
            <w:webHidden/>
          </w:rPr>
          <w:tab/>
        </w:r>
        <w:r w:rsidR="00334740">
          <w:rPr>
            <w:noProof/>
            <w:webHidden/>
          </w:rPr>
          <w:fldChar w:fldCharType="begin"/>
        </w:r>
        <w:r w:rsidR="00334740">
          <w:rPr>
            <w:noProof/>
            <w:webHidden/>
          </w:rPr>
          <w:instrText xml:space="preserve"> PAGEREF _Toc463343134 \h </w:instrText>
        </w:r>
        <w:r w:rsidR="00334740">
          <w:rPr>
            <w:noProof/>
            <w:webHidden/>
          </w:rPr>
        </w:r>
        <w:r w:rsidR="00334740">
          <w:rPr>
            <w:noProof/>
            <w:webHidden/>
          </w:rPr>
          <w:fldChar w:fldCharType="separate"/>
        </w:r>
        <w:r>
          <w:rPr>
            <w:noProof/>
            <w:webHidden/>
          </w:rPr>
          <w:t>24</w:t>
        </w:r>
        <w:r w:rsidR="00334740">
          <w:rPr>
            <w:noProof/>
            <w:webHidden/>
          </w:rPr>
          <w:fldChar w:fldCharType="end"/>
        </w:r>
      </w:hyperlink>
    </w:p>
    <w:p w14:paraId="2ACFD21E" w14:textId="53CA3D65" w:rsidR="00334740" w:rsidRDefault="0073687F">
      <w:pPr>
        <w:pStyle w:val="TableofFigures"/>
        <w:tabs>
          <w:tab w:val="right" w:leader="dot" w:pos="10194"/>
        </w:tabs>
        <w:rPr>
          <w:rFonts w:asciiTheme="minorHAnsi" w:eastAsiaTheme="minorEastAsia" w:hAnsiTheme="minorHAnsi" w:cstheme="minorBidi"/>
          <w:noProof/>
          <w:sz w:val="22"/>
          <w:szCs w:val="22"/>
          <w:lang w:eastAsia="en-AU"/>
        </w:rPr>
      </w:pPr>
      <w:hyperlink w:anchor="_Toc463343135" w:history="1">
        <w:r w:rsidR="00334740" w:rsidRPr="00CE4103">
          <w:rPr>
            <w:rStyle w:val="Hyperlink"/>
            <w:iCs/>
            <w:noProof/>
          </w:rPr>
          <w:t>Figure 5</w:t>
        </w:r>
        <w:r w:rsidR="00334740" w:rsidRPr="00CE4103">
          <w:rPr>
            <w:rStyle w:val="Hyperlink"/>
            <w:iCs/>
            <w:noProof/>
          </w:rPr>
          <w:noBreakHyphen/>
          <w:t xml:space="preserve">4: Average residential and small </w:t>
        </w:r>
        <w:r w:rsidR="00334740" w:rsidRPr="00CE4103">
          <w:rPr>
            <w:rStyle w:val="Hyperlink"/>
            <w:noProof/>
          </w:rPr>
          <w:t xml:space="preserve">customer annual NUOS </w:t>
        </w:r>
        <w:r w:rsidR="00334740" w:rsidRPr="00CE4103">
          <w:rPr>
            <w:rStyle w:val="Hyperlink"/>
            <w:iCs/>
            <w:noProof/>
          </w:rPr>
          <w:t xml:space="preserve">bill </w:t>
        </w:r>
        <w:r w:rsidR="00334740" w:rsidRPr="00CE4103">
          <w:rPr>
            <w:rStyle w:val="Hyperlink"/>
            <w:noProof/>
          </w:rPr>
          <w:t>by tariff type</w:t>
        </w:r>
        <w:r w:rsidR="00334740" w:rsidRPr="00CE4103">
          <w:rPr>
            <w:rStyle w:val="Hyperlink"/>
            <w:iCs/>
            <w:noProof/>
          </w:rPr>
          <w:t xml:space="preserve"> (with year on year change)</w:t>
        </w:r>
        <w:r w:rsidR="00334740">
          <w:rPr>
            <w:noProof/>
            <w:webHidden/>
          </w:rPr>
          <w:tab/>
        </w:r>
        <w:r w:rsidR="00334740">
          <w:rPr>
            <w:noProof/>
            <w:webHidden/>
          </w:rPr>
          <w:fldChar w:fldCharType="begin"/>
        </w:r>
        <w:r w:rsidR="00334740">
          <w:rPr>
            <w:noProof/>
            <w:webHidden/>
          </w:rPr>
          <w:instrText xml:space="preserve"> PAGEREF _Toc463343135 \h </w:instrText>
        </w:r>
        <w:r w:rsidR="00334740">
          <w:rPr>
            <w:noProof/>
            <w:webHidden/>
          </w:rPr>
        </w:r>
        <w:r w:rsidR="00334740">
          <w:rPr>
            <w:noProof/>
            <w:webHidden/>
          </w:rPr>
          <w:fldChar w:fldCharType="separate"/>
        </w:r>
        <w:r>
          <w:rPr>
            <w:noProof/>
            <w:webHidden/>
          </w:rPr>
          <w:t>25</w:t>
        </w:r>
        <w:r w:rsidR="00334740">
          <w:rPr>
            <w:noProof/>
            <w:webHidden/>
          </w:rPr>
          <w:fldChar w:fldCharType="end"/>
        </w:r>
      </w:hyperlink>
    </w:p>
    <w:p w14:paraId="01BC9AB9" w14:textId="39978C48" w:rsidR="00334740" w:rsidRDefault="0073687F">
      <w:pPr>
        <w:pStyle w:val="TableofFigures"/>
        <w:tabs>
          <w:tab w:val="right" w:leader="dot" w:pos="10194"/>
        </w:tabs>
        <w:rPr>
          <w:rFonts w:asciiTheme="minorHAnsi" w:eastAsiaTheme="minorEastAsia" w:hAnsiTheme="minorHAnsi" w:cstheme="minorBidi"/>
          <w:noProof/>
          <w:sz w:val="22"/>
          <w:szCs w:val="22"/>
          <w:lang w:eastAsia="en-AU"/>
        </w:rPr>
      </w:pPr>
      <w:hyperlink w:anchor="_Toc463343136" w:history="1">
        <w:r w:rsidR="00334740" w:rsidRPr="00CE4103">
          <w:rPr>
            <w:rStyle w:val="Hyperlink"/>
            <w:iCs/>
            <w:noProof/>
          </w:rPr>
          <w:t>Figure 5</w:t>
        </w:r>
        <w:r w:rsidR="00334740" w:rsidRPr="00CE4103">
          <w:rPr>
            <w:rStyle w:val="Hyperlink"/>
            <w:iCs/>
            <w:noProof/>
          </w:rPr>
          <w:noBreakHyphen/>
          <w:t>5: Business, large business and sub-transmission annual NUOS bill (with year on year change)</w:t>
        </w:r>
        <w:r w:rsidR="00334740">
          <w:rPr>
            <w:noProof/>
            <w:webHidden/>
          </w:rPr>
          <w:tab/>
        </w:r>
        <w:r w:rsidR="00334740">
          <w:rPr>
            <w:noProof/>
            <w:webHidden/>
          </w:rPr>
          <w:fldChar w:fldCharType="begin"/>
        </w:r>
        <w:r w:rsidR="00334740">
          <w:rPr>
            <w:noProof/>
            <w:webHidden/>
          </w:rPr>
          <w:instrText xml:space="preserve"> PAGEREF _Toc463343136 \h </w:instrText>
        </w:r>
        <w:r w:rsidR="00334740">
          <w:rPr>
            <w:noProof/>
            <w:webHidden/>
          </w:rPr>
        </w:r>
        <w:r w:rsidR="00334740">
          <w:rPr>
            <w:noProof/>
            <w:webHidden/>
          </w:rPr>
          <w:fldChar w:fldCharType="separate"/>
        </w:r>
        <w:r>
          <w:rPr>
            <w:noProof/>
            <w:webHidden/>
          </w:rPr>
          <w:t>26</w:t>
        </w:r>
        <w:r w:rsidR="00334740">
          <w:rPr>
            <w:noProof/>
            <w:webHidden/>
          </w:rPr>
          <w:fldChar w:fldCharType="end"/>
        </w:r>
      </w:hyperlink>
    </w:p>
    <w:p w14:paraId="6C31DCDD" w14:textId="732BEEDD" w:rsidR="003958A1" w:rsidRDefault="00542728" w:rsidP="003958A1">
      <w:pPr>
        <w:pStyle w:val="Bodycopy"/>
      </w:pPr>
      <w:r>
        <w:fldChar w:fldCharType="end"/>
      </w:r>
    </w:p>
    <w:p w14:paraId="1B337436" w14:textId="297798E9" w:rsidR="005A4768" w:rsidRDefault="00A1141B" w:rsidP="00B50601">
      <w:pPr>
        <w:pStyle w:val="Heading1nonumbers"/>
        <w:rPr>
          <w:rFonts w:hint="eastAsia"/>
        </w:rPr>
      </w:pPr>
      <w:bookmarkStart w:id="5" w:name="_Toc462994045"/>
      <w:bookmarkStart w:id="6" w:name="_Toc463343009"/>
      <w:r>
        <w:t xml:space="preserve">LIST OF </w:t>
      </w:r>
      <w:r w:rsidR="005A4768">
        <w:t>ATTA</w:t>
      </w:r>
      <w:r w:rsidR="00B82D92">
        <w:t>CHMENTS</w:t>
      </w:r>
      <w:bookmarkEnd w:id="5"/>
      <w:bookmarkEnd w:id="6"/>
    </w:p>
    <w:p w14:paraId="3BD4A06E" w14:textId="779DC33A" w:rsidR="00570BE5" w:rsidRPr="00B50601" w:rsidRDefault="005A4768" w:rsidP="00570BE5">
      <w:pPr>
        <w:pStyle w:val="Numberednotindented"/>
      </w:pPr>
      <w:bookmarkStart w:id="7" w:name="_Ref432514437"/>
      <w:r w:rsidRPr="00B50601">
        <w:t xml:space="preserve">Overview </w:t>
      </w:r>
      <w:r w:rsidR="00406C69" w:rsidRPr="00B50601">
        <w:t>of this TSS</w:t>
      </w:r>
      <w:bookmarkEnd w:id="7"/>
    </w:p>
    <w:p w14:paraId="5C991154" w14:textId="4D03B701" w:rsidR="00B50601" w:rsidRPr="00B50601" w:rsidRDefault="005A4768" w:rsidP="00B50601">
      <w:pPr>
        <w:pStyle w:val="Numberednotindented"/>
      </w:pPr>
      <w:bookmarkStart w:id="8" w:name="_Ref432488644"/>
      <w:r w:rsidRPr="00B50601">
        <w:t xml:space="preserve">Indicative </w:t>
      </w:r>
      <w:r w:rsidR="00E949E2" w:rsidRPr="00B50601">
        <w:t xml:space="preserve">NUOS </w:t>
      </w:r>
      <w:r w:rsidRPr="00B50601">
        <w:t>Pricing Schedule</w:t>
      </w:r>
      <w:bookmarkEnd w:id="8"/>
    </w:p>
    <w:p w14:paraId="0A7DDD98" w14:textId="7AF976C4" w:rsidR="00E949E2" w:rsidRPr="008E4BD2" w:rsidRDefault="00B50601" w:rsidP="00570BE5">
      <w:pPr>
        <w:pStyle w:val="Numberednotindented"/>
      </w:pPr>
      <w:bookmarkStart w:id="9" w:name="_Ref432586799"/>
      <w:bookmarkStart w:id="10" w:name="_Ref436232691"/>
      <w:r w:rsidRPr="008E4BD2">
        <w:t xml:space="preserve">IPSOS </w:t>
      </w:r>
      <w:r w:rsidR="0099628D" w:rsidRPr="008E4BD2">
        <w:t xml:space="preserve">Public Affairs </w:t>
      </w:r>
      <w:r w:rsidRPr="008E4BD2">
        <w:t xml:space="preserve">stakeholder </w:t>
      </w:r>
      <w:r w:rsidR="009622AB" w:rsidRPr="008E4BD2">
        <w:t>e</w:t>
      </w:r>
      <w:r w:rsidR="00E949E2" w:rsidRPr="008E4BD2">
        <w:t>ngagement</w:t>
      </w:r>
      <w:r w:rsidR="00EE0B3A" w:rsidRPr="008E4BD2">
        <w:t xml:space="preserve"> </w:t>
      </w:r>
      <w:bookmarkEnd w:id="9"/>
      <w:bookmarkEnd w:id="10"/>
      <w:r w:rsidRPr="008E4BD2">
        <w:t>report</w:t>
      </w:r>
    </w:p>
    <w:bookmarkStart w:id="11" w:name="_Ref432514534"/>
    <w:p w14:paraId="630AEFDC" w14:textId="6A69769F" w:rsidR="00E949E2" w:rsidRPr="008E4BD2" w:rsidRDefault="005A34DB" w:rsidP="00570BE5">
      <w:pPr>
        <w:pStyle w:val="Numberednotindented"/>
      </w:pPr>
      <w:r w:rsidRPr="008E4BD2">
        <w:fldChar w:fldCharType="begin"/>
      </w:r>
      <w:r w:rsidRPr="008E4BD2">
        <w:instrText xml:space="preserve"> REF _Ref461462726 \h </w:instrText>
      </w:r>
      <w:r w:rsidR="008E4BD2">
        <w:instrText xml:space="preserve"> \* MERGEFORMAT </w:instrText>
      </w:r>
      <w:r w:rsidRPr="008E4BD2">
        <w:fldChar w:fldCharType="separate"/>
      </w:r>
      <w:r w:rsidR="0073687F">
        <w:t>Assigning customers to tariffs</w:t>
      </w:r>
      <w:r w:rsidRPr="008E4BD2">
        <w:fldChar w:fldCharType="end"/>
      </w:r>
      <w:r w:rsidR="00D666E0" w:rsidRPr="008E4BD2">
        <w:t xml:space="preserve"> - </w:t>
      </w:r>
      <w:r w:rsidR="00E949E2" w:rsidRPr="008E4BD2">
        <w:t>Policies and procedures for assignment and reassignment of tariffs</w:t>
      </w:r>
      <w:bookmarkEnd w:id="11"/>
      <w:r w:rsidR="00900407" w:rsidRPr="008E4BD2">
        <w:t xml:space="preserve"> </w:t>
      </w:r>
    </w:p>
    <w:p w14:paraId="6A4395E7" w14:textId="77777777" w:rsidR="00B50601" w:rsidRPr="008E4BD2" w:rsidRDefault="00B50601" w:rsidP="00B50601">
      <w:pPr>
        <w:pStyle w:val="Numberednotindented"/>
      </w:pPr>
      <w:bookmarkStart w:id="12" w:name="_Ref432488667"/>
      <w:r w:rsidRPr="008E4BD2">
        <w:t>Alternative Control Pricing Schedule</w:t>
      </w:r>
      <w:bookmarkEnd w:id="12"/>
    </w:p>
    <w:p w14:paraId="065A8D50" w14:textId="6F769625" w:rsidR="0099628D" w:rsidRPr="008E4BD2" w:rsidRDefault="0099628D" w:rsidP="0099628D">
      <w:pPr>
        <w:pStyle w:val="Numberednotindented"/>
        <w:ind w:left="360" w:hanging="360"/>
      </w:pPr>
      <w:r w:rsidRPr="008E4BD2">
        <w:t>Compliance report from Farrier Swier</w:t>
      </w:r>
      <w:r w:rsidR="00D666E0" w:rsidRPr="008E4BD2">
        <w:t xml:space="preserve"> Consulting</w:t>
      </w:r>
    </w:p>
    <w:p w14:paraId="15E1DDC9" w14:textId="77A393CB" w:rsidR="00343F03" w:rsidRDefault="00343F03" w:rsidP="0099628D">
      <w:pPr>
        <w:pStyle w:val="Numberednotindented"/>
        <w:ind w:left="360" w:hanging="360"/>
      </w:pPr>
      <w:bookmarkStart w:id="13" w:name="_Ref461525845"/>
      <w:r>
        <w:t>Updated Long Run Marginal Cost model</w:t>
      </w:r>
    </w:p>
    <w:p w14:paraId="5A3CEDED" w14:textId="7D07A315" w:rsidR="0099628D" w:rsidRDefault="0099628D" w:rsidP="0099628D">
      <w:pPr>
        <w:pStyle w:val="Numberednotindented"/>
      </w:pPr>
      <w:r>
        <w:t>Addendum to our Tariff Structure Statement: Explanations &amp; Reasoning</w:t>
      </w:r>
      <w:bookmarkEnd w:id="13"/>
    </w:p>
    <w:p w14:paraId="343A859D" w14:textId="77777777" w:rsidR="00F23AC3" w:rsidRDefault="00F23AC3" w:rsidP="00F23AC3">
      <w:pPr>
        <w:pStyle w:val="Bodycopy"/>
      </w:pPr>
    </w:p>
    <w:p w14:paraId="04A7F274" w14:textId="1FFDF64A" w:rsidR="009D6C44" w:rsidRDefault="009D6C44" w:rsidP="009720B9">
      <w:pPr>
        <w:pStyle w:val="Heading1notinTOC"/>
        <w:rPr>
          <w:rFonts w:hint="eastAsia"/>
        </w:rPr>
      </w:pPr>
      <w:r>
        <w:t>DISCLAIMER</w:t>
      </w:r>
    </w:p>
    <w:p w14:paraId="04A7F277" w14:textId="77777777" w:rsidR="009D6C44" w:rsidRPr="00AD7000" w:rsidRDefault="009D6C44" w:rsidP="005E27B2">
      <w:pPr>
        <w:pStyle w:val="Bodycopy"/>
      </w:pPr>
      <w:r>
        <w:t>This document is copyright. No part may be reproduced by any process without written permission, except as permitted under the copyright act.</w:t>
      </w:r>
      <w:r>
        <w:br w:type="page"/>
      </w:r>
    </w:p>
    <w:p w14:paraId="1C79DD7C" w14:textId="77777777" w:rsidR="007C06EA" w:rsidRDefault="007C06EA" w:rsidP="007C06EA">
      <w:pPr>
        <w:pStyle w:val="Heading1nonumbers"/>
        <w:rPr>
          <w:rFonts w:hint="eastAsia"/>
        </w:rPr>
      </w:pPr>
      <w:bookmarkStart w:id="14" w:name="_Toc429480667"/>
      <w:bookmarkStart w:id="15" w:name="_Toc431299129"/>
      <w:bookmarkStart w:id="16" w:name="_Toc431478317"/>
      <w:bookmarkStart w:id="17" w:name="_Toc431544696"/>
      <w:bookmarkStart w:id="18" w:name="_Toc431996356"/>
      <w:bookmarkStart w:id="19" w:name="_Toc432151726"/>
      <w:bookmarkStart w:id="20" w:name="_Toc432163879"/>
      <w:bookmarkStart w:id="21" w:name="_Toc432173062"/>
      <w:bookmarkStart w:id="22" w:name="_Toc432174522"/>
      <w:bookmarkStart w:id="23" w:name="_Toc432597600"/>
      <w:bookmarkStart w:id="24" w:name="_Toc434839509"/>
      <w:bookmarkStart w:id="25" w:name="_Toc435177034"/>
      <w:bookmarkStart w:id="26" w:name="_Toc435454541"/>
      <w:bookmarkStart w:id="27" w:name="_Toc435608287"/>
      <w:bookmarkStart w:id="28" w:name="_Toc435629507"/>
      <w:bookmarkStart w:id="29" w:name="_Toc436127240"/>
      <w:bookmarkStart w:id="30" w:name="_Toc436226274"/>
      <w:bookmarkStart w:id="31" w:name="_Toc436304791"/>
      <w:bookmarkStart w:id="32" w:name="_Toc462994046"/>
      <w:bookmarkStart w:id="33" w:name="_Toc463343010"/>
      <w:bookmarkStart w:id="34" w:name="_Toc429480646"/>
      <w:r>
        <w:lastRenderedPageBreak/>
        <w:t>Glossary</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tbl>
      <w:tblPr>
        <w:tblStyle w:val="EETealTable"/>
        <w:tblW w:w="10206" w:type="dxa"/>
        <w:tblInd w:w="-23" w:type="dxa"/>
        <w:tblLook w:val="04A0" w:firstRow="1" w:lastRow="0" w:firstColumn="1" w:lastColumn="0" w:noHBand="0" w:noVBand="1"/>
      </w:tblPr>
      <w:tblGrid>
        <w:gridCol w:w="2092"/>
        <w:gridCol w:w="8114"/>
      </w:tblGrid>
      <w:tr w:rsidR="00992A3B" w14:paraId="56F96BEE" w14:textId="77777777" w:rsidTr="00CC0C0C">
        <w:trPr>
          <w:cnfStyle w:val="100000000000" w:firstRow="1" w:lastRow="0" w:firstColumn="0" w:lastColumn="0" w:oddVBand="0" w:evenVBand="0" w:oddHBand="0" w:evenHBand="0" w:firstRowFirstColumn="0" w:firstRowLastColumn="0" w:lastRowFirstColumn="0" w:lastRowLastColumn="0"/>
          <w:trHeight w:val="351"/>
        </w:trPr>
        <w:tc>
          <w:tcPr>
            <w:tcW w:w="2092" w:type="dxa"/>
          </w:tcPr>
          <w:p w14:paraId="74DE7178" w14:textId="77777777" w:rsidR="00992A3B" w:rsidRPr="0084308F" w:rsidRDefault="00992A3B" w:rsidP="00926684">
            <w:pPr>
              <w:pStyle w:val="Tableheadingwhitebold8pt"/>
              <w:spacing w:after="80"/>
              <w:jc w:val="left"/>
              <w:rPr>
                <w:b/>
                <w:bCs/>
              </w:rPr>
            </w:pPr>
            <w:r w:rsidRPr="0084308F">
              <w:rPr>
                <w:bCs/>
              </w:rPr>
              <w:t>Term</w:t>
            </w:r>
          </w:p>
        </w:tc>
        <w:tc>
          <w:tcPr>
            <w:tcW w:w="8114" w:type="dxa"/>
          </w:tcPr>
          <w:p w14:paraId="14B3F638" w14:textId="77777777" w:rsidR="00992A3B" w:rsidRPr="0084308F" w:rsidRDefault="00992A3B" w:rsidP="00926684">
            <w:pPr>
              <w:pStyle w:val="Tableheadingwhitebold8pt"/>
              <w:spacing w:after="80"/>
              <w:jc w:val="left"/>
              <w:rPr>
                <w:b/>
                <w:bCs/>
              </w:rPr>
            </w:pPr>
            <w:r w:rsidRPr="0084308F">
              <w:rPr>
                <w:bCs/>
              </w:rPr>
              <w:t>Meaning</w:t>
            </w:r>
          </w:p>
        </w:tc>
      </w:tr>
      <w:tr w:rsidR="00992A3B" w14:paraId="7151155D" w14:textId="77777777" w:rsidTr="00CC0C0C">
        <w:trPr>
          <w:cnfStyle w:val="000000100000" w:firstRow="0" w:lastRow="0" w:firstColumn="0" w:lastColumn="0" w:oddVBand="0" w:evenVBand="0" w:oddHBand="1" w:evenHBand="0" w:firstRowFirstColumn="0" w:firstRowLastColumn="0" w:lastRowFirstColumn="0" w:lastRowLastColumn="0"/>
        </w:trPr>
        <w:tc>
          <w:tcPr>
            <w:tcW w:w="2092" w:type="dxa"/>
          </w:tcPr>
          <w:p w14:paraId="68B5F06F" w14:textId="77777777" w:rsidR="00992A3B" w:rsidRPr="00456C94" w:rsidRDefault="00992A3B" w:rsidP="00566050">
            <w:pPr>
              <w:pStyle w:val="Bodycopytable8pt"/>
              <w:spacing w:before="0" w:after="20"/>
            </w:pPr>
            <w:r w:rsidRPr="00456C94">
              <w:t xml:space="preserve">2014-19 Determination </w:t>
            </w:r>
          </w:p>
        </w:tc>
        <w:tc>
          <w:tcPr>
            <w:tcW w:w="8114" w:type="dxa"/>
          </w:tcPr>
          <w:p w14:paraId="26D5C0C5" w14:textId="77777777" w:rsidR="00992A3B" w:rsidRPr="00456C94" w:rsidRDefault="00992A3B" w:rsidP="00566050">
            <w:pPr>
              <w:pStyle w:val="Bodycopytable8pt"/>
              <w:spacing w:before="0" w:after="20"/>
              <w:rPr>
                <w:lang w:val="en-AU"/>
              </w:rPr>
            </w:pPr>
            <w:r w:rsidRPr="00456C94">
              <w:rPr>
                <w:lang w:val="en-AU"/>
              </w:rPr>
              <w:t>Our current regulatory control period running from 1 July 2014 through to 30 June 2019.</w:t>
            </w:r>
          </w:p>
        </w:tc>
      </w:tr>
      <w:tr w:rsidR="00992A3B" w14:paraId="76121D75" w14:textId="77777777" w:rsidTr="00CC0C0C">
        <w:trPr>
          <w:cnfStyle w:val="000000010000" w:firstRow="0" w:lastRow="0" w:firstColumn="0" w:lastColumn="0" w:oddVBand="0" w:evenVBand="0" w:oddHBand="0" w:evenHBand="1" w:firstRowFirstColumn="0" w:firstRowLastColumn="0" w:lastRowFirstColumn="0" w:lastRowLastColumn="0"/>
        </w:trPr>
        <w:tc>
          <w:tcPr>
            <w:tcW w:w="2092" w:type="dxa"/>
          </w:tcPr>
          <w:p w14:paraId="4EAD7BC8" w14:textId="77777777" w:rsidR="00992A3B" w:rsidRPr="00456C94" w:rsidRDefault="00992A3B" w:rsidP="00566050">
            <w:pPr>
              <w:pStyle w:val="Bodycopytable8pt"/>
              <w:spacing w:before="0" w:after="20"/>
            </w:pPr>
            <w:r w:rsidRPr="00456C94">
              <w:t>AEMC</w:t>
            </w:r>
          </w:p>
        </w:tc>
        <w:tc>
          <w:tcPr>
            <w:tcW w:w="8114" w:type="dxa"/>
          </w:tcPr>
          <w:p w14:paraId="7072902E" w14:textId="77777777" w:rsidR="00992A3B" w:rsidRPr="00456C94" w:rsidRDefault="00992A3B" w:rsidP="00566050">
            <w:pPr>
              <w:pStyle w:val="Bodycopytable8pt"/>
              <w:spacing w:before="0" w:after="20"/>
              <w:rPr>
                <w:lang w:val="en-AU"/>
              </w:rPr>
            </w:pPr>
            <w:r w:rsidRPr="00456C94">
              <w:rPr>
                <w:lang w:val="en-AU"/>
              </w:rPr>
              <w:t>Australian Energy Market Commission – the rule makers for Australian electricity and gas markets.</w:t>
            </w:r>
          </w:p>
        </w:tc>
      </w:tr>
      <w:tr w:rsidR="00992A3B" w14:paraId="46FEB85B" w14:textId="77777777" w:rsidTr="00CC0C0C">
        <w:trPr>
          <w:cnfStyle w:val="000000100000" w:firstRow="0" w:lastRow="0" w:firstColumn="0" w:lastColumn="0" w:oddVBand="0" w:evenVBand="0" w:oddHBand="1" w:evenHBand="0" w:firstRowFirstColumn="0" w:firstRowLastColumn="0" w:lastRowFirstColumn="0" w:lastRowLastColumn="0"/>
        </w:trPr>
        <w:tc>
          <w:tcPr>
            <w:tcW w:w="2092" w:type="dxa"/>
          </w:tcPr>
          <w:p w14:paraId="30010F4F" w14:textId="77777777" w:rsidR="00992A3B" w:rsidRPr="00456C94" w:rsidRDefault="00992A3B" w:rsidP="00566050">
            <w:pPr>
              <w:pStyle w:val="Bodycopytable8pt"/>
              <w:spacing w:before="0" w:after="20"/>
            </w:pPr>
            <w:r w:rsidRPr="00456C94">
              <w:t>AER</w:t>
            </w:r>
          </w:p>
        </w:tc>
        <w:tc>
          <w:tcPr>
            <w:tcW w:w="8114" w:type="dxa"/>
          </w:tcPr>
          <w:p w14:paraId="33B522A4" w14:textId="77777777" w:rsidR="00992A3B" w:rsidRPr="00456C94" w:rsidRDefault="00992A3B" w:rsidP="00566050">
            <w:pPr>
              <w:pStyle w:val="Bodycopytable8pt"/>
              <w:spacing w:before="0" w:after="20"/>
            </w:pPr>
            <w:r w:rsidRPr="00456C94">
              <w:rPr>
                <w:lang w:val="en-AU"/>
              </w:rPr>
              <w:t>Australian Energy Regulator – the national regulator that oversees the electricity industry.</w:t>
            </w:r>
          </w:p>
        </w:tc>
      </w:tr>
      <w:tr w:rsidR="00992A3B" w14:paraId="0F38BFF0" w14:textId="77777777" w:rsidTr="00CC0C0C">
        <w:trPr>
          <w:cnfStyle w:val="000000010000" w:firstRow="0" w:lastRow="0" w:firstColumn="0" w:lastColumn="0" w:oddVBand="0" w:evenVBand="0" w:oddHBand="0" w:evenHBand="1" w:firstRowFirstColumn="0" w:firstRowLastColumn="0" w:lastRowFirstColumn="0" w:lastRowLastColumn="0"/>
        </w:trPr>
        <w:tc>
          <w:tcPr>
            <w:tcW w:w="2092" w:type="dxa"/>
          </w:tcPr>
          <w:p w14:paraId="34F35F8A" w14:textId="77777777" w:rsidR="00992A3B" w:rsidRPr="00456C94" w:rsidRDefault="00992A3B" w:rsidP="00566050">
            <w:pPr>
              <w:pStyle w:val="Bodycopytable8pt"/>
              <w:spacing w:before="0" w:after="20"/>
              <w:rPr>
                <w:rFonts w:cs="Arial"/>
                <w:lang w:eastAsia="en-AU"/>
              </w:rPr>
            </w:pPr>
            <w:r w:rsidRPr="00456C94">
              <w:rPr>
                <w:rFonts w:cs="Arial"/>
                <w:lang w:eastAsia="en-AU"/>
              </w:rPr>
              <w:t>Alternative Control Services</w:t>
            </w:r>
          </w:p>
        </w:tc>
        <w:tc>
          <w:tcPr>
            <w:tcW w:w="8114" w:type="dxa"/>
          </w:tcPr>
          <w:p w14:paraId="77A4FADC" w14:textId="7A1E36A5" w:rsidR="00992A3B" w:rsidRPr="00456C94" w:rsidRDefault="00992A3B" w:rsidP="00566050">
            <w:pPr>
              <w:pStyle w:val="Bodycopytable8pt"/>
              <w:spacing w:before="0" w:after="20"/>
              <w:rPr>
                <w:rFonts w:cs="Arial"/>
                <w:lang w:eastAsia="en-AU"/>
              </w:rPr>
            </w:pPr>
            <w:r w:rsidRPr="00456C94">
              <w:rPr>
                <w:lang w:val="en-AU"/>
              </w:rPr>
              <w:t xml:space="preserve">These are specific user requested services. </w:t>
            </w:r>
            <w:r w:rsidR="008D674F" w:rsidRPr="00456C94">
              <w:rPr>
                <w:lang w:val="en-AU"/>
              </w:rPr>
              <w:t>They comprise:</w:t>
            </w:r>
            <w:r w:rsidRPr="00456C94" w:rsidDel="00D8559D">
              <w:rPr>
                <w:lang w:val="en-AU"/>
              </w:rPr>
              <w:t xml:space="preserve"> </w:t>
            </w:r>
            <w:r w:rsidRPr="00456C94">
              <w:rPr>
                <w:i/>
                <w:lang w:val="en-AU"/>
              </w:rPr>
              <w:t>Public Lighting</w:t>
            </w:r>
            <w:r w:rsidRPr="00456C94">
              <w:rPr>
                <w:lang w:val="en-AU"/>
              </w:rPr>
              <w:t>;</w:t>
            </w:r>
            <w:r w:rsidR="008D674F" w:rsidRPr="00456C94">
              <w:rPr>
                <w:lang w:val="en-AU"/>
              </w:rPr>
              <w:t xml:space="preserve"> </w:t>
            </w:r>
            <w:r w:rsidRPr="00456C94">
              <w:rPr>
                <w:i/>
                <w:lang w:val="en-AU"/>
              </w:rPr>
              <w:t>Type 5 &amp; 6</w:t>
            </w:r>
            <w:r w:rsidRPr="00456C94">
              <w:rPr>
                <w:lang w:val="en-AU"/>
              </w:rPr>
              <w:t xml:space="preserve"> </w:t>
            </w:r>
            <w:r w:rsidRPr="00456C94">
              <w:rPr>
                <w:i/>
                <w:lang w:val="en-AU"/>
              </w:rPr>
              <w:t>Metering</w:t>
            </w:r>
            <w:r w:rsidRPr="00456C94">
              <w:rPr>
                <w:lang w:val="en-AU"/>
              </w:rPr>
              <w:t xml:space="preserve"> (generally residential and small business customer meters); and </w:t>
            </w:r>
            <w:r w:rsidRPr="00456C94">
              <w:rPr>
                <w:i/>
                <w:lang w:val="en-AU"/>
              </w:rPr>
              <w:t>Ancillary Network Services</w:t>
            </w:r>
            <w:r w:rsidRPr="00456C94">
              <w:rPr>
                <w:lang w:val="en-AU"/>
              </w:rPr>
              <w:t>.</w:t>
            </w:r>
          </w:p>
        </w:tc>
      </w:tr>
      <w:tr w:rsidR="00992A3B" w14:paraId="464DFC8A" w14:textId="77777777" w:rsidTr="00CC0C0C">
        <w:trPr>
          <w:cnfStyle w:val="000000100000" w:firstRow="0" w:lastRow="0" w:firstColumn="0" w:lastColumn="0" w:oddVBand="0" w:evenVBand="0" w:oddHBand="1" w:evenHBand="0" w:firstRowFirstColumn="0" w:firstRowLastColumn="0" w:lastRowFirstColumn="0" w:lastRowLastColumn="0"/>
        </w:trPr>
        <w:tc>
          <w:tcPr>
            <w:tcW w:w="2092" w:type="dxa"/>
          </w:tcPr>
          <w:p w14:paraId="0F2810F7" w14:textId="77777777" w:rsidR="00992A3B" w:rsidRPr="00456C94" w:rsidRDefault="00992A3B" w:rsidP="00566050">
            <w:pPr>
              <w:pStyle w:val="Bodycopytable8pt"/>
              <w:spacing w:before="0" w:after="20"/>
              <w:rPr>
                <w:rFonts w:cs="Arial"/>
                <w:lang w:eastAsia="en-AU"/>
              </w:rPr>
            </w:pPr>
            <w:r w:rsidRPr="00456C94">
              <w:rPr>
                <w:rFonts w:cs="Arial"/>
                <w:lang w:eastAsia="en-AU"/>
              </w:rPr>
              <w:t>Charging parameters</w:t>
            </w:r>
          </w:p>
        </w:tc>
        <w:tc>
          <w:tcPr>
            <w:tcW w:w="8114" w:type="dxa"/>
          </w:tcPr>
          <w:p w14:paraId="0F1F7EBE" w14:textId="3B76B762" w:rsidR="00992A3B" w:rsidRPr="00456C94" w:rsidRDefault="00992A3B" w:rsidP="00566050">
            <w:pPr>
              <w:pStyle w:val="Bodycopytable8pt"/>
              <w:spacing w:before="0" w:after="20"/>
              <w:rPr>
                <w:sz w:val="14"/>
                <w:szCs w:val="14"/>
                <w:lang w:eastAsia="en-AU"/>
              </w:rPr>
            </w:pPr>
            <w:r w:rsidRPr="00456C94">
              <w:rPr>
                <w:lang w:eastAsia="en-AU"/>
              </w:rPr>
              <w:t>The specific charge characteristics for a component within the tariff structure. For example, the energy charge component may vary with the time of day in which electricity is consumed</w:t>
            </w:r>
            <w:r w:rsidR="00FF1B01" w:rsidRPr="00456C94">
              <w:rPr>
                <w:lang w:eastAsia="en-AU"/>
              </w:rPr>
              <w:t>.</w:t>
            </w:r>
          </w:p>
        </w:tc>
      </w:tr>
      <w:tr w:rsidR="00926684" w14:paraId="47FEBBCE" w14:textId="77777777" w:rsidTr="00CC0C0C">
        <w:trPr>
          <w:cnfStyle w:val="000000010000" w:firstRow="0" w:lastRow="0" w:firstColumn="0" w:lastColumn="0" w:oddVBand="0" w:evenVBand="0" w:oddHBand="0" w:evenHBand="1" w:firstRowFirstColumn="0" w:firstRowLastColumn="0" w:lastRowFirstColumn="0" w:lastRowLastColumn="0"/>
        </w:trPr>
        <w:tc>
          <w:tcPr>
            <w:tcW w:w="2092" w:type="dxa"/>
          </w:tcPr>
          <w:p w14:paraId="3AC2048A" w14:textId="25419437" w:rsidR="00926684" w:rsidRPr="00456C94" w:rsidRDefault="00926684" w:rsidP="00566050">
            <w:pPr>
              <w:pStyle w:val="Bodycopytable8pt"/>
              <w:spacing w:before="0" w:after="20"/>
              <w:rPr>
                <w:rFonts w:cs="Arial"/>
                <w:lang w:eastAsia="en-AU"/>
              </w:rPr>
            </w:pPr>
            <w:r w:rsidRPr="00456C94">
              <w:rPr>
                <w:rFonts w:cs="Arial"/>
                <w:lang w:eastAsia="en-AU"/>
              </w:rPr>
              <w:t>CPI</w:t>
            </w:r>
          </w:p>
        </w:tc>
        <w:tc>
          <w:tcPr>
            <w:tcW w:w="8114" w:type="dxa"/>
          </w:tcPr>
          <w:p w14:paraId="4034E33F" w14:textId="1636E8C9" w:rsidR="00926684" w:rsidRPr="00456C94" w:rsidRDefault="00926684" w:rsidP="00566050">
            <w:pPr>
              <w:pStyle w:val="Bodycopytable8pt"/>
              <w:spacing w:before="0" w:after="20"/>
              <w:rPr>
                <w:lang w:eastAsia="en-US"/>
              </w:rPr>
            </w:pPr>
            <w:r w:rsidRPr="00456C94">
              <w:rPr>
                <w:lang w:eastAsia="en-US"/>
              </w:rPr>
              <w:t>Consumer Price Index</w:t>
            </w:r>
            <w:r w:rsidR="00AF3A84" w:rsidRPr="00456C94">
              <w:rPr>
                <w:lang w:eastAsia="en-US"/>
              </w:rPr>
              <w:t>.</w:t>
            </w:r>
          </w:p>
        </w:tc>
      </w:tr>
      <w:tr w:rsidR="00992A3B" w14:paraId="3498F346" w14:textId="77777777" w:rsidTr="00CC0C0C">
        <w:trPr>
          <w:cnfStyle w:val="000000100000" w:firstRow="0" w:lastRow="0" w:firstColumn="0" w:lastColumn="0" w:oddVBand="0" w:evenVBand="0" w:oddHBand="1" w:evenHBand="0" w:firstRowFirstColumn="0" w:firstRowLastColumn="0" w:lastRowFirstColumn="0" w:lastRowLastColumn="0"/>
        </w:trPr>
        <w:tc>
          <w:tcPr>
            <w:tcW w:w="2092" w:type="dxa"/>
          </w:tcPr>
          <w:p w14:paraId="38DE18D8" w14:textId="23BB6E70" w:rsidR="00992A3B" w:rsidRPr="00456C94" w:rsidRDefault="006C4C4F" w:rsidP="00566050">
            <w:pPr>
              <w:pStyle w:val="Bodycopytable8pt"/>
              <w:spacing w:before="0" w:after="20"/>
              <w:rPr>
                <w:rFonts w:cs="Arial"/>
                <w:lang w:eastAsia="en-AU"/>
              </w:rPr>
            </w:pPr>
            <w:r w:rsidRPr="00456C94">
              <w:rPr>
                <w:rFonts w:cs="Arial"/>
                <w:lang w:eastAsia="en-AU"/>
              </w:rPr>
              <w:t xml:space="preserve">DBT / </w:t>
            </w:r>
            <w:r w:rsidR="00992A3B" w:rsidRPr="00456C94">
              <w:rPr>
                <w:rFonts w:cs="Arial"/>
                <w:lang w:eastAsia="en-AU"/>
              </w:rPr>
              <w:t>Declining block tariff</w:t>
            </w:r>
          </w:p>
        </w:tc>
        <w:tc>
          <w:tcPr>
            <w:tcW w:w="8114" w:type="dxa"/>
          </w:tcPr>
          <w:p w14:paraId="3B6BE0B9" w14:textId="77777777" w:rsidR="00992A3B" w:rsidRPr="00456C94" w:rsidRDefault="00992A3B" w:rsidP="00566050">
            <w:pPr>
              <w:pStyle w:val="Bodycopytable8pt"/>
              <w:spacing w:before="0" w:after="20"/>
              <w:rPr>
                <w:lang w:val="en-AU"/>
              </w:rPr>
            </w:pPr>
            <w:r w:rsidRPr="00456C94">
              <w:rPr>
                <w:lang w:eastAsia="en-US"/>
              </w:rPr>
              <w:t>A tariff whereby the network charge becomes progressively cheaper as customer consumption increases.</w:t>
            </w:r>
          </w:p>
        </w:tc>
      </w:tr>
      <w:tr w:rsidR="00992A3B" w14:paraId="47D44B71" w14:textId="77777777" w:rsidTr="00CC0C0C">
        <w:trPr>
          <w:cnfStyle w:val="000000010000" w:firstRow="0" w:lastRow="0" w:firstColumn="0" w:lastColumn="0" w:oddVBand="0" w:evenVBand="0" w:oddHBand="0" w:evenHBand="1" w:firstRowFirstColumn="0" w:firstRowLastColumn="0" w:lastRowFirstColumn="0" w:lastRowLastColumn="0"/>
        </w:trPr>
        <w:tc>
          <w:tcPr>
            <w:tcW w:w="2092" w:type="dxa"/>
          </w:tcPr>
          <w:p w14:paraId="6AB984A4" w14:textId="77777777" w:rsidR="00992A3B" w:rsidRPr="00456C94" w:rsidRDefault="00992A3B" w:rsidP="00566050">
            <w:pPr>
              <w:pStyle w:val="Bodycopytable8pt"/>
              <w:spacing w:before="0" w:after="20"/>
              <w:rPr>
                <w:rFonts w:cs="Arial"/>
                <w:lang w:eastAsia="en-AU"/>
              </w:rPr>
            </w:pPr>
            <w:r w:rsidRPr="00456C94">
              <w:rPr>
                <w:rFonts w:cs="Arial"/>
                <w:lang w:eastAsia="en-AU"/>
              </w:rPr>
              <w:t>Direct control services</w:t>
            </w:r>
          </w:p>
        </w:tc>
        <w:tc>
          <w:tcPr>
            <w:tcW w:w="8114" w:type="dxa"/>
          </w:tcPr>
          <w:p w14:paraId="6A227AF7" w14:textId="77777777" w:rsidR="00992A3B" w:rsidRPr="00456C94" w:rsidRDefault="00992A3B" w:rsidP="00566050">
            <w:pPr>
              <w:pStyle w:val="Bodycopytable8pt"/>
              <w:spacing w:before="0" w:after="20"/>
              <w:rPr>
                <w:rFonts w:cs="Arial"/>
                <w:lang w:eastAsia="en-AU"/>
              </w:rPr>
            </w:pPr>
            <w:r w:rsidRPr="00456C94">
              <w:rPr>
                <w:rFonts w:cs="Arial"/>
                <w:lang w:eastAsia="en-AU"/>
              </w:rPr>
              <w:t>Services regulated by the AER under the National Electricity Rules. Direct control services comprise Standard Control Services and Alternative Control Services.</w:t>
            </w:r>
          </w:p>
        </w:tc>
      </w:tr>
      <w:tr w:rsidR="00992A3B" w14:paraId="5AB6C4E1" w14:textId="77777777" w:rsidTr="00CC0C0C">
        <w:trPr>
          <w:cnfStyle w:val="000000100000" w:firstRow="0" w:lastRow="0" w:firstColumn="0" w:lastColumn="0" w:oddVBand="0" w:evenVBand="0" w:oddHBand="1" w:evenHBand="0" w:firstRowFirstColumn="0" w:firstRowLastColumn="0" w:lastRowFirstColumn="0" w:lastRowLastColumn="0"/>
        </w:trPr>
        <w:tc>
          <w:tcPr>
            <w:tcW w:w="2092" w:type="dxa"/>
          </w:tcPr>
          <w:p w14:paraId="365F159A" w14:textId="77777777" w:rsidR="00992A3B" w:rsidRPr="00456C94" w:rsidRDefault="00992A3B" w:rsidP="00566050">
            <w:pPr>
              <w:pStyle w:val="Bodycopytable8pt"/>
              <w:spacing w:before="0" w:after="20"/>
            </w:pPr>
            <w:r w:rsidRPr="00456C94">
              <w:t>DNSP</w:t>
            </w:r>
          </w:p>
        </w:tc>
        <w:tc>
          <w:tcPr>
            <w:tcW w:w="8114" w:type="dxa"/>
          </w:tcPr>
          <w:p w14:paraId="78CC8FD5" w14:textId="0F776883" w:rsidR="00992A3B" w:rsidRPr="00456C94" w:rsidRDefault="00992A3B" w:rsidP="00566050">
            <w:pPr>
              <w:pStyle w:val="Bodycopytable8pt"/>
              <w:spacing w:before="0" w:after="20"/>
            </w:pPr>
            <w:r w:rsidRPr="00456C94">
              <w:t>Distribution Network Service Provider</w:t>
            </w:r>
            <w:r w:rsidR="00AF3A84" w:rsidRPr="00456C94">
              <w:t>.</w:t>
            </w:r>
          </w:p>
        </w:tc>
      </w:tr>
      <w:tr w:rsidR="00992A3B" w14:paraId="7F3386F5" w14:textId="77777777" w:rsidTr="00CC0C0C">
        <w:trPr>
          <w:cnfStyle w:val="000000010000" w:firstRow="0" w:lastRow="0" w:firstColumn="0" w:lastColumn="0" w:oddVBand="0" w:evenVBand="0" w:oddHBand="0" w:evenHBand="1" w:firstRowFirstColumn="0" w:firstRowLastColumn="0" w:lastRowFirstColumn="0" w:lastRowLastColumn="0"/>
        </w:trPr>
        <w:tc>
          <w:tcPr>
            <w:tcW w:w="2092" w:type="dxa"/>
          </w:tcPr>
          <w:p w14:paraId="30ABD829" w14:textId="77777777" w:rsidR="00992A3B" w:rsidRPr="00456C94" w:rsidRDefault="00992A3B" w:rsidP="00566050">
            <w:pPr>
              <w:pStyle w:val="Bodycopytable8pt"/>
              <w:spacing w:before="0" w:after="20"/>
              <w:rPr>
                <w:rFonts w:cs="Arial"/>
                <w:lang w:eastAsia="en-AU"/>
              </w:rPr>
            </w:pPr>
            <w:r w:rsidRPr="00456C94">
              <w:rPr>
                <w:rFonts w:cs="Arial"/>
                <w:lang w:eastAsia="en-AU"/>
              </w:rPr>
              <w:t>Financial year</w:t>
            </w:r>
          </w:p>
        </w:tc>
        <w:tc>
          <w:tcPr>
            <w:tcW w:w="8114" w:type="dxa"/>
          </w:tcPr>
          <w:p w14:paraId="4B90705D" w14:textId="387CE8FC" w:rsidR="00992A3B" w:rsidRPr="00456C94" w:rsidRDefault="00992A3B" w:rsidP="00566050">
            <w:pPr>
              <w:pStyle w:val="Bodycopytable8pt"/>
              <w:spacing w:before="0" w:after="20"/>
              <w:rPr>
                <w:rFonts w:cs="Arial"/>
                <w:lang w:eastAsia="en-AU"/>
              </w:rPr>
            </w:pPr>
            <w:r w:rsidRPr="00456C94">
              <w:rPr>
                <w:rFonts w:cs="Arial"/>
                <w:lang w:eastAsia="en-AU"/>
              </w:rPr>
              <w:t>The year running from 1 July in any year to 30 June the following year</w:t>
            </w:r>
            <w:r w:rsidR="00AF3A84" w:rsidRPr="00456C94">
              <w:rPr>
                <w:rFonts w:cs="Arial"/>
                <w:lang w:eastAsia="en-AU"/>
              </w:rPr>
              <w:t>.</w:t>
            </w:r>
          </w:p>
        </w:tc>
      </w:tr>
      <w:tr w:rsidR="00992A3B" w14:paraId="13235FE5" w14:textId="77777777" w:rsidTr="00CC0C0C">
        <w:trPr>
          <w:cnfStyle w:val="000000100000" w:firstRow="0" w:lastRow="0" w:firstColumn="0" w:lastColumn="0" w:oddVBand="0" w:evenVBand="0" w:oddHBand="1" w:evenHBand="0" w:firstRowFirstColumn="0" w:firstRowLastColumn="0" w:lastRowFirstColumn="0" w:lastRowLastColumn="0"/>
        </w:trPr>
        <w:tc>
          <w:tcPr>
            <w:tcW w:w="2092" w:type="dxa"/>
          </w:tcPr>
          <w:p w14:paraId="76CD69C6" w14:textId="77777777" w:rsidR="00992A3B" w:rsidRPr="00456C94" w:rsidRDefault="00992A3B" w:rsidP="00566050">
            <w:pPr>
              <w:pStyle w:val="Bodycopytable8pt"/>
              <w:spacing w:before="0" w:after="20"/>
              <w:rPr>
                <w:rFonts w:cs="Arial"/>
                <w:lang w:eastAsia="en-AU"/>
              </w:rPr>
            </w:pPr>
            <w:r w:rsidRPr="00456C94">
              <w:rPr>
                <w:rFonts w:cs="Arial"/>
                <w:lang w:eastAsia="en-AU"/>
              </w:rPr>
              <w:t>HV</w:t>
            </w:r>
          </w:p>
        </w:tc>
        <w:tc>
          <w:tcPr>
            <w:tcW w:w="8114" w:type="dxa"/>
          </w:tcPr>
          <w:p w14:paraId="415FCC0A" w14:textId="088766CF" w:rsidR="00992A3B" w:rsidRPr="00456C94" w:rsidRDefault="00992A3B" w:rsidP="00566050">
            <w:pPr>
              <w:pStyle w:val="Bodycopytable8pt"/>
              <w:spacing w:before="0" w:after="20"/>
              <w:rPr>
                <w:rFonts w:cs="Arial"/>
                <w:lang w:eastAsia="en-AU"/>
              </w:rPr>
            </w:pPr>
            <w:r w:rsidRPr="00456C94">
              <w:rPr>
                <w:rFonts w:cs="Arial"/>
                <w:lang w:eastAsia="en-AU"/>
              </w:rPr>
              <w:t>High voltage</w:t>
            </w:r>
            <w:r w:rsidR="00AF3A84" w:rsidRPr="00456C94">
              <w:rPr>
                <w:rFonts w:cs="Arial"/>
                <w:lang w:eastAsia="en-AU"/>
              </w:rPr>
              <w:t>.</w:t>
            </w:r>
          </w:p>
        </w:tc>
      </w:tr>
      <w:tr w:rsidR="0060023F" w14:paraId="2380EDAA" w14:textId="77777777" w:rsidTr="00CC0C0C">
        <w:trPr>
          <w:cnfStyle w:val="000000010000" w:firstRow="0" w:lastRow="0" w:firstColumn="0" w:lastColumn="0" w:oddVBand="0" w:evenVBand="0" w:oddHBand="0" w:evenHBand="1" w:firstRowFirstColumn="0" w:firstRowLastColumn="0" w:lastRowFirstColumn="0" w:lastRowLastColumn="0"/>
        </w:trPr>
        <w:tc>
          <w:tcPr>
            <w:tcW w:w="2092" w:type="dxa"/>
          </w:tcPr>
          <w:p w14:paraId="197EC720" w14:textId="4D9D6FE8" w:rsidR="0060023F" w:rsidRPr="00456C94" w:rsidRDefault="0060023F" w:rsidP="00566050">
            <w:pPr>
              <w:pStyle w:val="Bodycopytable8pt"/>
              <w:spacing w:before="0" w:after="20"/>
              <w:rPr>
                <w:rFonts w:cs="Arial"/>
                <w:lang w:eastAsia="en-AU"/>
              </w:rPr>
            </w:pPr>
            <w:r w:rsidRPr="00456C94">
              <w:rPr>
                <w:rFonts w:cs="Arial"/>
                <w:lang w:eastAsia="en-AU"/>
              </w:rPr>
              <w:t>IDT</w:t>
            </w:r>
          </w:p>
        </w:tc>
        <w:tc>
          <w:tcPr>
            <w:tcW w:w="8114" w:type="dxa"/>
          </w:tcPr>
          <w:p w14:paraId="2FA9E347" w14:textId="0D506ADA" w:rsidR="0060023F" w:rsidRPr="00456C94" w:rsidRDefault="0060023F" w:rsidP="00566050">
            <w:pPr>
              <w:pStyle w:val="Bodycopytable8pt"/>
              <w:spacing w:before="0" w:after="20"/>
              <w:rPr>
                <w:rFonts w:cs="Arial"/>
                <w:lang w:eastAsia="en-AU"/>
              </w:rPr>
            </w:pPr>
            <w:r w:rsidRPr="00456C94">
              <w:rPr>
                <w:rFonts w:cs="Arial"/>
                <w:lang w:eastAsia="en-AU"/>
              </w:rPr>
              <w:t>Inter distributor transfer – a type of customer.</w:t>
            </w:r>
          </w:p>
        </w:tc>
      </w:tr>
      <w:tr w:rsidR="00992A3B" w14:paraId="3285D491" w14:textId="77777777" w:rsidTr="00CC0C0C">
        <w:trPr>
          <w:cnfStyle w:val="000000100000" w:firstRow="0" w:lastRow="0" w:firstColumn="0" w:lastColumn="0" w:oddVBand="0" w:evenVBand="0" w:oddHBand="1" w:evenHBand="0" w:firstRowFirstColumn="0" w:firstRowLastColumn="0" w:lastRowFirstColumn="0" w:lastRowLastColumn="0"/>
        </w:trPr>
        <w:tc>
          <w:tcPr>
            <w:tcW w:w="2092" w:type="dxa"/>
          </w:tcPr>
          <w:p w14:paraId="4F2299E0" w14:textId="77777777" w:rsidR="00992A3B" w:rsidRPr="00456C94" w:rsidRDefault="00992A3B" w:rsidP="00566050">
            <w:pPr>
              <w:pStyle w:val="Bodycopytable8pt"/>
              <w:spacing w:before="0" w:after="20"/>
              <w:rPr>
                <w:rFonts w:cs="Arial"/>
                <w:lang w:eastAsia="en-AU"/>
              </w:rPr>
            </w:pPr>
            <w:r w:rsidRPr="00456C94">
              <w:rPr>
                <w:rFonts w:cs="Arial"/>
                <w:lang w:eastAsia="en-AU"/>
              </w:rPr>
              <w:t>kVA</w:t>
            </w:r>
          </w:p>
        </w:tc>
        <w:tc>
          <w:tcPr>
            <w:tcW w:w="8114" w:type="dxa"/>
          </w:tcPr>
          <w:p w14:paraId="7D75FD5D" w14:textId="14C43CAF" w:rsidR="00992A3B" w:rsidRPr="00456C94" w:rsidRDefault="00992A3B" w:rsidP="00566050">
            <w:pPr>
              <w:pStyle w:val="Bodycopytable8pt"/>
              <w:spacing w:before="0" w:after="20"/>
              <w:rPr>
                <w:rFonts w:cs="Arial"/>
                <w:lang w:eastAsia="en-AU"/>
              </w:rPr>
            </w:pPr>
            <w:r w:rsidRPr="00456C94">
              <w:rPr>
                <w:rFonts w:cs="Arial"/>
                <w:lang w:eastAsia="en-AU"/>
              </w:rPr>
              <w:t>Kilovolt ampere</w:t>
            </w:r>
            <w:r w:rsidR="00AF3A84" w:rsidRPr="00456C94">
              <w:rPr>
                <w:rFonts w:cs="Arial"/>
                <w:lang w:eastAsia="en-AU"/>
              </w:rPr>
              <w:t>.</w:t>
            </w:r>
          </w:p>
        </w:tc>
      </w:tr>
      <w:tr w:rsidR="00992A3B" w14:paraId="5640A494" w14:textId="77777777" w:rsidTr="00CC0C0C">
        <w:trPr>
          <w:cnfStyle w:val="000000010000" w:firstRow="0" w:lastRow="0" w:firstColumn="0" w:lastColumn="0" w:oddVBand="0" w:evenVBand="0" w:oddHBand="0" w:evenHBand="1" w:firstRowFirstColumn="0" w:firstRowLastColumn="0" w:lastRowFirstColumn="0" w:lastRowLastColumn="0"/>
        </w:trPr>
        <w:tc>
          <w:tcPr>
            <w:tcW w:w="2092" w:type="dxa"/>
          </w:tcPr>
          <w:p w14:paraId="53389B36" w14:textId="77777777" w:rsidR="00992A3B" w:rsidRPr="00456C94" w:rsidRDefault="00992A3B" w:rsidP="00566050">
            <w:pPr>
              <w:pStyle w:val="Bodycopytable8pt"/>
              <w:spacing w:before="0" w:after="20"/>
              <w:rPr>
                <w:rFonts w:cs="Arial"/>
                <w:lang w:eastAsia="en-AU"/>
              </w:rPr>
            </w:pPr>
            <w:r w:rsidRPr="00456C94">
              <w:rPr>
                <w:rFonts w:cs="Arial"/>
                <w:lang w:eastAsia="en-AU"/>
              </w:rPr>
              <w:t>kW</w:t>
            </w:r>
          </w:p>
        </w:tc>
        <w:tc>
          <w:tcPr>
            <w:tcW w:w="8114" w:type="dxa"/>
          </w:tcPr>
          <w:p w14:paraId="3DA74CF8" w14:textId="1EA568E3" w:rsidR="00992A3B" w:rsidRPr="00456C94" w:rsidRDefault="00992A3B" w:rsidP="00566050">
            <w:pPr>
              <w:pStyle w:val="Bodycopytable8pt"/>
              <w:spacing w:before="0" w:after="20"/>
              <w:rPr>
                <w:rFonts w:cs="Arial"/>
                <w:lang w:eastAsia="en-AU"/>
              </w:rPr>
            </w:pPr>
            <w:r w:rsidRPr="00456C94">
              <w:rPr>
                <w:rFonts w:cs="Arial"/>
                <w:lang w:eastAsia="en-AU"/>
              </w:rPr>
              <w:t>Kilowatt</w:t>
            </w:r>
            <w:r w:rsidR="00AF3A84" w:rsidRPr="00456C94">
              <w:rPr>
                <w:rFonts w:cs="Arial"/>
                <w:lang w:eastAsia="en-AU"/>
              </w:rPr>
              <w:t>.</w:t>
            </w:r>
          </w:p>
        </w:tc>
      </w:tr>
      <w:tr w:rsidR="00992A3B" w14:paraId="54DB7FD7" w14:textId="77777777" w:rsidTr="00CC0C0C">
        <w:trPr>
          <w:cnfStyle w:val="000000100000" w:firstRow="0" w:lastRow="0" w:firstColumn="0" w:lastColumn="0" w:oddVBand="0" w:evenVBand="0" w:oddHBand="1" w:evenHBand="0" w:firstRowFirstColumn="0" w:firstRowLastColumn="0" w:lastRowFirstColumn="0" w:lastRowLastColumn="0"/>
        </w:trPr>
        <w:tc>
          <w:tcPr>
            <w:tcW w:w="2092" w:type="dxa"/>
          </w:tcPr>
          <w:p w14:paraId="08F69D7B" w14:textId="77777777" w:rsidR="00992A3B" w:rsidRPr="00456C94" w:rsidRDefault="00992A3B" w:rsidP="00566050">
            <w:pPr>
              <w:pStyle w:val="Bodycopytable8pt"/>
              <w:spacing w:before="0" w:after="20"/>
              <w:rPr>
                <w:rFonts w:cs="Arial"/>
                <w:lang w:eastAsia="en-AU"/>
              </w:rPr>
            </w:pPr>
            <w:r w:rsidRPr="00456C94">
              <w:rPr>
                <w:rFonts w:cs="Arial"/>
                <w:lang w:eastAsia="en-AU"/>
              </w:rPr>
              <w:t>kWh</w:t>
            </w:r>
          </w:p>
        </w:tc>
        <w:tc>
          <w:tcPr>
            <w:tcW w:w="8114" w:type="dxa"/>
          </w:tcPr>
          <w:p w14:paraId="780437BF" w14:textId="0F51E00D" w:rsidR="00992A3B" w:rsidRPr="00456C94" w:rsidRDefault="00992A3B" w:rsidP="00566050">
            <w:pPr>
              <w:pStyle w:val="Bodycopytable8pt"/>
              <w:spacing w:before="0" w:after="20"/>
              <w:rPr>
                <w:rFonts w:cs="Arial"/>
                <w:lang w:eastAsia="en-AU"/>
              </w:rPr>
            </w:pPr>
            <w:r w:rsidRPr="00456C94">
              <w:rPr>
                <w:rFonts w:cs="Arial"/>
                <w:lang w:eastAsia="en-AU"/>
              </w:rPr>
              <w:t>Kilowatt hour</w:t>
            </w:r>
            <w:r w:rsidR="00AF3A84" w:rsidRPr="00456C94">
              <w:rPr>
                <w:rFonts w:cs="Arial"/>
                <w:lang w:eastAsia="en-AU"/>
              </w:rPr>
              <w:t>.</w:t>
            </w:r>
          </w:p>
        </w:tc>
      </w:tr>
      <w:tr w:rsidR="00992A3B" w14:paraId="50D333F1" w14:textId="77777777" w:rsidTr="00CC0C0C">
        <w:trPr>
          <w:cnfStyle w:val="000000010000" w:firstRow="0" w:lastRow="0" w:firstColumn="0" w:lastColumn="0" w:oddVBand="0" w:evenVBand="0" w:oddHBand="0" w:evenHBand="1" w:firstRowFirstColumn="0" w:firstRowLastColumn="0" w:lastRowFirstColumn="0" w:lastRowLastColumn="0"/>
        </w:trPr>
        <w:tc>
          <w:tcPr>
            <w:tcW w:w="2092" w:type="dxa"/>
          </w:tcPr>
          <w:p w14:paraId="03C432DA" w14:textId="77777777" w:rsidR="00992A3B" w:rsidRPr="00456C94" w:rsidRDefault="00992A3B" w:rsidP="00566050">
            <w:pPr>
              <w:pStyle w:val="Bodycopytable8pt"/>
              <w:spacing w:before="0" w:after="20"/>
              <w:rPr>
                <w:rFonts w:cs="Arial"/>
                <w:lang w:eastAsia="en-AU"/>
              </w:rPr>
            </w:pPr>
            <w:r w:rsidRPr="00456C94">
              <w:rPr>
                <w:rFonts w:cs="Arial"/>
                <w:lang w:eastAsia="en-AU"/>
              </w:rPr>
              <w:t>LRMC</w:t>
            </w:r>
          </w:p>
        </w:tc>
        <w:tc>
          <w:tcPr>
            <w:tcW w:w="8114" w:type="dxa"/>
          </w:tcPr>
          <w:p w14:paraId="18DF7D36" w14:textId="3BEACE79" w:rsidR="00992A3B" w:rsidRPr="00456C94" w:rsidRDefault="00992A3B" w:rsidP="00566050">
            <w:pPr>
              <w:pStyle w:val="Bodycopytable8pt"/>
              <w:spacing w:before="0" w:after="20"/>
              <w:rPr>
                <w:rFonts w:cs="Arial"/>
                <w:lang w:eastAsia="en-AU"/>
              </w:rPr>
            </w:pPr>
            <w:r w:rsidRPr="00456C94">
              <w:rPr>
                <w:rFonts w:cs="Arial"/>
                <w:lang w:eastAsia="en-AU"/>
              </w:rPr>
              <w:t xml:space="preserve">Long run marginal cost – economic </w:t>
            </w:r>
            <w:r w:rsidR="00A87EE3" w:rsidRPr="00456C94">
              <w:rPr>
                <w:rFonts w:cs="Arial"/>
                <w:lang w:eastAsia="en-AU"/>
              </w:rPr>
              <w:t xml:space="preserve">term </w:t>
            </w:r>
            <w:r w:rsidR="0027497B" w:rsidRPr="00456C94">
              <w:rPr>
                <w:rFonts w:cs="Arial"/>
                <w:lang w:eastAsia="en-AU"/>
              </w:rPr>
              <w:t>for the cost of adding one more unit of demand to the network</w:t>
            </w:r>
            <w:r w:rsidRPr="00456C94">
              <w:rPr>
                <w:rFonts w:cs="Arial"/>
                <w:lang w:eastAsia="en-AU"/>
              </w:rPr>
              <w:t>.</w:t>
            </w:r>
          </w:p>
        </w:tc>
      </w:tr>
      <w:tr w:rsidR="00992A3B" w14:paraId="742F5FA9" w14:textId="77777777" w:rsidTr="00CC0C0C">
        <w:trPr>
          <w:cnfStyle w:val="000000100000" w:firstRow="0" w:lastRow="0" w:firstColumn="0" w:lastColumn="0" w:oddVBand="0" w:evenVBand="0" w:oddHBand="1" w:evenHBand="0" w:firstRowFirstColumn="0" w:firstRowLastColumn="0" w:lastRowFirstColumn="0" w:lastRowLastColumn="0"/>
        </w:trPr>
        <w:tc>
          <w:tcPr>
            <w:tcW w:w="2092" w:type="dxa"/>
          </w:tcPr>
          <w:p w14:paraId="517C8EA6" w14:textId="77777777" w:rsidR="00992A3B" w:rsidRPr="00456C94" w:rsidRDefault="00992A3B" w:rsidP="00566050">
            <w:pPr>
              <w:pStyle w:val="Bodycopytable8pt"/>
              <w:spacing w:before="0" w:after="20"/>
            </w:pPr>
            <w:r w:rsidRPr="00456C94">
              <w:t>LV</w:t>
            </w:r>
          </w:p>
        </w:tc>
        <w:tc>
          <w:tcPr>
            <w:tcW w:w="8114" w:type="dxa"/>
          </w:tcPr>
          <w:p w14:paraId="327957F0" w14:textId="6329568F" w:rsidR="00992A3B" w:rsidRPr="00456C94" w:rsidRDefault="00992A3B" w:rsidP="00566050">
            <w:pPr>
              <w:pStyle w:val="Bodycopytable8pt"/>
              <w:spacing w:before="0" w:after="20"/>
              <w:rPr>
                <w:lang w:val="en-AU"/>
              </w:rPr>
            </w:pPr>
            <w:r w:rsidRPr="00456C94">
              <w:rPr>
                <w:lang w:val="en-AU"/>
              </w:rPr>
              <w:t>Low voltage</w:t>
            </w:r>
            <w:r w:rsidR="00AF3A84" w:rsidRPr="00456C94">
              <w:rPr>
                <w:lang w:val="en-AU"/>
              </w:rPr>
              <w:t>.</w:t>
            </w:r>
          </w:p>
        </w:tc>
      </w:tr>
      <w:tr w:rsidR="00992A3B" w14:paraId="6517FE26" w14:textId="77777777" w:rsidTr="00CC0C0C">
        <w:trPr>
          <w:cnfStyle w:val="000000010000" w:firstRow="0" w:lastRow="0" w:firstColumn="0" w:lastColumn="0" w:oddVBand="0" w:evenVBand="0" w:oddHBand="0" w:evenHBand="1" w:firstRowFirstColumn="0" w:firstRowLastColumn="0" w:lastRowFirstColumn="0" w:lastRowLastColumn="0"/>
        </w:trPr>
        <w:tc>
          <w:tcPr>
            <w:tcW w:w="2092" w:type="dxa"/>
          </w:tcPr>
          <w:p w14:paraId="5875CF8D" w14:textId="77777777" w:rsidR="00992A3B" w:rsidRPr="00456C94" w:rsidRDefault="00992A3B" w:rsidP="00566050">
            <w:pPr>
              <w:pStyle w:val="Bodycopytable8pt"/>
              <w:spacing w:before="0" w:after="20"/>
            </w:pPr>
            <w:r w:rsidRPr="00456C94">
              <w:t>NEL</w:t>
            </w:r>
          </w:p>
        </w:tc>
        <w:tc>
          <w:tcPr>
            <w:tcW w:w="8114" w:type="dxa"/>
          </w:tcPr>
          <w:p w14:paraId="3AA8497C" w14:textId="5634F4A2" w:rsidR="00992A3B" w:rsidRPr="00456C94" w:rsidRDefault="00992A3B" w:rsidP="00566050">
            <w:pPr>
              <w:pStyle w:val="Bodycopytable8pt"/>
              <w:spacing w:before="0" w:after="20"/>
              <w:rPr>
                <w:lang w:val="en-AU"/>
              </w:rPr>
            </w:pPr>
            <w:r w:rsidRPr="00456C94">
              <w:rPr>
                <w:lang w:val="en-AU"/>
              </w:rPr>
              <w:t>National Electricity Law</w:t>
            </w:r>
            <w:r w:rsidR="00AF3A84" w:rsidRPr="00456C94">
              <w:rPr>
                <w:lang w:val="en-AU"/>
              </w:rPr>
              <w:t>.</w:t>
            </w:r>
          </w:p>
        </w:tc>
      </w:tr>
      <w:tr w:rsidR="00C209B8" w14:paraId="2EC90D9C" w14:textId="77777777" w:rsidTr="00CC0C0C">
        <w:trPr>
          <w:cnfStyle w:val="000000100000" w:firstRow="0" w:lastRow="0" w:firstColumn="0" w:lastColumn="0" w:oddVBand="0" w:evenVBand="0" w:oddHBand="1" w:evenHBand="0" w:firstRowFirstColumn="0" w:firstRowLastColumn="0" w:lastRowFirstColumn="0" w:lastRowLastColumn="0"/>
        </w:trPr>
        <w:tc>
          <w:tcPr>
            <w:tcW w:w="2092" w:type="dxa"/>
          </w:tcPr>
          <w:p w14:paraId="1B0FD464" w14:textId="32E01AD7" w:rsidR="00C209B8" w:rsidRPr="00456C94" w:rsidRDefault="00C209B8" w:rsidP="00566050">
            <w:pPr>
              <w:pStyle w:val="Bodycopytable8pt"/>
              <w:spacing w:before="0" w:after="20"/>
              <w:rPr>
                <w:rFonts w:cs="Arial"/>
                <w:lang w:eastAsia="en-AU"/>
              </w:rPr>
            </w:pPr>
            <w:r w:rsidRPr="00456C94">
              <w:t>NEO</w:t>
            </w:r>
          </w:p>
        </w:tc>
        <w:tc>
          <w:tcPr>
            <w:tcW w:w="8114" w:type="dxa"/>
          </w:tcPr>
          <w:p w14:paraId="4953CC15" w14:textId="24F9AE98" w:rsidR="00C209B8" w:rsidRPr="00456C94" w:rsidRDefault="00C209B8" w:rsidP="00566050">
            <w:pPr>
              <w:pStyle w:val="Bodycopytable8pt"/>
              <w:spacing w:before="0" w:after="20"/>
              <w:rPr>
                <w:rFonts w:cs="Arial"/>
                <w:lang w:eastAsia="en-AU"/>
              </w:rPr>
            </w:pPr>
            <w:r w:rsidRPr="00456C94" w:rsidDel="0052309B">
              <w:rPr>
                <w:lang w:val="en-AU"/>
              </w:rPr>
              <w:t>National Electricity Objective</w:t>
            </w:r>
            <w:r w:rsidR="00AF3A84" w:rsidRPr="00456C94">
              <w:rPr>
                <w:lang w:val="en-AU"/>
              </w:rPr>
              <w:t>.</w:t>
            </w:r>
          </w:p>
        </w:tc>
      </w:tr>
      <w:tr w:rsidR="00992A3B" w14:paraId="721E42CF" w14:textId="77777777" w:rsidTr="00CC0C0C">
        <w:trPr>
          <w:cnfStyle w:val="000000010000" w:firstRow="0" w:lastRow="0" w:firstColumn="0" w:lastColumn="0" w:oddVBand="0" w:evenVBand="0" w:oddHBand="0" w:evenHBand="1" w:firstRowFirstColumn="0" w:firstRowLastColumn="0" w:lastRowFirstColumn="0" w:lastRowLastColumn="0"/>
        </w:trPr>
        <w:tc>
          <w:tcPr>
            <w:tcW w:w="2092" w:type="dxa"/>
          </w:tcPr>
          <w:p w14:paraId="647DEB6B" w14:textId="77777777" w:rsidR="00992A3B" w:rsidRPr="00456C94" w:rsidRDefault="00992A3B" w:rsidP="00566050">
            <w:pPr>
              <w:pStyle w:val="Bodycopytable8pt"/>
              <w:spacing w:before="0" w:after="20"/>
              <w:rPr>
                <w:rFonts w:cs="Arial"/>
                <w:lang w:eastAsia="en-AU"/>
              </w:rPr>
            </w:pPr>
            <w:r w:rsidRPr="00456C94">
              <w:rPr>
                <w:rFonts w:cs="Arial"/>
                <w:lang w:eastAsia="en-AU"/>
              </w:rPr>
              <w:t>NMI</w:t>
            </w:r>
          </w:p>
        </w:tc>
        <w:tc>
          <w:tcPr>
            <w:tcW w:w="8114" w:type="dxa"/>
          </w:tcPr>
          <w:p w14:paraId="4DBD4C20" w14:textId="7E38E79C" w:rsidR="00992A3B" w:rsidRPr="00456C94" w:rsidRDefault="00992A3B" w:rsidP="00566050">
            <w:pPr>
              <w:pStyle w:val="Bodycopytable8pt"/>
              <w:spacing w:before="0" w:after="20"/>
              <w:rPr>
                <w:rFonts w:cs="Arial"/>
                <w:lang w:eastAsia="en-AU"/>
              </w:rPr>
            </w:pPr>
            <w:r w:rsidRPr="00456C94">
              <w:rPr>
                <w:rFonts w:cs="Arial"/>
                <w:lang w:eastAsia="en-AU"/>
              </w:rPr>
              <w:t xml:space="preserve">National Meter Identifier – each meter </w:t>
            </w:r>
            <w:r w:rsidR="003938BD" w:rsidRPr="00456C94">
              <w:rPr>
                <w:rFonts w:cs="Arial"/>
                <w:lang w:eastAsia="en-AU"/>
              </w:rPr>
              <w:t xml:space="preserve">installation </w:t>
            </w:r>
            <w:r w:rsidRPr="00456C94">
              <w:rPr>
                <w:rFonts w:cs="Arial"/>
                <w:lang w:eastAsia="en-AU"/>
              </w:rPr>
              <w:t>has a unique NMI.</w:t>
            </w:r>
          </w:p>
        </w:tc>
      </w:tr>
      <w:tr w:rsidR="00992A3B" w14:paraId="785C1E92" w14:textId="77777777" w:rsidTr="00CC0C0C">
        <w:trPr>
          <w:cnfStyle w:val="000000100000" w:firstRow="0" w:lastRow="0" w:firstColumn="0" w:lastColumn="0" w:oddVBand="0" w:evenVBand="0" w:oddHBand="1" w:evenHBand="0" w:firstRowFirstColumn="0" w:firstRowLastColumn="0" w:lastRowFirstColumn="0" w:lastRowLastColumn="0"/>
        </w:trPr>
        <w:tc>
          <w:tcPr>
            <w:tcW w:w="2092" w:type="dxa"/>
          </w:tcPr>
          <w:p w14:paraId="0DF60194" w14:textId="77777777" w:rsidR="00992A3B" w:rsidRPr="00456C94" w:rsidRDefault="00992A3B" w:rsidP="00566050">
            <w:pPr>
              <w:pStyle w:val="Bodycopytable8pt"/>
              <w:spacing w:before="0" w:after="20"/>
              <w:rPr>
                <w:rFonts w:cs="Arial"/>
                <w:lang w:eastAsia="en-AU"/>
              </w:rPr>
            </w:pPr>
            <w:r w:rsidRPr="00456C94">
              <w:rPr>
                <w:rFonts w:cs="Arial"/>
                <w:lang w:eastAsia="en-AU"/>
              </w:rPr>
              <w:t>NUOS</w:t>
            </w:r>
          </w:p>
        </w:tc>
        <w:tc>
          <w:tcPr>
            <w:tcW w:w="8114" w:type="dxa"/>
          </w:tcPr>
          <w:p w14:paraId="31A74057" w14:textId="5401BEFE" w:rsidR="00992A3B" w:rsidRPr="00456C94" w:rsidRDefault="00992A3B" w:rsidP="00566050">
            <w:pPr>
              <w:pStyle w:val="Bodycopytable8pt"/>
              <w:spacing w:before="0" w:after="20"/>
              <w:rPr>
                <w:rFonts w:cs="Arial"/>
                <w:lang w:eastAsia="en-AU"/>
              </w:rPr>
            </w:pPr>
            <w:r w:rsidRPr="00456C94">
              <w:rPr>
                <w:rFonts w:cs="Arial"/>
                <w:lang w:eastAsia="en-AU"/>
              </w:rPr>
              <w:t>Network Use of System – this is the charge for using Essential Energy’s distribution network</w:t>
            </w:r>
            <w:r w:rsidR="0027497B" w:rsidRPr="00456C94">
              <w:rPr>
                <w:rFonts w:cs="Arial"/>
                <w:lang w:eastAsia="en-AU"/>
              </w:rPr>
              <w:t>, as well as the pass through of transmission type costs and jurisdictional scheme amounts such as the climate Change Fund</w:t>
            </w:r>
            <w:r w:rsidRPr="00456C94">
              <w:rPr>
                <w:rFonts w:cs="Arial"/>
                <w:lang w:eastAsia="en-AU"/>
              </w:rPr>
              <w:t>.</w:t>
            </w:r>
          </w:p>
        </w:tc>
      </w:tr>
      <w:tr w:rsidR="00992A3B" w14:paraId="0C7FE32E" w14:textId="77777777" w:rsidTr="00CC0C0C">
        <w:trPr>
          <w:cnfStyle w:val="000000010000" w:firstRow="0" w:lastRow="0" w:firstColumn="0" w:lastColumn="0" w:oddVBand="0" w:evenVBand="0" w:oddHBand="0" w:evenHBand="1" w:firstRowFirstColumn="0" w:firstRowLastColumn="0" w:lastRowFirstColumn="0" w:lastRowLastColumn="0"/>
        </w:trPr>
        <w:tc>
          <w:tcPr>
            <w:tcW w:w="2092" w:type="dxa"/>
          </w:tcPr>
          <w:p w14:paraId="0884A891" w14:textId="348530DC" w:rsidR="00992A3B" w:rsidRPr="00456C94" w:rsidRDefault="00163D50" w:rsidP="00566050">
            <w:pPr>
              <w:pStyle w:val="Bodycopytable8pt"/>
              <w:spacing w:before="0" w:after="20"/>
            </w:pPr>
            <w:r w:rsidRPr="00456C94">
              <w:t>Peak demand / p</w:t>
            </w:r>
            <w:r w:rsidR="00992A3B" w:rsidRPr="00456C94">
              <w:t>eak load</w:t>
            </w:r>
          </w:p>
        </w:tc>
        <w:tc>
          <w:tcPr>
            <w:tcW w:w="8114" w:type="dxa"/>
          </w:tcPr>
          <w:p w14:paraId="64437F84" w14:textId="149C28E2" w:rsidR="00992A3B" w:rsidRPr="00456C94" w:rsidRDefault="00992A3B" w:rsidP="00566050">
            <w:pPr>
              <w:pStyle w:val="Bodycopytable8pt"/>
              <w:spacing w:before="0" w:after="20"/>
            </w:pPr>
            <w:r w:rsidRPr="00456C94">
              <w:t xml:space="preserve">The maximum electricity demand customers place </w:t>
            </w:r>
            <w:r w:rsidR="00AF3A84" w:rsidRPr="00456C94">
              <w:t>on the electricity network.</w:t>
            </w:r>
          </w:p>
        </w:tc>
      </w:tr>
      <w:tr w:rsidR="00992A3B" w14:paraId="4F3AB028" w14:textId="77777777" w:rsidTr="00CC0C0C">
        <w:trPr>
          <w:cnfStyle w:val="000000100000" w:firstRow="0" w:lastRow="0" w:firstColumn="0" w:lastColumn="0" w:oddVBand="0" w:evenVBand="0" w:oddHBand="1" w:evenHBand="0" w:firstRowFirstColumn="0" w:firstRowLastColumn="0" w:lastRowFirstColumn="0" w:lastRowLastColumn="0"/>
        </w:trPr>
        <w:tc>
          <w:tcPr>
            <w:tcW w:w="2092" w:type="dxa"/>
          </w:tcPr>
          <w:p w14:paraId="051CF1A9" w14:textId="77777777" w:rsidR="00992A3B" w:rsidRPr="00456C94" w:rsidRDefault="00992A3B" w:rsidP="00566050">
            <w:pPr>
              <w:pStyle w:val="Bodycopytable8pt"/>
              <w:spacing w:before="0" w:after="20"/>
              <w:rPr>
                <w:rFonts w:cs="Arial"/>
                <w:lang w:eastAsia="en-AU"/>
              </w:rPr>
            </w:pPr>
            <w:r w:rsidRPr="00456C94">
              <w:rPr>
                <w:rFonts w:cs="Arial"/>
                <w:lang w:eastAsia="en-AU"/>
              </w:rPr>
              <w:t>Standard Control Services</w:t>
            </w:r>
          </w:p>
        </w:tc>
        <w:tc>
          <w:tcPr>
            <w:tcW w:w="8114" w:type="dxa"/>
          </w:tcPr>
          <w:p w14:paraId="426F9F2F" w14:textId="77777777" w:rsidR="00992A3B" w:rsidRPr="00456C94" w:rsidRDefault="00992A3B" w:rsidP="00566050">
            <w:pPr>
              <w:pStyle w:val="Bodycopytable8pt"/>
              <w:spacing w:before="0" w:after="20"/>
              <w:rPr>
                <w:rFonts w:cs="Arial"/>
                <w:lang w:eastAsia="en-AU"/>
              </w:rPr>
            </w:pPr>
            <w:r w:rsidRPr="00456C94">
              <w:rPr>
                <w:rFonts w:cs="Arial"/>
                <w:lang w:eastAsia="en-AU"/>
              </w:rPr>
              <w:t xml:space="preserve">Comprise Essential Energy’s core </w:t>
            </w:r>
            <w:r w:rsidRPr="00456C94">
              <w:t>activities from access to, and supply of, electricity to customers.</w:t>
            </w:r>
          </w:p>
        </w:tc>
      </w:tr>
      <w:tr w:rsidR="00992A3B" w14:paraId="7E29C979" w14:textId="77777777" w:rsidTr="00CC0C0C">
        <w:trPr>
          <w:cnfStyle w:val="000000010000" w:firstRow="0" w:lastRow="0" w:firstColumn="0" w:lastColumn="0" w:oddVBand="0" w:evenVBand="0" w:oddHBand="0" w:evenHBand="1" w:firstRowFirstColumn="0" w:firstRowLastColumn="0" w:lastRowFirstColumn="0" w:lastRowLastColumn="0"/>
        </w:trPr>
        <w:tc>
          <w:tcPr>
            <w:tcW w:w="2092" w:type="dxa"/>
          </w:tcPr>
          <w:p w14:paraId="1984BF75" w14:textId="77777777" w:rsidR="00992A3B" w:rsidRPr="00456C94" w:rsidRDefault="00992A3B" w:rsidP="00566050">
            <w:pPr>
              <w:pStyle w:val="Bodycopytable8pt"/>
              <w:spacing w:before="0" w:after="20"/>
            </w:pPr>
            <w:r w:rsidRPr="00456C94">
              <w:t>Tariff</w:t>
            </w:r>
          </w:p>
        </w:tc>
        <w:tc>
          <w:tcPr>
            <w:tcW w:w="8114" w:type="dxa"/>
          </w:tcPr>
          <w:p w14:paraId="14B1A594" w14:textId="7EF78153" w:rsidR="00992A3B" w:rsidRPr="00456C94" w:rsidRDefault="00992A3B" w:rsidP="00566050">
            <w:pPr>
              <w:pStyle w:val="Bodycopytable8pt"/>
              <w:spacing w:before="0" w:after="20"/>
            </w:pPr>
            <w:r w:rsidRPr="00456C94">
              <w:t>A cost charged to network customers to recover the efficient costs of providing network services.</w:t>
            </w:r>
          </w:p>
        </w:tc>
      </w:tr>
      <w:tr w:rsidR="00992A3B" w14:paraId="287AFEF6" w14:textId="77777777" w:rsidTr="00CC0C0C">
        <w:trPr>
          <w:cnfStyle w:val="000000100000" w:firstRow="0" w:lastRow="0" w:firstColumn="0" w:lastColumn="0" w:oddVBand="0" w:evenVBand="0" w:oddHBand="1" w:evenHBand="0" w:firstRowFirstColumn="0" w:firstRowLastColumn="0" w:lastRowFirstColumn="0" w:lastRowLastColumn="0"/>
        </w:trPr>
        <w:tc>
          <w:tcPr>
            <w:tcW w:w="2092" w:type="dxa"/>
          </w:tcPr>
          <w:p w14:paraId="24231554" w14:textId="77777777" w:rsidR="00992A3B" w:rsidRPr="00456C94" w:rsidRDefault="00992A3B" w:rsidP="00566050">
            <w:pPr>
              <w:pStyle w:val="Bodycopytable8pt"/>
              <w:spacing w:before="0" w:after="20"/>
            </w:pPr>
            <w:r w:rsidRPr="00456C94">
              <w:t>Tariff class</w:t>
            </w:r>
          </w:p>
        </w:tc>
        <w:tc>
          <w:tcPr>
            <w:tcW w:w="8114" w:type="dxa"/>
          </w:tcPr>
          <w:p w14:paraId="70F6006B" w14:textId="77777777" w:rsidR="00992A3B" w:rsidRPr="00456C94" w:rsidRDefault="00992A3B" w:rsidP="00566050">
            <w:pPr>
              <w:pStyle w:val="Bodycopytable8pt"/>
              <w:spacing w:before="0" w:after="20"/>
            </w:pPr>
            <w:r w:rsidRPr="00456C94">
              <w:t>A group of customers that share a common set of characteristics that allows them to be grouped together to ensure that similar customers pay similar prices.</w:t>
            </w:r>
          </w:p>
        </w:tc>
      </w:tr>
      <w:tr w:rsidR="00992A3B" w14:paraId="6115F599" w14:textId="77777777" w:rsidTr="00CC0C0C">
        <w:trPr>
          <w:cnfStyle w:val="000000010000" w:firstRow="0" w:lastRow="0" w:firstColumn="0" w:lastColumn="0" w:oddVBand="0" w:evenVBand="0" w:oddHBand="0" w:evenHBand="1" w:firstRowFirstColumn="0" w:firstRowLastColumn="0" w:lastRowFirstColumn="0" w:lastRowLastColumn="0"/>
        </w:trPr>
        <w:tc>
          <w:tcPr>
            <w:tcW w:w="2092" w:type="dxa"/>
          </w:tcPr>
          <w:p w14:paraId="1193E109" w14:textId="77777777" w:rsidR="00992A3B" w:rsidRPr="00456C94" w:rsidRDefault="00992A3B" w:rsidP="00566050">
            <w:pPr>
              <w:pStyle w:val="Bodycopytable8pt"/>
              <w:spacing w:before="0" w:after="20"/>
              <w:rPr>
                <w:rFonts w:cs="Arial"/>
                <w:lang w:eastAsia="en-AU"/>
              </w:rPr>
            </w:pPr>
            <w:r w:rsidRPr="00456C94">
              <w:rPr>
                <w:rFonts w:cs="Arial"/>
                <w:lang w:eastAsia="en-AU"/>
              </w:rPr>
              <w:t>Tariff component</w:t>
            </w:r>
          </w:p>
        </w:tc>
        <w:tc>
          <w:tcPr>
            <w:tcW w:w="8114" w:type="dxa"/>
          </w:tcPr>
          <w:p w14:paraId="712CDC8D" w14:textId="0497D267" w:rsidR="00992A3B" w:rsidRPr="00456C94" w:rsidRDefault="00471103" w:rsidP="00566050">
            <w:pPr>
              <w:pStyle w:val="Bodycopytable8pt"/>
              <w:spacing w:before="0" w:after="20"/>
              <w:rPr>
                <w:lang w:eastAsia="en-US"/>
              </w:rPr>
            </w:pPr>
            <w:r w:rsidRPr="00456C94">
              <w:rPr>
                <w:lang w:eastAsia="en-AU"/>
              </w:rPr>
              <w:t>Tariffs comprise one to</w:t>
            </w:r>
            <w:r w:rsidR="00992A3B" w:rsidRPr="00456C94">
              <w:rPr>
                <w:lang w:eastAsia="en-AU"/>
              </w:rPr>
              <w:t xml:space="preserve"> three tariff components that work together to </w:t>
            </w:r>
            <w:r w:rsidR="005552CB" w:rsidRPr="00456C94">
              <w:rPr>
                <w:lang w:eastAsia="en-AU"/>
              </w:rPr>
              <w:t xml:space="preserve">reflect the efficient costs of providing </w:t>
            </w:r>
            <w:r w:rsidRPr="00456C94">
              <w:rPr>
                <w:lang w:eastAsia="en-AU"/>
              </w:rPr>
              <w:t>network services to</w:t>
            </w:r>
            <w:r w:rsidR="005552CB" w:rsidRPr="00456C94">
              <w:rPr>
                <w:lang w:eastAsia="en-AU"/>
              </w:rPr>
              <w:t xml:space="preserve"> customers</w:t>
            </w:r>
            <w:r w:rsidR="00992A3B" w:rsidRPr="00456C94">
              <w:rPr>
                <w:lang w:eastAsia="en-AU"/>
              </w:rPr>
              <w:t>. The three components are: Fixed charge, Energy charge and Demand charge.</w:t>
            </w:r>
          </w:p>
        </w:tc>
      </w:tr>
      <w:tr w:rsidR="00992A3B" w14:paraId="786A7023" w14:textId="77777777" w:rsidTr="00CC0C0C">
        <w:trPr>
          <w:cnfStyle w:val="000000100000" w:firstRow="0" w:lastRow="0" w:firstColumn="0" w:lastColumn="0" w:oddVBand="0" w:evenVBand="0" w:oddHBand="1" w:evenHBand="0" w:firstRowFirstColumn="0" w:firstRowLastColumn="0" w:lastRowFirstColumn="0" w:lastRowLastColumn="0"/>
        </w:trPr>
        <w:tc>
          <w:tcPr>
            <w:tcW w:w="2092" w:type="dxa"/>
          </w:tcPr>
          <w:p w14:paraId="227BC979" w14:textId="77777777" w:rsidR="00992A3B" w:rsidRPr="00456C94" w:rsidRDefault="00992A3B" w:rsidP="00566050">
            <w:pPr>
              <w:pStyle w:val="Bodycopytable8pt"/>
              <w:spacing w:before="0" w:after="20"/>
              <w:rPr>
                <w:rFonts w:cs="Arial"/>
                <w:lang w:eastAsia="en-AU"/>
              </w:rPr>
            </w:pPr>
            <w:r w:rsidRPr="00456C94">
              <w:rPr>
                <w:lang w:eastAsia="en-AU"/>
              </w:rPr>
              <w:t>Tariff schedule</w:t>
            </w:r>
          </w:p>
        </w:tc>
        <w:tc>
          <w:tcPr>
            <w:tcW w:w="8114" w:type="dxa"/>
          </w:tcPr>
          <w:p w14:paraId="01ECE71A" w14:textId="269107FE" w:rsidR="00992A3B" w:rsidRPr="00456C94" w:rsidRDefault="00992A3B" w:rsidP="00566050">
            <w:pPr>
              <w:pStyle w:val="Bodycopytable8pt"/>
              <w:spacing w:before="0" w:after="20"/>
              <w:rPr>
                <w:rFonts w:cs="Arial"/>
                <w:lang w:eastAsia="en-AU"/>
              </w:rPr>
            </w:pPr>
            <w:r w:rsidRPr="00456C94">
              <w:rPr>
                <w:rFonts w:cs="Arial"/>
                <w:lang w:eastAsia="en-AU"/>
              </w:rPr>
              <w:t>The list of prices and tariff structures for each of our tariffs</w:t>
            </w:r>
            <w:r w:rsidR="00926684" w:rsidRPr="00456C94">
              <w:rPr>
                <w:rFonts w:cs="Arial"/>
                <w:lang w:eastAsia="en-AU"/>
              </w:rPr>
              <w:t>, published annually</w:t>
            </w:r>
            <w:r w:rsidR="00783BF8" w:rsidRPr="00456C94">
              <w:rPr>
                <w:rFonts w:cs="Arial"/>
                <w:lang w:eastAsia="en-AU"/>
              </w:rPr>
              <w:t>. Also referred to as Network Price List and Explanatory Notes</w:t>
            </w:r>
            <w:r w:rsidR="00AF3A84" w:rsidRPr="00456C94">
              <w:rPr>
                <w:rFonts w:cs="Arial"/>
                <w:lang w:eastAsia="en-AU"/>
              </w:rPr>
              <w:t>.</w:t>
            </w:r>
          </w:p>
        </w:tc>
      </w:tr>
      <w:tr w:rsidR="00992A3B" w14:paraId="4F98D1D9" w14:textId="77777777" w:rsidTr="00CC0C0C">
        <w:trPr>
          <w:cnfStyle w:val="000000010000" w:firstRow="0" w:lastRow="0" w:firstColumn="0" w:lastColumn="0" w:oddVBand="0" w:evenVBand="0" w:oddHBand="0" w:evenHBand="1" w:firstRowFirstColumn="0" w:firstRowLastColumn="0" w:lastRowFirstColumn="0" w:lastRowLastColumn="0"/>
        </w:trPr>
        <w:tc>
          <w:tcPr>
            <w:tcW w:w="2092" w:type="dxa"/>
          </w:tcPr>
          <w:p w14:paraId="265CE88D" w14:textId="77777777" w:rsidR="00992A3B" w:rsidRPr="00456C94" w:rsidRDefault="00992A3B" w:rsidP="00566050">
            <w:pPr>
              <w:pStyle w:val="Bodycopytable8pt"/>
              <w:spacing w:before="0" w:after="20"/>
              <w:rPr>
                <w:rFonts w:cs="Arial"/>
                <w:lang w:eastAsia="en-AU"/>
              </w:rPr>
            </w:pPr>
            <w:r w:rsidRPr="00456C94">
              <w:rPr>
                <w:rFonts w:cs="Arial"/>
                <w:lang w:eastAsia="en-AU"/>
              </w:rPr>
              <w:t>Tariff structure</w:t>
            </w:r>
          </w:p>
        </w:tc>
        <w:tc>
          <w:tcPr>
            <w:tcW w:w="8114" w:type="dxa"/>
          </w:tcPr>
          <w:p w14:paraId="5552411D" w14:textId="2E913B06" w:rsidR="00992A3B" w:rsidRPr="00456C94" w:rsidRDefault="00992A3B" w:rsidP="00566050">
            <w:pPr>
              <w:pStyle w:val="Bodycopytable8pt"/>
              <w:spacing w:before="0" w:after="20"/>
              <w:rPr>
                <w:lang w:eastAsia="en-US"/>
              </w:rPr>
            </w:pPr>
            <w:r w:rsidRPr="00456C94">
              <w:rPr>
                <w:lang w:eastAsia="en-US"/>
              </w:rPr>
              <w:t xml:space="preserve">How tariff components </w:t>
            </w:r>
            <w:r w:rsidR="00163D50" w:rsidRPr="00456C94">
              <w:rPr>
                <w:lang w:eastAsia="en-US"/>
              </w:rPr>
              <w:t xml:space="preserve">are combined </w:t>
            </w:r>
            <w:r w:rsidRPr="00456C94" w:rsidDel="0052309B">
              <w:rPr>
                <w:lang w:eastAsia="en-US"/>
              </w:rPr>
              <w:t xml:space="preserve">to give the tariff structure. </w:t>
            </w:r>
          </w:p>
        </w:tc>
      </w:tr>
      <w:tr w:rsidR="00992A3B" w14:paraId="1F229F2B" w14:textId="77777777" w:rsidTr="00CC0C0C">
        <w:trPr>
          <w:cnfStyle w:val="000000100000" w:firstRow="0" w:lastRow="0" w:firstColumn="0" w:lastColumn="0" w:oddVBand="0" w:evenVBand="0" w:oddHBand="1" w:evenHBand="0" w:firstRowFirstColumn="0" w:firstRowLastColumn="0" w:lastRowFirstColumn="0" w:lastRowLastColumn="0"/>
        </w:trPr>
        <w:tc>
          <w:tcPr>
            <w:tcW w:w="2092" w:type="dxa"/>
          </w:tcPr>
          <w:p w14:paraId="34B74348" w14:textId="77777777" w:rsidR="00992A3B" w:rsidRPr="00456C94" w:rsidRDefault="00992A3B" w:rsidP="00566050">
            <w:pPr>
              <w:pStyle w:val="Bodycopytable8pt"/>
              <w:spacing w:before="0" w:after="20"/>
              <w:rPr>
                <w:rFonts w:cs="Arial"/>
                <w:lang w:eastAsia="en-AU"/>
              </w:rPr>
            </w:pPr>
            <w:r w:rsidRPr="00456C94">
              <w:rPr>
                <w:rFonts w:cs="Arial"/>
                <w:lang w:eastAsia="en-AU"/>
              </w:rPr>
              <w:t>The Rules</w:t>
            </w:r>
          </w:p>
        </w:tc>
        <w:tc>
          <w:tcPr>
            <w:tcW w:w="8114" w:type="dxa"/>
          </w:tcPr>
          <w:p w14:paraId="759CE5A3" w14:textId="4E137553" w:rsidR="00992A3B" w:rsidRPr="00456C94" w:rsidRDefault="00992A3B" w:rsidP="00566050">
            <w:pPr>
              <w:pStyle w:val="Bodycopytable8pt"/>
              <w:spacing w:before="0" w:after="20"/>
              <w:rPr>
                <w:rFonts w:cs="Arial"/>
                <w:lang w:eastAsia="en-AU"/>
              </w:rPr>
            </w:pPr>
            <w:r w:rsidRPr="00456C94">
              <w:rPr>
                <w:rFonts w:cs="Arial"/>
                <w:lang w:eastAsia="en-AU"/>
              </w:rPr>
              <w:t>The National Electricity Rules</w:t>
            </w:r>
            <w:r w:rsidR="00AF3A84" w:rsidRPr="00456C94">
              <w:rPr>
                <w:rFonts w:cs="Arial"/>
                <w:lang w:eastAsia="en-AU"/>
              </w:rPr>
              <w:t>.</w:t>
            </w:r>
          </w:p>
        </w:tc>
      </w:tr>
      <w:tr w:rsidR="00D37DD4" w14:paraId="73D26D09" w14:textId="77777777" w:rsidTr="00CC0C0C">
        <w:trPr>
          <w:cnfStyle w:val="000000010000" w:firstRow="0" w:lastRow="0" w:firstColumn="0" w:lastColumn="0" w:oddVBand="0" w:evenVBand="0" w:oddHBand="0" w:evenHBand="1" w:firstRowFirstColumn="0" w:firstRowLastColumn="0" w:lastRowFirstColumn="0" w:lastRowLastColumn="0"/>
        </w:trPr>
        <w:tc>
          <w:tcPr>
            <w:tcW w:w="2092" w:type="dxa"/>
          </w:tcPr>
          <w:p w14:paraId="48938DC8" w14:textId="3DAD58F6" w:rsidR="00D37DD4" w:rsidRPr="00456C94" w:rsidRDefault="00D37DD4" w:rsidP="00566050">
            <w:pPr>
              <w:pStyle w:val="Bodycopytable8pt"/>
              <w:spacing w:before="0" w:after="20"/>
              <w:rPr>
                <w:rFonts w:cs="Arial"/>
                <w:lang w:eastAsia="en-AU"/>
              </w:rPr>
            </w:pPr>
            <w:r w:rsidRPr="00456C94">
              <w:rPr>
                <w:rFonts w:cs="Arial"/>
                <w:lang w:eastAsia="en-AU"/>
              </w:rPr>
              <w:t>TOU</w:t>
            </w:r>
          </w:p>
        </w:tc>
        <w:tc>
          <w:tcPr>
            <w:tcW w:w="8114" w:type="dxa"/>
          </w:tcPr>
          <w:p w14:paraId="5FB31250" w14:textId="6B0C2019" w:rsidR="00D37DD4" w:rsidRPr="00456C94" w:rsidRDefault="00D37DD4" w:rsidP="00566050">
            <w:pPr>
              <w:pStyle w:val="Bodycopytable8pt"/>
              <w:spacing w:before="0" w:after="20"/>
              <w:rPr>
                <w:rFonts w:cs="Arial"/>
                <w:lang w:eastAsia="en-AU"/>
              </w:rPr>
            </w:pPr>
            <w:r w:rsidRPr="00456C94">
              <w:rPr>
                <w:rFonts w:cs="Arial"/>
                <w:lang w:eastAsia="en-AU"/>
              </w:rPr>
              <w:t>Time of Use – a meter or tariff that varies with when electricity is consumed in either a: peak; shoulder; or off-peak period.</w:t>
            </w:r>
          </w:p>
        </w:tc>
      </w:tr>
      <w:tr w:rsidR="00992A3B" w14:paraId="2310779C" w14:textId="77777777" w:rsidTr="00CC0C0C">
        <w:trPr>
          <w:cnfStyle w:val="000000100000" w:firstRow="0" w:lastRow="0" w:firstColumn="0" w:lastColumn="0" w:oddVBand="0" w:evenVBand="0" w:oddHBand="1" w:evenHBand="0" w:firstRowFirstColumn="0" w:firstRowLastColumn="0" w:lastRowFirstColumn="0" w:lastRowLastColumn="0"/>
        </w:trPr>
        <w:tc>
          <w:tcPr>
            <w:tcW w:w="2092" w:type="dxa"/>
          </w:tcPr>
          <w:p w14:paraId="0E40FF54" w14:textId="77777777" w:rsidR="00992A3B" w:rsidRPr="00456C94" w:rsidRDefault="00992A3B" w:rsidP="00566050">
            <w:pPr>
              <w:pStyle w:val="Bodycopytable8pt"/>
              <w:spacing w:before="0" w:after="20"/>
              <w:rPr>
                <w:rFonts w:cs="Arial"/>
                <w:lang w:eastAsia="en-AU"/>
              </w:rPr>
            </w:pPr>
            <w:r w:rsidRPr="00456C94">
              <w:rPr>
                <w:rFonts w:cs="Arial"/>
                <w:lang w:eastAsia="en-AU"/>
              </w:rPr>
              <w:t>TSS</w:t>
            </w:r>
          </w:p>
        </w:tc>
        <w:tc>
          <w:tcPr>
            <w:tcW w:w="8114" w:type="dxa"/>
          </w:tcPr>
          <w:p w14:paraId="6E8FF0A9" w14:textId="4114A1B1" w:rsidR="00992A3B" w:rsidRPr="00456C94" w:rsidRDefault="00992A3B" w:rsidP="00566050">
            <w:pPr>
              <w:pStyle w:val="Bodycopytable8pt"/>
              <w:spacing w:before="0" w:after="20"/>
              <w:rPr>
                <w:rFonts w:cs="Arial"/>
                <w:lang w:eastAsia="en-AU"/>
              </w:rPr>
            </w:pPr>
            <w:r w:rsidRPr="00456C94">
              <w:rPr>
                <w:rFonts w:cs="Arial"/>
                <w:lang w:eastAsia="en-AU"/>
              </w:rPr>
              <w:t>Tariff Structure Statement</w:t>
            </w:r>
            <w:r w:rsidR="00AF3A84" w:rsidRPr="00456C94">
              <w:rPr>
                <w:rFonts w:cs="Arial"/>
                <w:lang w:eastAsia="en-AU"/>
              </w:rPr>
              <w:t>.</w:t>
            </w:r>
          </w:p>
        </w:tc>
      </w:tr>
    </w:tbl>
    <w:p w14:paraId="2C3B31FB" w14:textId="77777777" w:rsidR="0060023F" w:rsidRDefault="0060023F" w:rsidP="005B01F0">
      <w:pPr>
        <w:pStyle w:val="Bodycopy"/>
      </w:pPr>
      <w:bookmarkStart w:id="35" w:name="_Toc431299130"/>
      <w:bookmarkStart w:id="36" w:name="_Toc431478318"/>
      <w:bookmarkStart w:id="37" w:name="_Toc431544697"/>
      <w:bookmarkStart w:id="38" w:name="_Toc431996357"/>
      <w:bookmarkStart w:id="39" w:name="_Toc432151727"/>
      <w:bookmarkStart w:id="40" w:name="_Toc432163880"/>
      <w:bookmarkStart w:id="41" w:name="_Toc432173063"/>
      <w:bookmarkStart w:id="42" w:name="_Toc432174523"/>
      <w:bookmarkStart w:id="43" w:name="_Toc432597601"/>
      <w:bookmarkStart w:id="44" w:name="_Toc434839510"/>
      <w:bookmarkStart w:id="45" w:name="_Toc435177035"/>
      <w:bookmarkStart w:id="46" w:name="_Toc435454542"/>
      <w:bookmarkStart w:id="47" w:name="_Toc435608288"/>
      <w:bookmarkStart w:id="48" w:name="_Toc435629508"/>
      <w:bookmarkStart w:id="49" w:name="_Toc436127241"/>
      <w:bookmarkEnd w:id="34"/>
    </w:p>
    <w:p w14:paraId="14B08CA2" w14:textId="77777777" w:rsidR="00456C94" w:rsidRDefault="00456C94" w:rsidP="00B0553F">
      <w:pPr>
        <w:pStyle w:val="Bodycopy"/>
      </w:pPr>
      <w:bookmarkStart w:id="50" w:name="_Toc436226275"/>
      <w:bookmarkStart w:id="51" w:name="_Toc436304792"/>
      <w:r>
        <w:rPr>
          <w:rFonts w:hint="eastAsia"/>
        </w:rPr>
        <w:br w:type="page"/>
      </w:r>
    </w:p>
    <w:p w14:paraId="04A7F27B" w14:textId="3C01308E" w:rsidR="00181A1F" w:rsidRPr="00233D1D" w:rsidRDefault="00D56E6D" w:rsidP="004C60FC">
      <w:pPr>
        <w:pStyle w:val="Heading1nonumbers"/>
        <w:rPr>
          <w:rFonts w:hint="eastAsia"/>
        </w:rPr>
      </w:pPr>
      <w:bookmarkStart w:id="52" w:name="_Toc462994047"/>
      <w:bookmarkStart w:id="53" w:name="_Toc463343011"/>
      <w:r w:rsidRPr="00512642">
        <w:lastRenderedPageBreak/>
        <w:t xml:space="preserve">ABOUT </w:t>
      </w:r>
      <w:r w:rsidR="00F96AA4" w:rsidRPr="00512642">
        <w:t>THIS T</w:t>
      </w:r>
      <w:r w:rsidR="0043485D">
        <w:t>ARIFF STRUCTURE STATEMENT</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6B3A2B73" w14:textId="04F0DE30" w:rsidR="00920FDC" w:rsidRDefault="00920FDC" w:rsidP="00E2690C">
      <w:pPr>
        <w:pStyle w:val="Bodycopy"/>
      </w:pPr>
      <w:r>
        <w:t xml:space="preserve">Essential Energy’s </w:t>
      </w:r>
      <w:r w:rsidR="00E2690C">
        <w:t xml:space="preserve">initial </w:t>
      </w:r>
      <w:r w:rsidR="00AD2188">
        <w:t>Tariff Structure Statement (TSS)</w:t>
      </w:r>
      <w:r w:rsidR="00E2690C" w:rsidRPr="0096355B">
        <w:t xml:space="preserve"> for the period 1 July 2017 to 30 June 2019</w:t>
      </w:r>
      <w:r w:rsidR="00E2690C">
        <w:t xml:space="preserve"> </w:t>
      </w:r>
      <w:r>
        <w:t>was submitted to</w:t>
      </w:r>
      <w:r w:rsidR="00E2690C">
        <w:t xml:space="preserve"> the </w:t>
      </w:r>
      <w:r w:rsidR="00E76EA4">
        <w:t>Australian Energy Regulator (</w:t>
      </w:r>
      <w:r w:rsidR="00E2690C">
        <w:t>AER</w:t>
      </w:r>
      <w:r w:rsidR="00E76EA4">
        <w:t>)</w:t>
      </w:r>
      <w:r w:rsidR="00E2690C">
        <w:t xml:space="preserve"> on 27 November 2015. </w:t>
      </w:r>
    </w:p>
    <w:p w14:paraId="45F7A511" w14:textId="5D7E1C35" w:rsidR="00920FDC" w:rsidRDefault="00E2690C" w:rsidP="00E2690C">
      <w:pPr>
        <w:pStyle w:val="Bodycopy"/>
      </w:pPr>
      <w:r>
        <w:t xml:space="preserve">In its draft decision, released on 2 August 2016, the AER did not approve </w:t>
      </w:r>
      <w:r w:rsidR="00920FDC">
        <w:t xml:space="preserve">this </w:t>
      </w:r>
      <w:r>
        <w:t>TSS as it was not considered to be fully compliant with the</w:t>
      </w:r>
      <w:r w:rsidR="00920FDC">
        <w:t xml:space="preserve"> Rules</w:t>
      </w:r>
      <w:r>
        <w:t xml:space="preserve">. </w:t>
      </w:r>
    </w:p>
    <w:p w14:paraId="6E27C99A" w14:textId="140BBB7F" w:rsidR="00E2690C" w:rsidRDefault="00920FDC" w:rsidP="00E2690C">
      <w:pPr>
        <w:pStyle w:val="Bodycopy"/>
      </w:pPr>
      <w:r>
        <w:t>Essential Energy</w:t>
      </w:r>
      <w:r w:rsidR="00AD2188">
        <w:t xml:space="preserve"> submitted this</w:t>
      </w:r>
      <w:r>
        <w:t xml:space="preserve"> </w:t>
      </w:r>
      <w:r w:rsidR="008339C0">
        <w:t>revised</w:t>
      </w:r>
      <w:r w:rsidR="00E2690C">
        <w:t xml:space="preserve"> TSS</w:t>
      </w:r>
      <w:r>
        <w:t>, which</w:t>
      </w:r>
      <w:r w:rsidR="00E2690C">
        <w:t xml:space="preserve"> </w:t>
      </w:r>
      <w:r w:rsidR="0099462D">
        <w:t>addresses th</w:t>
      </w:r>
      <w:r w:rsidR="00AD2188">
        <w:t>o</w:t>
      </w:r>
      <w:r>
        <w:t>se</w:t>
      </w:r>
      <w:r w:rsidR="0099462D">
        <w:t xml:space="preserve"> areas of non-compliance</w:t>
      </w:r>
      <w:r w:rsidR="00AD2188">
        <w:t xml:space="preserve"> and, in particular, </w:t>
      </w:r>
      <w:r w:rsidR="00AD2188" w:rsidRPr="0096355B">
        <w:t>demonstrate</w:t>
      </w:r>
      <w:r w:rsidR="00AD2188">
        <w:t>s</w:t>
      </w:r>
      <w:r w:rsidR="00AD2188" w:rsidRPr="0096355B">
        <w:t xml:space="preserve"> how </w:t>
      </w:r>
      <w:r w:rsidR="00AD2188">
        <w:t>we have</w:t>
      </w:r>
      <w:r w:rsidR="00AD2188" w:rsidRPr="0096355B">
        <w:t xml:space="preserve"> adopted </w:t>
      </w:r>
      <w:r w:rsidR="00AD2188">
        <w:t>the</w:t>
      </w:r>
      <w:r w:rsidR="00AD2188" w:rsidRPr="0096355B">
        <w:t xml:space="preserve"> new network pricing objective</w:t>
      </w:r>
      <w:r w:rsidR="00AD2188">
        <w:t xml:space="preserve"> and complied with the </w:t>
      </w:r>
      <w:r w:rsidR="00AD2188" w:rsidRPr="0096355B">
        <w:t>associated p</w:t>
      </w:r>
      <w:r w:rsidR="00AD2188">
        <w:t>ricing principles</w:t>
      </w:r>
      <w:r w:rsidR="00AD2188" w:rsidRPr="0096355B">
        <w:t xml:space="preserve"> </w:t>
      </w:r>
      <w:r w:rsidR="00AD2188">
        <w:t>s</w:t>
      </w:r>
      <w:r w:rsidR="00AD2188" w:rsidRPr="0096355B">
        <w:t xml:space="preserve">et out in </w:t>
      </w:r>
      <w:r w:rsidR="00AD2188">
        <w:t>Section</w:t>
      </w:r>
      <w:r w:rsidR="00AD2188" w:rsidRPr="0096355B">
        <w:t xml:space="preserve"> 6</w:t>
      </w:r>
      <w:r w:rsidR="00AD2188">
        <w:t>.18</w:t>
      </w:r>
      <w:r w:rsidR="00AD2188" w:rsidRPr="0096355B">
        <w:t xml:space="preserve"> of the National Ele</w:t>
      </w:r>
      <w:r w:rsidR="00AD2188">
        <w:t>ctricity Rules (</w:t>
      </w:r>
      <w:r w:rsidR="00BB4B06">
        <w:t>NER</w:t>
      </w:r>
      <w:r w:rsidR="00AD2188">
        <w:t xml:space="preserve">), </w:t>
      </w:r>
      <w:r w:rsidR="00E2690C">
        <w:t xml:space="preserve">to the AER </w:t>
      </w:r>
      <w:r w:rsidR="008B66BC">
        <w:t>on</w:t>
      </w:r>
      <w:r w:rsidR="00E2690C">
        <w:t xml:space="preserve"> 4 October 2016.</w:t>
      </w:r>
      <w:r w:rsidR="0099462D">
        <w:t xml:space="preserve"> The AER will assess th</w:t>
      </w:r>
      <w:r>
        <w:t>is</w:t>
      </w:r>
      <w:r w:rsidR="0099462D">
        <w:t xml:space="preserve"> revised TSS and make a final decision before any tariff structures and associated pricing </w:t>
      </w:r>
      <w:r>
        <w:t xml:space="preserve">apply from </w:t>
      </w:r>
      <w:r w:rsidR="0099462D">
        <w:t>on 1 July 2017.</w:t>
      </w:r>
    </w:p>
    <w:p w14:paraId="076E0C6A" w14:textId="190929D3" w:rsidR="00E2690C" w:rsidRDefault="00E2690C" w:rsidP="00E2690C">
      <w:pPr>
        <w:pStyle w:val="Bodycopy"/>
      </w:pPr>
      <w:r>
        <w:t xml:space="preserve">Our </w:t>
      </w:r>
      <w:r w:rsidR="008339C0">
        <w:t>revised</w:t>
      </w:r>
      <w:r>
        <w:t xml:space="preserve"> TSS seeks to provide a clear explanation </w:t>
      </w:r>
      <w:r w:rsidR="004F2B2F">
        <w:t>and</w:t>
      </w:r>
      <w:r>
        <w:t xml:space="preserve"> facilitate a greater level of understanding </w:t>
      </w:r>
      <w:r w:rsidR="00AD2188">
        <w:t xml:space="preserve">of our network tariffs </w:t>
      </w:r>
      <w:r w:rsidR="0099462D">
        <w:t>to</w:t>
      </w:r>
      <w:r>
        <w:t xml:space="preserve"> enable </w:t>
      </w:r>
      <w:r w:rsidR="00AD2188">
        <w:t>customers</w:t>
      </w:r>
      <w:r>
        <w:t xml:space="preserve"> to make more informed choices about how they use electricity.</w:t>
      </w:r>
    </w:p>
    <w:p w14:paraId="494D8E75" w14:textId="56E59249" w:rsidR="00E2690C" w:rsidRDefault="00E2690C" w:rsidP="00E2690C">
      <w:pPr>
        <w:pStyle w:val="Bodycopy"/>
      </w:pPr>
      <w:r>
        <w:t>As requested by the AER, this revised TSS specifically addresses only the requirements of section 6.18.1(A)</w:t>
      </w:r>
      <w:r w:rsidR="005441F0">
        <w:t xml:space="preserve"> of the </w:t>
      </w:r>
      <w:r w:rsidR="00AD2188">
        <w:t>Rules</w:t>
      </w:r>
      <w:r w:rsidR="005441F0">
        <w:t xml:space="preserve">. </w:t>
      </w:r>
      <w:r w:rsidR="00AD2188">
        <w:t>A</w:t>
      </w:r>
      <w:r w:rsidR="005441F0">
        <w:t xml:space="preserve">n addendum to this TSS </w:t>
      </w:r>
      <w:r w:rsidR="00AD2188">
        <w:t xml:space="preserve">provides </w:t>
      </w:r>
      <w:r w:rsidR="005441F0">
        <w:t>explanations and r</w:t>
      </w:r>
      <w:r>
        <w:t>eason</w:t>
      </w:r>
      <w:r w:rsidR="005441F0">
        <w:t>s for changes from our initial T</w:t>
      </w:r>
      <w:r w:rsidR="00457322">
        <w:t xml:space="preserve">SS. The addendum, Attachment </w:t>
      </w:r>
      <w:r w:rsidR="00CC12EB">
        <w:t xml:space="preserve">8 </w:t>
      </w:r>
      <w:r w:rsidR="00457322">
        <w:t xml:space="preserve">to the TSS, </w:t>
      </w:r>
      <w:r>
        <w:t>is to be read in conjunctio</w:t>
      </w:r>
      <w:r w:rsidR="00E76F79">
        <w:t>n with this TSS and contains</w:t>
      </w:r>
      <w:r>
        <w:t>:</w:t>
      </w:r>
    </w:p>
    <w:p w14:paraId="3CC5CB73" w14:textId="5C4237BF" w:rsidR="00E2690C" w:rsidRDefault="00AD2188" w:rsidP="00E2690C">
      <w:pPr>
        <w:pStyle w:val="Bullets"/>
        <w:ind w:left="568" w:hanging="284"/>
      </w:pPr>
      <w:r>
        <w:t>r</w:t>
      </w:r>
      <w:r w:rsidR="00E2690C">
        <w:t>esults of stakeholder consultation undertaken following the AER draft decision</w:t>
      </w:r>
    </w:p>
    <w:p w14:paraId="0B1AE10F" w14:textId="14FA4BD8" w:rsidR="00E2690C" w:rsidRDefault="00BB4B06" w:rsidP="00E2690C">
      <w:pPr>
        <w:pStyle w:val="Bullets"/>
        <w:ind w:left="568" w:hanging="284"/>
      </w:pPr>
      <w:r>
        <w:t>explanations of</w:t>
      </w:r>
      <w:r w:rsidR="00E2690C">
        <w:t xml:space="preserve"> any changes made to our TSS following the </w:t>
      </w:r>
      <w:r w:rsidR="0099462D">
        <w:t xml:space="preserve">AER’s </w:t>
      </w:r>
      <w:r w:rsidR="00E2690C">
        <w:t>draft decision and our recent stakeholder consultation</w:t>
      </w:r>
    </w:p>
    <w:p w14:paraId="2138AD9B" w14:textId="40734C80" w:rsidR="00E2690C" w:rsidRDefault="00AD2188" w:rsidP="00E2690C">
      <w:pPr>
        <w:pStyle w:val="Bullets"/>
        <w:ind w:left="568" w:hanging="284"/>
      </w:pPr>
      <w:r>
        <w:t>reasons</w:t>
      </w:r>
      <w:r w:rsidR="00E2690C">
        <w:t xml:space="preserve"> why </w:t>
      </w:r>
      <w:r w:rsidR="002F3120">
        <w:t xml:space="preserve">some </w:t>
      </w:r>
      <w:r w:rsidR="00E2690C">
        <w:t>changes to our TSS</w:t>
      </w:r>
      <w:r>
        <w:t xml:space="preserve"> proposed</w:t>
      </w:r>
      <w:r w:rsidR="00E2690C">
        <w:t xml:space="preserve"> by the AER in its draft decision have not been </w:t>
      </w:r>
      <w:r>
        <w:t>adopted</w:t>
      </w:r>
    </w:p>
    <w:p w14:paraId="1668CCC8" w14:textId="79722EB1" w:rsidR="00E2690C" w:rsidRPr="00E76F79" w:rsidRDefault="00AD2188" w:rsidP="00E76F79">
      <w:pPr>
        <w:pStyle w:val="Bullets"/>
        <w:ind w:left="568" w:hanging="284"/>
      </w:pPr>
      <w:r>
        <w:t>a</w:t>
      </w:r>
      <w:r w:rsidRPr="00F54EA5">
        <w:t xml:space="preserve"> </w:t>
      </w:r>
      <w:r w:rsidR="00E76F79" w:rsidRPr="00F54EA5">
        <w:t>summary of the strategy and enhancements we are considering for our next TSS and future pricing directions.</w:t>
      </w:r>
    </w:p>
    <w:p w14:paraId="010E277E" w14:textId="216D2F4D" w:rsidR="00F96AA4" w:rsidRPr="00D24D49" w:rsidRDefault="00F96AA4" w:rsidP="007B3F41">
      <w:pPr>
        <w:pStyle w:val="Heading2nonumbers"/>
      </w:pPr>
      <w:r>
        <w:t xml:space="preserve">Requirements of a </w:t>
      </w:r>
      <w:r w:rsidR="0043485D">
        <w:t>Tariff Structure Statement</w:t>
      </w:r>
    </w:p>
    <w:p w14:paraId="588C9297" w14:textId="476D205A" w:rsidR="00D45CE4" w:rsidRDefault="00BB4B06" w:rsidP="00C93DE7">
      <w:pPr>
        <w:pStyle w:val="Bodycopy"/>
      </w:pPr>
      <w:r>
        <w:t>As</w:t>
      </w:r>
      <w:r w:rsidR="00F96AA4" w:rsidRPr="0096355B">
        <w:t xml:space="preserve"> set out in the final </w:t>
      </w:r>
      <w:r w:rsidR="00D45CE4">
        <w:t>R</w:t>
      </w:r>
      <w:r w:rsidR="00F96AA4" w:rsidRPr="0096355B">
        <w:t>ule</w:t>
      </w:r>
      <w:r>
        <w:t>,</w:t>
      </w:r>
      <w:r w:rsidR="00F96AA4" w:rsidRPr="0096355B">
        <w:t xml:space="preserve"> the network prices that a </w:t>
      </w:r>
      <w:r w:rsidR="008524C6">
        <w:t>distribution network service provider (</w:t>
      </w:r>
      <w:r w:rsidR="00F96AA4" w:rsidRPr="0096355B">
        <w:t>DNSP</w:t>
      </w:r>
      <w:r w:rsidR="008524C6">
        <w:t>)</w:t>
      </w:r>
      <w:r w:rsidR="00F96AA4" w:rsidRPr="0096355B">
        <w:t xml:space="preserve"> charges each customer should reflect the business’</w:t>
      </w:r>
      <w:r>
        <w:t>s</w:t>
      </w:r>
      <w:r w:rsidR="00F96AA4" w:rsidRPr="0096355B">
        <w:t xml:space="preserve"> efficient costs of providing netw</w:t>
      </w:r>
      <w:r w:rsidR="00257693">
        <w:t xml:space="preserve">ork services to that customer. </w:t>
      </w:r>
    </w:p>
    <w:p w14:paraId="0627C255" w14:textId="6E85923D" w:rsidR="00F96AA4" w:rsidRDefault="00F96AA4" w:rsidP="00C93DE7">
      <w:pPr>
        <w:pStyle w:val="Bodycopy"/>
      </w:pPr>
      <w:r w:rsidRPr="0096355B">
        <w:t xml:space="preserve">Essential Energy must demonstrate compliance </w:t>
      </w:r>
      <w:r w:rsidR="00BB4B06">
        <w:t>with the following pricing principles</w:t>
      </w:r>
      <w:r w:rsidRPr="0096355B">
        <w:t>:</w:t>
      </w:r>
    </w:p>
    <w:p w14:paraId="3E56E30D" w14:textId="772EF25E" w:rsidR="00F96AA4" w:rsidRPr="0096355B" w:rsidRDefault="00F96AA4" w:rsidP="00920137">
      <w:pPr>
        <w:pStyle w:val="Bullets"/>
      </w:pPr>
      <w:r w:rsidRPr="0096355B">
        <w:t>Each network tariff must be based on the long run marginal cost (L</w:t>
      </w:r>
      <w:r w:rsidR="008524C6">
        <w:t xml:space="preserve">RMC) of providing the service. </w:t>
      </w:r>
      <w:r w:rsidRPr="0096355B">
        <w:t xml:space="preserve">LRMC is a measure </w:t>
      </w:r>
      <w:r w:rsidR="001910BF">
        <w:t>of</w:t>
      </w:r>
      <w:r w:rsidRPr="0096355B">
        <w:t xml:space="preserve"> the future network costs that are incurred by using </w:t>
      </w:r>
      <w:r w:rsidR="001910BF">
        <w:t>one more unit of</w:t>
      </w:r>
      <w:r w:rsidRPr="0096355B">
        <w:t xml:space="preserve"> energy</w:t>
      </w:r>
      <w:r w:rsidR="001910BF">
        <w:t>, adding one more customer to the network</w:t>
      </w:r>
      <w:r w:rsidRPr="0096355B">
        <w:t>, or the costs that could be saved by</w:t>
      </w:r>
      <w:r w:rsidR="00AE3275">
        <w:t xml:space="preserve"> using less energy</w:t>
      </w:r>
      <w:r w:rsidR="00BB4B06">
        <w:t>.</w:t>
      </w:r>
    </w:p>
    <w:p w14:paraId="26513357" w14:textId="0E689F50" w:rsidR="00F96AA4" w:rsidRPr="0096355B" w:rsidRDefault="00F96AA4" w:rsidP="00920137">
      <w:pPr>
        <w:pStyle w:val="Bullets"/>
      </w:pPr>
      <w:r w:rsidRPr="0096355B">
        <w:t>The revenue to be recovered from each network</w:t>
      </w:r>
      <w:r w:rsidR="004C60FC">
        <w:t xml:space="preserve"> tariff must reflect the DNSP’s</w:t>
      </w:r>
      <w:r w:rsidRPr="0096355B">
        <w:t xml:space="preserve"> total efficient costs of providing services to the cu</w:t>
      </w:r>
      <w:r w:rsidR="00AE3275">
        <w:t>stomers assigned to that tariff</w:t>
      </w:r>
      <w:r w:rsidR="00BB4B06">
        <w:t>.</w:t>
      </w:r>
    </w:p>
    <w:p w14:paraId="142B6906" w14:textId="03567E2F" w:rsidR="00F96AA4" w:rsidRPr="0096355B" w:rsidRDefault="00F96AA4" w:rsidP="00920137">
      <w:pPr>
        <w:pStyle w:val="Bullets"/>
      </w:pPr>
      <w:r w:rsidRPr="0096355B">
        <w:t>DNSPs must consider the impact on consumers of changes in network tariffs and must develop tariffs which are reasonably capable o</w:t>
      </w:r>
      <w:r w:rsidR="00AE3275">
        <w:t>f being understood by customers</w:t>
      </w:r>
      <w:r w:rsidR="00BB4B06">
        <w:t>.</w:t>
      </w:r>
    </w:p>
    <w:p w14:paraId="6068CB8B" w14:textId="237671F9" w:rsidR="00F96AA4" w:rsidRPr="0096355B" w:rsidRDefault="00F96AA4" w:rsidP="00920137">
      <w:pPr>
        <w:pStyle w:val="Bullets"/>
      </w:pPr>
      <w:r w:rsidRPr="0096355B">
        <w:t>Network tariffs must also comply with any jurisdictional pricing obligations imposed by</w:t>
      </w:r>
      <w:r w:rsidR="00AE3275">
        <w:t xml:space="preserve"> state or territory governments</w:t>
      </w:r>
      <w:r w:rsidR="00BB4B06">
        <w:t>.</w:t>
      </w:r>
    </w:p>
    <w:p w14:paraId="2F556E76" w14:textId="6AE28BA0" w:rsidR="00F96AA4" w:rsidRPr="0096355B" w:rsidRDefault="00F96AA4" w:rsidP="00920137">
      <w:pPr>
        <w:pStyle w:val="Bullets"/>
      </w:pPr>
      <w:r w:rsidRPr="0096355B">
        <w:t>The revenue expected to be recovered from a tariff class must lie between the stand</w:t>
      </w:r>
      <w:r w:rsidR="0034304A">
        <w:t>-</w:t>
      </w:r>
      <w:r w:rsidRPr="0096355B">
        <w:t>alone cost of providing the service to the relevant customers and the avoidable cos</w:t>
      </w:r>
      <w:r w:rsidR="00AE3275">
        <w:t>t of not providing the services</w:t>
      </w:r>
      <w:r w:rsidR="00BB4B06">
        <w:t>.</w:t>
      </w:r>
      <w:r w:rsidRPr="0096355B">
        <w:t xml:space="preserve"> </w:t>
      </w:r>
    </w:p>
    <w:p w14:paraId="7B7B6BF9" w14:textId="77777777" w:rsidR="00F96AA4" w:rsidRDefault="00F96AA4" w:rsidP="00920137">
      <w:pPr>
        <w:pStyle w:val="Bullets"/>
      </w:pPr>
      <w:r w:rsidRPr="0096355B">
        <w:t>Side constraints which limit annual price movements within a tariff class are to be adhered to.</w:t>
      </w:r>
    </w:p>
    <w:p w14:paraId="770369A5" w14:textId="25383CCD" w:rsidR="00111B8C" w:rsidRDefault="00111B8C" w:rsidP="00111B8C">
      <w:pPr>
        <w:pStyle w:val="Bodycopy"/>
      </w:pPr>
      <w:r>
        <w:rPr>
          <w:rFonts w:cs="Times New Roman"/>
          <w:b/>
          <w:color w:val="006A71" w:themeColor="text2"/>
          <w:sz w:val="26"/>
          <w:szCs w:val="24"/>
          <w:lang w:val="en-AU"/>
        </w:rPr>
        <w:fldChar w:fldCharType="begin"/>
      </w:r>
      <w:r>
        <w:instrText xml:space="preserve"> REF _Ref430069217 \h  \* MERGEFORMAT </w:instrText>
      </w:r>
      <w:r>
        <w:rPr>
          <w:rFonts w:cs="Times New Roman"/>
          <w:b/>
          <w:color w:val="006A71" w:themeColor="text2"/>
          <w:sz w:val="26"/>
          <w:szCs w:val="24"/>
          <w:lang w:val="en-AU"/>
        </w:rPr>
      </w:r>
      <w:r>
        <w:rPr>
          <w:rFonts w:cs="Times New Roman"/>
          <w:b/>
          <w:color w:val="006A71" w:themeColor="text2"/>
          <w:sz w:val="26"/>
          <w:szCs w:val="24"/>
          <w:lang w:val="en-AU"/>
        </w:rPr>
        <w:fldChar w:fldCharType="separate"/>
      </w:r>
      <w:r w:rsidR="0073687F">
        <w:rPr>
          <w:noProof/>
        </w:rPr>
        <w:t>Table</w:t>
      </w:r>
      <w:r w:rsidR="0073687F">
        <w:t xml:space="preserve"> A</w:t>
      </w:r>
      <w:r w:rsidR="0073687F">
        <w:noBreakHyphen/>
        <w:t>1</w:t>
      </w:r>
      <w:r w:rsidR="0073687F">
        <w:noBreakHyphen/>
        <w:t>1</w:t>
      </w:r>
      <w:r>
        <w:fldChar w:fldCharType="end"/>
      </w:r>
      <w:r>
        <w:t xml:space="preserve"> on the following page will help customers navigate </w:t>
      </w:r>
      <w:r w:rsidR="0027497B">
        <w:t>to</w:t>
      </w:r>
      <w:r>
        <w:t xml:space="preserve"> where Essential Energy has addressed each of the Rule requirements </w:t>
      </w:r>
      <w:r w:rsidR="00877B2E">
        <w:t xml:space="preserve">in clause 6.18.1(A) of the NER </w:t>
      </w:r>
      <w:r>
        <w:t>in this TSS.</w:t>
      </w:r>
    </w:p>
    <w:p w14:paraId="05940FCC" w14:textId="77777777" w:rsidR="00B50160" w:rsidRDefault="00B50160" w:rsidP="00A64EE4">
      <w:pPr>
        <w:pStyle w:val="Bodycopy"/>
      </w:pPr>
      <w:r>
        <w:br w:type="page"/>
      </w:r>
    </w:p>
    <w:p w14:paraId="50B1294B" w14:textId="5752264C" w:rsidR="00F96AA4" w:rsidRPr="00512642" w:rsidRDefault="00F96AA4" w:rsidP="007B3F41">
      <w:pPr>
        <w:pStyle w:val="Heading2nonumbers"/>
      </w:pPr>
      <w:r w:rsidRPr="00512642">
        <w:lastRenderedPageBreak/>
        <w:t>Feedback on this TSS</w:t>
      </w:r>
    </w:p>
    <w:p w14:paraId="3789F5A4" w14:textId="661274B6" w:rsidR="00F96AA4" w:rsidRPr="00A67828" w:rsidRDefault="00F96AA4" w:rsidP="00C93DE7">
      <w:pPr>
        <w:pStyle w:val="Bodycopy"/>
      </w:pPr>
      <w:r w:rsidRPr="00A67828">
        <w:t xml:space="preserve">A key </w:t>
      </w:r>
      <w:r w:rsidR="0019540A">
        <w:t>objective of</w:t>
      </w:r>
      <w:r w:rsidRPr="00A67828">
        <w:t xml:space="preserve"> this </w:t>
      </w:r>
      <w:r>
        <w:t>TSS</w:t>
      </w:r>
      <w:r w:rsidR="00B50160">
        <w:t xml:space="preserve"> is to reflect </w:t>
      </w:r>
      <w:r w:rsidRPr="00A67828">
        <w:t xml:space="preserve">the views of our customers </w:t>
      </w:r>
      <w:r w:rsidR="00D45CE4">
        <w:t>and stakeholders</w:t>
      </w:r>
      <w:r w:rsidRPr="00A67828">
        <w:t xml:space="preserve">. Essential Energy’s customers and stakeholders can provide feedback </w:t>
      </w:r>
      <w:r w:rsidR="00B50160" w:rsidRPr="00EA4A09">
        <w:t xml:space="preserve">and comments on Essential Energy’s </w:t>
      </w:r>
      <w:r w:rsidR="00B50160">
        <w:t>TSS</w:t>
      </w:r>
      <w:r w:rsidR="00B50160" w:rsidRPr="00EA4A09">
        <w:t xml:space="preserve"> </w:t>
      </w:r>
      <w:r w:rsidR="00B50160">
        <w:t xml:space="preserve">either </w:t>
      </w:r>
      <w:r w:rsidR="008B69A4">
        <w:t xml:space="preserve">to </w:t>
      </w:r>
      <w:r w:rsidR="00B50160" w:rsidRPr="00EA4A09">
        <w:t xml:space="preserve">the AER at </w:t>
      </w:r>
      <w:hyperlink r:id="rId14" w:history="1">
        <w:r w:rsidR="00B50160" w:rsidRPr="005525DD">
          <w:rPr>
            <w:rStyle w:val="Hyperlink"/>
          </w:rPr>
          <w:t>www.aer.gov.au</w:t>
        </w:r>
      </w:hyperlink>
      <w:r w:rsidR="00B50160">
        <w:t xml:space="preserve"> or through </w:t>
      </w:r>
      <w:r w:rsidRPr="00A67828">
        <w:t xml:space="preserve">the following channels: </w:t>
      </w:r>
    </w:p>
    <w:tbl>
      <w:tblPr>
        <w:tblW w:w="0" w:type="auto"/>
        <w:tblLook w:val="04A0" w:firstRow="1" w:lastRow="0" w:firstColumn="1" w:lastColumn="0" w:noHBand="0" w:noVBand="1"/>
      </w:tblPr>
      <w:tblGrid>
        <w:gridCol w:w="1555"/>
        <w:gridCol w:w="4162"/>
      </w:tblGrid>
      <w:tr w:rsidR="00F96AA4" w:rsidRPr="00A67828" w14:paraId="601F9CEC" w14:textId="77777777" w:rsidTr="00E82ABD">
        <w:tc>
          <w:tcPr>
            <w:tcW w:w="1555" w:type="dxa"/>
          </w:tcPr>
          <w:p w14:paraId="470A258D" w14:textId="77777777" w:rsidR="00F96AA4" w:rsidRPr="00AD7000" w:rsidRDefault="00F96AA4" w:rsidP="00B50160">
            <w:pPr>
              <w:pStyle w:val="Boldbodycopy"/>
              <w:ind w:hanging="108"/>
              <w:rPr>
                <w:rStyle w:val="StyleBold"/>
                <w:b/>
                <w:bCs w:val="0"/>
              </w:rPr>
            </w:pPr>
            <w:r w:rsidRPr="00AD7000">
              <w:rPr>
                <w:rStyle w:val="StyleBold"/>
                <w:b/>
                <w:bCs w:val="0"/>
              </w:rPr>
              <w:t>Channel</w:t>
            </w:r>
          </w:p>
        </w:tc>
        <w:tc>
          <w:tcPr>
            <w:tcW w:w="4162" w:type="dxa"/>
          </w:tcPr>
          <w:p w14:paraId="6B4F6697" w14:textId="7E757964" w:rsidR="00F96AA4" w:rsidRPr="00AD7000" w:rsidRDefault="008B69A4" w:rsidP="00AD7000">
            <w:pPr>
              <w:pStyle w:val="Boldbodycopy"/>
              <w:rPr>
                <w:rStyle w:val="StyleBold"/>
                <w:b/>
                <w:bCs w:val="0"/>
              </w:rPr>
            </w:pPr>
            <w:r>
              <w:rPr>
                <w:rStyle w:val="StyleBold"/>
                <w:b/>
                <w:bCs w:val="0"/>
              </w:rPr>
              <w:t>Contact d</w:t>
            </w:r>
            <w:r w:rsidR="00F96AA4" w:rsidRPr="00AD7000">
              <w:rPr>
                <w:rStyle w:val="StyleBold"/>
                <w:b/>
                <w:bCs w:val="0"/>
              </w:rPr>
              <w:t>etails</w:t>
            </w:r>
          </w:p>
        </w:tc>
      </w:tr>
      <w:tr w:rsidR="00F96AA4" w:rsidRPr="00A67828" w14:paraId="450EF7B7" w14:textId="77777777" w:rsidTr="00E82ABD">
        <w:tc>
          <w:tcPr>
            <w:tcW w:w="1555" w:type="dxa"/>
          </w:tcPr>
          <w:p w14:paraId="37D4037E" w14:textId="77777777" w:rsidR="00F96AA4" w:rsidRPr="00A67828" w:rsidRDefault="00F96AA4" w:rsidP="00B50160">
            <w:pPr>
              <w:pStyle w:val="Bodycopy"/>
              <w:ind w:hanging="108"/>
            </w:pPr>
            <w:r w:rsidRPr="00A67828">
              <w:t>Email</w:t>
            </w:r>
          </w:p>
        </w:tc>
        <w:tc>
          <w:tcPr>
            <w:tcW w:w="4162" w:type="dxa"/>
          </w:tcPr>
          <w:p w14:paraId="5B96D8FB" w14:textId="6D144519" w:rsidR="00F96AA4" w:rsidRPr="00A67828" w:rsidRDefault="0073687F" w:rsidP="00E01ED3">
            <w:pPr>
              <w:pStyle w:val="Bodycopy"/>
            </w:pPr>
            <w:hyperlink r:id="rId15" w:history="1">
              <w:r w:rsidR="00F96AA4" w:rsidRPr="00A67828">
                <w:rPr>
                  <w:color w:val="A30046"/>
                  <w:u w:val="single"/>
                </w:rPr>
                <w:t>ourplans@essentialenergy.com.au</w:t>
              </w:r>
            </w:hyperlink>
          </w:p>
        </w:tc>
      </w:tr>
      <w:tr w:rsidR="00F96AA4" w:rsidRPr="00A67828" w14:paraId="4A2A3911" w14:textId="77777777" w:rsidTr="00E82ABD">
        <w:tc>
          <w:tcPr>
            <w:tcW w:w="1555" w:type="dxa"/>
          </w:tcPr>
          <w:p w14:paraId="6A41FBD9" w14:textId="77777777" w:rsidR="00F96AA4" w:rsidRPr="00A67828" w:rsidRDefault="00F96AA4" w:rsidP="00B50160">
            <w:pPr>
              <w:pStyle w:val="Bodycopy"/>
              <w:ind w:hanging="108"/>
            </w:pPr>
            <w:r w:rsidRPr="00A67828">
              <w:t>Post</w:t>
            </w:r>
          </w:p>
        </w:tc>
        <w:tc>
          <w:tcPr>
            <w:tcW w:w="4162" w:type="dxa"/>
          </w:tcPr>
          <w:p w14:paraId="0067A1E8" w14:textId="77777777" w:rsidR="00F96AA4" w:rsidRPr="00A67828" w:rsidRDefault="00F96AA4" w:rsidP="00C93DE7">
            <w:pPr>
              <w:pStyle w:val="Bodycopysmallspacing"/>
            </w:pPr>
            <w:r>
              <w:t xml:space="preserve">Manager Network Regulation </w:t>
            </w:r>
          </w:p>
          <w:p w14:paraId="22BAEE3E" w14:textId="77777777" w:rsidR="00F96AA4" w:rsidRPr="00A67828" w:rsidRDefault="00F96AA4" w:rsidP="00C93DE7">
            <w:pPr>
              <w:pStyle w:val="Bodycopysmallspacing"/>
            </w:pPr>
            <w:r w:rsidRPr="00A67828">
              <w:t>Essential Energy</w:t>
            </w:r>
          </w:p>
          <w:p w14:paraId="78527366" w14:textId="77777777" w:rsidR="00F96AA4" w:rsidRPr="00A67828" w:rsidRDefault="00F96AA4" w:rsidP="00C93DE7">
            <w:pPr>
              <w:pStyle w:val="Bodycopysmallspacing"/>
            </w:pPr>
            <w:r w:rsidRPr="00A67828">
              <w:t>PO Box 5730</w:t>
            </w:r>
          </w:p>
          <w:p w14:paraId="0E220519" w14:textId="77777777" w:rsidR="00F96AA4" w:rsidRPr="00A67828" w:rsidRDefault="00F96AA4" w:rsidP="00C93DE7">
            <w:pPr>
              <w:pStyle w:val="Bodycopy"/>
            </w:pPr>
            <w:r w:rsidRPr="00A67828">
              <w:t>Port Macquarie NSW 2444</w:t>
            </w:r>
          </w:p>
        </w:tc>
      </w:tr>
      <w:tr w:rsidR="00F96AA4" w:rsidRPr="00A67828" w14:paraId="62E96901" w14:textId="77777777" w:rsidTr="00E82ABD">
        <w:tc>
          <w:tcPr>
            <w:tcW w:w="1555" w:type="dxa"/>
          </w:tcPr>
          <w:p w14:paraId="50DC28BA" w14:textId="77777777" w:rsidR="00F96AA4" w:rsidRPr="00A67828" w:rsidRDefault="00F96AA4" w:rsidP="00B50160">
            <w:pPr>
              <w:pStyle w:val="Bodycopy"/>
              <w:ind w:hanging="108"/>
            </w:pPr>
            <w:r w:rsidRPr="00A67828">
              <w:t>Phone</w:t>
            </w:r>
          </w:p>
        </w:tc>
        <w:tc>
          <w:tcPr>
            <w:tcW w:w="4162" w:type="dxa"/>
          </w:tcPr>
          <w:p w14:paraId="29134276" w14:textId="2F1B5678" w:rsidR="00F96AA4" w:rsidRPr="00A67828" w:rsidRDefault="00F96AA4" w:rsidP="00456DBD">
            <w:pPr>
              <w:pStyle w:val="Bodycopy"/>
            </w:pPr>
            <w:r w:rsidRPr="00C93DE7">
              <w:t>13</w:t>
            </w:r>
            <w:r w:rsidRPr="00A67828">
              <w:t xml:space="preserve"> </w:t>
            </w:r>
            <w:r w:rsidR="00456DBD">
              <w:t>23 91</w:t>
            </w:r>
          </w:p>
        </w:tc>
      </w:tr>
      <w:tr w:rsidR="00F96AA4" w:rsidRPr="00A67828" w14:paraId="4A0F66F1" w14:textId="77777777" w:rsidTr="00E82ABD">
        <w:tc>
          <w:tcPr>
            <w:tcW w:w="1555" w:type="dxa"/>
          </w:tcPr>
          <w:p w14:paraId="1C2E47E8" w14:textId="77777777" w:rsidR="00F96AA4" w:rsidRPr="00A67828" w:rsidRDefault="00F96AA4" w:rsidP="00B50160">
            <w:pPr>
              <w:pStyle w:val="Bodycopy"/>
              <w:ind w:hanging="108"/>
            </w:pPr>
            <w:r w:rsidRPr="00A67828">
              <w:t>Twitter</w:t>
            </w:r>
          </w:p>
        </w:tc>
        <w:tc>
          <w:tcPr>
            <w:tcW w:w="4162" w:type="dxa"/>
          </w:tcPr>
          <w:p w14:paraId="36893DAA" w14:textId="77777777" w:rsidR="00F96AA4" w:rsidRPr="00A67828" w:rsidRDefault="00F96AA4" w:rsidP="00C93DE7">
            <w:pPr>
              <w:pStyle w:val="Bodycopy"/>
            </w:pPr>
            <w:r w:rsidRPr="00A67828">
              <w:t>twitter.com/essentialenergy</w:t>
            </w:r>
          </w:p>
        </w:tc>
      </w:tr>
    </w:tbl>
    <w:p w14:paraId="25D136CB" w14:textId="77777777" w:rsidR="00B3420B" w:rsidRDefault="00B3420B" w:rsidP="00C93DE7">
      <w:pPr>
        <w:pStyle w:val="Bodycopy"/>
      </w:pPr>
    </w:p>
    <w:p w14:paraId="7DE5C4E1" w14:textId="4721EA59" w:rsidR="00E01A3B" w:rsidRDefault="00E01A3B" w:rsidP="00E01A3B">
      <w:pPr>
        <w:pStyle w:val="Caption"/>
      </w:pPr>
      <w:bookmarkStart w:id="54" w:name="_Ref430069217"/>
      <w:bookmarkStart w:id="55" w:name="_Toc431288921"/>
      <w:bookmarkStart w:id="56" w:name="_Toc431299126"/>
      <w:bookmarkStart w:id="57" w:name="_Toc431478314"/>
      <w:bookmarkStart w:id="58" w:name="_Toc431544688"/>
      <w:bookmarkStart w:id="59" w:name="_Toc431996347"/>
      <w:bookmarkStart w:id="60" w:name="_Toc432151717"/>
      <w:bookmarkStart w:id="61" w:name="_Toc432163869"/>
      <w:bookmarkStart w:id="62" w:name="_Toc432173052"/>
      <w:bookmarkStart w:id="63" w:name="_Toc432174513"/>
      <w:bookmarkStart w:id="64" w:name="_Toc432597579"/>
      <w:bookmarkStart w:id="65" w:name="_Toc434839485"/>
      <w:bookmarkStart w:id="66" w:name="_Toc435177010"/>
      <w:bookmarkStart w:id="67" w:name="_Toc435454517"/>
      <w:bookmarkStart w:id="68" w:name="_Toc435608263"/>
      <w:bookmarkStart w:id="69" w:name="_Toc435629480"/>
      <w:bookmarkStart w:id="70" w:name="_Toc436127209"/>
      <w:bookmarkStart w:id="71" w:name="_Toc436226243"/>
      <w:bookmarkStart w:id="72" w:name="_Toc436304575"/>
      <w:bookmarkStart w:id="73" w:name="_Toc462988224"/>
      <w:bookmarkStart w:id="74" w:name="_Toc462994026"/>
      <w:bookmarkStart w:id="75" w:name="_Toc463343033"/>
      <w:r>
        <w:t xml:space="preserve">Table </w:t>
      </w:r>
      <w:r w:rsidR="000D1D76">
        <w:t>A</w:t>
      </w:r>
      <w:r w:rsidR="000D1D76">
        <w:noBreakHyphen/>
      </w:r>
      <w:fldSimple w:instr=" STYLEREF 1 \s ">
        <w:r w:rsidR="0073687F">
          <w:rPr>
            <w:noProof/>
          </w:rPr>
          <w:t>1</w:t>
        </w:r>
      </w:fldSimple>
      <w:r w:rsidR="00A52BA8">
        <w:noBreakHyphen/>
      </w:r>
      <w:fldSimple w:instr=" SEQ Table \* ARABIC \s 1 ">
        <w:r w:rsidR="0073687F">
          <w:rPr>
            <w:noProof/>
          </w:rPr>
          <w:t>1</w:t>
        </w:r>
      </w:fldSimple>
      <w:bookmarkEnd w:id="54"/>
      <w:r>
        <w:t xml:space="preserve">: </w:t>
      </w:r>
      <w:r w:rsidR="009925FD">
        <w:t xml:space="preserve">How to find where </w:t>
      </w:r>
      <w:r>
        <w:t>Essential Energy has addressed the TSS Rule requirements</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tbl>
      <w:tblPr>
        <w:tblStyle w:val="EETealTable"/>
        <w:tblW w:w="0" w:type="auto"/>
        <w:tblInd w:w="-23" w:type="dxa"/>
        <w:tblLook w:val="04A0" w:firstRow="1" w:lastRow="0" w:firstColumn="1" w:lastColumn="0" w:noHBand="0" w:noVBand="1"/>
      </w:tblPr>
      <w:tblGrid>
        <w:gridCol w:w="3856"/>
        <w:gridCol w:w="2090"/>
        <w:gridCol w:w="4099"/>
      </w:tblGrid>
      <w:tr w:rsidR="00E01A3B" w14:paraId="67780915" w14:textId="77777777" w:rsidTr="00F63539">
        <w:trPr>
          <w:cnfStyle w:val="100000000000" w:firstRow="1" w:lastRow="0" w:firstColumn="0" w:lastColumn="0" w:oddVBand="0" w:evenVBand="0" w:oddHBand="0" w:evenHBand="0" w:firstRowFirstColumn="0" w:firstRowLastColumn="0" w:lastRowFirstColumn="0" w:lastRowLastColumn="0"/>
          <w:trHeight w:val="369"/>
        </w:trPr>
        <w:tc>
          <w:tcPr>
            <w:tcW w:w="3856" w:type="dxa"/>
          </w:tcPr>
          <w:p w14:paraId="6E77D802" w14:textId="40685A71" w:rsidR="00E01A3B" w:rsidRPr="00A52BA8" w:rsidRDefault="00E01A3B" w:rsidP="00D66521">
            <w:pPr>
              <w:pStyle w:val="StyleTableheadingwhitebold8ptLeft"/>
              <w:rPr>
                <w:rStyle w:val="StyleBold"/>
              </w:rPr>
            </w:pPr>
            <w:r w:rsidRPr="00A52BA8">
              <w:rPr>
                <w:rStyle w:val="StyleBold"/>
              </w:rPr>
              <w:t>R</w:t>
            </w:r>
            <w:r w:rsidR="00A52BA8" w:rsidRPr="00A52BA8">
              <w:rPr>
                <w:rStyle w:val="StyleBold"/>
              </w:rPr>
              <w:t>elevant r</w:t>
            </w:r>
            <w:r w:rsidRPr="00A52BA8">
              <w:rPr>
                <w:rStyle w:val="StyleBold"/>
              </w:rPr>
              <w:t>equirement</w:t>
            </w:r>
          </w:p>
        </w:tc>
        <w:tc>
          <w:tcPr>
            <w:tcW w:w="2090" w:type="dxa"/>
          </w:tcPr>
          <w:p w14:paraId="06A6B8DF" w14:textId="4DF63DF5" w:rsidR="00E01A3B" w:rsidRPr="00A52BA8" w:rsidRDefault="00E01A3B" w:rsidP="00D66521">
            <w:pPr>
              <w:pStyle w:val="StyleTableheadingwhitebold8ptLeft"/>
              <w:rPr>
                <w:rStyle w:val="StyleBold"/>
              </w:rPr>
            </w:pPr>
            <w:r w:rsidRPr="00A52BA8">
              <w:rPr>
                <w:rStyle w:val="StyleBold"/>
              </w:rPr>
              <w:t>Rule reference</w:t>
            </w:r>
          </w:p>
        </w:tc>
        <w:tc>
          <w:tcPr>
            <w:tcW w:w="4099" w:type="dxa"/>
          </w:tcPr>
          <w:p w14:paraId="450EE51B" w14:textId="7AB3CC6C" w:rsidR="00E01A3B" w:rsidRPr="00A52BA8" w:rsidRDefault="00E01A3B" w:rsidP="00D66521">
            <w:pPr>
              <w:pStyle w:val="StyleTableheadingwhitebold8ptLeft"/>
              <w:rPr>
                <w:rStyle w:val="StyleBold"/>
              </w:rPr>
            </w:pPr>
            <w:r w:rsidRPr="00A52BA8">
              <w:rPr>
                <w:rStyle w:val="StyleBold"/>
              </w:rPr>
              <w:t>Location within the TSS</w:t>
            </w:r>
          </w:p>
        </w:tc>
      </w:tr>
      <w:tr w:rsidR="00E01A3B" w14:paraId="20A13A7A" w14:textId="77777777" w:rsidTr="00F13D11">
        <w:trPr>
          <w:cnfStyle w:val="000000100000" w:firstRow="0" w:lastRow="0" w:firstColumn="0" w:lastColumn="0" w:oddVBand="0" w:evenVBand="0" w:oddHBand="1" w:evenHBand="0" w:firstRowFirstColumn="0" w:firstRowLastColumn="0" w:lastRowFirstColumn="0" w:lastRowLastColumn="0"/>
        </w:trPr>
        <w:tc>
          <w:tcPr>
            <w:tcW w:w="3856" w:type="dxa"/>
            <w:vAlign w:val="center"/>
          </w:tcPr>
          <w:p w14:paraId="65109DF5" w14:textId="52CEA5F2" w:rsidR="00E01A3B" w:rsidRDefault="00E01A3B" w:rsidP="00B50160">
            <w:pPr>
              <w:pStyle w:val="Bodycopytable8pt"/>
            </w:pPr>
            <w:r w:rsidRPr="00E01A3B">
              <w:t>The TSS must include tariff classes</w:t>
            </w:r>
            <w:r w:rsidR="00D45CE4">
              <w:t>.</w:t>
            </w:r>
          </w:p>
        </w:tc>
        <w:tc>
          <w:tcPr>
            <w:tcW w:w="2090" w:type="dxa"/>
            <w:vAlign w:val="center"/>
          </w:tcPr>
          <w:p w14:paraId="4988A83B" w14:textId="11E460AD" w:rsidR="00E01A3B" w:rsidRDefault="00E01A3B" w:rsidP="00B50160">
            <w:pPr>
              <w:pStyle w:val="Bodycopytable8pt"/>
              <w:jc w:val="center"/>
            </w:pPr>
            <w:r w:rsidRPr="00E01A3B">
              <w:t>6.18.1A(a)(1)</w:t>
            </w:r>
          </w:p>
        </w:tc>
        <w:tc>
          <w:tcPr>
            <w:tcW w:w="4099" w:type="dxa"/>
            <w:vAlign w:val="center"/>
          </w:tcPr>
          <w:p w14:paraId="1AAAAC50" w14:textId="4B0A1105" w:rsidR="00E01A3B" w:rsidRPr="005F4A55" w:rsidRDefault="004C5EBE" w:rsidP="00F13D11">
            <w:pPr>
              <w:pStyle w:val="Bodycopytable8pt"/>
            </w:pPr>
            <w:r w:rsidRPr="005F4A55">
              <w:t xml:space="preserve">Section </w:t>
            </w:r>
            <w:r w:rsidRPr="005F4A55">
              <w:fldChar w:fldCharType="begin"/>
            </w:r>
            <w:r w:rsidRPr="005F4A55">
              <w:instrText xml:space="preserve"> REF _Ref432421790 \r \h </w:instrText>
            </w:r>
            <w:r w:rsidR="000C1CD9" w:rsidRPr="005F4A55">
              <w:instrText xml:space="preserve"> \* MERGEFORMAT </w:instrText>
            </w:r>
            <w:r w:rsidRPr="005F4A55">
              <w:fldChar w:fldCharType="separate"/>
            </w:r>
            <w:r w:rsidR="0073687F">
              <w:t>3</w:t>
            </w:r>
            <w:r w:rsidRPr="005F4A55">
              <w:fldChar w:fldCharType="end"/>
            </w:r>
            <w:r w:rsidRPr="005F4A55">
              <w:t xml:space="preserve"> - </w:t>
            </w:r>
            <w:r w:rsidRPr="005F4A55">
              <w:fldChar w:fldCharType="begin"/>
            </w:r>
            <w:r w:rsidRPr="005F4A55">
              <w:instrText xml:space="preserve"> REF _Ref432421798 \h </w:instrText>
            </w:r>
            <w:r w:rsidR="000C1CD9" w:rsidRPr="005F4A55">
              <w:instrText xml:space="preserve"> \* MERGEFORMAT </w:instrText>
            </w:r>
            <w:r w:rsidRPr="005F4A55">
              <w:fldChar w:fldCharType="separate"/>
            </w:r>
            <w:r w:rsidR="0073687F">
              <w:t>Our proposed tariff classes</w:t>
            </w:r>
            <w:r w:rsidRPr="005F4A55">
              <w:fldChar w:fldCharType="end"/>
            </w:r>
          </w:p>
        </w:tc>
      </w:tr>
      <w:tr w:rsidR="00E01A3B" w14:paraId="33F1AC25" w14:textId="77777777" w:rsidTr="00F13D11">
        <w:trPr>
          <w:cnfStyle w:val="000000010000" w:firstRow="0" w:lastRow="0" w:firstColumn="0" w:lastColumn="0" w:oddVBand="0" w:evenVBand="0" w:oddHBand="0" w:evenHBand="1" w:firstRowFirstColumn="0" w:firstRowLastColumn="0" w:lastRowFirstColumn="0" w:lastRowLastColumn="0"/>
        </w:trPr>
        <w:tc>
          <w:tcPr>
            <w:tcW w:w="3856" w:type="dxa"/>
            <w:vAlign w:val="center"/>
          </w:tcPr>
          <w:p w14:paraId="644D23C0" w14:textId="7DADB37C" w:rsidR="00E01A3B" w:rsidRDefault="00E01A3B" w:rsidP="00B50160">
            <w:pPr>
              <w:pStyle w:val="Bodycopytable8pt"/>
            </w:pPr>
            <w:r>
              <w:t>The TSS must include the policies and procedures for assigning customers to tariffs and reassigning from one tariff to another</w:t>
            </w:r>
            <w:r w:rsidR="00D45CE4">
              <w:t>.</w:t>
            </w:r>
          </w:p>
        </w:tc>
        <w:tc>
          <w:tcPr>
            <w:tcW w:w="2090" w:type="dxa"/>
            <w:vAlign w:val="center"/>
          </w:tcPr>
          <w:p w14:paraId="7E6156E3" w14:textId="1AE41D78" w:rsidR="00E01A3B" w:rsidRDefault="00E01A3B" w:rsidP="00B50160">
            <w:pPr>
              <w:pStyle w:val="Bodycopytable8pt"/>
              <w:jc w:val="center"/>
            </w:pPr>
            <w:r w:rsidRPr="00E01A3B">
              <w:t>6.18.1A(a)(2)</w:t>
            </w:r>
          </w:p>
        </w:tc>
        <w:tc>
          <w:tcPr>
            <w:tcW w:w="4099" w:type="dxa"/>
            <w:vAlign w:val="center"/>
          </w:tcPr>
          <w:p w14:paraId="774F3002" w14:textId="6E581DDF" w:rsidR="00E01A3B" w:rsidRPr="005F4A55" w:rsidRDefault="004C5EBE" w:rsidP="005A34DB">
            <w:pPr>
              <w:pStyle w:val="Bodycopytable8pt"/>
            </w:pPr>
            <w:r w:rsidRPr="005F4A55">
              <w:t xml:space="preserve">Section </w:t>
            </w:r>
            <w:r w:rsidR="005A34DB">
              <w:fldChar w:fldCharType="begin"/>
            </w:r>
            <w:r w:rsidR="005A34DB">
              <w:instrText xml:space="preserve"> REF _Ref461462727 \r \h </w:instrText>
            </w:r>
            <w:r w:rsidR="005A34DB">
              <w:fldChar w:fldCharType="separate"/>
            </w:r>
            <w:r w:rsidR="0073687F">
              <w:t>2</w:t>
            </w:r>
            <w:r w:rsidR="005A34DB">
              <w:fldChar w:fldCharType="end"/>
            </w:r>
            <w:r w:rsidR="00A3134A">
              <w:t xml:space="preserve"> </w:t>
            </w:r>
            <w:r w:rsidR="005A34DB">
              <w:t xml:space="preserve">- </w:t>
            </w:r>
            <w:r w:rsidR="005A34DB">
              <w:fldChar w:fldCharType="begin"/>
            </w:r>
            <w:r w:rsidR="005A34DB">
              <w:instrText xml:space="preserve"> REF _Ref461462665 \h </w:instrText>
            </w:r>
            <w:r w:rsidR="005A34DB">
              <w:fldChar w:fldCharType="separate"/>
            </w:r>
            <w:r w:rsidR="0073687F">
              <w:t>Assigning customers to tariffs</w:t>
            </w:r>
            <w:r w:rsidR="005A34DB">
              <w:fldChar w:fldCharType="end"/>
            </w:r>
            <w:r w:rsidR="005A34DB">
              <w:t xml:space="preserve"> </w:t>
            </w:r>
            <w:r w:rsidR="005F4A55" w:rsidRPr="005F4A55">
              <w:t xml:space="preserve">and </w:t>
            </w:r>
            <w:r w:rsidR="003363E5">
              <w:t xml:space="preserve">Attachment </w:t>
            </w:r>
            <w:r w:rsidR="003363E5">
              <w:fldChar w:fldCharType="begin"/>
            </w:r>
            <w:r w:rsidR="003363E5">
              <w:instrText xml:space="preserve"> REF _Ref432514534 \r \h </w:instrText>
            </w:r>
            <w:r w:rsidR="00B50160">
              <w:instrText xml:space="preserve"> \* MERGEFORMAT </w:instrText>
            </w:r>
            <w:r w:rsidR="003363E5">
              <w:fldChar w:fldCharType="separate"/>
            </w:r>
            <w:r w:rsidR="0073687F">
              <w:t>4</w:t>
            </w:r>
            <w:r w:rsidR="003363E5">
              <w:fldChar w:fldCharType="end"/>
            </w:r>
            <w:r w:rsidR="005F4A55" w:rsidRPr="005F4A55">
              <w:t xml:space="preserve"> - </w:t>
            </w:r>
            <w:r w:rsidR="005F4A55" w:rsidRPr="009A249B">
              <w:rPr>
                <w:i/>
              </w:rPr>
              <w:fldChar w:fldCharType="begin"/>
            </w:r>
            <w:r w:rsidR="005F4A55" w:rsidRPr="009A249B">
              <w:rPr>
                <w:i/>
              </w:rPr>
              <w:instrText xml:space="preserve"> REF _Ref432514534 \h </w:instrText>
            </w:r>
            <w:r w:rsidR="009A249B">
              <w:rPr>
                <w:i/>
              </w:rPr>
              <w:instrText xml:space="preserve"> \* MERGEFORMAT </w:instrText>
            </w:r>
            <w:r w:rsidR="005F4A55" w:rsidRPr="009A249B">
              <w:rPr>
                <w:i/>
              </w:rPr>
            </w:r>
            <w:r w:rsidR="005F4A55" w:rsidRPr="009A249B">
              <w:rPr>
                <w:i/>
              </w:rPr>
              <w:fldChar w:fldCharType="separate"/>
            </w:r>
            <w:r w:rsidR="0073687F" w:rsidRPr="0073687F">
              <w:rPr>
                <w:i/>
              </w:rPr>
              <w:t>Assigning customers to tariffs - Policies and procedures for</w:t>
            </w:r>
            <w:r w:rsidR="0073687F" w:rsidRPr="008E4BD2">
              <w:t xml:space="preserve"> assignment and reassignment of tariffs</w:t>
            </w:r>
            <w:r w:rsidR="005F4A55" w:rsidRPr="009A249B">
              <w:rPr>
                <w:i/>
              </w:rPr>
              <w:fldChar w:fldCharType="end"/>
            </w:r>
          </w:p>
        </w:tc>
      </w:tr>
      <w:tr w:rsidR="00E01A3B" w14:paraId="67032C8C" w14:textId="77777777" w:rsidTr="00F13D11">
        <w:trPr>
          <w:cnfStyle w:val="000000100000" w:firstRow="0" w:lastRow="0" w:firstColumn="0" w:lastColumn="0" w:oddVBand="0" w:evenVBand="0" w:oddHBand="1" w:evenHBand="0" w:firstRowFirstColumn="0" w:firstRowLastColumn="0" w:lastRowFirstColumn="0" w:lastRowLastColumn="0"/>
        </w:trPr>
        <w:tc>
          <w:tcPr>
            <w:tcW w:w="3856" w:type="dxa"/>
            <w:vAlign w:val="center"/>
          </w:tcPr>
          <w:p w14:paraId="5965E52D" w14:textId="291B7CB3" w:rsidR="00E01A3B" w:rsidRDefault="00E01A3B" w:rsidP="00B50160">
            <w:pPr>
              <w:pStyle w:val="Bodycopytable8pt"/>
            </w:pPr>
            <w:r>
              <w:t>The TSS must include the structures for each tariff</w:t>
            </w:r>
            <w:r w:rsidR="00D45CE4">
              <w:t>.</w:t>
            </w:r>
          </w:p>
        </w:tc>
        <w:tc>
          <w:tcPr>
            <w:tcW w:w="2090" w:type="dxa"/>
            <w:vAlign w:val="center"/>
          </w:tcPr>
          <w:p w14:paraId="3515D21B" w14:textId="0231A0AA" w:rsidR="00E01A3B" w:rsidRDefault="00E01A3B" w:rsidP="00B50160">
            <w:pPr>
              <w:pStyle w:val="Bodycopytable8pt"/>
              <w:jc w:val="center"/>
            </w:pPr>
            <w:r w:rsidRPr="00E01A3B">
              <w:t>6.18.1A(a)(3)</w:t>
            </w:r>
          </w:p>
        </w:tc>
        <w:tc>
          <w:tcPr>
            <w:tcW w:w="4099" w:type="dxa"/>
            <w:vAlign w:val="center"/>
          </w:tcPr>
          <w:p w14:paraId="212A18B9" w14:textId="4CD9A248" w:rsidR="00E01A3B" w:rsidRPr="005F4A55" w:rsidRDefault="004C5EBE" w:rsidP="00F13D11">
            <w:pPr>
              <w:pStyle w:val="Bodycopytable8pt"/>
            </w:pPr>
            <w:r w:rsidRPr="005F4A55">
              <w:t xml:space="preserve">Section </w:t>
            </w:r>
            <w:r w:rsidRPr="005F4A55">
              <w:fldChar w:fldCharType="begin"/>
            </w:r>
            <w:r w:rsidRPr="005F4A55">
              <w:instrText xml:space="preserve"> REF _Ref432421850 \r \h </w:instrText>
            </w:r>
            <w:r w:rsidR="000C1CD9" w:rsidRPr="005F4A55">
              <w:instrText xml:space="preserve"> \* MERGEFORMAT </w:instrText>
            </w:r>
            <w:r w:rsidRPr="005F4A55">
              <w:fldChar w:fldCharType="separate"/>
            </w:r>
            <w:r w:rsidR="0073687F">
              <w:t>4</w:t>
            </w:r>
            <w:r w:rsidRPr="005F4A55">
              <w:fldChar w:fldCharType="end"/>
            </w:r>
            <w:r w:rsidRPr="005F4A55">
              <w:t xml:space="preserve"> - </w:t>
            </w:r>
            <w:r w:rsidRPr="005F4A55">
              <w:fldChar w:fldCharType="begin"/>
            </w:r>
            <w:r w:rsidRPr="005F4A55">
              <w:instrText xml:space="preserve"> REF _Ref432421861 \h </w:instrText>
            </w:r>
            <w:r w:rsidR="000C1CD9" w:rsidRPr="005F4A55">
              <w:instrText xml:space="preserve"> \* MERGEFORMAT </w:instrText>
            </w:r>
            <w:r w:rsidRPr="005F4A55">
              <w:fldChar w:fldCharType="separate"/>
            </w:r>
            <w:r w:rsidR="0073687F">
              <w:t>Our proposed tariff structures</w:t>
            </w:r>
            <w:r w:rsidRPr="005F4A55">
              <w:fldChar w:fldCharType="end"/>
            </w:r>
          </w:p>
        </w:tc>
      </w:tr>
      <w:tr w:rsidR="00E01A3B" w14:paraId="0B05C00F" w14:textId="77777777" w:rsidTr="00F13D11">
        <w:trPr>
          <w:cnfStyle w:val="000000010000" w:firstRow="0" w:lastRow="0" w:firstColumn="0" w:lastColumn="0" w:oddVBand="0" w:evenVBand="0" w:oddHBand="0" w:evenHBand="1" w:firstRowFirstColumn="0" w:firstRowLastColumn="0" w:lastRowFirstColumn="0" w:lastRowLastColumn="0"/>
        </w:trPr>
        <w:tc>
          <w:tcPr>
            <w:tcW w:w="3856" w:type="dxa"/>
            <w:vAlign w:val="center"/>
          </w:tcPr>
          <w:p w14:paraId="7FD0F1AA" w14:textId="504CD018" w:rsidR="00E01A3B" w:rsidRDefault="00E01A3B" w:rsidP="00B50160">
            <w:pPr>
              <w:pStyle w:val="Bodycopytable8pt"/>
            </w:pPr>
            <w:r>
              <w:t>The TSS must include the charging parameters for each tariff</w:t>
            </w:r>
            <w:r w:rsidR="00D45CE4">
              <w:t>.</w:t>
            </w:r>
          </w:p>
        </w:tc>
        <w:tc>
          <w:tcPr>
            <w:tcW w:w="2090" w:type="dxa"/>
            <w:vAlign w:val="center"/>
          </w:tcPr>
          <w:p w14:paraId="0DD3FBCD" w14:textId="5497B3E0" w:rsidR="00E01A3B" w:rsidRDefault="00E01A3B" w:rsidP="00B50160">
            <w:pPr>
              <w:pStyle w:val="Bodycopytable8pt"/>
              <w:jc w:val="center"/>
            </w:pPr>
            <w:r w:rsidRPr="00E01A3B">
              <w:t>6.18.1A(a)(4)</w:t>
            </w:r>
          </w:p>
        </w:tc>
        <w:tc>
          <w:tcPr>
            <w:tcW w:w="4099" w:type="dxa"/>
            <w:vAlign w:val="center"/>
          </w:tcPr>
          <w:p w14:paraId="186F9076" w14:textId="47D497A8" w:rsidR="00E01A3B" w:rsidRPr="005F4A55" w:rsidRDefault="000C1CD9" w:rsidP="00F13D11">
            <w:pPr>
              <w:pStyle w:val="Bodycopytable8pt"/>
            </w:pPr>
            <w:r w:rsidRPr="005F4A55">
              <w:t xml:space="preserve">Section </w:t>
            </w:r>
            <w:r w:rsidRPr="005F4A55">
              <w:fldChar w:fldCharType="begin"/>
            </w:r>
            <w:r w:rsidRPr="005F4A55">
              <w:instrText xml:space="preserve"> REF _Ref432421850 \r \h  \* MERGEFORMAT </w:instrText>
            </w:r>
            <w:r w:rsidRPr="005F4A55">
              <w:fldChar w:fldCharType="separate"/>
            </w:r>
            <w:r w:rsidR="0073687F">
              <w:t>4</w:t>
            </w:r>
            <w:r w:rsidRPr="005F4A55">
              <w:fldChar w:fldCharType="end"/>
            </w:r>
            <w:r w:rsidRPr="005F4A55">
              <w:t xml:space="preserve"> - </w:t>
            </w:r>
            <w:r w:rsidRPr="005F4A55">
              <w:fldChar w:fldCharType="begin"/>
            </w:r>
            <w:r w:rsidRPr="005F4A55">
              <w:instrText xml:space="preserve"> REF _Ref432421850 \h  \* MERGEFORMAT </w:instrText>
            </w:r>
            <w:r w:rsidRPr="005F4A55">
              <w:fldChar w:fldCharType="separate"/>
            </w:r>
            <w:r w:rsidR="0073687F">
              <w:t>Our proposed tariff structures</w:t>
            </w:r>
            <w:r w:rsidRPr="005F4A55">
              <w:fldChar w:fldCharType="end"/>
            </w:r>
          </w:p>
        </w:tc>
      </w:tr>
      <w:tr w:rsidR="00E01A3B" w14:paraId="3B34C88C" w14:textId="77777777" w:rsidTr="00F13D11">
        <w:trPr>
          <w:cnfStyle w:val="000000100000" w:firstRow="0" w:lastRow="0" w:firstColumn="0" w:lastColumn="0" w:oddVBand="0" w:evenVBand="0" w:oddHBand="1" w:evenHBand="0" w:firstRowFirstColumn="0" w:firstRowLastColumn="0" w:lastRowFirstColumn="0" w:lastRowLastColumn="0"/>
        </w:trPr>
        <w:tc>
          <w:tcPr>
            <w:tcW w:w="3856" w:type="dxa"/>
            <w:vAlign w:val="center"/>
          </w:tcPr>
          <w:p w14:paraId="770A7468" w14:textId="6AA02554" w:rsidR="00E01A3B" w:rsidRDefault="00E01A3B" w:rsidP="00B50160">
            <w:pPr>
              <w:pStyle w:val="Bodycopytable8pt"/>
            </w:pPr>
            <w:r>
              <w:t>The TSS must include a description of the approach we will take in setting each tariff in each pricing proposal during the regulatory period</w:t>
            </w:r>
            <w:r w:rsidR="00D45CE4">
              <w:t>.</w:t>
            </w:r>
          </w:p>
        </w:tc>
        <w:tc>
          <w:tcPr>
            <w:tcW w:w="2090" w:type="dxa"/>
            <w:vAlign w:val="center"/>
          </w:tcPr>
          <w:p w14:paraId="67209F62" w14:textId="06192542" w:rsidR="00E01A3B" w:rsidRPr="00E01A3B" w:rsidRDefault="00E01A3B" w:rsidP="00B50160">
            <w:pPr>
              <w:pStyle w:val="Bodycopytable8pt"/>
              <w:jc w:val="center"/>
            </w:pPr>
            <w:r w:rsidRPr="00E01A3B">
              <w:t>6.18.1A(a)(5)</w:t>
            </w:r>
          </w:p>
        </w:tc>
        <w:tc>
          <w:tcPr>
            <w:tcW w:w="4099" w:type="dxa"/>
            <w:vAlign w:val="center"/>
          </w:tcPr>
          <w:p w14:paraId="698F5821" w14:textId="395CEB0A" w:rsidR="00E01A3B" w:rsidRPr="00F13D11" w:rsidRDefault="006D017B" w:rsidP="00F13D11">
            <w:pPr>
              <w:pStyle w:val="Bodycopytable8pt"/>
            </w:pPr>
            <w:r w:rsidRPr="00604870">
              <w:t xml:space="preserve">Section </w:t>
            </w:r>
            <w:r w:rsidR="00F13D11">
              <w:fldChar w:fldCharType="begin"/>
            </w:r>
            <w:r w:rsidR="00F13D11">
              <w:instrText xml:space="preserve"> REF _Ref459630018 \r \h </w:instrText>
            </w:r>
            <w:r w:rsidR="00F13D11">
              <w:fldChar w:fldCharType="separate"/>
            </w:r>
            <w:r w:rsidR="0073687F">
              <w:t>5.2</w:t>
            </w:r>
            <w:r w:rsidR="00F13D11">
              <w:fldChar w:fldCharType="end"/>
            </w:r>
            <w:r w:rsidR="00F13D11">
              <w:t xml:space="preserve"> - </w:t>
            </w:r>
            <w:r w:rsidR="00F13D11">
              <w:fldChar w:fldCharType="begin"/>
            </w:r>
            <w:r w:rsidR="00F13D11">
              <w:instrText xml:space="preserve"> REF _Ref459630028 \h </w:instrText>
            </w:r>
            <w:r w:rsidR="00F13D11">
              <w:fldChar w:fldCharType="separate"/>
            </w:r>
            <w:r w:rsidR="0073687F">
              <w:t>Approach to setting tariffs</w:t>
            </w:r>
            <w:r w:rsidR="00F13D11">
              <w:fldChar w:fldCharType="end"/>
            </w:r>
          </w:p>
        </w:tc>
      </w:tr>
      <w:tr w:rsidR="00A52BA8" w14:paraId="00BF48DB" w14:textId="77777777" w:rsidTr="00F13D11">
        <w:trPr>
          <w:cnfStyle w:val="000000010000" w:firstRow="0" w:lastRow="0" w:firstColumn="0" w:lastColumn="0" w:oddVBand="0" w:evenVBand="0" w:oddHBand="0" w:evenHBand="1" w:firstRowFirstColumn="0" w:firstRowLastColumn="0" w:lastRowFirstColumn="0" w:lastRowLastColumn="0"/>
        </w:trPr>
        <w:tc>
          <w:tcPr>
            <w:tcW w:w="3856" w:type="dxa"/>
            <w:vAlign w:val="center"/>
          </w:tcPr>
          <w:p w14:paraId="4EBAC0D1" w14:textId="0BFF8DBA" w:rsidR="00A52BA8" w:rsidRDefault="00A52BA8" w:rsidP="00B50160">
            <w:pPr>
              <w:pStyle w:val="Bodycopytable8pt"/>
            </w:pPr>
            <w:r>
              <w:t>The TSS must comply with the pricing principles for direct control services</w:t>
            </w:r>
          </w:p>
        </w:tc>
        <w:tc>
          <w:tcPr>
            <w:tcW w:w="2090" w:type="dxa"/>
            <w:vAlign w:val="center"/>
          </w:tcPr>
          <w:p w14:paraId="6D83E16C" w14:textId="65ECD57C" w:rsidR="00A52BA8" w:rsidRPr="00E01A3B" w:rsidRDefault="00A52BA8" w:rsidP="00B50160">
            <w:pPr>
              <w:pStyle w:val="Bodycopytable8pt"/>
              <w:jc w:val="center"/>
            </w:pPr>
            <w:r>
              <w:t>6.18.1(A)(b)</w:t>
            </w:r>
          </w:p>
        </w:tc>
        <w:tc>
          <w:tcPr>
            <w:tcW w:w="4099" w:type="dxa"/>
            <w:vAlign w:val="center"/>
          </w:tcPr>
          <w:p w14:paraId="776BE1B8" w14:textId="23DC2491" w:rsidR="00A52BA8" w:rsidRPr="00604870" w:rsidRDefault="00C41300" w:rsidP="00F13D11">
            <w:pPr>
              <w:pStyle w:val="Bodycopytable8pt"/>
            </w:pPr>
            <w:r>
              <w:t xml:space="preserve">Section </w:t>
            </w:r>
            <w:r>
              <w:fldChar w:fldCharType="begin"/>
            </w:r>
            <w:r>
              <w:instrText xml:space="preserve"> REF _Ref459796674 \r \h </w:instrText>
            </w:r>
            <w:r>
              <w:fldChar w:fldCharType="separate"/>
            </w:r>
            <w:r w:rsidR="0073687F">
              <w:t>5</w:t>
            </w:r>
            <w:r>
              <w:fldChar w:fldCharType="end"/>
            </w:r>
            <w:r>
              <w:t xml:space="preserve"> - </w:t>
            </w:r>
            <w:r>
              <w:fldChar w:fldCharType="begin"/>
            </w:r>
            <w:r>
              <w:instrText xml:space="preserve"> REF _Ref459796680 \h </w:instrText>
            </w:r>
            <w:r>
              <w:fldChar w:fldCharType="separate"/>
            </w:r>
            <w:r w:rsidR="0073687F">
              <w:rPr>
                <w:rFonts w:cs="Arial"/>
                <w:szCs w:val="28"/>
                <w:lang w:val="en-AU"/>
              </w:rPr>
              <w:t>Our Tariff Setting Methodology</w:t>
            </w:r>
            <w:r>
              <w:fldChar w:fldCharType="end"/>
            </w:r>
          </w:p>
        </w:tc>
      </w:tr>
      <w:tr w:rsidR="00FD307B" w14:paraId="4E954649" w14:textId="77777777" w:rsidTr="00F13D11">
        <w:trPr>
          <w:cnfStyle w:val="000000100000" w:firstRow="0" w:lastRow="0" w:firstColumn="0" w:lastColumn="0" w:oddVBand="0" w:evenVBand="0" w:oddHBand="1" w:evenHBand="0" w:firstRowFirstColumn="0" w:firstRowLastColumn="0" w:lastRowFirstColumn="0" w:lastRowLastColumn="0"/>
        </w:trPr>
        <w:tc>
          <w:tcPr>
            <w:tcW w:w="3856" w:type="dxa"/>
            <w:vAlign w:val="center"/>
          </w:tcPr>
          <w:p w14:paraId="1FDE219A" w14:textId="4158681F" w:rsidR="00FD307B" w:rsidRDefault="00FD307B" w:rsidP="00B50160">
            <w:pPr>
              <w:pStyle w:val="Bodycopytable8pt"/>
            </w:pPr>
            <w:r>
              <w:t>A DNSP must comply with the TSS approved by the AER and any other applicable requirements in the Rules, when the provider is setting the prices that may be charged for direct control services</w:t>
            </w:r>
          </w:p>
        </w:tc>
        <w:tc>
          <w:tcPr>
            <w:tcW w:w="2090" w:type="dxa"/>
            <w:vAlign w:val="center"/>
          </w:tcPr>
          <w:p w14:paraId="27BBD056" w14:textId="779F4287" w:rsidR="00FD307B" w:rsidRDefault="00FD307B" w:rsidP="00B50160">
            <w:pPr>
              <w:pStyle w:val="Bodycopytable8pt"/>
              <w:jc w:val="center"/>
            </w:pPr>
            <w:r>
              <w:t>6.18.1(A)(c)</w:t>
            </w:r>
          </w:p>
        </w:tc>
        <w:tc>
          <w:tcPr>
            <w:tcW w:w="4099" w:type="dxa"/>
            <w:vAlign w:val="center"/>
          </w:tcPr>
          <w:p w14:paraId="6B344057" w14:textId="62719EB8" w:rsidR="00FD307B" w:rsidRDefault="00FD307B" w:rsidP="00FD307B">
            <w:pPr>
              <w:pStyle w:val="Bodycopytable8pt"/>
            </w:pPr>
            <w:r>
              <w:t>Not applicable</w:t>
            </w:r>
          </w:p>
        </w:tc>
      </w:tr>
      <w:tr w:rsidR="00FD307B" w14:paraId="39A0BC68" w14:textId="77777777" w:rsidTr="00F13D11">
        <w:trPr>
          <w:cnfStyle w:val="000000010000" w:firstRow="0" w:lastRow="0" w:firstColumn="0" w:lastColumn="0" w:oddVBand="0" w:evenVBand="0" w:oddHBand="0" w:evenHBand="1" w:firstRowFirstColumn="0" w:firstRowLastColumn="0" w:lastRowFirstColumn="0" w:lastRowLastColumn="0"/>
        </w:trPr>
        <w:tc>
          <w:tcPr>
            <w:tcW w:w="3856" w:type="dxa"/>
            <w:vAlign w:val="center"/>
          </w:tcPr>
          <w:p w14:paraId="581B2633" w14:textId="18306A44" w:rsidR="00FD307B" w:rsidRDefault="00FD307B" w:rsidP="00B50160">
            <w:pPr>
              <w:pStyle w:val="Bodycopytable8pt"/>
            </w:pPr>
            <w:r>
              <w:t>Subject to clause 6.18.1B, a TSS may not be amended during a regulatory control period</w:t>
            </w:r>
          </w:p>
        </w:tc>
        <w:tc>
          <w:tcPr>
            <w:tcW w:w="2090" w:type="dxa"/>
            <w:vAlign w:val="center"/>
          </w:tcPr>
          <w:p w14:paraId="24955D01" w14:textId="1469705F" w:rsidR="00FD307B" w:rsidRDefault="00FD307B" w:rsidP="00B50160">
            <w:pPr>
              <w:pStyle w:val="Bodycopytable8pt"/>
              <w:jc w:val="center"/>
            </w:pPr>
            <w:r>
              <w:t>6.18.1(a)(d)</w:t>
            </w:r>
          </w:p>
        </w:tc>
        <w:tc>
          <w:tcPr>
            <w:tcW w:w="4099" w:type="dxa"/>
            <w:vAlign w:val="center"/>
          </w:tcPr>
          <w:p w14:paraId="111DA71D" w14:textId="2C08B2CC" w:rsidR="00FD307B" w:rsidRDefault="00FD307B" w:rsidP="00F13D11">
            <w:pPr>
              <w:pStyle w:val="Bodycopytable8pt"/>
            </w:pPr>
            <w:r>
              <w:t>Not applicable</w:t>
            </w:r>
          </w:p>
        </w:tc>
      </w:tr>
      <w:tr w:rsidR="00A52BA8" w14:paraId="33A45B2F" w14:textId="77777777" w:rsidTr="00F13D11">
        <w:trPr>
          <w:cnfStyle w:val="000000100000" w:firstRow="0" w:lastRow="0" w:firstColumn="0" w:lastColumn="0" w:oddVBand="0" w:evenVBand="0" w:oddHBand="1" w:evenHBand="0" w:firstRowFirstColumn="0" w:firstRowLastColumn="0" w:lastRowFirstColumn="0" w:lastRowLastColumn="0"/>
        </w:trPr>
        <w:tc>
          <w:tcPr>
            <w:tcW w:w="3856" w:type="dxa"/>
            <w:vAlign w:val="center"/>
          </w:tcPr>
          <w:p w14:paraId="0769B924" w14:textId="3A161696" w:rsidR="00A52BA8" w:rsidRDefault="00A52BA8" w:rsidP="00A52BA8">
            <w:pPr>
              <w:pStyle w:val="Bodycopytable8pt"/>
            </w:pPr>
            <w:r>
              <w:t>The TSS must be accompanied by an indicative pricing schedule.</w:t>
            </w:r>
          </w:p>
        </w:tc>
        <w:tc>
          <w:tcPr>
            <w:tcW w:w="2090" w:type="dxa"/>
            <w:vAlign w:val="center"/>
          </w:tcPr>
          <w:p w14:paraId="7DF05A10" w14:textId="5C7F6123" w:rsidR="00A52BA8" w:rsidRDefault="00A52BA8" w:rsidP="00A52BA8">
            <w:pPr>
              <w:pStyle w:val="Bodycopytable8pt"/>
              <w:jc w:val="center"/>
            </w:pPr>
            <w:r w:rsidRPr="00E01A3B">
              <w:t>6.18.1A(e)</w:t>
            </w:r>
          </w:p>
        </w:tc>
        <w:tc>
          <w:tcPr>
            <w:tcW w:w="4099" w:type="dxa"/>
            <w:vAlign w:val="center"/>
          </w:tcPr>
          <w:p w14:paraId="29DF3A85" w14:textId="70F14018" w:rsidR="00A52BA8" w:rsidRPr="005F4A55" w:rsidRDefault="00A52BA8" w:rsidP="00A52BA8">
            <w:pPr>
              <w:pStyle w:val="Bodycopytable8pt"/>
            </w:pPr>
            <w:r w:rsidRPr="005F4A55">
              <w:t xml:space="preserve">Attachment 2 - </w:t>
            </w:r>
            <w:r w:rsidRPr="000A2E93">
              <w:rPr>
                <w:i/>
              </w:rPr>
              <w:fldChar w:fldCharType="begin"/>
            </w:r>
            <w:r w:rsidRPr="000A2E93">
              <w:rPr>
                <w:i/>
              </w:rPr>
              <w:instrText xml:space="preserve"> REF _Ref432488644 \h  \* MERGEFORMAT </w:instrText>
            </w:r>
            <w:r w:rsidRPr="000A2E93">
              <w:rPr>
                <w:i/>
              </w:rPr>
            </w:r>
            <w:r w:rsidRPr="000A2E93">
              <w:rPr>
                <w:i/>
              </w:rPr>
              <w:fldChar w:fldCharType="separate"/>
            </w:r>
            <w:r w:rsidR="0073687F" w:rsidRPr="0073687F">
              <w:rPr>
                <w:i/>
              </w:rPr>
              <w:t>Indicative NUOS Pricing Schedule</w:t>
            </w:r>
            <w:r w:rsidRPr="000A2E93">
              <w:rPr>
                <w:i/>
              </w:rPr>
              <w:fldChar w:fldCharType="end"/>
            </w:r>
            <w:r w:rsidRPr="005F4A55">
              <w:t xml:space="preserve"> (for Standard Control Services); and</w:t>
            </w:r>
          </w:p>
          <w:p w14:paraId="08BC1CAA" w14:textId="7F901E23" w:rsidR="00A52BA8" w:rsidRPr="00604870" w:rsidRDefault="00A52BA8" w:rsidP="00A52BA8">
            <w:pPr>
              <w:pStyle w:val="Bodycopytable8pt"/>
            </w:pPr>
            <w:r>
              <w:t xml:space="preserve">Attachment </w:t>
            </w:r>
            <w:r>
              <w:fldChar w:fldCharType="begin"/>
            </w:r>
            <w:r>
              <w:instrText xml:space="preserve"> REF _Ref432488667 \r \h  \* MERGEFORMAT </w:instrText>
            </w:r>
            <w:r>
              <w:fldChar w:fldCharType="separate"/>
            </w:r>
            <w:r w:rsidR="0073687F">
              <w:t>5</w:t>
            </w:r>
            <w:r>
              <w:fldChar w:fldCharType="end"/>
            </w:r>
            <w:r w:rsidRPr="005F4A55">
              <w:t xml:space="preserve"> - </w:t>
            </w:r>
            <w:r w:rsidRPr="000A2E93">
              <w:rPr>
                <w:i/>
              </w:rPr>
              <w:fldChar w:fldCharType="begin"/>
            </w:r>
            <w:r w:rsidRPr="000A2E93">
              <w:rPr>
                <w:i/>
              </w:rPr>
              <w:instrText xml:space="preserve"> REF _Ref432488667 \h  \* MERGEFORMAT </w:instrText>
            </w:r>
            <w:r w:rsidRPr="000A2E93">
              <w:rPr>
                <w:i/>
              </w:rPr>
            </w:r>
            <w:r w:rsidRPr="000A2E93">
              <w:rPr>
                <w:i/>
              </w:rPr>
              <w:fldChar w:fldCharType="separate"/>
            </w:r>
            <w:r w:rsidR="0073687F" w:rsidRPr="0073687F">
              <w:rPr>
                <w:i/>
              </w:rPr>
              <w:t>Alternative Control Pricing Schedule</w:t>
            </w:r>
            <w:r w:rsidRPr="000A2E93">
              <w:rPr>
                <w:i/>
              </w:rPr>
              <w:fldChar w:fldCharType="end"/>
            </w:r>
          </w:p>
        </w:tc>
      </w:tr>
    </w:tbl>
    <w:p w14:paraId="78170FCC" w14:textId="04A8EBC7" w:rsidR="00A21902" w:rsidRDefault="00A21902" w:rsidP="00A21902">
      <w:pPr>
        <w:pStyle w:val="Heading1"/>
      </w:pPr>
      <w:bookmarkStart w:id="76" w:name="_Toc458682002"/>
      <w:bookmarkStart w:id="77" w:name="_Toc458683239"/>
      <w:bookmarkStart w:id="78" w:name="_Toc458685826"/>
      <w:bookmarkStart w:id="79" w:name="_Toc458682003"/>
      <w:bookmarkStart w:id="80" w:name="_Toc458683240"/>
      <w:bookmarkStart w:id="81" w:name="_Toc458685827"/>
      <w:bookmarkStart w:id="82" w:name="_Toc458682004"/>
      <w:bookmarkStart w:id="83" w:name="_Toc458683241"/>
      <w:bookmarkStart w:id="84" w:name="_Toc458685828"/>
      <w:bookmarkStart w:id="85" w:name="_Toc458682005"/>
      <w:bookmarkStart w:id="86" w:name="_Toc458683242"/>
      <w:bookmarkStart w:id="87" w:name="_Toc458685829"/>
      <w:bookmarkStart w:id="88" w:name="_Toc458682007"/>
      <w:bookmarkStart w:id="89" w:name="_Toc458683244"/>
      <w:bookmarkStart w:id="90" w:name="_Toc458685831"/>
      <w:bookmarkStart w:id="91" w:name="_Toc458682008"/>
      <w:bookmarkStart w:id="92" w:name="_Toc458683245"/>
      <w:bookmarkStart w:id="93" w:name="_Toc458685832"/>
      <w:bookmarkStart w:id="94" w:name="_Toc458682009"/>
      <w:bookmarkStart w:id="95" w:name="_Toc458683246"/>
      <w:bookmarkStart w:id="96" w:name="_Toc458685833"/>
      <w:bookmarkStart w:id="97" w:name="_Toc458682010"/>
      <w:bookmarkStart w:id="98" w:name="_Toc458683247"/>
      <w:bookmarkStart w:id="99" w:name="_Toc458685834"/>
      <w:bookmarkStart w:id="100" w:name="_Toc458682011"/>
      <w:bookmarkStart w:id="101" w:name="_Toc458683248"/>
      <w:bookmarkStart w:id="102" w:name="_Toc458685835"/>
      <w:bookmarkStart w:id="103" w:name="_Toc458682014"/>
      <w:bookmarkStart w:id="104" w:name="_Toc458683251"/>
      <w:bookmarkStart w:id="105" w:name="_Toc458685838"/>
      <w:bookmarkStart w:id="106" w:name="_Toc458682015"/>
      <w:bookmarkStart w:id="107" w:name="_Toc458683252"/>
      <w:bookmarkStart w:id="108" w:name="_Toc458685839"/>
      <w:bookmarkStart w:id="109" w:name="_Toc458682016"/>
      <w:bookmarkStart w:id="110" w:name="_Toc458683253"/>
      <w:bookmarkStart w:id="111" w:name="_Toc458685840"/>
      <w:bookmarkStart w:id="112" w:name="_Toc458682017"/>
      <w:bookmarkStart w:id="113" w:name="_Toc458683254"/>
      <w:bookmarkStart w:id="114" w:name="_Toc458685841"/>
      <w:bookmarkStart w:id="115" w:name="_Toc458682018"/>
      <w:bookmarkStart w:id="116" w:name="_Toc458683255"/>
      <w:bookmarkStart w:id="117" w:name="_Toc458685842"/>
      <w:bookmarkStart w:id="118" w:name="_Toc458682019"/>
      <w:bookmarkStart w:id="119" w:name="_Toc458683256"/>
      <w:bookmarkStart w:id="120" w:name="_Toc458685843"/>
      <w:bookmarkStart w:id="121" w:name="_Toc458682020"/>
      <w:bookmarkStart w:id="122" w:name="_Toc458683257"/>
      <w:bookmarkStart w:id="123" w:name="_Toc458685844"/>
      <w:bookmarkStart w:id="124" w:name="_Toc458682021"/>
      <w:bookmarkStart w:id="125" w:name="_Toc458683258"/>
      <w:bookmarkStart w:id="126" w:name="_Toc458685845"/>
      <w:bookmarkStart w:id="127" w:name="_Toc458682022"/>
      <w:bookmarkStart w:id="128" w:name="_Toc458683259"/>
      <w:bookmarkStart w:id="129" w:name="_Toc458685846"/>
      <w:bookmarkStart w:id="130" w:name="_Toc458682023"/>
      <w:bookmarkStart w:id="131" w:name="_Toc458683260"/>
      <w:bookmarkStart w:id="132" w:name="_Toc458685847"/>
      <w:bookmarkStart w:id="133" w:name="_Toc458682024"/>
      <w:bookmarkStart w:id="134" w:name="_Toc458683261"/>
      <w:bookmarkStart w:id="135" w:name="_Toc458685848"/>
      <w:bookmarkStart w:id="136" w:name="_Toc458682025"/>
      <w:bookmarkStart w:id="137" w:name="_Toc458683262"/>
      <w:bookmarkStart w:id="138" w:name="_Toc458685849"/>
      <w:bookmarkStart w:id="139" w:name="_Toc458682026"/>
      <w:bookmarkStart w:id="140" w:name="_Toc458683263"/>
      <w:bookmarkStart w:id="141" w:name="_Toc458685850"/>
      <w:bookmarkStart w:id="142" w:name="_Toc458682027"/>
      <w:bookmarkStart w:id="143" w:name="_Toc458683264"/>
      <w:bookmarkStart w:id="144" w:name="_Toc458685851"/>
      <w:bookmarkStart w:id="145" w:name="_Toc458682028"/>
      <w:bookmarkStart w:id="146" w:name="_Toc458683265"/>
      <w:bookmarkStart w:id="147" w:name="_Toc458685852"/>
      <w:bookmarkStart w:id="148" w:name="_Toc458682029"/>
      <w:bookmarkStart w:id="149" w:name="_Toc458683266"/>
      <w:bookmarkStart w:id="150" w:name="_Toc458685853"/>
      <w:bookmarkStart w:id="151" w:name="_Toc458682030"/>
      <w:bookmarkStart w:id="152" w:name="_Toc458683267"/>
      <w:bookmarkStart w:id="153" w:name="_Toc458685854"/>
      <w:bookmarkStart w:id="154" w:name="_Toc458682031"/>
      <w:bookmarkStart w:id="155" w:name="_Toc458683268"/>
      <w:bookmarkStart w:id="156" w:name="_Toc458685855"/>
      <w:bookmarkStart w:id="157" w:name="_Toc458682032"/>
      <w:bookmarkStart w:id="158" w:name="_Toc458683269"/>
      <w:bookmarkStart w:id="159" w:name="_Toc458685856"/>
      <w:bookmarkStart w:id="160" w:name="_Toc458682033"/>
      <w:bookmarkStart w:id="161" w:name="_Toc458683270"/>
      <w:bookmarkStart w:id="162" w:name="_Toc458685857"/>
      <w:bookmarkStart w:id="163" w:name="_Toc458682034"/>
      <w:bookmarkStart w:id="164" w:name="_Toc458683271"/>
      <w:bookmarkStart w:id="165" w:name="_Toc458685858"/>
      <w:bookmarkStart w:id="166" w:name="_Toc458682035"/>
      <w:bookmarkStart w:id="167" w:name="_Toc458683272"/>
      <w:bookmarkStart w:id="168" w:name="_Toc458685859"/>
      <w:bookmarkStart w:id="169" w:name="_Toc458682036"/>
      <w:bookmarkStart w:id="170" w:name="_Toc458683273"/>
      <w:bookmarkStart w:id="171" w:name="_Toc458685860"/>
      <w:bookmarkStart w:id="172" w:name="_Toc458682037"/>
      <w:bookmarkStart w:id="173" w:name="_Toc458683274"/>
      <w:bookmarkStart w:id="174" w:name="_Toc458685861"/>
      <w:bookmarkStart w:id="175" w:name="_Toc458682039"/>
      <w:bookmarkStart w:id="176" w:name="_Toc458683276"/>
      <w:bookmarkStart w:id="177" w:name="_Toc458685863"/>
      <w:bookmarkStart w:id="178" w:name="_Toc458682040"/>
      <w:bookmarkStart w:id="179" w:name="_Toc458683277"/>
      <w:bookmarkStart w:id="180" w:name="_Toc458685864"/>
      <w:bookmarkStart w:id="181" w:name="_Toc458682050"/>
      <w:bookmarkStart w:id="182" w:name="_Toc458683287"/>
      <w:bookmarkStart w:id="183" w:name="_Toc458685874"/>
      <w:bookmarkStart w:id="184" w:name="_Toc458682062"/>
      <w:bookmarkStart w:id="185" w:name="_Toc458683299"/>
      <w:bookmarkStart w:id="186" w:name="_Toc458685886"/>
      <w:bookmarkStart w:id="187" w:name="_Toc458682069"/>
      <w:bookmarkStart w:id="188" w:name="_Toc458683306"/>
      <w:bookmarkStart w:id="189" w:name="_Toc458685893"/>
      <w:bookmarkStart w:id="190" w:name="_Toc458682080"/>
      <w:bookmarkStart w:id="191" w:name="_Toc458683317"/>
      <w:bookmarkStart w:id="192" w:name="_Toc458685904"/>
      <w:bookmarkStart w:id="193" w:name="_Toc458682091"/>
      <w:bookmarkStart w:id="194" w:name="_Toc458683328"/>
      <w:bookmarkStart w:id="195" w:name="_Toc458685915"/>
      <w:bookmarkStart w:id="196" w:name="_Toc458682098"/>
      <w:bookmarkStart w:id="197" w:name="_Toc458683335"/>
      <w:bookmarkStart w:id="198" w:name="_Toc458685922"/>
      <w:bookmarkStart w:id="199" w:name="_Toc458682108"/>
      <w:bookmarkStart w:id="200" w:name="_Toc458683345"/>
      <w:bookmarkStart w:id="201" w:name="_Toc458685932"/>
      <w:bookmarkStart w:id="202" w:name="_Toc458682116"/>
      <w:bookmarkStart w:id="203" w:name="_Toc458683353"/>
      <w:bookmarkStart w:id="204" w:name="_Toc458685940"/>
      <w:bookmarkStart w:id="205" w:name="_Toc458682120"/>
      <w:bookmarkStart w:id="206" w:name="_Toc458683357"/>
      <w:bookmarkStart w:id="207" w:name="_Toc458685944"/>
      <w:bookmarkStart w:id="208" w:name="_Toc458682130"/>
      <w:bookmarkStart w:id="209" w:name="_Toc458683367"/>
      <w:bookmarkStart w:id="210" w:name="_Toc458685954"/>
      <w:bookmarkStart w:id="211" w:name="_Toc458682137"/>
      <w:bookmarkStart w:id="212" w:name="_Toc458683374"/>
      <w:bookmarkStart w:id="213" w:name="_Toc458685961"/>
      <w:bookmarkStart w:id="214" w:name="_Toc458682145"/>
      <w:bookmarkStart w:id="215" w:name="_Toc458683382"/>
      <w:bookmarkStart w:id="216" w:name="_Toc458685969"/>
      <w:bookmarkStart w:id="217" w:name="_Toc458682152"/>
      <w:bookmarkStart w:id="218" w:name="_Toc458683389"/>
      <w:bookmarkStart w:id="219" w:name="_Toc458685976"/>
      <w:bookmarkStart w:id="220" w:name="_Toc458682160"/>
      <w:bookmarkStart w:id="221" w:name="_Toc458683397"/>
      <w:bookmarkStart w:id="222" w:name="_Toc458685984"/>
      <w:bookmarkStart w:id="223" w:name="_Toc458682167"/>
      <w:bookmarkStart w:id="224" w:name="_Toc458683404"/>
      <w:bookmarkStart w:id="225" w:name="_Toc458685991"/>
      <w:bookmarkStart w:id="226" w:name="_Toc458682171"/>
      <w:bookmarkStart w:id="227" w:name="_Toc458683408"/>
      <w:bookmarkStart w:id="228" w:name="_Toc458685995"/>
      <w:bookmarkStart w:id="229" w:name="_Toc458682172"/>
      <w:bookmarkStart w:id="230" w:name="_Toc458683409"/>
      <w:bookmarkStart w:id="231" w:name="_Toc458685996"/>
      <w:bookmarkStart w:id="232" w:name="_Toc458682181"/>
      <w:bookmarkStart w:id="233" w:name="_Toc458683418"/>
      <w:bookmarkStart w:id="234" w:name="_Toc458686005"/>
      <w:bookmarkStart w:id="235" w:name="_Toc458682188"/>
      <w:bookmarkStart w:id="236" w:name="_Toc458683425"/>
      <w:bookmarkStart w:id="237" w:name="_Toc458686012"/>
      <w:bookmarkStart w:id="238" w:name="_Toc458682196"/>
      <w:bookmarkStart w:id="239" w:name="_Toc458683433"/>
      <w:bookmarkStart w:id="240" w:name="_Toc458686020"/>
      <w:bookmarkStart w:id="241" w:name="_Toc458682203"/>
      <w:bookmarkStart w:id="242" w:name="_Toc458683440"/>
      <w:bookmarkStart w:id="243" w:name="_Toc458686027"/>
      <w:bookmarkStart w:id="244" w:name="_Toc458682207"/>
      <w:bookmarkStart w:id="245" w:name="_Toc458683444"/>
      <w:bookmarkStart w:id="246" w:name="_Toc458686031"/>
      <w:bookmarkStart w:id="247" w:name="_Toc458682217"/>
      <w:bookmarkStart w:id="248" w:name="_Toc458683454"/>
      <w:bookmarkStart w:id="249" w:name="_Toc458686041"/>
      <w:bookmarkStart w:id="250" w:name="_Toc458682224"/>
      <w:bookmarkStart w:id="251" w:name="_Toc458683461"/>
      <w:bookmarkStart w:id="252" w:name="_Toc458686048"/>
      <w:bookmarkStart w:id="253" w:name="_Toc458682232"/>
      <w:bookmarkStart w:id="254" w:name="_Toc458683469"/>
      <w:bookmarkStart w:id="255" w:name="_Toc458686056"/>
      <w:bookmarkStart w:id="256" w:name="_Toc458682242"/>
      <w:bookmarkStart w:id="257" w:name="_Toc458683479"/>
      <w:bookmarkStart w:id="258" w:name="_Toc458686066"/>
      <w:bookmarkStart w:id="259" w:name="_Toc458682253"/>
      <w:bookmarkStart w:id="260" w:name="_Toc458683490"/>
      <w:bookmarkStart w:id="261" w:name="_Toc458686077"/>
      <w:bookmarkStart w:id="262" w:name="_Toc458682254"/>
      <w:bookmarkStart w:id="263" w:name="_Toc458683491"/>
      <w:bookmarkStart w:id="264" w:name="_Toc458686078"/>
      <w:bookmarkStart w:id="265" w:name="_Toc458682255"/>
      <w:bookmarkStart w:id="266" w:name="_Toc458683492"/>
      <w:bookmarkStart w:id="267" w:name="_Toc458686079"/>
      <w:bookmarkStart w:id="268" w:name="_Toc458682256"/>
      <w:bookmarkStart w:id="269" w:name="_Toc458683493"/>
      <w:bookmarkStart w:id="270" w:name="_Toc458686080"/>
      <w:bookmarkStart w:id="271" w:name="_Toc458682258"/>
      <w:bookmarkStart w:id="272" w:name="_Toc458683495"/>
      <w:bookmarkStart w:id="273" w:name="_Toc458686082"/>
      <w:bookmarkStart w:id="274" w:name="_Toc458682260"/>
      <w:bookmarkStart w:id="275" w:name="_Toc458683497"/>
      <w:bookmarkStart w:id="276" w:name="_Toc458686084"/>
      <w:bookmarkStart w:id="277" w:name="_Toc458682267"/>
      <w:bookmarkStart w:id="278" w:name="_Toc458683504"/>
      <w:bookmarkStart w:id="279" w:name="_Toc458686091"/>
      <w:bookmarkStart w:id="280" w:name="_Toc458682268"/>
      <w:bookmarkStart w:id="281" w:name="_Toc458683505"/>
      <w:bookmarkStart w:id="282" w:name="_Toc458686092"/>
      <w:bookmarkStart w:id="283" w:name="_Toc458682284"/>
      <w:bookmarkStart w:id="284" w:name="_Toc458683521"/>
      <w:bookmarkStart w:id="285" w:name="_Toc458686108"/>
      <w:bookmarkStart w:id="286" w:name="_Toc458682285"/>
      <w:bookmarkStart w:id="287" w:name="_Toc458683522"/>
      <w:bookmarkStart w:id="288" w:name="_Toc458686109"/>
      <w:bookmarkStart w:id="289" w:name="_Toc432519544"/>
      <w:bookmarkStart w:id="290" w:name="_Toc432520158"/>
      <w:bookmarkStart w:id="291" w:name="_Toc432516535"/>
      <w:bookmarkStart w:id="292" w:name="_Toc432519545"/>
      <w:bookmarkStart w:id="293" w:name="_Toc432520159"/>
      <w:bookmarkStart w:id="294" w:name="_Toc458682289"/>
      <w:bookmarkStart w:id="295" w:name="_Toc458683526"/>
      <w:bookmarkStart w:id="296" w:name="_Toc458686113"/>
      <w:bookmarkStart w:id="297" w:name="_Toc458682291"/>
      <w:bookmarkStart w:id="298" w:name="_Toc458683528"/>
      <w:bookmarkStart w:id="299" w:name="_Toc458686115"/>
      <w:bookmarkStart w:id="300" w:name="_Toc458682295"/>
      <w:bookmarkStart w:id="301" w:name="_Toc458683532"/>
      <w:bookmarkStart w:id="302" w:name="_Toc458686119"/>
      <w:bookmarkStart w:id="303" w:name="_Toc458682299"/>
      <w:bookmarkStart w:id="304" w:name="_Toc458683536"/>
      <w:bookmarkStart w:id="305" w:name="_Toc458686123"/>
      <w:bookmarkStart w:id="306" w:name="_Toc458682300"/>
      <w:bookmarkStart w:id="307" w:name="_Toc458683537"/>
      <w:bookmarkStart w:id="308" w:name="_Toc458686124"/>
      <w:bookmarkStart w:id="309" w:name="_Toc458682302"/>
      <w:bookmarkStart w:id="310" w:name="_Toc458683539"/>
      <w:bookmarkStart w:id="311" w:name="_Toc458686126"/>
      <w:bookmarkStart w:id="312" w:name="_Toc458682352"/>
      <w:bookmarkStart w:id="313" w:name="_Toc458683589"/>
      <w:bookmarkStart w:id="314" w:name="_Toc458686176"/>
      <w:bookmarkStart w:id="315" w:name="_Toc458682368"/>
      <w:bookmarkStart w:id="316" w:name="_Toc458683605"/>
      <w:bookmarkStart w:id="317" w:name="_Toc458686192"/>
      <w:bookmarkStart w:id="318" w:name="_Toc458682371"/>
      <w:bookmarkStart w:id="319" w:name="_Toc458683608"/>
      <w:bookmarkStart w:id="320" w:name="_Toc458686195"/>
      <w:bookmarkStart w:id="321" w:name="_Toc458682372"/>
      <w:bookmarkStart w:id="322" w:name="_Toc458683609"/>
      <w:bookmarkStart w:id="323" w:name="_Toc458686196"/>
      <w:bookmarkStart w:id="324" w:name="_Toc458682373"/>
      <w:bookmarkStart w:id="325" w:name="_Toc458683610"/>
      <w:bookmarkStart w:id="326" w:name="_Toc458686197"/>
      <w:bookmarkStart w:id="327" w:name="_Toc458682376"/>
      <w:bookmarkStart w:id="328" w:name="_Toc458683613"/>
      <w:bookmarkStart w:id="329" w:name="_Toc458686200"/>
      <w:bookmarkStart w:id="330" w:name="_Toc458682380"/>
      <w:bookmarkStart w:id="331" w:name="_Toc458683617"/>
      <w:bookmarkStart w:id="332" w:name="_Toc458686204"/>
      <w:bookmarkStart w:id="333" w:name="_Toc458682381"/>
      <w:bookmarkStart w:id="334" w:name="_Toc458683618"/>
      <w:bookmarkStart w:id="335" w:name="_Toc458686205"/>
      <w:bookmarkStart w:id="336" w:name="_Toc458682396"/>
      <w:bookmarkStart w:id="337" w:name="_Toc458683633"/>
      <w:bookmarkStart w:id="338" w:name="_Toc458686220"/>
      <w:bookmarkStart w:id="339" w:name="_Toc458682399"/>
      <w:bookmarkStart w:id="340" w:name="_Toc458683636"/>
      <w:bookmarkStart w:id="341" w:name="_Toc458686223"/>
      <w:bookmarkStart w:id="342" w:name="_Toc458682404"/>
      <w:bookmarkStart w:id="343" w:name="_Toc458683641"/>
      <w:bookmarkStart w:id="344" w:name="_Toc458686228"/>
      <w:bookmarkStart w:id="345" w:name="_Toc458682411"/>
      <w:bookmarkStart w:id="346" w:name="_Toc458683648"/>
      <w:bookmarkStart w:id="347" w:name="_Toc458686235"/>
      <w:bookmarkStart w:id="348" w:name="_Toc458682413"/>
      <w:bookmarkStart w:id="349" w:name="_Toc458683650"/>
      <w:bookmarkStart w:id="350" w:name="_Toc458686237"/>
      <w:bookmarkStart w:id="351" w:name="_Toc458682416"/>
      <w:bookmarkStart w:id="352" w:name="_Toc458683653"/>
      <w:bookmarkStart w:id="353" w:name="_Toc458686240"/>
      <w:bookmarkStart w:id="354" w:name="_Toc458682418"/>
      <w:bookmarkStart w:id="355" w:name="_Toc458683655"/>
      <w:bookmarkStart w:id="356" w:name="_Toc458686242"/>
      <w:bookmarkStart w:id="357" w:name="_Toc458682420"/>
      <w:bookmarkStart w:id="358" w:name="_Toc458683657"/>
      <w:bookmarkStart w:id="359" w:name="_Toc458686244"/>
      <w:bookmarkStart w:id="360" w:name="_Toc458682421"/>
      <w:bookmarkStart w:id="361" w:name="_Toc458683658"/>
      <w:bookmarkStart w:id="362" w:name="_Toc458686245"/>
      <w:bookmarkStart w:id="363" w:name="_Toc458682425"/>
      <w:bookmarkStart w:id="364" w:name="_Toc458683662"/>
      <w:bookmarkStart w:id="365" w:name="_Toc458686249"/>
      <w:bookmarkStart w:id="366" w:name="_Toc458682426"/>
      <w:bookmarkStart w:id="367" w:name="_Toc458683663"/>
      <w:bookmarkStart w:id="368" w:name="_Toc458686250"/>
      <w:bookmarkStart w:id="369" w:name="_Toc458682433"/>
      <w:bookmarkStart w:id="370" w:name="_Toc458683670"/>
      <w:bookmarkStart w:id="371" w:name="_Toc458686257"/>
      <w:bookmarkStart w:id="372" w:name="_Toc458682435"/>
      <w:bookmarkStart w:id="373" w:name="_Toc458683672"/>
      <w:bookmarkStart w:id="374" w:name="_Toc458686259"/>
      <w:bookmarkStart w:id="375" w:name="_Toc458682436"/>
      <w:bookmarkStart w:id="376" w:name="_Toc458683673"/>
      <w:bookmarkStart w:id="377" w:name="_Toc458686260"/>
      <w:bookmarkStart w:id="378" w:name="_Toc458682437"/>
      <w:bookmarkStart w:id="379" w:name="_Toc458683674"/>
      <w:bookmarkStart w:id="380" w:name="_Toc458686261"/>
      <w:bookmarkStart w:id="381" w:name="_Toc458682438"/>
      <w:bookmarkStart w:id="382" w:name="_Toc458683675"/>
      <w:bookmarkStart w:id="383" w:name="_Toc458686262"/>
      <w:bookmarkStart w:id="384" w:name="_Toc458682484"/>
      <w:bookmarkStart w:id="385" w:name="_Toc458683721"/>
      <w:bookmarkStart w:id="386" w:name="_Toc458686308"/>
      <w:bookmarkStart w:id="387" w:name="_Ref430015147"/>
      <w:bookmarkStart w:id="388" w:name="_Toc458682490"/>
      <w:bookmarkStart w:id="389" w:name="_Toc458683727"/>
      <w:bookmarkStart w:id="390" w:name="_Toc458686314"/>
      <w:bookmarkStart w:id="391" w:name="_Toc458682495"/>
      <w:bookmarkStart w:id="392" w:name="_Toc458683732"/>
      <w:bookmarkStart w:id="393" w:name="_Toc458686319"/>
      <w:bookmarkStart w:id="394" w:name="_Toc458682496"/>
      <w:bookmarkStart w:id="395" w:name="_Toc458683733"/>
      <w:bookmarkStart w:id="396" w:name="_Toc458686320"/>
      <w:bookmarkStart w:id="397" w:name="_Toc458682497"/>
      <w:bookmarkStart w:id="398" w:name="_Toc458683734"/>
      <w:bookmarkStart w:id="399" w:name="_Toc458686321"/>
      <w:bookmarkStart w:id="400" w:name="_Toc458682500"/>
      <w:bookmarkStart w:id="401" w:name="_Toc458683737"/>
      <w:bookmarkStart w:id="402" w:name="_Toc458686324"/>
      <w:bookmarkStart w:id="403" w:name="_Toc458682501"/>
      <w:bookmarkStart w:id="404" w:name="_Toc458683738"/>
      <w:bookmarkStart w:id="405" w:name="_Toc458686325"/>
      <w:bookmarkStart w:id="406" w:name="_Toc458682502"/>
      <w:bookmarkStart w:id="407" w:name="_Toc458683739"/>
      <w:bookmarkStart w:id="408" w:name="_Toc458686326"/>
      <w:bookmarkStart w:id="409" w:name="_Toc458682503"/>
      <w:bookmarkStart w:id="410" w:name="_Toc458683740"/>
      <w:bookmarkStart w:id="411" w:name="_Toc458686327"/>
      <w:bookmarkStart w:id="412" w:name="_Toc458682504"/>
      <w:bookmarkStart w:id="413" w:name="_Toc458683741"/>
      <w:bookmarkStart w:id="414" w:name="_Toc458686328"/>
      <w:bookmarkStart w:id="415" w:name="_Toc458682505"/>
      <w:bookmarkStart w:id="416" w:name="_Toc458683742"/>
      <w:bookmarkStart w:id="417" w:name="_Toc458686329"/>
      <w:bookmarkStart w:id="418" w:name="_Toc458682506"/>
      <w:bookmarkStart w:id="419" w:name="_Toc458683743"/>
      <w:bookmarkStart w:id="420" w:name="_Toc458686330"/>
      <w:bookmarkStart w:id="421" w:name="_Toc458682507"/>
      <w:bookmarkStart w:id="422" w:name="_Toc458683744"/>
      <w:bookmarkStart w:id="423" w:name="_Toc458686331"/>
      <w:bookmarkStart w:id="424" w:name="_Toc458682513"/>
      <w:bookmarkStart w:id="425" w:name="_Toc458683750"/>
      <w:bookmarkStart w:id="426" w:name="_Toc458686337"/>
      <w:bookmarkStart w:id="427" w:name="_Toc458682518"/>
      <w:bookmarkStart w:id="428" w:name="_Toc458683755"/>
      <w:bookmarkStart w:id="429" w:name="_Toc458686342"/>
      <w:bookmarkStart w:id="430" w:name="_Toc458682532"/>
      <w:bookmarkStart w:id="431" w:name="_Toc458683769"/>
      <w:bookmarkStart w:id="432" w:name="_Toc458686356"/>
      <w:bookmarkStart w:id="433" w:name="_Toc458682536"/>
      <w:bookmarkStart w:id="434" w:name="_Toc458683773"/>
      <w:bookmarkStart w:id="435" w:name="_Toc458686360"/>
      <w:bookmarkStart w:id="436" w:name="_Toc458682537"/>
      <w:bookmarkStart w:id="437" w:name="_Toc458683774"/>
      <w:bookmarkStart w:id="438" w:name="_Toc458686361"/>
      <w:bookmarkStart w:id="439" w:name="_Toc458682553"/>
      <w:bookmarkStart w:id="440" w:name="_Toc458683790"/>
      <w:bookmarkStart w:id="441" w:name="_Toc458686377"/>
      <w:bookmarkStart w:id="442" w:name="_Toc458682555"/>
      <w:bookmarkStart w:id="443" w:name="_Toc458683792"/>
      <w:bookmarkStart w:id="444" w:name="_Toc458686379"/>
      <w:bookmarkStart w:id="445" w:name="_Toc458682556"/>
      <w:bookmarkStart w:id="446" w:name="_Toc458683793"/>
      <w:bookmarkStart w:id="447" w:name="_Toc458686380"/>
      <w:bookmarkStart w:id="448" w:name="_Toc458682557"/>
      <w:bookmarkStart w:id="449" w:name="_Toc458683794"/>
      <w:bookmarkStart w:id="450" w:name="_Toc458686381"/>
      <w:bookmarkStart w:id="451" w:name="_Toc458682558"/>
      <w:bookmarkStart w:id="452" w:name="_Toc458683795"/>
      <w:bookmarkStart w:id="453" w:name="_Toc458686382"/>
      <w:bookmarkStart w:id="454" w:name="_Toc458682559"/>
      <w:bookmarkStart w:id="455" w:name="_Toc458683796"/>
      <w:bookmarkStart w:id="456" w:name="_Toc458686383"/>
      <w:bookmarkStart w:id="457" w:name="_Toc458682560"/>
      <w:bookmarkStart w:id="458" w:name="_Toc458683797"/>
      <w:bookmarkStart w:id="459" w:name="_Toc458686384"/>
      <w:bookmarkStart w:id="460" w:name="_Toc458682562"/>
      <w:bookmarkStart w:id="461" w:name="_Toc458683799"/>
      <w:bookmarkStart w:id="462" w:name="_Toc458686386"/>
      <w:bookmarkStart w:id="463" w:name="_Toc458682565"/>
      <w:bookmarkStart w:id="464" w:name="_Toc458683802"/>
      <w:bookmarkStart w:id="465" w:name="_Toc458686389"/>
      <w:bookmarkStart w:id="466" w:name="_Toc458682570"/>
      <w:bookmarkStart w:id="467" w:name="_Toc458683807"/>
      <w:bookmarkStart w:id="468" w:name="_Toc458686394"/>
      <w:bookmarkStart w:id="469" w:name="_Toc458682583"/>
      <w:bookmarkStart w:id="470" w:name="_Toc458683820"/>
      <w:bookmarkStart w:id="471" w:name="_Toc458686407"/>
      <w:bookmarkStart w:id="472" w:name="_Toc458682590"/>
      <w:bookmarkStart w:id="473" w:name="_Toc458683827"/>
      <w:bookmarkStart w:id="474" w:name="_Toc458686414"/>
      <w:bookmarkStart w:id="475" w:name="_Toc458682597"/>
      <w:bookmarkStart w:id="476" w:name="_Toc458683834"/>
      <w:bookmarkStart w:id="477" w:name="_Toc458686421"/>
      <w:bookmarkStart w:id="478" w:name="_Toc458682604"/>
      <w:bookmarkStart w:id="479" w:name="_Toc458683841"/>
      <w:bookmarkStart w:id="480" w:name="_Toc458686428"/>
      <w:bookmarkStart w:id="481" w:name="_Toc458682611"/>
      <w:bookmarkStart w:id="482" w:name="_Toc458683848"/>
      <w:bookmarkStart w:id="483" w:name="_Toc458686435"/>
      <w:bookmarkStart w:id="484" w:name="_Toc458682625"/>
      <w:bookmarkStart w:id="485" w:name="_Toc458683862"/>
      <w:bookmarkStart w:id="486" w:name="_Toc458686449"/>
      <w:bookmarkStart w:id="487" w:name="_Toc458682632"/>
      <w:bookmarkStart w:id="488" w:name="_Toc458683869"/>
      <w:bookmarkStart w:id="489" w:name="_Toc458686456"/>
      <w:bookmarkStart w:id="490" w:name="_Toc458682646"/>
      <w:bookmarkStart w:id="491" w:name="_Toc458683883"/>
      <w:bookmarkStart w:id="492" w:name="_Toc458686470"/>
      <w:bookmarkStart w:id="493" w:name="_Toc458682660"/>
      <w:bookmarkStart w:id="494" w:name="_Toc458683897"/>
      <w:bookmarkStart w:id="495" w:name="_Toc458686484"/>
      <w:bookmarkStart w:id="496" w:name="_Toc458682673"/>
      <w:bookmarkStart w:id="497" w:name="_Toc458683910"/>
      <w:bookmarkStart w:id="498" w:name="_Toc458686497"/>
      <w:bookmarkStart w:id="499" w:name="_Toc432588453"/>
      <w:bookmarkStart w:id="500" w:name="_Toc432590358"/>
      <w:bookmarkStart w:id="501" w:name="_Toc432594986"/>
      <w:bookmarkStart w:id="502" w:name="_Toc432595070"/>
      <w:bookmarkStart w:id="503" w:name="_Toc432595151"/>
      <w:bookmarkStart w:id="504" w:name="_Toc432595233"/>
      <w:bookmarkStart w:id="505" w:name="_Toc432595318"/>
      <w:bookmarkStart w:id="506" w:name="_Toc432595400"/>
      <w:bookmarkStart w:id="507" w:name="_Toc432597969"/>
      <w:bookmarkStart w:id="508" w:name="_Toc432598023"/>
      <w:bookmarkStart w:id="509" w:name="_Toc432598115"/>
      <w:bookmarkStart w:id="510" w:name="_Toc432588454"/>
      <w:bookmarkStart w:id="511" w:name="_Toc432590359"/>
      <w:bookmarkStart w:id="512" w:name="_Toc432594987"/>
      <w:bookmarkStart w:id="513" w:name="_Toc432595071"/>
      <w:bookmarkStart w:id="514" w:name="_Toc432595152"/>
      <w:bookmarkStart w:id="515" w:name="_Toc432595234"/>
      <w:bookmarkStart w:id="516" w:name="_Toc432595319"/>
      <w:bookmarkStart w:id="517" w:name="_Toc432595401"/>
      <w:bookmarkStart w:id="518" w:name="_Toc432597970"/>
      <w:bookmarkStart w:id="519" w:name="_Toc432598024"/>
      <w:bookmarkStart w:id="520" w:name="_Toc432598116"/>
      <w:bookmarkStart w:id="521" w:name="_Toc458682685"/>
      <w:bookmarkStart w:id="522" w:name="_Toc458683922"/>
      <w:bookmarkStart w:id="523" w:name="_Toc458686509"/>
      <w:bookmarkStart w:id="524" w:name="_Toc458682689"/>
      <w:bookmarkStart w:id="525" w:name="_Toc458683926"/>
      <w:bookmarkStart w:id="526" w:name="_Toc458686513"/>
      <w:bookmarkStart w:id="527" w:name="_Toc458682690"/>
      <w:bookmarkStart w:id="528" w:name="_Toc458683927"/>
      <w:bookmarkStart w:id="529" w:name="_Toc458686514"/>
      <w:bookmarkStart w:id="530" w:name="_Toc458682693"/>
      <w:bookmarkStart w:id="531" w:name="_Toc458683930"/>
      <w:bookmarkStart w:id="532" w:name="_Toc458686517"/>
      <w:bookmarkStart w:id="533" w:name="_Toc458682694"/>
      <w:bookmarkStart w:id="534" w:name="_Toc458683931"/>
      <w:bookmarkStart w:id="535" w:name="_Toc458686518"/>
      <w:bookmarkStart w:id="536" w:name="_Toc458682696"/>
      <w:bookmarkStart w:id="537" w:name="_Toc458683933"/>
      <w:bookmarkStart w:id="538" w:name="_Toc458686520"/>
      <w:bookmarkStart w:id="539" w:name="_Toc458682698"/>
      <w:bookmarkStart w:id="540" w:name="_Toc458683935"/>
      <w:bookmarkStart w:id="541" w:name="_Toc458686522"/>
      <w:bookmarkStart w:id="542" w:name="_Toc458682700"/>
      <w:bookmarkStart w:id="543" w:name="_Toc458683937"/>
      <w:bookmarkStart w:id="544" w:name="_Toc458686524"/>
      <w:bookmarkStart w:id="545" w:name="_Toc458682702"/>
      <w:bookmarkStart w:id="546" w:name="_Toc458683939"/>
      <w:bookmarkStart w:id="547" w:name="_Toc458686526"/>
      <w:bookmarkStart w:id="548" w:name="_Toc458682705"/>
      <w:bookmarkStart w:id="549" w:name="_Toc458683942"/>
      <w:bookmarkStart w:id="550" w:name="_Toc458686529"/>
      <w:bookmarkStart w:id="551" w:name="_Toc458682706"/>
      <w:bookmarkStart w:id="552" w:name="_Toc458683943"/>
      <w:bookmarkStart w:id="553" w:name="_Toc458686530"/>
      <w:bookmarkStart w:id="554" w:name="_Toc458682709"/>
      <w:bookmarkStart w:id="555" w:name="_Toc458683946"/>
      <w:bookmarkStart w:id="556" w:name="_Toc458686533"/>
      <w:bookmarkStart w:id="557" w:name="_Toc458682713"/>
      <w:bookmarkStart w:id="558" w:name="_Toc458683950"/>
      <w:bookmarkStart w:id="559" w:name="_Toc458686537"/>
      <w:bookmarkStart w:id="560" w:name="_Toc458682714"/>
      <w:bookmarkStart w:id="561" w:name="_Toc458683951"/>
      <w:bookmarkStart w:id="562" w:name="_Toc458686538"/>
      <w:bookmarkStart w:id="563" w:name="_Toc458682715"/>
      <w:bookmarkStart w:id="564" w:name="_Toc458683952"/>
      <w:bookmarkStart w:id="565" w:name="_Toc458686539"/>
      <w:bookmarkStart w:id="566" w:name="_Toc458682717"/>
      <w:bookmarkStart w:id="567" w:name="_Toc458683954"/>
      <w:bookmarkStart w:id="568" w:name="_Toc458686541"/>
      <w:bookmarkStart w:id="569" w:name="_Toc458682719"/>
      <w:bookmarkStart w:id="570" w:name="_Toc458683956"/>
      <w:bookmarkStart w:id="571" w:name="_Toc458686543"/>
      <w:bookmarkStart w:id="572" w:name="_Toc458682720"/>
      <w:bookmarkStart w:id="573" w:name="_Toc458683957"/>
      <w:bookmarkStart w:id="574" w:name="_Toc458686544"/>
      <w:bookmarkStart w:id="575" w:name="_Toc458682721"/>
      <w:bookmarkStart w:id="576" w:name="_Toc458683958"/>
      <w:bookmarkStart w:id="577" w:name="_Toc458686545"/>
      <w:bookmarkStart w:id="578" w:name="_Toc458682722"/>
      <w:bookmarkStart w:id="579" w:name="_Toc458683959"/>
      <w:bookmarkStart w:id="580" w:name="_Toc458686546"/>
      <w:bookmarkStart w:id="581" w:name="_Toc458682723"/>
      <w:bookmarkStart w:id="582" w:name="_Toc458683960"/>
      <w:bookmarkStart w:id="583" w:name="_Toc458686547"/>
      <w:bookmarkStart w:id="584" w:name="_Toc458682724"/>
      <w:bookmarkStart w:id="585" w:name="_Toc458683961"/>
      <w:bookmarkStart w:id="586" w:name="_Toc458686548"/>
      <w:bookmarkStart w:id="587" w:name="_Toc458682725"/>
      <w:bookmarkStart w:id="588" w:name="_Toc458683962"/>
      <w:bookmarkStart w:id="589" w:name="_Toc458686549"/>
      <w:bookmarkStart w:id="590" w:name="_Toc458682727"/>
      <w:bookmarkStart w:id="591" w:name="_Toc458683964"/>
      <w:bookmarkStart w:id="592" w:name="_Toc458686551"/>
      <w:bookmarkStart w:id="593" w:name="_Toc458682731"/>
      <w:bookmarkStart w:id="594" w:name="_Toc458683968"/>
      <w:bookmarkStart w:id="595" w:name="_Toc458686555"/>
      <w:bookmarkStart w:id="596" w:name="_Toc458682732"/>
      <w:bookmarkStart w:id="597" w:name="_Toc458683969"/>
      <w:bookmarkStart w:id="598" w:name="_Toc458686556"/>
      <w:bookmarkStart w:id="599" w:name="_Toc458682734"/>
      <w:bookmarkStart w:id="600" w:name="_Toc458683971"/>
      <w:bookmarkStart w:id="601" w:name="_Toc458686558"/>
      <w:bookmarkStart w:id="602" w:name="_Toc458682736"/>
      <w:bookmarkStart w:id="603" w:name="_Toc458683973"/>
      <w:bookmarkStart w:id="604" w:name="_Toc458686560"/>
      <w:bookmarkStart w:id="605" w:name="_Toc458682739"/>
      <w:bookmarkStart w:id="606" w:name="_Toc458683976"/>
      <w:bookmarkStart w:id="607" w:name="_Toc458686563"/>
      <w:bookmarkStart w:id="608" w:name="_Toc458682741"/>
      <w:bookmarkStart w:id="609" w:name="_Toc458683978"/>
      <w:bookmarkStart w:id="610" w:name="_Toc458686565"/>
      <w:bookmarkStart w:id="611" w:name="_Toc458682747"/>
      <w:bookmarkStart w:id="612" w:name="_Toc458683984"/>
      <w:bookmarkStart w:id="613" w:name="_Toc458686571"/>
      <w:bookmarkStart w:id="614" w:name="_Toc458682749"/>
      <w:bookmarkStart w:id="615" w:name="_Toc458683986"/>
      <w:bookmarkStart w:id="616" w:name="_Toc458686573"/>
      <w:bookmarkStart w:id="617" w:name="_Toc458682750"/>
      <w:bookmarkStart w:id="618" w:name="_Toc458683987"/>
      <w:bookmarkStart w:id="619" w:name="_Toc458686574"/>
      <w:bookmarkStart w:id="620" w:name="_Toc458682751"/>
      <w:bookmarkStart w:id="621" w:name="_Toc458683988"/>
      <w:bookmarkStart w:id="622" w:name="_Toc458686575"/>
      <w:bookmarkStart w:id="623" w:name="_Toc458682752"/>
      <w:bookmarkStart w:id="624" w:name="_Toc458683989"/>
      <w:bookmarkStart w:id="625" w:name="_Toc458686576"/>
      <w:bookmarkStart w:id="626" w:name="_Toc458682753"/>
      <w:bookmarkStart w:id="627" w:name="_Toc458683990"/>
      <w:bookmarkStart w:id="628" w:name="_Toc458686577"/>
      <w:bookmarkStart w:id="629" w:name="_Toc458682754"/>
      <w:bookmarkStart w:id="630" w:name="_Toc458683991"/>
      <w:bookmarkStart w:id="631" w:name="_Toc458686578"/>
      <w:bookmarkStart w:id="632" w:name="_Toc458682755"/>
      <w:bookmarkStart w:id="633" w:name="_Toc458683992"/>
      <w:bookmarkStart w:id="634" w:name="_Toc458686579"/>
      <w:bookmarkStart w:id="635" w:name="_Toc458682756"/>
      <w:bookmarkStart w:id="636" w:name="_Toc458683993"/>
      <w:bookmarkStart w:id="637" w:name="_Toc458686580"/>
      <w:bookmarkStart w:id="638" w:name="_Toc458682769"/>
      <w:bookmarkStart w:id="639" w:name="_Toc458684006"/>
      <w:bookmarkStart w:id="640" w:name="_Toc458686593"/>
      <w:bookmarkStart w:id="641" w:name="_Toc458682771"/>
      <w:bookmarkStart w:id="642" w:name="_Toc458684008"/>
      <w:bookmarkStart w:id="643" w:name="_Toc458686595"/>
      <w:bookmarkStart w:id="644" w:name="_Toc458682773"/>
      <w:bookmarkStart w:id="645" w:name="_Toc458684010"/>
      <w:bookmarkStart w:id="646" w:name="_Toc458686597"/>
      <w:bookmarkStart w:id="647" w:name="_Toc458682774"/>
      <w:bookmarkStart w:id="648" w:name="_Toc458684011"/>
      <w:bookmarkStart w:id="649" w:name="_Toc458686598"/>
      <w:bookmarkStart w:id="650" w:name="_Toc458682775"/>
      <w:bookmarkStart w:id="651" w:name="_Toc458684012"/>
      <w:bookmarkStart w:id="652" w:name="_Toc458686599"/>
      <w:bookmarkStart w:id="653" w:name="_Toc458682776"/>
      <w:bookmarkStart w:id="654" w:name="_Toc458684013"/>
      <w:bookmarkStart w:id="655" w:name="_Toc458686600"/>
      <w:bookmarkStart w:id="656" w:name="_Toc458682777"/>
      <w:bookmarkStart w:id="657" w:name="_Toc458684014"/>
      <w:bookmarkStart w:id="658" w:name="_Toc458686601"/>
      <w:bookmarkStart w:id="659" w:name="_Toc458682778"/>
      <w:bookmarkStart w:id="660" w:name="_Toc458684015"/>
      <w:bookmarkStart w:id="661" w:name="_Toc458686602"/>
      <w:bookmarkStart w:id="662" w:name="_Toc458682780"/>
      <w:bookmarkStart w:id="663" w:name="_Toc458684017"/>
      <w:bookmarkStart w:id="664" w:name="_Toc458686604"/>
      <w:bookmarkStart w:id="665" w:name="_Toc458682781"/>
      <w:bookmarkStart w:id="666" w:name="_Toc458684018"/>
      <w:bookmarkStart w:id="667" w:name="_Toc458686605"/>
      <w:bookmarkStart w:id="668" w:name="_Toc458682784"/>
      <w:bookmarkStart w:id="669" w:name="_Toc458684021"/>
      <w:bookmarkStart w:id="670" w:name="_Toc458686608"/>
      <w:bookmarkStart w:id="671" w:name="_Toc458682785"/>
      <w:bookmarkStart w:id="672" w:name="_Toc458684022"/>
      <w:bookmarkStart w:id="673" w:name="_Toc458686609"/>
      <w:bookmarkStart w:id="674" w:name="_Toc458682787"/>
      <w:bookmarkStart w:id="675" w:name="_Toc458684024"/>
      <w:bookmarkStart w:id="676" w:name="_Toc458686611"/>
      <w:bookmarkStart w:id="677" w:name="_Toc458682788"/>
      <w:bookmarkStart w:id="678" w:name="_Toc458684025"/>
      <w:bookmarkStart w:id="679" w:name="_Toc458686612"/>
      <w:bookmarkStart w:id="680" w:name="_Toc458682789"/>
      <w:bookmarkStart w:id="681" w:name="_Toc458684026"/>
      <w:bookmarkStart w:id="682" w:name="_Toc458686613"/>
      <w:bookmarkStart w:id="683" w:name="_Toc458682790"/>
      <w:bookmarkStart w:id="684" w:name="_Toc458684027"/>
      <w:bookmarkStart w:id="685" w:name="_Toc458686614"/>
      <w:bookmarkStart w:id="686" w:name="_Toc458682791"/>
      <w:bookmarkStart w:id="687" w:name="_Toc458684028"/>
      <w:bookmarkStart w:id="688" w:name="_Toc458686615"/>
      <w:bookmarkStart w:id="689" w:name="_Toc458682795"/>
      <w:bookmarkStart w:id="690" w:name="_Toc458684032"/>
      <w:bookmarkStart w:id="691" w:name="_Toc458686619"/>
      <w:bookmarkStart w:id="692" w:name="_Toc458682797"/>
      <w:bookmarkStart w:id="693" w:name="_Toc458684034"/>
      <w:bookmarkStart w:id="694" w:name="_Toc458686621"/>
      <w:bookmarkStart w:id="695" w:name="_Toc458682801"/>
      <w:bookmarkStart w:id="696" w:name="_Toc458684038"/>
      <w:bookmarkStart w:id="697" w:name="_Toc458686625"/>
      <w:bookmarkStart w:id="698" w:name="_Toc458682804"/>
      <w:bookmarkStart w:id="699" w:name="_Toc458684041"/>
      <w:bookmarkStart w:id="700" w:name="_Toc458686628"/>
      <w:bookmarkStart w:id="701" w:name="_Toc458682805"/>
      <w:bookmarkStart w:id="702" w:name="_Toc458684042"/>
      <w:bookmarkStart w:id="703" w:name="_Toc458686629"/>
      <w:bookmarkStart w:id="704" w:name="_Toc458682806"/>
      <w:bookmarkStart w:id="705" w:name="_Toc458684043"/>
      <w:bookmarkStart w:id="706" w:name="_Toc458686630"/>
      <w:bookmarkStart w:id="707" w:name="_Toc458682808"/>
      <w:bookmarkStart w:id="708" w:name="_Toc458684045"/>
      <w:bookmarkStart w:id="709" w:name="_Toc458686632"/>
      <w:bookmarkStart w:id="710" w:name="_Toc458682816"/>
      <w:bookmarkStart w:id="711" w:name="_Toc458684053"/>
      <w:bookmarkStart w:id="712" w:name="_Toc458686640"/>
      <w:bookmarkStart w:id="713" w:name="_Toc458682817"/>
      <w:bookmarkStart w:id="714" w:name="_Toc458684054"/>
      <w:bookmarkStart w:id="715" w:name="_Toc458686641"/>
      <w:bookmarkStart w:id="716" w:name="_Toc458682818"/>
      <w:bookmarkStart w:id="717" w:name="_Toc458684055"/>
      <w:bookmarkStart w:id="718" w:name="_Toc458686642"/>
      <w:bookmarkStart w:id="719" w:name="_Toc458682819"/>
      <w:bookmarkStart w:id="720" w:name="_Toc458684056"/>
      <w:bookmarkStart w:id="721" w:name="_Toc458686643"/>
      <w:bookmarkStart w:id="722" w:name="_Toc458682821"/>
      <w:bookmarkStart w:id="723" w:name="_Toc458684058"/>
      <w:bookmarkStart w:id="724" w:name="_Toc458686645"/>
      <w:bookmarkStart w:id="725" w:name="_Toc458682822"/>
      <w:bookmarkStart w:id="726" w:name="_Toc458684059"/>
      <w:bookmarkStart w:id="727" w:name="_Toc458686646"/>
      <w:bookmarkStart w:id="728" w:name="_Toc458682823"/>
      <w:bookmarkStart w:id="729" w:name="_Toc458684060"/>
      <w:bookmarkStart w:id="730" w:name="_Toc458686647"/>
      <w:bookmarkStart w:id="731" w:name="_Toc458682826"/>
      <w:bookmarkStart w:id="732" w:name="_Toc458684063"/>
      <w:bookmarkStart w:id="733" w:name="_Toc458686650"/>
      <w:bookmarkStart w:id="734" w:name="_Toc458682831"/>
      <w:bookmarkStart w:id="735" w:name="_Toc458684068"/>
      <w:bookmarkStart w:id="736" w:name="_Toc458686655"/>
      <w:bookmarkStart w:id="737" w:name="_Toc458682832"/>
      <w:bookmarkStart w:id="738" w:name="_Toc458684069"/>
      <w:bookmarkStart w:id="739" w:name="_Toc458686656"/>
      <w:bookmarkStart w:id="740" w:name="_Toc458682835"/>
      <w:bookmarkStart w:id="741" w:name="_Toc458684072"/>
      <w:bookmarkStart w:id="742" w:name="_Toc458686659"/>
      <w:bookmarkStart w:id="743" w:name="_Toc458682836"/>
      <w:bookmarkStart w:id="744" w:name="_Toc458684073"/>
      <w:bookmarkStart w:id="745" w:name="_Toc458686660"/>
      <w:bookmarkStart w:id="746" w:name="_Toc458682837"/>
      <w:bookmarkStart w:id="747" w:name="_Toc458684074"/>
      <w:bookmarkStart w:id="748" w:name="_Toc458686661"/>
      <w:bookmarkStart w:id="749" w:name="_Toc458682838"/>
      <w:bookmarkStart w:id="750" w:name="_Toc458684075"/>
      <w:bookmarkStart w:id="751" w:name="_Toc458686662"/>
      <w:bookmarkStart w:id="752" w:name="_Toc458682839"/>
      <w:bookmarkStart w:id="753" w:name="_Toc458684076"/>
      <w:bookmarkStart w:id="754" w:name="_Toc458686663"/>
      <w:bookmarkStart w:id="755" w:name="_Toc458682841"/>
      <w:bookmarkStart w:id="756" w:name="_Toc458684078"/>
      <w:bookmarkStart w:id="757" w:name="_Toc458686665"/>
      <w:bookmarkStart w:id="758" w:name="_Toc458682842"/>
      <w:bookmarkStart w:id="759" w:name="_Toc458684079"/>
      <w:bookmarkStart w:id="760" w:name="_Toc458686666"/>
      <w:bookmarkStart w:id="761" w:name="_Toc458682850"/>
      <w:bookmarkStart w:id="762" w:name="_Toc458684087"/>
      <w:bookmarkStart w:id="763" w:name="_Toc458686674"/>
      <w:bookmarkStart w:id="764" w:name="_Toc458682852"/>
      <w:bookmarkStart w:id="765" w:name="_Toc458684089"/>
      <w:bookmarkStart w:id="766" w:name="_Toc458686676"/>
      <w:bookmarkStart w:id="767" w:name="_Toc458682853"/>
      <w:bookmarkStart w:id="768" w:name="_Toc458684090"/>
      <w:bookmarkStart w:id="769" w:name="_Toc458686677"/>
      <w:bookmarkStart w:id="770" w:name="_Toc458682854"/>
      <w:bookmarkStart w:id="771" w:name="_Toc458684091"/>
      <w:bookmarkStart w:id="772" w:name="_Toc458686678"/>
      <w:bookmarkStart w:id="773" w:name="_Toc458682855"/>
      <w:bookmarkStart w:id="774" w:name="_Toc458684092"/>
      <w:bookmarkStart w:id="775" w:name="_Toc458686679"/>
      <w:bookmarkStart w:id="776" w:name="_Toc458682856"/>
      <w:bookmarkStart w:id="777" w:name="_Toc458684093"/>
      <w:bookmarkStart w:id="778" w:name="_Toc458686680"/>
      <w:bookmarkStart w:id="779" w:name="_Toc458682861"/>
      <w:bookmarkStart w:id="780" w:name="_Toc458684098"/>
      <w:bookmarkStart w:id="781" w:name="_Toc458686685"/>
      <w:bookmarkStart w:id="782" w:name="_Toc458682865"/>
      <w:bookmarkStart w:id="783" w:name="_Toc458684102"/>
      <w:bookmarkStart w:id="784" w:name="_Toc458686689"/>
      <w:bookmarkStart w:id="785" w:name="_Toc458682866"/>
      <w:bookmarkStart w:id="786" w:name="_Toc458684103"/>
      <w:bookmarkStart w:id="787" w:name="_Toc458686690"/>
      <w:bookmarkStart w:id="788" w:name="_Toc458682867"/>
      <w:bookmarkStart w:id="789" w:name="_Toc458684104"/>
      <w:bookmarkStart w:id="790" w:name="_Toc458686691"/>
      <w:bookmarkStart w:id="791" w:name="_Toc458682869"/>
      <w:bookmarkStart w:id="792" w:name="_Toc458684106"/>
      <w:bookmarkStart w:id="793" w:name="_Toc458686693"/>
      <w:bookmarkStart w:id="794" w:name="_Toc458682870"/>
      <w:bookmarkStart w:id="795" w:name="_Toc458684107"/>
      <w:bookmarkStart w:id="796" w:name="_Toc458686694"/>
      <w:bookmarkStart w:id="797" w:name="_Toc458682872"/>
      <w:bookmarkStart w:id="798" w:name="_Toc458684109"/>
      <w:bookmarkStart w:id="799" w:name="_Toc458686696"/>
      <w:bookmarkStart w:id="800" w:name="_Toc458682873"/>
      <w:bookmarkStart w:id="801" w:name="_Toc458684110"/>
      <w:bookmarkStart w:id="802" w:name="_Toc458686697"/>
      <w:bookmarkStart w:id="803" w:name="_Toc458682875"/>
      <w:bookmarkStart w:id="804" w:name="_Toc458684112"/>
      <w:bookmarkStart w:id="805" w:name="_Toc458686699"/>
      <w:bookmarkStart w:id="806" w:name="_Toc458682877"/>
      <w:bookmarkStart w:id="807" w:name="_Toc458684114"/>
      <w:bookmarkStart w:id="808" w:name="_Toc458686701"/>
      <w:bookmarkStart w:id="809" w:name="_Toc458682878"/>
      <w:bookmarkStart w:id="810" w:name="_Toc458684115"/>
      <w:bookmarkStart w:id="811" w:name="_Toc458686702"/>
      <w:bookmarkStart w:id="812" w:name="_Toc458682879"/>
      <w:bookmarkStart w:id="813" w:name="_Toc458684116"/>
      <w:bookmarkStart w:id="814" w:name="_Toc458686703"/>
      <w:bookmarkStart w:id="815" w:name="_Toc458682884"/>
      <w:bookmarkStart w:id="816" w:name="_Toc458684121"/>
      <w:bookmarkStart w:id="817" w:name="_Toc458686708"/>
      <w:bookmarkStart w:id="818" w:name="_Toc458682885"/>
      <w:bookmarkStart w:id="819" w:name="_Toc458684122"/>
      <w:bookmarkStart w:id="820" w:name="_Toc458686709"/>
      <w:bookmarkStart w:id="821" w:name="_Toc458682886"/>
      <w:bookmarkStart w:id="822" w:name="_Toc458684123"/>
      <w:bookmarkStart w:id="823" w:name="_Toc458686710"/>
      <w:bookmarkStart w:id="824" w:name="_Toc458682887"/>
      <w:bookmarkStart w:id="825" w:name="_Toc458684124"/>
      <w:bookmarkStart w:id="826" w:name="_Toc458686711"/>
      <w:bookmarkStart w:id="827" w:name="_Toc458682889"/>
      <w:bookmarkStart w:id="828" w:name="_Toc458684126"/>
      <w:bookmarkStart w:id="829" w:name="_Toc458686713"/>
      <w:bookmarkStart w:id="830" w:name="_Toc458682890"/>
      <w:bookmarkStart w:id="831" w:name="_Toc458684127"/>
      <w:bookmarkStart w:id="832" w:name="_Toc458686714"/>
      <w:bookmarkStart w:id="833" w:name="_Toc458682891"/>
      <w:bookmarkStart w:id="834" w:name="_Toc458684128"/>
      <w:bookmarkStart w:id="835" w:name="_Toc458686715"/>
      <w:bookmarkStart w:id="836" w:name="_Toc458682892"/>
      <w:bookmarkStart w:id="837" w:name="_Toc458684129"/>
      <w:bookmarkStart w:id="838" w:name="_Toc458686716"/>
      <w:bookmarkStart w:id="839" w:name="_Toc458682893"/>
      <w:bookmarkStart w:id="840" w:name="_Toc458684130"/>
      <w:bookmarkStart w:id="841" w:name="_Toc458686717"/>
      <w:bookmarkStart w:id="842" w:name="_Toc458682894"/>
      <w:bookmarkStart w:id="843" w:name="_Toc458684131"/>
      <w:bookmarkStart w:id="844" w:name="_Toc458686718"/>
      <w:bookmarkStart w:id="845" w:name="_Toc458682896"/>
      <w:bookmarkStart w:id="846" w:name="_Toc458684133"/>
      <w:bookmarkStart w:id="847" w:name="_Toc458686720"/>
      <w:bookmarkStart w:id="848" w:name="_Toc458682897"/>
      <w:bookmarkStart w:id="849" w:name="_Toc458684134"/>
      <w:bookmarkStart w:id="850" w:name="_Toc458686721"/>
      <w:bookmarkStart w:id="851" w:name="_Toc458682899"/>
      <w:bookmarkStart w:id="852" w:name="_Toc458684136"/>
      <w:bookmarkStart w:id="853" w:name="_Toc458686723"/>
      <w:bookmarkStart w:id="854" w:name="_Toc458682900"/>
      <w:bookmarkStart w:id="855" w:name="_Toc458684137"/>
      <w:bookmarkStart w:id="856" w:name="_Toc458686724"/>
      <w:bookmarkStart w:id="857" w:name="_Toc458682901"/>
      <w:bookmarkStart w:id="858" w:name="_Toc458684138"/>
      <w:bookmarkStart w:id="859" w:name="_Toc458686725"/>
      <w:bookmarkStart w:id="860" w:name="_Toc458682902"/>
      <w:bookmarkStart w:id="861" w:name="_Toc458684139"/>
      <w:bookmarkStart w:id="862" w:name="_Toc458686726"/>
      <w:bookmarkStart w:id="863" w:name="_Toc458682904"/>
      <w:bookmarkStart w:id="864" w:name="_Toc458684141"/>
      <w:bookmarkStart w:id="865" w:name="_Toc458686728"/>
      <w:bookmarkStart w:id="866" w:name="_Toc458682905"/>
      <w:bookmarkStart w:id="867" w:name="_Toc458684142"/>
      <w:bookmarkStart w:id="868" w:name="_Toc458686729"/>
      <w:bookmarkStart w:id="869" w:name="_Toc458682906"/>
      <w:bookmarkStart w:id="870" w:name="_Toc458684143"/>
      <w:bookmarkStart w:id="871" w:name="_Toc458686730"/>
      <w:bookmarkStart w:id="872" w:name="_Toc458682908"/>
      <w:bookmarkStart w:id="873" w:name="_Toc458684145"/>
      <w:bookmarkStart w:id="874" w:name="_Toc458686732"/>
      <w:bookmarkStart w:id="875" w:name="_Toc458682938"/>
      <w:bookmarkStart w:id="876" w:name="_Toc458684175"/>
      <w:bookmarkStart w:id="877" w:name="_Toc458686762"/>
      <w:bookmarkStart w:id="878" w:name="_Toc458682939"/>
      <w:bookmarkStart w:id="879" w:name="_Toc458684176"/>
      <w:bookmarkStart w:id="880" w:name="_Toc458686763"/>
      <w:bookmarkStart w:id="881" w:name="_Toc458682940"/>
      <w:bookmarkStart w:id="882" w:name="_Toc458684177"/>
      <w:bookmarkStart w:id="883" w:name="_Toc458686764"/>
      <w:bookmarkStart w:id="884" w:name="_Toc458682941"/>
      <w:bookmarkStart w:id="885" w:name="_Toc458684178"/>
      <w:bookmarkStart w:id="886" w:name="_Toc458686765"/>
      <w:bookmarkStart w:id="887" w:name="_Toc458682942"/>
      <w:bookmarkStart w:id="888" w:name="_Toc458684179"/>
      <w:bookmarkStart w:id="889" w:name="_Toc458686766"/>
      <w:bookmarkStart w:id="890" w:name="_Toc458682943"/>
      <w:bookmarkStart w:id="891" w:name="_Toc458684180"/>
      <w:bookmarkStart w:id="892" w:name="_Toc458686767"/>
      <w:bookmarkStart w:id="893" w:name="_Toc458682946"/>
      <w:bookmarkStart w:id="894" w:name="_Toc458684183"/>
      <w:bookmarkStart w:id="895" w:name="_Toc458686770"/>
      <w:bookmarkStart w:id="896" w:name="_Toc458682947"/>
      <w:bookmarkStart w:id="897" w:name="_Toc458684184"/>
      <w:bookmarkStart w:id="898" w:name="_Toc458686771"/>
      <w:bookmarkStart w:id="899" w:name="_Toc458682949"/>
      <w:bookmarkStart w:id="900" w:name="_Toc458684186"/>
      <w:bookmarkStart w:id="901" w:name="_Toc458686773"/>
      <w:bookmarkStart w:id="902" w:name="_Toc458682952"/>
      <w:bookmarkStart w:id="903" w:name="_Toc458684189"/>
      <w:bookmarkStart w:id="904" w:name="_Toc458686776"/>
      <w:bookmarkStart w:id="905" w:name="_Toc458682960"/>
      <w:bookmarkStart w:id="906" w:name="_Toc458684197"/>
      <w:bookmarkStart w:id="907" w:name="_Toc458686784"/>
      <w:bookmarkStart w:id="908" w:name="_Toc458682961"/>
      <w:bookmarkStart w:id="909" w:name="_Toc458684198"/>
      <w:bookmarkStart w:id="910" w:name="_Toc458686785"/>
      <w:bookmarkStart w:id="911" w:name="_Toc458682968"/>
      <w:bookmarkStart w:id="912" w:name="_Toc458684205"/>
      <w:bookmarkStart w:id="913" w:name="_Toc458686792"/>
      <w:bookmarkStart w:id="914" w:name="_Toc458682975"/>
      <w:bookmarkStart w:id="915" w:name="_Toc458684212"/>
      <w:bookmarkStart w:id="916" w:name="_Toc458686799"/>
      <w:bookmarkStart w:id="917" w:name="_Toc458682977"/>
      <w:bookmarkStart w:id="918" w:name="_Toc458684214"/>
      <w:bookmarkStart w:id="919" w:name="_Toc458686801"/>
      <w:bookmarkStart w:id="920" w:name="_Toc458682982"/>
      <w:bookmarkStart w:id="921" w:name="_Toc458684219"/>
      <w:bookmarkStart w:id="922" w:name="_Toc458686806"/>
      <w:bookmarkStart w:id="923" w:name="_Toc458682983"/>
      <w:bookmarkStart w:id="924" w:name="_Toc458684220"/>
      <w:bookmarkStart w:id="925" w:name="_Toc458686807"/>
      <w:bookmarkStart w:id="926" w:name="_Toc458682988"/>
      <w:bookmarkStart w:id="927" w:name="_Toc458684225"/>
      <w:bookmarkStart w:id="928" w:name="_Toc458686812"/>
      <w:bookmarkStart w:id="929" w:name="_Toc458682989"/>
      <w:bookmarkStart w:id="930" w:name="_Toc458684226"/>
      <w:bookmarkStart w:id="931" w:name="_Toc458686813"/>
      <w:bookmarkStart w:id="932" w:name="_Toc458682991"/>
      <w:bookmarkStart w:id="933" w:name="_Toc458684228"/>
      <w:bookmarkStart w:id="934" w:name="_Toc458686815"/>
      <w:bookmarkStart w:id="935" w:name="_Toc458682992"/>
      <w:bookmarkStart w:id="936" w:name="_Toc458684229"/>
      <w:bookmarkStart w:id="937" w:name="_Toc458686816"/>
      <w:bookmarkStart w:id="938" w:name="_Toc458682993"/>
      <w:bookmarkStart w:id="939" w:name="_Toc458684230"/>
      <w:bookmarkStart w:id="940" w:name="_Toc458686817"/>
      <w:bookmarkStart w:id="941" w:name="_Toc458682994"/>
      <w:bookmarkStart w:id="942" w:name="_Toc458684231"/>
      <w:bookmarkStart w:id="943" w:name="_Toc458686818"/>
      <w:bookmarkStart w:id="944" w:name="_Ref458683045"/>
      <w:bookmarkStart w:id="945" w:name="_Toc462994048"/>
      <w:bookmarkStart w:id="946" w:name="_Toc463343012"/>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r>
        <w:lastRenderedPageBreak/>
        <w:t>Executive summary</w:t>
      </w:r>
      <w:bookmarkEnd w:id="944"/>
      <w:bookmarkEnd w:id="945"/>
      <w:bookmarkEnd w:id="946"/>
    </w:p>
    <w:p w14:paraId="788D09AB" w14:textId="4950B02B" w:rsidR="00565375" w:rsidRDefault="00565375" w:rsidP="00565375">
      <w:pPr>
        <w:pStyle w:val="Bodycopy"/>
      </w:pPr>
      <w:r>
        <w:t xml:space="preserve">On 27 November 2014, the Australian Energy Market Commission (AEMC) made a new Rule that requires distribution network service providers (DNSPs) to develop prices that better reflect the costs of providing network services to customers. This document is our </w:t>
      </w:r>
      <w:r w:rsidR="00997E4C">
        <w:t xml:space="preserve">revised </w:t>
      </w:r>
      <w:r>
        <w:t>Tariff Structure Statement (TSS), a requirement of the new Rule</w:t>
      </w:r>
      <w:r w:rsidR="008B69A4">
        <w:t>. It</w:t>
      </w:r>
      <w:r>
        <w:t xml:space="preserve"> covers </w:t>
      </w:r>
      <w:r w:rsidRPr="00AC6921">
        <w:t>the two</w:t>
      </w:r>
      <w:r w:rsidR="008B69A4">
        <w:t>-</w:t>
      </w:r>
      <w:r w:rsidRPr="00AC6921">
        <w:t xml:space="preserve">year period commencing 1 July 2017. </w:t>
      </w:r>
    </w:p>
    <w:p w14:paraId="4D93E67F" w14:textId="30E84291" w:rsidR="009F148B" w:rsidRDefault="00B020D5" w:rsidP="00457322">
      <w:pPr>
        <w:pStyle w:val="Bodycopy"/>
      </w:pPr>
      <w:r w:rsidRPr="00A5309E">
        <w:t>Th</w:t>
      </w:r>
      <w:r w:rsidR="009F148B">
        <w:t>is</w:t>
      </w:r>
      <w:r>
        <w:t xml:space="preserve"> TSS </w:t>
      </w:r>
      <w:r w:rsidRPr="00A5309E">
        <w:t xml:space="preserve">outlines the overall structure of our proposed network tariffs and how we aim to transition our customers to more efficient </w:t>
      </w:r>
      <w:r w:rsidR="009B41A0" w:rsidRPr="00457322">
        <w:t>pricing</w:t>
      </w:r>
      <w:r w:rsidRPr="00A5309E">
        <w:t xml:space="preserve">. Our proposed tariffs have been developed to meet the network pricing objective and principles set out in the </w:t>
      </w:r>
      <w:r w:rsidR="00A64EE4">
        <w:t xml:space="preserve">National Electricity </w:t>
      </w:r>
      <w:r w:rsidRPr="00A5309E">
        <w:t>Rules</w:t>
      </w:r>
      <w:r w:rsidR="00A64EE4">
        <w:t xml:space="preserve"> (the Rules)</w:t>
      </w:r>
      <w:r w:rsidRPr="00A5309E">
        <w:t>.</w:t>
      </w:r>
      <w:r w:rsidR="009F148B">
        <w:t xml:space="preserve"> This TSS should be read in conjunction with our Explanations and Reasoning addendum </w:t>
      </w:r>
      <w:r w:rsidR="008B69A4">
        <w:t xml:space="preserve">(Attachment </w:t>
      </w:r>
      <w:r w:rsidR="00CC12EB">
        <w:t>8</w:t>
      </w:r>
      <w:r w:rsidR="008B69A4">
        <w:t xml:space="preserve">) </w:t>
      </w:r>
      <w:r w:rsidR="009F148B">
        <w:t>which outlines:</w:t>
      </w:r>
    </w:p>
    <w:p w14:paraId="6346F334" w14:textId="27CCEDE6" w:rsidR="009F148B" w:rsidRPr="00995FF8" w:rsidRDefault="009F148B" w:rsidP="00995FF8">
      <w:pPr>
        <w:pStyle w:val="Bullets"/>
      </w:pPr>
      <w:r w:rsidRPr="00995FF8">
        <w:t xml:space="preserve">stakeholder consultation we have undertaken following the </w:t>
      </w:r>
      <w:r w:rsidR="00E76EA4">
        <w:t>Australian Energy Regulator’s (</w:t>
      </w:r>
      <w:r w:rsidRPr="00995FF8">
        <w:t>AER’s</w:t>
      </w:r>
      <w:r w:rsidR="00E76EA4">
        <w:t>)</w:t>
      </w:r>
      <w:r w:rsidRPr="00995FF8">
        <w:t xml:space="preserve"> draft decision</w:t>
      </w:r>
    </w:p>
    <w:p w14:paraId="33ED02F5" w14:textId="7AA2BF31" w:rsidR="009F148B" w:rsidRPr="00995FF8" w:rsidRDefault="006C4505" w:rsidP="00995FF8">
      <w:pPr>
        <w:pStyle w:val="Bullets"/>
      </w:pPr>
      <w:r>
        <w:t>h</w:t>
      </w:r>
      <w:r w:rsidR="009F148B" w:rsidRPr="00995FF8">
        <w:t>ow that consultation has helped shape our revised TSS</w:t>
      </w:r>
    </w:p>
    <w:p w14:paraId="26974E84" w14:textId="64A11A6E" w:rsidR="009F148B" w:rsidRPr="00995FF8" w:rsidRDefault="009F148B" w:rsidP="00995FF8">
      <w:pPr>
        <w:pStyle w:val="Bullets"/>
      </w:pPr>
      <w:r w:rsidRPr="00995FF8">
        <w:t xml:space="preserve">changes we have made to our initial TSS put forward to the AER on 27 November 2015 and </w:t>
      </w:r>
      <w:r w:rsidR="006C4505">
        <w:t>the reasons for</w:t>
      </w:r>
      <w:r w:rsidRPr="00995FF8">
        <w:t xml:space="preserve"> those changes</w:t>
      </w:r>
    </w:p>
    <w:p w14:paraId="15ABEBCE" w14:textId="721DD65D" w:rsidR="009F148B" w:rsidRPr="00995FF8" w:rsidRDefault="009F148B" w:rsidP="00995FF8">
      <w:pPr>
        <w:pStyle w:val="Bullets"/>
      </w:pPr>
      <w:r w:rsidRPr="00995FF8">
        <w:t xml:space="preserve">reasons why we have not proceeded with </w:t>
      </w:r>
      <w:r w:rsidR="00E76EA4">
        <w:t>some</w:t>
      </w:r>
      <w:r w:rsidR="00E76EA4" w:rsidRPr="00995FF8">
        <w:t xml:space="preserve"> </w:t>
      </w:r>
      <w:r w:rsidRPr="00995FF8">
        <w:t xml:space="preserve">of the suggestions </w:t>
      </w:r>
      <w:r w:rsidR="006C4505">
        <w:t xml:space="preserve">the AER </w:t>
      </w:r>
      <w:r w:rsidRPr="00995FF8">
        <w:t xml:space="preserve">put forward in </w:t>
      </w:r>
      <w:r w:rsidR="006C4505">
        <w:t>its</w:t>
      </w:r>
      <w:r w:rsidR="006C4505" w:rsidRPr="00995FF8">
        <w:t xml:space="preserve"> </w:t>
      </w:r>
      <w:r w:rsidRPr="00995FF8">
        <w:t>draft decision</w:t>
      </w:r>
    </w:p>
    <w:p w14:paraId="202AD774" w14:textId="4F244CF1" w:rsidR="00B020D5" w:rsidRPr="00995FF8" w:rsidRDefault="006C4505" w:rsidP="00995FF8">
      <w:pPr>
        <w:pStyle w:val="Bullets"/>
      </w:pPr>
      <w:r>
        <w:t>o</w:t>
      </w:r>
      <w:r w:rsidR="009F148B" w:rsidRPr="00995FF8">
        <w:t xml:space="preserve">ur future tariff setting methodology and the enhancements we </w:t>
      </w:r>
      <w:r>
        <w:t>plan</w:t>
      </w:r>
      <w:r w:rsidRPr="00995FF8">
        <w:t xml:space="preserve"> </w:t>
      </w:r>
      <w:r w:rsidR="009F148B" w:rsidRPr="00995FF8">
        <w:t xml:space="preserve">to </w:t>
      </w:r>
      <w:r>
        <w:t>incorporate in</w:t>
      </w:r>
      <w:r w:rsidR="009F148B" w:rsidRPr="00995FF8">
        <w:t xml:space="preserve"> our next TSS and future regulatory periods. </w:t>
      </w:r>
    </w:p>
    <w:p w14:paraId="2DAFEC3F" w14:textId="77777777" w:rsidR="00A64EE4" w:rsidRDefault="00A64EE4" w:rsidP="00A64EE4">
      <w:pPr>
        <w:pStyle w:val="Bodycopy"/>
      </w:pPr>
      <w:r>
        <w:t>Network tariffs form a key component of our overall demand management strategy. In developing our tariffs, we aim to reduce long-term average prices by promoting efficient network investment and utilisation</w:t>
      </w:r>
      <w:r w:rsidRPr="00AC6921">
        <w:t>.</w:t>
      </w:r>
    </w:p>
    <w:p w14:paraId="46D454B9" w14:textId="00A19298" w:rsidR="0028288D" w:rsidRDefault="00A64EE4" w:rsidP="00A64EE4">
      <w:pPr>
        <w:pStyle w:val="Bodycopy"/>
      </w:pPr>
      <w:r>
        <w:t xml:space="preserve">We have identified that some of our existing tariff components </w:t>
      </w:r>
      <w:r w:rsidR="0048548E">
        <w:t>do not currently comply with</w:t>
      </w:r>
      <w:r>
        <w:t xml:space="preserve"> </w:t>
      </w:r>
      <w:r w:rsidR="00FF1CBB">
        <w:t xml:space="preserve">our estimate of </w:t>
      </w:r>
      <w:r>
        <w:t>the long</w:t>
      </w:r>
      <w:r w:rsidR="00076BA3">
        <w:t xml:space="preserve"> </w:t>
      </w:r>
      <w:r>
        <w:t xml:space="preserve">run marginal cost (LRMC) concept required by the Rules. </w:t>
      </w:r>
      <w:r w:rsidR="00403A9A">
        <w:t>In accordance with the Rules, w</w:t>
      </w:r>
      <w:r>
        <w:t xml:space="preserve">e will </w:t>
      </w:r>
      <w:r w:rsidR="00403A9A" w:rsidRPr="000C665B">
        <w:t xml:space="preserve">progressively transition </w:t>
      </w:r>
      <w:r w:rsidR="00403A9A">
        <w:t xml:space="preserve">our </w:t>
      </w:r>
      <w:r w:rsidR="00403A9A" w:rsidRPr="000C665B">
        <w:t xml:space="preserve">customers to </w:t>
      </w:r>
      <w:r w:rsidR="00403A9A">
        <w:t>these more</w:t>
      </w:r>
      <w:r w:rsidR="00403A9A" w:rsidRPr="000C665B">
        <w:t xml:space="preserve"> efficient price structures </w:t>
      </w:r>
      <w:r w:rsidR="00E76EA4">
        <w:t xml:space="preserve">and price levels </w:t>
      </w:r>
      <w:r w:rsidR="00403A9A" w:rsidRPr="000C665B">
        <w:t xml:space="preserve">over </w:t>
      </w:r>
      <w:r w:rsidR="00403A9A">
        <w:t>time</w:t>
      </w:r>
      <w:r w:rsidR="00FF1CBB">
        <w:t>, recognising that as an estimate –based on methodological and input choices – it is more of a guide than a fixed constraint</w:t>
      </w:r>
      <w:r w:rsidR="00403A9A">
        <w:t xml:space="preserve">. </w:t>
      </w:r>
    </w:p>
    <w:p w14:paraId="5106E5D5" w14:textId="0727F9B7" w:rsidR="00A64EE4" w:rsidRDefault="00403A9A" w:rsidP="00A64EE4">
      <w:pPr>
        <w:pStyle w:val="Bodycopy"/>
      </w:pPr>
      <w:r>
        <w:t xml:space="preserve">As metering technology in our network area </w:t>
      </w:r>
      <w:r w:rsidR="00E141C8">
        <w:t>continues to improve</w:t>
      </w:r>
      <w:r w:rsidR="00885C2F">
        <w:t xml:space="preserve"> –</w:t>
      </w:r>
      <w:r>
        <w:t xml:space="preserve"> </w:t>
      </w:r>
      <w:r w:rsidR="00885C2F">
        <w:t>assisted by</w:t>
      </w:r>
      <w:r w:rsidR="00E141C8">
        <w:t xml:space="preserve"> the introduction of </w:t>
      </w:r>
      <w:r>
        <w:t xml:space="preserve">metering </w:t>
      </w:r>
      <w:r w:rsidR="00E141C8">
        <w:t>contestability</w:t>
      </w:r>
      <w:r>
        <w:t xml:space="preserve"> </w:t>
      </w:r>
      <w:r w:rsidR="0028288D">
        <w:t xml:space="preserve">from </w:t>
      </w:r>
      <w:r>
        <w:t>1 December 2017</w:t>
      </w:r>
      <w:r w:rsidR="00885C2F">
        <w:t xml:space="preserve"> –</w:t>
      </w:r>
      <w:r w:rsidR="00E141C8">
        <w:t xml:space="preserve"> we will be better able to develop more cost</w:t>
      </w:r>
      <w:r w:rsidR="0028288D">
        <w:t>-</w:t>
      </w:r>
      <w:r w:rsidR="00E141C8">
        <w:t>reflective tariff structures</w:t>
      </w:r>
      <w:r>
        <w:t xml:space="preserve"> </w:t>
      </w:r>
      <w:r w:rsidR="00E141C8">
        <w:t xml:space="preserve">for our customers. As such, this TSS should be seen as </w:t>
      </w:r>
      <w:r>
        <w:t xml:space="preserve">a stepping stone towards this goal. </w:t>
      </w:r>
    </w:p>
    <w:p w14:paraId="27094D72" w14:textId="518181B2" w:rsidR="0036593A" w:rsidRDefault="0036593A" w:rsidP="0036593A">
      <w:pPr>
        <w:pStyle w:val="Bodycopy"/>
      </w:pPr>
      <w:r w:rsidRPr="00ED1723">
        <w:t>We have developed our revised TSS utilising feedback from the AER in its draft decision and in conjunction with our stakeholders. Throughout August</w:t>
      </w:r>
      <w:r w:rsidR="00885C2F">
        <w:t xml:space="preserve"> 2016</w:t>
      </w:r>
      <w:r w:rsidRPr="00ED1723">
        <w:t xml:space="preserve">, we held numerous </w:t>
      </w:r>
      <w:r w:rsidR="009D3973">
        <w:t>face-to-face and</w:t>
      </w:r>
      <w:r w:rsidRPr="00ED1723">
        <w:t xml:space="preserve"> one-on-one discussions </w:t>
      </w:r>
      <w:r>
        <w:t xml:space="preserve">based </w:t>
      </w:r>
      <w:r w:rsidRPr="00ED1723">
        <w:t xml:space="preserve">around topics raised in the AER’s draft decision with </w:t>
      </w:r>
      <w:r w:rsidR="00885C2F">
        <w:t xml:space="preserve">members of </w:t>
      </w:r>
      <w:r>
        <w:t xml:space="preserve">our customer advocacy and other </w:t>
      </w:r>
      <w:r w:rsidRPr="00ED1723">
        <w:t>stakeholder groups</w:t>
      </w:r>
      <w:r w:rsidR="00885C2F">
        <w:t>,</w:t>
      </w:r>
      <w:r w:rsidRPr="00ED1723">
        <w:t xml:space="preserve"> </w:t>
      </w:r>
      <w:r>
        <w:t>as well as</w:t>
      </w:r>
      <w:r w:rsidRPr="00334251">
        <w:t xml:space="preserve"> Essential Energy’s Customer Advocacy </w:t>
      </w:r>
      <w:r w:rsidR="00AE5CA0">
        <w:t>Group</w:t>
      </w:r>
      <w:r w:rsidRPr="00ED1723">
        <w:t xml:space="preserve">. </w:t>
      </w:r>
      <w:r>
        <w:t xml:space="preserve">These targeted sessions provided a </w:t>
      </w:r>
      <w:r w:rsidR="00885C2F">
        <w:t>direct</w:t>
      </w:r>
      <w:r>
        <w:t xml:space="preserve"> means of gauging stakeholder views and allowed us to engage with all relevant groups in the </w:t>
      </w:r>
      <w:r w:rsidR="00885C2F">
        <w:t>limited amount of time</w:t>
      </w:r>
      <w:r>
        <w:t xml:space="preserve"> allowed between publication of the </w:t>
      </w:r>
      <w:r w:rsidR="00885C2F">
        <w:t xml:space="preserve">AER’s </w:t>
      </w:r>
      <w:r>
        <w:t>draft decision and our resubmission. Written responses were also encouraged as a follow-up to each session.</w:t>
      </w:r>
    </w:p>
    <w:p w14:paraId="2AECCC28" w14:textId="70597782" w:rsidR="0036593A" w:rsidRPr="00315982" w:rsidRDefault="0036593A" w:rsidP="0036593A">
      <w:pPr>
        <w:pStyle w:val="Bodycopy"/>
      </w:pPr>
      <w:r w:rsidRPr="00315982">
        <w:t xml:space="preserve">IPSOS </w:t>
      </w:r>
      <w:r w:rsidR="0099628D">
        <w:t xml:space="preserve">Public Affairs </w:t>
      </w:r>
      <w:r w:rsidRPr="00315982">
        <w:t>w</w:t>
      </w:r>
      <w:r w:rsidR="006B5AE6">
        <w:t>as</w:t>
      </w:r>
      <w:r w:rsidRPr="00315982">
        <w:t xml:space="preserve"> also engaged to consult directly with those business customers who </w:t>
      </w:r>
      <w:r w:rsidR="00934F5D">
        <w:t xml:space="preserve">no longer meet </w:t>
      </w:r>
      <w:r w:rsidR="00885C2F" w:rsidRPr="00315982">
        <w:t xml:space="preserve">eligibility requirements for the tariff to which they are currently assigned </w:t>
      </w:r>
      <w:r w:rsidR="00885C2F">
        <w:t xml:space="preserve">and </w:t>
      </w:r>
      <w:r w:rsidRPr="00315982">
        <w:t xml:space="preserve">need to move to a new tariff structure. </w:t>
      </w:r>
      <w:r w:rsidR="00885C2F">
        <w:t>The majority of</w:t>
      </w:r>
      <w:r w:rsidRPr="00315982">
        <w:t xml:space="preserve"> these customers </w:t>
      </w:r>
      <w:r w:rsidR="00885C2F">
        <w:t>are likely to</w:t>
      </w:r>
      <w:r w:rsidR="00885C2F" w:rsidRPr="00315982">
        <w:t xml:space="preserve"> </w:t>
      </w:r>
      <w:r w:rsidRPr="00315982">
        <w:t xml:space="preserve">experience material increases </w:t>
      </w:r>
      <w:r w:rsidR="00934F5D">
        <w:t>in</w:t>
      </w:r>
      <w:r w:rsidR="00934F5D" w:rsidRPr="00315982">
        <w:t xml:space="preserve"> </w:t>
      </w:r>
      <w:r w:rsidRPr="00315982">
        <w:t xml:space="preserve">their bills and we </w:t>
      </w:r>
      <w:r w:rsidR="00934F5D">
        <w:t>a</w:t>
      </w:r>
      <w:r w:rsidRPr="00315982">
        <w:t>re work</w:t>
      </w:r>
      <w:r w:rsidR="008C09DB">
        <w:t>ing</w:t>
      </w:r>
      <w:r w:rsidRPr="00315982">
        <w:t xml:space="preserve"> with </w:t>
      </w:r>
      <w:r w:rsidR="00885C2F">
        <w:t>them</w:t>
      </w:r>
      <w:r w:rsidRPr="00315982">
        <w:t xml:space="preserve"> to determine an appropriate transition pathway</w:t>
      </w:r>
      <w:r w:rsidR="00934F5D">
        <w:t xml:space="preserve"> towards cost-reflective network pricing</w:t>
      </w:r>
      <w:r w:rsidRPr="00315982">
        <w:t>.</w:t>
      </w:r>
    </w:p>
    <w:p w14:paraId="10ABF805" w14:textId="0678A390" w:rsidR="00A64EE4" w:rsidRDefault="008C09DB" w:rsidP="00A64EE4">
      <w:pPr>
        <w:pStyle w:val="Bodycopy"/>
      </w:pPr>
      <w:r>
        <w:t>M</w:t>
      </w:r>
      <w:r w:rsidR="00A64EE4">
        <w:t>anaging suitable transition path</w:t>
      </w:r>
      <w:r>
        <w:t>s</w:t>
      </w:r>
      <w:r w:rsidR="00A64EE4">
        <w:t xml:space="preserve"> for </w:t>
      </w:r>
      <w:r>
        <w:t xml:space="preserve">all </w:t>
      </w:r>
      <w:r w:rsidR="00A64EE4">
        <w:t xml:space="preserve">our customers has been a priority for this TSS. As such, </w:t>
      </w:r>
      <w:r w:rsidR="00E141C8">
        <w:t xml:space="preserve">many of </w:t>
      </w:r>
      <w:r w:rsidR="00A64EE4">
        <w:t>o</w:t>
      </w:r>
      <w:r w:rsidR="00A64EE4" w:rsidRPr="003B38F4">
        <w:t xml:space="preserve">ur proposed tariff structures are largely identical to our existing tariff structures and will have </w:t>
      </w:r>
      <w:r>
        <w:t xml:space="preserve">no, or </w:t>
      </w:r>
      <w:r w:rsidR="00A64EE4" w:rsidRPr="003B38F4">
        <w:t>minimal</w:t>
      </w:r>
      <w:r>
        <w:t>,</w:t>
      </w:r>
      <w:r w:rsidR="00A64EE4" w:rsidRPr="003B38F4">
        <w:t xml:space="preserve"> impact on the majority of our customers. </w:t>
      </w:r>
      <w:r>
        <w:t>However, in response to stakeholder feedback</w:t>
      </w:r>
      <w:r w:rsidR="00E141C8">
        <w:t xml:space="preserve">, we have made some refinements and additions to our initial TSS to </w:t>
      </w:r>
      <w:r w:rsidR="005956E4">
        <w:t xml:space="preserve">provide the majority of customers with more tariff choices and </w:t>
      </w:r>
      <w:r>
        <w:t>facilitate</w:t>
      </w:r>
      <w:r w:rsidR="00E141C8">
        <w:t xml:space="preserve"> transition towards </w:t>
      </w:r>
      <w:r w:rsidR="005956E4">
        <w:t xml:space="preserve">cost-reflective pricing </w:t>
      </w:r>
      <w:r w:rsidR="00E141C8">
        <w:t xml:space="preserve">in our network </w:t>
      </w:r>
      <w:r w:rsidR="005956E4">
        <w:t>area</w:t>
      </w:r>
      <w:r w:rsidR="00E141C8">
        <w:t>.</w:t>
      </w:r>
    </w:p>
    <w:p w14:paraId="47246558" w14:textId="69A3A91B" w:rsidR="00901ADA" w:rsidRDefault="00D666E0" w:rsidP="007B0D2C">
      <w:pPr>
        <w:pStyle w:val="Bodycopy"/>
      </w:pPr>
      <w:r>
        <w:t>Essential Energy operates under a revenue cap control</w:t>
      </w:r>
      <w:r w:rsidR="007B0D2C">
        <w:t xml:space="preserve"> mechanism</w:t>
      </w:r>
      <w:r w:rsidR="00901ADA">
        <w:t xml:space="preserve"> which</w:t>
      </w:r>
      <w:r w:rsidR="000045AD">
        <w:t xml:space="preserve"> prevents us earning more</w:t>
      </w:r>
      <w:r w:rsidR="00FF1CBB">
        <w:t xml:space="preserve"> over time</w:t>
      </w:r>
      <w:r w:rsidR="000045AD">
        <w:t xml:space="preserve"> than the revenue the AER has determined is reasonable and efficient</w:t>
      </w:r>
      <w:r w:rsidR="007B0D2C">
        <w:t xml:space="preserve">. </w:t>
      </w:r>
    </w:p>
    <w:p w14:paraId="2D8094CF" w14:textId="51E164A3" w:rsidR="0006549F" w:rsidRDefault="0006549F" w:rsidP="007B0D2C">
      <w:pPr>
        <w:pStyle w:val="Bodycopy"/>
      </w:pPr>
      <w:r>
        <w:t>We set our tariff prices based on estimated demand levels to recover our revenue allowance</w:t>
      </w:r>
      <w:r w:rsidR="00934F5D">
        <w:t>. However,</w:t>
      </w:r>
      <w:r w:rsidR="000045AD">
        <w:t xml:space="preserve"> since</w:t>
      </w:r>
      <w:r>
        <w:t xml:space="preserve"> the level of revenue we receive is driven by actual demand levels</w:t>
      </w:r>
      <w:r w:rsidR="000045AD">
        <w:t>,</w:t>
      </w:r>
      <w:r>
        <w:t xml:space="preserve"> we tend to collect a level of revenue that differs to our regulated allowance in any year</w:t>
      </w:r>
      <w:r w:rsidR="000045AD">
        <w:t xml:space="preserve">. </w:t>
      </w:r>
      <w:r w:rsidR="00901ADA">
        <w:t>To correct this</w:t>
      </w:r>
      <w:r>
        <w:t>,</w:t>
      </w:r>
      <w:r w:rsidR="000045AD">
        <w:t xml:space="preserve"> </w:t>
      </w:r>
      <w:r w:rsidR="00901ADA">
        <w:t>we</w:t>
      </w:r>
      <w:r>
        <w:t xml:space="preserve"> adjust a following years’ prices to </w:t>
      </w:r>
      <w:r w:rsidR="000045AD">
        <w:t xml:space="preserve">either </w:t>
      </w:r>
      <w:r>
        <w:t>pay back any over-recovery</w:t>
      </w:r>
      <w:r w:rsidR="000045AD">
        <w:t>,</w:t>
      </w:r>
      <w:r>
        <w:t xml:space="preserve"> or collect any under-recovery. </w:t>
      </w:r>
    </w:p>
    <w:p w14:paraId="04022439" w14:textId="5838D8FD" w:rsidR="00A64EE4" w:rsidRPr="009F148B" w:rsidRDefault="00901ADA" w:rsidP="00403A9A">
      <w:pPr>
        <w:pStyle w:val="Bodycopy"/>
      </w:pPr>
      <w:r>
        <w:lastRenderedPageBreak/>
        <w:t xml:space="preserve">Additionally, our tariff prices </w:t>
      </w:r>
      <w:r w:rsidR="007949A3">
        <w:t>are aimed at ensuring</w:t>
      </w:r>
      <w:r w:rsidR="008B66BC">
        <w:t xml:space="preserve"> that the revenue earned from each customer </w:t>
      </w:r>
      <w:r>
        <w:t>reflects</w:t>
      </w:r>
      <w:r w:rsidR="008B66BC">
        <w:t xml:space="preserve"> how their consumption choices impact our actual network costs</w:t>
      </w:r>
      <w:r w:rsidR="007B0D2C">
        <w:t xml:space="preserve">. </w:t>
      </w:r>
      <w:r>
        <w:t>While</w:t>
      </w:r>
      <w:r w:rsidR="00A64EE4">
        <w:t xml:space="preserve"> actual network tariffs </w:t>
      </w:r>
      <w:r w:rsidR="00403A9A">
        <w:t xml:space="preserve">for </w:t>
      </w:r>
      <w:r w:rsidR="00A64EE4">
        <w:t xml:space="preserve">each year </w:t>
      </w:r>
      <w:r w:rsidR="00403A9A">
        <w:t xml:space="preserve">will be determined </w:t>
      </w:r>
      <w:r w:rsidR="00A64EE4">
        <w:t>through the AER</w:t>
      </w:r>
      <w:r w:rsidR="0012123B">
        <w:t>’s</w:t>
      </w:r>
      <w:r w:rsidR="00A64EE4">
        <w:t xml:space="preserve"> annual pricing proposal process, </w:t>
      </w:r>
      <w:r w:rsidR="007949A3">
        <w:t xml:space="preserve">they </w:t>
      </w:r>
      <w:r w:rsidR="00A64EE4">
        <w:t xml:space="preserve">must comply with the structures set out in our approved TSS. </w:t>
      </w:r>
    </w:p>
    <w:p w14:paraId="2955F093" w14:textId="687905C4" w:rsidR="009F148B" w:rsidRPr="007714F3" w:rsidRDefault="009F148B" w:rsidP="009F148B">
      <w:pPr>
        <w:pStyle w:val="Heading2"/>
        <w:ind w:left="567" w:hanging="567"/>
      </w:pPr>
      <w:bookmarkStart w:id="947" w:name="_Toc462994049"/>
      <w:bookmarkStart w:id="948" w:name="_Toc463343013"/>
      <w:r>
        <w:t>Changes</w:t>
      </w:r>
      <w:r w:rsidRPr="007714F3">
        <w:t xml:space="preserve"> from our </w:t>
      </w:r>
      <w:r>
        <w:t xml:space="preserve">initial </w:t>
      </w:r>
      <w:r w:rsidR="00B26F34">
        <w:t>TSS published in November 2015</w:t>
      </w:r>
      <w:bookmarkEnd w:id="947"/>
      <w:bookmarkEnd w:id="948"/>
    </w:p>
    <w:p w14:paraId="20FA02CC" w14:textId="3074663F" w:rsidR="00595345" w:rsidRDefault="00595345" w:rsidP="00595345">
      <w:pPr>
        <w:pStyle w:val="Bullets"/>
        <w:ind w:left="568" w:hanging="284"/>
      </w:pPr>
      <w:r w:rsidRPr="001D004A">
        <w:t xml:space="preserve">We </w:t>
      </w:r>
      <w:r>
        <w:t>will offer</w:t>
      </w:r>
      <w:r w:rsidRPr="001D004A">
        <w:t xml:space="preserve"> a flat rate tariff structure for our</w:t>
      </w:r>
      <w:r>
        <w:t xml:space="preserve"> existing</w:t>
      </w:r>
      <w:r w:rsidRPr="001D004A">
        <w:t xml:space="preserve"> small residential and</w:t>
      </w:r>
      <w:r>
        <w:t xml:space="preserve"> business customers instead of the current</w:t>
      </w:r>
      <w:r w:rsidRPr="001D004A">
        <w:t xml:space="preserve"> declining block tariff (DBT) structure</w:t>
      </w:r>
      <w:r w:rsidR="00E124E7">
        <w:t>.</w:t>
      </w:r>
    </w:p>
    <w:p w14:paraId="324A0A73" w14:textId="45AEA445" w:rsidR="00595345" w:rsidRDefault="00595345" w:rsidP="00595345">
      <w:pPr>
        <w:pStyle w:val="Bullets"/>
        <w:ind w:left="568" w:hanging="284"/>
      </w:pPr>
      <w:r w:rsidRPr="007714F3">
        <w:t xml:space="preserve">We will introduce more cost-reflective charging windows </w:t>
      </w:r>
      <w:r>
        <w:t xml:space="preserve">and associated pricing </w:t>
      </w:r>
      <w:r w:rsidRPr="007714F3">
        <w:t xml:space="preserve">to customers on </w:t>
      </w:r>
      <w:r w:rsidRPr="00E91F24">
        <w:t>time of use</w:t>
      </w:r>
      <w:r>
        <w:t xml:space="preserve"> (TOU) and demand tariffs with an interval (or higher capability) meter</w:t>
      </w:r>
      <w:r w:rsidR="0012123B">
        <w:t xml:space="preserve">. These charging windows are </w:t>
      </w:r>
      <w:r w:rsidR="00AE5CA0">
        <w:t xml:space="preserve">similar </w:t>
      </w:r>
      <w:r w:rsidR="0012123B">
        <w:t xml:space="preserve">to our existing windows, but with the morning peak window being replaced with an extension of the </w:t>
      </w:r>
      <w:r w:rsidR="00524FA4">
        <w:t>day</w:t>
      </w:r>
      <w:r w:rsidR="0012123B">
        <w:t xml:space="preserve">-time </w:t>
      </w:r>
      <w:r w:rsidR="00524FA4">
        <w:t>shoulder</w:t>
      </w:r>
      <w:r w:rsidR="0012123B">
        <w:t xml:space="preserve"> window</w:t>
      </w:r>
      <w:r w:rsidR="00E124E7">
        <w:t>.</w:t>
      </w:r>
      <w:r>
        <w:t xml:space="preserve"> </w:t>
      </w:r>
    </w:p>
    <w:p w14:paraId="5D7FBC69" w14:textId="59320D5B" w:rsidR="00595345" w:rsidRDefault="00595345" w:rsidP="00595345">
      <w:pPr>
        <w:pStyle w:val="Bullets"/>
        <w:ind w:left="568" w:hanging="284"/>
      </w:pPr>
      <w:r w:rsidRPr="00E91F24">
        <w:t xml:space="preserve">We will introduce a new </w:t>
      </w:r>
      <w:r>
        <w:t xml:space="preserve">TOU tariff structure for </w:t>
      </w:r>
      <w:r w:rsidRPr="00E91F24">
        <w:t>residential and small business customers with interval meters. Th</w:t>
      </w:r>
      <w:r w:rsidR="002F3120">
        <w:t>e</w:t>
      </w:r>
      <w:r w:rsidRPr="00E91F24">
        <w:t>s</w:t>
      </w:r>
      <w:r w:rsidR="002F3120">
        <w:t>e</w:t>
      </w:r>
      <w:r w:rsidRPr="00E91F24">
        <w:t xml:space="preserve"> TOU tariff</w:t>
      </w:r>
      <w:r w:rsidR="002F3120">
        <w:t>s</w:t>
      </w:r>
      <w:r w:rsidRPr="00E91F24">
        <w:t xml:space="preserve"> will </w:t>
      </w:r>
      <w:r w:rsidR="00457322">
        <w:t xml:space="preserve">adopt the </w:t>
      </w:r>
      <w:r w:rsidRPr="00E91F24">
        <w:t xml:space="preserve">more cost-reflective charging windows </w:t>
      </w:r>
      <w:r w:rsidR="00457322">
        <w:t xml:space="preserve">noted above, rather </w:t>
      </w:r>
      <w:r w:rsidRPr="00E91F24">
        <w:t>than</w:t>
      </w:r>
      <w:r>
        <w:t xml:space="preserve"> </w:t>
      </w:r>
      <w:r w:rsidR="00457322">
        <w:t>the legacy charging windows tha</w:t>
      </w:r>
      <w:r>
        <w:t xml:space="preserve">t </w:t>
      </w:r>
      <w:r w:rsidR="00457322">
        <w:t>are available to</w:t>
      </w:r>
      <w:r>
        <w:t xml:space="preserve"> </w:t>
      </w:r>
      <w:r w:rsidR="00457322">
        <w:t xml:space="preserve">our </w:t>
      </w:r>
      <w:r>
        <w:t xml:space="preserve">customers with basic accumulation meters </w:t>
      </w:r>
      <w:r w:rsidR="00457322">
        <w:t>with TOU capability</w:t>
      </w:r>
      <w:r w:rsidR="00E124E7">
        <w:t>,</w:t>
      </w:r>
      <w:r w:rsidR="00457322">
        <w:t xml:space="preserve"> </w:t>
      </w:r>
      <w:r>
        <w:t>or Type 5 meters</w:t>
      </w:r>
      <w:r w:rsidR="00E124E7">
        <w:t>.</w:t>
      </w:r>
    </w:p>
    <w:p w14:paraId="086BF1CC" w14:textId="27295513" w:rsidR="00595345" w:rsidRPr="00995FF8" w:rsidRDefault="00595345" w:rsidP="00595345">
      <w:pPr>
        <w:pStyle w:val="Bullets"/>
        <w:ind w:left="568" w:hanging="284"/>
      </w:pPr>
      <w:r w:rsidRPr="00995FF8">
        <w:t>We</w:t>
      </w:r>
      <w:r>
        <w:t xml:space="preserve"> will introduce opt-in demand tariff</w:t>
      </w:r>
      <w:r w:rsidR="0012123B">
        <w:t>s</w:t>
      </w:r>
      <w:r>
        <w:t xml:space="preserve"> for </w:t>
      </w:r>
      <w:r w:rsidRPr="000C665B">
        <w:t>resident</w:t>
      </w:r>
      <w:r>
        <w:t>ial and small business customers</w:t>
      </w:r>
      <w:r w:rsidR="00E124E7">
        <w:t>.</w:t>
      </w:r>
      <w:r>
        <w:t xml:space="preserve"> </w:t>
      </w:r>
    </w:p>
    <w:p w14:paraId="3027D6EF" w14:textId="343A6AB2" w:rsidR="00595345" w:rsidRDefault="00EC3035" w:rsidP="00595345">
      <w:pPr>
        <w:pStyle w:val="Bullets"/>
        <w:ind w:left="568" w:hanging="284"/>
      </w:pPr>
      <w:r>
        <w:t>From 1 July 20</w:t>
      </w:r>
      <w:r w:rsidR="003D0B6F">
        <w:t>1</w:t>
      </w:r>
      <w:r>
        <w:t>8 a</w:t>
      </w:r>
      <w:r w:rsidR="00595345">
        <w:t xml:space="preserve">ll new connections, meter upgrades and </w:t>
      </w:r>
      <w:r>
        <w:t xml:space="preserve">new </w:t>
      </w:r>
      <w:r w:rsidR="00595345">
        <w:t>solar PV installations for residential and small business customers will be assigned to the TOU tariff appropriate to their metering technology in the first instance, with the option to opt-out to an alternative tariff</w:t>
      </w:r>
      <w:r w:rsidR="00E124E7">
        <w:t>.</w:t>
      </w:r>
    </w:p>
    <w:p w14:paraId="42FBA5EA" w14:textId="746FA481" w:rsidR="00B26F34" w:rsidRPr="00830F2E" w:rsidRDefault="00595345" w:rsidP="00595345">
      <w:pPr>
        <w:pStyle w:val="Bullets"/>
        <w:ind w:left="568" w:hanging="284"/>
      </w:pPr>
      <w:r>
        <w:t>We will implement a specific transition</w:t>
      </w:r>
      <w:r w:rsidR="006B5AE6">
        <w:t>al</w:t>
      </w:r>
      <w:r>
        <w:t xml:space="preserve"> tariff for </w:t>
      </w:r>
      <w:r w:rsidR="00172594">
        <w:t>approximately 1,000</w:t>
      </w:r>
      <w:r w:rsidRPr="005500DE">
        <w:t xml:space="preserve"> low voltage business</w:t>
      </w:r>
      <w:r>
        <w:t xml:space="preserve"> customers </w:t>
      </w:r>
      <w:r w:rsidRPr="005B5A29">
        <w:t xml:space="preserve">currently </w:t>
      </w:r>
      <w:r>
        <w:t xml:space="preserve">assigned to </w:t>
      </w:r>
      <w:r w:rsidRPr="005B5A29">
        <w:t xml:space="preserve">an incorrect tariff </w:t>
      </w:r>
      <w:r w:rsidR="00E124E7">
        <w:t>who</w:t>
      </w:r>
      <w:r w:rsidR="00E124E7" w:rsidRPr="005B5A29">
        <w:t xml:space="preserve"> </w:t>
      </w:r>
      <w:r w:rsidRPr="005B5A29">
        <w:t>need to move to a demand based tariff and</w:t>
      </w:r>
      <w:r w:rsidR="006D67D7">
        <w:t>,</w:t>
      </w:r>
      <w:r w:rsidRPr="005B5A29">
        <w:t xml:space="preserve"> in doing so</w:t>
      </w:r>
      <w:r w:rsidR="006D67D7">
        <w:t>,</w:t>
      </w:r>
      <w:r w:rsidRPr="005B5A29">
        <w:t xml:space="preserve"> will experience an increase in their bills</w:t>
      </w:r>
      <w:r>
        <w:t>.</w:t>
      </w:r>
    </w:p>
    <w:p w14:paraId="6F4091BF" w14:textId="2DF92424" w:rsidR="009F148B" w:rsidRDefault="009F148B" w:rsidP="009F148B">
      <w:pPr>
        <w:pStyle w:val="Heading2"/>
        <w:ind w:left="567" w:hanging="567"/>
      </w:pPr>
      <w:bookmarkStart w:id="949" w:name="_Toc462994050"/>
      <w:bookmarkStart w:id="950" w:name="_Toc463343014"/>
      <w:r>
        <w:t>What has not changed following the AER’s draft decision</w:t>
      </w:r>
      <w:bookmarkEnd w:id="949"/>
      <w:bookmarkEnd w:id="950"/>
    </w:p>
    <w:p w14:paraId="0DDB949E" w14:textId="70C5ED3B" w:rsidR="001F2F4A" w:rsidRPr="007714F3" w:rsidRDefault="00E124E7" w:rsidP="001F2F4A">
      <w:pPr>
        <w:pStyle w:val="Bullets"/>
        <w:ind w:left="568" w:hanging="284"/>
      </w:pPr>
      <w:r>
        <w:t>Given the cost imposition for customers and the introduction of meter contestability from 1 December 2017, w</w:t>
      </w:r>
      <w:r w:rsidR="001F2F4A" w:rsidRPr="007714F3">
        <w:t xml:space="preserve">e have not altered the proposed charging windows for </w:t>
      </w:r>
      <w:r w:rsidR="0012123B">
        <w:t xml:space="preserve">existing </w:t>
      </w:r>
      <w:r w:rsidR="001F2F4A" w:rsidRPr="007714F3">
        <w:t>TOU customers with basic accumulation meters</w:t>
      </w:r>
      <w:r>
        <w:t>.</w:t>
      </w:r>
    </w:p>
    <w:p w14:paraId="41C976B3" w14:textId="0707096E" w:rsidR="00757A12" w:rsidRDefault="00E124E7" w:rsidP="00757A12">
      <w:pPr>
        <w:pStyle w:val="Bullets"/>
        <w:ind w:left="568" w:hanging="284"/>
      </w:pPr>
      <w:r>
        <w:t>Since</w:t>
      </w:r>
      <w:r w:rsidR="00757A12" w:rsidRPr="007714F3">
        <w:t xml:space="preserve"> some areas </w:t>
      </w:r>
      <w:r w:rsidR="00757A12">
        <w:t xml:space="preserve">of our network peak in winter, </w:t>
      </w:r>
      <w:r w:rsidR="00757A12" w:rsidRPr="007714F3">
        <w:t xml:space="preserve">others in summer </w:t>
      </w:r>
      <w:r w:rsidR="00757A12">
        <w:t>and many in both seasons</w:t>
      </w:r>
      <w:r>
        <w:t>, we have not implemented seasonal TOU windows</w:t>
      </w:r>
      <w:r w:rsidR="00757A12">
        <w:t>.</w:t>
      </w:r>
      <w:bookmarkStart w:id="951" w:name="_Toc459043052"/>
      <w:bookmarkStart w:id="952" w:name="_Toc459043713"/>
      <w:bookmarkStart w:id="953" w:name="_Toc459043053"/>
      <w:bookmarkStart w:id="954" w:name="_Toc459043714"/>
      <w:bookmarkStart w:id="955" w:name="_Toc459043054"/>
      <w:bookmarkStart w:id="956" w:name="_Toc459043715"/>
      <w:bookmarkStart w:id="957" w:name="_Toc459043055"/>
      <w:bookmarkStart w:id="958" w:name="_Toc459043716"/>
      <w:bookmarkStart w:id="959" w:name="_Toc459043056"/>
      <w:bookmarkStart w:id="960" w:name="_Toc459043717"/>
      <w:bookmarkStart w:id="961" w:name="_Toc459043057"/>
      <w:bookmarkStart w:id="962" w:name="_Toc459043718"/>
      <w:bookmarkStart w:id="963" w:name="_Toc459043058"/>
      <w:bookmarkStart w:id="964" w:name="_Toc459043719"/>
      <w:bookmarkStart w:id="965" w:name="_Toc459043059"/>
      <w:bookmarkStart w:id="966" w:name="_Toc459043720"/>
      <w:bookmarkStart w:id="967" w:name="_Toc459043060"/>
      <w:bookmarkStart w:id="968" w:name="_Toc459043721"/>
      <w:bookmarkStart w:id="969" w:name="_Toc459043061"/>
      <w:bookmarkStart w:id="970" w:name="_Toc459043722"/>
      <w:bookmarkStart w:id="971" w:name="_Toc459043062"/>
      <w:bookmarkStart w:id="972" w:name="_Toc459043723"/>
      <w:bookmarkStart w:id="973" w:name="_Toc459043063"/>
      <w:bookmarkStart w:id="974" w:name="_Toc459043724"/>
      <w:bookmarkStart w:id="975" w:name="_Toc459043064"/>
      <w:bookmarkStart w:id="976" w:name="_Toc459043725"/>
      <w:bookmarkStart w:id="977" w:name="_Toc459043065"/>
      <w:bookmarkStart w:id="978" w:name="_Toc459043726"/>
      <w:bookmarkStart w:id="979" w:name="_Toc459043066"/>
      <w:bookmarkStart w:id="980" w:name="_Toc459043727"/>
      <w:bookmarkStart w:id="981" w:name="_Toc459043067"/>
      <w:bookmarkStart w:id="982" w:name="_Toc459043728"/>
      <w:bookmarkStart w:id="983" w:name="_Toc459043068"/>
      <w:bookmarkStart w:id="984" w:name="_Toc459043729"/>
      <w:bookmarkStart w:id="985" w:name="_Toc459043069"/>
      <w:bookmarkStart w:id="986" w:name="_Toc459043730"/>
      <w:bookmarkStart w:id="987" w:name="_Toc459043070"/>
      <w:bookmarkStart w:id="988" w:name="_Toc459043731"/>
      <w:bookmarkStart w:id="989" w:name="_Toc459043071"/>
      <w:bookmarkStart w:id="990" w:name="_Toc459043732"/>
      <w:bookmarkStart w:id="991" w:name="_Toc459043072"/>
      <w:bookmarkStart w:id="992" w:name="_Toc459043733"/>
      <w:bookmarkStart w:id="993" w:name="_Toc459043073"/>
      <w:bookmarkStart w:id="994" w:name="_Toc459043734"/>
      <w:bookmarkStart w:id="995" w:name="_Toc459043074"/>
      <w:bookmarkStart w:id="996" w:name="_Toc459043735"/>
      <w:bookmarkStart w:id="997" w:name="_Toc459043075"/>
      <w:bookmarkStart w:id="998" w:name="_Toc459043736"/>
      <w:bookmarkStart w:id="999" w:name="_Toc459043076"/>
      <w:bookmarkStart w:id="1000" w:name="_Toc459043737"/>
      <w:bookmarkStart w:id="1001" w:name="_Toc459043077"/>
      <w:bookmarkStart w:id="1002" w:name="_Toc459043738"/>
      <w:bookmarkStart w:id="1003" w:name="_Toc459043078"/>
      <w:bookmarkStart w:id="1004" w:name="_Toc459043739"/>
      <w:bookmarkStart w:id="1005" w:name="_Toc459043079"/>
      <w:bookmarkStart w:id="1006" w:name="_Toc459043740"/>
      <w:bookmarkStart w:id="1007" w:name="_Toc459043080"/>
      <w:bookmarkStart w:id="1008" w:name="_Toc459043741"/>
      <w:bookmarkStart w:id="1009" w:name="_Toc459043081"/>
      <w:bookmarkStart w:id="1010" w:name="_Toc459043742"/>
      <w:bookmarkStart w:id="1011" w:name="_Toc459043082"/>
      <w:bookmarkStart w:id="1012" w:name="_Toc459043743"/>
      <w:bookmarkStart w:id="1013" w:name="_Toc459043083"/>
      <w:bookmarkStart w:id="1014" w:name="_Toc459043744"/>
      <w:bookmarkStart w:id="1015" w:name="_Toc459043084"/>
      <w:bookmarkStart w:id="1016" w:name="_Toc459043745"/>
      <w:bookmarkStart w:id="1017" w:name="_Toc459043085"/>
      <w:bookmarkStart w:id="1018" w:name="_Toc459043746"/>
      <w:bookmarkStart w:id="1019" w:name="_Toc459043086"/>
      <w:bookmarkStart w:id="1020" w:name="_Toc459043747"/>
      <w:bookmarkStart w:id="1021" w:name="_Toc459043087"/>
      <w:bookmarkStart w:id="1022" w:name="_Toc459043748"/>
      <w:bookmarkStart w:id="1023" w:name="_Toc459043088"/>
      <w:bookmarkStart w:id="1024" w:name="_Toc459043749"/>
      <w:bookmarkStart w:id="1025" w:name="_Toc459043089"/>
      <w:bookmarkStart w:id="1026" w:name="_Toc459043750"/>
      <w:bookmarkStart w:id="1027" w:name="_Toc459043090"/>
      <w:bookmarkStart w:id="1028" w:name="_Toc459043751"/>
      <w:bookmarkStart w:id="1029" w:name="_Toc459043091"/>
      <w:bookmarkStart w:id="1030" w:name="_Toc459043752"/>
      <w:bookmarkStart w:id="1031" w:name="_Toc459043092"/>
      <w:bookmarkStart w:id="1032" w:name="_Toc459043753"/>
      <w:bookmarkStart w:id="1033" w:name="_Toc459043093"/>
      <w:bookmarkStart w:id="1034" w:name="_Toc459043754"/>
      <w:bookmarkStart w:id="1035" w:name="_Toc459043094"/>
      <w:bookmarkStart w:id="1036" w:name="_Toc459043755"/>
      <w:bookmarkStart w:id="1037" w:name="_Toc459043095"/>
      <w:bookmarkStart w:id="1038" w:name="_Toc459043756"/>
      <w:bookmarkStart w:id="1039" w:name="_Toc459043096"/>
      <w:bookmarkStart w:id="1040" w:name="_Toc459043757"/>
      <w:bookmarkStart w:id="1041" w:name="_Toc459043097"/>
      <w:bookmarkStart w:id="1042" w:name="_Toc459043758"/>
      <w:bookmarkStart w:id="1043" w:name="_Toc459043098"/>
      <w:bookmarkStart w:id="1044" w:name="_Toc459043759"/>
      <w:bookmarkStart w:id="1045" w:name="_Toc459043099"/>
      <w:bookmarkStart w:id="1046" w:name="_Toc459043760"/>
      <w:bookmarkStart w:id="1047" w:name="_Toc459043100"/>
      <w:bookmarkStart w:id="1048" w:name="_Toc459043761"/>
      <w:bookmarkStart w:id="1049" w:name="_Toc459043101"/>
      <w:bookmarkStart w:id="1050" w:name="_Toc459043762"/>
      <w:bookmarkStart w:id="1051" w:name="_Toc459043102"/>
      <w:bookmarkStart w:id="1052" w:name="_Toc459043763"/>
      <w:bookmarkStart w:id="1053" w:name="_Toc459043103"/>
      <w:bookmarkStart w:id="1054" w:name="_Toc459043764"/>
      <w:bookmarkStart w:id="1055" w:name="_Toc459043104"/>
      <w:bookmarkStart w:id="1056" w:name="_Toc459043765"/>
      <w:bookmarkStart w:id="1057" w:name="_Toc459043105"/>
      <w:bookmarkStart w:id="1058" w:name="_Toc459043766"/>
      <w:bookmarkStart w:id="1059" w:name="_Toc459043106"/>
      <w:bookmarkStart w:id="1060" w:name="_Toc459043767"/>
      <w:bookmarkStart w:id="1061" w:name="_Toc459043107"/>
      <w:bookmarkStart w:id="1062" w:name="_Toc459043768"/>
      <w:bookmarkStart w:id="1063" w:name="_Toc459043108"/>
      <w:bookmarkStart w:id="1064" w:name="_Toc459043769"/>
      <w:bookmarkStart w:id="1065" w:name="_Toc459043109"/>
      <w:bookmarkStart w:id="1066" w:name="_Toc459043770"/>
      <w:bookmarkStart w:id="1067" w:name="_Toc459043110"/>
      <w:bookmarkStart w:id="1068" w:name="_Toc459043771"/>
      <w:bookmarkStart w:id="1069" w:name="_Toc459043111"/>
      <w:bookmarkStart w:id="1070" w:name="_Toc459043772"/>
      <w:bookmarkStart w:id="1071" w:name="_Toc459043112"/>
      <w:bookmarkStart w:id="1072" w:name="_Toc459043773"/>
      <w:bookmarkStart w:id="1073" w:name="_Toc459043113"/>
      <w:bookmarkStart w:id="1074" w:name="_Toc459043774"/>
      <w:bookmarkStart w:id="1075" w:name="_Toc459043114"/>
      <w:bookmarkStart w:id="1076" w:name="_Toc459043775"/>
      <w:bookmarkStart w:id="1077" w:name="_Toc459043115"/>
      <w:bookmarkStart w:id="1078" w:name="_Toc459043776"/>
      <w:bookmarkStart w:id="1079" w:name="_Toc459043116"/>
      <w:bookmarkStart w:id="1080" w:name="_Toc459043777"/>
      <w:bookmarkStart w:id="1081" w:name="_Toc459043117"/>
      <w:bookmarkStart w:id="1082" w:name="_Toc459043778"/>
      <w:bookmarkStart w:id="1083" w:name="_Toc459043118"/>
      <w:bookmarkStart w:id="1084" w:name="_Toc459043779"/>
      <w:bookmarkStart w:id="1085" w:name="_Toc459043119"/>
      <w:bookmarkStart w:id="1086" w:name="_Toc45904378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r w:rsidR="00757A12">
        <w:t xml:space="preserve"> This decision is supported by most</w:t>
      </w:r>
      <w:r>
        <w:t xml:space="preserve"> of</w:t>
      </w:r>
      <w:r w:rsidR="00757A12">
        <w:t xml:space="preserve"> our customers and stakeholders</w:t>
      </w:r>
      <w:r>
        <w:t>,</w:t>
      </w:r>
      <w:r w:rsidR="00757A12">
        <w:t xml:space="preserve"> who have </w:t>
      </w:r>
      <w:r>
        <w:t>stated</w:t>
      </w:r>
      <w:r w:rsidR="00757A12">
        <w:t xml:space="preserve"> that they favour simplicity in tariff design. </w:t>
      </w:r>
      <w:r w:rsidR="00757A12" w:rsidRPr="00BF15C1">
        <w:rPr>
          <w:lang w:eastAsia="en-AU"/>
        </w:rPr>
        <w:t xml:space="preserve">On </w:t>
      </w:r>
      <w:r>
        <w:rPr>
          <w:lang w:eastAsia="en-AU"/>
        </w:rPr>
        <w:t>review</w:t>
      </w:r>
      <w:r w:rsidR="00757A12" w:rsidRPr="00BF15C1">
        <w:rPr>
          <w:lang w:eastAsia="en-AU"/>
        </w:rPr>
        <w:t>, seasonal tariffs were seen as</w:t>
      </w:r>
      <w:r w:rsidR="00757A12" w:rsidRPr="00EC56A5">
        <w:rPr>
          <w:lang w:eastAsia="en-AU"/>
        </w:rPr>
        <w:t xml:space="preserve"> </w:t>
      </w:r>
      <w:r w:rsidR="00757A12">
        <w:rPr>
          <w:lang w:eastAsia="en-AU"/>
        </w:rPr>
        <w:t xml:space="preserve">adding increased </w:t>
      </w:r>
      <w:r w:rsidR="003D5E78">
        <w:rPr>
          <w:lang w:eastAsia="en-AU"/>
        </w:rPr>
        <w:t>potential for significant seasonal price fluctuations</w:t>
      </w:r>
      <w:r w:rsidR="00757A12">
        <w:rPr>
          <w:lang w:eastAsia="en-AU"/>
        </w:rPr>
        <w:t xml:space="preserve"> to customer bills</w:t>
      </w:r>
      <w:r w:rsidR="004F0846">
        <w:rPr>
          <w:lang w:eastAsia="en-AU"/>
        </w:rPr>
        <w:t>,</w:t>
      </w:r>
      <w:r w:rsidR="00757A12">
        <w:rPr>
          <w:lang w:eastAsia="en-AU"/>
        </w:rPr>
        <w:t xml:space="preserve"> and</w:t>
      </w:r>
      <w:r w:rsidR="00757A12" w:rsidRPr="00BF15C1">
        <w:rPr>
          <w:lang w:eastAsia="en-AU"/>
        </w:rPr>
        <w:t xml:space="preserve"> a layer of complexity that should be avoided if possible.</w:t>
      </w:r>
      <w:r w:rsidR="00FF1CBB">
        <w:rPr>
          <w:lang w:eastAsia="en-AU"/>
        </w:rPr>
        <w:t xml:space="preserve"> Implementing seasonal tariffs for our accumulation meters with TOU capability would also involve a significant annual cost to customers that was not clearly outweighed by the benefits.</w:t>
      </w:r>
    </w:p>
    <w:p w14:paraId="6B4A64E1" w14:textId="77777777" w:rsidR="00995FF8" w:rsidRDefault="00995FF8" w:rsidP="00995FF8">
      <w:pPr>
        <w:pStyle w:val="Bodycopy"/>
      </w:pPr>
      <w:r>
        <w:br w:type="page"/>
      </w:r>
    </w:p>
    <w:p w14:paraId="5BD31B69" w14:textId="3D3D9EEF" w:rsidR="00F96AA4" w:rsidRDefault="00BD1636" w:rsidP="00B020D5">
      <w:pPr>
        <w:pStyle w:val="Heading1"/>
      </w:pPr>
      <w:bookmarkStart w:id="1087" w:name="_Toc458682999"/>
      <w:bookmarkStart w:id="1088" w:name="_Toc458684236"/>
      <w:bookmarkStart w:id="1089" w:name="_Toc458686823"/>
      <w:bookmarkStart w:id="1090" w:name="_Toc458683002"/>
      <w:bookmarkStart w:id="1091" w:name="_Toc458684239"/>
      <w:bookmarkStart w:id="1092" w:name="_Toc458686826"/>
      <w:bookmarkStart w:id="1093" w:name="_Toc458683003"/>
      <w:bookmarkStart w:id="1094" w:name="_Toc458684240"/>
      <w:bookmarkStart w:id="1095" w:name="_Toc458686827"/>
      <w:bookmarkStart w:id="1096" w:name="_Toc458683004"/>
      <w:bookmarkStart w:id="1097" w:name="_Toc458684241"/>
      <w:bookmarkStart w:id="1098" w:name="_Toc458686828"/>
      <w:bookmarkStart w:id="1099" w:name="_Toc458686829"/>
      <w:bookmarkStart w:id="1100" w:name="_Toc432173089"/>
      <w:bookmarkStart w:id="1101" w:name="_Toc432174549"/>
      <w:bookmarkStart w:id="1102" w:name="_Toc432597626"/>
      <w:bookmarkStart w:id="1103" w:name="_Toc434839536"/>
      <w:bookmarkStart w:id="1104" w:name="_Toc435177061"/>
      <w:bookmarkStart w:id="1105" w:name="_Toc435454568"/>
      <w:bookmarkStart w:id="1106" w:name="_Toc435608314"/>
      <w:bookmarkStart w:id="1107" w:name="_Toc435629534"/>
      <w:bookmarkStart w:id="1108" w:name="_Toc436127267"/>
      <w:bookmarkStart w:id="1109" w:name="_Toc436226301"/>
      <w:bookmarkStart w:id="1110" w:name="_Toc436304818"/>
      <w:bookmarkStart w:id="1111" w:name="_Ref458689647"/>
      <w:bookmarkStart w:id="1112" w:name="_Ref461462665"/>
      <w:bookmarkStart w:id="1113" w:name="_Ref461462726"/>
      <w:bookmarkStart w:id="1114" w:name="_Ref461462727"/>
      <w:bookmarkStart w:id="1115" w:name="_Toc462994051"/>
      <w:bookmarkStart w:id="1116" w:name="_Toc463343015"/>
      <w:bookmarkEnd w:id="1087"/>
      <w:bookmarkEnd w:id="1088"/>
      <w:bookmarkEnd w:id="1089"/>
      <w:bookmarkEnd w:id="1090"/>
      <w:bookmarkEnd w:id="1091"/>
      <w:bookmarkEnd w:id="1092"/>
      <w:bookmarkEnd w:id="1093"/>
      <w:bookmarkEnd w:id="1094"/>
      <w:bookmarkEnd w:id="1095"/>
      <w:bookmarkEnd w:id="1096"/>
      <w:bookmarkEnd w:id="1097"/>
      <w:bookmarkEnd w:id="1098"/>
      <w:bookmarkEnd w:id="1099"/>
      <w:r>
        <w:lastRenderedPageBreak/>
        <w:t>Assigning customers to tariffs</w:t>
      </w:r>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r>
        <w:t xml:space="preserve"> </w:t>
      </w:r>
    </w:p>
    <w:p w14:paraId="567635C3" w14:textId="2702EFEC" w:rsidR="003516DD" w:rsidRDefault="003516DD" w:rsidP="003516DD">
      <w:pPr>
        <w:pStyle w:val="Heading2"/>
      </w:pPr>
      <w:bookmarkStart w:id="1117" w:name="_Toc462994052"/>
      <w:bookmarkStart w:id="1118" w:name="_Toc463343016"/>
      <w:r>
        <w:t>Default tariff assignment</w:t>
      </w:r>
      <w:bookmarkEnd w:id="1117"/>
      <w:bookmarkEnd w:id="1118"/>
    </w:p>
    <w:p w14:paraId="4220FA56" w14:textId="4E560E7A" w:rsidR="002C4864" w:rsidRDefault="002C4864" w:rsidP="002C4864">
      <w:pPr>
        <w:pStyle w:val="Bodycopy"/>
      </w:pPr>
      <w:r w:rsidRPr="00B63084">
        <w:rPr>
          <w:rFonts w:cs="Arial"/>
        </w:rPr>
        <w:t xml:space="preserve">Customers are assigned to tariffs based on </w:t>
      </w:r>
      <w:r w:rsidRPr="00B63084">
        <w:t>their technical properties</w:t>
      </w:r>
      <w:r>
        <w:t>,</w:t>
      </w:r>
      <w:r w:rsidRPr="00B63084">
        <w:t xml:space="preserve"> such as their load (demand and/or usage),</w:t>
      </w:r>
      <w:r>
        <w:t xml:space="preserve"> the voltage level at which they are connected to the network</w:t>
      </w:r>
      <w:r w:rsidRPr="007C7044">
        <w:t xml:space="preserve"> and</w:t>
      </w:r>
      <w:r w:rsidRPr="00B63084">
        <w:t xml:space="preserve"> their metering characteristics (meter type).</w:t>
      </w:r>
    </w:p>
    <w:p w14:paraId="06307EE7" w14:textId="77777777" w:rsidR="002C4864" w:rsidRPr="00B72705" w:rsidRDefault="002C4864" w:rsidP="002C4864">
      <w:pPr>
        <w:pStyle w:val="Bodycopy"/>
      </w:pPr>
      <w:r w:rsidRPr="00B72705">
        <w:t>Essential Energy uses the following system of assessment to assign or reassign customers to an appropriate tariff:</w:t>
      </w:r>
    </w:p>
    <w:p w14:paraId="0D81063D" w14:textId="77777777" w:rsidR="002C4864" w:rsidRPr="00B72705" w:rsidRDefault="002C4864" w:rsidP="002D5531">
      <w:pPr>
        <w:pStyle w:val="Numberednotindented"/>
        <w:numPr>
          <w:ilvl w:val="0"/>
          <w:numId w:val="16"/>
        </w:numPr>
        <w:ind w:left="350" w:hanging="350"/>
      </w:pPr>
      <w:r w:rsidRPr="00B72705">
        <w:t>Assign the customer to the appropriate tariff class based on the tarif</w:t>
      </w:r>
      <w:r>
        <w:t>f class criteria</w:t>
      </w:r>
      <w:r w:rsidRPr="00B72705">
        <w:t>.</w:t>
      </w:r>
    </w:p>
    <w:p w14:paraId="29D90CFB" w14:textId="092F076D" w:rsidR="002C4864" w:rsidRPr="00B72705" w:rsidRDefault="002C4864" w:rsidP="00445FD0">
      <w:pPr>
        <w:pStyle w:val="Numberednotindented"/>
      </w:pPr>
      <w:r w:rsidRPr="00B72705">
        <w:t>Assign the customer to the appropriate t</w:t>
      </w:r>
      <w:r>
        <w:t xml:space="preserve">ariff within the tariff class. </w:t>
      </w:r>
      <w:r w:rsidRPr="00B72705">
        <w:t>This is based on the customer’s connection, load and metering characteristics, as well as the customer type</w:t>
      </w:r>
      <w:r w:rsidR="00317F23">
        <w:t>;</w:t>
      </w:r>
      <w:r>
        <w:t xml:space="preserve"> for example,</w:t>
      </w:r>
      <w:r w:rsidRPr="00B72705">
        <w:t xml:space="preserve"> residential or business.</w:t>
      </w:r>
      <w:r w:rsidR="003516DD">
        <w:t xml:space="preserve"> Such an assignment might be the result of an Essential Energy review or a customer request</w:t>
      </w:r>
      <w:r w:rsidR="00317F23">
        <w:t xml:space="preserve"> through their Retailer</w:t>
      </w:r>
      <w:r w:rsidR="003D5E78">
        <w:t>.</w:t>
      </w:r>
    </w:p>
    <w:p w14:paraId="06D3C337" w14:textId="277D4382" w:rsidR="002C4864" w:rsidRDefault="002C4864" w:rsidP="00445FD0">
      <w:pPr>
        <w:pStyle w:val="Bodycopy"/>
      </w:pPr>
      <w:r w:rsidRPr="00B72705">
        <w:t xml:space="preserve">Tariff assignment occurs when a customer </w:t>
      </w:r>
      <w:r w:rsidR="00B546D9">
        <w:t xml:space="preserve">starts </w:t>
      </w:r>
      <w:r>
        <w:t>consum</w:t>
      </w:r>
      <w:r w:rsidR="00B546D9">
        <w:t>ing</w:t>
      </w:r>
      <w:r>
        <w:t xml:space="preserve"> electricity from a new connection point. Essential Energy uses the estimated information collected from the Retailer’s service order in conjunction with the system of assessment outlined above to assign the new customer to the appropriate tariff</w:t>
      </w:r>
      <w:r w:rsidRPr="006904EB">
        <w:t>. For a change of occupancy, Essential Energy will normally assign the customer to the tariff that previously existed at the premises.</w:t>
      </w:r>
      <w:r>
        <w:t xml:space="preserve"> </w:t>
      </w:r>
    </w:p>
    <w:p w14:paraId="3E4E6207" w14:textId="28E9C0A9" w:rsidR="00945F00" w:rsidRDefault="00945F00" w:rsidP="00945F00">
      <w:pPr>
        <w:pStyle w:val="Heading2"/>
      </w:pPr>
      <w:bookmarkStart w:id="1119" w:name="_Toc462994053"/>
      <w:bookmarkStart w:id="1120" w:name="_Toc463343017"/>
      <w:r>
        <w:t>Tariff reassignment</w:t>
      </w:r>
      <w:bookmarkEnd w:id="1119"/>
      <w:bookmarkEnd w:id="1120"/>
    </w:p>
    <w:p w14:paraId="04F4DA25" w14:textId="684A0834" w:rsidR="002C4864" w:rsidRDefault="002C4864" w:rsidP="002C4864">
      <w:pPr>
        <w:pStyle w:val="Bodycopy"/>
      </w:pPr>
      <w:r>
        <w:t>When a customer is assigned to a tariff, that tariff will continue to apply until such time as</w:t>
      </w:r>
      <w:r w:rsidR="00B546D9">
        <w:t>:</w:t>
      </w:r>
    </w:p>
    <w:p w14:paraId="2E028989" w14:textId="77777777" w:rsidR="00945F00" w:rsidRDefault="002C4864" w:rsidP="002C4864">
      <w:pPr>
        <w:pStyle w:val="Bullets"/>
      </w:pPr>
      <w:r w:rsidRPr="00C104DC">
        <w:t xml:space="preserve">Essential Energy receives a request from the </w:t>
      </w:r>
      <w:r w:rsidRPr="00704613">
        <w:t>customer’s</w:t>
      </w:r>
      <w:r w:rsidRPr="00C104DC">
        <w:t xml:space="preserve"> </w:t>
      </w:r>
      <w:r>
        <w:rPr>
          <w:i/>
        </w:rPr>
        <w:t>R</w:t>
      </w:r>
      <w:r w:rsidRPr="00C104DC">
        <w:rPr>
          <w:i/>
        </w:rPr>
        <w:t>etailer</w:t>
      </w:r>
      <w:r w:rsidRPr="00C104DC">
        <w:t xml:space="preserve"> to review the </w:t>
      </w:r>
      <w:r w:rsidRPr="00EF0FE7">
        <w:rPr>
          <w:i/>
        </w:rPr>
        <w:t>tariff</w:t>
      </w:r>
      <w:r w:rsidRPr="00C104DC">
        <w:t xml:space="preserve"> to which the existing </w:t>
      </w:r>
      <w:r w:rsidRPr="00C104DC">
        <w:rPr>
          <w:i/>
        </w:rPr>
        <w:t>customer</w:t>
      </w:r>
      <w:r w:rsidRPr="00C104DC">
        <w:t xml:space="preserve"> is assigned</w:t>
      </w:r>
      <w:r>
        <w:t xml:space="preserve"> as a result of</w:t>
      </w:r>
      <w:r w:rsidR="00945F00">
        <w:t>:</w:t>
      </w:r>
    </w:p>
    <w:p w14:paraId="778FB18B" w14:textId="0A8E02B9" w:rsidR="00945F00" w:rsidRDefault="00945F00" w:rsidP="00945F00">
      <w:pPr>
        <w:pStyle w:val="Bullets"/>
        <w:numPr>
          <w:ilvl w:val="1"/>
          <w:numId w:val="4"/>
        </w:numPr>
      </w:pPr>
      <w:r>
        <w:t>A</w:t>
      </w:r>
      <w:r w:rsidR="002C4864">
        <w:t xml:space="preserve"> </w:t>
      </w:r>
      <w:r>
        <w:t>customer request, for example a customer wants to move to an opt-in demand tariff</w:t>
      </w:r>
      <w:r w:rsidR="0015493F">
        <w:t>,</w:t>
      </w:r>
      <w:r>
        <w:t xml:space="preserve"> or</w:t>
      </w:r>
    </w:p>
    <w:p w14:paraId="406163A8" w14:textId="46E28BE7" w:rsidR="002C4864" w:rsidRPr="00F948AA" w:rsidRDefault="00945F00" w:rsidP="00945F00">
      <w:pPr>
        <w:pStyle w:val="Bullets"/>
        <w:numPr>
          <w:ilvl w:val="1"/>
          <w:numId w:val="4"/>
        </w:numPr>
      </w:pPr>
      <w:r>
        <w:t xml:space="preserve">A </w:t>
      </w:r>
      <w:r w:rsidR="002C4864">
        <w:t>change in the</w:t>
      </w:r>
      <w:r w:rsidR="002C4864" w:rsidRPr="00EF0FE7">
        <w:rPr>
          <w:i/>
        </w:rPr>
        <w:t xml:space="preserve"> </w:t>
      </w:r>
      <w:r w:rsidR="002C4864" w:rsidRPr="00F23B7D">
        <w:rPr>
          <w:i/>
        </w:rPr>
        <w:t>customer’s</w:t>
      </w:r>
      <w:r w:rsidR="002C4864" w:rsidRPr="00F23B7D">
        <w:t xml:space="preserve"> </w:t>
      </w:r>
      <w:r w:rsidR="002C4864" w:rsidRPr="00C104DC">
        <w:rPr>
          <w:i/>
        </w:rPr>
        <w:t>load</w:t>
      </w:r>
      <w:r w:rsidR="002C4864" w:rsidRPr="00F23B7D">
        <w:rPr>
          <w:i/>
        </w:rPr>
        <w:t xml:space="preserve">, </w:t>
      </w:r>
      <w:r w:rsidR="002C4864" w:rsidRPr="00C104DC">
        <w:rPr>
          <w:i/>
        </w:rPr>
        <w:t>connection</w:t>
      </w:r>
      <w:r w:rsidR="002C4864" w:rsidRPr="0046503B">
        <w:t xml:space="preserve"> </w:t>
      </w:r>
      <w:r w:rsidR="002C4864">
        <w:t>and/</w:t>
      </w:r>
      <w:r w:rsidR="002C4864" w:rsidRPr="00CE5117">
        <w:t xml:space="preserve">or </w:t>
      </w:r>
      <w:r w:rsidR="002C4864" w:rsidRPr="00C104DC">
        <w:rPr>
          <w:i/>
        </w:rPr>
        <w:t>metering characteristics</w:t>
      </w:r>
      <w:r w:rsidR="002C4864">
        <w:t xml:space="preserve"> (i.e. </w:t>
      </w:r>
      <w:r w:rsidR="002C4864">
        <w:rPr>
          <w:i/>
        </w:rPr>
        <w:t xml:space="preserve">Retailer </w:t>
      </w:r>
      <w:r w:rsidR="002C4864">
        <w:t xml:space="preserve">applies for a </w:t>
      </w:r>
      <w:r w:rsidR="002C4864" w:rsidRPr="00704613">
        <w:rPr>
          <w:i/>
        </w:rPr>
        <w:t>tariff</w:t>
      </w:r>
      <w:r w:rsidR="002C4864">
        <w:t xml:space="preserve"> reassignment on behalf of the </w:t>
      </w:r>
      <w:r w:rsidR="002C4864">
        <w:rPr>
          <w:i/>
        </w:rPr>
        <w:t>customer</w:t>
      </w:r>
      <w:r w:rsidR="002C4864">
        <w:t>)</w:t>
      </w:r>
      <w:r w:rsidR="0015493F">
        <w:t>,</w:t>
      </w:r>
      <w:r w:rsidR="002C4864" w:rsidRPr="00C104DC">
        <w:t xml:space="preserve"> or</w:t>
      </w:r>
    </w:p>
    <w:p w14:paraId="7338EFEE" w14:textId="77777777" w:rsidR="002C4864" w:rsidRDefault="002C4864" w:rsidP="002C4864">
      <w:pPr>
        <w:pStyle w:val="Bullets"/>
      </w:pPr>
      <w:r w:rsidRPr="00704613">
        <w:t>Essential Energy</w:t>
      </w:r>
      <w:r>
        <w:t>, through its own review process,</w:t>
      </w:r>
      <w:r w:rsidRPr="00704613">
        <w:t xml:space="preserve"> believes that an existing </w:t>
      </w:r>
      <w:r w:rsidRPr="00704613">
        <w:rPr>
          <w:i/>
        </w:rPr>
        <w:t>customer’s</w:t>
      </w:r>
      <w:r w:rsidRPr="00704613">
        <w:t xml:space="preserve"> </w:t>
      </w:r>
      <w:r w:rsidRPr="00C104DC">
        <w:rPr>
          <w:i/>
        </w:rPr>
        <w:t>load</w:t>
      </w:r>
      <w:r w:rsidRPr="00F23B7D">
        <w:rPr>
          <w:i/>
        </w:rPr>
        <w:t xml:space="preserve">, </w:t>
      </w:r>
      <w:r w:rsidRPr="00C104DC">
        <w:rPr>
          <w:i/>
        </w:rPr>
        <w:t>connection</w:t>
      </w:r>
      <w:r w:rsidRPr="0046503B">
        <w:t xml:space="preserve"> </w:t>
      </w:r>
      <w:r>
        <w:t>and/</w:t>
      </w:r>
      <w:r w:rsidRPr="00CE5117">
        <w:t xml:space="preserve">or </w:t>
      </w:r>
      <w:r w:rsidRPr="00C104DC">
        <w:rPr>
          <w:i/>
        </w:rPr>
        <w:t>metering characteristics</w:t>
      </w:r>
      <w:r w:rsidRPr="00704613">
        <w:t xml:space="preserve"> have changed such that it is no longer appropriate for that </w:t>
      </w:r>
      <w:r w:rsidRPr="00704613">
        <w:rPr>
          <w:i/>
        </w:rPr>
        <w:t>customer</w:t>
      </w:r>
      <w:r w:rsidRPr="00704613">
        <w:t xml:space="preserve"> to be assigned to the </w:t>
      </w:r>
      <w:r w:rsidRPr="00704613">
        <w:rPr>
          <w:i/>
        </w:rPr>
        <w:t>tariff</w:t>
      </w:r>
      <w:r w:rsidRPr="00704613">
        <w:t xml:space="preserve"> to which the </w:t>
      </w:r>
      <w:r w:rsidRPr="00704613">
        <w:rPr>
          <w:i/>
        </w:rPr>
        <w:t>customer</w:t>
      </w:r>
      <w:r>
        <w:t xml:space="preserve"> is currently assigned.</w:t>
      </w:r>
      <w:r w:rsidRPr="00704613">
        <w:t xml:space="preserve"> </w:t>
      </w:r>
      <w:r w:rsidRPr="00C104DC">
        <w:t xml:space="preserve">Essential Energy initiates the </w:t>
      </w:r>
      <w:r w:rsidRPr="00C104DC">
        <w:rPr>
          <w:i/>
        </w:rPr>
        <w:t>tariff</w:t>
      </w:r>
      <w:r w:rsidRPr="00C104DC">
        <w:t xml:space="preserve"> reassignment by providing a notice to the </w:t>
      </w:r>
      <w:r w:rsidRPr="00704613">
        <w:t>customer’s</w:t>
      </w:r>
      <w:r w:rsidRPr="00C104DC">
        <w:t xml:space="preserve"> </w:t>
      </w:r>
      <w:r>
        <w:rPr>
          <w:i/>
        </w:rPr>
        <w:t>R</w:t>
      </w:r>
      <w:r w:rsidRPr="00C104DC">
        <w:rPr>
          <w:i/>
        </w:rPr>
        <w:t>etailer</w:t>
      </w:r>
      <w:r w:rsidRPr="00C104DC">
        <w:t xml:space="preserve"> prior to the actual </w:t>
      </w:r>
      <w:r w:rsidRPr="00C104DC">
        <w:rPr>
          <w:i/>
        </w:rPr>
        <w:t>tariff</w:t>
      </w:r>
      <w:r w:rsidRPr="00C104DC">
        <w:t xml:space="preserve"> reassignment.</w:t>
      </w:r>
    </w:p>
    <w:p w14:paraId="72DD5CF0" w14:textId="77777777" w:rsidR="00AF3713" w:rsidRDefault="002C4864" w:rsidP="002C4864">
      <w:pPr>
        <w:pStyle w:val="Bodycopy"/>
      </w:pPr>
      <w:r>
        <w:t xml:space="preserve">As part of its notification procedures, Essential Energy advises the Retailer that they can request further information from Essential Energy and that they may object to the tariff reassignment decision made. The objection procedure allows Retailers to formally request a review of the tariff reassignment decision. </w:t>
      </w:r>
    </w:p>
    <w:p w14:paraId="43CD64AD" w14:textId="1B535E7B" w:rsidR="0012123B" w:rsidRDefault="002C4864" w:rsidP="002C4864">
      <w:pPr>
        <w:pStyle w:val="Bodycopy"/>
      </w:pPr>
      <w:r>
        <w:t>Should the customer or Retailer not be satisfied with the response from Essential Energy, they may escalate the matter to the Energy and Water Ombudsman (NSW) or any other relevant external dispute resolution body to the extent it has jurisdiction over such matters. If the customer or Retailer is still not satisfied with the external party’s assessment, they can seek a decision from the AER using the dispute resolution process available under Part 10 of the N</w:t>
      </w:r>
      <w:r w:rsidR="00AF3713">
        <w:t>ational Electricity Law (the N</w:t>
      </w:r>
      <w:r>
        <w:t>EL</w:t>
      </w:r>
      <w:r w:rsidR="00AF3713">
        <w:t>)</w:t>
      </w:r>
      <w:r>
        <w:t>.</w:t>
      </w:r>
    </w:p>
    <w:p w14:paraId="0C981FA5" w14:textId="1B5DDBCE" w:rsidR="009E7591" w:rsidRDefault="009E7591" w:rsidP="0023413F">
      <w:pPr>
        <w:pStyle w:val="Heading2"/>
      </w:pPr>
      <w:bookmarkStart w:id="1121" w:name="_Toc462994054"/>
      <w:bookmarkStart w:id="1122" w:name="_Toc463343018"/>
      <w:r>
        <w:t>Changes to tariff assignment from our initial TSS</w:t>
      </w:r>
      <w:bookmarkEnd w:id="1121"/>
      <w:bookmarkEnd w:id="1122"/>
    </w:p>
    <w:p w14:paraId="1DD56282" w14:textId="0AAADAA4" w:rsidR="009E7591" w:rsidRDefault="0009464A" w:rsidP="002C4864">
      <w:pPr>
        <w:pStyle w:val="Bodycopy"/>
      </w:pPr>
      <w:r>
        <w:t xml:space="preserve">In contrast </w:t>
      </w:r>
      <w:r w:rsidR="002E6F04">
        <w:t xml:space="preserve">to </w:t>
      </w:r>
      <w:r w:rsidR="009E7591">
        <w:t>our initial TSS</w:t>
      </w:r>
      <w:r w:rsidR="002E6F04">
        <w:t xml:space="preserve">, </w:t>
      </w:r>
      <w:r w:rsidR="009E7591">
        <w:t>new con</w:t>
      </w:r>
      <w:r w:rsidR="006904EB">
        <w:t xml:space="preserve">nections, </w:t>
      </w:r>
      <w:r w:rsidR="009E7591">
        <w:t>meter upgrades</w:t>
      </w:r>
      <w:r w:rsidR="006904EB">
        <w:t xml:space="preserve"> and </w:t>
      </w:r>
      <w:r w:rsidR="00EC3035">
        <w:t xml:space="preserve">new </w:t>
      </w:r>
      <w:r w:rsidR="006904EB">
        <w:t xml:space="preserve">solar PV installations </w:t>
      </w:r>
      <w:r w:rsidR="009E7591">
        <w:t>for residential and small business c</w:t>
      </w:r>
      <w:r w:rsidR="004267AB">
        <w:t>ustomers will</w:t>
      </w:r>
      <w:r w:rsidR="00EC3035">
        <w:t>, from 1 July 2018,</w:t>
      </w:r>
      <w:r w:rsidR="004267AB">
        <w:t xml:space="preserve"> be allocated to the </w:t>
      </w:r>
      <w:r w:rsidR="009E7591">
        <w:t>TOU tariff</w:t>
      </w:r>
      <w:r w:rsidR="004267AB">
        <w:t xml:space="preserve"> relevant to their metering technology</w:t>
      </w:r>
      <w:r w:rsidR="009E7591">
        <w:t xml:space="preserve">. </w:t>
      </w:r>
      <w:r w:rsidR="003549A8">
        <w:t>Customers will have the choice to opt</w:t>
      </w:r>
      <w:r w:rsidR="002E6F04">
        <w:t xml:space="preserve"> </w:t>
      </w:r>
      <w:r w:rsidR="003549A8">
        <w:t xml:space="preserve">out to an alternative tariff </w:t>
      </w:r>
      <w:r w:rsidR="002E6F04">
        <w:t>if</w:t>
      </w:r>
      <w:r w:rsidR="003549A8">
        <w:t xml:space="preserve"> they</w:t>
      </w:r>
      <w:r w:rsidR="00B546D9">
        <w:t xml:space="preserve"> satisfy the </w:t>
      </w:r>
      <w:r w:rsidR="0034091C">
        <w:t xml:space="preserve">necessary </w:t>
      </w:r>
      <w:r w:rsidR="00B546D9">
        <w:t>eligibility requirements</w:t>
      </w:r>
      <w:r w:rsidR="003549A8">
        <w:t>.</w:t>
      </w:r>
    </w:p>
    <w:p w14:paraId="4ED1E1A8" w14:textId="270A58FA" w:rsidR="00997FF2" w:rsidRPr="002E6F04" w:rsidRDefault="004A7FCC" w:rsidP="002C4864">
      <w:pPr>
        <w:pStyle w:val="Bodycopy"/>
        <w:rPr>
          <w:i/>
          <w:lang w:val="en-AU"/>
        </w:rPr>
      </w:pPr>
      <w:r>
        <w:t xml:space="preserve">Full details </w:t>
      </w:r>
      <w:r w:rsidR="0088638C">
        <w:t>of</w:t>
      </w:r>
      <w:r>
        <w:t xml:space="preserve"> </w:t>
      </w:r>
      <w:r w:rsidR="0088638C">
        <w:t>our proposed customer tariff assignment and reassignment</w:t>
      </w:r>
      <w:r w:rsidR="002C4864">
        <w:t xml:space="preserve"> </w:t>
      </w:r>
      <w:r>
        <w:t xml:space="preserve">policy and procedures </w:t>
      </w:r>
      <w:r w:rsidR="0088638C">
        <w:t xml:space="preserve">to accompany the introduction of more efficient pricing </w:t>
      </w:r>
      <w:r w:rsidR="002C4864">
        <w:t xml:space="preserve">can be </w:t>
      </w:r>
      <w:r w:rsidR="002C4864" w:rsidRPr="00313E42">
        <w:t xml:space="preserve">found </w:t>
      </w:r>
      <w:r w:rsidR="003363E5" w:rsidRPr="00303878">
        <w:rPr>
          <w:lang w:val="en-AU"/>
        </w:rPr>
        <w:t xml:space="preserve">in Attachment </w:t>
      </w:r>
      <w:r w:rsidR="009E7591" w:rsidRPr="00303878">
        <w:rPr>
          <w:lang w:val="en-AU"/>
        </w:rPr>
        <w:fldChar w:fldCharType="begin"/>
      </w:r>
      <w:r w:rsidR="009E7591" w:rsidRPr="00303878">
        <w:rPr>
          <w:lang w:val="en-AU"/>
        </w:rPr>
        <w:instrText xml:space="preserve"> REF _Ref432514534 \r \h </w:instrText>
      </w:r>
      <w:r w:rsidR="00303878">
        <w:rPr>
          <w:lang w:val="en-AU"/>
        </w:rPr>
        <w:instrText xml:space="preserve"> \* MERGEFORMAT </w:instrText>
      </w:r>
      <w:r w:rsidR="009E7591" w:rsidRPr="00303878">
        <w:rPr>
          <w:lang w:val="en-AU"/>
        </w:rPr>
      </w:r>
      <w:r w:rsidR="009E7591" w:rsidRPr="00303878">
        <w:rPr>
          <w:lang w:val="en-AU"/>
        </w:rPr>
        <w:fldChar w:fldCharType="separate"/>
      </w:r>
      <w:r w:rsidR="0073687F">
        <w:rPr>
          <w:lang w:val="en-AU"/>
        </w:rPr>
        <w:t>4</w:t>
      </w:r>
      <w:r w:rsidR="009E7591" w:rsidRPr="00303878">
        <w:rPr>
          <w:lang w:val="en-AU"/>
        </w:rPr>
        <w:fldChar w:fldCharType="end"/>
      </w:r>
      <w:r w:rsidR="008B10E2" w:rsidRPr="00303878">
        <w:rPr>
          <w:lang w:val="en-AU"/>
        </w:rPr>
        <w:t xml:space="preserve"> - </w:t>
      </w:r>
      <w:r w:rsidR="009E7591" w:rsidRPr="002E6F04">
        <w:rPr>
          <w:i/>
          <w:lang w:val="en-AU"/>
        </w:rPr>
        <w:fldChar w:fldCharType="begin"/>
      </w:r>
      <w:r w:rsidR="009E7591" w:rsidRPr="002E6F04">
        <w:rPr>
          <w:i/>
          <w:lang w:val="en-AU"/>
        </w:rPr>
        <w:instrText xml:space="preserve"> REF _Ref432514534 \h  \* MERGEFORMAT </w:instrText>
      </w:r>
      <w:r w:rsidR="009E7591" w:rsidRPr="002E6F04">
        <w:rPr>
          <w:i/>
          <w:lang w:val="en-AU"/>
        </w:rPr>
      </w:r>
      <w:r w:rsidR="009E7591" w:rsidRPr="002E6F04">
        <w:rPr>
          <w:i/>
          <w:lang w:val="en-AU"/>
        </w:rPr>
        <w:fldChar w:fldCharType="separate"/>
      </w:r>
      <w:r w:rsidR="0073687F" w:rsidRPr="0073687F">
        <w:rPr>
          <w:i/>
        </w:rPr>
        <w:t>Assigning customers to tariffs - Policies and procedures for assignment and reassignment of tariffs</w:t>
      </w:r>
      <w:r w:rsidR="009E7591" w:rsidRPr="002E6F04">
        <w:rPr>
          <w:i/>
          <w:lang w:val="en-AU"/>
        </w:rPr>
        <w:fldChar w:fldCharType="end"/>
      </w:r>
      <w:r w:rsidR="009E7591" w:rsidRPr="002E6F04">
        <w:rPr>
          <w:i/>
          <w:lang w:val="en-AU"/>
        </w:rPr>
        <w:t xml:space="preserve"> </w:t>
      </w:r>
      <w:r w:rsidR="000A72A0" w:rsidRPr="0067436E">
        <w:rPr>
          <w:lang w:val="en-AU"/>
        </w:rPr>
        <w:t>to this TSS</w:t>
      </w:r>
      <w:r w:rsidR="00ED26BB" w:rsidRPr="002E6F04">
        <w:rPr>
          <w:i/>
          <w:lang w:val="en-AU"/>
        </w:rPr>
        <w:t>.</w:t>
      </w:r>
    </w:p>
    <w:p w14:paraId="43B1C856" w14:textId="36DC0824" w:rsidR="0078037B" w:rsidRPr="0078037B" w:rsidRDefault="004B15D5" w:rsidP="00B020D5">
      <w:pPr>
        <w:pStyle w:val="Heading1"/>
      </w:pPr>
      <w:bookmarkStart w:id="1123" w:name="_Ref432421790"/>
      <w:bookmarkStart w:id="1124" w:name="_Ref432421798"/>
      <w:bookmarkStart w:id="1125" w:name="_Toc432597627"/>
      <w:bookmarkStart w:id="1126" w:name="_Toc434839537"/>
      <w:bookmarkStart w:id="1127" w:name="_Toc435177062"/>
      <w:bookmarkStart w:id="1128" w:name="_Toc435454569"/>
      <w:bookmarkStart w:id="1129" w:name="_Toc435608315"/>
      <w:bookmarkStart w:id="1130" w:name="_Toc435629535"/>
      <w:bookmarkStart w:id="1131" w:name="_Toc436127268"/>
      <w:bookmarkStart w:id="1132" w:name="_Toc436226302"/>
      <w:bookmarkStart w:id="1133" w:name="_Toc436304819"/>
      <w:bookmarkStart w:id="1134" w:name="_Toc462994055"/>
      <w:bookmarkStart w:id="1135" w:name="_Toc463343019"/>
      <w:r>
        <w:lastRenderedPageBreak/>
        <w:t>Our p</w:t>
      </w:r>
      <w:r w:rsidR="0078037B">
        <w:t>roposed tariff classes</w:t>
      </w:r>
      <w:bookmarkEnd w:id="1123"/>
      <w:bookmarkEnd w:id="1124"/>
      <w:bookmarkEnd w:id="1125"/>
      <w:bookmarkEnd w:id="1126"/>
      <w:bookmarkEnd w:id="1127"/>
      <w:bookmarkEnd w:id="1128"/>
      <w:bookmarkEnd w:id="1129"/>
      <w:bookmarkEnd w:id="1130"/>
      <w:bookmarkEnd w:id="1131"/>
      <w:bookmarkEnd w:id="1132"/>
      <w:bookmarkEnd w:id="1133"/>
      <w:bookmarkEnd w:id="1134"/>
      <w:bookmarkEnd w:id="1135"/>
    </w:p>
    <w:p w14:paraId="42B85329" w14:textId="1DE31712" w:rsidR="00F64D8C" w:rsidRDefault="00F64D8C" w:rsidP="00E5628C">
      <w:pPr>
        <w:pStyle w:val="Bodycopy"/>
      </w:pPr>
      <w:r>
        <w:t>Our t</w:t>
      </w:r>
      <w:r w:rsidRPr="00DB4C33">
        <w:t>ariff classes have been established taking into consideration</w:t>
      </w:r>
      <w:r w:rsidR="00E5628C">
        <w:t xml:space="preserve"> h</w:t>
      </w:r>
      <w:r>
        <w:t>istorical pricing structures</w:t>
      </w:r>
      <w:r w:rsidR="0067436E">
        <w:t>,</w:t>
      </w:r>
      <w:r w:rsidR="00E5628C">
        <w:t xml:space="preserve"> e</w:t>
      </w:r>
      <w:r w:rsidRPr="00DB4C33">
        <w:t xml:space="preserve">xisting metering </w:t>
      </w:r>
      <w:r>
        <w:t xml:space="preserve">capability </w:t>
      </w:r>
      <w:r w:rsidRPr="00DB4C33">
        <w:t>and the cost effectiveness of metering options</w:t>
      </w:r>
      <w:r w:rsidR="0067436E">
        <w:t>,</w:t>
      </w:r>
      <w:r w:rsidRPr="00DB4C33">
        <w:t xml:space="preserve"> </w:t>
      </w:r>
      <w:r w:rsidR="00E5628C">
        <w:t>t</w:t>
      </w:r>
      <w:r>
        <w:t xml:space="preserve">he </w:t>
      </w:r>
      <w:r w:rsidRPr="00DB4C33">
        <w:t>connected voltage leve</w:t>
      </w:r>
      <w:r>
        <w:t>l</w:t>
      </w:r>
      <w:r w:rsidR="0067436E">
        <w:t>,</w:t>
      </w:r>
      <w:r>
        <w:t xml:space="preserve"> and </w:t>
      </w:r>
      <w:r w:rsidR="00E5628C">
        <w:t>t</w:t>
      </w:r>
      <w:r>
        <w:t>he cost-benefit of providing further disaggregation in</w:t>
      </w:r>
      <w:r w:rsidR="00994549">
        <w:t>to additional</w:t>
      </w:r>
      <w:r>
        <w:t xml:space="preserve"> tariff classes.</w:t>
      </w:r>
    </w:p>
    <w:p w14:paraId="00478E10" w14:textId="5F3D34D4" w:rsidR="00F64D8C" w:rsidRDefault="00F64D8C" w:rsidP="00611CA7">
      <w:pPr>
        <w:pStyle w:val="Bodycopy"/>
        <w:rPr>
          <w:lang w:val="en-AU"/>
        </w:rPr>
      </w:pPr>
      <w:r>
        <w:rPr>
          <w:lang w:val="en-AU"/>
        </w:rPr>
        <w:t>We propose to group our customers into one of the following f</w:t>
      </w:r>
      <w:r w:rsidR="00AF5A69">
        <w:rPr>
          <w:lang w:val="en-AU"/>
        </w:rPr>
        <w:t>ive</w:t>
      </w:r>
      <w:r>
        <w:rPr>
          <w:lang w:val="en-AU"/>
        </w:rPr>
        <w:t xml:space="preserve"> tariff classes:</w:t>
      </w:r>
    </w:p>
    <w:p w14:paraId="28EA371B" w14:textId="63E03AAD" w:rsidR="00F64D8C" w:rsidRPr="0007358A" w:rsidRDefault="0067436E" w:rsidP="0007358A">
      <w:pPr>
        <w:pStyle w:val="Numbered"/>
        <w:numPr>
          <w:ilvl w:val="0"/>
          <w:numId w:val="12"/>
        </w:numPr>
      </w:pPr>
      <w:r>
        <w:t>Sub-transmission</w:t>
      </w:r>
      <w:r w:rsidR="00736123" w:rsidRPr="0007358A">
        <w:t xml:space="preserve"> (including Inter Distributor Transfers)</w:t>
      </w:r>
    </w:p>
    <w:p w14:paraId="016EA408" w14:textId="484EDA79" w:rsidR="00F64D8C" w:rsidRPr="0007358A" w:rsidRDefault="00F64D8C" w:rsidP="0007358A">
      <w:pPr>
        <w:pStyle w:val="Numbered"/>
      </w:pPr>
      <w:r w:rsidRPr="0007358A">
        <w:t>High voltage demand</w:t>
      </w:r>
    </w:p>
    <w:p w14:paraId="27B81060" w14:textId="7DE255E0" w:rsidR="00F64D8C" w:rsidRPr="0007358A" w:rsidRDefault="00F64D8C" w:rsidP="0007358A">
      <w:pPr>
        <w:pStyle w:val="Numbered"/>
      </w:pPr>
      <w:r w:rsidRPr="0007358A">
        <w:t>Low voltage demand</w:t>
      </w:r>
    </w:p>
    <w:p w14:paraId="504D712D" w14:textId="2715B803" w:rsidR="00F64D8C" w:rsidRPr="0007358A" w:rsidRDefault="00F64D8C" w:rsidP="0007358A">
      <w:pPr>
        <w:pStyle w:val="Numbered"/>
      </w:pPr>
      <w:r w:rsidRPr="0007358A">
        <w:t xml:space="preserve">Low voltage </w:t>
      </w:r>
      <w:r w:rsidR="00764BA7">
        <w:t>residential and small business</w:t>
      </w:r>
    </w:p>
    <w:p w14:paraId="4A2084D7" w14:textId="13DACE46" w:rsidR="00AF5A69" w:rsidRPr="0007358A" w:rsidRDefault="00AF5A69" w:rsidP="0007358A">
      <w:pPr>
        <w:pStyle w:val="Numbered"/>
      </w:pPr>
      <w:r w:rsidRPr="0007358A">
        <w:t>Unmetered</w:t>
      </w:r>
      <w:r w:rsidR="00B546D9">
        <w:t>.</w:t>
      </w:r>
    </w:p>
    <w:p w14:paraId="1EFAA89D" w14:textId="28F700A8" w:rsidR="008E539E" w:rsidRDefault="00F64D8C" w:rsidP="00DE7060">
      <w:pPr>
        <w:pStyle w:val="Bodycopy"/>
      </w:pPr>
      <w:r>
        <w:t xml:space="preserve">These </w:t>
      </w:r>
      <w:r w:rsidR="00E42853">
        <w:t xml:space="preserve">classes </w:t>
      </w:r>
      <w:r>
        <w:t xml:space="preserve">are </w:t>
      </w:r>
      <w:r w:rsidR="00764BA7">
        <w:t xml:space="preserve">largely </w:t>
      </w:r>
      <w:r>
        <w:t>identical to our existing tariff classes</w:t>
      </w:r>
      <w:r w:rsidR="00764BA7">
        <w:t>,</w:t>
      </w:r>
      <w:r w:rsidR="00AF5A69">
        <w:t xml:space="preserve"> apart from </w:t>
      </w:r>
      <w:r w:rsidR="00764BA7">
        <w:t>the re</w:t>
      </w:r>
      <w:r w:rsidR="0067436E">
        <w:t>-</w:t>
      </w:r>
      <w:r w:rsidR="00764BA7">
        <w:t xml:space="preserve">labelling of the existing </w:t>
      </w:r>
      <w:r w:rsidR="0067436E">
        <w:t>‘</w:t>
      </w:r>
      <w:r w:rsidR="00764BA7">
        <w:t>Low Voltage Energy</w:t>
      </w:r>
      <w:r w:rsidR="0067436E">
        <w:t>’</w:t>
      </w:r>
      <w:r w:rsidR="00764BA7">
        <w:t xml:space="preserve"> tariff class to </w:t>
      </w:r>
      <w:r w:rsidR="0067436E">
        <w:t>‘</w:t>
      </w:r>
      <w:r w:rsidR="00764BA7">
        <w:t>Low Voltage residential and small business</w:t>
      </w:r>
      <w:r w:rsidR="0067436E">
        <w:t>’</w:t>
      </w:r>
      <w:r w:rsidR="00764BA7">
        <w:t xml:space="preserve"> and </w:t>
      </w:r>
      <w:r w:rsidR="00AF5A69">
        <w:t xml:space="preserve">the </w:t>
      </w:r>
      <w:r w:rsidR="00764BA7">
        <w:t>existing</w:t>
      </w:r>
      <w:r w:rsidR="00AF5A69">
        <w:t xml:space="preserve"> </w:t>
      </w:r>
      <w:r w:rsidR="007C230C">
        <w:t>Inter</w:t>
      </w:r>
      <w:r w:rsidR="0049254F" w:rsidRPr="0049254F">
        <w:t xml:space="preserve"> </w:t>
      </w:r>
      <w:r w:rsidR="007C230C">
        <w:t>Distributor</w:t>
      </w:r>
      <w:r w:rsidR="00AF5A69">
        <w:t xml:space="preserve"> </w:t>
      </w:r>
      <w:r w:rsidR="0049254F" w:rsidRPr="0049254F">
        <w:t>Transfer</w:t>
      </w:r>
      <w:r w:rsidR="00AF5A69" w:rsidRPr="0049254F">
        <w:t xml:space="preserve"> </w:t>
      </w:r>
      <w:r w:rsidR="0060023F">
        <w:t xml:space="preserve">(IDT) </w:t>
      </w:r>
      <w:r w:rsidR="007554B8" w:rsidRPr="0049254F">
        <w:t>class which will</w:t>
      </w:r>
      <w:r w:rsidR="00AF5A69">
        <w:t xml:space="preserve"> now </w:t>
      </w:r>
      <w:r w:rsidR="007554B8" w:rsidRPr="0049254F">
        <w:t>be</w:t>
      </w:r>
      <w:r w:rsidR="00AF5A69">
        <w:t xml:space="preserve"> included in the </w:t>
      </w:r>
      <w:r w:rsidR="0067436E">
        <w:t>Sub-transmission</w:t>
      </w:r>
      <w:r w:rsidR="00AF5A69">
        <w:t xml:space="preserve"> tariff class</w:t>
      </w:r>
      <w:r w:rsidR="000D06CD">
        <w:t>.</w:t>
      </w:r>
      <w:r w:rsidR="00CB3330">
        <w:t xml:space="preserve"> </w:t>
      </w:r>
      <w:r w:rsidR="0057137F">
        <w:t>Our</w:t>
      </w:r>
      <w:r w:rsidR="00B546D9">
        <w:t xml:space="preserve"> tariff classes were approved by the AER in its draft decision</w:t>
      </w:r>
      <w:r w:rsidR="00B8727E">
        <w:t xml:space="preserve"> and</w:t>
      </w:r>
      <w:r w:rsidR="0067436E">
        <w:t>,</w:t>
      </w:r>
      <w:r w:rsidR="00B8727E">
        <w:t xml:space="preserve"> aside from the Low Voltage re</w:t>
      </w:r>
      <w:r w:rsidR="0067436E">
        <w:t>-</w:t>
      </w:r>
      <w:r w:rsidR="00B8727E">
        <w:t xml:space="preserve">labelling noted above, are unchanged for this TSS. </w:t>
      </w:r>
    </w:p>
    <w:p w14:paraId="3FCC60E3" w14:textId="7299F5C9" w:rsidR="000D06CD" w:rsidRPr="00611CA7" w:rsidRDefault="00CB3330" w:rsidP="00DE7060">
      <w:pPr>
        <w:pStyle w:val="Bodycopy"/>
      </w:pPr>
      <w:r>
        <w:t>A summary of our tariff classes</w:t>
      </w:r>
      <w:r w:rsidR="00F64D8C">
        <w:t>, customer types</w:t>
      </w:r>
      <w:r>
        <w:t xml:space="preserve"> and their associated characteristics is shown in </w:t>
      </w:r>
      <w:r>
        <w:fldChar w:fldCharType="begin"/>
      </w:r>
      <w:r>
        <w:instrText xml:space="preserve"> REF _Ref432175038 \h </w:instrText>
      </w:r>
      <w:r>
        <w:fldChar w:fldCharType="separate"/>
      </w:r>
      <w:r w:rsidR="0073687F" w:rsidRPr="008B5CA2">
        <w:rPr>
          <w:iCs/>
        </w:rPr>
        <w:t xml:space="preserve">Figure </w:t>
      </w:r>
      <w:r w:rsidR="0073687F">
        <w:rPr>
          <w:iCs/>
          <w:noProof/>
        </w:rPr>
        <w:t>3</w:t>
      </w:r>
      <w:r w:rsidR="0073687F">
        <w:rPr>
          <w:iCs/>
        </w:rPr>
        <w:noBreakHyphen/>
      </w:r>
      <w:r w:rsidR="0073687F">
        <w:rPr>
          <w:iCs/>
          <w:noProof/>
        </w:rPr>
        <w:t>1</w:t>
      </w:r>
      <w:r>
        <w:fldChar w:fldCharType="end"/>
      </w:r>
      <w:r>
        <w:t xml:space="preserve"> below.</w:t>
      </w:r>
    </w:p>
    <w:p w14:paraId="6E3B093F" w14:textId="302CE084" w:rsidR="00384FA3" w:rsidRPr="008B5CA2" w:rsidRDefault="00384FA3" w:rsidP="008B5CA2">
      <w:pPr>
        <w:pStyle w:val="Caption"/>
        <w:jc w:val="center"/>
        <w:rPr>
          <w:iCs/>
        </w:rPr>
      </w:pPr>
      <w:bookmarkStart w:id="1136" w:name="_Ref430947629"/>
      <w:bookmarkStart w:id="1137" w:name="_Ref432175038"/>
      <w:bookmarkStart w:id="1138" w:name="_Toc431288930"/>
      <w:bookmarkStart w:id="1139" w:name="_Toc431299124"/>
      <w:bookmarkStart w:id="1140" w:name="_Toc431478312"/>
      <w:bookmarkStart w:id="1141" w:name="_Toc431544686"/>
      <w:bookmarkStart w:id="1142" w:name="_Toc431996346"/>
      <w:bookmarkStart w:id="1143" w:name="_Toc432151716"/>
      <w:bookmarkStart w:id="1144" w:name="_Toc432163868"/>
      <w:bookmarkStart w:id="1145" w:name="_Toc432173051"/>
      <w:bookmarkStart w:id="1146" w:name="_Toc432174512"/>
      <w:bookmarkStart w:id="1147" w:name="_Toc432597578"/>
      <w:bookmarkStart w:id="1148" w:name="_Toc434839484"/>
      <w:bookmarkStart w:id="1149" w:name="_Toc435177009"/>
      <w:bookmarkStart w:id="1150" w:name="_Toc435454516"/>
      <w:bookmarkStart w:id="1151" w:name="_Toc435608262"/>
      <w:bookmarkStart w:id="1152" w:name="_Toc435629478"/>
      <w:bookmarkStart w:id="1153" w:name="_Toc436127206"/>
      <w:bookmarkStart w:id="1154" w:name="_Toc436226240"/>
      <w:bookmarkStart w:id="1155" w:name="_Toc436304622"/>
      <w:bookmarkStart w:id="1156" w:name="_Toc462994020"/>
      <w:bookmarkStart w:id="1157" w:name="_Toc463343131"/>
      <w:r w:rsidRPr="008B5CA2">
        <w:rPr>
          <w:iCs/>
        </w:rPr>
        <w:t xml:space="preserve">Figure </w:t>
      </w:r>
      <w:r w:rsidR="008E4BD2">
        <w:rPr>
          <w:iCs/>
        </w:rPr>
        <w:fldChar w:fldCharType="begin"/>
      </w:r>
      <w:r w:rsidR="008E4BD2">
        <w:rPr>
          <w:iCs/>
        </w:rPr>
        <w:instrText xml:space="preserve"> STYLEREF 1 \s </w:instrText>
      </w:r>
      <w:r w:rsidR="008E4BD2">
        <w:rPr>
          <w:iCs/>
        </w:rPr>
        <w:fldChar w:fldCharType="separate"/>
      </w:r>
      <w:r w:rsidR="0073687F">
        <w:rPr>
          <w:iCs/>
          <w:noProof/>
        </w:rPr>
        <w:t>3</w:t>
      </w:r>
      <w:r w:rsidR="008E4BD2">
        <w:rPr>
          <w:iCs/>
        </w:rPr>
        <w:fldChar w:fldCharType="end"/>
      </w:r>
      <w:r w:rsidR="008E4BD2">
        <w:rPr>
          <w:iCs/>
        </w:rPr>
        <w:noBreakHyphen/>
      </w:r>
      <w:r w:rsidR="008E4BD2">
        <w:rPr>
          <w:iCs/>
        </w:rPr>
        <w:fldChar w:fldCharType="begin"/>
      </w:r>
      <w:r w:rsidR="008E4BD2">
        <w:rPr>
          <w:iCs/>
        </w:rPr>
        <w:instrText xml:space="preserve"> SEQ Figure \* ARABIC \s 1 </w:instrText>
      </w:r>
      <w:r w:rsidR="008E4BD2">
        <w:rPr>
          <w:iCs/>
        </w:rPr>
        <w:fldChar w:fldCharType="separate"/>
      </w:r>
      <w:r w:rsidR="0073687F">
        <w:rPr>
          <w:iCs/>
          <w:noProof/>
        </w:rPr>
        <w:t>1</w:t>
      </w:r>
      <w:r w:rsidR="008E4BD2">
        <w:rPr>
          <w:iCs/>
        </w:rPr>
        <w:fldChar w:fldCharType="end"/>
      </w:r>
      <w:bookmarkEnd w:id="1136"/>
      <w:bookmarkEnd w:id="1137"/>
      <w:r w:rsidRPr="008B5CA2">
        <w:rPr>
          <w:iCs/>
        </w:rPr>
        <w:t xml:space="preserve">: </w:t>
      </w:r>
      <w:r w:rsidR="009A2FE3" w:rsidRPr="008B5CA2">
        <w:rPr>
          <w:iCs/>
        </w:rPr>
        <w:t>Proposed t</w:t>
      </w:r>
      <w:r w:rsidR="00CB3330" w:rsidRPr="008B5CA2">
        <w:rPr>
          <w:iCs/>
        </w:rPr>
        <w:t>ariff classes, customer classes and their associated</w:t>
      </w:r>
      <w:r w:rsidRPr="008B5CA2">
        <w:rPr>
          <w:iCs/>
        </w:rPr>
        <w:t xml:space="preserve"> characteristics</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p>
    <w:p w14:paraId="69DE981E" w14:textId="30ECAD61" w:rsidR="00384FA3" w:rsidRPr="00E01ED3" w:rsidRDefault="003004E4" w:rsidP="00E01ED3">
      <w:pPr>
        <w:pStyle w:val="Bodycopy"/>
        <w:jc w:val="center"/>
        <w:rPr>
          <w:color w:val="414042"/>
        </w:rPr>
      </w:pPr>
      <w:r>
        <w:rPr>
          <w:noProof/>
          <w:color w:val="414042"/>
          <w:lang w:val="en-AU" w:eastAsia="en-AU"/>
        </w:rPr>
        <w:drawing>
          <wp:inline distT="0" distB="0" distL="0" distR="0" wp14:anchorId="02C4320A" wp14:editId="6D7C23D2">
            <wp:extent cx="6479540" cy="42919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riff classses ESS388_Graphic 3D_updated 1 Sept 1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79540" cy="4291965"/>
                    </a:xfrm>
                    <a:prstGeom prst="rect">
                      <a:avLst/>
                    </a:prstGeom>
                  </pic:spPr>
                </pic:pic>
              </a:graphicData>
            </a:graphic>
          </wp:inline>
        </w:drawing>
      </w:r>
    </w:p>
    <w:p w14:paraId="6E9748AB" w14:textId="3C2587AD" w:rsidR="00384FA3" w:rsidRDefault="00DE7060" w:rsidP="00BE6315">
      <w:pPr>
        <w:pStyle w:val="Bodycopy"/>
      </w:pPr>
      <w:r w:rsidRPr="000041A1">
        <w:t>A</w:t>
      </w:r>
      <w:r w:rsidR="00D41873" w:rsidRPr="000041A1">
        <w:t>part from our large</w:t>
      </w:r>
      <w:r w:rsidRPr="000041A1">
        <w:t xml:space="preserve"> customers </w:t>
      </w:r>
      <w:r w:rsidR="001B5185" w:rsidRPr="000041A1">
        <w:t xml:space="preserve">who are </w:t>
      </w:r>
      <w:r w:rsidR="00DD02D8" w:rsidRPr="000041A1">
        <w:t>on site specific tariffs</w:t>
      </w:r>
      <w:r w:rsidR="00D41873" w:rsidRPr="000041A1">
        <w:t>, all other customers</w:t>
      </w:r>
      <w:r w:rsidR="00DD02D8" w:rsidRPr="000041A1">
        <w:t xml:space="preserve"> </w:t>
      </w:r>
      <w:r w:rsidRPr="000041A1">
        <w:t>have network prices that are averaged for their customer class.</w:t>
      </w:r>
    </w:p>
    <w:p w14:paraId="6B8BCB9A" w14:textId="005681AC" w:rsidR="0075447B" w:rsidRDefault="00120D77" w:rsidP="00BE6315">
      <w:pPr>
        <w:pStyle w:val="Bodycopy"/>
      </w:pPr>
      <w:r>
        <w:t xml:space="preserve">Alternative </w:t>
      </w:r>
      <w:r w:rsidR="00AB0BFF">
        <w:t>C</w:t>
      </w:r>
      <w:r>
        <w:t xml:space="preserve">ontrol </w:t>
      </w:r>
      <w:r w:rsidR="00AB0BFF">
        <w:t>S</w:t>
      </w:r>
      <w:r>
        <w:t xml:space="preserve">ervices </w:t>
      </w:r>
      <w:r w:rsidR="002026B4">
        <w:t>cannot</w:t>
      </w:r>
      <w:r>
        <w:t xml:space="preserve"> be slotted into tariff classes for retail customers</w:t>
      </w:r>
      <w:r w:rsidR="002026B4">
        <w:t xml:space="preserve"> as such</w:t>
      </w:r>
      <w:r>
        <w:t>,</w:t>
      </w:r>
      <w:r w:rsidR="002026B4">
        <w:t xml:space="preserve"> but are grouped by the type of service provided. The three types of </w:t>
      </w:r>
      <w:r w:rsidR="00AB0BFF">
        <w:t>A</w:t>
      </w:r>
      <w:r w:rsidR="002026B4">
        <w:t xml:space="preserve">lternative </w:t>
      </w:r>
      <w:r w:rsidR="00AB0BFF">
        <w:t>C</w:t>
      </w:r>
      <w:r w:rsidR="002026B4">
        <w:t xml:space="preserve">ontrol </w:t>
      </w:r>
      <w:r w:rsidR="00AB0BFF">
        <w:t>S</w:t>
      </w:r>
      <w:r w:rsidR="002026B4">
        <w:t xml:space="preserve">ervices </w:t>
      </w:r>
      <w:r w:rsidR="009410BD">
        <w:t xml:space="preserve">we provide </w:t>
      </w:r>
      <w:r w:rsidR="002026B4">
        <w:t xml:space="preserve">are public lighting (for councils), metering charges for </w:t>
      </w:r>
      <w:r w:rsidR="00610543">
        <w:t>T</w:t>
      </w:r>
      <w:r w:rsidR="002026B4">
        <w:t xml:space="preserve">ype 5 and 6 meters and ancillary network services. </w:t>
      </w:r>
      <w:r w:rsidR="00A3134A">
        <w:t>T</w:t>
      </w:r>
      <w:r w:rsidR="002026B4">
        <w:t xml:space="preserve">he prices for these services are included in </w:t>
      </w:r>
      <w:r w:rsidR="00303878" w:rsidRPr="00303878">
        <w:t xml:space="preserve">Attachment </w:t>
      </w:r>
      <w:r w:rsidR="00303878" w:rsidRPr="00303878">
        <w:fldChar w:fldCharType="begin"/>
      </w:r>
      <w:r w:rsidR="00303878" w:rsidRPr="00303878">
        <w:instrText xml:space="preserve"> REF _Ref432488667 \r \h </w:instrText>
      </w:r>
      <w:r w:rsidR="00303878">
        <w:instrText xml:space="preserve"> \* MERGEFORMAT </w:instrText>
      </w:r>
      <w:r w:rsidR="00303878" w:rsidRPr="00303878">
        <w:fldChar w:fldCharType="separate"/>
      </w:r>
      <w:r w:rsidR="0073687F">
        <w:t>5</w:t>
      </w:r>
      <w:r w:rsidR="00303878" w:rsidRPr="00303878">
        <w:fldChar w:fldCharType="end"/>
      </w:r>
      <w:r w:rsidR="00303878" w:rsidRPr="00303878">
        <w:t xml:space="preserve"> - </w:t>
      </w:r>
      <w:r w:rsidR="00303878" w:rsidRPr="00303878">
        <w:rPr>
          <w:i/>
        </w:rPr>
        <w:fldChar w:fldCharType="begin"/>
      </w:r>
      <w:r w:rsidR="00303878" w:rsidRPr="00303878">
        <w:rPr>
          <w:i/>
        </w:rPr>
        <w:instrText xml:space="preserve"> REF _Ref432488667 \h  \* MERGEFORMAT </w:instrText>
      </w:r>
      <w:r w:rsidR="00303878" w:rsidRPr="00303878">
        <w:rPr>
          <w:i/>
        </w:rPr>
      </w:r>
      <w:r w:rsidR="00303878" w:rsidRPr="00303878">
        <w:rPr>
          <w:i/>
        </w:rPr>
        <w:fldChar w:fldCharType="separate"/>
      </w:r>
      <w:r w:rsidR="0073687F" w:rsidRPr="0073687F">
        <w:rPr>
          <w:i/>
        </w:rPr>
        <w:t>Alternative Control Pricing Schedule</w:t>
      </w:r>
      <w:r w:rsidR="00303878" w:rsidRPr="00303878">
        <w:rPr>
          <w:i/>
        </w:rPr>
        <w:fldChar w:fldCharType="end"/>
      </w:r>
      <w:r w:rsidR="00303878">
        <w:t xml:space="preserve"> to this TSS</w:t>
      </w:r>
      <w:r w:rsidR="002026B4">
        <w:t>.</w:t>
      </w:r>
      <w:r w:rsidR="0075447B">
        <w:t xml:space="preserve"> </w:t>
      </w:r>
    </w:p>
    <w:p w14:paraId="07C6E4DB" w14:textId="2153544E" w:rsidR="002B4D5E" w:rsidRDefault="002B4D5E" w:rsidP="00B020D5">
      <w:pPr>
        <w:pStyle w:val="Heading1"/>
      </w:pPr>
      <w:bookmarkStart w:id="1158" w:name="_Ref432421850"/>
      <w:bookmarkStart w:id="1159" w:name="_Ref432421861"/>
      <w:bookmarkStart w:id="1160" w:name="_Toc432597628"/>
      <w:bookmarkStart w:id="1161" w:name="_Toc434839538"/>
      <w:bookmarkStart w:id="1162" w:name="_Toc435177063"/>
      <w:bookmarkStart w:id="1163" w:name="_Toc435454570"/>
      <w:bookmarkStart w:id="1164" w:name="_Toc435608316"/>
      <w:bookmarkStart w:id="1165" w:name="_Toc435629536"/>
      <w:bookmarkStart w:id="1166" w:name="_Toc436127269"/>
      <w:bookmarkStart w:id="1167" w:name="_Toc436226303"/>
      <w:bookmarkStart w:id="1168" w:name="_Toc436304820"/>
      <w:bookmarkStart w:id="1169" w:name="_Toc462994056"/>
      <w:bookmarkStart w:id="1170" w:name="_Toc463343020"/>
      <w:r>
        <w:lastRenderedPageBreak/>
        <w:t>Our proposed tariff structures</w:t>
      </w:r>
      <w:bookmarkEnd w:id="1158"/>
      <w:bookmarkEnd w:id="1159"/>
      <w:bookmarkEnd w:id="1160"/>
      <w:bookmarkEnd w:id="1161"/>
      <w:bookmarkEnd w:id="1162"/>
      <w:bookmarkEnd w:id="1163"/>
      <w:bookmarkEnd w:id="1164"/>
      <w:bookmarkEnd w:id="1165"/>
      <w:bookmarkEnd w:id="1166"/>
      <w:bookmarkEnd w:id="1167"/>
      <w:bookmarkEnd w:id="1168"/>
      <w:bookmarkEnd w:id="1169"/>
      <w:bookmarkEnd w:id="1170"/>
    </w:p>
    <w:p w14:paraId="150B442B" w14:textId="39A0B7B6" w:rsidR="008A111C" w:rsidRDefault="00B20CBF" w:rsidP="008A111C">
      <w:pPr>
        <w:pStyle w:val="Bodycopy"/>
      </w:pPr>
      <w:r w:rsidRPr="00182A52">
        <w:t xml:space="preserve">Our </w:t>
      </w:r>
      <w:r w:rsidR="005D4602">
        <w:t>revis</w:t>
      </w:r>
      <w:r w:rsidR="005D4602" w:rsidRPr="00182A52">
        <w:t xml:space="preserve">ed </w:t>
      </w:r>
      <w:r w:rsidR="005D4602">
        <w:t>TSS</w:t>
      </w:r>
      <w:r w:rsidRPr="00182A52">
        <w:t xml:space="preserve"> for 2017-19 </w:t>
      </w:r>
      <w:r w:rsidR="005D4602">
        <w:t>differs from our initial TSS in only</w:t>
      </w:r>
      <w:r>
        <w:t xml:space="preserve"> </w:t>
      </w:r>
      <w:r w:rsidR="001750E5">
        <w:t>f</w:t>
      </w:r>
      <w:r w:rsidR="00E76F79">
        <w:t>ive</w:t>
      </w:r>
      <w:r>
        <w:t xml:space="preserve"> </w:t>
      </w:r>
      <w:r w:rsidR="00F36206">
        <w:t>areas</w:t>
      </w:r>
      <w:r>
        <w:t>.</w:t>
      </w:r>
      <w:r w:rsidR="0007358A">
        <w:t xml:space="preserve"> </w:t>
      </w:r>
      <w:r w:rsidR="00F36206">
        <w:t xml:space="preserve">Our </w:t>
      </w:r>
      <w:r w:rsidR="0007358A">
        <w:t>changes are summarised below, under the customer class to which they relate.</w:t>
      </w:r>
      <w:r w:rsidR="008A111C">
        <w:t xml:space="preserve"> </w:t>
      </w:r>
    </w:p>
    <w:p w14:paraId="6115ED55" w14:textId="4869EA38" w:rsidR="008A111C" w:rsidRDefault="00F36206" w:rsidP="008A111C">
      <w:pPr>
        <w:pStyle w:val="Bodycopy"/>
        <w:rPr>
          <w:lang w:val="en-AU"/>
        </w:rPr>
      </w:pPr>
      <w:r>
        <w:rPr>
          <w:lang w:val="en-AU"/>
        </w:rPr>
        <w:t>E</w:t>
      </w:r>
      <w:r w:rsidR="008A111C">
        <w:rPr>
          <w:lang w:val="en-AU"/>
        </w:rPr>
        <w:t>ligibility requirements, tariff structures and tariff components for each customer type are outlined in the following sections.</w:t>
      </w:r>
    </w:p>
    <w:p w14:paraId="1A5447FE" w14:textId="699B0851" w:rsidR="00B20CBF" w:rsidRDefault="00B20CBF" w:rsidP="0007358A">
      <w:pPr>
        <w:pStyle w:val="Heading2"/>
      </w:pPr>
      <w:bookmarkStart w:id="1171" w:name="_Ref459887725"/>
      <w:bookmarkStart w:id="1172" w:name="_Ref459887730"/>
      <w:bookmarkStart w:id="1173" w:name="_Toc462994057"/>
      <w:bookmarkStart w:id="1174" w:name="_Toc463343021"/>
      <w:r>
        <w:t>Changes to tariff structures from our initial TSS</w:t>
      </w:r>
      <w:bookmarkEnd w:id="1171"/>
      <w:bookmarkEnd w:id="1172"/>
      <w:bookmarkEnd w:id="1173"/>
      <w:bookmarkEnd w:id="1174"/>
    </w:p>
    <w:p w14:paraId="2D895144" w14:textId="71BF2860" w:rsidR="0007358A" w:rsidRPr="0007358A" w:rsidRDefault="0007358A" w:rsidP="0007358A">
      <w:pPr>
        <w:pStyle w:val="Boldbodycopy"/>
      </w:pPr>
      <w:r>
        <w:t>Residential and Small Business customer changes</w:t>
      </w:r>
    </w:p>
    <w:p w14:paraId="2DB9C48A" w14:textId="11EB1E49" w:rsidR="00182A52" w:rsidRDefault="00182A52" w:rsidP="0007358A">
      <w:pPr>
        <w:pStyle w:val="Numbered"/>
        <w:numPr>
          <w:ilvl w:val="0"/>
          <w:numId w:val="18"/>
        </w:numPr>
      </w:pPr>
      <w:r>
        <w:t>We have changed</w:t>
      </w:r>
      <w:r w:rsidRPr="00182A52">
        <w:t xml:space="preserve"> the</w:t>
      </w:r>
      <w:r w:rsidR="005D4602">
        <w:t xml:space="preserve"> declining block tariff (</w:t>
      </w:r>
      <w:r w:rsidR="008E539E">
        <w:t>DBT</w:t>
      </w:r>
      <w:r w:rsidR="005D4602">
        <w:t>)</w:t>
      </w:r>
      <w:r>
        <w:t xml:space="preserve"> </w:t>
      </w:r>
      <w:r w:rsidRPr="00182A52">
        <w:t xml:space="preserve">structure for </w:t>
      </w:r>
      <w:r>
        <w:t xml:space="preserve">our </w:t>
      </w:r>
      <w:r w:rsidRPr="00182A52">
        <w:t xml:space="preserve">residential </w:t>
      </w:r>
      <w:r>
        <w:t>and small business customers t</w:t>
      </w:r>
      <w:r w:rsidR="002D5531">
        <w:t>o a flat rate tariff structure</w:t>
      </w:r>
      <w:r w:rsidR="003C14A5">
        <w:t>. T</w:t>
      </w:r>
      <w:r>
        <w:t xml:space="preserve">his </w:t>
      </w:r>
      <w:r w:rsidR="00F36206">
        <w:t>change aligns with</w:t>
      </w:r>
      <w:r>
        <w:t xml:space="preserve"> the AER draft decision and customer feedback that strongly supported a flat rate tariff structure over a DBT structure.</w:t>
      </w:r>
    </w:p>
    <w:p w14:paraId="155479FE" w14:textId="0C59B67A" w:rsidR="00B453DF" w:rsidRDefault="00B453DF" w:rsidP="0007358A">
      <w:pPr>
        <w:pStyle w:val="Numbered"/>
        <w:numPr>
          <w:ilvl w:val="0"/>
          <w:numId w:val="18"/>
        </w:numPr>
      </w:pPr>
      <w:r w:rsidRPr="0007358A">
        <w:t>We</w:t>
      </w:r>
      <w:r w:rsidRPr="00752731">
        <w:t xml:space="preserve"> have added </w:t>
      </w:r>
      <w:r w:rsidR="008E539E">
        <w:t>new</w:t>
      </w:r>
      <w:r w:rsidRPr="00752731">
        <w:t xml:space="preserve"> </w:t>
      </w:r>
      <w:r>
        <w:t>TOU</w:t>
      </w:r>
      <w:r w:rsidRPr="00752731">
        <w:t xml:space="preserve"> tariff</w:t>
      </w:r>
      <w:r w:rsidR="00F65217">
        <w:t>s</w:t>
      </w:r>
      <w:r w:rsidRPr="00752731">
        <w:t xml:space="preserve"> </w:t>
      </w:r>
      <w:r w:rsidR="008A111C">
        <w:t>for</w:t>
      </w:r>
      <w:r w:rsidRPr="00752731">
        <w:t xml:space="preserve"> our residential and small </w:t>
      </w:r>
      <w:r>
        <w:t xml:space="preserve">business </w:t>
      </w:r>
      <w:r w:rsidRPr="00752731">
        <w:t xml:space="preserve">customers with an interval </w:t>
      </w:r>
      <w:r>
        <w:t xml:space="preserve">or higher capability </w:t>
      </w:r>
      <w:r w:rsidRPr="00752731">
        <w:t>meter.</w:t>
      </w:r>
      <w:r>
        <w:t xml:space="preserve"> </w:t>
      </w:r>
      <w:r w:rsidR="008E539E">
        <w:t>The charging windows for th</w:t>
      </w:r>
      <w:r w:rsidR="00F65217">
        <w:t>ese</w:t>
      </w:r>
      <w:r w:rsidR="008E539E">
        <w:t xml:space="preserve"> tariff</w:t>
      </w:r>
      <w:r w:rsidR="00F65217">
        <w:t>s</w:t>
      </w:r>
      <w:r w:rsidR="008E539E">
        <w:t xml:space="preserve"> </w:t>
      </w:r>
      <w:r w:rsidRPr="00752731">
        <w:t xml:space="preserve">are aligned </w:t>
      </w:r>
      <w:r>
        <w:t>with</w:t>
      </w:r>
      <w:r w:rsidRPr="00752731">
        <w:t xml:space="preserve"> </w:t>
      </w:r>
      <w:r w:rsidR="008E539E">
        <w:t xml:space="preserve">our </w:t>
      </w:r>
      <w:r>
        <w:t xml:space="preserve">network </w:t>
      </w:r>
      <w:r w:rsidR="008E539E">
        <w:t xml:space="preserve">demand pressures, rather than our legacy </w:t>
      </w:r>
      <w:r w:rsidR="002364AA">
        <w:t>metering technology</w:t>
      </w:r>
      <w:r w:rsidR="008E539E">
        <w:t xml:space="preserve">, and </w:t>
      </w:r>
      <w:r w:rsidR="008E539E" w:rsidRPr="00752731">
        <w:t xml:space="preserve">will </w:t>
      </w:r>
      <w:r w:rsidR="008E539E">
        <w:t>provide</w:t>
      </w:r>
      <w:r w:rsidR="008E539E" w:rsidRPr="00752731">
        <w:t xml:space="preserve"> customer</w:t>
      </w:r>
      <w:r w:rsidR="008E539E">
        <w:t>s with a more cost-reflective tariff.</w:t>
      </w:r>
    </w:p>
    <w:p w14:paraId="384CA6C4" w14:textId="6D060E85" w:rsidR="00AC568B" w:rsidRDefault="00AC568B" w:rsidP="0007358A">
      <w:pPr>
        <w:pStyle w:val="Numbered"/>
        <w:numPr>
          <w:ilvl w:val="0"/>
          <w:numId w:val="18"/>
        </w:numPr>
      </w:pPr>
      <w:r w:rsidRPr="0007358A">
        <w:t>We</w:t>
      </w:r>
      <w:r>
        <w:t xml:space="preserve"> have introduced </w:t>
      </w:r>
      <w:r w:rsidR="008E539E">
        <w:t>opt-in demand tariff</w:t>
      </w:r>
      <w:r w:rsidR="00F65217">
        <w:t>s</w:t>
      </w:r>
      <w:r w:rsidR="008E539E">
        <w:t xml:space="preserve"> </w:t>
      </w:r>
      <w:r>
        <w:t>for residential and small business customers with appropriate meter</w:t>
      </w:r>
      <w:r w:rsidR="00991709">
        <w:t>s</w:t>
      </w:r>
      <w:r>
        <w:t xml:space="preserve">. </w:t>
      </w:r>
      <w:r w:rsidR="00B453DF">
        <w:t>Demand charging w</w:t>
      </w:r>
      <w:r w:rsidR="000B7F05">
        <w:t xml:space="preserve">as a consistent request from many of our stakeholders </w:t>
      </w:r>
      <w:r w:rsidR="00991709">
        <w:t>during</w:t>
      </w:r>
      <w:r w:rsidR="008E539E">
        <w:t xml:space="preserve"> TSS consultation</w:t>
      </w:r>
      <w:r w:rsidR="0007358A">
        <w:t>.</w:t>
      </w:r>
    </w:p>
    <w:p w14:paraId="307D0B89" w14:textId="639D0D29" w:rsidR="0007358A" w:rsidRDefault="008E539E" w:rsidP="0007358A">
      <w:pPr>
        <w:pStyle w:val="Boldbodycopy"/>
      </w:pPr>
      <w:r>
        <w:t xml:space="preserve">Business, Large Business and Sub-transmission </w:t>
      </w:r>
      <w:r w:rsidR="0007358A">
        <w:t>customers</w:t>
      </w:r>
    </w:p>
    <w:p w14:paraId="7C295675" w14:textId="259C74F1" w:rsidR="00752731" w:rsidRDefault="002D5531" w:rsidP="0007358A">
      <w:pPr>
        <w:pStyle w:val="Numbered"/>
        <w:numPr>
          <w:ilvl w:val="0"/>
          <w:numId w:val="24"/>
        </w:numPr>
      </w:pPr>
      <w:r>
        <w:t xml:space="preserve">We have altered the charging windows </w:t>
      </w:r>
      <w:r w:rsidR="002364AA">
        <w:t>for the</w:t>
      </w:r>
      <w:r w:rsidR="008E539E">
        <w:t xml:space="preserve"> </w:t>
      </w:r>
      <w:r w:rsidR="002364AA">
        <w:t>energy</w:t>
      </w:r>
      <w:r w:rsidR="008E539E">
        <w:t xml:space="preserve"> and demand </w:t>
      </w:r>
      <w:r w:rsidR="002364AA">
        <w:t xml:space="preserve">tariff components of </w:t>
      </w:r>
      <w:r w:rsidR="008E539E">
        <w:t>our business, large busine</w:t>
      </w:r>
      <w:r w:rsidR="002364AA">
        <w:t xml:space="preserve">ss and </w:t>
      </w:r>
      <w:r w:rsidR="0067436E">
        <w:t>sub-transmission</w:t>
      </w:r>
      <w:r w:rsidR="002364AA">
        <w:t xml:space="preserve"> customer tariffs. The charging windows are aligned with </w:t>
      </w:r>
      <w:r w:rsidR="008E539E">
        <w:t>actual network</w:t>
      </w:r>
      <w:r w:rsidR="008A111C">
        <w:t xml:space="preserve"> </w:t>
      </w:r>
      <w:r w:rsidR="0007358A">
        <w:t xml:space="preserve">demand </w:t>
      </w:r>
      <w:r w:rsidR="008E539E">
        <w:t>pressures</w:t>
      </w:r>
      <w:r w:rsidR="002364AA">
        <w:t>,</w:t>
      </w:r>
      <w:r w:rsidR="008E539E">
        <w:t xml:space="preserve"> rather t</w:t>
      </w:r>
      <w:r w:rsidR="002364AA">
        <w:t>han legacy metering technology</w:t>
      </w:r>
      <w:r w:rsidR="00991709">
        <w:t>,</w:t>
      </w:r>
      <w:r w:rsidR="002364AA">
        <w:t xml:space="preserve"> and </w:t>
      </w:r>
      <w:r w:rsidR="008E539E">
        <w:t xml:space="preserve">will provide more </w:t>
      </w:r>
      <w:r w:rsidR="003C14A5">
        <w:t xml:space="preserve">cost-reflective </w:t>
      </w:r>
      <w:r w:rsidR="008E539E">
        <w:t>tariffs for these customers</w:t>
      </w:r>
      <w:r w:rsidR="003C14A5">
        <w:t>.</w:t>
      </w:r>
    </w:p>
    <w:p w14:paraId="3D7FC42C" w14:textId="45E0536F" w:rsidR="00991709" w:rsidRDefault="00E76F79" w:rsidP="00B47851">
      <w:pPr>
        <w:pStyle w:val="Numbered"/>
        <w:numPr>
          <w:ilvl w:val="0"/>
          <w:numId w:val="24"/>
        </w:numPr>
      </w:pPr>
      <w:r>
        <w:t xml:space="preserve">We have introduced </w:t>
      </w:r>
      <w:r w:rsidR="00AC4584">
        <w:t>a specific</w:t>
      </w:r>
      <w:r w:rsidR="000760A5">
        <w:t xml:space="preserve"> transitional</w:t>
      </w:r>
      <w:r w:rsidR="00AC4584">
        <w:t xml:space="preserve"> tariff</w:t>
      </w:r>
      <w:r>
        <w:t xml:space="preserve"> for </w:t>
      </w:r>
      <w:r w:rsidR="00990D79">
        <w:t>approximately 1,000</w:t>
      </w:r>
      <w:r w:rsidRPr="005500DE">
        <w:t xml:space="preserve"> business</w:t>
      </w:r>
      <w:r>
        <w:t xml:space="preserve"> customers currently on a DBT </w:t>
      </w:r>
      <w:r w:rsidR="002364AA">
        <w:t xml:space="preserve">or TOU tariff </w:t>
      </w:r>
      <w:r w:rsidR="00991709">
        <w:t>who</w:t>
      </w:r>
      <w:r>
        <w:t xml:space="preserve"> need to transition to a demand based tariff</w:t>
      </w:r>
      <w:r w:rsidR="00793C11">
        <w:t xml:space="preserve"> and who will be worse off </w:t>
      </w:r>
      <w:r w:rsidR="00991709">
        <w:t xml:space="preserve">following </w:t>
      </w:r>
      <w:r w:rsidR="00793C11">
        <w:t>this move</w:t>
      </w:r>
      <w:r>
        <w:t xml:space="preserve">. </w:t>
      </w:r>
      <w:r w:rsidR="00B47851">
        <w:t>(Establishing a specific tariff for these customers will reduce the potential for transitional pricing errors, as it will eliminate the need for any manual intervention in the billing process.)</w:t>
      </w:r>
    </w:p>
    <w:p w14:paraId="0B886754" w14:textId="747BB644" w:rsidR="00E8088C" w:rsidRDefault="00614E70" w:rsidP="005500DE">
      <w:pPr>
        <w:pStyle w:val="Bodycopyindented"/>
      </w:pPr>
      <w:r>
        <w:t>The</w:t>
      </w:r>
      <w:r w:rsidR="00661B5C">
        <w:t xml:space="preserve"> structure of this tariff is</w:t>
      </w:r>
      <w:r>
        <w:t xml:space="preserve"> consistent with t</w:t>
      </w:r>
      <w:r w:rsidR="00F617F7">
        <w:t xml:space="preserve">he </w:t>
      </w:r>
      <w:r w:rsidR="00991709">
        <w:t>TOU</w:t>
      </w:r>
      <w:r w:rsidR="00F617F7">
        <w:t xml:space="preserve"> </w:t>
      </w:r>
      <w:r w:rsidR="000C1B28">
        <w:t xml:space="preserve">three rate </w:t>
      </w:r>
      <w:r w:rsidR="005004E3">
        <w:t xml:space="preserve">demand </w:t>
      </w:r>
      <w:r w:rsidR="00661B5C">
        <w:t xml:space="preserve">tariff </w:t>
      </w:r>
      <w:r>
        <w:t>available to other Business customers</w:t>
      </w:r>
      <w:r w:rsidR="00991709">
        <w:t>;</w:t>
      </w:r>
      <w:r>
        <w:t xml:space="preserve"> </w:t>
      </w:r>
      <w:r w:rsidR="00991709">
        <w:t>however,</w:t>
      </w:r>
      <w:r>
        <w:t xml:space="preserve"> </w:t>
      </w:r>
      <w:r w:rsidR="00991709">
        <w:t xml:space="preserve">component </w:t>
      </w:r>
      <w:r>
        <w:t xml:space="preserve">weighting varies. </w:t>
      </w:r>
    </w:p>
    <w:p w14:paraId="29120B88" w14:textId="47C073AC" w:rsidR="00B47851" w:rsidRDefault="00E76F79" w:rsidP="005500DE">
      <w:pPr>
        <w:pStyle w:val="Bodycopyindented"/>
      </w:pPr>
      <w:r>
        <w:t xml:space="preserve">This tariff </w:t>
      </w:r>
      <w:r w:rsidR="002364AA">
        <w:t>will</w:t>
      </w:r>
      <w:r w:rsidR="002A0F00">
        <w:t xml:space="preserve"> </w:t>
      </w:r>
      <w:r w:rsidR="00991709">
        <w:t xml:space="preserve">enable </w:t>
      </w:r>
      <w:r w:rsidR="002A0F00">
        <w:t>these custom</w:t>
      </w:r>
      <w:r w:rsidR="002364AA">
        <w:t xml:space="preserve">ers to </w:t>
      </w:r>
      <w:r w:rsidR="00991709">
        <w:t xml:space="preserve">manage bill shock as they transition to </w:t>
      </w:r>
      <w:r w:rsidR="002364AA">
        <w:t>the full</w:t>
      </w:r>
      <w:r>
        <w:t xml:space="preserve"> demand based </w:t>
      </w:r>
      <w:r w:rsidRPr="00E8088C">
        <w:t xml:space="preserve">tariff over </w:t>
      </w:r>
      <w:r w:rsidR="00E8088C" w:rsidRPr="00E8088C">
        <w:t>five</w:t>
      </w:r>
      <w:r w:rsidR="00661B5C" w:rsidRPr="00E8088C">
        <w:t xml:space="preserve"> years</w:t>
      </w:r>
      <w:r w:rsidR="00991709">
        <w:t>,</w:t>
      </w:r>
      <w:r w:rsidR="00661B5C" w:rsidRPr="00E8088C">
        <w:t xml:space="preserve"> </w:t>
      </w:r>
      <w:r w:rsidR="00F35B1D">
        <w:t>and</w:t>
      </w:r>
      <w:r w:rsidR="00991709">
        <w:t xml:space="preserve"> at the same time </w:t>
      </w:r>
      <w:r w:rsidR="002364AA">
        <w:t>ensur</w:t>
      </w:r>
      <w:r w:rsidR="00F35B1D">
        <w:t>e</w:t>
      </w:r>
      <w:r w:rsidR="002364AA">
        <w:t xml:space="preserve"> adherence to the pricing principles in the Rules.</w:t>
      </w:r>
      <w:r>
        <w:t xml:space="preserve"> </w:t>
      </w:r>
    </w:p>
    <w:p w14:paraId="1FB6AB41" w14:textId="5B0D538E" w:rsidR="00E76F79" w:rsidRDefault="001766FB" w:rsidP="005500DE">
      <w:pPr>
        <w:pStyle w:val="Bodycopyindented"/>
      </w:pPr>
      <w:r>
        <w:t>Customers who are assigned to this tariff on 1 July 2017 will be able to opt out from this tariff at any time</w:t>
      </w:r>
      <w:r w:rsidR="00B47851">
        <w:t xml:space="preserve"> </w:t>
      </w:r>
      <w:r w:rsidR="00F35B1D">
        <w:t>thereafter</w:t>
      </w:r>
      <w:r>
        <w:t xml:space="preserve"> </w:t>
      </w:r>
      <w:r w:rsidR="00B47851">
        <w:t>for</w:t>
      </w:r>
      <w:r>
        <w:t xml:space="preserve"> up to five</w:t>
      </w:r>
      <w:r w:rsidR="00B801B3">
        <w:t>-</w:t>
      </w:r>
      <w:r>
        <w:t>year</w:t>
      </w:r>
      <w:r w:rsidR="00991709">
        <w:t>s</w:t>
      </w:r>
      <w:r>
        <w:t xml:space="preserve">. </w:t>
      </w:r>
    </w:p>
    <w:p w14:paraId="24E40F97" w14:textId="0773140B" w:rsidR="00B47851" w:rsidRDefault="00B47851" w:rsidP="00B47851">
      <w:pPr>
        <w:pStyle w:val="Numbered"/>
        <w:numPr>
          <w:ilvl w:val="0"/>
          <w:numId w:val="0"/>
        </w:numPr>
        <w:ind w:left="644"/>
      </w:pPr>
      <w:r>
        <w:t xml:space="preserve"> </w:t>
      </w:r>
    </w:p>
    <w:p w14:paraId="60CBD8A5" w14:textId="49E0C1FF" w:rsidR="00A25504" w:rsidRDefault="00B47851" w:rsidP="00B47851">
      <w:pPr>
        <w:pStyle w:val="Bodycopy"/>
      </w:pPr>
      <w:bookmarkStart w:id="1175" w:name="_GoBack"/>
      <w:bookmarkEnd w:id="1175"/>
      <w:r>
        <w:t xml:space="preserve"> </w:t>
      </w:r>
      <w:r w:rsidR="00A25504">
        <w:br w:type="page"/>
      </w:r>
    </w:p>
    <w:p w14:paraId="0F3C2FFE" w14:textId="508E24F8" w:rsidR="004B15D5" w:rsidRDefault="004B15D5" w:rsidP="00BD7710">
      <w:pPr>
        <w:pStyle w:val="Heading2"/>
      </w:pPr>
      <w:bookmarkStart w:id="1176" w:name="_Toc462994058"/>
      <w:bookmarkStart w:id="1177" w:name="_Toc463343022"/>
      <w:r>
        <w:lastRenderedPageBreak/>
        <w:t xml:space="preserve">Residential </w:t>
      </w:r>
      <w:r w:rsidR="005504D5">
        <w:t>customers</w:t>
      </w:r>
      <w:r w:rsidR="00B6416E">
        <w:t>’</w:t>
      </w:r>
      <w:r w:rsidR="005504D5">
        <w:t xml:space="preserve"> </w:t>
      </w:r>
      <w:r>
        <w:t>network tariffs and charging parameters</w:t>
      </w:r>
      <w:bookmarkEnd w:id="1176"/>
      <w:bookmarkEnd w:id="1177"/>
    </w:p>
    <w:p w14:paraId="155DDC94" w14:textId="1B527017" w:rsidR="004B15D5" w:rsidRDefault="00EA4333" w:rsidP="00AC6943">
      <w:pPr>
        <w:pStyle w:val="Bodycopy"/>
      </w:pPr>
      <w:r>
        <w:t xml:space="preserve">We propose </w:t>
      </w:r>
      <w:r w:rsidR="0030107E">
        <w:t xml:space="preserve">offering </w:t>
      </w:r>
      <w:r w:rsidR="00445BD6">
        <w:t>four</w:t>
      </w:r>
      <w:r w:rsidR="005F6F7C">
        <w:t xml:space="preserve"> </w:t>
      </w:r>
      <w:r w:rsidR="0030107E">
        <w:t>residential tariffs</w:t>
      </w:r>
      <w:r w:rsidR="00ED00B1">
        <w:t xml:space="preserve"> under the </w:t>
      </w:r>
      <w:r w:rsidR="0067436E">
        <w:t>‘</w:t>
      </w:r>
      <w:r w:rsidR="00ED00B1">
        <w:t>Low voltage residential and small business</w:t>
      </w:r>
      <w:r w:rsidR="0067436E">
        <w:t>’</w:t>
      </w:r>
      <w:r w:rsidR="00881D7A" w:rsidRPr="00881D7A">
        <w:t xml:space="preserve"> </w:t>
      </w:r>
      <w:r w:rsidR="00881D7A">
        <w:t>tariff class</w:t>
      </w:r>
      <w:r>
        <w:t xml:space="preserve"> – </w:t>
      </w:r>
      <w:r w:rsidR="00445BD6">
        <w:t>two more than</w:t>
      </w:r>
      <w:r>
        <w:t xml:space="preserve"> presently available</w:t>
      </w:r>
      <w:r w:rsidR="0030107E">
        <w:t xml:space="preserve">. </w:t>
      </w:r>
      <w:r w:rsidR="00757531">
        <w:t>The R</w:t>
      </w:r>
      <w:r w:rsidR="00445BD6">
        <w:t xml:space="preserve">esidential </w:t>
      </w:r>
      <w:r w:rsidR="00757531">
        <w:t>Anytime</w:t>
      </w:r>
      <w:r w:rsidR="00445BD6">
        <w:t xml:space="preserve"> tariff replaces the current </w:t>
      </w:r>
      <w:r w:rsidR="00757531">
        <w:t>DBT</w:t>
      </w:r>
      <w:r w:rsidR="00445BD6">
        <w:t xml:space="preserve"> and </w:t>
      </w:r>
      <w:r w:rsidR="00065D3E">
        <w:t xml:space="preserve">both </w:t>
      </w:r>
      <w:r w:rsidR="00445BD6">
        <w:t>the Residential Time of Use – Interval tariff and Residential</w:t>
      </w:r>
      <w:r w:rsidR="00757531">
        <w:t xml:space="preserve"> </w:t>
      </w:r>
      <w:r w:rsidR="00445BD6" w:rsidRPr="00757531">
        <w:t>–</w:t>
      </w:r>
      <w:r w:rsidR="00757531" w:rsidRPr="00757531">
        <w:t xml:space="preserve"> D</w:t>
      </w:r>
      <w:r w:rsidR="00445BD6" w:rsidRPr="00757531">
        <w:t>emand tariff are</w:t>
      </w:r>
      <w:r w:rsidR="00445BD6">
        <w:t xml:space="preserve"> new tariffs for customers with the appropriate metering technology.</w:t>
      </w:r>
      <w:r w:rsidR="00445BD6" w:rsidRPr="000E1434">
        <w:t xml:space="preserve"> </w:t>
      </w:r>
      <w:r w:rsidR="0030107E">
        <w:t>These tariffs and the associated eligibility criteria are shown</w:t>
      </w:r>
      <w:r w:rsidR="00065D3E">
        <w:t xml:space="preserve"> below</w:t>
      </w:r>
      <w:r w:rsidR="0030107E">
        <w:t xml:space="preserve"> in </w:t>
      </w:r>
      <w:r w:rsidR="0030107E">
        <w:fldChar w:fldCharType="begin"/>
      </w:r>
      <w:r w:rsidR="0030107E">
        <w:instrText xml:space="preserve"> REF _Ref432408532 \h </w:instrText>
      </w:r>
      <w:r w:rsidR="0030107E">
        <w:fldChar w:fldCharType="separate"/>
      </w:r>
      <w:r w:rsidR="0073687F" w:rsidRPr="00FA3BEB">
        <w:t xml:space="preserve">Table </w:t>
      </w:r>
      <w:r w:rsidR="0073687F">
        <w:rPr>
          <w:noProof/>
        </w:rPr>
        <w:t>4</w:t>
      </w:r>
      <w:r w:rsidR="0073687F">
        <w:noBreakHyphen/>
      </w:r>
      <w:r w:rsidR="0073687F">
        <w:rPr>
          <w:noProof/>
        </w:rPr>
        <w:t>1</w:t>
      </w:r>
      <w:r w:rsidR="0030107E">
        <w:fldChar w:fldCharType="end"/>
      </w:r>
      <w:r w:rsidR="00F35B1D">
        <w:t>.</w:t>
      </w:r>
      <w:r w:rsidR="00065D3E" w:rsidRPr="00065D3E">
        <w:t xml:space="preserve"> </w:t>
      </w:r>
      <w:r w:rsidR="00F35B1D">
        <w:t>A</w:t>
      </w:r>
      <w:r w:rsidR="00065D3E" w:rsidRPr="000E1434">
        <w:t xml:space="preserve">ssociated </w:t>
      </w:r>
      <w:r w:rsidR="00065D3E">
        <w:t>tariff structures and charging parameters are shown further below in</w:t>
      </w:r>
      <w:r w:rsidR="00AC6943">
        <w:t xml:space="preserve"> </w:t>
      </w:r>
      <w:r w:rsidR="00AC6943">
        <w:fldChar w:fldCharType="begin"/>
      </w:r>
      <w:r w:rsidR="00AC6943">
        <w:instrText xml:space="preserve"> REF _Ref459887267 \h </w:instrText>
      </w:r>
      <w:r w:rsidR="00AC6943">
        <w:fldChar w:fldCharType="separate"/>
      </w:r>
      <w:r w:rsidR="0073687F" w:rsidRPr="00BE0D46">
        <w:t>Table</w:t>
      </w:r>
      <w:r w:rsidR="0073687F" w:rsidRPr="00DF4907">
        <w:t xml:space="preserve"> </w:t>
      </w:r>
      <w:r w:rsidR="0073687F">
        <w:rPr>
          <w:noProof/>
        </w:rPr>
        <w:t>4</w:t>
      </w:r>
      <w:r w:rsidR="0073687F">
        <w:noBreakHyphen/>
      </w:r>
      <w:r w:rsidR="0073687F">
        <w:rPr>
          <w:noProof/>
        </w:rPr>
        <w:t>2</w:t>
      </w:r>
      <w:r w:rsidR="00AC6943">
        <w:fldChar w:fldCharType="end"/>
      </w:r>
      <w:r w:rsidR="00065D3E">
        <w:t xml:space="preserve">. </w:t>
      </w:r>
    </w:p>
    <w:p w14:paraId="5C9B707E" w14:textId="76B16A04" w:rsidR="002B4D5E" w:rsidRPr="00FA3BEB" w:rsidRDefault="002B4D5E" w:rsidP="002B4D5E">
      <w:pPr>
        <w:pStyle w:val="Caption"/>
      </w:pPr>
      <w:bookmarkStart w:id="1178" w:name="_Ref432408532"/>
      <w:bookmarkStart w:id="1179" w:name="_Toc432597588"/>
      <w:bookmarkStart w:id="1180" w:name="_Toc434839496"/>
      <w:bookmarkStart w:id="1181" w:name="_Toc435177021"/>
      <w:bookmarkStart w:id="1182" w:name="_Toc435454528"/>
      <w:bookmarkStart w:id="1183" w:name="_Toc435608274"/>
      <w:bookmarkStart w:id="1184" w:name="_Toc435629492"/>
      <w:bookmarkStart w:id="1185" w:name="_Toc436127221"/>
      <w:bookmarkStart w:id="1186" w:name="_Toc436226255"/>
      <w:bookmarkStart w:id="1187" w:name="_Toc436304587"/>
      <w:bookmarkStart w:id="1188" w:name="_Toc462988225"/>
      <w:bookmarkStart w:id="1189" w:name="_Toc462994027"/>
      <w:bookmarkStart w:id="1190" w:name="_Toc463343034"/>
      <w:r w:rsidRPr="00FA3BEB">
        <w:t xml:space="preserve">Table </w:t>
      </w:r>
      <w:fldSimple w:instr=" STYLEREF 1 \s ">
        <w:r w:rsidR="0073687F">
          <w:rPr>
            <w:noProof/>
          </w:rPr>
          <w:t>4</w:t>
        </w:r>
      </w:fldSimple>
      <w:r w:rsidR="00A52BA8">
        <w:noBreakHyphen/>
      </w:r>
      <w:fldSimple w:instr=" SEQ Table \* ARABIC \s 1 ">
        <w:r w:rsidR="0073687F">
          <w:rPr>
            <w:noProof/>
          </w:rPr>
          <w:t>1</w:t>
        </w:r>
      </w:fldSimple>
      <w:bookmarkEnd w:id="1178"/>
      <w:r w:rsidRPr="00FA3BEB">
        <w:t xml:space="preserve">: </w:t>
      </w:r>
      <w:r w:rsidR="0030107E">
        <w:t xml:space="preserve">Eligibility for </w:t>
      </w:r>
      <w:r w:rsidR="005A5B54">
        <w:t>R</w:t>
      </w:r>
      <w:r w:rsidR="0030107E">
        <w:t xml:space="preserve">esidential </w:t>
      </w:r>
      <w:r w:rsidR="005504D5">
        <w:t xml:space="preserve">customer </w:t>
      </w:r>
      <w:r w:rsidR="0030107E">
        <w:t>tariffs</w:t>
      </w:r>
      <w:bookmarkEnd w:id="1179"/>
      <w:bookmarkEnd w:id="1180"/>
      <w:bookmarkEnd w:id="1181"/>
      <w:bookmarkEnd w:id="1182"/>
      <w:bookmarkEnd w:id="1183"/>
      <w:bookmarkEnd w:id="1184"/>
      <w:bookmarkEnd w:id="1185"/>
      <w:bookmarkEnd w:id="1186"/>
      <w:bookmarkEnd w:id="1187"/>
      <w:bookmarkEnd w:id="1188"/>
      <w:bookmarkEnd w:id="1189"/>
      <w:bookmarkEnd w:id="1190"/>
    </w:p>
    <w:tbl>
      <w:tblPr>
        <w:tblStyle w:val="EEOrangeTable"/>
        <w:tblW w:w="10206" w:type="dxa"/>
        <w:tblInd w:w="-5" w:type="dxa"/>
        <w:tblLook w:val="04A0" w:firstRow="1" w:lastRow="0" w:firstColumn="1" w:lastColumn="0" w:noHBand="0" w:noVBand="1"/>
      </w:tblPr>
      <w:tblGrid>
        <w:gridCol w:w="2088"/>
        <w:gridCol w:w="8118"/>
      </w:tblGrid>
      <w:tr w:rsidR="0030107E" w14:paraId="0C46993F" w14:textId="77777777" w:rsidTr="00BA11A2">
        <w:trPr>
          <w:cnfStyle w:val="100000000000" w:firstRow="1" w:lastRow="0" w:firstColumn="0" w:lastColumn="0" w:oddVBand="0" w:evenVBand="0" w:oddHBand="0" w:evenHBand="0" w:firstRowFirstColumn="0" w:firstRowLastColumn="0" w:lastRowFirstColumn="0" w:lastRowLastColumn="0"/>
        </w:trPr>
        <w:tc>
          <w:tcPr>
            <w:tcW w:w="2088" w:type="dxa"/>
            <w:tcBorders>
              <w:right w:val="single" w:sz="4" w:space="0" w:color="FFFFFF" w:themeColor="background1"/>
            </w:tcBorders>
          </w:tcPr>
          <w:p w14:paraId="523775CD" w14:textId="77777777" w:rsidR="0030107E" w:rsidRPr="00C77073" w:rsidRDefault="0030107E" w:rsidP="00A950FB">
            <w:pPr>
              <w:pStyle w:val="Tableheadingwhite"/>
            </w:pPr>
            <w:r w:rsidRPr="00C77073">
              <w:t>Tariff</w:t>
            </w:r>
          </w:p>
        </w:tc>
        <w:tc>
          <w:tcPr>
            <w:tcW w:w="8118" w:type="dxa"/>
            <w:tcBorders>
              <w:left w:val="single" w:sz="4" w:space="0" w:color="FFFFFF" w:themeColor="background1"/>
              <w:right w:val="single" w:sz="12" w:space="0" w:color="F58025" w:themeColor="accent2"/>
            </w:tcBorders>
          </w:tcPr>
          <w:p w14:paraId="3E563546" w14:textId="725B7692" w:rsidR="0030107E" w:rsidRPr="00C77073" w:rsidRDefault="0030107E" w:rsidP="00A950FB">
            <w:pPr>
              <w:pStyle w:val="Tableheadingwhite"/>
            </w:pPr>
            <w:r>
              <w:t>Eligibility</w:t>
            </w:r>
          </w:p>
        </w:tc>
      </w:tr>
      <w:tr w:rsidR="0030107E" w14:paraId="068551D5" w14:textId="77777777" w:rsidTr="00BA11A2">
        <w:trPr>
          <w:trHeight w:val="736"/>
        </w:trPr>
        <w:tc>
          <w:tcPr>
            <w:tcW w:w="2088" w:type="dxa"/>
            <w:tcBorders>
              <w:top w:val="single" w:sz="4" w:space="0" w:color="F58025" w:themeColor="accent2"/>
              <w:left w:val="single" w:sz="12" w:space="0" w:color="F58025" w:themeColor="accent2"/>
              <w:bottom w:val="single" w:sz="12" w:space="0" w:color="F58025" w:themeColor="accent2"/>
            </w:tcBorders>
            <w:vAlign w:val="center"/>
          </w:tcPr>
          <w:p w14:paraId="0B71BF0F" w14:textId="3DB45658" w:rsidR="0030107E" w:rsidRPr="00C77073" w:rsidRDefault="0030107E" w:rsidP="00EA4333">
            <w:pPr>
              <w:pStyle w:val="Bodycopytable8pt"/>
            </w:pPr>
            <w:r>
              <w:t xml:space="preserve">Residential </w:t>
            </w:r>
            <w:r w:rsidR="00793C11">
              <w:t>Anytime</w:t>
            </w:r>
          </w:p>
        </w:tc>
        <w:tc>
          <w:tcPr>
            <w:tcW w:w="8118" w:type="dxa"/>
            <w:tcBorders>
              <w:top w:val="single" w:sz="4" w:space="0" w:color="F58025" w:themeColor="accent2"/>
              <w:bottom w:val="single" w:sz="12" w:space="0" w:color="F58025" w:themeColor="accent2"/>
              <w:right w:val="single" w:sz="12" w:space="0" w:color="F58025" w:themeColor="accent2"/>
            </w:tcBorders>
            <w:vAlign w:val="center"/>
          </w:tcPr>
          <w:p w14:paraId="63233826" w14:textId="47612443" w:rsidR="00156624" w:rsidRDefault="00156624" w:rsidP="00920137">
            <w:pPr>
              <w:pStyle w:val="Bulletsnotindented8pt"/>
            </w:pPr>
            <w:r>
              <w:t>Low voltage connection</w:t>
            </w:r>
          </w:p>
          <w:p w14:paraId="235AC53A" w14:textId="33029CB5" w:rsidR="00156624" w:rsidRDefault="00156624" w:rsidP="00920137">
            <w:pPr>
              <w:pStyle w:val="Bulletsnotindented8pt"/>
            </w:pPr>
            <w:r>
              <w:t>Premises wholly used as a private dwelling w</w:t>
            </w:r>
            <w:r w:rsidR="00A06FEA">
              <w:t>h</w:t>
            </w:r>
            <w:r>
              <w:t>ere consumption does not exceed 160 MWh per year</w:t>
            </w:r>
          </w:p>
          <w:p w14:paraId="6908CFA6" w14:textId="79D9B82C" w:rsidR="006F3C8A" w:rsidRDefault="00156624" w:rsidP="00772289">
            <w:pPr>
              <w:pStyle w:val="Bulletsnotindented8pt"/>
            </w:pPr>
            <w:r>
              <w:t xml:space="preserve">Default network tariff for </w:t>
            </w:r>
            <w:r w:rsidR="004F080C">
              <w:t>r</w:t>
            </w:r>
            <w:r>
              <w:t>esidential customers</w:t>
            </w:r>
            <w:r w:rsidR="002E65AE">
              <w:t xml:space="preserve"> </w:t>
            </w:r>
            <w:r w:rsidR="006F3C8A">
              <w:t>until 30 June 2018</w:t>
            </w:r>
          </w:p>
          <w:p w14:paraId="22432F96" w14:textId="2810A84F" w:rsidR="004F080C" w:rsidRPr="00C77073" w:rsidRDefault="00793C11" w:rsidP="00793C11">
            <w:pPr>
              <w:pStyle w:val="Bulletsnotindented8pt"/>
            </w:pPr>
            <w:r>
              <w:t>O</w:t>
            </w:r>
            <w:r w:rsidR="004F080C">
              <w:t>ptional tariff</w:t>
            </w:r>
            <w:r w:rsidR="00EA4333">
              <w:t xml:space="preserve"> for residential customers</w:t>
            </w:r>
            <w:r w:rsidR="006F3C8A">
              <w:t xml:space="preserve"> from 1 July 2018</w:t>
            </w:r>
          </w:p>
        </w:tc>
      </w:tr>
      <w:tr w:rsidR="0030107E" w14:paraId="1BAFB774" w14:textId="77777777" w:rsidTr="00BA11A2">
        <w:trPr>
          <w:trHeight w:val="690"/>
        </w:trPr>
        <w:tc>
          <w:tcPr>
            <w:tcW w:w="2088" w:type="dxa"/>
            <w:tcBorders>
              <w:top w:val="single" w:sz="12" w:space="0" w:color="F58025" w:themeColor="accent2"/>
              <w:left w:val="single" w:sz="12" w:space="0" w:color="F58025" w:themeColor="accent2"/>
              <w:bottom w:val="single" w:sz="12" w:space="0" w:color="F58025" w:themeColor="accent2"/>
            </w:tcBorders>
            <w:shd w:val="clear" w:color="auto" w:fill="FDE5D3" w:themeFill="accent2" w:themeFillTint="33"/>
            <w:vAlign w:val="center"/>
          </w:tcPr>
          <w:p w14:paraId="7E87D8E7" w14:textId="1CDA792E" w:rsidR="00104334" w:rsidRPr="00C77073" w:rsidRDefault="0030107E" w:rsidP="00A950FB">
            <w:pPr>
              <w:pStyle w:val="Bodycopytable8pt"/>
            </w:pPr>
            <w:r>
              <w:t>Residential Time of Use</w:t>
            </w:r>
          </w:p>
        </w:tc>
        <w:tc>
          <w:tcPr>
            <w:tcW w:w="8118" w:type="dxa"/>
            <w:tcBorders>
              <w:top w:val="single" w:sz="12" w:space="0" w:color="F58025" w:themeColor="accent2"/>
              <w:bottom w:val="single" w:sz="12" w:space="0" w:color="F58025" w:themeColor="accent2"/>
              <w:right w:val="single" w:sz="12" w:space="0" w:color="F58025" w:themeColor="accent2"/>
            </w:tcBorders>
            <w:shd w:val="clear" w:color="auto" w:fill="FDE5D3" w:themeFill="accent2" w:themeFillTint="33"/>
            <w:vAlign w:val="center"/>
          </w:tcPr>
          <w:p w14:paraId="7D6B4642" w14:textId="77777777" w:rsidR="00156624" w:rsidRDefault="00156624" w:rsidP="00920137">
            <w:pPr>
              <w:pStyle w:val="Bulletsnotindented8pt"/>
            </w:pPr>
            <w:r>
              <w:t xml:space="preserve">Low voltage connection </w:t>
            </w:r>
          </w:p>
          <w:p w14:paraId="2EC929FE" w14:textId="1ADA85CD" w:rsidR="00156624" w:rsidRDefault="00156624" w:rsidP="00920137">
            <w:pPr>
              <w:pStyle w:val="Bulletsnotindented8pt"/>
            </w:pPr>
            <w:r>
              <w:t>Premises wholly used as a private dwelling w</w:t>
            </w:r>
            <w:r w:rsidR="00A06FEA">
              <w:t>h</w:t>
            </w:r>
            <w:r>
              <w:t>ere consumption does not exceed 160 MWh per year</w:t>
            </w:r>
          </w:p>
          <w:p w14:paraId="59EDC5DB" w14:textId="38280A2A" w:rsidR="0030107E" w:rsidRDefault="004F080C" w:rsidP="00920137">
            <w:pPr>
              <w:pStyle w:val="Bulletsnotindented8pt"/>
            </w:pPr>
            <w:r>
              <w:t xml:space="preserve">Basic accumulation meter with </w:t>
            </w:r>
            <w:r w:rsidR="00156624">
              <w:t xml:space="preserve">Time of Use </w:t>
            </w:r>
            <w:r>
              <w:t>capability or a Type 5 meter</w:t>
            </w:r>
          </w:p>
          <w:p w14:paraId="731AC9F1" w14:textId="78C8EA97" w:rsidR="003D0B6F" w:rsidRDefault="00772289" w:rsidP="00920137">
            <w:pPr>
              <w:pStyle w:val="Bulletsnotindented8pt"/>
            </w:pPr>
            <w:r>
              <w:t>O</w:t>
            </w:r>
            <w:r w:rsidR="003D0B6F">
              <w:t>ptional</w:t>
            </w:r>
            <w:r>
              <w:t xml:space="preserve"> network tariff for residential customers until 30 June 2018</w:t>
            </w:r>
          </w:p>
          <w:p w14:paraId="55579303" w14:textId="548A79BF" w:rsidR="00DD02D8" w:rsidRPr="00C77073" w:rsidRDefault="004F080C" w:rsidP="003859C3">
            <w:pPr>
              <w:pStyle w:val="Bulletsnotindented8pt"/>
            </w:pPr>
            <w:r>
              <w:t xml:space="preserve">Default network tariff </w:t>
            </w:r>
            <w:r w:rsidR="00C677AC">
              <w:t xml:space="preserve">for </w:t>
            </w:r>
            <w:r>
              <w:t>residential customers</w:t>
            </w:r>
            <w:r w:rsidR="00EA4333">
              <w:t xml:space="preserve"> with </w:t>
            </w:r>
            <w:r w:rsidR="0076059D">
              <w:t xml:space="preserve">the </w:t>
            </w:r>
            <w:r w:rsidR="00EA4333">
              <w:t>appropriate meter</w:t>
            </w:r>
            <w:r w:rsidR="006F3C8A">
              <w:t xml:space="preserve"> from 1 July 2018</w:t>
            </w:r>
          </w:p>
        </w:tc>
      </w:tr>
      <w:tr w:rsidR="003D221A" w14:paraId="6A4001E5" w14:textId="77777777" w:rsidTr="003D221A">
        <w:trPr>
          <w:trHeight w:val="690"/>
        </w:trPr>
        <w:tc>
          <w:tcPr>
            <w:tcW w:w="2088" w:type="dxa"/>
            <w:tcBorders>
              <w:top w:val="single" w:sz="12" w:space="0" w:color="F58025" w:themeColor="accent2"/>
              <w:left w:val="single" w:sz="12" w:space="0" w:color="F58025" w:themeColor="accent2"/>
              <w:bottom w:val="single" w:sz="12" w:space="0" w:color="F58025" w:themeColor="accent2"/>
            </w:tcBorders>
            <w:vAlign w:val="center"/>
          </w:tcPr>
          <w:p w14:paraId="3BE4C58D" w14:textId="77CE8C36" w:rsidR="003D221A" w:rsidRDefault="00EA4333" w:rsidP="00A950FB">
            <w:pPr>
              <w:pStyle w:val="Bodycopytable8pt"/>
            </w:pPr>
            <w:r>
              <w:t>Residential Time of Use - Interval</w:t>
            </w:r>
          </w:p>
        </w:tc>
        <w:tc>
          <w:tcPr>
            <w:tcW w:w="8118" w:type="dxa"/>
            <w:tcBorders>
              <w:top w:val="single" w:sz="12" w:space="0" w:color="F58025" w:themeColor="accent2"/>
              <w:bottom w:val="single" w:sz="12" w:space="0" w:color="F58025" w:themeColor="accent2"/>
              <w:right w:val="single" w:sz="12" w:space="0" w:color="F58025" w:themeColor="accent2"/>
            </w:tcBorders>
            <w:vAlign w:val="center"/>
          </w:tcPr>
          <w:p w14:paraId="7B4B9EDB" w14:textId="77777777" w:rsidR="00EA4333" w:rsidRDefault="00EA4333" w:rsidP="00EA4333">
            <w:pPr>
              <w:pStyle w:val="Bulletsnotindented8pt"/>
            </w:pPr>
            <w:r>
              <w:t xml:space="preserve">Low voltage connection </w:t>
            </w:r>
          </w:p>
          <w:p w14:paraId="1F1A25A1" w14:textId="77777777" w:rsidR="00EA4333" w:rsidRDefault="00EA4333" w:rsidP="00EA4333">
            <w:pPr>
              <w:pStyle w:val="Bulletsnotindented8pt"/>
            </w:pPr>
            <w:r>
              <w:t>Premises wholly used as a private dwelling where consumption does not exceed 160 MWh per year</w:t>
            </w:r>
          </w:p>
          <w:p w14:paraId="207F967F" w14:textId="77777777" w:rsidR="00EA4333" w:rsidRDefault="00EA4333" w:rsidP="00EA4333">
            <w:pPr>
              <w:pStyle w:val="Bulletsnotindented8pt"/>
            </w:pPr>
            <w:r>
              <w:t>Interval or higher capability meter</w:t>
            </w:r>
          </w:p>
          <w:p w14:paraId="527B9640" w14:textId="17EA0B45" w:rsidR="003D221A" w:rsidRDefault="00EA4333" w:rsidP="003859C3">
            <w:pPr>
              <w:pStyle w:val="Bulletsnotindented8pt"/>
            </w:pPr>
            <w:r>
              <w:t xml:space="preserve">Default network tariff for residential customers with </w:t>
            </w:r>
            <w:r w:rsidR="0076059D">
              <w:t xml:space="preserve">the </w:t>
            </w:r>
            <w:r>
              <w:t>appropriate meter</w:t>
            </w:r>
            <w:r w:rsidR="006F3C8A">
              <w:t xml:space="preserve"> from 1 July 2018</w:t>
            </w:r>
          </w:p>
        </w:tc>
      </w:tr>
      <w:tr w:rsidR="00445BD6" w14:paraId="7A63348D" w14:textId="77777777" w:rsidTr="00ED00B1">
        <w:trPr>
          <w:trHeight w:val="690"/>
        </w:trPr>
        <w:tc>
          <w:tcPr>
            <w:tcW w:w="2088" w:type="dxa"/>
            <w:tcBorders>
              <w:top w:val="single" w:sz="12" w:space="0" w:color="F58025" w:themeColor="accent2"/>
              <w:left w:val="single" w:sz="12" w:space="0" w:color="F58025" w:themeColor="accent2"/>
              <w:bottom w:val="single" w:sz="12" w:space="0" w:color="F58025" w:themeColor="accent2"/>
            </w:tcBorders>
            <w:shd w:val="clear" w:color="auto" w:fill="FDE5D3" w:themeFill="accent2" w:themeFillTint="33"/>
            <w:vAlign w:val="center"/>
          </w:tcPr>
          <w:p w14:paraId="569F7A3C" w14:textId="1C89143D" w:rsidR="00445BD6" w:rsidRDefault="00445BD6" w:rsidP="00757531">
            <w:pPr>
              <w:pStyle w:val="Bodycopytable8pt"/>
            </w:pPr>
            <w:r w:rsidRPr="00793C11">
              <w:t>Residential</w:t>
            </w:r>
            <w:r w:rsidR="00757531">
              <w:t xml:space="preserve"> </w:t>
            </w:r>
            <w:r w:rsidRPr="00793C11">
              <w:t>–</w:t>
            </w:r>
            <w:r w:rsidR="00757531">
              <w:t xml:space="preserve"> </w:t>
            </w:r>
            <w:r w:rsidRPr="00793C11">
              <w:t>Demand</w:t>
            </w:r>
          </w:p>
        </w:tc>
        <w:tc>
          <w:tcPr>
            <w:tcW w:w="8118" w:type="dxa"/>
            <w:tcBorders>
              <w:top w:val="single" w:sz="12" w:space="0" w:color="F58025" w:themeColor="accent2"/>
              <w:bottom w:val="single" w:sz="12" w:space="0" w:color="F58025" w:themeColor="accent2"/>
              <w:right w:val="single" w:sz="12" w:space="0" w:color="F58025" w:themeColor="accent2"/>
            </w:tcBorders>
            <w:shd w:val="clear" w:color="auto" w:fill="FDE5D3" w:themeFill="accent2" w:themeFillTint="33"/>
            <w:vAlign w:val="center"/>
          </w:tcPr>
          <w:p w14:paraId="453E48B3" w14:textId="77777777" w:rsidR="00445BD6" w:rsidRDefault="00445BD6" w:rsidP="00445BD6">
            <w:pPr>
              <w:pStyle w:val="Bulletsnotindented8pt"/>
            </w:pPr>
            <w:r>
              <w:t>Low voltage connection</w:t>
            </w:r>
          </w:p>
          <w:p w14:paraId="0A0B781E" w14:textId="77777777" w:rsidR="00445BD6" w:rsidRDefault="00445BD6" w:rsidP="00445BD6">
            <w:pPr>
              <w:pStyle w:val="Bulletsnotindented8pt"/>
            </w:pPr>
            <w:r>
              <w:t>Premises wholly used as a private dwelling where consumption does not exceed 160 MWh per year</w:t>
            </w:r>
          </w:p>
          <w:p w14:paraId="3725E6F3" w14:textId="77777777" w:rsidR="00445BD6" w:rsidRDefault="00445BD6" w:rsidP="00445BD6">
            <w:pPr>
              <w:pStyle w:val="Bulletsnotindented8pt"/>
            </w:pPr>
            <w:r>
              <w:t>Interval or higher capability meter</w:t>
            </w:r>
          </w:p>
          <w:p w14:paraId="3F21450F" w14:textId="2E4832F1" w:rsidR="00445BD6" w:rsidRDefault="00445BD6" w:rsidP="00445BD6">
            <w:pPr>
              <w:pStyle w:val="Bulletsnotindented8pt"/>
            </w:pPr>
            <w:r>
              <w:t>Optional tariff for residential customers with the appropriate meter</w:t>
            </w:r>
          </w:p>
        </w:tc>
      </w:tr>
    </w:tbl>
    <w:p w14:paraId="0145AE4A" w14:textId="77777777" w:rsidR="00B070E6" w:rsidRPr="00BE0D46" w:rsidRDefault="00B070E6" w:rsidP="00BE0D46">
      <w:pPr>
        <w:pStyle w:val="Bodycopysmallspacing"/>
      </w:pPr>
      <w:bookmarkStart w:id="1191" w:name="_Ref432511489"/>
      <w:bookmarkStart w:id="1192" w:name="_Ref432423584"/>
      <w:bookmarkStart w:id="1193" w:name="_Toc432597589"/>
      <w:bookmarkStart w:id="1194" w:name="_Toc434839497"/>
      <w:bookmarkStart w:id="1195" w:name="_Toc435177022"/>
      <w:bookmarkStart w:id="1196" w:name="_Toc435454529"/>
      <w:bookmarkStart w:id="1197" w:name="_Toc435608275"/>
      <w:bookmarkStart w:id="1198" w:name="_Toc435629493"/>
      <w:bookmarkStart w:id="1199" w:name="_Toc436127222"/>
      <w:bookmarkStart w:id="1200" w:name="_Toc436226256"/>
      <w:bookmarkStart w:id="1201" w:name="_Toc436304588"/>
    </w:p>
    <w:p w14:paraId="4B75D41A" w14:textId="6B91F7AC" w:rsidR="000E1434" w:rsidRPr="00DF4907" w:rsidRDefault="000E1434" w:rsidP="00BE0D46">
      <w:pPr>
        <w:pStyle w:val="Caption"/>
      </w:pPr>
      <w:bookmarkStart w:id="1202" w:name="_Ref459887267"/>
      <w:bookmarkStart w:id="1203" w:name="_Toc462988226"/>
      <w:bookmarkStart w:id="1204" w:name="_Toc462994028"/>
      <w:bookmarkStart w:id="1205" w:name="_Toc463343035"/>
      <w:r w:rsidRPr="00BE0D46">
        <w:t>Table</w:t>
      </w:r>
      <w:r w:rsidRPr="00DF4907">
        <w:t xml:space="preserve"> </w:t>
      </w:r>
      <w:fldSimple w:instr=" STYLEREF 1 \s ">
        <w:r w:rsidR="0073687F">
          <w:rPr>
            <w:noProof/>
          </w:rPr>
          <w:t>4</w:t>
        </w:r>
      </w:fldSimple>
      <w:r w:rsidR="00A52BA8">
        <w:noBreakHyphen/>
      </w:r>
      <w:fldSimple w:instr=" SEQ Table \* ARABIC \s 1 ">
        <w:r w:rsidR="0073687F">
          <w:rPr>
            <w:noProof/>
          </w:rPr>
          <w:t>2</w:t>
        </w:r>
      </w:fldSimple>
      <w:bookmarkEnd w:id="1191"/>
      <w:bookmarkEnd w:id="1192"/>
      <w:bookmarkEnd w:id="1202"/>
      <w:r w:rsidRPr="00DF4907">
        <w:t>: Residential network tariff structures and charging parameters</w:t>
      </w:r>
      <w:bookmarkEnd w:id="1193"/>
      <w:bookmarkEnd w:id="1194"/>
      <w:bookmarkEnd w:id="1195"/>
      <w:bookmarkEnd w:id="1196"/>
      <w:bookmarkEnd w:id="1197"/>
      <w:bookmarkEnd w:id="1198"/>
      <w:bookmarkEnd w:id="1199"/>
      <w:bookmarkEnd w:id="1200"/>
      <w:bookmarkEnd w:id="1201"/>
      <w:bookmarkEnd w:id="1203"/>
      <w:bookmarkEnd w:id="1204"/>
      <w:bookmarkEnd w:id="1205"/>
    </w:p>
    <w:tbl>
      <w:tblPr>
        <w:tblStyle w:val="EEOrangeTable"/>
        <w:tblW w:w="10206" w:type="dxa"/>
        <w:tblInd w:w="-5" w:type="dxa"/>
        <w:tblLayout w:type="fixed"/>
        <w:tblLook w:val="04A0" w:firstRow="1" w:lastRow="0" w:firstColumn="1" w:lastColumn="0" w:noHBand="0" w:noVBand="1"/>
      </w:tblPr>
      <w:tblGrid>
        <w:gridCol w:w="2122"/>
        <w:gridCol w:w="1134"/>
        <w:gridCol w:w="1134"/>
        <w:gridCol w:w="5816"/>
      </w:tblGrid>
      <w:tr w:rsidR="000E1434" w:rsidRPr="00C77073" w14:paraId="339C9B08" w14:textId="77777777" w:rsidTr="00065D3E">
        <w:trPr>
          <w:cnfStyle w:val="100000000000" w:firstRow="1" w:lastRow="0" w:firstColumn="0" w:lastColumn="0" w:oddVBand="0" w:evenVBand="0" w:oddHBand="0" w:evenHBand="0" w:firstRowFirstColumn="0" w:firstRowLastColumn="0" w:lastRowFirstColumn="0" w:lastRowLastColumn="0"/>
          <w:trHeight w:val="535"/>
          <w:tblHeader/>
        </w:trPr>
        <w:tc>
          <w:tcPr>
            <w:tcW w:w="2122" w:type="dxa"/>
            <w:tcBorders>
              <w:right w:val="single" w:sz="4" w:space="0" w:color="FFFFFF" w:themeColor="background1"/>
            </w:tcBorders>
          </w:tcPr>
          <w:p w14:paraId="11140FB4" w14:textId="77777777" w:rsidR="000E1434" w:rsidRPr="00C77073" w:rsidRDefault="000E1434" w:rsidP="00EE4BC2">
            <w:pPr>
              <w:pStyle w:val="Tableheadingwhite"/>
            </w:pPr>
            <w:r w:rsidRPr="00C77073">
              <w:t>Tariff</w:t>
            </w:r>
          </w:p>
        </w:tc>
        <w:tc>
          <w:tcPr>
            <w:tcW w:w="1134" w:type="dxa"/>
            <w:tcBorders>
              <w:left w:val="single" w:sz="4" w:space="0" w:color="FFFFFF" w:themeColor="background1"/>
              <w:right w:val="single" w:sz="4" w:space="0" w:color="FFFFFF" w:themeColor="background1"/>
            </w:tcBorders>
          </w:tcPr>
          <w:p w14:paraId="49AB3119" w14:textId="77777777" w:rsidR="000E1434" w:rsidRPr="00C77073" w:rsidRDefault="000E1434" w:rsidP="00065D3E">
            <w:pPr>
              <w:pStyle w:val="Tableheadingwhite"/>
              <w:jc w:val="center"/>
            </w:pPr>
            <w:r>
              <w:t>Tariff structure</w:t>
            </w:r>
          </w:p>
        </w:tc>
        <w:tc>
          <w:tcPr>
            <w:tcW w:w="1134" w:type="dxa"/>
            <w:tcBorders>
              <w:left w:val="single" w:sz="4" w:space="0" w:color="FFFFFF" w:themeColor="background1"/>
              <w:right w:val="single" w:sz="4" w:space="0" w:color="FFFFFF" w:themeColor="background1"/>
            </w:tcBorders>
          </w:tcPr>
          <w:p w14:paraId="2C7E50DD" w14:textId="1FF184C4" w:rsidR="000E1434" w:rsidRDefault="000E1434" w:rsidP="002C16FC">
            <w:pPr>
              <w:pStyle w:val="Tableheadingwhite"/>
            </w:pPr>
            <w:r>
              <w:t>Measure</w:t>
            </w:r>
          </w:p>
        </w:tc>
        <w:tc>
          <w:tcPr>
            <w:tcW w:w="5816" w:type="dxa"/>
            <w:tcBorders>
              <w:left w:val="single" w:sz="4" w:space="0" w:color="FFFFFF" w:themeColor="background1"/>
              <w:right w:val="single" w:sz="12" w:space="0" w:color="F58025" w:themeColor="accent2"/>
            </w:tcBorders>
          </w:tcPr>
          <w:p w14:paraId="47877B93" w14:textId="4455D94E" w:rsidR="000E1434" w:rsidRPr="00C77073" w:rsidRDefault="000E1434" w:rsidP="00EE4BC2">
            <w:pPr>
              <w:pStyle w:val="Tableheadingwhite"/>
            </w:pPr>
            <w:r>
              <w:t>Charging parameter</w:t>
            </w:r>
          </w:p>
        </w:tc>
      </w:tr>
      <w:tr w:rsidR="000E1434" w:rsidRPr="00C77073" w14:paraId="72682873" w14:textId="77777777" w:rsidTr="00065D3E">
        <w:trPr>
          <w:trHeight w:val="147"/>
        </w:trPr>
        <w:tc>
          <w:tcPr>
            <w:tcW w:w="2122" w:type="dxa"/>
            <w:vMerge w:val="restart"/>
            <w:tcBorders>
              <w:top w:val="single" w:sz="4" w:space="0" w:color="F58025" w:themeColor="accent2"/>
              <w:left w:val="single" w:sz="12" w:space="0" w:color="F58025" w:themeColor="accent2"/>
              <w:bottom w:val="single" w:sz="12" w:space="0" w:color="F58025" w:themeColor="accent2"/>
            </w:tcBorders>
            <w:vAlign w:val="center"/>
          </w:tcPr>
          <w:p w14:paraId="19F45993" w14:textId="2D3E7C01" w:rsidR="000E1434" w:rsidRPr="00C77073" w:rsidRDefault="000E1434" w:rsidP="00793C11">
            <w:pPr>
              <w:pStyle w:val="Bodycopytable8pt"/>
            </w:pPr>
            <w:r>
              <w:t xml:space="preserve">Residential </w:t>
            </w:r>
            <w:r w:rsidR="00793C11">
              <w:t>Anytime</w:t>
            </w:r>
          </w:p>
        </w:tc>
        <w:tc>
          <w:tcPr>
            <w:tcW w:w="1134" w:type="dxa"/>
            <w:tcBorders>
              <w:top w:val="single" w:sz="4" w:space="0" w:color="F58025" w:themeColor="accent2"/>
              <w:bottom w:val="single" w:sz="4" w:space="0" w:color="F58025" w:themeColor="accent2"/>
            </w:tcBorders>
            <w:vAlign w:val="center"/>
          </w:tcPr>
          <w:p w14:paraId="4E1D23CF" w14:textId="77777777" w:rsidR="000E1434" w:rsidRPr="00C77073" w:rsidRDefault="000E1434" w:rsidP="00EE4BC2">
            <w:pPr>
              <w:pStyle w:val="Bodycopytable8pt"/>
            </w:pPr>
            <w:r>
              <w:t>Fixed</w:t>
            </w:r>
          </w:p>
        </w:tc>
        <w:tc>
          <w:tcPr>
            <w:tcW w:w="1134" w:type="dxa"/>
            <w:tcBorders>
              <w:top w:val="single" w:sz="4" w:space="0" w:color="F58025" w:themeColor="accent2"/>
              <w:bottom w:val="single" w:sz="4" w:space="0" w:color="F58025" w:themeColor="accent2"/>
            </w:tcBorders>
            <w:vAlign w:val="center"/>
          </w:tcPr>
          <w:p w14:paraId="2E5B7F17" w14:textId="01B955EB" w:rsidR="000E1434" w:rsidRDefault="000E1434" w:rsidP="000E1434">
            <w:pPr>
              <w:pStyle w:val="Bodycopytable8pt"/>
            </w:pPr>
            <w:r>
              <w:t>$/day</w:t>
            </w:r>
          </w:p>
        </w:tc>
        <w:tc>
          <w:tcPr>
            <w:tcW w:w="5816" w:type="dxa"/>
            <w:tcBorders>
              <w:top w:val="single" w:sz="4" w:space="0" w:color="F58025" w:themeColor="accent2"/>
              <w:bottom w:val="single" w:sz="4" w:space="0" w:color="F58025" w:themeColor="accent2"/>
              <w:right w:val="single" w:sz="12" w:space="0" w:color="F58025" w:themeColor="accent2"/>
            </w:tcBorders>
            <w:vAlign w:val="center"/>
          </w:tcPr>
          <w:p w14:paraId="4EF39A02" w14:textId="04F10BBA" w:rsidR="000E1434" w:rsidRPr="00C77073" w:rsidRDefault="000E1434" w:rsidP="00EE4BC2">
            <w:pPr>
              <w:pStyle w:val="Bodycopytable8pt"/>
            </w:pPr>
            <w:r>
              <w:t>Network access charge reflecting a fixed amount per day</w:t>
            </w:r>
          </w:p>
        </w:tc>
      </w:tr>
      <w:tr w:rsidR="000E1434" w:rsidRPr="00C77073" w14:paraId="1DEF4A38" w14:textId="77777777" w:rsidTr="00065D3E">
        <w:trPr>
          <w:trHeight w:val="218"/>
        </w:trPr>
        <w:tc>
          <w:tcPr>
            <w:tcW w:w="2122" w:type="dxa"/>
            <w:vMerge/>
            <w:tcBorders>
              <w:top w:val="single" w:sz="12" w:space="0" w:color="F58025" w:themeColor="accent2"/>
              <w:left w:val="single" w:sz="12" w:space="0" w:color="F58025" w:themeColor="accent2"/>
              <w:bottom w:val="single" w:sz="12" w:space="0" w:color="F58025" w:themeColor="accent2"/>
            </w:tcBorders>
          </w:tcPr>
          <w:p w14:paraId="20E4A8EF" w14:textId="77777777" w:rsidR="000E1434" w:rsidRDefault="000E1434" w:rsidP="00EE4BC2">
            <w:pPr>
              <w:pStyle w:val="Bodycopytable8pt"/>
            </w:pPr>
          </w:p>
        </w:tc>
        <w:tc>
          <w:tcPr>
            <w:tcW w:w="1134" w:type="dxa"/>
            <w:tcBorders>
              <w:top w:val="single" w:sz="4" w:space="0" w:color="F58025" w:themeColor="accent2"/>
              <w:bottom w:val="single" w:sz="12" w:space="0" w:color="F58025" w:themeColor="accent2"/>
            </w:tcBorders>
            <w:vAlign w:val="center"/>
          </w:tcPr>
          <w:p w14:paraId="7F3194B0" w14:textId="77777777" w:rsidR="000E1434" w:rsidRPr="00C77073" w:rsidRDefault="000E1434" w:rsidP="00EE4BC2">
            <w:pPr>
              <w:pStyle w:val="Bodycopytable8pt"/>
            </w:pPr>
            <w:r>
              <w:t>Energy</w:t>
            </w:r>
          </w:p>
        </w:tc>
        <w:tc>
          <w:tcPr>
            <w:tcW w:w="1134" w:type="dxa"/>
            <w:tcBorders>
              <w:top w:val="single" w:sz="4" w:space="0" w:color="F58025" w:themeColor="accent2"/>
              <w:bottom w:val="single" w:sz="12" w:space="0" w:color="F58025" w:themeColor="accent2"/>
            </w:tcBorders>
            <w:vAlign w:val="center"/>
          </w:tcPr>
          <w:p w14:paraId="0DEA6DF6" w14:textId="3E21BC1D" w:rsidR="000E1434" w:rsidRDefault="000E1434" w:rsidP="000E1434">
            <w:pPr>
              <w:pStyle w:val="Bodycopytable8pt"/>
            </w:pPr>
            <w:r>
              <w:t>c/kWh</w:t>
            </w:r>
          </w:p>
        </w:tc>
        <w:tc>
          <w:tcPr>
            <w:tcW w:w="5816" w:type="dxa"/>
            <w:tcBorders>
              <w:top w:val="single" w:sz="4" w:space="0" w:color="F58025" w:themeColor="accent2"/>
              <w:bottom w:val="single" w:sz="12" w:space="0" w:color="F58025" w:themeColor="accent2"/>
              <w:right w:val="single" w:sz="12" w:space="0" w:color="F58025" w:themeColor="accent2"/>
            </w:tcBorders>
            <w:vAlign w:val="center"/>
          </w:tcPr>
          <w:p w14:paraId="1245E1AC" w14:textId="5461956B" w:rsidR="000E1434" w:rsidRPr="00C77073" w:rsidRDefault="001C0A59" w:rsidP="001C0A59">
            <w:pPr>
              <w:pStyle w:val="Bodycopytable8pt"/>
            </w:pPr>
            <w:r>
              <w:t>Fixed rate per kw/h</w:t>
            </w:r>
          </w:p>
        </w:tc>
      </w:tr>
      <w:tr w:rsidR="000E1434" w:rsidRPr="00C77073" w14:paraId="60FB1D2E" w14:textId="77777777" w:rsidTr="00065D3E">
        <w:trPr>
          <w:cantSplit/>
          <w:trHeight w:val="38"/>
        </w:trPr>
        <w:tc>
          <w:tcPr>
            <w:tcW w:w="2122" w:type="dxa"/>
            <w:vMerge w:val="restart"/>
            <w:tcBorders>
              <w:top w:val="single" w:sz="12" w:space="0" w:color="F58025" w:themeColor="accent2"/>
              <w:left w:val="single" w:sz="12" w:space="0" w:color="F58025" w:themeColor="accent2"/>
            </w:tcBorders>
            <w:shd w:val="clear" w:color="auto" w:fill="FDE5D3" w:themeFill="accent2" w:themeFillTint="33"/>
            <w:vAlign w:val="center"/>
          </w:tcPr>
          <w:p w14:paraId="7FFF0BCC" w14:textId="094A2907" w:rsidR="000E1434" w:rsidRPr="00C77073" w:rsidRDefault="000E1434" w:rsidP="004F080C">
            <w:pPr>
              <w:pStyle w:val="Bodycopytable8pt"/>
            </w:pPr>
            <w:r>
              <w:t>Residential Time of Use</w:t>
            </w:r>
          </w:p>
        </w:tc>
        <w:tc>
          <w:tcPr>
            <w:tcW w:w="1134" w:type="dxa"/>
            <w:tcBorders>
              <w:top w:val="single" w:sz="12" w:space="0" w:color="F58025" w:themeColor="accent2"/>
            </w:tcBorders>
            <w:shd w:val="clear" w:color="auto" w:fill="FDE5D3" w:themeFill="accent2" w:themeFillTint="33"/>
            <w:vAlign w:val="center"/>
          </w:tcPr>
          <w:p w14:paraId="76749FEB" w14:textId="77777777" w:rsidR="000E1434" w:rsidRPr="00C77073" w:rsidRDefault="000E1434" w:rsidP="00EE4BC2">
            <w:pPr>
              <w:pStyle w:val="Bodycopytable8pt"/>
            </w:pPr>
            <w:r>
              <w:t>Fixed</w:t>
            </w:r>
          </w:p>
        </w:tc>
        <w:tc>
          <w:tcPr>
            <w:tcW w:w="1134" w:type="dxa"/>
            <w:tcBorders>
              <w:top w:val="single" w:sz="12" w:space="0" w:color="F58025" w:themeColor="accent2"/>
            </w:tcBorders>
            <w:shd w:val="clear" w:color="auto" w:fill="FDE5D3" w:themeFill="accent2" w:themeFillTint="33"/>
          </w:tcPr>
          <w:p w14:paraId="2B648624" w14:textId="6235F8A0" w:rsidR="000E1434" w:rsidRDefault="002F2B98" w:rsidP="002F2B98">
            <w:pPr>
              <w:pStyle w:val="Bodycopytable8pt"/>
            </w:pPr>
            <w:r>
              <w:t>$/day</w:t>
            </w:r>
          </w:p>
        </w:tc>
        <w:tc>
          <w:tcPr>
            <w:tcW w:w="5816" w:type="dxa"/>
            <w:tcBorders>
              <w:top w:val="single" w:sz="12" w:space="0" w:color="F58025" w:themeColor="accent2"/>
              <w:right w:val="single" w:sz="12" w:space="0" w:color="F58025" w:themeColor="accent2"/>
            </w:tcBorders>
            <w:shd w:val="clear" w:color="auto" w:fill="FDE5D3" w:themeFill="accent2" w:themeFillTint="33"/>
          </w:tcPr>
          <w:p w14:paraId="732802AA" w14:textId="75893288" w:rsidR="000E1434" w:rsidRPr="00C77073" w:rsidRDefault="000E1434" w:rsidP="00EE4BC2">
            <w:pPr>
              <w:pStyle w:val="Bodycopytable8pt"/>
            </w:pPr>
            <w:r>
              <w:t>Network access charge reflecting a fixed amount per day</w:t>
            </w:r>
          </w:p>
        </w:tc>
      </w:tr>
      <w:tr w:rsidR="000E1434" w14:paraId="0D0BC245" w14:textId="77777777" w:rsidTr="00AD7DC2">
        <w:trPr>
          <w:cantSplit/>
        </w:trPr>
        <w:tc>
          <w:tcPr>
            <w:tcW w:w="2122" w:type="dxa"/>
            <w:vMerge/>
            <w:tcBorders>
              <w:left w:val="single" w:sz="12" w:space="0" w:color="F58025" w:themeColor="accent2"/>
              <w:bottom w:val="single" w:sz="12" w:space="0" w:color="F58025" w:themeColor="accent2"/>
            </w:tcBorders>
            <w:shd w:val="clear" w:color="auto" w:fill="FDE5D3" w:themeFill="accent2" w:themeFillTint="33"/>
          </w:tcPr>
          <w:p w14:paraId="1C9B5D6E" w14:textId="77777777" w:rsidR="000E1434" w:rsidRDefault="000E1434" w:rsidP="00EE4BC2">
            <w:pPr>
              <w:pStyle w:val="Bodycopytable8pt"/>
            </w:pPr>
          </w:p>
        </w:tc>
        <w:tc>
          <w:tcPr>
            <w:tcW w:w="1134" w:type="dxa"/>
            <w:tcBorders>
              <w:bottom w:val="single" w:sz="12" w:space="0" w:color="F58025" w:themeColor="accent2"/>
            </w:tcBorders>
            <w:shd w:val="clear" w:color="auto" w:fill="FDE5D3" w:themeFill="accent2" w:themeFillTint="33"/>
            <w:vAlign w:val="center"/>
          </w:tcPr>
          <w:p w14:paraId="0F5C1822" w14:textId="77777777" w:rsidR="000E1434" w:rsidRPr="00C77073" w:rsidRDefault="000E1434" w:rsidP="00EE4BC2">
            <w:pPr>
              <w:pStyle w:val="Bodycopytable8pt"/>
            </w:pPr>
            <w:r>
              <w:t>Energy</w:t>
            </w:r>
          </w:p>
        </w:tc>
        <w:tc>
          <w:tcPr>
            <w:tcW w:w="1134" w:type="dxa"/>
            <w:tcBorders>
              <w:bottom w:val="single" w:sz="12" w:space="0" w:color="F58025" w:themeColor="accent2"/>
            </w:tcBorders>
            <w:shd w:val="clear" w:color="auto" w:fill="FDE5D3" w:themeFill="accent2" w:themeFillTint="33"/>
            <w:vAlign w:val="center"/>
          </w:tcPr>
          <w:p w14:paraId="662DE414" w14:textId="1F4B877B" w:rsidR="000E1434" w:rsidRDefault="002F2B98" w:rsidP="002F2B98">
            <w:pPr>
              <w:pStyle w:val="Bodycopytable8pt"/>
            </w:pPr>
            <w:r>
              <w:t>c/kWh</w:t>
            </w:r>
          </w:p>
        </w:tc>
        <w:tc>
          <w:tcPr>
            <w:tcW w:w="5816" w:type="dxa"/>
            <w:tcBorders>
              <w:bottom w:val="single" w:sz="12" w:space="0" w:color="F58025" w:themeColor="accent2"/>
              <w:right w:val="single" w:sz="12" w:space="0" w:color="F58025" w:themeColor="accent2"/>
            </w:tcBorders>
            <w:shd w:val="clear" w:color="auto" w:fill="FDE5D3" w:themeFill="accent2" w:themeFillTint="33"/>
          </w:tcPr>
          <w:p w14:paraId="5B169BA7" w14:textId="4A7ADAEF" w:rsidR="000E1434" w:rsidRDefault="000E1434" w:rsidP="00EE4BC2">
            <w:pPr>
              <w:pStyle w:val="Bodycopytable8pt"/>
            </w:pPr>
            <w:r>
              <w:t>Peak, shoulder and off-peak rate based on energy consumed in each period</w:t>
            </w:r>
          </w:p>
          <w:p w14:paraId="0D5E4491" w14:textId="77777777" w:rsidR="000E1434" w:rsidRDefault="000E1434" w:rsidP="00920137">
            <w:pPr>
              <w:pStyle w:val="Bulletsnotindented8pt"/>
            </w:pPr>
            <w:r>
              <w:t>Peak period is from 7am to 9am and 5pm to 8pm on weekdays</w:t>
            </w:r>
          </w:p>
          <w:p w14:paraId="74791B8E" w14:textId="77777777" w:rsidR="000E1434" w:rsidRDefault="000E1434" w:rsidP="00920137">
            <w:pPr>
              <w:pStyle w:val="Bulletsnotindented8pt"/>
            </w:pPr>
            <w:r>
              <w:t>Shoulder period is from 9am to 5pm and 8pm to 10pm on weekdays</w:t>
            </w:r>
          </w:p>
          <w:p w14:paraId="65230F38" w14:textId="77777777" w:rsidR="000E1434" w:rsidRDefault="000E1434" w:rsidP="00920137">
            <w:pPr>
              <w:pStyle w:val="Bulletsnotindented8pt"/>
            </w:pPr>
            <w:r>
              <w:t>Off peak period is at all other times</w:t>
            </w:r>
          </w:p>
        </w:tc>
      </w:tr>
      <w:tr w:rsidR="00AD7DC2" w14:paraId="744BF96D" w14:textId="77777777" w:rsidTr="00065D3E">
        <w:trPr>
          <w:cantSplit/>
          <w:trHeight w:val="60"/>
        </w:trPr>
        <w:tc>
          <w:tcPr>
            <w:tcW w:w="2122" w:type="dxa"/>
            <w:vMerge w:val="restart"/>
            <w:tcBorders>
              <w:left w:val="single" w:sz="12" w:space="0" w:color="F58025" w:themeColor="accent2"/>
            </w:tcBorders>
            <w:vAlign w:val="center"/>
          </w:tcPr>
          <w:p w14:paraId="60C456D8" w14:textId="2C48B858" w:rsidR="00AD7DC2" w:rsidRDefault="00AD7DC2" w:rsidP="004F080C">
            <w:pPr>
              <w:pStyle w:val="Bodycopytable8pt"/>
            </w:pPr>
            <w:r>
              <w:t xml:space="preserve">Residential Time of Use </w:t>
            </w:r>
            <w:r w:rsidR="004F080C">
              <w:t>-Interval</w:t>
            </w:r>
          </w:p>
        </w:tc>
        <w:tc>
          <w:tcPr>
            <w:tcW w:w="1134" w:type="dxa"/>
            <w:tcBorders>
              <w:top w:val="single" w:sz="12" w:space="0" w:color="F58025" w:themeColor="accent2"/>
            </w:tcBorders>
            <w:vAlign w:val="center"/>
          </w:tcPr>
          <w:p w14:paraId="674478A1" w14:textId="0D07AD45" w:rsidR="00AD7DC2" w:rsidRDefault="00AD7DC2" w:rsidP="00AD7DC2">
            <w:pPr>
              <w:pStyle w:val="Bodycopytable8pt"/>
            </w:pPr>
            <w:r>
              <w:t>Fixed</w:t>
            </w:r>
          </w:p>
        </w:tc>
        <w:tc>
          <w:tcPr>
            <w:tcW w:w="1134" w:type="dxa"/>
            <w:tcBorders>
              <w:top w:val="single" w:sz="12" w:space="0" w:color="F58025" w:themeColor="accent2"/>
            </w:tcBorders>
          </w:tcPr>
          <w:p w14:paraId="48D4A25D" w14:textId="5BD6EC2A" w:rsidR="00AD7DC2" w:rsidRDefault="00AD7DC2" w:rsidP="00AD7DC2">
            <w:pPr>
              <w:pStyle w:val="Bodycopytable8pt"/>
            </w:pPr>
            <w:r>
              <w:t>$/day</w:t>
            </w:r>
          </w:p>
        </w:tc>
        <w:tc>
          <w:tcPr>
            <w:tcW w:w="5816" w:type="dxa"/>
            <w:tcBorders>
              <w:top w:val="single" w:sz="12" w:space="0" w:color="F58025" w:themeColor="accent2"/>
              <w:right w:val="single" w:sz="12" w:space="0" w:color="F58025" w:themeColor="accent2"/>
            </w:tcBorders>
          </w:tcPr>
          <w:p w14:paraId="20659684" w14:textId="7A344420" w:rsidR="00AD7DC2" w:rsidRDefault="00AD7DC2" w:rsidP="00AD7DC2">
            <w:pPr>
              <w:pStyle w:val="Bodycopytable8pt"/>
            </w:pPr>
            <w:r>
              <w:t>Network access charge reflecting a fixed amount per day</w:t>
            </w:r>
          </w:p>
        </w:tc>
      </w:tr>
      <w:tr w:rsidR="00AD7DC2" w14:paraId="52B51D0C" w14:textId="77777777" w:rsidTr="00065D3E">
        <w:trPr>
          <w:cantSplit/>
          <w:trHeight w:val="1005"/>
        </w:trPr>
        <w:tc>
          <w:tcPr>
            <w:tcW w:w="2122" w:type="dxa"/>
            <w:vMerge/>
            <w:tcBorders>
              <w:left w:val="single" w:sz="12" w:space="0" w:color="F58025" w:themeColor="accent2"/>
              <w:bottom w:val="single" w:sz="12" w:space="0" w:color="F58025" w:themeColor="accent2"/>
            </w:tcBorders>
          </w:tcPr>
          <w:p w14:paraId="4289BBA6" w14:textId="4908833F" w:rsidR="00AD7DC2" w:rsidRDefault="00AD7DC2" w:rsidP="00AD7DC2">
            <w:pPr>
              <w:pStyle w:val="Bodycopytable8pt"/>
            </w:pPr>
          </w:p>
        </w:tc>
        <w:tc>
          <w:tcPr>
            <w:tcW w:w="1134" w:type="dxa"/>
            <w:tcBorders>
              <w:bottom w:val="single" w:sz="12" w:space="0" w:color="F58025" w:themeColor="accent2"/>
            </w:tcBorders>
            <w:vAlign w:val="center"/>
          </w:tcPr>
          <w:p w14:paraId="38F0A1A7" w14:textId="595E7BAF" w:rsidR="00AD7DC2" w:rsidRDefault="00AD7DC2" w:rsidP="00AD7DC2">
            <w:pPr>
              <w:pStyle w:val="Bodycopytable8pt"/>
            </w:pPr>
            <w:r>
              <w:t>Energy</w:t>
            </w:r>
          </w:p>
        </w:tc>
        <w:tc>
          <w:tcPr>
            <w:tcW w:w="1134" w:type="dxa"/>
            <w:tcBorders>
              <w:bottom w:val="single" w:sz="12" w:space="0" w:color="F58025" w:themeColor="accent2"/>
            </w:tcBorders>
            <w:vAlign w:val="center"/>
          </w:tcPr>
          <w:p w14:paraId="02764F0D" w14:textId="5F2EF6E6" w:rsidR="00AD7DC2" w:rsidRDefault="00AD7DC2" w:rsidP="00AD7DC2">
            <w:pPr>
              <w:pStyle w:val="Bodycopytable8pt"/>
            </w:pPr>
            <w:r>
              <w:t>c/kWh</w:t>
            </w:r>
          </w:p>
        </w:tc>
        <w:tc>
          <w:tcPr>
            <w:tcW w:w="5816" w:type="dxa"/>
            <w:tcBorders>
              <w:bottom w:val="single" w:sz="12" w:space="0" w:color="F58025" w:themeColor="accent2"/>
              <w:right w:val="single" w:sz="12" w:space="0" w:color="F58025" w:themeColor="accent2"/>
            </w:tcBorders>
          </w:tcPr>
          <w:p w14:paraId="4A827719" w14:textId="77777777" w:rsidR="00AD7DC2" w:rsidRPr="00EF351F" w:rsidRDefault="00AD7DC2" w:rsidP="00AD7DC2">
            <w:pPr>
              <w:pStyle w:val="Bodycopytable8pt"/>
            </w:pPr>
            <w:r w:rsidRPr="00EF351F">
              <w:t>Peak, shoulder and off-peak rate based on energy consumed in each period</w:t>
            </w:r>
          </w:p>
          <w:p w14:paraId="0A1FE6BB" w14:textId="774AF591" w:rsidR="00AD7DC2" w:rsidRPr="00EF351F" w:rsidRDefault="00AD7DC2" w:rsidP="00AD7DC2">
            <w:pPr>
              <w:pStyle w:val="Bulletsnotindented8pt"/>
            </w:pPr>
            <w:r w:rsidRPr="00EF351F">
              <w:t>Peak period is from 5pm to 8pm on weekdays</w:t>
            </w:r>
          </w:p>
          <w:p w14:paraId="183892F7" w14:textId="748D1672" w:rsidR="009F027D" w:rsidRPr="00EF351F" w:rsidRDefault="00AD7DC2" w:rsidP="00AD7DC2">
            <w:pPr>
              <w:pStyle w:val="Bulletsnotindented8pt"/>
            </w:pPr>
            <w:r w:rsidRPr="00EF351F">
              <w:t xml:space="preserve">Shoulder period is from </w:t>
            </w:r>
            <w:r w:rsidR="00172594">
              <w:t>7</w:t>
            </w:r>
            <w:r w:rsidRPr="00EF351F">
              <w:t>am to 5pm and 8pm to 10pm on weekdays</w:t>
            </w:r>
          </w:p>
          <w:p w14:paraId="0FC34EDD" w14:textId="4D6AD570" w:rsidR="00AD7DC2" w:rsidRPr="00EF351F" w:rsidRDefault="00AD7DC2" w:rsidP="00AD7DC2">
            <w:pPr>
              <w:pStyle w:val="Bulletsnotindented8pt"/>
            </w:pPr>
            <w:r w:rsidRPr="00EF351F">
              <w:t>Off peak period is at all other times</w:t>
            </w:r>
          </w:p>
        </w:tc>
      </w:tr>
      <w:tr w:rsidR="00445BD6" w14:paraId="2C0823E3" w14:textId="77777777" w:rsidTr="00252295">
        <w:trPr>
          <w:cantSplit/>
          <w:trHeight w:val="96"/>
        </w:trPr>
        <w:tc>
          <w:tcPr>
            <w:tcW w:w="2122" w:type="dxa"/>
            <w:vMerge w:val="restart"/>
            <w:tcBorders>
              <w:left w:val="single" w:sz="12" w:space="0" w:color="F58025" w:themeColor="accent2"/>
            </w:tcBorders>
            <w:shd w:val="clear" w:color="auto" w:fill="FDE5D3" w:themeFill="accent2" w:themeFillTint="33"/>
            <w:vAlign w:val="center"/>
          </w:tcPr>
          <w:p w14:paraId="6077F51A" w14:textId="4E05E9FF" w:rsidR="00445BD6" w:rsidRDefault="00445BD6" w:rsidP="00757531">
            <w:pPr>
              <w:pStyle w:val="Bodycopytable8pt"/>
            </w:pPr>
            <w:r w:rsidRPr="00793C11">
              <w:t>Residential</w:t>
            </w:r>
            <w:r w:rsidR="00757531">
              <w:t xml:space="preserve"> </w:t>
            </w:r>
            <w:r w:rsidRPr="00793C11">
              <w:t>–</w:t>
            </w:r>
            <w:r w:rsidR="00757531">
              <w:t xml:space="preserve"> </w:t>
            </w:r>
            <w:r w:rsidRPr="00793C11">
              <w:t>Demand</w:t>
            </w:r>
          </w:p>
        </w:tc>
        <w:tc>
          <w:tcPr>
            <w:tcW w:w="1134" w:type="dxa"/>
            <w:tcBorders>
              <w:top w:val="single" w:sz="12" w:space="0" w:color="F58025" w:themeColor="accent2"/>
            </w:tcBorders>
            <w:shd w:val="clear" w:color="auto" w:fill="FDE5D3" w:themeFill="accent2" w:themeFillTint="33"/>
            <w:vAlign w:val="center"/>
          </w:tcPr>
          <w:p w14:paraId="7502D782" w14:textId="74766B0E" w:rsidR="00445BD6" w:rsidRDefault="00445BD6" w:rsidP="00445BD6">
            <w:pPr>
              <w:pStyle w:val="Bodycopytable8pt"/>
            </w:pPr>
            <w:r>
              <w:t>Fixed</w:t>
            </w:r>
          </w:p>
        </w:tc>
        <w:tc>
          <w:tcPr>
            <w:tcW w:w="1134" w:type="dxa"/>
            <w:tcBorders>
              <w:top w:val="single" w:sz="12" w:space="0" w:color="F58025" w:themeColor="accent2"/>
            </w:tcBorders>
            <w:shd w:val="clear" w:color="auto" w:fill="FDE5D3" w:themeFill="accent2" w:themeFillTint="33"/>
          </w:tcPr>
          <w:p w14:paraId="09129A1B" w14:textId="7DF5E806" w:rsidR="00445BD6" w:rsidRDefault="00445BD6" w:rsidP="00445BD6">
            <w:pPr>
              <w:pStyle w:val="Bodycopytable8pt"/>
            </w:pPr>
            <w:r>
              <w:t>$/day</w:t>
            </w:r>
          </w:p>
        </w:tc>
        <w:tc>
          <w:tcPr>
            <w:tcW w:w="5816" w:type="dxa"/>
            <w:tcBorders>
              <w:top w:val="single" w:sz="12" w:space="0" w:color="F58025" w:themeColor="accent2"/>
              <w:right w:val="single" w:sz="12" w:space="0" w:color="F58025" w:themeColor="accent2"/>
            </w:tcBorders>
            <w:shd w:val="clear" w:color="auto" w:fill="FDE5D3" w:themeFill="accent2" w:themeFillTint="33"/>
          </w:tcPr>
          <w:p w14:paraId="29AEA54C" w14:textId="542A9BB0" w:rsidR="00445BD6" w:rsidRPr="00EF351F" w:rsidRDefault="00445BD6" w:rsidP="00445BD6">
            <w:pPr>
              <w:pStyle w:val="Bodycopytable8pt"/>
            </w:pPr>
            <w:r w:rsidRPr="00EF351F">
              <w:t>Network access charge reflecting a fixed amount per day</w:t>
            </w:r>
          </w:p>
        </w:tc>
      </w:tr>
      <w:tr w:rsidR="00445BD6" w14:paraId="634B598B" w14:textId="77777777" w:rsidTr="00D945B5">
        <w:trPr>
          <w:cantSplit/>
        </w:trPr>
        <w:tc>
          <w:tcPr>
            <w:tcW w:w="2122" w:type="dxa"/>
            <w:vMerge/>
            <w:tcBorders>
              <w:left w:val="single" w:sz="12" w:space="0" w:color="F58025" w:themeColor="accent2"/>
            </w:tcBorders>
            <w:shd w:val="clear" w:color="auto" w:fill="FDE5D3" w:themeFill="accent2" w:themeFillTint="33"/>
          </w:tcPr>
          <w:p w14:paraId="265C0F77" w14:textId="2A27ADF5" w:rsidR="00445BD6" w:rsidRDefault="00445BD6" w:rsidP="00445BD6">
            <w:pPr>
              <w:pStyle w:val="Bodycopytable8pt"/>
            </w:pPr>
          </w:p>
        </w:tc>
        <w:tc>
          <w:tcPr>
            <w:tcW w:w="1134" w:type="dxa"/>
            <w:shd w:val="clear" w:color="auto" w:fill="FDE5D3" w:themeFill="accent2" w:themeFillTint="33"/>
            <w:vAlign w:val="center"/>
          </w:tcPr>
          <w:p w14:paraId="34CA11A9" w14:textId="23D29CB3" w:rsidR="00445BD6" w:rsidRDefault="00445BD6" w:rsidP="00445BD6">
            <w:pPr>
              <w:pStyle w:val="Bodycopytable8pt"/>
            </w:pPr>
            <w:r>
              <w:t>Energy</w:t>
            </w:r>
          </w:p>
        </w:tc>
        <w:tc>
          <w:tcPr>
            <w:tcW w:w="1134" w:type="dxa"/>
            <w:shd w:val="clear" w:color="auto" w:fill="FDE5D3" w:themeFill="accent2" w:themeFillTint="33"/>
            <w:vAlign w:val="center"/>
          </w:tcPr>
          <w:p w14:paraId="47145A88" w14:textId="61D24456" w:rsidR="00445BD6" w:rsidRDefault="00445BD6" w:rsidP="00445BD6">
            <w:pPr>
              <w:pStyle w:val="Bodycopytable8pt"/>
            </w:pPr>
            <w:r>
              <w:t>c/kWh</w:t>
            </w:r>
          </w:p>
        </w:tc>
        <w:tc>
          <w:tcPr>
            <w:tcW w:w="5816" w:type="dxa"/>
            <w:tcBorders>
              <w:right w:val="single" w:sz="12" w:space="0" w:color="F58025" w:themeColor="accent2"/>
            </w:tcBorders>
            <w:shd w:val="clear" w:color="auto" w:fill="FDE5D3" w:themeFill="accent2" w:themeFillTint="33"/>
          </w:tcPr>
          <w:p w14:paraId="0BDCE324" w14:textId="77777777" w:rsidR="00445BD6" w:rsidRPr="00EF351F" w:rsidRDefault="00445BD6" w:rsidP="00445BD6">
            <w:pPr>
              <w:pStyle w:val="Bodycopytable8pt"/>
            </w:pPr>
            <w:r w:rsidRPr="00EF351F">
              <w:t>Peak, shoulder and off-peak rate based on energy consumed in each period</w:t>
            </w:r>
          </w:p>
          <w:p w14:paraId="34029061" w14:textId="2B632D40" w:rsidR="00445BD6" w:rsidRPr="00EF351F" w:rsidRDefault="00445BD6" w:rsidP="00445BD6">
            <w:pPr>
              <w:pStyle w:val="Bulletsnotindented8pt"/>
            </w:pPr>
            <w:r w:rsidRPr="00EF351F">
              <w:t>Peak period is from 5pm to 8pm on weekdays</w:t>
            </w:r>
          </w:p>
          <w:p w14:paraId="177BECEF" w14:textId="63A2FCC3" w:rsidR="00445BD6" w:rsidRPr="00EF351F" w:rsidRDefault="00445BD6" w:rsidP="00445BD6">
            <w:pPr>
              <w:pStyle w:val="Bulletsnotindented8pt"/>
            </w:pPr>
            <w:r w:rsidRPr="00EF351F">
              <w:t xml:space="preserve">Shoulder period is from </w:t>
            </w:r>
            <w:r w:rsidR="00172594">
              <w:t>7</w:t>
            </w:r>
            <w:r w:rsidRPr="00EF351F">
              <w:t>am to 5pm and 8pm to 10pm on weekdays</w:t>
            </w:r>
          </w:p>
          <w:p w14:paraId="72E200F3" w14:textId="083D3BF5" w:rsidR="00445BD6" w:rsidRPr="00EF351F" w:rsidRDefault="00445BD6" w:rsidP="00445BD6">
            <w:pPr>
              <w:pStyle w:val="Bulletsnotindented8pt"/>
            </w:pPr>
            <w:r w:rsidRPr="00EF351F">
              <w:t>Off peak period is at all other times</w:t>
            </w:r>
          </w:p>
        </w:tc>
      </w:tr>
      <w:tr w:rsidR="00445BD6" w14:paraId="2C15CE66" w14:textId="77777777" w:rsidTr="00ED00B1">
        <w:trPr>
          <w:cantSplit/>
        </w:trPr>
        <w:tc>
          <w:tcPr>
            <w:tcW w:w="2122" w:type="dxa"/>
            <w:vMerge/>
            <w:tcBorders>
              <w:left w:val="single" w:sz="12" w:space="0" w:color="F58025" w:themeColor="accent2"/>
              <w:bottom w:val="single" w:sz="12" w:space="0" w:color="F58025" w:themeColor="accent2"/>
            </w:tcBorders>
            <w:shd w:val="clear" w:color="auto" w:fill="FDE5D3" w:themeFill="accent2" w:themeFillTint="33"/>
          </w:tcPr>
          <w:p w14:paraId="7006463B" w14:textId="03DC6650" w:rsidR="00445BD6" w:rsidRDefault="00445BD6" w:rsidP="00445BD6">
            <w:pPr>
              <w:pStyle w:val="Bodycopytable8pt"/>
            </w:pPr>
          </w:p>
        </w:tc>
        <w:tc>
          <w:tcPr>
            <w:tcW w:w="1134" w:type="dxa"/>
            <w:tcBorders>
              <w:bottom w:val="single" w:sz="12" w:space="0" w:color="F58025" w:themeColor="accent2"/>
            </w:tcBorders>
            <w:shd w:val="clear" w:color="auto" w:fill="FDE5D3" w:themeFill="accent2" w:themeFillTint="33"/>
            <w:vAlign w:val="center"/>
          </w:tcPr>
          <w:p w14:paraId="3BC129C3" w14:textId="78B26B9A" w:rsidR="00445BD6" w:rsidRPr="00DD0D4B" w:rsidRDefault="00445BD6" w:rsidP="00445BD6">
            <w:pPr>
              <w:pStyle w:val="Bodycopytable8pt"/>
            </w:pPr>
            <w:r w:rsidRPr="00DD0D4B">
              <w:t>Demand</w:t>
            </w:r>
          </w:p>
        </w:tc>
        <w:tc>
          <w:tcPr>
            <w:tcW w:w="1134" w:type="dxa"/>
            <w:tcBorders>
              <w:bottom w:val="single" w:sz="12" w:space="0" w:color="F58025" w:themeColor="accent2"/>
            </w:tcBorders>
            <w:shd w:val="clear" w:color="auto" w:fill="FDE5D3" w:themeFill="accent2" w:themeFillTint="33"/>
            <w:vAlign w:val="center"/>
          </w:tcPr>
          <w:p w14:paraId="7C6C0011" w14:textId="6FD6E4AF" w:rsidR="00445BD6" w:rsidRPr="00DD0D4B" w:rsidRDefault="00445BD6" w:rsidP="00445BD6">
            <w:pPr>
              <w:pStyle w:val="Bodycopytable8pt"/>
            </w:pPr>
            <w:r w:rsidRPr="00DD0D4B">
              <w:t>$/kVA</w:t>
            </w:r>
          </w:p>
        </w:tc>
        <w:tc>
          <w:tcPr>
            <w:tcW w:w="5816" w:type="dxa"/>
            <w:tcBorders>
              <w:bottom w:val="single" w:sz="12" w:space="0" w:color="F58025" w:themeColor="accent2"/>
              <w:right w:val="single" w:sz="12" w:space="0" w:color="F58025" w:themeColor="accent2"/>
            </w:tcBorders>
            <w:shd w:val="clear" w:color="auto" w:fill="FDE5D3" w:themeFill="accent2" w:themeFillTint="33"/>
          </w:tcPr>
          <w:p w14:paraId="564B9166" w14:textId="77127E87" w:rsidR="00445BD6" w:rsidRPr="00DD0D4B" w:rsidRDefault="00E26C85" w:rsidP="00445BD6">
            <w:pPr>
              <w:pStyle w:val="Bodycopytable8pt"/>
            </w:pPr>
            <w:r w:rsidRPr="00DD0D4B">
              <w:t>Maximum demand charge based on the highest measured half-hour kVA demand registered in either the peak or shoulder periods during the month.</w:t>
            </w:r>
          </w:p>
        </w:tc>
      </w:tr>
    </w:tbl>
    <w:p w14:paraId="3CA70402" w14:textId="1247FCAE" w:rsidR="00A06FEA" w:rsidRDefault="00A06FEA" w:rsidP="00BD7710">
      <w:pPr>
        <w:pStyle w:val="Heading2"/>
      </w:pPr>
      <w:bookmarkStart w:id="1206" w:name="_Toc462994059"/>
      <w:bookmarkStart w:id="1207" w:name="_Toc463343023"/>
      <w:r>
        <w:lastRenderedPageBreak/>
        <w:t xml:space="preserve">Small </w:t>
      </w:r>
      <w:r w:rsidR="00C74D30">
        <w:t>B</w:t>
      </w:r>
      <w:r>
        <w:t xml:space="preserve">usiness </w:t>
      </w:r>
      <w:r w:rsidR="005504D5">
        <w:t>customers</w:t>
      </w:r>
      <w:r w:rsidR="00B6416E">
        <w:t>’</w:t>
      </w:r>
      <w:r w:rsidR="005504D5">
        <w:t xml:space="preserve"> </w:t>
      </w:r>
      <w:r>
        <w:t>network tariffs and charging parameters</w:t>
      </w:r>
      <w:bookmarkEnd w:id="1206"/>
      <w:bookmarkEnd w:id="1207"/>
    </w:p>
    <w:p w14:paraId="6E518D87" w14:textId="43472615" w:rsidR="00A06FEA" w:rsidRDefault="00A06FEA" w:rsidP="00A06FEA">
      <w:pPr>
        <w:pStyle w:val="Bodycopy"/>
      </w:pPr>
      <w:r>
        <w:t xml:space="preserve">We propose </w:t>
      </w:r>
      <w:r w:rsidR="00065D3E">
        <w:t>four</w:t>
      </w:r>
      <w:r>
        <w:t xml:space="preserve"> tariffs</w:t>
      </w:r>
      <w:r w:rsidR="00EA4333">
        <w:t xml:space="preserve"> for</w:t>
      </w:r>
      <w:r w:rsidR="00C74D30">
        <w:t xml:space="preserve"> Small B</w:t>
      </w:r>
      <w:r w:rsidR="00881D7A">
        <w:t xml:space="preserve">usiness customers under the </w:t>
      </w:r>
      <w:r w:rsidR="0067436E">
        <w:t>‘</w:t>
      </w:r>
      <w:r w:rsidR="00881D7A">
        <w:t xml:space="preserve">Low voltage </w:t>
      </w:r>
      <w:r w:rsidR="00987ECB">
        <w:t>residential and small business</w:t>
      </w:r>
      <w:r w:rsidR="0067436E">
        <w:t>’</w:t>
      </w:r>
      <w:r w:rsidR="00881D7A">
        <w:t xml:space="preserve"> tariff class</w:t>
      </w:r>
      <w:r w:rsidR="00987ECB">
        <w:t xml:space="preserve"> - two</w:t>
      </w:r>
      <w:r w:rsidR="00065D3E">
        <w:t xml:space="preserve"> more</w:t>
      </w:r>
      <w:r w:rsidR="00757531">
        <w:t xml:space="preserve"> than presently available. The B</w:t>
      </w:r>
      <w:r w:rsidR="00065D3E">
        <w:t xml:space="preserve">usiness </w:t>
      </w:r>
      <w:r w:rsidR="00757531">
        <w:t>Anytime</w:t>
      </w:r>
      <w:r w:rsidR="00065D3E">
        <w:t xml:space="preserve"> tariff replaces the current </w:t>
      </w:r>
      <w:r w:rsidR="00757531">
        <w:t>DBT</w:t>
      </w:r>
      <w:r w:rsidR="00065D3E">
        <w:t xml:space="preserve"> and both the Business Time of Use – Interval tariff and Business</w:t>
      </w:r>
      <w:r w:rsidR="00757531">
        <w:t xml:space="preserve"> </w:t>
      </w:r>
      <w:r w:rsidR="00065D3E">
        <w:t xml:space="preserve">– </w:t>
      </w:r>
      <w:r w:rsidR="00757531" w:rsidRPr="00757531">
        <w:t>Demand</w:t>
      </w:r>
      <w:r w:rsidR="00065D3E" w:rsidRPr="00757531">
        <w:t xml:space="preserve"> tariff are</w:t>
      </w:r>
      <w:r w:rsidR="00065D3E">
        <w:t xml:space="preserve"> new tariffs for customers with the appropriate metering technology.</w:t>
      </w:r>
      <w:r w:rsidR="00065D3E" w:rsidRPr="000E1434">
        <w:t xml:space="preserve"> </w:t>
      </w:r>
      <w:r w:rsidR="00065D3E">
        <w:t xml:space="preserve">These tariffs and the associated eligibility criteria are shown below in </w:t>
      </w:r>
      <w:r w:rsidR="00065D3E">
        <w:fldChar w:fldCharType="begin"/>
      </w:r>
      <w:r w:rsidR="00065D3E">
        <w:instrText xml:space="preserve"> REF _Ref432598194 \h </w:instrText>
      </w:r>
      <w:r w:rsidR="00065D3E">
        <w:fldChar w:fldCharType="separate"/>
      </w:r>
      <w:r w:rsidR="0073687F" w:rsidRPr="00FA3BEB">
        <w:t xml:space="preserve">Table </w:t>
      </w:r>
      <w:r w:rsidR="0073687F">
        <w:rPr>
          <w:noProof/>
        </w:rPr>
        <w:t>4</w:t>
      </w:r>
      <w:r w:rsidR="0073687F">
        <w:noBreakHyphen/>
      </w:r>
      <w:r w:rsidR="0073687F">
        <w:rPr>
          <w:noProof/>
        </w:rPr>
        <w:t>3</w:t>
      </w:r>
      <w:r w:rsidR="00065D3E">
        <w:fldChar w:fldCharType="end"/>
      </w:r>
      <w:r w:rsidR="00C1699D">
        <w:t>.</w:t>
      </w:r>
      <w:r w:rsidR="00065D3E">
        <w:t xml:space="preserve"> </w:t>
      </w:r>
      <w:r w:rsidR="00C1699D">
        <w:t>A</w:t>
      </w:r>
      <w:r w:rsidR="00065D3E" w:rsidRPr="000E1434">
        <w:t xml:space="preserve">ssociated </w:t>
      </w:r>
      <w:r w:rsidR="00065D3E">
        <w:t xml:space="preserve">tariff structures and charging parameters are shown further below in </w:t>
      </w:r>
      <w:r w:rsidR="00065D3E">
        <w:fldChar w:fldCharType="begin"/>
      </w:r>
      <w:r w:rsidR="00065D3E">
        <w:instrText xml:space="preserve"> REF _Ref432424813 \h </w:instrText>
      </w:r>
      <w:r w:rsidR="00065D3E">
        <w:fldChar w:fldCharType="separate"/>
      </w:r>
      <w:r w:rsidR="0073687F">
        <w:t xml:space="preserve">Table </w:t>
      </w:r>
      <w:r w:rsidR="0073687F">
        <w:rPr>
          <w:noProof/>
        </w:rPr>
        <w:t>4</w:t>
      </w:r>
      <w:r w:rsidR="0073687F">
        <w:noBreakHyphen/>
      </w:r>
      <w:r w:rsidR="0073687F">
        <w:rPr>
          <w:noProof/>
        </w:rPr>
        <w:t>4</w:t>
      </w:r>
      <w:r w:rsidR="00065D3E">
        <w:fldChar w:fldCharType="end"/>
      </w:r>
      <w:r w:rsidR="00065D3E">
        <w:t>.</w:t>
      </w:r>
    </w:p>
    <w:p w14:paraId="1B0673BD" w14:textId="3AD1F7D2" w:rsidR="00A06FEA" w:rsidRPr="002E65AE" w:rsidRDefault="00A06FEA" w:rsidP="00A06FEA">
      <w:pPr>
        <w:pStyle w:val="Caption"/>
      </w:pPr>
      <w:bookmarkStart w:id="1208" w:name="_Ref432598194"/>
      <w:bookmarkStart w:id="1209" w:name="_Toc432597590"/>
      <w:bookmarkStart w:id="1210" w:name="_Toc434839498"/>
      <w:bookmarkStart w:id="1211" w:name="_Toc435177023"/>
      <w:bookmarkStart w:id="1212" w:name="_Toc435454530"/>
      <w:bookmarkStart w:id="1213" w:name="_Toc435608276"/>
      <w:bookmarkStart w:id="1214" w:name="_Toc435629494"/>
      <w:bookmarkStart w:id="1215" w:name="_Toc436127223"/>
      <w:bookmarkStart w:id="1216" w:name="_Toc436226257"/>
      <w:bookmarkStart w:id="1217" w:name="_Toc436304589"/>
      <w:bookmarkStart w:id="1218" w:name="_Toc462988227"/>
      <w:bookmarkStart w:id="1219" w:name="_Toc462994029"/>
      <w:bookmarkStart w:id="1220" w:name="_Toc463343036"/>
      <w:r w:rsidRPr="00FA3BEB">
        <w:t xml:space="preserve">Table </w:t>
      </w:r>
      <w:fldSimple w:instr=" STYLEREF 1 \s ">
        <w:r w:rsidR="0073687F">
          <w:rPr>
            <w:noProof/>
          </w:rPr>
          <w:t>4</w:t>
        </w:r>
      </w:fldSimple>
      <w:r w:rsidR="00A52BA8">
        <w:noBreakHyphen/>
      </w:r>
      <w:fldSimple w:instr=" SEQ Table \* ARABIC \s 1 ">
        <w:r w:rsidR="0073687F">
          <w:rPr>
            <w:noProof/>
          </w:rPr>
          <w:t>3</w:t>
        </w:r>
      </w:fldSimple>
      <w:bookmarkEnd w:id="1208"/>
      <w:r w:rsidRPr="00FA3BEB">
        <w:t xml:space="preserve">: </w:t>
      </w:r>
      <w:r w:rsidR="00F4731C">
        <w:t xml:space="preserve">Eligibility for </w:t>
      </w:r>
      <w:r w:rsidR="005A5B54">
        <w:t>S</w:t>
      </w:r>
      <w:r w:rsidR="00F4731C">
        <w:t xml:space="preserve">mall </w:t>
      </w:r>
      <w:r w:rsidR="005A5B54">
        <w:t>B</w:t>
      </w:r>
      <w:r w:rsidR="00F4731C">
        <w:t>usiness</w:t>
      </w:r>
      <w:r w:rsidR="005504D5">
        <w:t xml:space="preserve"> customer</w:t>
      </w:r>
      <w:r>
        <w:t xml:space="preserve"> tariffs</w:t>
      </w:r>
      <w:bookmarkEnd w:id="1209"/>
      <w:bookmarkEnd w:id="1210"/>
      <w:bookmarkEnd w:id="1211"/>
      <w:bookmarkEnd w:id="1212"/>
      <w:bookmarkEnd w:id="1213"/>
      <w:bookmarkEnd w:id="1214"/>
      <w:bookmarkEnd w:id="1215"/>
      <w:bookmarkEnd w:id="1216"/>
      <w:bookmarkEnd w:id="1217"/>
      <w:bookmarkEnd w:id="1218"/>
      <w:bookmarkEnd w:id="1219"/>
      <w:bookmarkEnd w:id="1220"/>
    </w:p>
    <w:tbl>
      <w:tblPr>
        <w:tblStyle w:val="EEOrangeTable"/>
        <w:tblW w:w="10206" w:type="dxa"/>
        <w:tblInd w:w="-5" w:type="dxa"/>
        <w:tblLook w:val="04A0" w:firstRow="1" w:lastRow="0" w:firstColumn="1" w:lastColumn="0" w:noHBand="0" w:noVBand="1"/>
      </w:tblPr>
      <w:tblGrid>
        <w:gridCol w:w="2085"/>
        <w:gridCol w:w="8121"/>
      </w:tblGrid>
      <w:tr w:rsidR="00A06FEA" w14:paraId="19873FFF" w14:textId="77777777" w:rsidTr="00BA11A2">
        <w:trPr>
          <w:cnfStyle w:val="100000000000" w:firstRow="1" w:lastRow="0" w:firstColumn="0" w:lastColumn="0" w:oddVBand="0" w:evenVBand="0" w:oddHBand="0" w:evenHBand="0" w:firstRowFirstColumn="0" w:firstRowLastColumn="0" w:lastRowFirstColumn="0" w:lastRowLastColumn="0"/>
        </w:trPr>
        <w:tc>
          <w:tcPr>
            <w:tcW w:w="2085" w:type="dxa"/>
            <w:tcBorders>
              <w:right w:val="single" w:sz="4" w:space="0" w:color="FFFFFF" w:themeColor="background1"/>
            </w:tcBorders>
          </w:tcPr>
          <w:p w14:paraId="6192CC03" w14:textId="77777777" w:rsidR="00A06FEA" w:rsidRPr="00C77073" w:rsidRDefault="00A06FEA" w:rsidP="00EE4BC2">
            <w:pPr>
              <w:pStyle w:val="Tableheadingwhite"/>
            </w:pPr>
            <w:r w:rsidRPr="00C77073">
              <w:t>Tariff</w:t>
            </w:r>
          </w:p>
        </w:tc>
        <w:tc>
          <w:tcPr>
            <w:tcW w:w="8121" w:type="dxa"/>
            <w:tcBorders>
              <w:left w:val="single" w:sz="4" w:space="0" w:color="FFFFFF" w:themeColor="background1"/>
              <w:right w:val="single" w:sz="12" w:space="0" w:color="F58025" w:themeColor="accent2"/>
            </w:tcBorders>
          </w:tcPr>
          <w:p w14:paraId="57A96B53" w14:textId="77777777" w:rsidR="00A06FEA" w:rsidRPr="00C77073" w:rsidRDefault="00A06FEA" w:rsidP="00EE4BC2">
            <w:pPr>
              <w:pStyle w:val="Tableheadingwhite"/>
            </w:pPr>
            <w:r>
              <w:t>Eligibility</w:t>
            </w:r>
          </w:p>
        </w:tc>
      </w:tr>
      <w:tr w:rsidR="00A06FEA" w14:paraId="3773425C" w14:textId="77777777" w:rsidTr="00BA11A2">
        <w:trPr>
          <w:trHeight w:val="736"/>
        </w:trPr>
        <w:tc>
          <w:tcPr>
            <w:tcW w:w="2085" w:type="dxa"/>
            <w:tcBorders>
              <w:top w:val="single" w:sz="4" w:space="0" w:color="F58025" w:themeColor="accent2"/>
              <w:left w:val="single" w:sz="12" w:space="0" w:color="F58025" w:themeColor="accent2"/>
              <w:bottom w:val="single" w:sz="12" w:space="0" w:color="F58025" w:themeColor="accent2"/>
            </w:tcBorders>
            <w:vAlign w:val="center"/>
          </w:tcPr>
          <w:p w14:paraId="74AEE23D" w14:textId="30D49FE8" w:rsidR="00A06FEA" w:rsidRPr="00C77073" w:rsidRDefault="00A06FEA" w:rsidP="00BD7710">
            <w:pPr>
              <w:pStyle w:val="Bodycopytable8pt"/>
            </w:pPr>
            <w:r>
              <w:t xml:space="preserve">Business </w:t>
            </w:r>
            <w:r w:rsidR="00BD7710">
              <w:t>Anytime</w:t>
            </w:r>
          </w:p>
        </w:tc>
        <w:tc>
          <w:tcPr>
            <w:tcW w:w="8121" w:type="dxa"/>
            <w:tcBorders>
              <w:top w:val="single" w:sz="4" w:space="0" w:color="F58025" w:themeColor="accent2"/>
              <w:bottom w:val="single" w:sz="12" w:space="0" w:color="F58025" w:themeColor="accent2"/>
              <w:right w:val="single" w:sz="12" w:space="0" w:color="F58025" w:themeColor="accent2"/>
            </w:tcBorders>
            <w:vAlign w:val="center"/>
          </w:tcPr>
          <w:p w14:paraId="742A3EBC" w14:textId="77777777" w:rsidR="00A06FEA" w:rsidRDefault="00A06FEA" w:rsidP="00920137">
            <w:pPr>
              <w:pStyle w:val="Bulletsnotindented8pt"/>
            </w:pPr>
            <w:r>
              <w:t>Low voltage connection</w:t>
            </w:r>
          </w:p>
          <w:p w14:paraId="13B5A6D0" w14:textId="7EC7ADA9" w:rsidR="00A06FEA" w:rsidRDefault="00A06FEA" w:rsidP="00920137">
            <w:pPr>
              <w:pStyle w:val="Bulletsnotindented8pt"/>
            </w:pPr>
            <w:r>
              <w:t>Business premises where consumption does not exceed 1</w:t>
            </w:r>
            <w:r w:rsidR="00A0442E">
              <w:t>0</w:t>
            </w:r>
            <w:r>
              <w:t>0 MWh per year</w:t>
            </w:r>
          </w:p>
          <w:p w14:paraId="35EC81E0" w14:textId="77777777" w:rsidR="00A06FEA" w:rsidRDefault="00B070E6" w:rsidP="00772289">
            <w:pPr>
              <w:pStyle w:val="Bulletsnotindented8pt"/>
            </w:pPr>
            <w:r>
              <w:t xml:space="preserve">Default network tariff for small business customers </w:t>
            </w:r>
            <w:r w:rsidR="006F3C8A">
              <w:t>until 30 June 2018</w:t>
            </w:r>
          </w:p>
          <w:p w14:paraId="6EE08C4C" w14:textId="4D3F3568" w:rsidR="008D2024" w:rsidRPr="00C77073" w:rsidRDefault="008D2024" w:rsidP="00772289">
            <w:pPr>
              <w:pStyle w:val="Bulletsnotindented8pt"/>
            </w:pPr>
            <w:r>
              <w:t>Optional tariff for small business customers from 1 July 2018</w:t>
            </w:r>
          </w:p>
        </w:tc>
      </w:tr>
      <w:tr w:rsidR="00A06FEA" w14:paraId="298082C2" w14:textId="77777777" w:rsidTr="00BA11A2">
        <w:trPr>
          <w:trHeight w:val="690"/>
        </w:trPr>
        <w:tc>
          <w:tcPr>
            <w:tcW w:w="2085" w:type="dxa"/>
            <w:tcBorders>
              <w:top w:val="single" w:sz="12" w:space="0" w:color="F58025" w:themeColor="accent2"/>
              <w:left w:val="single" w:sz="12" w:space="0" w:color="F58025" w:themeColor="accent2"/>
              <w:bottom w:val="single" w:sz="12" w:space="0" w:color="F58025" w:themeColor="accent2"/>
            </w:tcBorders>
            <w:shd w:val="clear" w:color="auto" w:fill="FDE5D3" w:themeFill="accent2" w:themeFillTint="33"/>
            <w:vAlign w:val="center"/>
          </w:tcPr>
          <w:p w14:paraId="5BC59BE9" w14:textId="588FFABB" w:rsidR="00A06FEA" w:rsidRPr="00C77073" w:rsidRDefault="00A06FEA" w:rsidP="00A06FEA">
            <w:pPr>
              <w:pStyle w:val="Bodycopytable8pt"/>
            </w:pPr>
            <w:r>
              <w:t>Business Time of Use</w:t>
            </w:r>
          </w:p>
        </w:tc>
        <w:tc>
          <w:tcPr>
            <w:tcW w:w="8121" w:type="dxa"/>
            <w:tcBorders>
              <w:top w:val="single" w:sz="12" w:space="0" w:color="F58025" w:themeColor="accent2"/>
              <w:bottom w:val="single" w:sz="12" w:space="0" w:color="F58025" w:themeColor="accent2"/>
              <w:right w:val="single" w:sz="12" w:space="0" w:color="F58025" w:themeColor="accent2"/>
            </w:tcBorders>
            <w:shd w:val="clear" w:color="auto" w:fill="FDE5D3" w:themeFill="accent2" w:themeFillTint="33"/>
            <w:vAlign w:val="center"/>
          </w:tcPr>
          <w:p w14:paraId="46FB2757" w14:textId="77777777" w:rsidR="00A06FEA" w:rsidRDefault="00A06FEA" w:rsidP="00920137">
            <w:pPr>
              <w:pStyle w:val="Bulletsnotindented8pt"/>
            </w:pPr>
            <w:r>
              <w:t xml:space="preserve">Low voltage connection </w:t>
            </w:r>
          </w:p>
          <w:p w14:paraId="2C210B73" w14:textId="59DD8045" w:rsidR="00A06FEA" w:rsidRDefault="00B6122A" w:rsidP="00920137">
            <w:pPr>
              <w:pStyle w:val="Bulletsnotindented8pt"/>
            </w:pPr>
            <w:r>
              <w:t>Business p</w:t>
            </w:r>
            <w:r w:rsidR="00A06FEA">
              <w:t xml:space="preserve">remises </w:t>
            </w:r>
            <w:r>
              <w:t>where</w:t>
            </w:r>
            <w:r w:rsidR="00A06FEA">
              <w:t xml:space="preserve"> consumption does not exceed 160 MWh per year</w:t>
            </w:r>
          </w:p>
          <w:p w14:paraId="4F0D7011" w14:textId="46801898" w:rsidR="0076059D" w:rsidRDefault="0076059D" w:rsidP="0076059D">
            <w:pPr>
              <w:pStyle w:val="Bulletsnotindented8pt"/>
            </w:pPr>
            <w:r>
              <w:t>Basic accumulation meter with Time of Use capability or a Type 5 meter</w:t>
            </w:r>
          </w:p>
          <w:p w14:paraId="3B3C56A9" w14:textId="369A98F5" w:rsidR="006F3C8A" w:rsidRDefault="006F3C8A" w:rsidP="0076059D">
            <w:pPr>
              <w:pStyle w:val="Bulletsnotindented8pt"/>
            </w:pPr>
            <w:r>
              <w:t>Optional tariff for small business customers until 30 June 2018</w:t>
            </w:r>
          </w:p>
          <w:p w14:paraId="0AC10243" w14:textId="3B0F7FE8" w:rsidR="007F3CBA" w:rsidRPr="00C77073" w:rsidRDefault="0076059D" w:rsidP="0076059D">
            <w:pPr>
              <w:pStyle w:val="Bulletsnotindented8pt"/>
            </w:pPr>
            <w:r>
              <w:t>Default network tariff for small business customers with the appropriate meter</w:t>
            </w:r>
            <w:r w:rsidR="006F3C8A">
              <w:t xml:space="preserve"> from 1 July 2018</w:t>
            </w:r>
          </w:p>
        </w:tc>
      </w:tr>
      <w:tr w:rsidR="00EA4333" w14:paraId="20160AFA" w14:textId="77777777" w:rsidTr="00987ECB">
        <w:trPr>
          <w:trHeight w:val="690"/>
        </w:trPr>
        <w:tc>
          <w:tcPr>
            <w:tcW w:w="2085" w:type="dxa"/>
            <w:tcBorders>
              <w:top w:val="single" w:sz="12" w:space="0" w:color="F58025" w:themeColor="accent2"/>
              <w:left w:val="single" w:sz="12" w:space="0" w:color="F58025" w:themeColor="accent2"/>
              <w:bottom w:val="single" w:sz="12" w:space="0" w:color="F58025" w:themeColor="accent2"/>
            </w:tcBorders>
            <w:vAlign w:val="center"/>
          </w:tcPr>
          <w:p w14:paraId="7FAE784B" w14:textId="1BC00FFB" w:rsidR="00EA4333" w:rsidRDefault="00EA4333" w:rsidP="00EA4333">
            <w:pPr>
              <w:pStyle w:val="Bodycopytable8pt"/>
            </w:pPr>
            <w:r>
              <w:t>Business Time of Use - Interval</w:t>
            </w:r>
          </w:p>
        </w:tc>
        <w:tc>
          <w:tcPr>
            <w:tcW w:w="8121" w:type="dxa"/>
            <w:tcBorders>
              <w:top w:val="single" w:sz="12" w:space="0" w:color="F58025" w:themeColor="accent2"/>
              <w:bottom w:val="single" w:sz="12" w:space="0" w:color="F58025" w:themeColor="accent2"/>
              <w:right w:val="single" w:sz="12" w:space="0" w:color="F58025" w:themeColor="accent2"/>
            </w:tcBorders>
            <w:vAlign w:val="center"/>
          </w:tcPr>
          <w:p w14:paraId="1273F9A0" w14:textId="77777777" w:rsidR="00EA4333" w:rsidRDefault="00EA4333" w:rsidP="00EA4333">
            <w:pPr>
              <w:pStyle w:val="Bulletsnotindented8pt"/>
            </w:pPr>
            <w:r>
              <w:t xml:space="preserve">Low voltage connection </w:t>
            </w:r>
          </w:p>
          <w:p w14:paraId="3E36CD82" w14:textId="77777777" w:rsidR="00EA4333" w:rsidRDefault="00EA4333" w:rsidP="00EA4333">
            <w:pPr>
              <w:pStyle w:val="Bulletsnotindented8pt"/>
            </w:pPr>
            <w:r>
              <w:t>Business premises where consumption does not exceed 160 MWh per year</w:t>
            </w:r>
          </w:p>
          <w:p w14:paraId="4EEAFE61" w14:textId="6B708209" w:rsidR="00EA4333" w:rsidRDefault="00EA4333" w:rsidP="00EA4333">
            <w:pPr>
              <w:pStyle w:val="Bulletsnotindented8pt"/>
            </w:pPr>
            <w:r>
              <w:t>Interval or higher capability meter</w:t>
            </w:r>
          </w:p>
          <w:p w14:paraId="5639823D" w14:textId="14D567CD" w:rsidR="006F3C8A" w:rsidRDefault="006F3C8A" w:rsidP="00EA4333">
            <w:pPr>
              <w:pStyle w:val="Bulletsnotindented8pt"/>
            </w:pPr>
            <w:r>
              <w:t>Optional tariff for small business customers until 30 June 2018</w:t>
            </w:r>
          </w:p>
          <w:p w14:paraId="6349C4F6" w14:textId="03B488DE" w:rsidR="00EA4333" w:rsidRDefault="00EA4333" w:rsidP="0076059D">
            <w:pPr>
              <w:pStyle w:val="Bulletsnotindented8pt"/>
            </w:pPr>
            <w:r>
              <w:t xml:space="preserve">Default network tariff for </w:t>
            </w:r>
            <w:r w:rsidR="0076059D">
              <w:t xml:space="preserve">small business </w:t>
            </w:r>
            <w:r>
              <w:t xml:space="preserve">customers with </w:t>
            </w:r>
            <w:r w:rsidR="0076059D">
              <w:t xml:space="preserve">the </w:t>
            </w:r>
            <w:r>
              <w:t>appropriate meter</w:t>
            </w:r>
            <w:r w:rsidR="006F3C8A">
              <w:t xml:space="preserve"> from 1 July 2018</w:t>
            </w:r>
          </w:p>
        </w:tc>
      </w:tr>
      <w:tr w:rsidR="00065D3E" w14:paraId="59CBA47E" w14:textId="77777777" w:rsidTr="00ED00B1">
        <w:trPr>
          <w:trHeight w:val="690"/>
        </w:trPr>
        <w:tc>
          <w:tcPr>
            <w:tcW w:w="2085" w:type="dxa"/>
            <w:tcBorders>
              <w:top w:val="single" w:sz="12" w:space="0" w:color="F58025" w:themeColor="accent2"/>
              <w:left w:val="single" w:sz="12" w:space="0" w:color="F58025" w:themeColor="accent2"/>
              <w:bottom w:val="single" w:sz="12" w:space="0" w:color="F58025" w:themeColor="accent2"/>
            </w:tcBorders>
            <w:shd w:val="clear" w:color="auto" w:fill="FDE5D3" w:themeFill="accent2" w:themeFillTint="33"/>
            <w:vAlign w:val="center"/>
          </w:tcPr>
          <w:p w14:paraId="0162716E" w14:textId="4CD7CB57" w:rsidR="00065D3E" w:rsidRDefault="00065D3E" w:rsidP="00757531">
            <w:pPr>
              <w:pStyle w:val="Bodycopytable8pt"/>
            </w:pPr>
            <w:r w:rsidRPr="00BD7710">
              <w:t>Business</w:t>
            </w:r>
            <w:r w:rsidR="00757531">
              <w:t xml:space="preserve"> </w:t>
            </w:r>
            <w:r w:rsidRPr="00BD7710">
              <w:t>–</w:t>
            </w:r>
            <w:r w:rsidR="00757531">
              <w:t xml:space="preserve"> </w:t>
            </w:r>
            <w:r w:rsidRPr="00BD7710">
              <w:t>Demand</w:t>
            </w:r>
          </w:p>
        </w:tc>
        <w:tc>
          <w:tcPr>
            <w:tcW w:w="8121" w:type="dxa"/>
            <w:tcBorders>
              <w:top w:val="single" w:sz="12" w:space="0" w:color="F58025" w:themeColor="accent2"/>
              <w:bottom w:val="single" w:sz="12" w:space="0" w:color="F58025" w:themeColor="accent2"/>
              <w:right w:val="single" w:sz="12" w:space="0" w:color="F58025" w:themeColor="accent2"/>
            </w:tcBorders>
            <w:shd w:val="clear" w:color="auto" w:fill="FDE5D3" w:themeFill="accent2" w:themeFillTint="33"/>
            <w:vAlign w:val="center"/>
          </w:tcPr>
          <w:p w14:paraId="371398C1" w14:textId="77777777" w:rsidR="00B070E6" w:rsidRDefault="00B070E6" w:rsidP="00B070E6">
            <w:pPr>
              <w:pStyle w:val="Bulletsnotindented8pt"/>
            </w:pPr>
            <w:r>
              <w:t>Low voltage connection</w:t>
            </w:r>
          </w:p>
          <w:p w14:paraId="237DBAB9" w14:textId="77777777" w:rsidR="00B070E6" w:rsidRDefault="00B070E6" w:rsidP="00B070E6">
            <w:pPr>
              <w:pStyle w:val="Bulletsnotindented8pt"/>
            </w:pPr>
            <w:r>
              <w:t>Business premises where consumption does not exceed 160 MWh per year</w:t>
            </w:r>
          </w:p>
          <w:p w14:paraId="46147AE8" w14:textId="77777777" w:rsidR="00B070E6" w:rsidRDefault="00B070E6" w:rsidP="00B070E6">
            <w:pPr>
              <w:pStyle w:val="Bulletsnotindented8pt"/>
            </w:pPr>
            <w:r>
              <w:t>Interval or higher capability meter</w:t>
            </w:r>
          </w:p>
          <w:p w14:paraId="38A62AFB" w14:textId="1E237522" w:rsidR="00065D3E" w:rsidRDefault="00B070E6" w:rsidP="00B070E6">
            <w:pPr>
              <w:pStyle w:val="Bulletsnotindented8pt"/>
            </w:pPr>
            <w:r>
              <w:t>Optional tariff for small business customers with the appropriate meter</w:t>
            </w:r>
          </w:p>
        </w:tc>
      </w:tr>
    </w:tbl>
    <w:p w14:paraId="3D602EE2" w14:textId="77777777" w:rsidR="00EF657D" w:rsidRPr="00987ECB" w:rsidRDefault="00EF657D" w:rsidP="00987ECB">
      <w:pPr>
        <w:pStyle w:val="Bodycopysmallspacing"/>
      </w:pPr>
    </w:p>
    <w:p w14:paraId="3FEC8039" w14:textId="2448319B" w:rsidR="002B4D5E" w:rsidRDefault="002B4D5E" w:rsidP="002B4D5E">
      <w:pPr>
        <w:pStyle w:val="Caption"/>
      </w:pPr>
      <w:bookmarkStart w:id="1221" w:name="_Ref432424813"/>
      <w:bookmarkStart w:id="1222" w:name="_Toc432597591"/>
      <w:bookmarkStart w:id="1223" w:name="_Toc434839499"/>
      <w:bookmarkStart w:id="1224" w:name="_Toc435177024"/>
      <w:bookmarkStart w:id="1225" w:name="_Toc435454531"/>
      <w:bookmarkStart w:id="1226" w:name="_Toc435608277"/>
      <w:bookmarkStart w:id="1227" w:name="_Toc435629495"/>
      <w:bookmarkStart w:id="1228" w:name="_Toc436127224"/>
      <w:bookmarkStart w:id="1229" w:name="_Toc436226258"/>
      <w:bookmarkStart w:id="1230" w:name="_Toc436304590"/>
      <w:bookmarkStart w:id="1231" w:name="_Toc462988228"/>
      <w:bookmarkStart w:id="1232" w:name="_Toc462994030"/>
      <w:bookmarkStart w:id="1233" w:name="_Toc463343037"/>
      <w:r>
        <w:t xml:space="preserve">Table </w:t>
      </w:r>
      <w:fldSimple w:instr=" STYLEREF 1 \s ">
        <w:r w:rsidR="0073687F">
          <w:rPr>
            <w:noProof/>
          </w:rPr>
          <w:t>4</w:t>
        </w:r>
      </w:fldSimple>
      <w:r w:rsidR="00A52BA8">
        <w:noBreakHyphen/>
      </w:r>
      <w:fldSimple w:instr=" SEQ Table \* ARABIC \s 1 ">
        <w:r w:rsidR="0073687F">
          <w:rPr>
            <w:noProof/>
          </w:rPr>
          <w:t>4</w:t>
        </w:r>
      </w:fldSimple>
      <w:bookmarkEnd w:id="1221"/>
      <w:r>
        <w:t xml:space="preserve">: Small </w:t>
      </w:r>
      <w:r w:rsidR="005A5B54">
        <w:t>B</w:t>
      </w:r>
      <w:r>
        <w:t>usiness customers proposed network tariff structures</w:t>
      </w:r>
      <w:r w:rsidR="00625C1E">
        <w:t xml:space="preserve"> and charging parameters</w:t>
      </w:r>
      <w:bookmarkEnd w:id="1222"/>
      <w:bookmarkEnd w:id="1223"/>
      <w:bookmarkEnd w:id="1224"/>
      <w:bookmarkEnd w:id="1225"/>
      <w:bookmarkEnd w:id="1226"/>
      <w:bookmarkEnd w:id="1227"/>
      <w:bookmarkEnd w:id="1228"/>
      <w:bookmarkEnd w:id="1229"/>
      <w:bookmarkEnd w:id="1230"/>
      <w:bookmarkEnd w:id="1231"/>
      <w:bookmarkEnd w:id="1232"/>
      <w:bookmarkEnd w:id="1233"/>
    </w:p>
    <w:tbl>
      <w:tblPr>
        <w:tblStyle w:val="EEOrangeTable"/>
        <w:tblW w:w="10206" w:type="dxa"/>
        <w:tblInd w:w="-5" w:type="dxa"/>
        <w:tblLayout w:type="fixed"/>
        <w:tblLook w:val="04A0" w:firstRow="1" w:lastRow="0" w:firstColumn="1" w:lastColumn="0" w:noHBand="0" w:noVBand="1"/>
      </w:tblPr>
      <w:tblGrid>
        <w:gridCol w:w="2122"/>
        <w:gridCol w:w="1134"/>
        <w:gridCol w:w="1134"/>
        <w:gridCol w:w="5816"/>
      </w:tblGrid>
      <w:tr w:rsidR="00D352DC" w:rsidRPr="00C77073" w14:paraId="06C9958C" w14:textId="77777777" w:rsidTr="00BA11A2">
        <w:trPr>
          <w:cnfStyle w:val="100000000000" w:firstRow="1" w:lastRow="0" w:firstColumn="0" w:lastColumn="0" w:oddVBand="0" w:evenVBand="0" w:oddHBand="0" w:evenHBand="0" w:firstRowFirstColumn="0" w:firstRowLastColumn="0" w:lastRowFirstColumn="0" w:lastRowLastColumn="0"/>
          <w:tblHeader/>
        </w:trPr>
        <w:tc>
          <w:tcPr>
            <w:tcW w:w="2122" w:type="dxa"/>
            <w:tcBorders>
              <w:right w:val="single" w:sz="4" w:space="0" w:color="FFFFFF" w:themeColor="background1"/>
            </w:tcBorders>
          </w:tcPr>
          <w:p w14:paraId="6EFFD9E7" w14:textId="77777777" w:rsidR="00D352DC" w:rsidRPr="00C77073" w:rsidRDefault="00D352DC" w:rsidP="00A950FB">
            <w:pPr>
              <w:pStyle w:val="Tableheadingwhite"/>
            </w:pPr>
            <w:r w:rsidRPr="00C77073">
              <w:t>Tariff</w:t>
            </w:r>
          </w:p>
        </w:tc>
        <w:tc>
          <w:tcPr>
            <w:tcW w:w="1134" w:type="dxa"/>
            <w:tcBorders>
              <w:left w:val="single" w:sz="4" w:space="0" w:color="FFFFFF" w:themeColor="background1"/>
              <w:right w:val="single" w:sz="4" w:space="0" w:color="FFFFFF" w:themeColor="background1"/>
            </w:tcBorders>
          </w:tcPr>
          <w:p w14:paraId="685772E5" w14:textId="77777777" w:rsidR="00D352DC" w:rsidRPr="00C77073" w:rsidRDefault="00D352DC" w:rsidP="00A950FB">
            <w:pPr>
              <w:pStyle w:val="Tableheadingwhite"/>
            </w:pPr>
            <w:r>
              <w:t>Tariff structure</w:t>
            </w:r>
          </w:p>
        </w:tc>
        <w:tc>
          <w:tcPr>
            <w:tcW w:w="1134" w:type="dxa"/>
            <w:tcBorders>
              <w:left w:val="single" w:sz="4" w:space="0" w:color="FFFFFF" w:themeColor="background1"/>
              <w:right w:val="single" w:sz="4" w:space="0" w:color="FFFFFF" w:themeColor="background1"/>
            </w:tcBorders>
          </w:tcPr>
          <w:p w14:paraId="2CF24FD7" w14:textId="7FB3E896" w:rsidR="00D352DC" w:rsidRDefault="00D352DC" w:rsidP="00A950FB">
            <w:pPr>
              <w:pStyle w:val="Tableheadingwhite"/>
            </w:pPr>
            <w:r>
              <w:t>Measure</w:t>
            </w:r>
          </w:p>
        </w:tc>
        <w:tc>
          <w:tcPr>
            <w:tcW w:w="5816" w:type="dxa"/>
            <w:tcBorders>
              <w:left w:val="single" w:sz="4" w:space="0" w:color="FFFFFF" w:themeColor="background1"/>
              <w:right w:val="single" w:sz="12" w:space="0" w:color="F58025" w:themeColor="accent2"/>
            </w:tcBorders>
          </w:tcPr>
          <w:p w14:paraId="7DDF9E51" w14:textId="5C907556" w:rsidR="00D352DC" w:rsidRPr="00C77073" w:rsidRDefault="00D352DC" w:rsidP="00A950FB">
            <w:pPr>
              <w:pStyle w:val="Tableheadingwhite"/>
            </w:pPr>
            <w:r>
              <w:t>Charging parameter</w:t>
            </w:r>
          </w:p>
        </w:tc>
      </w:tr>
      <w:tr w:rsidR="003F66B3" w:rsidRPr="00C77073" w14:paraId="7BC335CE" w14:textId="77777777" w:rsidTr="00BA11A2">
        <w:tc>
          <w:tcPr>
            <w:tcW w:w="2122" w:type="dxa"/>
            <w:vMerge w:val="restart"/>
            <w:tcBorders>
              <w:left w:val="single" w:sz="12" w:space="0" w:color="F58025" w:themeColor="accent2"/>
            </w:tcBorders>
            <w:vAlign w:val="center"/>
          </w:tcPr>
          <w:p w14:paraId="7E7AC298" w14:textId="66E70157" w:rsidR="003F66B3" w:rsidRPr="00C77073" w:rsidRDefault="003F66B3" w:rsidP="00BD7710">
            <w:pPr>
              <w:pStyle w:val="Bodycopytable8pt"/>
            </w:pPr>
            <w:r>
              <w:t xml:space="preserve">Business </w:t>
            </w:r>
            <w:r w:rsidR="00BD7710">
              <w:t>Anytime</w:t>
            </w:r>
          </w:p>
        </w:tc>
        <w:tc>
          <w:tcPr>
            <w:tcW w:w="1134" w:type="dxa"/>
            <w:vAlign w:val="center"/>
          </w:tcPr>
          <w:p w14:paraId="46883DE6" w14:textId="77777777" w:rsidR="003F66B3" w:rsidRPr="00C77073" w:rsidRDefault="003F66B3" w:rsidP="00A950FB">
            <w:pPr>
              <w:pStyle w:val="Bodycopytable8pt"/>
            </w:pPr>
            <w:r>
              <w:t>Fixed</w:t>
            </w:r>
          </w:p>
        </w:tc>
        <w:tc>
          <w:tcPr>
            <w:tcW w:w="1134" w:type="dxa"/>
          </w:tcPr>
          <w:p w14:paraId="311AD34C" w14:textId="142AF5D5" w:rsidR="003F66B3" w:rsidRDefault="003F66B3" w:rsidP="00A950FB">
            <w:pPr>
              <w:pStyle w:val="Bodycopytable8pt"/>
            </w:pPr>
            <w:r>
              <w:t>$/day</w:t>
            </w:r>
          </w:p>
        </w:tc>
        <w:tc>
          <w:tcPr>
            <w:tcW w:w="5816" w:type="dxa"/>
            <w:tcBorders>
              <w:right w:val="single" w:sz="12" w:space="0" w:color="F58025" w:themeColor="accent2"/>
            </w:tcBorders>
            <w:vAlign w:val="center"/>
          </w:tcPr>
          <w:p w14:paraId="73BB83FB" w14:textId="2C5E1A11" w:rsidR="003F66B3" w:rsidRPr="00C77073" w:rsidRDefault="003F66B3" w:rsidP="00A950FB">
            <w:pPr>
              <w:pStyle w:val="Bodycopytable8pt"/>
            </w:pPr>
            <w:r>
              <w:t>Network access charge reflecting a fixed amount per day</w:t>
            </w:r>
          </w:p>
        </w:tc>
      </w:tr>
      <w:tr w:rsidR="003F66B3" w:rsidRPr="00C77073" w14:paraId="252E1F0D" w14:textId="77777777" w:rsidTr="00BA11A2">
        <w:tc>
          <w:tcPr>
            <w:tcW w:w="2122" w:type="dxa"/>
            <w:vMerge/>
            <w:tcBorders>
              <w:left w:val="single" w:sz="12" w:space="0" w:color="F58025" w:themeColor="accent2"/>
              <w:bottom w:val="single" w:sz="12" w:space="0" w:color="F58025" w:themeColor="accent2"/>
            </w:tcBorders>
          </w:tcPr>
          <w:p w14:paraId="0AF4292F" w14:textId="77777777" w:rsidR="003F66B3" w:rsidRPr="00C77073" w:rsidRDefault="003F66B3" w:rsidP="00A950FB">
            <w:pPr>
              <w:pStyle w:val="Bodycopytable8pt"/>
            </w:pPr>
          </w:p>
        </w:tc>
        <w:tc>
          <w:tcPr>
            <w:tcW w:w="1134" w:type="dxa"/>
            <w:tcBorders>
              <w:bottom w:val="single" w:sz="12" w:space="0" w:color="F58025" w:themeColor="accent2"/>
            </w:tcBorders>
            <w:vAlign w:val="center"/>
          </w:tcPr>
          <w:p w14:paraId="53DCA19A" w14:textId="77777777" w:rsidR="003F66B3" w:rsidRPr="00C77073" w:rsidRDefault="003F66B3" w:rsidP="00A950FB">
            <w:pPr>
              <w:pStyle w:val="Bodycopytable8pt"/>
            </w:pPr>
            <w:r>
              <w:t>Energy</w:t>
            </w:r>
          </w:p>
        </w:tc>
        <w:tc>
          <w:tcPr>
            <w:tcW w:w="1134" w:type="dxa"/>
            <w:tcBorders>
              <w:bottom w:val="single" w:sz="12" w:space="0" w:color="F58025" w:themeColor="accent2"/>
            </w:tcBorders>
            <w:vAlign w:val="center"/>
          </w:tcPr>
          <w:p w14:paraId="45190575" w14:textId="4F259AC2" w:rsidR="003F66B3" w:rsidRDefault="003F66B3" w:rsidP="00A950FB">
            <w:pPr>
              <w:pStyle w:val="Bodycopytable8pt"/>
            </w:pPr>
            <w:r>
              <w:t>c/kWh</w:t>
            </w:r>
          </w:p>
        </w:tc>
        <w:tc>
          <w:tcPr>
            <w:tcW w:w="5816" w:type="dxa"/>
            <w:tcBorders>
              <w:bottom w:val="single" w:sz="12" w:space="0" w:color="F58025" w:themeColor="accent2"/>
              <w:right w:val="single" w:sz="12" w:space="0" w:color="F58025" w:themeColor="accent2"/>
            </w:tcBorders>
            <w:vAlign w:val="center"/>
          </w:tcPr>
          <w:p w14:paraId="210DB038" w14:textId="7AEE6908" w:rsidR="003F66B3" w:rsidRPr="00DD0D4B" w:rsidRDefault="00463282" w:rsidP="00463282">
            <w:pPr>
              <w:pStyle w:val="Bodycopytable8pt"/>
            </w:pPr>
            <w:r w:rsidRPr="00DD0D4B">
              <w:t xml:space="preserve">Fixed rate per kw/h </w:t>
            </w:r>
          </w:p>
        </w:tc>
      </w:tr>
      <w:tr w:rsidR="003F66B3" w:rsidRPr="00C77073" w14:paraId="1A15DB7B" w14:textId="77777777" w:rsidTr="00BA11A2">
        <w:tc>
          <w:tcPr>
            <w:tcW w:w="2122" w:type="dxa"/>
            <w:vMerge w:val="restart"/>
            <w:tcBorders>
              <w:top w:val="single" w:sz="12" w:space="0" w:color="F58025" w:themeColor="accent2"/>
              <w:left w:val="single" w:sz="12" w:space="0" w:color="F58025" w:themeColor="accent2"/>
            </w:tcBorders>
            <w:shd w:val="clear" w:color="auto" w:fill="FDE5D3" w:themeFill="accent2" w:themeFillTint="33"/>
            <w:vAlign w:val="center"/>
          </w:tcPr>
          <w:p w14:paraId="7569ECDE" w14:textId="77777777" w:rsidR="003F66B3" w:rsidRPr="00C77073" w:rsidRDefault="003F66B3" w:rsidP="00A950FB">
            <w:pPr>
              <w:pStyle w:val="Bodycopytable8pt"/>
            </w:pPr>
            <w:r>
              <w:t xml:space="preserve">Business Time of Use </w:t>
            </w:r>
          </w:p>
        </w:tc>
        <w:tc>
          <w:tcPr>
            <w:tcW w:w="1134" w:type="dxa"/>
            <w:tcBorders>
              <w:top w:val="single" w:sz="12" w:space="0" w:color="F58025" w:themeColor="accent2"/>
            </w:tcBorders>
            <w:shd w:val="clear" w:color="auto" w:fill="FDE5D3" w:themeFill="accent2" w:themeFillTint="33"/>
            <w:vAlign w:val="center"/>
          </w:tcPr>
          <w:p w14:paraId="7BB0F4DC" w14:textId="77777777" w:rsidR="003F66B3" w:rsidRPr="00C77073" w:rsidRDefault="003F66B3" w:rsidP="00A950FB">
            <w:pPr>
              <w:pStyle w:val="Bodycopytable8pt"/>
            </w:pPr>
            <w:r>
              <w:t>Fixed</w:t>
            </w:r>
          </w:p>
        </w:tc>
        <w:tc>
          <w:tcPr>
            <w:tcW w:w="1134" w:type="dxa"/>
            <w:tcBorders>
              <w:top w:val="single" w:sz="12" w:space="0" w:color="F58025" w:themeColor="accent2"/>
            </w:tcBorders>
            <w:shd w:val="clear" w:color="auto" w:fill="FDE5D3" w:themeFill="accent2" w:themeFillTint="33"/>
          </w:tcPr>
          <w:p w14:paraId="1D83F791" w14:textId="53342116" w:rsidR="003F66B3" w:rsidRDefault="003F66B3" w:rsidP="00A950FB">
            <w:pPr>
              <w:pStyle w:val="Bodycopytable8pt"/>
            </w:pPr>
            <w:r>
              <w:t>$/day</w:t>
            </w:r>
          </w:p>
        </w:tc>
        <w:tc>
          <w:tcPr>
            <w:tcW w:w="5816" w:type="dxa"/>
            <w:tcBorders>
              <w:top w:val="single" w:sz="12" w:space="0" w:color="F58025" w:themeColor="accent2"/>
              <w:right w:val="single" w:sz="12" w:space="0" w:color="F58025" w:themeColor="accent2"/>
            </w:tcBorders>
            <w:shd w:val="clear" w:color="auto" w:fill="FDE5D3" w:themeFill="accent2" w:themeFillTint="33"/>
          </w:tcPr>
          <w:p w14:paraId="4EAE91A2" w14:textId="64334251" w:rsidR="003F66B3" w:rsidRPr="00DD0D4B" w:rsidRDefault="003F66B3" w:rsidP="00A950FB">
            <w:pPr>
              <w:pStyle w:val="Bodycopytable8pt"/>
            </w:pPr>
            <w:r w:rsidRPr="00DD0D4B">
              <w:t>Network access charge reflecting a fixed amount per day</w:t>
            </w:r>
          </w:p>
        </w:tc>
      </w:tr>
      <w:tr w:rsidR="003F66B3" w:rsidRPr="00C77073" w14:paraId="5CF7F5C6" w14:textId="77777777" w:rsidTr="00A25504">
        <w:tc>
          <w:tcPr>
            <w:tcW w:w="2122" w:type="dxa"/>
            <w:vMerge/>
            <w:tcBorders>
              <w:left w:val="single" w:sz="12" w:space="0" w:color="F58025" w:themeColor="accent2"/>
              <w:bottom w:val="single" w:sz="12" w:space="0" w:color="F58025" w:themeColor="accent2"/>
            </w:tcBorders>
            <w:shd w:val="clear" w:color="auto" w:fill="FDE5D3" w:themeFill="accent2" w:themeFillTint="33"/>
          </w:tcPr>
          <w:p w14:paraId="5391B92D" w14:textId="77777777" w:rsidR="003F66B3" w:rsidRPr="00C77073" w:rsidRDefault="003F66B3" w:rsidP="00A950FB">
            <w:pPr>
              <w:pStyle w:val="Bodycopytable8pt"/>
            </w:pPr>
          </w:p>
        </w:tc>
        <w:tc>
          <w:tcPr>
            <w:tcW w:w="1134" w:type="dxa"/>
            <w:tcBorders>
              <w:bottom w:val="single" w:sz="12" w:space="0" w:color="F58025"/>
            </w:tcBorders>
            <w:shd w:val="clear" w:color="auto" w:fill="FDE5D3" w:themeFill="accent2" w:themeFillTint="33"/>
            <w:vAlign w:val="center"/>
          </w:tcPr>
          <w:p w14:paraId="1879D5BB" w14:textId="77777777" w:rsidR="003F66B3" w:rsidRPr="00C77073" w:rsidRDefault="003F66B3" w:rsidP="00A950FB">
            <w:pPr>
              <w:pStyle w:val="Bodycopytable8pt"/>
            </w:pPr>
            <w:r>
              <w:t>Energy</w:t>
            </w:r>
          </w:p>
        </w:tc>
        <w:tc>
          <w:tcPr>
            <w:tcW w:w="1134" w:type="dxa"/>
            <w:tcBorders>
              <w:bottom w:val="single" w:sz="12" w:space="0" w:color="F58025"/>
            </w:tcBorders>
            <w:shd w:val="clear" w:color="auto" w:fill="FDE5D3" w:themeFill="accent2" w:themeFillTint="33"/>
            <w:vAlign w:val="center"/>
          </w:tcPr>
          <w:p w14:paraId="5690E6B0" w14:textId="11E61D11" w:rsidR="003F66B3" w:rsidRDefault="003F66B3" w:rsidP="00A950FB">
            <w:pPr>
              <w:pStyle w:val="Bodycopytable8pt"/>
            </w:pPr>
            <w:r>
              <w:t>c/kWh</w:t>
            </w:r>
          </w:p>
        </w:tc>
        <w:tc>
          <w:tcPr>
            <w:tcW w:w="5816" w:type="dxa"/>
            <w:tcBorders>
              <w:bottom w:val="single" w:sz="12" w:space="0" w:color="F58025"/>
              <w:right w:val="single" w:sz="12" w:space="0" w:color="F58025" w:themeColor="accent2"/>
            </w:tcBorders>
            <w:shd w:val="clear" w:color="auto" w:fill="FDE5D3" w:themeFill="accent2" w:themeFillTint="33"/>
          </w:tcPr>
          <w:p w14:paraId="15092D5E" w14:textId="0D2B70BE" w:rsidR="003F66B3" w:rsidRPr="00DD0D4B" w:rsidRDefault="003F66B3" w:rsidP="00A950FB">
            <w:pPr>
              <w:pStyle w:val="Bodycopytable8pt"/>
            </w:pPr>
            <w:r w:rsidRPr="00DD0D4B">
              <w:t>Peak, shoulder and off-peak rate based on energy consumed in each period</w:t>
            </w:r>
          </w:p>
          <w:p w14:paraId="1C1E3F19" w14:textId="77777777" w:rsidR="003F66B3" w:rsidRPr="00DD0D4B" w:rsidRDefault="003F66B3" w:rsidP="00920137">
            <w:pPr>
              <w:pStyle w:val="Bulletsnotindented8pt"/>
            </w:pPr>
            <w:r w:rsidRPr="00DD0D4B">
              <w:t>Peak period is from 7am to 9am and 5pm to 8pm on weekdays</w:t>
            </w:r>
          </w:p>
          <w:p w14:paraId="4F6774A7" w14:textId="52098360" w:rsidR="003F66B3" w:rsidRPr="00DD0D4B" w:rsidRDefault="003F66B3" w:rsidP="00920137">
            <w:pPr>
              <w:pStyle w:val="Bulletsnotindented8pt"/>
            </w:pPr>
            <w:r w:rsidRPr="00DD0D4B">
              <w:t>Shoulder period is from 9am to 5pm and 8pm to 10pm on weekdays</w:t>
            </w:r>
          </w:p>
          <w:p w14:paraId="4EF30AF3" w14:textId="77777777" w:rsidR="003F66B3" w:rsidRPr="00DD0D4B" w:rsidRDefault="003F66B3" w:rsidP="00920137">
            <w:pPr>
              <w:pStyle w:val="Bulletsnotindented8pt"/>
              <w:rPr>
                <w:rFonts w:cs="Times New Roman"/>
                <w:color w:val="auto"/>
                <w:sz w:val="20"/>
                <w:szCs w:val="24"/>
                <w:lang w:val="en-AU"/>
              </w:rPr>
            </w:pPr>
            <w:r w:rsidRPr="00DD0D4B">
              <w:t>Off peak period is at all other times</w:t>
            </w:r>
          </w:p>
        </w:tc>
      </w:tr>
      <w:tr w:rsidR="00463282" w:rsidRPr="00C77073" w14:paraId="0FD14122" w14:textId="77777777" w:rsidTr="00B070E6">
        <w:tc>
          <w:tcPr>
            <w:tcW w:w="2122" w:type="dxa"/>
            <w:vMerge w:val="restart"/>
            <w:tcBorders>
              <w:left w:val="single" w:sz="12" w:space="0" w:color="F58025" w:themeColor="accent2"/>
            </w:tcBorders>
            <w:vAlign w:val="center"/>
          </w:tcPr>
          <w:p w14:paraId="66FCEFC8" w14:textId="5DA97076" w:rsidR="00463282" w:rsidRPr="00C77073" w:rsidRDefault="00463282" w:rsidP="00B070E6">
            <w:pPr>
              <w:pStyle w:val="Bodycopytable8pt"/>
            </w:pPr>
            <w:r>
              <w:t>Business Time of Use - Interval</w:t>
            </w:r>
          </w:p>
        </w:tc>
        <w:tc>
          <w:tcPr>
            <w:tcW w:w="1134" w:type="dxa"/>
            <w:tcBorders>
              <w:top w:val="single" w:sz="12" w:space="0" w:color="F58025"/>
            </w:tcBorders>
            <w:vAlign w:val="center"/>
          </w:tcPr>
          <w:p w14:paraId="1087C89A" w14:textId="4A42C991" w:rsidR="00463282" w:rsidRDefault="00463282" w:rsidP="00463282">
            <w:pPr>
              <w:pStyle w:val="Bodycopytable8pt"/>
            </w:pPr>
            <w:r>
              <w:t>Fixed</w:t>
            </w:r>
          </w:p>
        </w:tc>
        <w:tc>
          <w:tcPr>
            <w:tcW w:w="1134" w:type="dxa"/>
            <w:tcBorders>
              <w:top w:val="single" w:sz="12" w:space="0" w:color="F58025"/>
            </w:tcBorders>
          </w:tcPr>
          <w:p w14:paraId="44277E2F" w14:textId="7F3B9D08" w:rsidR="00463282" w:rsidRDefault="00463282" w:rsidP="00463282">
            <w:pPr>
              <w:pStyle w:val="Bodycopytable8pt"/>
            </w:pPr>
            <w:r>
              <w:t>$/day</w:t>
            </w:r>
          </w:p>
        </w:tc>
        <w:tc>
          <w:tcPr>
            <w:tcW w:w="5816" w:type="dxa"/>
            <w:tcBorders>
              <w:top w:val="single" w:sz="12" w:space="0" w:color="F58025"/>
              <w:right w:val="single" w:sz="12" w:space="0" w:color="F58025" w:themeColor="accent2"/>
            </w:tcBorders>
          </w:tcPr>
          <w:p w14:paraId="3A209A6E" w14:textId="32540DFD" w:rsidR="00463282" w:rsidRPr="00DD0D4B" w:rsidRDefault="00463282" w:rsidP="00463282">
            <w:pPr>
              <w:pStyle w:val="Bodycopytable8pt"/>
            </w:pPr>
            <w:r w:rsidRPr="00DD0D4B">
              <w:t>Network access charge reflecting a fixed amount per day</w:t>
            </w:r>
          </w:p>
        </w:tc>
      </w:tr>
      <w:tr w:rsidR="00463282" w:rsidRPr="00C77073" w14:paraId="5923C2AA" w14:textId="77777777" w:rsidTr="00065D3E">
        <w:tc>
          <w:tcPr>
            <w:tcW w:w="2122" w:type="dxa"/>
            <w:vMerge/>
            <w:tcBorders>
              <w:left w:val="single" w:sz="12" w:space="0" w:color="F58025" w:themeColor="accent2"/>
              <w:bottom w:val="single" w:sz="12" w:space="0" w:color="F58025"/>
            </w:tcBorders>
          </w:tcPr>
          <w:p w14:paraId="619C8644" w14:textId="3C84446D" w:rsidR="00463282" w:rsidRPr="00C77073" w:rsidRDefault="00463282" w:rsidP="00463282">
            <w:pPr>
              <w:pStyle w:val="Bodycopytable8pt"/>
            </w:pPr>
          </w:p>
        </w:tc>
        <w:tc>
          <w:tcPr>
            <w:tcW w:w="1134" w:type="dxa"/>
            <w:tcBorders>
              <w:bottom w:val="single" w:sz="12" w:space="0" w:color="F58025" w:themeColor="accent2"/>
            </w:tcBorders>
            <w:vAlign w:val="center"/>
          </w:tcPr>
          <w:p w14:paraId="4CD7D7B6" w14:textId="588CF306" w:rsidR="00463282" w:rsidRDefault="00463282" w:rsidP="00463282">
            <w:pPr>
              <w:pStyle w:val="Bodycopytable8pt"/>
            </w:pPr>
            <w:r>
              <w:t>Energy</w:t>
            </w:r>
          </w:p>
        </w:tc>
        <w:tc>
          <w:tcPr>
            <w:tcW w:w="1134" w:type="dxa"/>
            <w:tcBorders>
              <w:bottom w:val="single" w:sz="12" w:space="0" w:color="F58025" w:themeColor="accent2"/>
            </w:tcBorders>
            <w:vAlign w:val="center"/>
          </w:tcPr>
          <w:p w14:paraId="0F7B485F" w14:textId="185FFA74" w:rsidR="00463282" w:rsidRDefault="00463282" w:rsidP="00463282">
            <w:pPr>
              <w:pStyle w:val="Bodycopytable8pt"/>
            </w:pPr>
            <w:r>
              <w:t>c/kWh</w:t>
            </w:r>
          </w:p>
        </w:tc>
        <w:tc>
          <w:tcPr>
            <w:tcW w:w="5816" w:type="dxa"/>
            <w:tcBorders>
              <w:bottom w:val="single" w:sz="12" w:space="0" w:color="F58025" w:themeColor="accent2"/>
              <w:right w:val="single" w:sz="12" w:space="0" w:color="F58025" w:themeColor="accent2"/>
            </w:tcBorders>
          </w:tcPr>
          <w:p w14:paraId="27DB299A" w14:textId="77777777" w:rsidR="00463282" w:rsidRPr="00DD0D4B" w:rsidRDefault="00463282" w:rsidP="00463282">
            <w:pPr>
              <w:pStyle w:val="Bodycopytable8pt"/>
            </w:pPr>
            <w:r w:rsidRPr="00DD0D4B">
              <w:t>Peak, shoulder and off-peak rate based on energy consumed in each period</w:t>
            </w:r>
          </w:p>
          <w:p w14:paraId="1DD7CD18" w14:textId="116C480C" w:rsidR="00463282" w:rsidRPr="00DD0D4B" w:rsidRDefault="00463282" w:rsidP="00463282">
            <w:pPr>
              <w:pStyle w:val="Bulletsnotindented8pt"/>
            </w:pPr>
            <w:r w:rsidRPr="00DD0D4B">
              <w:t>Peak period is from 5pm to 8pm on weekdays</w:t>
            </w:r>
          </w:p>
          <w:p w14:paraId="34238867" w14:textId="4919AD4B" w:rsidR="00463282" w:rsidRPr="00DD0D4B" w:rsidRDefault="00463282" w:rsidP="00463282">
            <w:pPr>
              <w:pStyle w:val="Bulletsnotindented8pt"/>
            </w:pPr>
            <w:r w:rsidRPr="00DD0D4B">
              <w:t xml:space="preserve">Shoulder period is from </w:t>
            </w:r>
            <w:r w:rsidR="001117AA">
              <w:t>7</w:t>
            </w:r>
            <w:r w:rsidRPr="00DD0D4B">
              <w:t>am to 5pm and 8pm to 10pm on weekdays</w:t>
            </w:r>
          </w:p>
          <w:p w14:paraId="07942388" w14:textId="5234A0EC" w:rsidR="00463282" w:rsidRPr="00DD0D4B" w:rsidRDefault="00463282" w:rsidP="00463282">
            <w:pPr>
              <w:pStyle w:val="Bulletsnotindented8pt"/>
            </w:pPr>
            <w:r w:rsidRPr="00DD0D4B">
              <w:t>Off peak period is at all other times</w:t>
            </w:r>
          </w:p>
        </w:tc>
      </w:tr>
      <w:tr w:rsidR="00B070E6" w:rsidRPr="00C77073" w14:paraId="5665EEFA" w14:textId="77777777" w:rsidTr="00252295">
        <w:tc>
          <w:tcPr>
            <w:tcW w:w="2122" w:type="dxa"/>
            <w:vMerge w:val="restart"/>
            <w:tcBorders>
              <w:left w:val="single" w:sz="12" w:space="0" w:color="F58025" w:themeColor="accent2"/>
            </w:tcBorders>
            <w:shd w:val="clear" w:color="auto" w:fill="FDE5D3" w:themeFill="accent2" w:themeFillTint="33"/>
            <w:vAlign w:val="center"/>
          </w:tcPr>
          <w:p w14:paraId="2378154C" w14:textId="6889F010" w:rsidR="00B070E6" w:rsidRPr="00C77073" w:rsidRDefault="00757531" w:rsidP="00757531">
            <w:pPr>
              <w:pStyle w:val="Bodycopytable8pt"/>
            </w:pPr>
            <w:r>
              <w:t>Business</w:t>
            </w:r>
            <w:r w:rsidR="00B070E6" w:rsidRPr="00BD7710">
              <w:t xml:space="preserve"> – Demand</w:t>
            </w:r>
          </w:p>
        </w:tc>
        <w:tc>
          <w:tcPr>
            <w:tcW w:w="1134" w:type="dxa"/>
            <w:tcBorders>
              <w:top w:val="single" w:sz="12" w:space="0" w:color="F58025" w:themeColor="accent2"/>
            </w:tcBorders>
            <w:shd w:val="clear" w:color="auto" w:fill="FDE5D3" w:themeFill="accent2" w:themeFillTint="33"/>
            <w:vAlign w:val="center"/>
          </w:tcPr>
          <w:p w14:paraId="50D5BC21" w14:textId="45510151" w:rsidR="00B070E6" w:rsidRDefault="00B070E6" w:rsidP="00B070E6">
            <w:pPr>
              <w:pStyle w:val="Bodycopytable8pt"/>
            </w:pPr>
            <w:r>
              <w:t>Fixed</w:t>
            </w:r>
          </w:p>
        </w:tc>
        <w:tc>
          <w:tcPr>
            <w:tcW w:w="1134" w:type="dxa"/>
            <w:tcBorders>
              <w:top w:val="single" w:sz="12" w:space="0" w:color="F58025" w:themeColor="accent2"/>
            </w:tcBorders>
            <w:shd w:val="clear" w:color="auto" w:fill="FDE5D3" w:themeFill="accent2" w:themeFillTint="33"/>
          </w:tcPr>
          <w:p w14:paraId="329F2EAE" w14:textId="4FAC47E8" w:rsidR="00B070E6" w:rsidRDefault="00B070E6" w:rsidP="00B070E6">
            <w:pPr>
              <w:pStyle w:val="Bodycopytable8pt"/>
            </w:pPr>
            <w:r>
              <w:t>$/day</w:t>
            </w:r>
          </w:p>
        </w:tc>
        <w:tc>
          <w:tcPr>
            <w:tcW w:w="5816" w:type="dxa"/>
            <w:tcBorders>
              <w:top w:val="single" w:sz="12" w:space="0" w:color="F58025" w:themeColor="accent2"/>
              <w:right w:val="single" w:sz="12" w:space="0" w:color="F58025" w:themeColor="accent2"/>
            </w:tcBorders>
            <w:shd w:val="clear" w:color="auto" w:fill="FDE5D3" w:themeFill="accent2" w:themeFillTint="33"/>
          </w:tcPr>
          <w:p w14:paraId="1FCEAA3F" w14:textId="1F4F7410" w:rsidR="00B070E6" w:rsidRPr="00DD0D4B" w:rsidRDefault="00B070E6" w:rsidP="00B070E6">
            <w:pPr>
              <w:pStyle w:val="Bodycopytable8pt"/>
            </w:pPr>
            <w:r w:rsidRPr="00DD0D4B">
              <w:t>Network access charge reflecting a fixed amount per day</w:t>
            </w:r>
          </w:p>
        </w:tc>
      </w:tr>
      <w:tr w:rsidR="00B070E6" w:rsidRPr="00C77073" w14:paraId="2366CD7C" w14:textId="77777777" w:rsidTr="00D945B5">
        <w:tc>
          <w:tcPr>
            <w:tcW w:w="2122" w:type="dxa"/>
            <w:vMerge/>
            <w:tcBorders>
              <w:left w:val="single" w:sz="12" w:space="0" w:color="F58025" w:themeColor="accent2"/>
            </w:tcBorders>
            <w:shd w:val="clear" w:color="auto" w:fill="FDE5D3" w:themeFill="accent2" w:themeFillTint="33"/>
          </w:tcPr>
          <w:p w14:paraId="2DED7431" w14:textId="49302662" w:rsidR="00B070E6" w:rsidRPr="00C77073" w:rsidRDefault="00B070E6" w:rsidP="00B070E6">
            <w:pPr>
              <w:pStyle w:val="Bodycopytable8pt"/>
            </w:pPr>
          </w:p>
        </w:tc>
        <w:tc>
          <w:tcPr>
            <w:tcW w:w="1134" w:type="dxa"/>
            <w:shd w:val="clear" w:color="auto" w:fill="FDE5D3" w:themeFill="accent2" w:themeFillTint="33"/>
            <w:vAlign w:val="center"/>
          </w:tcPr>
          <w:p w14:paraId="098F57BE" w14:textId="4624490D" w:rsidR="00B070E6" w:rsidRDefault="00B070E6" w:rsidP="00B070E6">
            <w:pPr>
              <w:pStyle w:val="Bodycopytable8pt"/>
            </w:pPr>
            <w:r>
              <w:t>Energy</w:t>
            </w:r>
          </w:p>
        </w:tc>
        <w:tc>
          <w:tcPr>
            <w:tcW w:w="1134" w:type="dxa"/>
            <w:shd w:val="clear" w:color="auto" w:fill="FDE5D3" w:themeFill="accent2" w:themeFillTint="33"/>
            <w:vAlign w:val="center"/>
          </w:tcPr>
          <w:p w14:paraId="5B25C2A1" w14:textId="79135D3F" w:rsidR="00B070E6" w:rsidRDefault="00B070E6" w:rsidP="00B070E6">
            <w:pPr>
              <w:pStyle w:val="Bodycopytable8pt"/>
            </w:pPr>
            <w:r>
              <w:t>c/kWh</w:t>
            </w:r>
          </w:p>
        </w:tc>
        <w:tc>
          <w:tcPr>
            <w:tcW w:w="5816" w:type="dxa"/>
            <w:tcBorders>
              <w:right w:val="single" w:sz="12" w:space="0" w:color="F58025" w:themeColor="accent2"/>
            </w:tcBorders>
            <w:shd w:val="clear" w:color="auto" w:fill="FDE5D3" w:themeFill="accent2" w:themeFillTint="33"/>
          </w:tcPr>
          <w:p w14:paraId="76ED3ECE" w14:textId="77777777" w:rsidR="00B070E6" w:rsidRPr="00DD0D4B" w:rsidRDefault="00B070E6" w:rsidP="00B070E6">
            <w:pPr>
              <w:pStyle w:val="Bodycopytable8pt"/>
            </w:pPr>
            <w:r w:rsidRPr="00DD0D4B">
              <w:t>Peak, shoulder and off-peak rate based on energy consumed in each period</w:t>
            </w:r>
          </w:p>
          <w:p w14:paraId="068F6E09" w14:textId="327E064A" w:rsidR="00B070E6" w:rsidRPr="00DD0D4B" w:rsidRDefault="00B070E6" w:rsidP="00B070E6">
            <w:pPr>
              <w:pStyle w:val="Bulletsnotindented8pt"/>
            </w:pPr>
            <w:r w:rsidRPr="00DD0D4B">
              <w:t>Peak period is from 5pm to 8pm on weekdays</w:t>
            </w:r>
          </w:p>
          <w:p w14:paraId="477CF2DC" w14:textId="7919F254" w:rsidR="00B070E6" w:rsidRPr="00DD0D4B" w:rsidRDefault="00B070E6" w:rsidP="00B070E6">
            <w:pPr>
              <w:pStyle w:val="Bulletsnotindented8pt"/>
            </w:pPr>
            <w:r w:rsidRPr="00DD0D4B">
              <w:t xml:space="preserve">Shoulder period is from </w:t>
            </w:r>
            <w:r w:rsidR="001117AA">
              <w:t>7</w:t>
            </w:r>
            <w:r w:rsidRPr="00DD0D4B">
              <w:t>am to 5pm and 8pm to 10pm on weekdays</w:t>
            </w:r>
          </w:p>
          <w:p w14:paraId="52A87394" w14:textId="1F7DC67A" w:rsidR="00B070E6" w:rsidRPr="00DD0D4B" w:rsidRDefault="00B070E6" w:rsidP="00BD7710">
            <w:pPr>
              <w:pStyle w:val="Bulletsnotindented8pt"/>
            </w:pPr>
            <w:r w:rsidRPr="00DD0D4B">
              <w:t>Off peak period is at all other times</w:t>
            </w:r>
          </w:p>
        </w:tc>
      </w:tr>
      <w:tr w:rsidR="00B070E6" w:rsidRPr="00C77073" w14:paraId="4A8CFCFE" w14:textId="77777777" w:rsidTr="00ED00B1">
        <w:tc>
          <w:tcPr>
            <w:tcW w:w="2122" w:type="dxa"/>
            <w:vMerge/>
            <w:tcBorders>
              <w:left w:val="single" w:sz="12" w:space="0" w:color="F58025" w:themeColor="accent2"/>
              <w:bottom w:val="single" w:sz="12" w:space="0" w:color="F58025" w:themeColor="accent2"/>
            </w:tcBorders>
            <w:shd w:val="clear" w:color="auto" w:fill="FDE5D3" w:themeFill="accent2" w:themeFillTint="33"/>
          </w:tcPr>
          <w:p w14:paraId="35B5D346" w14:textId="6FA9E78F" w:rsidR="00B070E6" w:rsidRPr="00C77073" w:rsidRDefault="00B070E6" w:rsidP="00B070E6">
            <w:pPr>
              <w:pStyle w:val="Bodycopytable8pt"/>
            </w:pPr>
          </w:p>
        </w:tc>
        <w:tc>
          <w:tcPr>
            <w:tcW w:w="1134" w:type="dxa"/>
            <w:tcBorders>
              <w:bottom w:val="single" w:sz="12" w:space="0" w:color="F58025" w:themeColor="accent2"/>
            </w:tcBorders>
            <w:shd w:val="clear" w:color="auto" w:fill="FDE5D3" w:themeFill="accent2" w:themeFillTint="33"/>
            <w:vAlign w:val="center"/>
          </w:tcPr>
          <w:p w14:paraId="1B7704F1" w14:textId="37340705" w:rsidR="00B070E6" w:rsidRDefault="00B070E6" w:rsidP="00B070E6">
            <w:pPr>
              <w:pStyle w:val="Bodycopytable8pt"/>
            </w:pPr>
            <w:r>
              <w:t>Demand</w:t>
            </w:r>
          </w:p>
        </w:tc>
        <w:tc>
          <w:tcPr>
            <w:tcW w:w="1134" w:type="dxa"/>
            <w:tcBorders>
              <w:bottom w:val="single" w:sz="12" w:space="0" w:color="F58025" w:themeColor="accent2"/>
            </w:tcBorders>
            <w:shd w:val="clear" w:color="auto" w:fill="FDE5D3" w:themeFill="accent2" w:themeFillTint="33"/>
            <w:vAlign w:val="center"/>
          </w:tcPr>
          <w:p w14:paraId="4005433B" w14:textId="61FE1658" w:rsidR="00B070E6" w:rsidRDefault="00B070E6" w:rsidP="00B070E6">
            <w:pPr>
              <w:pStyle w:val="Bodycopytable8pt"/>
            </w:pPr>
            <w:r>
              <w:t>$/kVA</w:t>
            </w:r>
          </w:p>
        </w:tc>
        <w:tc>
          <w:tcPr>
            <w:tcW w:w="5816" w:type="dxa"/>
            <w:tcBorders>
              <w:bottom w:val="single" w:sz="12" w:space="0" w:color="F58025" w:themeColor="accent2"/>
              <w:right w:val="single" w:sz="12" w:space="0" w:color="F58025" w:themeColor="accent2"/>
            </w:tcBorders>
            <w:shd w:val="clear" w:color="auto" w:fill="FDE5D3" w:themeFill="accent2" w:themeFillTint="33"/>
          </w:tcPr>
          <w:p w14:paraId="24F0F252" w14:textId="6A1996B3" w:rsidR="00B070E6" w:rsidRPr="00DD0D4B" w:rsidRDefault="00E26C85" w:rsidP="00B070E6">
            <w:pPr>
              <w:pStyle w:val="Bodycopytable8pt"/>
            </w:pPr>
            <w:r w:rsidRPr="00DD0D4B">
              <w:t xml:space="preserve">Maximum demand charge based on the highest measured half-hour kVA </w:t>
            </w:r>
            <w:r w:rsidRPr="00DD0D4B">
              <w:lastRenderedPageBreak/>
              <w:t>demand registered in either the peak or shoulder periods during the month.</w:t>
            </w:r>
          </w:p>
        </w:tc>
      </w:tr>
    </w:tbl>
    <w:p w14:paraId="0E82FBDF" w14:textId="5ABD202F" w:rsidR="005F6F7C" w:rsidRDefault="005F6F7C" w:rsidP="00BD7710">
      <w:pPr>
        <w:pStyle w:val="Heading2"/>
      </w:pPr>
      <w:bookmarkStart w:id="1234" w:name="_Toc462994060"/>
      <w:bookmarkStart w:id="1235" w:name="_Toc463343024"/>
      <w:r>
        <w:lastRenderedPageBreak/>
        <w:t>Controlled Load customers</w:t>
      </w:r>
      <w:r w:rsidR="00B6416E">
        <w:t>’</w:t>
      </w:r>
      <w:r>
        <w:t xml:space="preserve"> network tariffs and charging parameters</w:t>
      </w:r>
      <w:bookmarkEnd w:id="1234"/>
      <w:bookmarkEnd w:id="1235"/>
    </w:p>
    <w:p w14:paraId="5205646A" w14:textId="79280C27" w:rsidR="005F6F7C" w:rsidRDefault="005F6F7C" w:rsidP="005F6F7C">
      <w:pPr>
        <w:pStyle w:val="Bodycopy"/>
      </w:pPr>
      <w:r>
        <w:t>We propose continu</w:t>
      </w:r>
      <w:r w:rsidR="00C1699D">
        <w:t>ing to</w:t>
      </w:r>
      <w:r>
        <w:t xml:space="preserve"> offer two tariffs to Controlled Load customers under the </w:t>
      </w:r>
      <w:r w:rsidR="0067436E">
        <w:t>‘</w:t>
      </w:r>
      <w:r>
        <w:t>Low voltage energy</w:t>
      </w:r>
      <w:r w:rsidR="0067436E">
        <w:t>’</w:t>
      </w:r>
      <w:r>
        <w:t xml:space="preserve"> tariff class. These tariffs and the associated eligibility criteria are shown in </w:t>
      </w:r>
      <w:r>
        <w:fldChar w:fldCharType="begin"/>
      </w:r>
      <w:r>
        <w:instrText xml:space="preserve"> REF _Ref432598225 \h </w:instrText>
      </w:r>
      <w:r>
        <w:fldChar w:fldCharType="separate"/>
      </w:r>
      <w:r w:rsidR="0073687F" w:rsidRPr="00FA3BEB">
        <w:t xml:space="preserve">Table </w:t>
      </w:r>
      <w:r w:rsidR="0073687F">
        <w:rPr>
          <w:noProof/>
        </w:rPr>
        <w:t>4</w:t>
      </w:r>
      <w:r w:rsidR="0073687F">
        <w:noBreakHyphen/>
      </w:r>
      <w:r w:rsidR="0073687F">
        <w:rPr>
          <w:noProof/>
        </w:rPr>
        <w:t>5</w:t>
      </w:r>
      <w:r>
        <w:fldChar w:fldCharType="end"/>
      </w:r>
      <w:r>
        <w:t xml:space="preserve"> below</w:t>
      </w:r>
      <w:r w:rsidR="00B6416E">
        <w:t>.</w:t>
      </w:r>
    </w:p>
    <w:p w14:paraId="7E270591" w14:textId="77777777" w:rsidR="00441DE4" w:rsidRDefault="00441DE4" w:rsidP="005F6F7C">
      <w:pPr>
        <w:pStyle w:val="Bodycopy"/>
      </w:pPr>
    </w:p>
    <w:p w14:paraId="33EA1E82" w14:textId="22A1E355" w:rsidR="005F6F7C" w:rsidRPr="00FA3BEB" w:rsidRDefault="005F6F7C" w:rsidP="005F6F7C">
      <w:pPr>
        <w:pStyle w:val="Caption"/>
      </w:pPr>
      <w:bookmarkStart w:id="1236" w:name="_Ref432598225"/>
      <w:bookmarkStart w:id="1237" w:name="_Toc434839500"/>
      <w:bookmarkStart w:id="1238" w:name="_Toc435177025"/>
      <w:bookmarkStart w:id="1239" w:name="_Toc435454532"/>
      <w:bookmarkStart w:id="1240" w:name="_Toc435608278"/>
      <w:bookmarkStart w:id="1241" w:name="_Toc435629496"/>
      <w:bookmarkStart w:id="1242" w:name="_Toc436127225"/>
      <w:bookmarkStart w:id="1243" w:name="_Toc436226259"/>
      <w:bookmarkStart w:id="1244" w:name="_Toc436304591"/>
      <w:bookmarkStart w:id="1245" w:name="_Toc462988229"/>
      <w:bookmarkStart w:id="1246" w:name="_Toc462994031"/>
      <w:bookmarkStart w:id="1247" w:name="_Toc463343038"/>
      <w:r w:rsidRPr="00FA3BEB">
        <w:t xml:space="preserve">Table </w:t>
      </w:r>
      <w:fldSimple w:instr=" STYLEREF 1 \s ">
        <w:r w:rsidR="0073687F">
          <w:rPr>
            <w:noProof/>
          </w:rPr>
          <w:t>4</w:t>
        </w:r>
      </w:fldSimple>
      <w:r w:rsidR="00A52BA8">
        <w:noBreakHyphen/>
      </w:r>
      <w:fldSimple w:instr=" SEQ Table \* ARABIC \s 1 ">
        <w:r w:rsidR="0073687F">
          <w:rPr>
            <w:noProof/>
          </w:rPr>
          <w:t>5</w:t>
        </w:r>
      </w:fldSimple>
      <w:bookmarkEnd w:id="1236"/>
      <w:r w:rsidRPr="00FA3BEB">
        <w:t xml:space="preserve">: </w:t>
      </w:r>
      <w:r>
        <w:t>Eligibility for Controlled Load customer tariffs</w:t>
      </w:r>
      <w:bookmarkEnd w:id="1237"/>
      <w:bookmarkEnd w:id="1238"/>
      <w:bookmarkEnd w:id="1239"/>
      <w:bookmarkEnd w:id="1240"/>
      <w:bookmarkEnd w:id="1241"/>
      <w:bookmarkEnd w:id="1242"/>
      <w:bookmarkEnd w:id="1243"/>
      <w:bookmarkEnd w:id="1244"/>
      <w:bookmarkEnd w:id="1245"/>
      <w:bookmarkEnd w:id="1246"/>
      <w:bookmarkEnd w:id="1247"/>
    </w:p>
    <w:tbl>
      <w:tblPr>
        <w:tblStyle w:val="EEOrangeTable"/>
        <w:tblW w:w="10206" w:type="dxa"/>
        <w:tblInd w:w="-5" w:type="dxa"/>
        <w:tblLook w:val="04A0" w:firstRow="1" w:lastRow="0" w:firstColumn="1" w:lastColumn="0" w:noHBand="0" w:noVBand="1"/>
      </w:tblPr>
      <w:tblGrid>
        <w:gridCol w:w="2087"/>
        <w:gridCol w:w="8119"/>
      </w:tblGrid>
      <w:tr w:rsidR="005F6F7C" w14:paraId="4B374BA9" w14:textId="77777777" w:rsidTr="00BA11A2">
        <w:trPr>
          <w:cnfStyle w:val="100000000000" w:firstRow="1" w:lastRow="0" w:firstColumn="0" w:lastColumn="0" w:oddVBand="0" w:evenVBand="0" w:oddHBand="0" w:evenHBand="0" w:firstRowFirstColumn="0" w:firstRowLastColumn="0" w:lastRowFirstColumn="0" w:lastRowLastColumn="0"/>
        </w:trPr>
        <w:tc>
          <w:tcPr>
            <w:tcW w:w="2087" w:type="dxa"/>
            <w:tcBorders>
              <w:right w:val="single" w:sz="4" w:space="0" w:color="FFFFFF" w:themeColor="background1"/>
            </w:tcBorders>
          </w:tcPr>
          <w:p w14:paraId="37A13F90" w14:textId="77777777" w:rsidR="005F6F7C" w:rsidRPr="00C77073" w:rsidRDefault="005F6F7C" w:rsidP="00BB36D9">
            <w:pPr>
              <w:pStyle w:val="Tableheadingwhite"/>
            </w:pPr>
            <w:r w:rsidRPr="00C77073">
              <w:t>Tariff</w:t>
            </w:r>
          </w:p>
        </w:tc>
        <w:tc>
          <w:tcPr>
            <w:tcW w:w="8119" w:type="dxa"/>
            <w:tcBorders>
              <w:left w:val="single" w:sz="4" w:space="0" w:color="FFFFFF" w:themeColor="background1"/>
              <w:right w:val="single" w:sz="12" w:space="0" w:color="F58025" w:themeColor="accent2"/>
            </w:tcBorders>
          </w:tcPr>
          <w:p w14:paraId="40104517" w14:textId="77777777" w:rsidR="005F6F7C" w:rsidRPr="00C77073" w:rsidRDefault="005F6F7C" w:rsidP="00BB36D9">
            <w:pPr>
              <w:pStyle w:val="Tableheadingwhite"/>
            </w:pPr>
            <w:r>
              <w:t>Eligibility</w:t>
            </w:r>
          </w:p>
        </w:tc>
      </w:tr>
      <w:tr w:rsidR="005F6F7C" w14:paraId="0F18379C" w14:textId="77777777" w:rsidTr="00BA11A2">
        <w:trPr>
          <w:trHeight w:val="910"/>
        </w:trPr>
        <w:tc>
          <w:tcPr>
            <w:tcW w:w="2087" w:type="dxa"/>
            <w:tcBorders>
              <w:top w:val="single" w:sz="4" w:space="0" w:color="F58025" w:themeColor="accent2"/>
              <w:left w:val="single" w:sz="12" w:space="0" w:color="F58025" w:themeColor="accent2"/>
              <w:bottom w:val="single" w:sz="12" w:space="0" w:color="F58025" w:themeColor="accent2"/>
            </w:tcBorders>
            <w:vAlign w:val="center"/>
          </w:tcPr>
          <w:p w14:paraId="70EF672E" w14:textId="3060B73B" w:rsidR="005F6F7C" w:rsidRDefault="005F6F7C" w:rsidP="00BB36D9">
            <w:pPr>
              <w:pStyle w:val="Bodycopytable8pt"/>
            </w:pPr>
            <w:r>
              <w:t>Controlled load 1</w:t>
            </w:r>
          </w:p>
        </w:tc>
        <w:tc>
          <w:tcPr>
            <w:tcW w:w="8119" w:type="dxa"/>
            <w:tcBorders>
              <w:top w:val="single" w:sz="4" w:space="0" w:color="F58025" w:themeColor="accent2"/>
              <w:bottom w:val="single" w:sz="12" w:space="0" w:color="F58025" w:themeColor="accent2"/>
              <w:right w:val="single" w:sz="12" w:space="0" w:color="F58025" w:themeColor="accent2"/>
            </w:tcBorders>
            <w:vAlign w:val="center"/>
          </w:tcPr>
          <w:p w14:paraId="2B5646A0" w14:textId="77777777" w:rsidR="005F6F7C" w:rsidRDefault="005F6F7C" w:rsidP="00920137">
            <w:pPr>
              <w:pStyle w:val="Bulletsnotindented8pt"/>
            </w:pPr>
            <w:r>
              <w:t xml:space="preserve">Low voltage connection </w:t>
            </w:r>
          </w:p>
          <w:p w14:paraId="27E025CB" w14:textId="09F6BC84" w:rsidR="005F6F7C" w:rsidRPr="00620EE4" w:rsidRDefault="005F6F7C" w:rsidP="00920137">
            <w:pPr>
              <w:pStyle w:val="Bulletsnotindented8pt"/>
            </w:pPr>
            <w:r>
              <w:t>Premises</w:t>
            </w:r>
            <w:r w:rsidRPr="00620EE4">
              <w:t xml:space="preserve"> where consumption does not exceed 160 MWh per year</w:t>
            </w:r>
          </w:p>
          <w:p w14:paraId="5D16A307" w14:textId="77777777" w:rsidR="005F6F7C" w:rsidRDefault="005F6F7C" w:rsidP="00920137">
            <w:pPr>
              <w:pStyle w:val="Bulletsnotindented8pt"/>
            </w:pPr>
            <w:r>
              <w:t>Premise has another primary metering point</w:t>
            </w:r>
            <w:r w:rsidRPr="00E15A3A">
              <w:t xml:space="preserve"> present at the same metering point as the secondary load and the load is remotely controlled</w:t>
            </w:r>
          </w:p>
          <w:p w14:paraId="48792BEB" w14:textId="77777777" w:rsidR="005F6F7C" w:rsidRDefault="005F6F7C" w:rsidP="00920137">
            <w:pPr>
              <w:pStyle w:val="Bulletsnotindented8pt"/>
            </w:pPr>
            <w:r>
              <w:t xml:space="preserve">Load is </w:t>
            </w:r>
            <w:r w:rsidRPr="00E15A3A">
              <w:t xml:space="preserve">permanently connected or on a dedicated power circuit with indicators to </w:t>
            </w:r>
            <w:r>
              <w:t>show when supply is available.</w:t>
            </w:r>
          </w:p>
          <w:p w14:paraId="6B96B12F" w14:textId="77777777" w:rsidR="005F6F7C" w:rsidRPr="00C77073" w:rsidRDefault="005F6F7C" w:rsidP="00920137">
            <w:pPr>
              <w:pStyle w:val="Bulletsnotindented8pt"/>
            </w:pPr>
            <w:r w:rsidRPr="00E15A3A">
              <w:t>This tariff is not available for the top boost element of a two element water heater for new connections.</w:t>
            </w:r>
          </w:p>
        </w:tc>
      </w:tr>
      <w:tr w:rsidR="005F6F7C" w14:paraId="06DF56BF" w14:textId="77777777" w:rsidTr="00BA11A2">
        <w:trPr>
          <w:trHeight w:val="396"/>
        </w:trPr>
        <w:tc>
          <w:tcPr>
            <w:tcW w:w="2087" w:type="dxa"/>
            <w:tcBorders>
              <w:top w:val="single" w:sz="12" w:space="0" w:color="F58025" w:themeColor="accent2"/>
              <w:left w:val="single" w:sz="12" w:space="0" w:color="F58025" w:themeColor="accent2"/>
              <w:bottom w:val="single" w:sz="12" w:space="0" w:color="F58025" w:themeColor="accent2"/>
            </w:tcBorders>
            <w:shd w:val="clear" w:color="auto" w:fill="FDE5D3" w:themeFill="accent2" w:themeFillTint="33"/>
            <w:vAlign w:val="center"/>
          </w:tcPr>
          <w:p w14:paraId="2F1A25ED" w14:textId="77777777" w:rsidR="005F6F7C" w:rsidRDefault="005F6F7C" w:rsidP="00BB36D9">
            <w:pPr>
              <w:pStyle w:val="Bodycopytable8pt"/>
            </w:pPr>
            <w:r>
              <w:t>Controlled load 2</w:t>
            </w:r>
          </w:p>
        </w:tc>
        <w:tc>
          <w:tcPr>
            <w:tcW w:w="8119" w:type="dxa"/>
            <w:tcBorders>
              <w:top w:val="single" w:sz="12" w:space="0" w:color="F58025" w:themeColor="accent2"/>
              <w:bottom w:val="single" w:sz="12" w:space="0" w:color="F58025" w:themeColor="accent2"/>
              <w:right w:val="single" w:sz="12" w:space="0" w:color="F58025" w:themeColor="accent2"/>
            </w:tcBorders>
            <w:shd w:val="clear" w:color="auto" w:fill="FDE5D3" w:themeFill="accent2" w:themeFillTint="33"/>
            <w:vAlign w:val="center"/>
          </w:tcPr>
          <w:p w14:paraId="192DCF2A" w14:textId="77777777" w:rsidR="005F6F7C" w:rsidRDefault="005F6F7C" w:rsidP="00920137">
            <w:pPr>
              <w:pStyle w:val="Bulletsnotindented8pt"/>
            </w:pPr>
            <w:r>
              <w:t xml:space="preserve">Low voltage connection </w:t>
            </w:r>
          </w:p>
          <w:p w14:paraId="0D713E7A" w14:textId="3A7D0530" w:rsidR="005F6F7C" w:rsidRPr="00620EE4" w:rsidRDefault="005F6F7C" w:rsidP="00920137">
            <w:pPr>
              <w:pStyle w:val="Bulletsnotindented8pt"/>
            </w:pPr>
            <w:r>
              <w:t>Premises</w:t>
            </w:r>
            <w:r w:rsidRPr="00620EE4">
              <w:t xml:space="preserve"> where consumption does not exceed </w:t>
            </w:r>
            <w:r w:rsidR="002603D3">
              <w:t>1</w:t>
            </w:r>
            <w:r w:rsidRPr="00620EE4">
              <w:t>60 MWh per year</w:t>
            </w:r>
          </w:p>
          <w:p w14:paraId="4C7674FC" w14:textId="77777777" w:rsidR="005F6F7C" w:rsidRDefault="005F6F7C" w:rsidP="00920137">
            <w:pPr>
              <w:pStyle w:val="Bulletsnotindented8pt"/>
            </w:pPr>
            <w:r>
              <w:t xml:space="preserve">Premise has another primary metering point </w:t>
            </w:r>
            <w:r w:rsidRPr="00E15A3A">
              <w:t>present at the same metering point as the secondary load and the load is remotely controlled</w:t>
            </w:r>
          </w:p>
          <w:p w14:paraId="7772B6E5" w14:textId="77777777" w:rsidR="005F6F7C" w:rsidRPr="00C77073" w:rsidRDefault="005F6F7C" w:rsidP="00920137">
            <w:pPr>
              <w:pStyle w:val="Bulletsnotindented8pt"/>
            </w:pPr>
            <w:r w:rsidRPr="00E15A3A">
              <w:t>Load</w:t>
            </w:r>
            <w:r>
              <w:t xml:space="preserve"> is </w:t>
            </w:r>
            <w:r w:rsidRPr="00E15A3A">
              <w:t xml:space="preserve">permanently connected or on a dedicated power circuit with indicators to </w:t>
            </w:r>
            <w:r>
              <w:t>show when supply is available.</w:t>
            </w:r>
          </w:p>
        </w:tc>
      </w:tr>
    </w:tbl>
    <w:p w14:paraId="09FD787B" w14:textId="77777777" w:rsidR="00F47AEC" w:rsidRDefault="00F47AEC" w:rsidP="005F6F7C">
      <w:pPr>
        <w:pStyle w:val="Bodycopy"/>
      </w:pPr>
    </w:p>
    <w:p w14:paraId="410F9210" w14:textId="1A909872" w:rsidR="005F6F7C" w:rsidRDefault="005F6F7C" w:rsidP="005F6F7C">
      <w:pPr>
        <w:pStyle w:val="Bodycopy"/>
      </w:pPr>
      <w:r w:rsidRPr="000E1434">
        <w:t xml:space="preserve">The associated </w:t>
      </w:r>
      <w:r>
        <w:t xml:space="preserve">tariff structures and charging parameters for our Controlled Load customer tariffs are shown in </w:t>
      </w:r>
      <w:r>
        <w:fldChar w:fldCharType="begin"/>
      </w:r>
      <w:r>
        <w:instrText xml:space="preserve"> REF _Ref432598285 \h </w:instrText>
      </w:r>
      <w:r>
        <w:fldChar w:fldCharType="separate"/>
      </w:r>
      <w:r w:rsidR="0073687F">
        <w:t xml:space="preserve">Table </w:t>
      </w:r>
      <w:r w:rsidR="0073687F">
        <w:rPr>
          <w:noProof/>
        </w:rPr>
        <w:t>4</w:t>
      </w:r>
      <w:r w:rsidR="0073687F">
        <w:noBreakHyphen/>
      </w:r>
      <w:r w:rsidR="0073687F">
        <w:rPr>
          <w:noProof/>
        </w:rPr>
        <w:t>6</w:t>
      </w:r>
      <w:r>
        <w:fldChar w:fldCharType="end"/>
      </w:r>
      <w:r>
        <w:t xml:space="preserve"> below. </w:t>
      </w:r>
      <w:r w:rsidRPr="003970B7">
        <w:t>The</w:t>
      </w:r>
      <w:r>
        <w:t xml:space="preserve"> structures are identical to our existing tariffs for Controlled Load customers.</w:t>
      </w:r>
    </w:p>
    <w:p w14:paraId="46CD4F85" w14:textId="77777777" w:rsidR="00441DE4" w:rsidRDefault="00441DE4" w:rsidP="005F6F7C">
      <w:pPr>
        <w:pStyle w:val="Bodycopy"/>
      </w:pPr>
    </w:p>
    <w:p w14:paraId="0D633DE4" w14:textId="3301B642" w:rsidR="005F6F7C" w:rsidRDefault="005F6F7C" w:rsidP="005F6F7C">
      <w:pPr>
        <w:pStyle w:val="Caption"/>
      </w:pPr>
      <w:bookmarkStart w:id="1248" w:name="_Ref432598285"/>
      <w:bookmarkStart w:id="1249" w:name="_Toc434839501"/>
      <w:bookmarkStart w:id="1250" w:name="_Toc435177026"/>
      <w:bookmarkStart w:id="1251" w:name="_Toc435454533"/>
      <w:bookmarkStart w:id="1252" w:name="_Toc435608279"/>
      <w:bookmarkStart w:id="1253" w:name="_Toc435629497"/>
      <w:bookmarkStart w:id="1254" w:name="_Toc436127226"/>
      <w:bookmarkStart w:id="1255" w:name="_Toc436226260"/>
      <w:bookmarkStart w:id="1256" w:name="_Toc436304592"/>
      <w:bookmarkStart w:id="1257" w:name="_Toc462988230"/>
      <w:bookmarkStart w:id="1258" w:name="_Toc462994032"/>
      <w:bookmarkStart w:id="1259" w:name="_Toc463343039"/>
      <w:r>
        <w:t xml:space="preserve">Table </w:t>
      </w:r>
      <w:fldSimple w:instr=" STYLEREF 1 \s ">
        <w:r w:rsidR="0073687F">
          <w:rPr>
            <w:noProof/>
          </w:rPr>
          <w:t>4</w:t>
        </w:r>
      </w:fldSimple>
      <w:r w:rsidR="00A52BA8">
        <w:noBreakHyphen/>
      </w:r>
      <w:fldSimple w:instr=" SEQ Table \* ARABIC \s 1 ">
        <w:r w:rsidR="0073687F">
          <w:rPr>
            <w:noProof/>
          </w:rPr>
          <w:t>6</w:t>
        </w:r>
      </w:fldSimple>
      <w:bookmarkEnd w:id="1248"/>
      <w:r>
        <w:t xml:space="preserve">: </w:t>
      </w:r>
      <w:r w:rsidR="00955251">
        <w:t>Controlled Load</w:t>
      </w:r>
      <w:r>
        <w:t xml:space="preserve"> customers proposed network tariff structures and charging parameters</w:t>
      </w:r>
      <w:bookmarkEnd w:id="1249"/>
      <w:bookmarkEnd w:id="1250"/>
      <w:bookmarkEnd w:id="1251"/>
      <w:bookmarkEnd w:id="1252"/>
      <w:bookmarkEnd w:id="1253"/>
      <w:bookmarkEnd w:id="1254"/>
      <w:bookmarkEnd w:id="1255"/>
      <w:bookmarkEnd w:id="1256"/>
      <w:bookmarkEnd w:id="1257"/>
      <w:bookmarkEnd w:id="1258"/>
      <w:bookmarkEnd w:id="1259"/>
    </w:p>
    <w:tbl>
      <w:tblPr>
        <w:tblStyle w:val="EEOrangeTable"/>
        <w:tblW w:w="10206" w:type="dxa"/>
        <w:tblInd w:w="-5" w:type="dxa"/>
        <w:tblLayout w:type="fixed"/>
        <w:tblLook w:val="04A0" w:firstRow="1" w:lastRow="0" w:firstColumn="1" w:lastColumn="0" w:noHBand="0" w:noVBand="1"/>
      </w:tblPr>
      <w:tblGrid>
        <w:gridCol w:w="2122"/>
        <w:gridCol w:w="1134"/>
        <w:gridCol w:w="1134"/>
        <w:gridCol w:w="5816"/>
      </w:tblGrid>
      <w:tr w:rsidR="005F6F7C" w:rsidRPr="00C77073" w14:paraId="3C28C04D" w14:textId="77777777" w:rsidTr="00BA11A2">
        <w:trPr>
          <w:cnfStyle w:val="100000000000" w:firstRow="1" w:lastRow="0" w:firstColumn="0" w:lastColumn="0" w:oddVBand="0" w:evenVBand="0" w:oddHBand="0" w:evenHBand="0" w:firstRowFirstColumn="0" w:firstRowLastColumn="0" w:lastRowFirstColumn="0" w:lastRowLastColumn="0"/>
          <w:tblHeader/>
        </w:trPr>
        <w:tc>
          <w:tcPr>
            <w:tcW w:w="2122" w:type="dxa"/>
            <w:tcBorders>
              <w:right w:val="single" w:sz="4" w:space="0" w:color="FFFFFF" w:themeColor="background1"/>
            </w:tcBorders>
          </w:tcPr>
          <w:p w14:paraId="334A11A5" w14:textId="77777777" w:rsidR="005F6F7C" w:rsidRPr="00C77073" w:rsidRDefault="005F6F7C" w:rsidP="00BB36D9">
            <w:pPr>
              <w:pStyle w:val="Tableheadingwhite"/>
            </w:pPr>
            <w:r w:rsidRPr="00C77073">
              <w:t>Tariff</w:t>
            </w:r>
          </w:p>
        </w:tc>
        <w:tc>
          <w:tcPr>
            <w:tcW w:w="1134" w:type="dxa"/>
            <w:tcBorders>
              <w:left w:val="single" w:sz="4" w:space="0" w:color="FFFFFF" w:themeColor="background1"/>
              <w:right w:val="single" w:sz="4" w:space="0" w:color="FFFFFF" w:themeColor="background1"/>
            </w:tcBorders>
          </w:tcPr>
          <w:p w14:paraId="3B93BB29" w14:textId="77777777" w:rsidR="005F6F7C" w:rsidRPr="00C77073" w:rsidRDefault="005F6F7C" w:rsidP="00BB36D9">
            <w:pPr>
              <w:pStyle w:val="Tableheadingwhite"/>
            </w:pPr>
            <w:r>
              <w:t>Tariff structure</w:t>
            </w:r>
          </w:p>
        </w:tc>
        <w:tc>
          <w:tcPr>
            <w:tcW w:w="1134" w:type="dxa"/>
            <w:tcBorders>
              <w:left w:val="single" w:sz="4" w:space="0" w:color="FFFFFF" w:themeColor="background1"/>
              <w:right w:val="single" w:sz="4" w:space="0" w:color="FFFFFF" w:themeColor="background1"/>
            </w:tcBorders>
          </w:tcPr>
          <w:p w14:paraId="2D7FF407" w14:textId="77777777" w:rsidR="005F6F7C" w:rsidRDefault="005F6F7C" w:rsidP="00BB36D9">
            <w:pPr>
              <w:pStyle w:val="Tableheadingwhite"/>
            </w:pPr>
            <w:r>
              <w:t>Measure</w:t>
            </w:r>
          </w:p>
        </w:tc>
        <w:tc>
          <w:tcPr>
            <w:tcW w:w="5816" w:type="dxa"/>
            <w:tcBorders>
              <w:left w:val="single" w:sz="4" w:space="0" w:color="FFFFFF" w:themeColor="background1"/>
              <w:right w:val="single" w:sz="12" w:space="0" w:color="F58025" w:themeColor="accent2"/>
            </w:tcBorders>
          </w:tcPr>
          <w:p w14:paraId="20C18C1C" w14:textId="77777777" w:rsidR="005F6F7C" w:rsidRPr="00C77073" w:rsidRDefault="005F6F7C" w:rsidP="00BB36D9">
            <w:pPr>
              <w:pStyle w:val="Tableheadingwhite"/>
            </w:pPr>
            <w:r>
              <w:t>Charging parameter</w:t>
            </w:r>
          </w:p>
        </w:tc>
      </w:tr>
      <w:tr w:rsidR="005F6F7C" w:rsidRPr="00C77073" w14:paraId="1F446BB2" w14:textId="77777777" w:rsidTr="00BA11A2">
        <w:tc>
          <w:tcPr>
            <w:tcW w:w="2122" w:type="dxa"/>
            <w:vMerge w:val="restart"/>
            <w:tcBorders>
              <w:top w:val="single" w:sz="12" w:space="0" w:color="F58025" w:themeColor="accent2"/>
              <w:left w:val="single" w:sz="12" w:space="0" w:color="F58025" w:themeColor="accent2"/>
            </w:tcBorders>
            <w:vAlign w:val="center"/>
          </w:tcPr>
          <w:p w14:paraId="3CDD87D0" w14:textId="77777777" w:rsidR="005F6F7C" w:rsidRPr="00C77073" w:rsidRDefault="005F6F7C" w:rsidP="00BB36D9">
            <w:pPr>
              <w:pStyle w:val="Bodycopytable8pt"/>
            </w:pPr>
            <w:r>
              <w:t>Controlled load 1</w:t>
            </w:r>
          </w:p>
        </w:tc>
        <w:tc>
          <w:tcPr>
            <w:tcW w:w="1134" w:type="dxa"/>
            <w:tcBorders>
              <w:top w:val="single" w:sz="12" w:space="0" w:color="F58025" w:themeColor="accent2"/>
            </w:tcBorders>
            <w:vAlign w:val="center"/>
          </w:tcPr>
          <w:p w14:paraId="19B012A7" w14:textId="77777777" w:rsidR="005F6F7C" w:rsidRPr="00C77073" w:rsidRDefault="005F6F7C" w:rsidP="00BB36D9">
            <w:pPr>
              <w:pStyle w:val="Bodycopytable8pt"/>
            </w:pPr>
            <w:r>
              <w:t>Fixed</w:t>
            </w:r>
          </w:p>
        </w:tc>
        <w:tc>
          <w:tcPr>
            <w:tcW w:w="1134" w:type="dxa"/>
            <w:tcBorders>
              <w:top w:val="single" w:sz="12" w:space="0" w:color="F58025" w:themeColor="accent2"/>
            </w:tcBorders>
          </w:tcPr>
          <w:p w14:paraId="12C84D37" w14:textId="77777777" w:rsidR="005F6F7C" w:rsidRDefault="005F6F7C" w:rsidP="00BB36D9">
            <w:pPr>
              <w:pStyle w:val="Bodycopytable8pt"/>
            </w:pPr>
            <w:r>
              <w:t>$/day</w:t>
            </w:r>
          </w:p>
        </w:tc>
        <w:tc>
          <w:tcPr>
            <w:tcW w:w="5816" w:type="dxa"/>
            <w:tcBorders>
              <w:top w:val="single" w:sz="12" w:space="0" w:color="F58025" w:themeColor="accent2"/>
              <w:right w:val="single" w:sz="12" w:space="0" w:color="F58025" w:themeColor="accent2"/>
            </w:tcBorders>
          </w:tcPr>
          <w:p w14:paraId="2946E177" w14:textId="77777777" w:rsidR="005F6F7C" w:rsidRPr="00C77073" w:rsidRDefault="005F6F7C" w:rsidP="00BB36D9">
            <w:pPr>
              <w:pStyle w:val="Bodycopytable8pt"/>
            </w:pPr>
            <w:r>
              <w:t>Network access charge reflecting a fixed amount per day</w:t>
            </w:r>
          </w:p>
        </w:tc>
      </w:tr>
      <w:tr w:rsidR="005F6F7C" w:rsidRPr="00C77073" w14:paraId="2B4DEB23" w14:textId="77777777" w:rsidTr="00BA11A2">
        <w:tc>
          <w:tcPr>
            <w:tcW w:w="2122" w:type="dxa"/>
            <w:vMerge/>
            <w:tcBorders>
              <w:left w:val="single" w:sz="12" w:space="0" w:color="F58025" w:themeColor="accent2"/>
              <w:bottom w:val="single" w:sz="12" w:space="0" w:color="F58025" w:themeColor="accent2"/>
            </w:tcBorders>
            <w:vAlign w:val="center"/>
          </w:tcPr>
          <w:p w14:paraId="1EE460DC" w14:textId="77777777" w:rsidR="005F6F7C" w:rsidRPr="00C77073" w:rsidRDefault="005F6F7C" w:rsidP="00BB36D9">
            <w:pPr>
              <w:pStyle w:val="Bodycopytable8pt"/>
            </w:pPr>
          </w:p>
        </w:tc>
        <w:tc>
          <w:tcPr>
            <w:tcW w:w="1134" w:type="dxa"/>
            <w:tcBorders>
              <w:bottom w:val="single" w:sz="12" w:space="0" w:color="F58025" w:themeColor="accent2"/>
            </w:tcBorders>
            <w:vAlign w:val="center"/>
          </w:tcPr>
          <w:p w14:paraId="3A649F8E" w14:textId="77777777" w:rsidR="005F6F7C" w:rsidRPr="00C77073" w:rsidRDefault="005F6F7C" w:rsidP="00BB36D9">
            <w:pPr>
              <w:pStyle w:val="Bodycopytable8pt"/>
            </w:pPr>
            <w:r>
              <w:t>Energy</w:t>
            </w:r>
          </w:p>
        </w:tc>
        <w:tc>
          <w:tcPr>
            <w:tcW w:w="1134" w:type="dxa"/>
            <w:tcBorders>
              <w:bottom w:val="single" w:sz="12" w:space="0" w:color="F58025" w:themeColor="accent2"/>
            </w:tcBorders>
            <w:vAlign w:val="center"/>
          </w:tcPr>
          <w:p w14:paraId="4149D6F0" w14:textId="77777777" w:rsidR="005F6F7C" w:rsidRDefault="005F6F7C" w:rsidP="00BB36D9">
            <w:pPr>
              <w:pStyle w:val="Bodycopytable8pt"/>
            </w:pPr>
            <w:r>
              <w:t>c/kWh</w:t>
            </w:r>
          </w:p>
        </w:tc>
        <w:tc>
          <w:tcPr>
            <w:tcW w:w="5816" w:type="dxa"/>
            <w:tcBorders>
              <w:bottom w:val="single" w:sz="12" w:space="0" w:color="F58025" w:themeColor="accent2"/>
              <w:right w:val="single" w:sz="12" w:space="0" w:color="F58025" w:themeColor="accent2"/>
            </w:tcBorders>
          </w:tcPr>
          <w:p w14:paraId="48C7928C" w14:textId="77777777" w:rsidR="005F6F7C" w:rsidRPr="00C77073" w:rsidRDefault="005F6F7C" w:rsidP="00BB36D9">
            <w:pPr>
              <w:pStyle w:val="Bodycopytable8pt"/>
            </w:pPr>
            <w:r>
              <w:t>Flat rate based on usage between five to nine hours overnight on weekdays and extra hours on weekends except where the load is controlled by a time clock</w:t>
            </w:r>
          </w:p>
        </w:tc>
      </w:tr>
      <w:tr w:rsidR="005F6F7C" w:rsidRPr="00C77073" w14:paraId="66FDB6EE" w14:textId="77777777" w:rsidTr="00BA11A2">
        <w:tc>
          <w:tcPr>
            <w:tcW w:w="2122" w:type="dxa"/>
            <w:vMerge w:val="restart"/>
            <w:tcBorders>
              <w:top w:val="single" w:sz="12" w:space="0" w:color="F58025" w:themeColor="accent2"/>
              <w:left w:val="single" w:sz="12" w:space="0" w:color="F58025" w:themeColor="accent2"/>
            </w:tcBorders>
            <w:shd w:val="clear" w:color="auto" w:fill="FDE5D3" w:themeFill="accent2" w:themeFillTint="33"/>
            <w:vAlign w:val="center"/>
          </w:tcPr>
          <w:p w14:paraId="6742753B" w14:textId="77777777" w:rsidR="005F6F7C" w:rsidRPr="00C77073" w:rsidRDefault="005F6F7C" w:rsidP="00BB36D9">
            <w:pPr>
              <w:pStyle w:val="Bodycopytable8pt"/>
            </w:pPr>
            <w:r>
              <w:t>Controlled load 2</w:t>
            </w:r>
          </w:p>
        </w:tc>
        <w:tc>
          <w:tcPr>
            <w:tcW w:w="1134" w:type="dxa"/>
            <w:tcBorders>
              <w:top w:val="single" w:sz="12" w:space="0" w:color="F58025" w:themeColor="accent2"/>
            </w:tcBorders>
            <w:shd w:val="clear" w:color="auto" w:fill="FDE5D3" w:themeFill="accent2" w:themeFillTint="33"/>
            <w:vAlign w:val="center"/>
          </w:tcPr>
          <w:p w14:paraId="7B983843" w14:textId="77777777" w:rsidR="005F6F7C" w:rsidRPr="00C77073" w:rsidRDefault="005F6F7C" w:rsidP="00BB36D9">
            <w:pPr>
              <w:pStyle w:val="Bodycopytable8pt"/>
            </w:pPr>
            <w:r>
              <w:t>Fixed</w:t>
            </w:r>
          </w:p>
        </w:tc>
        <w:tc>
          <w:tcPr>
            <w:tcW w:w="1134" w:type="dxa"/>
            <w:tcBorders>
              <w:top w:val="single" w:sz="12" w:space="0" w:color="F58025" w:themeColor="accent2"/>
            </w:tcBorders>
            <w:shd w:val="clear" w:color="auto" w:fill="FDE5D3" w:themeFill="accent2" w:themeFillTint="33"/>
          </w:tcPr>
          <w:p w14:paraId="19B36EC2" w14:textId="77777777" w:rsidR="005F6F7C" w:rsidRDefault="005F6F7C" w:rsidP="00BB36D9">
            <w:pPr>
              <w:pStyle w:val="Bodycopytable8pt"/>
            </w:pPr>
            <w:r>
              <w:t>$/day</w:t>
            </w:r>
          </w:p>
        </w:tc>
        <w:tc>
          <w:tcPr>
            <w:tcW w:w="5816" w:type="dxa"/>
            <w:tcBorders>
              <w:top w:val="single" w:sz="12" w:space="0" w:color="F58025" w:themeColor="accent2"/>
              <w:right w:val="single" w:sz="12" w:space="0" w:color="F58025" w:themeColor="accent2"/>
            </w:tcBorders>
            <w:shd w:val="clear" w:color="auto" w:fill="FDE5D3" w:themeFill="accent2" w:themeFillTint="33"/>
          </w:tcPr>
          <w:p w14:paraId="13ACCB3E" w14:textId="77777777" w:rsidR="005F6F7C" w:rsidRPr="00C77073" w:rsidRDefault="005F6F7C" w:rsidP="00BB36D9">
            <w:pPr>
              <w:pStyle w:val="Bodycopytable8pt"/>
            </w:pPr>
            <w:r>
              <w:t>Network access charge reflecting a fixed amount per day</w:t>
            </w:r>
          </w:p>
        </w:tc>
      </w:tr>
      <w:tr w:rsidR="005F6F7C" w:rsidRPr="00C77073" w14:paraId="1AB4C296" w14:textId="77777777" w:rsidTr="00BA11A2">
        <w:tc>
          <w:tcPr>
            <w:tcW w:w="2122" w:type="dxa"/>
            <w:vMerge/>
            <w:tcBorders>
              <w:left w:val="single" w:sz="12" w:space="0" w:color="F58025" w:themeColor="accent2"/>
              <w:bottom w:val="single" w:sz="12" w:space="0" w:color="F58025" w:themeColor="accent2"/>
            </w:tcBorders>
            <w:shd w:val="clear" w:color="auto" w:fill="FDE5D3" w:themeFill="accent2" w:themeFillTint="33"/>
          </w:tcPr>
          <w:p w14:paraId="2E5FA526" w14:textId="77777777" w:rsidR="005F6F7C" w:rsidRPr="00C77073" w:rsidRDefault="005F6F7C" w:rsidP="00BB36D9">
            <w:pPr>
              <w:pStyle w:val="Bodycopytable8pt"/>
            </w:pPr>
          </w:p>
        </w:tc>
        <w:tc>
          <w:tcPr>
            <w:tcW w:w="1134" w:type="dxa"/>
            <w:tcBorders>
              <w:bottom w:val="single" w:sz="12" w:space="0" w:color="F58025" w:themeColor="accent2"/>
            </w:tcBorders>
            <w:shd w:val="clear" w:color="auto" w:fill="FDE5D3" w:themeFill="accent2" w:themeFillTint="33"/>
            <w:vAlign w:val="center"/>
          </w:tcPr>
          <w:p w14:paraId="264F70BB" w14:textId="77777777" w:rsidR="005F6F7C" w:rsidRPr="00C77073" w:rsidRDefault="005F6F7C" w:rsidP="00BB36D9">
            <w:pPr>
              <w:pStyle w:val="Bodycopytable8pt"/>
            </w:pPr>
            <w:r>
              <w:t>Energy</w:t>
            </w:r>
          </w:p>
        </w:tc>
        <w:tc>
          <w:tcPr>
            <w:tcW w:w="1134" w:type="dxa"/>
            <w:tcBorders>
              <w:bottom w:val="single" w:sz="12" w:space="0" w:color="F58025" w:themeColor="accent2"/>
            </w:tcBorders>
            <w:shd w:val="clear" w:color="auto" w:fill="FDE5D3" w:themeFill="accent2" w:themeFillTint="33"/>
            <w:vAlign w:val="center"/>
          </w:tcPr>
          <w:p w14:paraId="50A48C2D" w14:textId="77777777" w:rsidR="005F6F7C" w:rsidRDefault="005F6F7C" w:rsidP="00BB36D9">
            <w:pPr>
              <w:pStyle w:val="Bodycopytable8pt"/>
            </w:pPr>
            <w:r>
              <w:t>c/kWh</w:t>
            </w:r>
          </w:p>
        </w:tc>
        <w:tc>
          <w:tcPr>
            <w:tcW w:w="5816" w:type="dxa"/>
            <w:tcBorders>
              <w:bottom w:val="single" w:sz="12" w:space="0" w:color="F58025" w:themeColor="accent2"/>
              <w:right w:val="single" w:sz="12" w:space="0" w:color="F58025" w:themeColor="accent2"/>
            </w:tcBorders>
            <w:shd w:val="clear" w:color="auto" w:fill="FDE5D3" w:themeFill="accent2" w:themeFillTint="33"/>
          </w:tcPr>
          <w:p w14:paraId="53A276CF" w14:textId="77777777" w:rsidR="005F6F7C" w:rsidRPr="00C77073" w:rsidRDefault="005F6F7C" w:rsidP="00BB36D9">
            <w:pPr>
              <w:pStyle w:val="Bodycopytable8pt"/>
            </w:pPr>
            <w:r>
              <w:t>Flat rate based on usage between 10 to 18 hours per day on weekdays and all hours on weekends except where the load is controlled by a time clock</w:t>
            </w:r>
          </w:p>
        </w:tc>
      </w:tr>
    </w:tbl>
    <w:p w14:paraId="53C33BB8" w14:textId="77777777" w:rsidR="002B4D5E" w:rsidRPr="0084308F" w:rsidRDefault="002B4D5E" w:rsidP="002B4D5E">
      <w:pPr>
        <w:pStyle w:val="Bodycopy"/>
      </w:pPr>
    </w:p>
    <w:p w14:paraId="77583F81" w14:textId="3614A74C" w:rsidR="00F47AEC" w:rsidRPr="00E01ED3" w:rsidRDefault="00F47AEC" w:rsidP="00E01ED3">
      <w:pPr>
        <w:pStyle w:val="Bodycopy"/>
      </w:pPr>
    </w:p>
    <w:p w14:paraId="341B2E99" w14:textId="77777777" w:rsidR="000F16D3" w:rsidRDefault="000F16D3" w:rsidP="00441DE4">
      <w:pPr>
        <w:pStyle w:val="Bodycopy"/>
      </w:pPr>
      <w:r>
        <w:br w:type="page"/>
      </w:r>
    </w:p>
    <w:p w14:paraId="26A7AA2D" w14:textId="6FE75805" w:rsidR="00625C1E" w:rsidRDefault="00625C1E" w:rsidP="00BD7710">
      <w:pPr>
        <w:pStyle w:val="Heading2"/>
      </w:pPr>
      <w:bookmarkStart w:id="1260" w:name="_Ref459882652"/>
      <w:bookmarkStart w:id="1261" w:name="_Toc462994061"/>
      <w:bookmarkStart w:id="1262" w:name="_Toc463343025"/>
      <w:r>
        <w:lastRenderedPageBreak/>
        <w:t xml:space="preserve">Business </w:t>
      </w:r>
      <w:r w:rsidR="005504D5">
        <w:t>customers</w:t>
      </w:r>
      <w:r w:rsidR="00B6416E">
        <w:t>’</w:t>
      </w:r>
      <w:r w:rsidR="005504D5">
        <w:t xml:space="preserve"> </w:t>
      </w:r>
      <w:r>
        <w:t>network tariffs and charging parameters</w:t>
      </w:r>
      <w:bookmarkEnd w:id="1260"/>
      <w:bookmarkEnd w:id="1261"/>
      <w:bookmarkEnd w:id="1262"/>
    </w:p>
    <w:p w14:paraId="47A3C078" w14:textId="0D9CD126" w:rsidR="00B850C1" w:rsidRDefault="00625C1E" w:rsidP="00B850C1">
      <w:pPr>
        <w:pStyle w:val="Bodycopy"/>
      </w:pPr>
      <w:r>
        <w:t xml:space="preserve">We propose </w:t>
      </w:r>
      <w:r w:rsidR="00BB3A74">
        <w:t>contin</w:t>
      </w:r>
      <w:r w:rsidR="00C1699D">
        <w:t>uing to</w:t>
      </w:r>
      <w:r w:rsidR="00BB3A74">
        <w:t xml:space="preserve"> </w:t>
      </w:r>
      <w:r w:rsidR="005A5B54">
        <w:t>offer</w:t>
      </w:r>
      <w:r>
        <w:t xml:space="preserve"> </w:t>
      </w:r>
      <w:r w:rsidR="009E6468">
        <w:t>three network</w:t>
      </w:r>
      <w:r>
        <w:t xml:space="preserve"> tariffs</w:t>
      </w:r>
      <w:r w:rsidR="00E967E6">
        <w:t xml:space="preserve"> for </w:t>
      </w:r>
      <w:r w:rsidR="005A5B54">
        <w:t xml:space="preserve">Business </w:t>
      </w:r>
      <w:r w:rsidR="00E967E6">
        <w:t>custome</w:t>
      </w:r>
      <w:r w:rsidR="005A5B54">
        <w:t>rs</w:t>
      </w:r>
      <w:r w:rsidR="00C74D30">
        <w:t xml:space="preserve"> under the </w:t>
      </w:r>
      <w:r w:rsidR="0067436E">
        <w:t>‘</w:t>
      </w:r>
      <w:r w:rsidR="00C74D30">
        <w:t>Low voltage demand</w:t>
      </w:r>
      <w:r w:rsidR="0067436E">
        <w:t>’</w:t>
      </w:r>
      <w:r w:rsidR="00C74D30">
        <w:t xml:space="preserve"> tariff class</w:t>
      </w:r>
      <w:r>
        <w:t xml:space="preserve">. </w:t>
      </w:r>
      <w:r w:rsidR="00E0227D">
        <w:t>A further</w:t>
      </w:r>
      <w:r w:rsidR="00B850C1">
        <w:t xml:space="preserve"> </w:t>
      </w:r>
      <w:r w:rsidR="00BB3A74">
        <w:t>T</w:t>
      </w:r>
      <w:r w:rsidR="00E0227D">
        <w:t>ransitional</w:t>
      </w:r>
      <w:r w:rsidR="00BB3A74">
        <w:t xml:space="preserve"> - Demand</w:t>
      </w:r>
      <w:r w:rsidR="00E0227D">
        <w:t xml:space="preserve"> </w:t>
      </w:r>
      <w:r w:rsidR="00B850C1">
        <w:t>networ</w:t>
      </w:r>
      <w:r w:rsidR="00E0227D">
        <w:t>k tariff</w:t>
      </w:r>
      <w:r w:rsidR="00B850C1">
        <w:t xml:space="preserve"> </w:t>
      </w:r>
      <w:r w:rsidR="00E0227D">
        <w:t>will be offered to</w:t>
      </w:r>
      <w:r w:rsidR="004E6256">
        <w:t xml:space="preserve"> </w:t>
      </w:r>
      <w:r w:rsidR="004E6256" w:rsidRPr="005500DE">
        <w:t xml:space="preserve">the </w:t>
      </w:r>
      <w:r w:rsidR="00E02263">
        <w:t>approximately 1,000</w:t>
      </w:r>
      <w:r w:rsidR="00BB3A74" w:rsidRPr="005500DE">
        <w:t xml:space="preserve"> </w:t>
      </w:r>
      <w:r w:rsidR="00B850C1" w:rsidRPr="005500DE">
        <w:t>businesses currently</w:t>
      </w:r>
      <w:r w:rsidR="00B850C1">
        <w:t xml:space="preserve"> on a DBT </w:t>
      </w:r>
      <w:r w:rsidR="00BB3A74">
        <w:t xml:space="preserve">or TOU tariff </w:t>
      </w:r>
      <w:r w:rsidR="00B850C1">
        <w:t>that need to transition to a demand based tariff</w:t>
      </w:r>
      <w:r w:rsidR="00BB3A74">
        <w:t xml:space="preserve"> (see section </w:t>
      </w:r>
      <w:r w:rsidR="00BB3A74">
        <w:fldChar w:fldCharType="begin"/>
      </w:r>
      <w:r w:rsidR="00BB3A74">
        <w:instrText xml:space="preserve"> REF _Ref460933620 \r \h </w:instrText>
      </w:r>
      <w:r w:rsidR="00BB3A74">
        <w:fldChar w:fldCharType="separate"/>
      </w:r>
      <w:r w:rsidR="0073687F">
        <w:t>5.3</w:t>
      </w:r>
      <w:r w:rsidR="00BB3A74">
        <w:fldChar w:fldCharType="end"/>
      </w:r>
      <w:r w:rsidR="00BB3A74">
        <w:t>)</w:t>
      </w:r>
      <w:r w:rsidR="00B850C1">
        <w:t xml:space="preserve">. </w:t>
      </w:r>
      <w:r>
        <w:t xml:space="preserve">The tariffs and the associated eligibility criteria are shown in </w:t>
      </w:r>
      <w:r w:rsidR="009E6468">
        <w:fldChar w:fldCharType="begin"/>
      </w:r>
      <w:r w:rsidR="009E6468">
        <w:instrText xml:space="preserve"> REF _Ref432428102 \h </w:instrText>
      </w:r>
      <w:r w:rsidR="009E6468">
        <w:fldChar w:fldCharType="separate"/>
      </w:r>
      <w:r w:rsidR="0073687F" w:rsidRPr="00FA3BEB">
        <w:t xml:space="preserve">Table </w:t>
      </w:r>
      <w:r w:rsidR="0073687F">
        <w:rPr>
          <w:noProof/>
        </w:rPr>
        <w:t>4</w:t>
      </w:r>
      <w:r w:rsidR="0073687F">
        <w:noBreakHyphen/>
      </w:r>
      <w:r w:rsidR="0073687F">
        <w:rPr>
          <w:noProof/>
        </w:rPr>
        <w:t>7</w:t>
      </w:r>
      <w:r w:rsidR="009E6468">
        <w:fldChar w:fldCharType="end"/>
      </w:r>
      <w:r w:rsidR="00E967E6">
        <w:t xml:space="preserve"> </w:t>
      </w:r>
      <w:r w:rsidR="00C85FB0">
        <w:t>below.</w:t>
      </w:r>
      <w:r w:rsidR="00E967E6">
        <w:t xml:space="preserve"> </w:t>
      </w:r>
    </w:p>
    <w:p w14:paraId="4F76114D" w14:textId="4FA5ADC6" w:rsidR="00625C1E" w:rsidRPr="00FA3BEB" w:rsidRDefault="00625C1E" w:rsidP="00625C1E">
      <w:pPr>
        <w:pStyle w:val="Caption"/>
      </w:pPr>
      <w:bookmarkStart w:id="1263" w:name="_Ref432428102"/>
      <w:bookmarkStart w:id="1264" w:name="_Toc432597592"/>
      <w:bookmarkStart w:id="1265" w:name="_Toc434839502"/>
      <w:bookmarkStart w:id="1266" w:name="_Toc435177027"/>
      <w:bookmarkStart w:id="1267" w:name="_Toc435454534"/>
      <w:bookmarkStart w:id="1268" w:name="_Toc435608280"/>
      <w:bookmarkStart w:id="1269" w:name="_Toc435629498"/>
      <w:bookmarkStart w:id="1270" w:name="_Toc436127227"/>
      <w:bookmarkStart w:id="1271" w:name="_Toc436226261"/>
      <w:bookmarkStart w:id="1272" w:name="_Toc436304593"/>
      <w:bookmarkStart w:id="1273" w:name="_Toc462988231"/>
      <w:bookmarkStart w:id="1274" w:name="_Toc462994033"/>
      <w:bookmarkStart w:id="1275" w:name="_Toc463343040"/>
      <w:r w:rsidRPr="00FA3BEB">
        <w:t xml:space="preserve">Table </w:t>
      </w:r>
      <w:fldSimple w:instr=" STYLEREF 1 \s ">
        <w:r w:rsidR="0073687F">
          <w:rPr>
            <w:noProof/>
          </w:rPr>
          <w:t>4</w:t>
        </w:r>
      </w:fldSimple>
      <w:r w:rsidR="00A52BA8">
        <w:noBreakHyphen/>
      </w:r>
      <w:fldSimple w:instr=" SEQ Table \* ARABIC \s 1 ">
        <w:r w:rsidR="0073687F">
          <w:rPr>
            <w:noProof/>
          </w:rPr>
          <w:t>7</w:t>
        </w:r>
      </w:fldSimple>
      <w:bookmarkEnd w:id="1263"/>
      <w:r w:rsidRPr="00FA3BEB">
        <w:t xml:space="preserve">: </w:t>
      </w:r>
      <w:r>
        <w:t xml:space="preserve">Eligibility for </w:t>
      </w:r>
      <w:r w:rsidR="005A5B54">
        <w:t>B</w:t>
      </w:r>
      <w:r>
        <w:t xml:space="preserve">usiness </w:t>
      </w:r>
      <w:r w:rsidR="005504D5">
        <w:t xml:space="preserve">customer </w:t>
      </w:r>
      <w:r>
        <w:t>tariffs</w:t>
      </w:r>
      <w:bookmarkEnd w:id="1264"/>
      <w:bookmarkEnd w:id="1265"/>
      <w:bookmarkEnd w:id="1266"/>
      <w:bookmarkEnd w:id="1267"/>
      <w:bookmarkEnd w:id="1268"/>
      <w:bookmarkEnd w:id="1269"/>
      <w:bookmarkEnd w:id="1270"/>
      <w:bookmarkEnd w:id="1271"/>
      <w:bookmarkEnd w:id="1272"/>
      <w:bookmarkEnd w:id="1273"/>
      <w:bookmarkEnd w:id="1274"/>
      <w:bookmarkEnd w:id="1275"/>
    </w:p>
    <w:tbl>
      <w:tblPr>
        <w:tblStyle w:val="EEOrangeTable"/>
        <w:tblW w:w="10206" w:type="dxa"/>
        <w:tblInd w:w="-5" w:type="dxa"/>
        <w:tblLook w:val="04A0" w:firstRow="1" w:lastRow="0" w:firstColumn="1" w:lastColumn="0" w:noHBand="0" w:noVBand="1"/>
      </w:tblPr>
      <w:tblGrid>
        <w:gridCol w:w="2087"/>
        <w:gridCol w:w="8119"/>
      </w:tblGrid>
      <w:tr w:rsidR="00625C1E" w14:paraId="0CA7D999" w14:textId="77777777" w:rsidTr="00BA11A2">
        <w:trPr>
          <w:cnfStyle w:val="100000000000" w:firstRow="1" w:lastRow="0" w:firstColumn="0" w:lastColumn="0" w:oddVBand="0" w:evenVBand="0" w:oddHBand="0" w:evenHBand="0" w:firstRowFirstColumn="0" w:firstRowLastColumn="0" w:lastRowFirstColumn="0" w:lastRowLastColumn="0"/>
        </w:trPr>
        <w:tc>
          <w:tcPr>
            <w:tcW w:w="2087" w:type="dxa"/>
            <w:tcBorders>
              <w:bottom w:val="single" w:sz="12" w:space="0" w:color="F58025" w:themeColor="accent2"/>
              <w:right w:val="single" w:sz="4" w:space="0" w:color="FFFFFF" w:themeColor="background1"/>
            </w:tcBorders>
          </w:tcPr>
          <w:p w14:paraId="7F82A065" w14:textId="77777777" w:rsidR="00625C1E" w:rsidRPr="00C77073" w:rsidRDefault="00625C1E" w:rsidP="00F763A5">
            <w:pPr>
              <w:pStyle w:val="Tableheadingwhite"/>
            </w:pPr>
            <w:r w:rsidRPr="00C77073">
              <w:t>Tariff</w:t>
            </w:r>
          </w:p>
        </w:tc>
        <w:tc>
          <w:tcPr>
            <w:tcW w:w="8119" w:type="dxa"/>
            <w:tcBorders>
              <w:left w:val="single" w:sz="4" w:space="0" w:color="FFFFFF" w:themeColor="background1"/>
              <w:bottom w:val="single" w:sz="12" w:space="0" w:color="F58025" w:themeColor="accent2"/>
              <w:right w:val="single" w:sz="12" w:space="0" w:color="F58025" w:themeColor="accent2"/>
            </w:tcBorders>
          </w:tcPr>
          <w:p w14:paraId="51503255" w14:textId="77777777" w:rsidR="00625C1E" w:rsidRPr="00C77073" w:rsidRDefault="00625C1E" w:rsidP="00F763A5">
            <w:pPr>
              <w:pStyle w:val="Tableheadingwhite"/>
            </w:pPr>
            <w:r>
              <w:t>Eligibility</w:t>
            </w:r>
          </w:p>
        </w:tc>
      </w:tr>
      <w:tr w:rsidR="000E5336" w14:paraId="134B8D7F" w14:textId="77777777" w:rsidTr="00BA11A2">
        <w:trPr>
          <w:trHeight w:val="448"/>
        </w:trPr>
        <w:tc>
          <w:tcPr>
            <w:tcW w:w="2087" w:type="dxa"/>
            <w:tcBorders>
              <w:top w:val="single" w:sz="12" w:space="0" w:color="F58025" w:themeColor="accent2"/>
              <w:left w:val="single" w:sz="12" w:space="0" w:color="F58025" w:themeColor="accent2"/>
              <w:bottom w:val="single" w:sz="12" w:space="0" w:color="F58025" w:themeColor="accent2"/>
            </w:tcBorders>
            <w:vAlign w:val="center"/>
          </w:tcPr>
          <w:p w14:paraId="1E537995" w14:textId="7CC884F5" w:rsidR="000E5336" w:rsidRPr="00C77073" w:rsidRDefault="000E5336" w:rsidP="00F763A5">
            <w:pPr>
              <w:pStyle w:val="Bodycopytable8pt"/>
            </w:pPr>
            <w:r>
              <w:t xml:space="preserve">Low voltage – </w:t>
            </w:r>
            <w:r w:rsidR="008E3A66">
              <w:t>T</w:t>
            </w:r>
            <w:r>
              <w:t xml:space="preserve">ime of </w:t>
            </w:r>
            <w:r w:rsidR="008E3A66">
              <w:t>U</w:t>
            </w:r>
            <w:r>
              <w:t>se average daily demand</w:t>
            </w:r>
          </w:p>
        </w:tc>
        <w:tc>
          <w:tcPr>
            <w:tcW w:w="8119" w:type="dxa"/>
            <w:tcBorders>
              <w:top w:val="single" w:sz="12" w:space="0" w:color="F58025" w:themeColor="accent2"/>
              <w:bottom w:val="single" w:sz="12" w:space="0" w:color="F58025" w:themeColor="accent2"/>
              <w:right w:val="single" w:sz="12" w:space="0" w:color="F58025" w:themeColor="accent2"/>
            </w:tcBorders>
            <w:vAlign w:val="center"/>
          </w:tcPr>
          <w:p w14:paraId="036C090C" w14:textId="77777777" w:rsidR="000E5336" w:rsidRDefault="000E5336" w:rsidP="00920137">
            <w:pPr>
              <w:pStyle w:val="Bulletsnotindented8pt"/>
            </w:pPr>
            <w:r>
              <w:t>Low voltage connection</w:t>
            </w:r>
          </w:p>
          <w:p w14:paraId="3FFC720F" w14:textId="77777777" w:rsidR="00883F66" w:rsidRDefault="000E5336" w:rsidP="00920137">
            <w:pPr>
              <w:pStyle w:val="Bulletsnotindented8pt"/>
            </w:pPr>
            <w:r>
              <w:t>Business premises where consumption exceeds 160 MWh per year</w:t>
            </w:r>
          </w:p>
          <w:p w14:paraId="06968569" w14:textId="0A87E4F1" w:rsidR="008C694A" w:rsidRDefault="008C694A" w:rsidP="00920137">
            <w:pPr>
              <w:pStyle w:val="Bulletsnotindented8pt"/>
            </w:pPr>
            <w:r>
              <w:t>M</w:t>
            </w:r>
            <w:r w:rsidRPr="008C694A">
              <w:t>onthly load factor</w:t>
            </w:r>
            <w:r>
              <w:t xml:space="preserve"> greater than 60% for at least four</w:t>
            </w:r>
            <w:r w:rsidRPr="008C694A">
              <w:t xml:space="preserve"> of the most recent 12 months coinciding with a minimum on season anyt</w:t>
            </w:r>
            <w:r>
              <w:t>ime monthly demand of 1500 kVA.</w:t>
            </w:r>
          </w:p>
          <w:p w14:paraId="5D584178" w14:textId="77777777" w:rsidR="008C694A" w:rsidRDefault="008C694A" w:rsidP="00920137">
            <w:pPr>
              <w:pStyle w:val="Bulletsnotindented8pt"/>
            </w:pPr>
            <w:r>
              <w:t>I</w:t>
            </w:r>
            <w:r w:rsidRPr="008C694A">
              <w:t>ntended for c</w:t>
            </w:r>
            <w:r>
              <w:t>ustomers with a seasonal demand</w:t>
            </w:r>
          </w:p>
          <w:p w14:paraId="5FDF4449" w14:textId="0669120C" w:rsidR="0021457A" w:rsidRPr="00C77073" w:rsidRDefault="0021457A" w:rsidP="00920137">
            <w:pPr>
              <w:pStyle w:val="Bulletsnotindented8pt"/>
            </w:pPr>
            <w:r>
              <w:t>Interval capable meter</w:t>
            </w:r>
          </w:p>
        </w:tc>
      </w:tr>
      <w:tr w:rsidR="008C694A" w14:paraId="0A444B48" w14:textId="77777777" w:rsidTr="00E0227D">
        <w:trPr>
          <w:trHeight w:val="375"/>
        </w:trPr>
        <w:tc>
          <w:tcPr>
            <w:tcW w:w="2087" w:type="dxa"/>
            <w:tcBorders>
              <w:top w:val="single" w:sz="12" w:space="0" w:color="F58025" w:themeColor="accent2"/>
              <w:left w:val="single" w:sz="12" w:space="0" w:color="F58025" w:themeColor="accent2"/>
              <w:bottom w:val="single" w:sz="12" w:space="0" w:color="F58025" w:themeColor="accent2"/>
            </w:tcBorders>
            <w:shd w:val="clear" w:color="auto" w:fill="FDE5D3" w:themeFill="accent2" w:themeFillTint="33"/>
            <w:vAlign w:val="center"/>
          </w:tcPr>
          <w:p w14:paraId="548006F8" w14:textId="16313AA1" w:rsidR="008C694A" w:rsidRPr="00C77073" w:rsidRDefault="008C694A" w:rsidP="008E3A66">
            <w:pPr>
              <w:pStyle w:val="Bodycopytable8pt"/>
            </w:pPr>
            <w:r w:rsidRPr="00E0227D">
              <w:t xml:space="preserve">Low voltage – </w:t>
            </w:r>
            <w:r w:rsidR="008E3A66" w:rsidRPr="00E0227D">
              <w:t>T</w:t>
            </w:r>
            <w:r w:rsidRPr="00E0227D">
              <w:t>ime o</w:t>
            </w:r>
            <w:r w:rsidR="008E3A66" w:rsidRPr="00E0227D">
              <w:t>f U</w:t>
            </w:r>
            <w:r w:rsidRPr="00E0227D">
              <w:t>se three rate demand</w:t>
            </w:r>
          </w:p>
        </w:tc>
        <w:tc>
          <w:tcPr>
            <w:tcW w:w="8119" w:type="dxa"/>
            <w:vMerge w:val="restart"/>
            <w:tcBorders>
              <w:top w:val="single" w:sz="12" w:space="0" w:color="F58025" w:themeColor="accent2"/>
              <w:right w:val="single" w:sz="12" w:space="0" w:color="F58025" w:themeColor="accent2"/>
            </w:tcBorders>
            <w:shd w:val="clear" w:color="auto" w:fill="FDE5D3" w:themeFill="accent2" w:themeFillTint="33"/>
            <w:vAlign w:val="center"/>
          </w:tcPr>
          <w:p w14:paraId="7F5D61EC" w14:textId="77777777" w:rsidR="008C694A" w:rsidRDefault="008C694A" w:rsidP="00920137">
            <w:pPr>
              <w:pStyle w:val="Bulletsnotindented8pt"/>
            </w:pPr>
            <w:r>
              <w:t>Low voltage connection</w:t>
            </w:r>
          </w:p>
          <w:p w14:paraId="6F4D308F" w14:textId="77777777" w:rsidR="008C694A" w:rsidRDefault="008C694A" w:rsidP="00920137">
            <w:pPr>
              <w:pStyle w:val="Bulletsnotindented8pt"/>
            </w:pPr>
            <w:r>
              <w:t>Business premises where consumption exceeds 160 MWh per year</w:t>
            </w:r>
            <w:r w:rsidDel="005D1435">
              <w:t xml:space="preserve"> </w:t>
            </w:r>
          </w:p>
          <w:p w14:paraId="15376C59" w14:textId="5AF460DA" w:rsidR="008C694A" w:rsidRPr="00C77073" w:rsidRDefault="008C694A" w:rsidP="00920137">
            <w:pPr>
              <w:pStyle w:val="Bulletsnotindented8pt"/>
            </w:pPr>
            <w:r>
              <w:t>Interval capable meter</w:t>
            </w:r>
          </w:p>
        </w:tc>
      </w:tr>
      <w:tr w:rsidR="008C694A" w14:paraId="464EC683" w14:textId="77777777" w:rsidTr="00E0227D">
        <w:trPr>
          <w:trHeight w:val="371"/>
        </w:trPr>
        <w:tc>
          <w:tcPr>
            <w:tcW w:w="2087" w:type="dxa"/>
            <w:tcBorders>
              <w:top w:val="single" w:sz="12" w:space="0" w:color="F58025" w:themeColor="accent2"/>
              <w:left w:val="single" w:sz="12" w:space="0" w:color="F58025" w:themeColor="accent2"/>
              <w:bottom w:val="single" w:sz="12" w:space="0" w:color="F58025" w:themeColor="accent2"/>
            </w:tcBorders>
            <w:shd w:val="clear" w:color="auto" w:fill="FDE5D3" w:themeFill="accent2" w:themeFillTint="33"/>
            <w:vAlign w:val="center"/>
          </w:tcPr>
          <w:p w14:paraId="7908BE6D" w14:textId="782BD2FC" w:rsidR="008C694A" w:rsidRDefault="008E3A66">
            <w:pPr>
              <w:pStyle w:val="Bodycopytable8pt"/>
            </w:pPr>
            <w:r>
              <w:t>Low voltage – Time of U</w:t>
            </w:r>
            <w:r w:rsidR="008C694A">
              <w:t>se demand alternative</w:t>
            </w:r>
          </w:p>
        </w:tc>
        <w:tc>
          <w:tcPr>
            <w:tcW w:w="8119" w:type="dxa"/>
            <w:vMerge/>
            <w:tcBorders>
              <w:bottom w:val="single" w:sz="12" w:space="0" w:color="F58025" w:themeColor="accent2"/>
              <w:right w:val="single" w:sz="12" w:space="0" w:color="F58025" w:themeColor="accent2"/>
            </w:tcBorders>
            <w:shd w:val="clear" w:color="auto" w:fill="FDE5D3" w:themeFill="accent2" w:themeFillTint="33"/>
            <w:vAlign w:val="center"/>
          </w:tcPr>
          <w:p w14:paraId="7D447523" w14:textId="7C74690F" w:rsidR="008C694A" w:rsidRPr="00C77073" w:rsidRDefault="008C694A" w:rsidP="00920137">
            <w:pPr>
              <w:pStyle w:val="Bulletsnotindented8pt"/>
            </w:pPr>
          </w:p>
        </w:tc>
      </w:tr>
      <w:tr w:rsidR="00E0227D" w14:paraId="46A61F27" w14:textId="77777777" w:rsidTr="00E0227D">
        <w:trPr>
          <w:trHeight w:val="1201"/>
        </w:trPr>
        <w:tc>
          <w:tcPr>
            <w:tcW w:w="2087" w:type="dxa"/>
            <w:tcBorders>
              <w:top w:val="single" w:sz="12" w:space="0" w:color="F58025" w:themeColor="accent2"/>
              <w:left w:val="single" w:sz="12" w:space="0" w:color="F58025" w:themeColor="accent2"/>
              <w:bottom w:val="single" w:sz="12" w:space="0" w:color="F58025" w:themeColor="accent2"/>
            </w:tcBorders>
            <w:shd w:val="clear" w:color="auto" w:fill="FFFFFF" w:themeFill="background1"/>
            <w:vAlign w:val="center"/>
          </w:tcPr>
          <w:p w14:paraId="26F1F8D1" w14:textId="69A15E9C" w:rsidR="00E0227D" w:rsidRPr="00B850C1" w:rsidRDefault="00E0227D" w:rsidP="00BB3A74">
            <w:pPr>
              <w:pStyle w:val="Bodycopytable8pt"/>
              <w:rPr>
                <w:highlight w:val="yellow"/>
              </w:rPr>
            </w:pPr>
            <w:r w:rsidRPr="00E0227D">
              <w:rPr>
                <w:i/>
              </w:rPr>
              <w:t>Transitional</w:t>
            </w:r>
            <w:r w:rsidR="00BB3A74">
              <w:t xml:space="preserve"> </w:t>
            </w:r>
            <w:r w:rsidRPr="00E0227D">
              <w:t>–</w:t>
            </w:r>
            <w:r w:rsidR="00BB3A74">
              <w:t xml:space="preserve"> D</w:t>
            </w:r>
            <w:r w:rsidRPr="00E0227D">
              <w:t>emand</w:t>
            </w:r>
          </w:p>
        </w:tc>
        <w:tc>
          <w:tcPr>
            <w:tcW w:w="8119" w:type="dxa"/>
            <w:tcBorders>
              <w:bottom w:val="single" w:sz="12" w:space="0" w:color="F58025" w:themeColor="accent2"/>
              <w:right w:val="single" w:sz="12" w:space="0" w:color="F58025" w:themeColor="accent2"/>
            </w:tcBorders>
            <w:shd w:val="clear" w:color="auto" w:fill="FFFFFF" w:themeFill="background1"/>
            <w:vAlign w:val="center"/>
          </w:tcPr>
          <w:p w14:paraId="644B6224" w14:textId="35E5A275" w:rsidR="00E0227D" w:rsidRDefault="00E0227D" w:rsidP="00EB6557">
            <w:pPr>
              <w:pStyle w:val="Bulletsnotindented8pt"/>
            </w:pPr>
            <w:r>
              <w:t xml:space="preserve">Customer on a declining block tariff </w:t>
            </w:r>
            <w:r w:rsidR="00BB3A74">
              <w:t xml:space="preserve">or time-of-use tariff </w:t>
            </w:r>
            <w:r>
              <w:t>at 30 June 2017</w:t>
            </w:r>
            <w:r w:rsidR="00BB3A74">
              <w:t xml:space="preserve">, but no longer meets the associated eligibility requirements for that tariff </w:t>
            </w:r>
            <w:r w:rsidR="009E3B90">
              <w:t>from 1 July 2017</w:t>
            </w:r>
            <w:r w:rsidR="00B6416E">
              <w:t xml:space="preserve"> and is worse off under the </w:t>
            </w:r>
            <w:r w:rsidR="00990D79">
              <w:t>applicable</w:t>
            </w:r>
            <w:r w:rsidR="00B6416E">
              <w:t xml:space="preserve"> Low voltage – </w:t>
            </w:r>
            <w:r w:rsidR="00990D79">
              <w:t>t</w:t>
            </w:r>
            <w:r w:rsidR="00B6416E">
              <w:t>ime of use demand</w:t>
            </w:r>
            <w:r w:rsidR="006579E7">
              <w:t xml:space="preserve"> </w:t>
            </w:r>
            <w:r w:rsidR="00633C2D">
              <w:t xml:space="preserve">three rate demand </w:t>
            </w:r>
            <w:r w:rsidR="00B6416E">
              <w:t>tariff at that date.</w:t>
            </w:r>
          </w:p>
          <w:p w14:paraId="30DA4546" w14:textId="3B00E3DB" w:rsidR="00E0227D" w:rsidRDefault="00E0227D" w:rsidP="00EB6557">
            <w:pPr>
              <w:pStyle w:val="Bulletsnotindented8pt"/>
            </w:pPr>
            <w:r>
              <w:t>Low voltage connection</w:t>
            </w:r>
          </w:p>
          <w:p w14:paraId="40A052FD" w14:textId="77777777" w:rsidR="00E0227D" w:rsidRPr="00461570" w:rsidRDefault="00E0227D" w:rsidP="00EB6557">
            <w:pPr>
              <w:pStyle w:val="Bulletsnotindented8pt"/>
            </w:pPr>
            <w:r w:rsidRPr="00461570">
              <w:t>Business premises where consumption exceeds 160 MWh per year</w:t>
            </w:r>
            <w:r w:rsidRPr="00461570" w:rsidDel="005D1435">
              <w:t xml:space="preserve"> </w:t>
            </w:r>
          </w:p>
          <w:p w14:paraId="2BE33647" w14:textId="14BAD12A" w:rsidR="00E0227D" w:rsidRPr="00C77073" w:rsidRDefault="00E0227D" w:rsidP="00EB6557">
            <w:pPr>
              <w:pStyle w:val="Bulletsnotindented8pt"/>
            </w:pPr>
            <w:r>
              <w:t>Interval capable meter</w:t>
            </w:r>
          </w:p>
        </w:tc>
      </w:tr>
    </w:tbl>
    <w:p w14:paraId="03B2A2A0" w14:textId="77777777" w:rsidR="00B850C1" w:rsidRDefault="00B850C1" w:rsidP="00B850C1">
      <w:pPr>
        <w:pStyle w:val="Bodycopy"/>
      </w:pPr>
    </w:p>
    <w:p w14:paraId="70596998" w14:textId="534EA6FC" w:rsidR="00461570" w:rsidRDefault="00B850C1" w:rsidP="00B850C1">
      <w:pPr>
        <w:pStyle w:val="Bodycopy"/>
      </w:pPr>
      <w:r w:rsidRPr="000E1434">
        <w:t xml:space="preserve">The associated </w:t>
      </w:r>
      <w:r>
        <w:t xml:space="preserve">tariff structures and charging parameters for our Business customer tariffs are shown in </w:t>
      </w:r>
      <w:r>
        <w:fldChar w:fldCharType="begin"/>
      </w:r>
      <w:r>
        <w:instrText xml:space="preserve"> REF _Ref459887601 \h </w:instrText>
      </w:r>
      <w:r>
        <w:fldChar w:fldCharType="separate"/>
      </w:r>
      <w:r w:rsidR="0073687F">
        <w:t xml:space="preserve">Table </w:t>
      </w:r>
      <w:r w:rsidR="0073687F">
        <w:rPr>
          <w:noProof/>
        </w:rPr>
        <w:t>4</w:t>
      </w:r>
      <w:r w:rsidR="0073687F">
        <w:noBreakHyphen/>
      </w:r>
      <w:r w:rsidR="0073687F">
        <w:rPr>
          <w:noProof/>
        </w:rPr>
        <w:t>8</w:t>
      </w:r>
      <w:r>
        <w:fldChar w:fldCharType="end"/>
      </w:r>
      <w:r>
        <w:t xml:space="preserve"> on the following page.</w:t>
      </w:r>
      <w:r w:rsidRPr="005A5B54">
        <w:t xml:space="preserve"> </w:t>
      </w:r>
      <w:r w:rsidRPr="00461570">
        <w:t>The structures are identical to our existing tariffs for Business customers</w:t>
      </w:r>
      <w:r w:rsidR="00014B47" w:rsidRPr="00461570">
        <w:t xml:space="preserve">, except for the </w:t>
      </w:r>
      <w:r w:rsidR="00461570" w:rsidRPr="00461570">
        <w:t>change in charging</w:t>
      </w:r>
      <w:r w:rsidR="00461570">
        <w:t xml:space="preserve"> windows. The morning peak has been removed and replaced with </w:t>
      </w:r>
      <w:r w:rsidR="007618B1">
        <w:t xml:space="preserve">an extension of the day-time </w:t>
      </w:r>
      <w:r w:rsidR="00E02263">
        <w:t>shoulder</w:t>
      </w:r>
      <w:r w:rsidR="00461570">
        <w:t xml:space="preserve"> </w:t>
      </w:r>
      <w:r w:rsidR="007618B1">
        <w:t>window</w:t>
      </w:r>
      <w:r w:rsidR="00870C46">
        <w:t>,</w:t>
      </w:r>
      <w:r w:rsidR="00461570">
        <w:t xml:space="preserve"> in line with our network </w:t>
      </w:r>
      <w:r w:rsidR="00B6416E">
        <w:t xml:space="preserve">use </w:t>
      </w:r>
      <w:r w:rsidR="00461570">
        <w:t>analysis</w:t>
      </w:r>
      <w:r w:rsidR="00B6416E">
        <w:t xml:space="preserve"> and the AER’s feedback in its draft decision</w:t>
      </w:r>
      <w:r>
        <w:t xml:space="preserve">. </w:t>
      </w:r>
    </w:p>
    <w:p w14:paraId="32296FD2" w14:textId="5725D814" w:rsidR="00461570" w:rsidRDefault="00B850C1" w:rsidP="00B850C1">
      <w:pPr>
        <w:pStyle w:val="Bodycopy"/>
      </w:pPr>
      <w:r>
        <w:t xml:space="preserve">As mentioned in section </w:t>
      </w:r>
      <w:r>
        <w:fldChar w:fldCharType="begin"/>
      </w:r>
      <w:r>
        <w:instrText xml:space="preserve"> REF _Ref459887730 \r \h </w:instrText>
      </w:r>
      <w:r>
        <w:fldChar w:fldCharType="separate"/>
      </w:r>
      <w:r w:rsidR="0073687F">
        <w:t>4.1</w:t>
      </w:r>
      <w:r>
        <w:fldChar w:fldCharType="end"/>
      </w:r>
      <w:r>
        <w:t xml:space="preserve">, the </w:t>
      </w:r>
      <w:r w:rsidR="00014B47" w:rsidRPr="00014B47">
        <w:t>T</w:t>
      </w:r>
      <w:r w:rsidRPr="00014B47">
        <w:t>ransitional</w:t>
      </w:r>
      <w:r w:rsidR="00E0227D" w:rsidRPr="00014B47">
        <w:t xml:space="preserve"> </w:t>
      </w:r>
      <w:r w:rsidR="00014B47" w:rsidRPr="00014B47">
        <w:t>–</w:t>
      </w:r>
      <w:r w:rsidR="00014B47">
        <w:t xml:space="preserve"> Demand </w:t>
      </w:r>
      <w:r w:rsidR="00E0227D">
        <w:t>tariff has</w:t>
      </w:r>
      <w:r>
        <w:t xml:space="preserve"> the same structure as the associated </w:t>
      </w:r>
      <w:r w:rsidR="000C1B28">
        <w:t xml:space="preserve">TOU three rate demand </w:t>
      </w:r>
      <w:r>
        <w:t>Business tariff</w:t>
      </w:r>
      <w:r w:rsidR="00870C46">
        <w:t>; however,</w:t>
      </w:r>
      <w:r>
        <w:t xml:space="preserve"> the weighting of the tariff components differs.</w:t>
      </w:r>
      <w:bookmarkStart w:id="1276" w:name="_Ref435438896"/>
      <w:bookmarkStart w:id="1277" w:name="_Toc434839503"/>
      <w:bookmarkStart w:id="1278" w:name="_Toc435177028"/>
      <w:bookmarkStart w:id="1279" w:name="_Toc435454535"/>
      <w:bookmarkStart w:id="1280" w:name="_Toc435608281"/>
      <w:bookmarkStart w:id="1281" w:name="_Toc435629499"/>
      <w:bookmarkStart w:id="1282" w:name="_Toc436127228"/>
      <w:bookmarkStart w:id="1283" w:name="_Toc436226262"/>
      <w:bookmarkStart w:id="1284" w:name="_Toc436304594"/>
    </w:p>
    <w:p w14:paraId="5723880F" w14:textId="77777777" w:rsidR="00461570" w:rsidRDefault="00461570">
      <w:pPr>
        <w:rPr>
          <w:rFonts w:cs="ITC Franklin Gothic LT Medium"/>
          <w:color w:val="000000"/>
          <w:szCs w:val="20"/>
          <w:lang w:val="en-GB"/>
        </w:rPr>
      </w:pPr>
      <w:r>
        <w:br w:type="page"/>
      </w:r>
    </w:p>
    <w:p w14:paraId="68B5EC34" w14:textId="70E17441" w:rsidR="002B4D5E" w:rsidRDefault="002B4D5E" w:rsidP="002B4D5E">
      <w:pPr>
        <w:pStyle w:val="Caption"/>
        <w:rPr>
          <w:highlight w:val="cyan"/>
        </w:rPr>
      </w:pPr>
      <w:bookmarkStart w:id="1285" w:name="_Ref459887601"/>
      <w:bookmarkStart w:id="1286" w:name="_Toc462988232"/>
      <w:bookmarkStart w:id="1287" w:name="_Toc462994034"/>
      <w:bookmarkStart w:id="1288" w:name="_Toc463343041"/>
      <w:r>
        <w:lastRenderedPageBreak/>
        <w:t xml:space="preserve">Table </w:t>
      </w:r>
      <w:fldSimple w:instr=" STYLEREF 1 \s ">
        <w:r w:rsidR="0073687F">
          <w:rPr>
            <w:noProof/>
          </w:rPr>
          <w:t>4</w:t>
        </w:r>
      </w:fldSimple>
      <w:r w:rsidR="00A52BA8">
        <w:noBreakHyphen/>
      </w:r>
      <w:fldSimple w:instr=" SEQ Table \* ARABIC \s 1 ">
        <w:r w:rsidR="0073687F">
          <w:rPr>
            <w:noProof/>
          </w:rPr>
          <w:t>8</w:t>
        </w:r>
      </w:fldSimple>
      <w:bookmarkEnd w:id="1276"/>
      <w:bookmarkEnd w:id="1285"/>
      <w:r>
        <w:t>: Business customers proposed network tariff structures</w:t>
      </w:r>
      <w:r w:rsidR="00986150">
        <w:t xml:space="preserve"> and charging parameters</w:t>
      </w:r>
      <w:bookmarkEnd w:id="1277"/>
      <w:bookmarkEnd w:id="1278"/>
      <w:bookmarkEnd w:id="1279"/>
      <w:bookmarkEnd w:id="1280"/>
      <w:bookmarkEnd w:id="1281"/>
      <w:bookmarkEnd w:id="1282"/>
      <w:bookmarkEnd w:id="1283"/>
      <w:bookmarkEnd w:id="1284"/>
      <w:bookmarkEnd w:id="1286"/>
      <w:bookmarkEnd w:id="1287"/>
      <w:bookmarkEnd w:id="1288"/>
    </w:p>
    <w:tbl>
      <w:tblPr>
        <w:tblStyle w:val="EEOrangeTable"/>
        <w:tblW w:w="10206" w:type="dxa"/>
        <w:tblInd w:w="-5" w:type="dxa"/>
        <w:tblLayout w:type="fixed"/>
        <w:tblLook w:val="04A0" w:firstRow="1" w:lastRow="0" w:firstColumn="1" w:lastColumn="0" w:noHBand="0" w:noVBand="1"/>
      </w:tblPr>
      <w:tblGrid>
        <w:gridCol w:w="2122"/>
        <w:gridCol w:w="1134"/>
        <w:gridCol w:w="1134"/>
        <w:gridCol w:w="5816"/>
      </w:tblGrid>
      <w:tr w:rsidR="00663BE3" w:rsidRPr="00C77073" w14:paraId="22C0E4B6" w14:textId="77777777" w:rsidTr="00BA11A2">
        <w:trPr>
          <w:cnfStyle w:val="100000000000" w:firstRow="1" w:lastRow="0" w:firstColumn="0" w:lastColumn="0" w:oddVBand="0" w:evenVBand="0" w:oddHBand="0" w:evenHBand="0" w:firstRowFirstColumn="0" w:firstRowLastColumn="0" w:lastRowFirstColumn="0" w:lastRowLastColumn="0"/>
          <w:tblHeader/>
        </w:trPr>
        <w:tc>
          <w:tcPr>
            <w:tcW w:w="2122" w:type="dxa"/>
            <w:tcBorders>
              <w:right w:val="single" w:sz="4" w:space="0" w:color="FFFFFF" w:themeColor="background1"/>
            </w:tcBorders>
          </w:tcPr>
          <w:p w14:paraId="26337D5B" w14:textId="77777777" w:rsidR="00663BE3" w:rsidRPr="00BA11A2" w:rsidRDefault="00663BE3" w:rsidP="00BA11A2">
            <w:pPr>
              <w:pStyle w:val="Tableheadingwhite"/>
              <w:rPr>
                <w:sz w:val="16"/>
              </w:rPr>
            </w:pPr>
            <w:r w:rsidRPr="00BA11A2">
              <w:t>Tariff</w:t>
            </w:r>
          </w:p>
        </w:tc>
        <w:tc>
          <w:tcPr>
            <w:tcW w:w="1134" w:type="dxa"/>
            <w:tcBorders>
              <w:left w:val="single" w:sz="4" w:space="0" w:color="FFFFFF" w:themeColor="background1"/>
              <w:right w:val="single" w:sz="4" w:space="0" w:color="FFFFFF" w:themeColor="background1"/>
            </w:tcBorders>
          </w:tcPr>
          <w:p w14:paraId="205CC635" w14:textId="77777777" w:rsidR="00663BE3" w:rsidRPr="00C77073" w:rsidRDefault="00663BE3" w:rsidP="00A950FB">
            <w:pPr>
              <w:pStyle w:val="Tableheadingwhite"/>
            </w:pPr>
            <w:r>
              <w:t>Tariff structure</w:t>
            </w:r>
          </w:p>
        </w:tc>
        <w:tc>
          <w:tcPr>
            <w:tcW w:w="1134" w:type="dxa"/>
            <w:tcBorders>
              <w:left w:val="single" w:sz="4" w:space="0" w:color="FFFFFF" w:themeColor="background1"/>
              <w:right w:val="single" w:sz="4" w:space="0" w:color="FFFFFF" w:themeColor="background1"/>
            </w:tcBorders>
          </w:tcPr>
          <w:p w14:paraId="485E5FBA" w14:textId="0B11B01C" w:rsidR="00663BE3" w:rsidRDefault="00663BE3" w:rsidP="00A950FB">
            <w:pPr>
              <w:pStyle w:val="Tableheadingwhite"/>
            </w:pPr>
            <w:r>
              <w:t>Measure</w:t>
            </w:r>
          </w:p>
        </w:tc>
        <w:tc>
          <w:tcPr>
            <w:tcW w:w="5816" w:type="dxa"/>
            <w:tcBorders>
              <w:left w:val="single" w:sz="4" w:space="0" w:color="FFFFFF" w:themeColor="background1"/>
              <w:right w:val="single" w:sz="12" w:space="0" w:color="F58025" w:themeColor="accent2"/>
            </w:tcBorders>
          </w:tcPr>
          <w:p w14:paraId="222C90EF" w14:textId="6E3D7FD7" w:rsidR="00663BE3" w:rsidRPr="00C77073" w:rsidRDefault="00663BE3" w:rsidP="00A950FB">
            <w:pPr>
              <w:pStyle w:val="Tableheadingwhite"/>
            </w:pPr>
            <w:r>
              <w:t>Charging parameter</w:t>
            </w:r>
          </w:p>
        </w:tc>
      </w:tr>
      <w:tr w:rsidR="00A41B98" w:rsidRPr="00C77073" w14:paraId="28E4DA5F" w14:textId="77777777" w:rsidTr="00BA11A2">
        <w:tc>
          <w:tcPr>
            <w:tcW w:w="2122" w:type="dxa"/>
            <w:vMerge w:val="restart"/>
            <w:tcBorders>
              <w:left w:val="single" w:sz="12" w:space="0" w:color="F58025" w:themeColor="accent2"/>
            </w:tcBorders>
            <w:vAlign w:val="center"/>
          </w:tcPr>
          <w:p w14:paraId="5D12E352" w14:textId="3204310D" w:rsidR="00205C5B" w:rsidRPr="00C77073" w:rsidRDefault="00A41B98" w:rsidP="00A950FB">
            <w:pPr>
              <w:pStyle w:val="Bodycopytable8pt"/>
            </w:pPr>
            <w:r>
              <w:t xml:space="preserve">Low voltage – </w:t>
            </w:r>
            <w:r w:rsidR="008E3A66">
              <w:t>T</w:t>
            </w:r>
            <w:r>
              <w:t xml:space="preserve">ime of </w:t>
            </w:r>
            <w:r w:rsidR="008E3A66">
              <w:t>U</w:t>
            </w:r>
            <w:r>
              <w:t>se average daily demand</w:t>
            </w:r>
          </w:p>
        </w:tc>
        <w:tc>
          <w:tcPr>
            <w:tcW w:w="1134" w:type="dxa"/>
            <w:vAlign w:val="center"/>
          </w:tcPr>
          <w:p w14:paraId="38A7AC63" w14:textId="77777777" w:rsidR="00A41B98" w:rsidRPr="00C77073" w:rsidRDefault="00A41B98" w:rsidP="00A950FB">
            <w:pPr>
              <w:pStyle w:val="Bodycopytable8pt"/>
            </w:pPr>
            <w:r>
              <w:t>Fixed</w:t>
            </w:r>
          </w:p>
        </w:tc>
        <w:tc>
          <w:tcPr>
            <w:tcW w:w="1134" w:type="dxa"/>
          </w:tcPr>
          <w:p w14:paraId="3323E65F" w14:textId="0CE32004" w:rsidR="00A41B98" w:rsidRDefault="00A41B98" w:rsidP="00A950FB">
            <w:pPr>
              <w:pStyle w:val="Bodycopytable8pt"/>
            </w:pPr>
            <w:r>
              <w:t>$/day</w:t>
            </w:r>
          </w:p>
        </w:tc>
        <w:tc>
          <w:tcPr>
            <w:tcW w:w="5816" w:type="dxa"/>
            <w:tcBorders>
              <w:right w:val="single" w:sz="12" w:space="0" w:color="F58025" w:themeColor="accent2"/>
            </w:tcBorders>
          </w:tcPr>
          <w:p w14:paraId="138D2583" w14:textId="0C9B0BE4" w:rsidR="00A41B98" w:rsidRPr="00C77073" w:rsidRDefault="00A41B98" w:rsidP="00A950FB">
            <w:pPr>
              <w:pStyle w:val="Bodycopytable8pt"/>
            </w:pPr>
            <w:r>
              <w:t>Network access charge reflecting a fixed amount per day</w:t>
            </w:r>
          </w:p>
        </w:tc>
      </w:tr>
      <w:tr w:rsidR="00A41B98" w:rsidRPr="00C77073" w14:paraId="0E7E241C" w14:textId="77777777" w:rsidTr="00BA11A2">
        <w:tc>
          <w:tcPr>
            <w:tcW w:w="2122" w:type="dxa"/>
            <w:vMerge/>
            <w:tcBorders>
              <w:left w:val="single" w:sz="12" w:space="0" w:color="F58025" w:themeColor="accent2"/>
              <w:bottom w:val="single" w:sz="12" w:space="0" w:color="F58025" w:themeColor="accent2"/>
            </w:tcBorders>
          </w:tcPr>
          <w:p w14:paraId="4FA99B8C" w14:textId="77777777" w:rsidR="00A41B98" w:rsidRPr="00C77073" w:rsidRDefault="00A41B98" w:rsidP="00A950FB">
            <w:pPr>
              <w:pStyle w:val="Bodycopytable8pt"/>
            </w:pPr>
          </w:p>
        </w:tc>
        <w:tc>
          <w:tcPr>
            <w:tcW w:w="1134" w:type="dxa"/>
            <w:tcBorders>
              <w:bottom w:val="single" w:sz="4" w:space="0" w:color="F58025" w:themeColor="accent2"/>
            </w:tcBorders>
            <w:vAlign w:val="center"/>
          </w:tcPr>
          <w:p w14:paraId="38C12ECA" w14:textId="1171BFA6" w:rsidR="00A41B98" w:rsidRDefault="00A41B98" w:rsidP="00A950FB">
            <w:pPr>
              <w:pStyle w:val="Bodycopytable8pt"/>
            </w:pPr>
            <w:r>
              <w:t>Energy</w:t>
            </w:r>
          </w:p>
        </w:tc>
        <w:tc>
          <w:tcPr>
            <w:tcW w:w="1134" w:type="dxa"/>
            <w:tcBorders>
              <w:bottom w:val="single" w:sz="4" w:space="0" w:color="F58025" w:themeColor="accent2"/>
            </w:tcBorders>
            <w:vAlign w:val="center"/>
          </w:tcPr>
          <w:p w14:paraId="662CC88F" w14:textId="004FEB49" w:rsidR="00A41B98" w:rsidRDefault="00A41B98" w:rsidP="00A950FB">
            <w:pPr>
              <w:pStyle w:val="Bodycopytable8pt"/>
            </w:pPr>
            <w:r>
              <w:t>c/kWh</w:t>
            </w:r>
          </w:p>
        </w:tc>
        <w:tc>
          <w:tcPr>
            <w:tcW w:w="5816" w:type="dxa"/>
            <w:tcBorders>
              <w:bottom w:val="single" w:sz="4" w:space="0" w:color="F58025" w:themeColor="accent2"/>
              <w:right w:val="single" w:sz="12" w:space="0" w:color="F58025" w:themeColor="accent2"/>
            </w:tcBorders>
          </w:tcPr>
          <w:p w14:paraId="0EBC6942" w14:textId="77777777" w:rsidR="00A41B98" w:rsidRPr="00EF351F" w:rsidRDefault="00A41B98" w:rsidP="00A41B98">
            <w:pPr>
              <w:pStyle w:val="Bodycopytable8pt"/>
            </w:pPr>
            <w:r w:rsidRPr="00EF351F">
              <w:t>Peak, shoulder and off-peak rate based on energy consumed in each period</w:t>
            </w:r>
          </w:p>
          <w:p w14:paraId="6D1EC00C" w14:textId="1CAC0882" w:rsidR="00A41B98" w:rsidRPr="00EF351F" w:rsidRDefault="00A41B98" w:rsidP="00920137">
            <w:pPr>
              <w:pStyle w:val="Bulletsnotindented8pt"/>
            </w:pPr>
            <w:r w:rsidRPr="00EF351F">
              <w:t>Peak period is from 5pm to 8pm on weekdays</w:t>
            </w:r>
          </w:p>
          <w:p w14:paraId="4FBA799B" w14:textId="3EDC831A" w:rsidR="00A41B98" w:rsidRPr="00EF351F" w:rsidRDefault="00313C2C" w:rsidP="00920137">
            <w:pPr>
              <w:pStyle w:val="Bulletsnotindented8pt"/>
            </w:pPr>
            <w:r w:rsidRPr="00EF351F">
              <w:t xml:space="preserve">Shoulder period </w:t>
            </w:r>
            <w:r w:rsidR="00A41B98" w:rsidRPr="00EF351F">
              <w:t xml:space="preserve">is from </w:t>
            </w:r>
            <w:r w:rsidR="00A3543E">
              <w:t>7</w:t>
            </w:r>
            <w:r w:rsidR="00A41B98" w:rsidRPr="00EF351F">
              <w:t>am to 5pm and 8pm to 10pm on weekdays</w:t>
            </w:r>
          </w:p>
          <w:p w14:paraId="5F16F33C" w14:textId="3FD802DB" w:rsidR="00A41B98" w:rsidRPr="00EF351F" w:rsidRDefault="00A41B98" w:rsidP="00920137">
            <w:pPr>
              <w:pStyle w:val="Bulletsnotindented8pt"/>
            </w:pPr>
            <w:r w:rsidRPr="00EF351F">
              <w:t>Off peak period is at all other times</w:t>
            </w:r>
          </w:p>
        </w:tc>
      </w:tr>
      <w:tr w:rsidR="00663BE3" w:rsidRPr="00C77073" w14:paraId="75AED692" w14:textId="77777777" w:rsidTr="00BA11A2">
        <w:tc>
          <w:tcPr>
            <w:tcW w:w="2122" w:type="dxa"/>
            <w:vMerge/>
            <w:tcBorders>
              <w:left w:val="single" w:sz="12" w:space="0" w:color="F58025" w:themeColor="accent2"/>
              <w:bottom w:val="single" w:sz="12" w:space="0" w:color="F58025" w:themeColor="accent2"/>
            </w:tcBorders>
          </w:tcPr>
          <w:p w14:paraId="6E9A48CC" w14:textId="77777777" w:rsidR="00663BE3" w:rsidRPr="00C77073" w:rsidRDefault="00663BE3" w:rsidP="00A950FB">
            <w:pPr>
              <w:pStyle w:val="Bodycopytable8pt"/>
            </w:pPr>
          </w:p>
        </w:tc>
        <w:tc>
          <w:tcPr>
            <w:tcW w:w="1134" w:type="dxa"/>
            <w:tcBorders>
              <w:bottom w:val="single" w:sz="12" w:space="0" w:color="F58025" w:themeColor="accent2"/>
            </w:tcBorders>
            <w:vAlign w:val="center"/>
          </w:tcPr>
          <w:p w14:paraId="2FE7B598" w14:textId="77777777" w:rsidR="00663BE3" w:rsidRPr="00C77073" w:rsidRDefault="00663BE3" w:rsidP="00A950FB">
            <w:pPr>
              <w:pStyle w:val="Bodycopytable8pt"/>
            </w:pPr>
            <w:r>
              <w:t>Demand</w:t>
            </w:r>
          </w:p>
        </w:tc>
        <w:tc>
          <w:tcPr>
            <w:tcW w:w="1134" w:type="dxa"/>
            <w:tcBorders>
              <w:bottom w:val="single" w:sz="12" w:space="0" w:color="F58025" w:themeColor="accent2"/>
            </w:tcBorders>
            <w:vAlign w:val="center"/>
          </w:tcPr>
          <w:p w14:paraId="116C4008" w14:textId="673AB07C" w:rsidR="00663BE3" w:rsidRDefault="00A41B98" w:rsidP="00986150">
            <w:pPr>
              <w:pStyle w:val="Bodycopytable8pt"/>
            </w:pPr>
            <w:r>
              <w:t>$</w:t>
            </w:r>
            <w:r w:rsidR="00986150">
              <w:t>/kVA</w:t>
            </w:r>
          </w:p>
        </w:tc>
        <w:tc>
          <w:tcPr>
            <w:tcW w:w="5816" w:type="dxa"/>
            <w:tcBorders>
              <w:bottom w:val="single" w:sz="12" w:space="0" w:color="F58025" w:themeColor="accent2"/>
              <w:right w:val="single" w:sz="12" w:space="0" w:color="F58025" w:themeColor="accent2"/>
            </w:tcBorders>
          </w:tcPr>
          <w:p w14:paraId="672E48E1" w14:textId="792166A8" w:rsidR="00663BE3" w:rsidRPr="00EF351F" w:rsidRDefault="00663BE3" w:rsidP="00A950FB">
            <w:pPr>
              <w:pStyle w:val="Bodycopytable8pt"/>
            </w:pPr>
            <w:r w:rsidRPr="00EF351F">
              <w:t>Demand charge calculated on the average daily time of use demand for peak, shoulder and off-peak periods for the month.</w:t>
            </w:r>
          </w:p>
        </w:tc>
      </w:tr>
      <w:tr w:rsidR="003E6FBE" w:rsidRPr="00C77073" w14:paraId="50905A38" w14:textId="77777777" w:rsidTr="00BA11A2">
        <w:tc>
          <w:tcPr>
            <w:tcW w:w="2122" w:type="dxa"/>
            <w:vMerge w:val="restart"/>
            <w:tcBorders>
              <w:top w:val="single" w:sz="12" w:space="0" w:color="F58025" w:themeColor="accent2"/>
              <w:left w:val="single" w:sz="12" w:space="0" w:color="F58025" w:themeColor="accent2"/>
            </w:tcBorders>
            <w:shd w:val="clear" w:color="auto" w:fill="FDE5D3" w:themeFill="accent2" w:themeFillTint="33"/>
            <w:vAlign w:val="center"/>
          </w:tcPr>
          <w:p w14:paraId="4F6AA263" w14:textId="571E6326" w:rsidR="00205C5B" w:rsidRPr="00C77073" w:rsidRDefault="008E3A66" w:rsidP="00014B47">
            <w:pPr>
              <w:pStyle w:val="Bodycopytable8pt"/>
            </w:pPr>
            <w:r>
              <w:t>Low voltage – Time of U</w:t>
            </w:r>
            <w:r w:rsidR="003E6FBE">
              <w:t>se three rate demand</w:t>
            </w:r>
          </w:p>
        </w:tc>
        <w:tc>
          <w:tcPr>
            <w:tcW w:w="1134" w:type="dxa"/>
            <w:tcBorders>
              <w:top w:val="single" w:sz="12" w:space="0" w:color="F58025" w:themeColor="accent2"/>
            </w:tcBorders>
            <w:shd w:val="clear" w:color="auto" w:fill="FDE5D3" w:themeFill="accent2" w:themeFillTint="33"/>
            <w:vAlign w:val="center"/>
          </w:tcPr>
          <w:p w14:paraId="48E499D7" w14:textId="72FF1906" w:rsidR="003E6FBE" w:rsidRPr="00C77073" w:rsidRDefault="003E6FBE" w:rsidP="00A950FB">
            <w:pPr>
              <w:pStyle w:val="Bodycopytable8pt"/>
            </w:pPr>
            <w:r>
              <w:t>Fixed</w:t>
            </w:r>
          </w:p>
        </w:tc>
        <w:tc>
          <w:tcPr>
            <w:tcW w:w="1134" w:type="dxa"/>
            <w:tcBorders>
              <w:top w:val="single" w:sz="12" w:space="0" w:color="F58025" w:themeColor="accent2"/>
            </w:tcBorders>
            <w:shd w:val="clear" w:color="auto" w:fill="FDE5D3" w:themeFill="accent2" w:themeFillTint="33"/>
          </w:tcPr>
          <w:p w14:paraId="368801F7" w14:textId="3A825C86" w:rsidR="003E6FBE" w:rsidRDefault="003E6FBE" w:rsidP="00A950FB">
            <w:pPr>
              <w:pStyle w:val="Bodycopytable8pt"/>
            </w:pPr>
            <w:r>
              <w:t>$/day</w:t>
            </w:r>
          </w:p>
        </w:tc>
        <w:tc>
          <w:tcPr>
            <w:tcW w:w="5816" w:type="dxa"/>
            <w:tcBorders>
              <w:top w:val="single" w:sz="12" w:space="0" w:color="F58025" w:themeColor="accent2"/>
              <w:right w:val="single" w:sz="12" w:space="0" w:color="F58025" w:themeColor="accent2"/>
            </w:tcBorders>
            <w:shd w:val="clear" w:color="auto" w:fill="FDE5D3" w:themeFill="accent2" w:themeFillTint="33"/>
          </w:tcPr>
          <w:p w14:paraId="04EE99D6" w14:textId="1F956D3A" w:rsidR="003E6FBE" w:rsidRPr="00EF351F" w:rsidRDefault="003E6FBE" w:rsidP="00A950FB">
            <w:pPr>
              <w:pStyle w:val="Bodycopytable8pt"/>
            </w:pPr>
            <w:r w:rsidRPr="00EF351F">
              <w:t>Network access charge reflecting a fixed amount per day</w:t>
            </w:r>
          </w:p>
        </w:tc>
      </w:tr>
      <w:tr w:rsidR="003E6FBE" w:rsidRPr="00C77073" w14:paraId="4FE1EA59" w14:textId="77777777" w:rsidTr="00BA11A2">
        <w:tc>
          <w:tcPr>
            <w:tcW w:w="2122" w:type="dxa"/>
            <w:vMerge/>
            <w:tcBorders>
              <w:left w:val="single" w:sz="12" w:space="0" w:color="F58025" w:themeColor="accent2"/>
              <w:bottom w:val="single" w:sz="12" w:space="0" w:color="F58025" w:themeColor="accent2"/>
            </w:tcBorders>
            <w:shd w:val="clear" w:color="auto" w:fill="FDE5D3" w:themeFill="accent2" w:themeFillTint="33"/>
          </w:tcPr>
          <w:p w14:paraId="49B54D2A" w14:textId="77777777" w:rsidR="003E6FBE" w:rsidRPr="00C77073" w:rsidRDefault="003E6FBE" w:rsidP="00A950FB">
            <w:pPr>
              <w:pStyle w:val="Bodycopytable8pt"/>
            </w:pPr>
          </w:p>
        </w:tc>
        <w:tc>
          <w:tcPr>
            <w:tcW w:w="1134" w:type="dxa"/>
            <w:tcBorders>
              <w:bottom w:val="single" w:sz="4" w:space="0" w:color="F58025" w:themeColor="accent2"/>
            </w:tcBorders>
            <w:shd w:val="clear" w:color="auto" w:fill="FDE5D3" w:themeFill="accent2" w:themeFillTint="33"/>
            <w:vAlign w:val="center"/>
          </w:tcPr>
          <w:p w14:paraId="4B5E1841" w14:textId="3B26072C" w:rsidR="003E6FBE" w:rsidRDefault="003E6FBE" w:rsidP="00A950FB">
            <w:pPr>
              <w:pStyle w:val="Bodycopytable8pt"/>
            </w:pPr>
            <w:r>
              <w:t>Energy</w:t>
            </w:r>
          </w:p>
        </w:tc>
        <w:tc>
          <w:tcPr>
            <w:tcW w:w="1134" w:type="dxa"/>
            <w:tcBorders>
              <w:bottom w:val="single" w:sz="4" w:space="0" w:color="F58025" w:themeColor="accent2"/>
            </w:tcBorders>
            <w:shd w:val="clear" w:color="auto" w:fill="FDE5D3" w:themeFill="accent2" w:themeFillTint="33"/>
            <w:vAlign w:val="center"/>
          </w:tcPr>
          <w:p w14:paraId="73D540D7" w14:textId="2975FF0D" w:rsidR="003E6FBE" w:rsidRDefault="003E6FBE" w:rsidP="00A950FB">
            <w:pPr>
              <w:pStyle w:val="Bodycopytable8pt"/>
            </w:pPr>
            <w:r>
              <w:t>c/kWh</w:t>
            </w:r>
          </w:p>
        </w:tc>
        <w:tc>
          <w:tcPr>
            <w:tcW w:w="5816" w:type="dxa"/>
            <w:tcBorders>
              <w:bottom w:val="single" w:sz="4" w:space="0" w:color="F58025" w:themeColor="accent2"/>
              <w:right w:val="single" w:sz="12" w:space="0" w:color="F58025" w:themeColor="accent2"/>
            </w:tcBorders>
            <w:shd w:val="clear" w:color="auto" w:fill="FDE5D3" w:themeFill="accent2" w:themeFillTint="33"/>
          </w:tcPr>
          <w:p w14:paraId="12F5D911" w14:textId="77777777" w:rsidR="003E6FBE" w:rsidRPr="00EF351F" w:rsidRDefault="003E6FBE" w:rsidP="00F763A5">
            <w:pPr>
              <w:pStyle w:val="Bodycopytable8pt"/>
            </w:pPr>
            <w:r w:rsidRPr="00EF351F">
              <w:t>Peak, shoulder and off-peak rate based on energy consumed in each period</w:t>
            </w:r>
          </w:p>
          <w:p w14:paraId="7C952090" w14:textId="40907638" w:rsidR="003E6FBE" w:rsidRPr="00EF351F" w:rsidRDefault="003E6FBE" w:rsidP="00920137">
            <w:pPr>
              <w:pStyle w:val="Bulletsnotindented8pt"/>
            </w:pPr>
            <w:r w:rsidRPr="00EF351F">
              <w:t>Peak period is from 5pm to 8pm on weekdays</w:t>
            </w:r>
          </w:p>
          <w:p w14:paraId="000F3EC9" w14:textId="2C9E55D6" w:rsidR="003E6FBE" w:rsidRPr="00EF351F" w:rsidRDefault="00313C2C" w:rsidP="00920137">
            <w:pPr>
              <w:pStyle w:val="Bulletsnotindented8pt"/>
            </w:pPr>
            <w:r w:rsidRPr="00EF351F">
              <w:t>Shoulder period</w:t>
            </w:r>
            <w:r w:rsidR="003E6FBE" w:rsidRPr="00EF351F">
              <w:t xml:space="preserve"> is from </w:t>
            </w:r>
            <w:r w:rsidR="00A3543E">
              <w:t>7</w:t>
            </w:r>
            <w:r w:rsidR="003E6FBE" w:rsidRPr="00EF351F">
              <w:t>am to 5pm and 8pm to 10pm on weekdays</w:t>
            </w:r>
          </w:p>
          <w:p w14:paraId="57256008" w14:textId="7F4D3A5F" w:rsidR="003E6FBE" w:rsidRPr="00EF351F" w:rsidRDefault="003E6FBE" w:rsidP="00920137">
            <w:pPr>
              <w:pStyle w:val="Bulletsnotindented8pt"/>
            </w:pPr>
            <w:r w:rsidRPr="00EF351F">
              <w:t>Off peak period is at all other times</w:t>
            </w:r>
          </w:p>
        </w:tc>
      </w:tr>
      <w:tr w:rsidR="003E6FBE" w:rsidRPr="00C77073" w14:paraId="1D7A7E6B" w14:textId="77777777" w:rsidTr="00BA11A2">
        <w:tc>
          <w:tcPr>
            <w:tcW w:w="2122" w:type="dxa"/>
            <w:vMerge/>
            <w:tcBorders>
              <w:left w:val="single" w:sz="12" w:space="0" w:color="F58025" w:themeColor="accent2"/>
              <w:bottom w:val="single" w:sz="12" w:space="0" w:color="F58025" w:themeColor="accent2"/>
            </w:tcBorders>
            <w:shd w:val="clear" w:color="auto" w:fill="FDE5D3" w:themeFill="accent2" w:themeFillTint="33"/>
          </w:tcPr>
          <w:p w14:paraId="4CE1E804" w14:textId="77777777" w:rsidR="003E6FBE" w:rsidRPr="00C77073" w:rsidRDefault="003E6FBE" w:rsidP="00A950FB">
            <w:pPr>
              <w:pStyle w:val="Bodycopytable8pt"/>
            </w:pPr>
          </w:p>
        </w:tc>
        <w:tc>
          <w:tcPr>
            <w:tcW w:w="1134" w:type="dxa"/>
            <w:tcBorders>
              <w:bottom w:val="single" w:sz="12" w:space="0" w:color="F58025" w:themeColor="accent2"/>
            </w:tcBorders>
            <w:shd w:val="clear" w:color="auto" w:fill="FDE5D3" w:themeFill="accent2" w:themeFillTint="33"/>
            <w:vAlign w:val="center"/>
          </w:tcPr>
          <w:p w14:paraId="118EBAD9" w14:textId="6DF0E042" w:rsidR="003E6FBE" w:rsidRPr="00C77073" w:rsidRDefault="003E6FBE" w:rsidP="00A950FB">
            <w:pPr>
              <w:pStyle w:val="Bodycopytable8pt"/>
            </w:pPr>
            <w:r>
              <w:t>Demand</w:t>
            </w:r>
          </w:p>
        </w:tc>
        <w:tc>
          <w:tcPr>
            <w:tcW w:w="1134" w:type="dxa"/>
            <w:tcBorders>
              <w:bottom w:val="single" w:sz="12" w:space="0" w:color="F58025" w:themeColor="accent2"/>
            </w:tcBorders>
            <w:shd w:val="clear" w:color="auto" w:fill="FDE5D3" w:themeFill="accent2" w:themeFillTint="33"/>
            <w:vAlign w:val="center"/>
          </w:tcPr>
          <w:p w14:paraId="695C7C99" w14:textId="48FE9D0E" w:rsidR="003E6FBE" w:rsidRDefault="003E6FBE" w:rsidP="00A950FB">
            <w:pPr>
              <w:pStyle w:val="Bodycopytable8pt"/>
            </w:pPr>
            <w:r>
              <w:t>$/kVA</w:t>
            </w:r>
          </w:p>
        </w:tc>
        <w:tc>
          <w:tcPr>
            <w:tcW w:w="5816" w:type="dxa"/>
            <w:tcBorders>
              <w:bottom w:val="single" w:sz="12" w:space="0" w:color="F58025" w:themeColor="accent2"/>
              <w:right w:val="single" w:sz="12" w:space="0" w:color="F58025" w:themeColor="accent2"/>
            </w:tcBorders>
            <w:shd w:val="clear" w:color="auto" w:fill="FDE5D3" w:themeFill="accent2" w:themeFillTint="33"/>
          </w:tcPr>
          <w:p w14:paraId="2BA2BEB2" w14:textId="2BC0BCE5" w:rsidR="003E6FBE" w:rsidRPr="00EF351F" w:rsidRDefault="003E6FBE" w:rsidP="00313C2C">
            <w:pPr>
              <w:pStyle w:val="Bodycopytable8pt"/>
            </w:pPr>
            <w:r w:rsidRPr="00EF351F">
              <w:t>Maximum demand charge based on the highest measured half-hour kVA demand registered in each of the peak, shoulder and off-peak periods during the month.</w:t>
            </w:r>
          </w:p>
        </w:tc>
      </w:tr>
      <w:tr w:rsidR="003E6FBE" w:rsidRPr="00C77073" w14:paraId="0A6DA184" w14:textId="77777777" w:rsidTr="00BA11A2">
        <w:tc>
          <w:tcPr>
            <w:tcW w:w="2122" w:type="dxa"/>
            <w:vMerge w:val="restart"/>
            <w:tcBorders>
              <w:top w:val="single" w:sz="12" w:space="0" w:color="F58025" w:themeColor="accent2"/>
              <w:left w:val="single" w:sz="12" w:space="0" w:color="F58025" w:themeColor="accent2"/>
            </w:tcBorders>
            <w:vAlign w:val="center"/>
          </w:tcPr>
          <w:p w14:paraId="7F509AD8" w14:textId="5391E983" w:rsidR="005004E3" w:rsidRPr="00C77073" w:rsidRDefault="008E3A66" w:rsidP="005004E3">
            <w:pPr>
              <w:pStyle w:val="Bodycopytable8pt"/>
            </w:pPr>
            <w:r>
              <w:t>Low voltage – Time of U</w:t>
            </w:r>
            <w:r w:rsidR="003E6FBE">
              <w:t>se demand alternative</w:t>
            </w:r>
          </w:p>
        </w:tc>
        <w:tc>
          <w:tcPr>
            <w:tcW w:w="1134" w:type="dxa"/>
            <w:tcBorders>
              <w:top w:val="single" w:sz="12" w:space="0" w:color="F58025" w:themeColor="accent2"/>
            </w:tcBorders>
            <w:vAlign w:val="center"/>
          </w:tcPr>
          <w:p w14:paraId="525157B7" w14:textId="481B8473" w:rsidR="003E6FBE" w:rsidRDefault="003E6FBE" w:rsidP="00A950FB">
            <w:pPr>
              <w:pStyle w:val="Bodycopytable8pt"/>
            </w:pPr>
            <w:r>
              <w:t>Fixed</w:t>
            </w:r>
          </w:p>
        </w:tc>
        <w:tc>
          <w:tcPr>
            <w:tcW w:w="1134" w:type="dxa"/>
            <w:tcBorders>
              <w:top w:val="single" w:sz="12" w:space="0" w:color="F58025" w:themeColor="accent2"/>
            </w:tcBorders>
          </w:tcPr>
          <w:p w14:paraId="769E33D7" w14:textId="591557DE" w:rsidR="003E6FBE" w:rsidRDefault="003E6FBE" w:rsidP="00A950FB">
            <w:pPr>
              <w:pStyle w:val="Bodycopytable8pt"/>
            </w:pPr>
            <w:r>
              <w:t>$/day</w:t>
            </w:r>
          </w:p>
        </w:tc>
        <w:tc>
          <w:tcPr>
            <w:tcW w:w="5816" w:type="dxa"/>
            <w:tcBorders>
              <w:top w:val="single" w:sz="12" w:space="0" w:color="F58025" w:themeColor="accent2"/>
              <w:right w:val="single" w:sz="12" w:space="0" w:color="F58025" w:themeColor="accent2"/>
            </w:tcBorders>
          </w:tcPr>
          <w:p w14:paraId="159EDC14" w14:textId="2D4F77D9" w:rsidR="003E6FBE" w:rsidRPr="00EF351F" w:rsidRDefault="003E6FBE" w:rsidP="00A950FB">
            <w:pPr>
              <w:pStyle w:val="Bodycopytable8pt"/>
            </w:pPr>
            <w:r w:rsidRPr="00EF351F">
              <w:t>Network access charge reflecting a fixed amount per day</w:t>
            </w:r>
          </w:p>
        </w:tc>
      </w:tr>
      <w:tr w:rsidR="003E6FBE" w:rsidRPr="00C77073" w14:paraId="3AB07A78" w14:textId="77777777" w:rsidTr="00BA11A2">
        <w:tc>
          <w:tcPr>
            <w:tcW w:w="2122" w:type="dxa"/>
            <w:vMerge/>
            <w:tcBorders>
              <w:left w:val="single" w:sz="12" w:space="0" w:color="F58025" w:themeColor="accent2"/>
            </w:tcBorders>
          </w:tcPr>
          <w:p w14:paraId="2ADA0BE9" w14:textId="77777777" w:rsidR="003E6FBE" w:rsidRPr="00C77073" w:rsidRDefault="003E6FBE" w:rsidP="00A950FB">
            <w:pPr>
              <w:pStyle w:val="Bodycopytable8pt"/>
            </w:pPr>
          </w:p>
        </w:tc>
        <w:tc>
          <w:tcPr>
            <w:tcW w:w="1134" w:type="dxa"/>
            <w:tcBorders>
              <w:bottom w:val="single" w:sz="4" w:space="0" w:color="F58025" w:themeColor="accent2"/>
            </w:tcBorders>
            <w:vAlign w:val="center"/>
          </w:tcPr>
          <w:p w14:paraId="0A07C403" w14:textId="5EC4C653" w:rsidR="003E6FBE" w:rsidRDefault="003E6FBE" w:rsidP="00A950FB">
            <w:pPr>
              <w:pStyle w:val="Bodycopytable8pt"/>
            </w:pPr>
            <w:r>
              <w:t>Energy</w:t>
            </w:r>
          </w:p>
        </w:tc>
        <w:tc>
          <w:tcPr>
            <w:tcW w:w="1134" w:type="dxa"/>
            <w:tcBorders>
              <w:bottom w:val="single" w:sz="4" w:space="0" w:color="F58025" w:themeColor="accent2"/>
            </w:tcBorders>
            <w:vAlign w:val="center"/>
          </w:tcPr>
          <w:p w14:paraId="1F05376D" w14:textId="1686639B" w:rsidR="003E6FBE" w:rsidRDefault="003E6FBE" w:rsidP="00A950FB">
            <w:pPr>
              <w:pStyle w:val="Bodycopytable8pt"/>
            </w:pPr>
            <w:r>
              <w:t>c/kWh</w:t>
            </w:r>
          </w:p>
        </w:tc>
        <w:tc>
          <w:tcPr>
            <w:tcW w:w="5816" w:type="dxa"/>
            <w:tcBorders>
              <w:bottom w:val="single" w:sz="4" w:space="0" w:color="F58025" w:themeColor="accent2"/>
              <w:right w:val="single" w:sz="12" w:space="0" w:color="F58025" w:themeColor="accent2"/>
            </w:tcBorders>
          </w:tcPr>
          <w:p w14:paraId="55FE782E" w14:textId="77777777" w:rsidR="003E6FBE" w:rsidRPr="00EF351F" w:rsidRDefault="003E6FBE" w:rsidP="00F763A5">
            <w:pPr>
              <w:pStyle w:val="Bodycopytable8pt"/>
            </w:pPr>
            <w:r w:rsidRPr="00EF351F">
              <w:t>Peak, shoulder and off-peak rate based on energy consumed in each period</w:t>
            </w:r>
          </w:p>
          <w:p w14:paraId="1E555069" w14:textId="6F413DD0" w:rsidR="003E6FBE" w:rsidRPr="00EF351F" w:rsidRDefault="003E6FBE" w:rsidP="00920137">
            <w:pPr>
              <w:pStyle w:val="Bulletsnotindented8pt"/>
            </w:pPr>
            <w:r w:rsidRPr="00EF351F">
              <w:t>Peak period is from 5pm to 8pm on weekdays</w:t>
            </w:r>
          </w:p>
          <w:p w14:paraId="49FA7B80" w14:textId="514FC0F7" w:rsidR="003E6FBE" w:rsidRPr="00EF351F" w:rsidRDefault="00313C2C" w:rsidP="00920137">
            <w:pPr>
              <w:pStyle w:val="Bulletsnotindented8pt"/>
            </w:pPr>
            <w:r w:rsidRPr="00EF351F">
              <w:t xml:space="preserve">Shoulder period </w:t>
            </w:r>
            <w:r w:rsidR="003E6FBE" w:rsidRPr="00EF351F">
              <w:t xml:space="preserve">is from </w:t>
            </w:r>
            <w:r w:rsidR="00A3543E">
              <w:t>7</w:t>
            </w:r>
            <w:r w:rsidR="003E6FBE" w:rsidRPr="00EF351F">
              <w:t>am to 5pm and 8pm to 10pm on weekdays</w:t>
            </w:r>
          </w:p>
          <w:p w14:paraId="66F75CD0" w14:textId="2A28B1E3" w:rsidR="003E6FBE" w:rsidRPr="00EF351F" w:rsidRDefault="003E6FBE" w:rsidP="00920137">
            <w:pPr>
              <w:pStyle w:val="Bulletsnotindented8pt"/>
            </w:pPr>
            <w:r w:rsidRPr="00EF351F">
              <w:t>Off peak period is at all other times</w:t>
            </w:r>
          </w:p>
        </w:tc>
      </w:tr>
      <w:tr w:rsidR="003E6FBE" w:rsidRPr="00C77073" w14:paraId="32672083" w14:textId="77777777" w:rsidTr="00B6416E">
        <w:tc>
          <w:tcPr>
            <w:tcW w:w="2122" w:type="dxa"/>
            <w:vMerge/>
            <w:tcBorders>
              <w:left w:val="single" w:sz="12" w:space="0" w:color="F58025" w:themeColor="accent2"/>
              <w:bottom w:val="single" w:sz="12" w:space="0" w:color="F58025" w:themeColor="accent2"/>
            </w:tcBorders>
          </w:tcPr>
          <w:p w14:paraId="1F571E72" w14:textId="77777777" w:rsidR="003E6FBE" w:rsidRPr="00C77073" w:rsidRDefault="003E6FBE" w:rsidP="00A950FB">
            <w:pPr>
              <w:pStyle w:val="Bodycopytable8pt"/>
            </w:pPr>
          </w:p>
        </w:tc>
        <w:tc>
          <w:tcPr>
            <w:tcW w:w="1134" w:type="dxa"/>
            <w:tcBorders>
              <w:bottom w:val="single" w:sz="12" w:space="0" w:color="F58025" w:themeColor="accent2"/>
            </w:tcBorders>
            <w:vAlign w:val="center"/>
          </w:tcPr>
          <w:p w14:paraId="6C37AE83" w14:textId="34CF56F5" w:rsidR="003E6FBE" w:rsidRDefault="003E6FBE" w:rsidP="00A950FB">
            <w:pPr>
              <w:pStyle w:val="Bodycopytable8pt"/>
            </w:pPr>
            <w:r>
              <w:t>Demand</w:t>
            </w:r>
          </w:p>
        </w:tc>
        <w:tc>
          <w:tcPr>
            <w:tcW w:w="1134" w:type="dxa"/>
            <w:tcBorders>
              <w:bottom w:val="single" w:sz="12" w:space="0" w:color="F58025" w:themeColor="accent2"/>
            </w:tcBorders>
            <w:vAlign w:val="center"/>
          </w:tcPr>
          <w:p w14:paraId="0B6A3432" w14:textId="7AC1C4B7" w:rsidR="003E6FBE" w:rsidRPr="00FE23CA" w:rsidRDefault="003E6FBE" w:rsidP="00A950FB">
            <w:pPr>
              <w:pStyle w:val="Bodycopytable8pt"/>
              <w:rPr>
                <w:highlight w:val="yellow"/>
              </w:rPr>
            </w:pPr>
            <w:r>
              <w:t>$/kVA</w:t>
            </w:r>
          </w:p>
        </w:tc>
        <w:tc>
          <w:tcPr>
            <w:tcW w:w="5816" w:type="dxa"/>
            <w:tcBorders>
              <w:bottom w:val="single" w:sz="12" w:space="0" w:color="F58025" w:themeColor="accent2"/>
              <w:right w:val="single" w:sz="12" w:space="0" w:color="F58025" w:themeColor="accent2"/>
            </w:tcBorders>
          </w:tcPr>
          <w:p w14:paraId="2F2ED326" w14:textId="114A4C64" w:rsidR="003E6FBE" w:rsidRPr="00B16EEB" w:rsidRDefault="003E6FBE" w:rsidP="00A950FB">
            <w:pPr>
              <w:pStyle w:val="Bodycopytable8pt"/>
              <w:rPr>
                <w:highlight w:val="yellow"/>
              </w:rPr>
            </w:pPr>
            <w:r>
              <w:t xml:space="preserve">Maximum demand charge based on </w:t>
            </w:r>
            <w:r w:rsidRPr="007F6085">
              <w:t>the highest measured half-hour kVA demand registered in either the peak or sho</w:t>
            </w:r>
            <w:r w:rsidR="00313C2C">
              <w:t>ulder periods during the month.</w:t>
            </w:r>
          </w:p>
        </w:tc>
      </w:tr>
      <w:tr w:rsidR="00B6416E" w:rsidRPr="00C77073" w14:paraId="36C9F09D" w14:textId="77777777" w:rsidTr="006579E7">
        <w:tc>
          <w:tcPr>
            <w:tcW w:w="0" w:type="dxa"/>
            <w:vMerge w:val="restart"/>
            <w:tcBorders>
              <w:left w:val="single" w:sz="12" w:space="0" w:color="F58025" w:themeColor="accent2"/>
            </w:tcBorders>
            <w:shd w:val="clear" w:color="auto" w:fill="FDE5D3" w:themeFill="accent2" w:themeFillTint="33"/>
            <w:vAlign w:val="center"/>
          </w:tcPr>
          <w:p w14:paraId="6EC08FE5" w14:textId="77777777" w:rsidR="00B6416E" w:rsidRPr="00B6416E" w:rsidRDefault="00B6416E" w:rsidP="00B6416E">
            <w:pPr>
              <w:pStyle w:val="Bodycopytable8pt"/>
            </w:pPr>
            <w:r w:rsidRPr="00B6416E">
              <w:t>Transitional – Demand</w:t>
            </w:r>
          </w:p>
          <w:p w14:paraId="17830246" w14:textId="11AD4283" w:rsidR="00B6416E" w:rsidRPr="00B6416E" w:rsidRDefault="00B6416E" w:rsidP="00B6416E">
            <w:pPr>
              <w:pStyle w:val="Bodycopytable8pt"/>
              <w:rPr>
                <w:i/>
              </w:rPr>
            </w:pPr>
            <w:r w:rsidRPr="00B6416E">
              <w:rPr>
                <w:i/>
              </w:rPr>
              <w:t>(Runs only for five years from 1 July 2017 to 30 June 2022 for eligible customers)</w:t>
            </w:r>
          </w:p>
        </w:tc>
        <w:tc>
          <w:tcPr>
            <w:tcW w:w="0" w:type="dxa"/>
            <w:tcBorders>
              <w:top w:val="single" w:sz="12" w:space="0" w:color="F58025" w:themeColor="accent2"/>
            </w:tcBorders>
            <w:shd w:val="clear" w:color="auto" w:fill="FDE5D3" w:themeFill="accent2" w:themeFillTint="33"/>
            <w:vAlign w:val="center"/>
          </w:tcPr>
          <w:p w14:paraId="17FAF194" w14:textId="0C7E2ADA" w:rsidR="00B6416E" w:rsidRDefault="00B6416E" w:rsidP="00B6416E">
            <w:pPr>
              <w:pStyle w:val="Bodycopytable8pt"/>
            </w:pPr>
            <w:r>
              <w:t>Fixed</w:t>
            </w:r>
          </w:p>
        </w:tc>
        <w:tc>
          <w:tcPr>
            <w:tcW w:w="0" w:type="dxa"/>
            <w:tcBorders>
              <w:top w:val="single" w:sz="12" w:space="0" w:color="F58025" w:themeColor="accent2"/>
            </w:tcBorders>
            <w:shd w:val="clear" w:color="auto" w:fill="FDE5D3" w:themeFill="accent2" w:themeFillTint="33"/>
          </w:tcPr>
          <w:p w14:paraId="11128373" w14:textId="199654DE" w:rsidR="00B6416E" w:rsidRDefault="00B6416E" w:rsidP="00B6416E">
            <w:pPr>
              <w:pStyle w:val="Bodycopytable8pt"/>
            </w:pPr>
            <w:r>
              <w:t>$/day</w:t>
            </w:r>
          </w:p>
        </w:tc>
        <w:tc>
          <w:tcPr>
            <w:tcW w:w="0" w:type="dxa"/>
            <w:tcBorders>
              <w:top w:val="single" w:sz="12" w:space="0" w:color="F58025" w:themeColor="accent2"/>
              <w:right w:val="single" w:sz="12" w:space="0" w:color="F58025" w:themeColor="accent2"/>
            </w:tcBorders>
            <w:shd w:val="clear" w:color="auto" w:fill="FDE5D3" w:themeFill="accent2" w:themeFillTint="33"/>
          </w:tcPr>
          <w:p w14:paraId="0E498D99" w14:textId="12C73438" w:rsidR="00B6416E" w:rsidRDefault="00B6416E" w:rsidP="00B6416E">
            <w:pPr>
              <w:pStyle w:val="Bodycopytable8pt"/>
            </w:pPr>
            <w:r w:rsidRPr="00EF351F">
              <w:t>Network access charge reflecting a fixed amount per day</w:t>
            </w:r>
          </w:p>
        </w:tc>
      </w:tr>
      <w:tr w:rsidR="00B6416E" w:rsidRPr="00C77073" w14:paraId="2D17DB47" w14:textId="77777777" w:rsidTr="00B6416E">
        <w:tc>
          <w:tcPr>
            <w:tcW w:w="2122" w:type="dxa"/>
            <w:vMerge/>
            <w:tcBorders>
              <w:left w:val="single" w:sz="12" w:space="0" w:color="F58025" w:themeColor="accent2"/>
            </w:tcBorders>
            <w:shd w:val="clear" w:color="auto" w:fill="FDE5D3" w:themeFill="accent2" w:themeFillTint="33"/>
          </w:tcPr>
          <w:p w14:paraId="06B3CA78" w14:textId="24D3272E" w:rsidR="00B6416E" w:rsidRPr="00C77073" w:rsidRDefault="00B6416E" w:rsidP="00B6416E">
            <w:pPr>
              <w:pStyle w:val="Bodycopytable8pt"/>
            </w:pPr>
          </w:p>
        </w:tc>
        <w:tc>
          <w:tcPr>
            <w:tcW w:w="1134" w:type="dxa"/>
            <w:shd w:val="clear" w:color="auto" w:fill="FDE5D3" w:themeFill="accent2" w:themeFillTint="33"/>
            <w:vAlign w:val="center"/>
          </w:tcPr>
          <w:p w14:paraId="3A6B0EF9" w14:textId="4542C7A1" w:rsidR="00B6416E" w:rsidRDefault="00B6416E" w:rsidP="00B6416E">
            <w:pPr>
              <w:pStyle w:val="Bodycopytable8pt"/>
            </w:pPr>
            <w:r>
              <w:t>Energy</w:t>
            </w:r>
          </w:p>
        </w:tc>
        <w:tc>
          <w:tcPr>
            <w:tcW w:w="1134" w:type="dxa"/>
            <w:shd w:val="clear" w:color="auto" w:fill="FDE5D3" w:themeFill="accent2" w:themeFillTint="33"/>
            <w:vAlign w:val="center"/>
          </w:tcPr>
          <w:p w14:paraId="382A34D5" w14:textId="4EDD77F5" w:rsidR="00B6416E" w:rsidRDefault="00B6416E" w:rsidP="00B6416E">
            <w:pPr>
              <w:pStyle w:val="Bodycopytable8pt"/>
            </w:pPr>
            <w:r>
              <w:t>c/kWh</w:t>
            </w:r>
          </w:p>
        </w:tc>
        <w:tc>
          <w:tcPr>
            <w:tcW w:w="5816" w:type="dxa"/>
            <w:tcBorders>
              <w:right w:val="single" w:sz="12" w:space="0" w:color="F58025" w:themeColor="accent2"/>
            </w:tcBorders>
            <w:shd w:val="clear" w:color="auto" w:fill="FDE5D3" w:themeFill="accent2" w:themeFillTint="33"/>
          </w:tcPr>
          <w:p w14:paraId="08C2EE0A" w14:textId="28EC16F9" w:rsidR="00B6416E" w:rsidRPr="00EF351F" w:rsidRDefault="00B6416E" w:rsidP="00B6416E">
            <w:pPr>
              <w:pStyle w:val="Bodycopytable8pt"/>
            </w:pPr>
            <w:r w:rsidRPr="00EF351F">
              <w:t>Peak, shoulder and off-peak rate based on energy consumed in each period</w:t>
            </w:r>
          </w:p>
          <w:p w14:paraId="3932BCD1" w14:textId="77777777" w:rsidR="00B6416E" w:rsidRPr="00EF351F" w:rsidRDefault="00B6416E" w:rsidP="00B6416E">
            <w:pPr>
              <w:pStyle w:val="Bulletsnotindented8pt"/>
            </w:pPr>
            <w:r w:rsidRPr="00EF351F">
              <w:t>Peak period is from 5pm to 8pm on weekdays</w:t>
            </w:r>
          </w:p>
          <w:p w14:paraId="6A8266D4" w14:textId="7BAAB5D8" w:rsidR="00B6416E" w:rsidRDefault="00B6416E" w:rsidP="00B6416E">
            <w:pPr>
              <w:pStyle w:val="Bulletsnotindented8pt"/>
            </w:pPr>
            <w:r w:rsidRPr="00EF351F">
              <w:t xml:space="preserve">Shoulder period is from </w:t>
            </w:r>
            <w:r w:rsidR="00A3543E">
              <w:t>7</w:t>
            </w:r>
            <w:r w:rsidRPr="00EF351F">
              <w:t>am to 5pm and 8pm to 10pm on weekdays</w:t>
            </w:r>
          </w:p>
          <w:p w14:paraId="4639A911" w14:textId="602B133B" w:rsidR="00B6416E" w:rsidRDefault="006B5AE6" w:rsidP="00B6416E">
            <w:pPr>
              <w:pStyle w:val="Bulletsnotindented8pt"/>
            </w:pPr>
            <w:r>
              <w:t>Off peak period is at all other times</w:t>
            </w:r>
          </w:p>
        </w:tc>
      </w:tr>
      <w:tr w:rsidR="00B6416E" w:rsidRPr="00C77073" w14:paraId="6F66C345" w14:textId="77777777" w:rsidTr="00B6416E">
        <w:tc>
          <w:tcPr>
            <w:tcW w:w="2122" w:type="dxa"/>
            <w:vMerge/>
            <w:tcBorders>
              <w:left w:val="single" w:sz="12" w:space="0" w:color="F58025" w:themeColor="accent2"/>
              <w:bottom w:val="single" w:sz="12" w:space="0" w:color="F58025" w:themeColor="accent2"/>
            </w:tcBorders>
            <w:shd w:val="clear" w:color="auto" w:fill="FDE5D3" w:themeFill="accent2" w:themeFillTint="33"/>
          </w:tcPr>
          <w:p w14:paraId="308E0BD1" w14:textId="5AF6B574" w:rsidR="00B6416E" w:rsidRPr="00C77073" w:rsidRDefault="00B6416E" w:rsidP="00B6416E">
            <w:pPr>
              <w:pStyle w:val="Bodycopytable8pt"/>
            </w:pPr>
          </w:p>
        </w:tc>
        <w:tc>
          <w:tcPr>
            <w:tcW w:w="1134" w:type="dxa"/>
            <w:tcBorders>
              <w:bottom w:val="single" w:sz="12" w:space="0" w:color="F58025" w:themeColor="accent2"/>
            </w:tcBorders>
            <w:shd w:val="clear" w:color="auto" w:fill="FDE5D3" w:themeFill="accent2" w:themeFillTint="33"/>
            <w:vAlign w:val="center"/>
          </w:tcPr>
          <w:p w14:paraId="5468315C" w14:textId="1423C375" w:rsidR="00B6416E" w:rsidRDefault="00B6416E" w:rsidP="00B6416E">
            <w:pPr>
              <w:pStyle w:val="Bodycopytable8pt"/>
            </w:pPr>
            <w:r>
              <w:t>Demand</w:t>
            </w:r>
          </w:p>
        </w:tc>
        <w:tc>
          <w:tcPr>
            <w:tcW w:w="1134" w:type="dxa"/>
            <w:tcBorders>
              <w:bottom w:val="single" w:sz="12" w:space="0" w:color="F58025" w:themeColor="accent2"/>
            </w:tcBorders>
            <w:shd w:val="clear" w:color="auto" w:fill="FDE5D3" w:themeFill="accent2" w:themeFillTint="33"/>
            <w:vAlign w:val="center"/>
          </w:tcPr>
          <w:p w14:paraId="3C3A677F" w14:textId="255C9253" w:rsidR="00B6416E" w:rsidRDefault="00B6416E" w:rsidP="00B6416E">
            <w:pPr>
              <w:pStyle w:val="Bodycopytable8pt"/>
            </w:pPr>
            <w:r>
              <w:t>$/kVA</w:t>
            </w:r>
          </w:p>
        </w:tc>
        <w:tc>
          <w:tcPr>
            <w:tcW w:w="5816" w:type="dxa"/>
            <w:tcBorders>
              <w:bottom w:val="single" w:sz="12" w:space="0" w:color="F58025" w:themeColor="accent2"/>
              <w:right w:val="single" w:sz="12" w:space="0" w:color="F58025" w:themeColor="accent2"/>
            </w:tcBorders>
            <w:shd w:val="clear" w:color="auto" w:fill="FDE5D3" w:themeFill="accent2" w:themeFillTint="33"/>
          </w:tcPr>
          <w:p w14:paraId="27A13B25" w14:textId="5A7A1310" w:rsidR="00B6416E" w:rsidRDefault="00E02263" w:rsidP="00B6416E">
            <w:pPr>
              <w:pStyle w:val="Bodycopytable8pt"/>
            </w:pPr>
            <w:r w:rsidRPr="00EF351F">
              <w:t>Maximum demand charge based on the highest measured half-hour kVA demand registered in each of the peak, shoulder and off-peak periods during the month.</w:t>
            </w:r>
          </w:p>
        </w:tc>
      </w:tr>
    </w:tbl>
    <w:p w14:paraId="121BB0AF" w14:textId="77777777" w:rsidR="0037797C" w:rsidRPr="0037797C" w:rsidRDefault="0037797C" w:rsidP="0037797C">
      <w:pPr>
        <w:pStyle w:val="Bodycopy"/>
      </w:pPr>
      <w:bookmarkStart w:id="1289" w:name="_Ref459882659"/>
      <w:r>
        <w:br w:type="page"/>
      </w:r>
    </w:p>
    <w:p w14:paraId="54CC94CE" w14:textId="04C67A0D" w:rsidR="00F12A33" w:rsidRDefault="005B29B1" w:rsidP="00094667">
      <w:pPr>
        <w:pStyle w:val="Heading2"/>
      </w:pPr>
      <w:bookmarkStart w:id="1290" w:name="_Ref460503186"/>
      <w:bookmarkStart w:id="1291" w:name="_Toc462994062"/>
      <w:bookmarkStart w:id="1292" w:name="_Toc463343026"/>
      <w:r>
        <w:lastRenderedPageBreak/>
        <w:t>Large B</w:t>
      </w:r>
      <w:r w:rsidR="00F12A33">
        <w:t xml:space="preserve">usiness </w:t>
      </w:r>
      <w:r w:rsidR="005504D5">
        <w:t>customers</w:t>
      </w:r>
      <w:r w:rsidR="00B6416E">
        <w:t>’</w:t>
      </w:r>
      <w:r w:rsidR="005504D5">
        <w:t xml:space="preserve"> </w:t>
      </w:r>
      <w:r w:rsidR="00F12A33">
        <w:t>network tariffs and charging parameters</w:t>
      </w:r>
      <w:bookmarkEnd w:id="1289"/>
      <w:bookmarkEnd w:id="1290"/>
      <w:bookmarkEnd w:id="1291"/>
      <w:bookmarkEnd w:id="1292"/>
    </w:p>
    <w:p w14:paraId="19048472" w14:textId="34E18800" w:rsidR="00441DE4" w:rsidRDefault="00F12A33" w:rsidP="00F12A33">
      <w:pPr>
        <w:pStyle w:val="Bodycopy"/>
      </w:pPr>
      <w:r>
        <w:t>We propose continu</w:t>
      </w:r>
      <w:r w:rsidR="00BF4FE4">
        <w:t>ing to</w:t>
      </w:r>
      <w:r>
        <w:t xml:space="preserve"> offer </w:t>
      </w:r>
      <w:r w:rsidR="00C52288">
        <w:t>two</w:t>
      </w:r>
      <w:r>
        <w:t xml:space="preserve"> network tariffs for </w:t>
      </w:r>
      <w:r w:rsidR="005B29B1">
        <w:t>Large B</w:t>
      </w:r>
      <w:r w:rsidR="00C52288">
        <w:t>usiness</w:t>
      </w:r>
      <w:r>
        <w:t xml:space="preserve"> customer</w:t>
      </w:r>
      <w:r w:rsidR="00C52288">
        <w:t>s</w:t>
      </w:r>
      <w:r w:rsidR="005B29B1">
        <w:t xml:space="preserve"> under the </w:t>
      </w:r>
      <w:r w:rsidR="0067436E">
        <w:t>‘</w:t>
      </w:r>
      <w:r w:rsidR="005B29B1">
        <w:t>High voltage demand</w:t>
      </w:r>
      <w:r w:rsidR="0067436E">
        <w:t>’</w:t>
      </w:r>
      <w:r w:rsidR="005B29B1" w:rsidRPr="005B29B1">
        <w:t xml:space="preserve"> </w:t>
      </w:r>
      <w:r w:rsidR="005B29B1">
        <w:t>tariff class</w:t>
      </w:r>
      <w:r>
        <w:t>. The tariffs and the associated eligibility criteria are shown in</w:t>
      </w:r>
      <w:r w:rsidR="005B29B1">
        <w:t xml:space="preserve"> </w:t>
      </w:r>
      <w:r w:rsidR="005B29B1">
        <w:fldChar w:fldCharType="begin"/>
      </w:r>
      <w:r w:rsidR="005B29B1">
        <w:instrText xml:space="preserve"> REF _Ref432594427 \h </w:instrText>
      </w:r>
      <w:r w:rsidR="005B29B1">
        <w:fldChar w:fldCharType="separate"/>
      </w:r>
      <w:r w:rsidR="0073687F" w:rsidRPr="00FA3BEB">
        <w:t xml:space="preserve">Table </w:t>
      </w:r>
      <w:r w:rsidR="0073687F">
        <w:rPr>
          <w:noProof/>
        </w:rPr>
        <w:t>4</w:t>
      </w:r>
      <w:r w:rsidR="0073687F">
        <w:noBreakHyphen/>
      </w:r>
      <w:r w:rsidR="0073687F">
        <w:rPr>
          <w:noProof/>
        </w:rPr>
        <w:t>9</w:t>
      </w:r>
      <w:r w:rsidR="005B29B1">
        <w:fldChar w:fldCharType="end"/>
      </w:r>
      <w:r>
        <w:t xml:space="preserve"> below</w:t>
      </w:r>
      <w:r w:rsidR="00B6416E">
        <w:t>.</w:t>
      </w:r>
    </w:p>
    <w:p w14:paraId="05479BF7" w14:textId="3EBE82E8" w:rsidR="00F12A33" w:rsidRDefault="00F12A33" w:rsidP="00F12A33">
      <w:pPr>
        <w:pStyle w:val="Caption"/>
      </w:pPr>
      <w:bookmarkStart w:id="1293" w:name="_Ref432594427"/>
      <w:bookmarkStart w:id="1294" w:name="_Toc432597595"/>
      <w:bookmarkStart w:id="1295" w:name="_Toc434839504"/>
      <w:bookmarkStart w:id="1296" w:name="_Toc435177029"/>
      <w:bookmarkStart w:id="1297" w:name="_Toc435454536"/>
      <w:bookmarkStart w:id="1298" w:name="_Toc435608282"/>
      <w:bookmarkStart w:id="1299" w:name="_Toc435629500"/>
      <w:bookmarkStart w:id="1300" w:name="_Toc436127229"/>
      <w:bookmarkStart w:id="1301" w:name="_Toc436226263"/>
      <w:bookmarkStart w:id="1302" w:name="_Toc436304595"/>
      <w:bookmarkStart w:id="1303" w:name="_Toc462988233"/>
      <w:bookmarkStart w:id="1304" w:name="_Toc462994035"/>
      <w:bookmarkStart w:id="1305" w:name="_Toc463343042"/>
      <w:r w:rsidRPr="00FA3BEB">
        <w:t xml:space="preserve">Table </w:t>
      </w:r>
      <w:fldSimple w:instr=" STYLEREF 1 \s ">
        <w:r w:rsidR="0073687F">
          <w:rPr>
            <w:noProof/>
          </w:rPr>
          <w:t>4</w:t>
        </w:r>
      </w:fldSimple>
      <w:r w:rsidR="00A52BA8">
        <w:noBreakHyphen/>
      </w:r>
      <w:fldSimple w:instr=" SEQ Table \* ARABIC \s 1 ">
        <w:r w:rsidR="0073687F">
          <w:rPr>
            <w:noProof/>
          </w:rPr>
          <w:t>9</w:t>
        </w:r>
      </w:fldSimple>
      <w:bookmarkEnd w:id="1293"/>
      <w:r w:rsidRPr="00FA3BEB">
        <w:t xml:space="preserve">: </w:t>
      </w:r>
      <w:r>
        <w:t xml:space="preserve">Eligibility for </w:t>
      </w:r>
      <w:r w:rsidR="005B29B1">
        <w:t>L</w:t>
      </w:r>
      <w:r w:rsidR="005D1435">
        <w:t xml:space="preserve">arge </w:t>
      </w:r>
      <w:r w:rsidR="005B29B1">
        <w:t>B</w:t>
      </w:r>
      <w:r>
        <w:t xml:space="preserve">usiness </w:t>
      </w:r>
      <w:r w:rsidR="005504D5">
        <w:t xml:space="preserve">customer </w:t>
      </w:r>
      <w:r>
        <w:t>tariffs</w:t>
      </w:r>
      <w:bookmarkEnd w:id="1294"/>
      <w:bookmarkEnd w:id="1295"/>
      <w:bookmarkEnd w:id="1296"/>
      <w:bookmarkEnd w:id="1297"/>
      <w:bookmarkEnd w:id="1298"/>
      <w:bookmarkEnd w:id="1299"/>
      <w:bookmarkEnd w:id="1300"/>
      <w:bookmarkEnd w:id="1301"/>
      <w:bookmarkEnd w:id="1302"/>
      <w:bookmarkEnd w:id="1303"/>
      <w:bookmarkEnd w:id="1304"/>
      <w:bookmarkEnd w:id="1305"/>
    </w:p>
    <w:tbl>
      <w:tblPr>
        <w:tblStyle w:val="EEOrangeTable"/>
        <w:tblW w:w="10206" w:type="dxa"/>
        <w:tblInd w:w="-5" w:type="dxa"/>
        <w:tblLook w:val="04A0" w:firstRow="1" w:lastRow="0" w:firstColumn="1" w:lastColumn="0" w:noHBand="0" w:noVBand="1"/>
      </w:tblPr>
      <w:tblGrid>
        <w:gridCol w:w="2083"/>
        <w:gridCol w:w="8123"/>
      </w:tblGrid>
      <w:tr w:rsidR="00525124" w:rsidRPr="00C77073" w14:paraId="2D6C5914" w14:textId="77777777" w:rsidTr="00BA11A2">
        <w:trPr>
          <w:cnfStyle w:val="100000000000" w:firstRow="1" w:lastRow="0" w:firstColumn="0" w:lastColumn="0" w:oddVBand="0" w:evenVBand="0" w:oddHBand="0" w:evenHBand="0" w:firstRowFirstColumn="0" w:firstRowLastColumn="0" w:lastRowFirstColumn="0" w:lastRowLastColumn="0"/>
        </w:trPr>
        <w:tc>
          <w:tcPr>
            <w:tcW w:w="2083" w:type="dxa"/>
            <w:tcBorders>
              <w:bottom w:val="single" w:sz="12" w:space="0" w:color="F58025" w:themeColor="accent2"/>
              <w:right w:val="single" w:sz="4" w:space="0" w:color="FFFFFF" w:themeColor="background1"/>
            </w:tcBorders>
          </w:tcPr>
          <w:p w14:paraId="49478243" w14:textId="77777777" w:rsidR="00525124" w:rsidRPr="00C77073" w:rsidRDefault="00525124" w:rsidP="00F763A5">
            <w:pPr>
              <w:pStyle w:val="Tableheadingwhite"/>
            </w:pPr>
            <w:r w:rsidRPr="00C77073">
              <w:t>Tariff</w:t>
            </w:r>
          </w:p>
        </w:tc>
        <w:tc>
          <w:tcPr>
            <w:tcW w:w="8123" w:type="dxa"/>
            <w:tcBorders>
              <w:left w:val="single" w:sz="4" w:space="0" w:color="FFFFFF" w:themeColor="background1"/>
              <w:bottom w:val="single" w:sz="12" w:space="0" w:color="F58025" w:themeColor="accent2"/>
              <w:right w:val="single" w:sz="12" w:space="0" w:color="F58025" w:themeColor="accent2"/>
            </w:tcBorders>
          </w:tcPr>
          <w:p w14:paraId="575D32A2" w14:textId="77777777" w:rsidR="00525124" w:rsidRPr="00C77073" w:rsidRDefault="00525124" w:rsidP="00F763A5">
            <w:pPr>
              <w:pStyle w:val="Tableheadingwhite"/>
            </w:pPr>
            <w:r>
              <w:t>Eligibility</w:t>
            </w:r>
          </w:p>
        </w:tc>
      </w:tr>
      <w:tr w:rsidR="00632257" w:rsidRPr="00C77073" w14:paraId="419B4130" w14:textId="77777777" w:rsidTr="00BA11A2">
        <w:trPr>
          <w:trHeight w:val="423"/>
        </w:trPr>
        <w:tc>
          <w:tcPr>
            <w:tcW w:w="2083" w:type="dxa"/>
            <w:tcBorders>
              <w:top w:val="single" w:sz="12" w:space="0" w:color="F58025" w:themeColor="accent2"/>
              <w:left w:val="single" w:sz="12" w:space="0" w:color="F58025" w:themeColor="accent2"/>
              <w:bottom w:val="single" w:sz="12" w:space="0" w:color="F58025" w:themeColor="accent2"/>
            </w:tcBorders>
            <w:vAlign w:val="center"/>
          </w:tcPr>
          <w:p w14:paraId="30A22125" w14:textId="3E7B1CEC" w:rsidR="00632257" w:rsidRPr="00C77073" w:rsidRDefault="00E10C89" w:rsidP="00F763A5">
            <w:pPr>
              <w:pStyle w:val="Bodycopytable8pt"/>
            </w:pPr>
            <w:r>
              <w:t>High voltage – Time of U</w:t>
            </w:r>
            <w:r w:rsidR="00632257">
              <w:t>se average daily demand</w:t>
            </w:r>
          </w:p>
        </w:tc>
        <w:tc>
          <w:tcPr>
            <w:tcW w:w="8123" w:type="dxa"/>
            <w:tcBorders>
              <w:top w:val="single" w:sz="12" w:space="0" w:color="F58025" w:themeColor="accent2"/>
              <w:bottom w:val="single" w:sz="12" w:space="0" w:color="F58025" w:themeColor="accent2"/>
              <w:right w:val="single" w:sz="12" w:space="0" w:color="F58025" w:themeColor="accent2"/>
            </w:tcBorders>
            <w:vAlign w:val="center"/>
          </w:tcPr>
          <w:p w14:paraId="56DE49DA" w14:textId="31C54348" w:rsidR="00632257" w:rsidRDefault="00632257" w:rsidP="00920137">
            <w:pPr>
              <w:pStyle w:val="Bulletsnotindented8pt"/>
            </w:pPr>
            <w:r>
              <w:t>High voltage connection and metering point</w:t>
            </w:r>
          </w:p>
          <w:p w14:paraId="5EE2BFC1" w14:textId="77777777" w:rsidR="00632257" w:rsidRDefault="00632257" w:rsidP="00920137">
            <w:pPr>
              <w:pStyle w:val="Bulletsnotindented8pt"/>
            </w:pPr>
            <w:r>
              <w:t>Business premises where consumption exceeds 160 MWh per year</w:t>
            </w:r>
          </w:p>
          <w:p w14:paraId="04A6C75F" w14:textId="77777777" w:rsidR="00A0442E" w:rsidRDefault="00A0442E" w:rsidP="00A0442E">
            <w:pPr>
              <w:pStyle w:val="Bulletsnotindented8pt"/>
            </w:pPr>
            <w:r>
              <w:t xml:space="preserve">Monthly load factors &gt;60% for at least four of the most recent 12 months </w:t>
            </w:r>
            <w:r w:rsidRPr="00A978CC">
              <w:t>coinciding with a minimum on season anyti</w:t>
            </w:r>
            <w:r>
              <w:t xml:space="preserve">me monthly demand of 1500 kVA. </w:t>
            </w:r>
            <w:r w:rsidRPr="00A978CC">
              <w:t xml:space="preserve">The minimum demand and load factor requirements will be waived where a generator supports a substantial part of the load </w:t>
            </w:r>
            <w:r>
              <w:t>on the load side of the meter.</w:t>
            </w:r>
          </w:p>
          <w:p w14:paraId="30704A4F" w14:textId="0D3B3B71" w:rsidR="00A0442E" w:rsidRDefault="00A0442E" w:rsidP="00A0442E">
            <w:pPr>
              <w:pStyle w:val="Bulletsnotindented8pt"/>
            </w:pPr>
            <w:r>
              <w:t>I</w:t>
            </w:r>
            <w:r w:rsidRPr="00A978CC">
              <w:t>ntended for c</w:t>
            </w:r>
            <w:r>
              <w:t>ustomers with a seasonal demand</w:t>
            </w:r>
          </w:p>
          <w:p w14:paraId="737744E7" w14:textId="72856807" w:rsidR="00A978CC" w:rsidRPr="00C77073" w:rsidRDefault="00A978CC" w:rsidP="00920137">
            <w:pPr>
              <w:pStyle w:val="Bulletsnotindented8pt"/>
            </w:pPr>
            <w:r>
              <w:t>Interval capable meter</w:t>
            </w:r>
          </w:p>
        </w:tc>
      </w:tr>
      <w:tr w:rsidR="00632257" w:rsidRPr="00C77073" w14:paraId="76E18637" w14:textId="77777777" w:rsidTr="001F0C8B">
        <w:trPr>
          <w:trHeight w:val="402"/>
        </w:trPr>
        <w:tc>
          <w:tcPr>
            <w:tcW w:w="2083" w:type="dxa"/>
            <w:tcBorders>
              <w:top w:val="single" w:sz="12" w:space="0" w:color="F58025" w:themeColor="accent2"/>
              <w:left w:val="single" w:sz="12" w:space="0" w:color="F58025" w:themeColor="accent2"/>
              <w:bottom w:val="single" w:sz="12" w:space="0" w:color="F58025" w:themeColor="accent2"/>
            </w:tcBorders>
            <w:shd w:val="clear" w:color="auto" w:fill="FDE5D3" w:themeFill="accent2" w:themeFillTint="33"/>
            <w:vAlign w:val="center"/>
          </w:tcPr>
          <w:p w14:paraId="7C209E3C" w14:textId="482C9E60" w:rsidR="00632257" w:rsidRPr="00C77073" w:rsidRDefault="00E10C89" w:rsidP="00F763A5">
            <w:pPr>
              <w:pStyle w:val="Bodycopytable8pt"/>
            </w:pPr>
            <w:r>
              <w:t>High voltage – Time of U</w:t>
            </w:r>
            <w:r w:rsidR="00632257">
              <w:t>se monthly demand</w:t>
            </w:r>
          </w:p>
        </w:tc>
        <w:tc>
          <w:tcPr>
            <w:tcW w:w="8123" w:type="dxa"/>
            <w:tcBorders>
              <w:top w:val="single" w:sz="12" w:space="0" w:color="F58025" w:themeColor="accent2"/>
              <w:bottom w:val="single" w:sz="12" w:space="0" w:color="F58025" w:themeColor="accent2"/>
              <w:right w:val="single" w:sz="12" w:space="0" w:color="F58025" w:themeColor="accent2"/>
            </w:tcBorders>
            <w:shd w:val="clear" w:color="auto" w:fill="FDE5D3" w:themeFill="accent2" w:themeFillTint="33"/>
            <w:vAlign w:val="center"/>
          </w:tcPr>
          <w:p w14:paraId="2D3746FC" w14:textId="77777777" w:rsidR="00A978CC" w:rsidRDefault="00A978CC" w:rsidP="00920137">
            <w:pPr>
              <w:pStyle w:val="Bulletsnotindented8pt"/>
            </w:pPr>
            <w:r>
              <w:t>High voltage connection and metering point</w:t>
            </w:r>
          </w:p>
          <w:p w14:paraId="3CAB0624" w14:textId="7D1775E7" w:rsidR="00A978CC" w:rsidRDefault="00A978CC" w:rsidP="00920137">
            <w:pPr>
              <w:pStyle w:val="Bulletsnotindented8pt"/>
            </w:pPr>
            <w:r>
              <w:t>Business premises where consumption exceeds 160 MWh per year</w:t>
            </w:r>
          </w:p>
          <w:p w14:paraId="08131F20" w14:textId="7464E91F" w:rsidR="001D3042" w:rsidRDefault="001D3042" w:rsidP="00920137">
            <w:pPr>
              <w:pStyle w:val="Bulletsnotindented8pt"/>
            </w:pPr>
            <w:r>
              <w:t>Interval capable meter</w:t>
            </w:r>
          </w:p>
          <w:p w14:paraId="12DB01D2" w14:textId="308B6341" w:rsidR="00632257" w:rsidRPr="00C77073" w:rsidRDefault="00632257" w:rsidP="001D3042">
            <w:pPr>
              <w:pStyle w:val="Bulletsnotindented8pt"/>
              <w:numPr>
                <w:ilvl w:val="0"/>
                <w:numId w:val="0"/>
              </w:numPr>
            </w:pPr>
          </w:p>
        </w:tc>
      </w:tr>
    </w:tbl>
    <w:p w14:paraId="2F10EACD" w14:textId="15C2CEF7" w:rsidR="004C1658" w:rsidRDefault="004C1658" w:rsidP="004C1658">
      <w:pPr>
        <w:pStyle w:val="Bodycopy"/>
      </w:pPr>
    </w:p>
    <w:p w14:paraId="470C667C" w14:textId="77119E86" w:rsidR="00441DE4" w:rsidRDefault="004C1658" w:rsidP="0037797C">
      <w:pPr>
        <w:pStyle w:val="Bodycopy"/>
      </w:pPr>
      <w:r w:rsidRPr="000E1434">
        <w:t xml:space="preserve">The associated </w:t>
      </w:r>
      <w:r>
        <w:t>tariff structur</w:t>
      </w:r>
      <w:r w:rsidR="00814719">
        <w:t>es and charging parameters for Large B</w:t>
      </w:r>
      <w:r>
        <w:t xml:space="preserve">usiness </w:t>
      </w:r>
      <w:r w:rsidR="00814719">
        <w:t xml:space="preserve">customer </w:t>
      </w:r>
      <w:r>
        <w:t xml:space="preserve">tariffs are shown in </w:t>
      </w:r>
      <w:r>
        <w:fldChar w:fldCharType="begin"/>
      </w:r>
      <w:r>
        <w:instrText xml:space="preserve"> REF _Ref432433063 \h </w:instrText>
      </w:r>
      <w:r w:rsidR="00F47AEC">
        <w:instrText xml:space="preserve"> \* MERGEFORMAT </w:instrText>
      </w:r>
      <w:r>
        <w:fldChar w:fldCharType="separate"/>
      </w:r>
      <w:r w:rsidR="0073687F">
        <w:t xml:space="preserve">Table </w:t>
      </w:r>
      <w:r w:rsidR="0073687F">
        <w:rPr>
          <w:noProof/>
        </w:rPr>
        <w:t>4</w:t>
      </w:r>
      <w:r w:rsidR="0073687F">
        <w:rPr>
          <w:noProof/>
        </w:rPr>
        <w:noBreakHyphen/>
        <w:t>10</w:t>
      </w:r>
      <w:r>
        <w:fldChar w:fldCharType="end"/>
      </w:r>
      <w:r w:rsidR="001C1EB4">
        <w:t xml:space="preserve"> </w:t>
      </w:r>
      <w:r>
        <w:t>below</w:t>
      </w:r>
      <w:r w:rsidR="00814719" w:rsidRPr="009F3824">
        <w:t>. The structures are identical to our existing tariffs for Large Business customers</w:t>
      </w:r>
      <w:r w:rsidR="009F3824" w:rsidRPr="009F3824">
        <w:t xml:space="preserve"> except for the change</w:t>
      </w:r>
      <w:r w:rsidR="009F3824" w:rsidRPr="00461570">
        <w:t xml:space="preserve"> in charging</w:t>
      </w:r>
      <w:r w:rsidR="009F3824">
        <w:t xml:space="preserve"> windows. The morning peak has been removed and replaced with </w:t>
      </w:r>
      <w:r w:rsidR="000C1B28">
        <w:t>a</w:t>
      </w:r>
      <w:r w:rsidR="007618B1">
        <w:t>n extension of the day-time</w:t>
      </w:r>
      <w:r w:rsidR="000C1B28">
        <w:t xml:space="preserve"> shoulder</w:t>
      </w:r>
      <w:r w:rsidR="009F3824">
        <w:t xml:space="preserve"> </w:t>
      </w:r>
      <w:r w:rsidR="007618B1">
        <w:t>window</w:t>
      </w:r>
      <w:r w:rsidR="00BF4FE4">
        <w:t>,</w:t>
      </w:r>
      <w:r w:rsidR="009F3824">
        <w:t xml:space="preserve"> in line with our network </w:t>
      </w:r>
      <w:r w:rsidR="00B6416E">
        <w:t xml:space="preserve">use </w:t>
      </w:r>
      <w:r w:rsidR="009F3824">
        <w:t>analysis</w:t>
      </w:r>
      <w:r w:rsidR="00B6416E">
        <w:t xml:space="preserve"> and the AER’s feedback in its draft decision</w:t>
      </w:r>
      <w:r w:rsidR="009F3824">
        <w:t>.</w:t>
      </w:r>
    </w:p>
    <w:p w14:paraId="5CCA07E2" w14:textId="5E1E751F" w:rsidR="002B4D5E" w:rsidRDefault="002B4D5E" w:rsidP="002B4D5E">
      <w:pPr>
        <w:pStyle w:val="Caption"/>
        <w:rPr>
          <w:highlight w:val="cyan"/>
        </w:rPr>
      </w:pPr>
      <w:bookmarkStart w:id="1306" w:name="_Ref432433063"/>
      <w:bookmarkStart w:id="1307" w:name="_Toc432597596"/>
      <w:bookmarkStart w:id="1308" w:name="_Toc434839505"/>
      <w:bookmarkStart w:id="1309" w:name="_Toc435177030"/>
      <w:bookmarkStart w:id="1310" w:name="_Toc435454537"/>
      <w:bookmarkStart w:id="1311" w:name="_Toc435608283"/>
      <w:bookmarkStart w:id="1312" w:name="_Toc435629501"/>
      <w:bookmarkStart w:id="1313" w:name="_Toc436127230"/>
      <w:bookmarkStart w:id="1314" w:name="_Toc436226264"/>
      <w:bookmarkStart w:id="1315" w:name="_Toc436304596"/>
      <w:bookmarkStart w:id="1316" w:name="_Toc462988234"/>
      <w:bookmarkStart w:id="1317" w:name="_Toc462994036"/>
      <w:bookmarkStart w:id="1318" w:name="_Toc463343043"/>
      <w:r>
        <w:t xml:space="preserve">Table </w:t>
      </w:r>
      <w:fldSimple w:instr=" STYLEREF 1 \s ">
        <w:r w:rsidR="0073687F">
          <w:rPr>
            <w:noProof/>
          </w:rPr>
          <w:t>4</w:t>
        </w:r>
      </w:fldSimple>
      <w:r w:rsidR="00A52BA8">
        <w:noBreakHyphen/>
      </w:r>
      <w:fldSimple w:instr=" SEQ Table \* ARABIC \s 1 ">
        <w:r w:rsidR="0073687F">
          <w:rPr>
            <w:noProof/>
          </w:rPr>
          <w:t>10</w:t>
        </w:r>
      </w:fldSimple>
      <w:bookmarkEnd w:id="1306"/>
      <w:r>
        <w:t xml:space="preserve">: Large </w:t>
      </w:r>
      <w:r w:rsidR="001A2BA8">
        <w:t>B</w:t>
      </w:r>
      <w:r>
        <w:t>usiness customers proposed network tariff structures</w:t>
      </w:r>
      <w:bookmarkEnd w:id="1307"/>
      <w:bookmarkEnd w:id="1308"/>
      <w:bookmarkEnd w:id="1309"/>
      <w:bookmarkEnd w:id="1310"/>
      <w:bookmarkEnd w:id="1311"/>
      <w:bookmarkEnd w:id="1312"/>
      <w:bookmarkEnd w:id="1313"/>
      <w:bookmarkEnd w:id="1314"/>
      <w:bookmarkEnd w:id="1315"/>
      <w:bookmarkEnd w:id="1316"/>
      <w:bookmarkEnd w:id="1317"/>
      <w:bookmarkEnd w:id="1318"/>
    </w:p>
    <w:tbl>
      <w:tblPr>
        <w:tblStyle w:val="EEOrangeTable"/>
        <w:tblW w:w="10206" w:type="dxa"/>
        <w:tblInd w:w="-5" w:type="dxa"/>
        <w:tblLook w:val="04A0" w:firstRow="1" w:lastRow="0" w:firstColumn="1" w:lastColumn="0" w:noHBand="0" w:noVBand="1"/>
      </w:tblPr>
      <w:tblGrid>
        <w:gridCol w:w="1980"/>
        <w:gridCol w:w="1134"/>
        <w:gridCol w:w="1134"/>
        <w:gridCol w:w="5958"/>
      </w:tblGrid>
      <w:tr w:rsidR="00022F0C" w:rsidRPr="00C77073" w14:paraId="632864FA" w14:textId="77777777" w:rsidTr="000F16D3">
        <w:trPr>
          <w:cnfStyle w:val="100000000000" w:firstRow="1" w:lastRow="0" w:firstColumn="0" w:lastColumn="0" w:oddVBand="0" w:evenVBand="0" w:oddHBand="0" w:evenHBand="0" w:firstRowFirstColumn="0" w:firstRowLastColumn="0" w:lastRowFirstColumn="0" w:lastRowLastColumn="0"/>
        </w:trPr>
        <w:tc>
          <w:tcPr>
            <w:tcW w:w="1980" w:type="dxa"/>
            <w:tcBorders>
              <w:right w:val="single" w:sz="4" w:space="0" w:color="FFFFFF" w:themeColor="background1"/>
            </w:tcBorders>
          </w:tcPr>
          <w:p w14:paraId="4D9D4FC1" w14:textId="77777777" w:rsidR="00022F0C" w:rsidRPr="00C77073" w:rsidRDefault="00022F0C" w:rsidP="00A950FB">
            <w:pPr>
              <w:pStyle w:val="Tableheadingwhite"/>
            </w:pPr>
            <w:r w:rsidRPr="00C77073">
              <w:t>Tariff</w:t>
            </w:r>
          </w:p>
        </w:tc>
        <w:tc>
          <w:tcPr>
            <w:tcW w:w="1134" w:type="dxa"/>
            <w:tcBorders>
              <w:left w:val="single" w:sz="4" w:space="0" w:color="FFFFFF" w:themeColor="background1"/>
              <w:right w:val="single" w:sz="4" w:space="0" w:color="FFFFFF" w:themeColor="background1"/>
            </w:tcBorders>
          </w:tcPr>
          <w:p w14:paraId="2709731C" w14:textId="77777777" w:rsidR="00022F0C" w:rsidRPr="00C77073" w:rsidRDefault="00022F0C" w:rsidP="00A950FB">
            <w:pPr>
              <w:pStyle w:val="Tableheadingwhite"/>
            </w:pPr>
            <w:r>
              <w:t>Tariff structure</w:t>
            </w:r>
          </w:p>
        </w:tc>
        <w:tc>
          <w:tcPr>
            <w:tcW w:w="1134" w:type="dxa"/>
            <w:tcBorders>
              <w:left w:val="single" w:sz="4" w:space="0" w:color="FFFFFF" w:themeColor="background1"/>
              <w:right w:val="single" w:sz="4" w:space="0" w:color="FFFFFF" w:themeColor="background1"/>
            </w:tcBorders>
          </w:tcPr>
          <w:p w14:paraId="5D49ED09" w14:textId="17439EC5" w:rsidR="00022F0C" w:rsidRDefault="00022F0C" w:rsidP="001F7859">
            <w:pPr>
              <w:pStyle w:val="Tableheadingwhite"/>
            </w:pPr>
            <w:r>
              <w:t>Measure</w:t>
            </w:r>
          </w:p>
        </w:tc>
        <w:tc>
          <w:tcPr>
            <w:tcW w:w="5958" w:type="dxa"/>
            <w:tcBorders>
              <w:left w:val="single" w:sz="4" w:space="0" w:color="FFFFFF" w:themeColor="background1"/>
              <w:right w:val="single" w:sz="12" w:space="0" w:color="F58025" w:themeColor="accent2"/>
            </w:tcBorders>
          </w:tcPr>
          <w:p w14:paraId="3091C467" w14:textId="5040B418" w:rsidR="00022F0C" w:rsidRPr="00C77073" w:rsidRDefault="00022F0C" w:rsidP="00A950FB">
            <w:pPr>
              <w:pStyle w:val="Tableheadingwhite"/>
            </w:pPr>
            <w:r>
              <w:t>Charging parameter</w:t>
            </w:r>
          </w:p>
        </w:tc>
      </w:tr>
      <w:tr w:rsidR="002D763F" w:rsidRPr="00C77073" w14:paraId="74778C06" w14:textId="77777777" w:rsidTr="000F16D3">
        <w:tc>
          <w:tcPr>
            <w:tcW w:w="1980" w:type="dxa"/>
            <w:vMerge w:val="restart"/>
            <w:tcBorders>
              <w:left w:val="single" w:sz="12" w:space="0" w:color="F58025" w:themeColor="accent2"/>
            </w:tcBorders>
            <w:vAlign w:val="center"/>
          </w:tcPr>
          <w:p w14:paraId="1FB6C88D" w14:textId="36FC21CE" w:rsidR="0037797C" w:rsidRPr="00C77073" w:rsidRDefault="002D763F" w:rsidP="00E0227D">
            <w:pPr>
              <w:pStyle w:val="Bodycopytable8pt"/>
            </w:pPr>
            <w:r>
              <w:t xml:space="preserve">High voltage – </w:t>
            </w:r>
            <w:r w:rsidR="00E10C89">
              <w:t>T</w:t>
            </w:r>
            <w:r>
              <w:t xml:space="preserve">ime of </w:t>
            </w:r>
            <w:r w:rsidR="00E10C89">
              <w:t>U</w:t>
            </w:r>
            <w:r>
              <w:t>se average daily demand</w:t>
            </w:r>
          </w:p>
        </w:tc>
        <w:tc>
          <w:tcPr>
            <w:tcW w:w="1134" w:type="dxa"/>
            <w:vAlign w:val="center"/>
          </w:tcPr>
          <w:p w14:paraId="42389B1F" w14:textId="77777777" w:rsidR="002D763F" w:rsidRPr="00C77073" w:rsidRDefault="002D763F" w:rsidP="00A950FB">
            <w:pPr>
              <w:pStyle w:val="Bodycopytable8pt"/>
            </w:pPr>
            <w:r>
              <w:t>Fixed</w:t>
            </w:r>
          </w:p>
        </w:tc>
        <w:tc>
          <w:tcPr>
            <w:tcW w:w="1134" w:type="dxa"/>
          </w:tcPr>
          <w:p w14:paraId="44CF4503" w14:textId="7EB40B4F" w:rsidR="002D763F" w:rsidRDefault="002D763F" w:rsidP="00A950FB">
            <w:pPr>
              <w:pStyle w:val="Bodycopytable8pt"/>
            </w:pPr>
            <w:r>
              <w:t>$/day</w:t>
            </w:r>
          </w:p>
        </w:tc>
        <w:tc>
          <w:tcPr>
            <w:tcW w:w="5958" w:type="dxa"/>
            <w:tcBorders>
              <w:right w:val="single" w:sz="12" w:space="0" w:color="F58025" w:themeColor="accent2"/>
            </w:tcBorders>
          </w:tcPr>
          <w:p w14:paraId="10A3BC32" w14:textId="4189214C" w:rsidR="002D763F" w:rsidRPr="00C77073" w:rsidRDefault="002D763F" w:rsidP="00A950FB">
            <w:pPr>
              <w:pStyle w:val="Bodycopytable8pt"/>
            </w:pPr>
            <w:r>
              <w:t>Network access charge reflecting a fixed amount per day</w:t>
            </w:r>
          </w:p>
        </w:tc>
      </w:tr>
      <w:tr w:rsidR="002D763F" w:rsidRPr="00C77073" w14:paraId="710EF643" w14:textId="77777777" w:rsidTr="000F16D3">
        <w:tc>
          <w:tcPr>
            <w:tcW w:w="1980" w:type="dxa"/>
            <w:vMerge/>
            <w:tcBorders>
              <w:left w:val="single" w:sz="12" w:space="0" w:color="F58025" w:themeColor="accent2"/>
            </w:tcBorders>
          </w:tcPr>
          <w:p w14:paraId="7C781B71" w14:textId="77777777" w:rsidR="002D763F" w:rsidRPr="00C77073" w:rsidRDefault="002D763F" w:rsidP="00A950FB">
            <w:pPr>
              <w:pStyle w:val="Bodycopytable8pt"/>
            </w:pPr>
          </w:p>
        </w:tc>
        <w:tc>
          <w:tcPr>
            <w:tcW w:w="1134" w:type="dxa"/>
            <w:tcBorders>
              <w:bottom w:val="single" w:sz="4" w:space="0" w:color="F58025" w:themeColor="accent2"/>
            </w:tcBorders>
            <w:vAlign w:val="center"/>
          </w:tcPr>
          <w:p w14:paraId="26C1C560" w14:textId="2A484B32" w:rsidR="002D763F" w:rsidRDefault="002D763F" w:rsidP="00A950FB">
            <w:pPr>
              <w:pStyle w:val="Bodycopytable8pt"/>
            </w:pPr>
            <w:r>
              <w:t>Energy</w:t>
            </w:r>
          </w:p>
        </w:tc>
        <w:tc>
          <w:tcPr>
            <w:tcW w:w="1134" w:type="dxa"/>
            <w:tcBorders>
              <w:bottom w:val="single" w:sz="4" w:space="0" w:color="F58025" w:themeColor="accent2"/>
            </w:tcBorders>
            <w:vAlign w:val="center"/>
          </w:tcPr>
          <w:p w14:paraId="247DEAB1" w14:textId="0FA0AD1F" w:rsidR="002D763F" w:rsidRDefault="002D763F" w:rsidP="00783763">
            <w:pPr>
              <w:pStyle w:val="Bodycopytable8pt"/>
            </w:pPr>
            <w:r>
              <w:t>c/kWh</w:t>
            </w:r>
          </w:p>
        </w:tc>
        <w:tc>
          <w:tcPr>
            <w:tcW w:w="5958" w:type="dxa"/>
            <w:tcBorders>
              <w:bottom w:val="single" w:sz="4" w:space="0" w:color="F58025" w:themeColor="accent2"/>
              <w:right w:val="single" w:sz="12" w:space="0" w:color="F58025" w:themeColor="accent2"/>
            </w:tcBorders>
          </w:tcPr>
          <w:p w14:paraId="0C7ABA83" w14:textId="75B4646F" w:rsidR="002D763F" w:rsidRPr="00EF351F" w:rsidRDefault="002D763F" w:rsidP="00783763">
            <w:pPr>
              <w:pStyle w:val="Bodycopytable8pt"/>
            </w:pPr>
            <w:r w:rsidRPr="00EF351F">
              <w:t>Peak, shoulder and off-peak rate based on energy consumed in each period</w:t>
            </w:r>
          </w:p>
          <w:p w14:paraId="5B51FBF8" w14:textId="61266FCA" w:rsidR="002D763F" w:rsidRPr="00EF351F" w:rsidRDefault="002D763F" w:rsidP="00920137">
            <w:pPr>
              <w:pStyle w:val="Bulletsnotindented8pt"/>
            </w:pPr>
            <w:r w:rsidRPr="00EF351F">
              <w:t>Peak period is from 5pm to 8pm on weekdays</w:t>
            </w:r>
          </w:p>
          <w:p w14:paraId="733C44C3" w14:textId="78F3079B" w:rsidR="002D763F" w:rsidRPr="00EF351F" w:rsidRDefault="00313C2C" w:rsidP="00920137">
            <w:pPr>
              <w:pStyle w:val="Bulletsnotindented8pt"/>
            </w:pPr>
            <w:r w:rsidRPr="00EF351F">
              <w:t xml:space="preserve">Shoulder period </w:t>
            </w:r>
            <w:r w:rsidR="002D763F" w:rsidRPr="00EF351F">
              <w:t xml:space="preserve">is from </w:t>
            </w:r>
            <w:r w:rsidR="00A3543E">
              <w:t>7</w:t>
            </w:r>
            <w:r w:rsidR="002D763F" w:rsidRPr="00EF351F">
              <w:t>am to 5pm and 8pm to 10pm on weekdays</w:t>
            </w:r>
          </w:p>
          <w:p w14:paraId="72BDA925" w14:textId="6A26EDB7" w:rsidR="002D763F" w:rsidRPr="00EF351F" w:rsidRDefault="002D763F" w:rsidP="00920137">
            <w:pPr>
              <w:pStyle w:val="Bulletsnotindented8pt"/>
            </w:pPr>
            <w:r w:rsidRPr="00EF351F">
              <w:t>Off peak period is at all other times</w:t>
            </w:r>
          </w:p>
        </w:tc>
      </w:tr>
      <w:tr w:rsidR="002D763F" w:rsidRPr="00C77073" w14:paraId="28906470" w14:textId="77777777" w:rsidTr="000F16D3">
        <w:tc>
          <w:tcPr>
            <w:tcW w:w="1980" w:type="dxa"/>
            <w:vMerge/>
            <w:tcBorders>
              <w:left w:val="single" w:sz="12" w:space="0" w:color="F58025" w:themeColor="accent2"/>
              <w:bottom w:val="single" w:sz="12" w:space="0" w:color="F58025" w:themeColor="accent2"/>
            </w:tcBorders>
          </w:tcPr>
          <w:p w14:paraId="2943B56C" w14:textId="77777777" w:rsidR="002D763F" w:rsidRPr="00C77073" w:rsidRDefault="002D763F" w:rsidP="00A950FB">
            <w:pPr>
              <w:pStyle w:val="Bodycopytable8pt"/>
            </w:pPr>
          </w:p>
        </w:tc>
        <w:tc>
          <w:tcPr>
            <w:tcW w:w="1134" w:type="dxa"/>
            <w:tcBorders>
              <w:bottom w:val="single" w:sz="12" w:space="0" w:color="F58025" w:themeColor="accent2"/>
            </w:tcBorders>
            <w:vAlign w:val="center"/>
          </w:tcPr>
          <w:p w14:paraId="2593B1A6" w14:textId="77777777" w:rsidR="002D763F" w:rsidRPr="00C77073" w:rsidRDefault="002D763F" w:rsidP="00A950FB">
            <w:pPr>
              <w:pStyle w:val="Bodycopytable8pt"/>
            </w:pPr>
            <w:r>
              <w:t>Demand</w:t>
            </w:r>
          </w:p>
        </w:tc>
        <w:tc>
          <w:tcPr>
            <w:tcW w:w="1134" w:type="dxa"/>
            <w:tcBorders>
              <w:bottom w:val="single" w:sz="12" w:space="0" w:color="F58025" w:themeColor="accent2"/>
            </w:tcBorders>
            <w:vAlign w:val="center"/>
          </w:tcPr>
          <w:p w14:paraId="41C247E4" w14:textId="3E1B81AE" w:rsidR="002D763F" w:rsidRDefault="002D763F" w:rsidP="00A950FB">
            <w:pPr>
              <w:pStyle w:val="Bodycopytable8pt"/>
            </w:pPr>
            <w:r>
              <w:t>$/kVA</w:t>
            </w:r>
          </w:p>
        </w:tc>
        <w:tc>
          <w:tcPr>
            <w:tcW w:w="5958" w:type="dxa"/>
            <w:tcBorders>
              <w:bottom w:val="single" w:sz="12" w:space="0" w:color="F58025" w:themeColor="accent2"/>
              <w:right w:val="single" w:sz="12" w:space="0" w:color="F58025" w:themeColor="accent2"/>
            </w:tcBorders>
          </w:tcPr>
          <w:p w14:paraId="2E12F6BC" w14:textId="5FAE6E17" w:rsidR="002D763F" w:rsidRPr="00EF351F" w:rsidRDefault="002D763F" w:rsidP="00A950FB">
            <w:pPr>
              <w:pStyle w:val="Bodycopytable8pt"/>
            </w:pPr>
            <w:r w:rsidRPr="00EF351F">
              <w:t>Demand charge calculated on the average daily time of use demand for peak, shoulder and off-peak periods for the month.</w:t>
            </w:r>
          </w:p>
        </w:tc>
      </w:tr>
      <w:tr w:rsidR="002D763F" w:rsidRPr="00C77073" w14:paraId="4EE381BF" w14:textId="77777777" w:rsidTr="000F16D3">
        <w:tc>
          <w:tcPr>
            <w:tcW w:w="1980" w:type="dxa"/>
            <w:vMerge w:val="restart"/>
            <w:tcBorders>
              <w:top w:val="single" w:sz="12" w:space="0" w:color="F58025" w:themeColor="accent2"/>
              <w:left w:val="single" w:sz="12" w:space="0" w:color="F58025" w:themeColor="accent2"/>
            </w:tcBorders>
            <w:shd w:val="clear" w:color="auto" w:fill="FDE5D3" w:themeFill="accent2" w:themeFillTint="33"/>
            <w:vAlign w:val="center"/>
          </w:tcPr>
          <w:p w14:paraId="4669E3DF" w14:textId="36B75477" w:rsidR="0037797C" w:rsidRPr="00C77073" w:rsidRDefault="002D763F" w:rsidP="00E0227D">
            <w:pPr>
              <w:pStyle w:val="Bodycopytable8pt"/>
            </w:pPr>
            <w:r>
              <w:t xml:space="preserve">High voltage – </w:t>
            </w:r>
            <w:r w:rsidR="00E10C89">
              <w:t>T</w:t>
            </w:r>
            <w:r>
              <w:t xml:space="preserve">ime of </w:t>
            </w:r>
            <w:r w:rsidR="00E10C89">
              <w:t>U</w:t>
            </w:r>
            <w:r>
              <w:t>se monthly demand</w:t>
            </w:r>
          </w:p>
        </w:tc>
        <w:tc>
          <w:tcPr>
            <w:tcW w:w="1134" w:type="dxa"/>
            <w:tcBorders>
              <w:top w:val="single" w:sz="12" w:space="0" w:color="F58025" w:themeColor="accent2"/>
            </w:tcBorders>
            <w:shd w:val="clear" w:color="auto" w:fill="FDE5D3" w:themeFill="accent2" w:themeFillTint="33"/>
            <w:vAlign w:val="center"/>
          </w:tcPr>
          <w:p w14:paraId="6757AAEA" w14:textId="77777777" w:rsidR="002D763F" w:rsidRPr="00C77073" w:rsidRDefault="002D763F" w:rsidP="00A950FB">
            <w:pPr>
              <w:pStyle w:val="Bodycopytable8pt"/>
            </w:pPr>
            <w:r>
              <w:t>Fixed</w:t>
            </w:r>
          </w:p>
        </w:tc>
        <w:tc>
          <w:tcPr>
            <w:tcW w:w="1134" w:type="dxa"/>
            <w:tcBorders>
              <w:top w:val="single" w:sz="12" w:space="0" w:color="F58025" w:themeColor="accent2"/>
            </w:tcBorders>
            <w:shd w:val="clear" w:color="auto" w:fill="FDE5D3" w:themeFill="accent2" w:themeFillTint="33"/>
          </w:tcPr>
          <w:p w14:paraId="7F8E678F" w14:textId="4ED934CD" w:rsidR="002D763F" w:rsidRDefault="002D763F" w:rsidP="00A950FB">
            <w:pPr>
              <w:pStyle w:val="Bodycopytable8pt"/>
            </w:pPr>
            <w:r>
              <w:t>$/day</w:t>
            </w:r>
          </w:p>
        </w:tc>
        <w:tc>
          <w:tcPr>
            <w:tcW w:w="5958" w:type="dxa"/>
            <w:tcBorders>
              <w:top w:val="single" w:sz="12" w:space="0" w:color="F58025" w:themeColor="accent2"/>
              <w:right w:val="single" w:sz="12" w:space="0" w:color="F58025" w:themeColor="accent2"/>
            </w:tcBorders>
            <w:shd w:val="clear" w:color="auto" w:fill="FDE5D3" w:themeFill="accent2" w:themeFillTint="33"/>
          </w:tcPr>
          <w:p w14:paraId="2944C919" w14:textId="448D65FD" w:rsidR="002D763F" w:rsidRPr="00EF351F" w:rsidRDefault="002D763F" w:rsidP="00A950FB">
            <w:pPr>
              <w:pStyle w:val="Bodycopytable8pt"/>
            </w:pPr>
            <w:r w:rsidRPr="00EF351F">
              <w:t>Network access charge reflecting a fixed amount per day</w:t>
            </w:r>
          </w:p>
        </w:tc>
      </w:tr>
      <w:tr w:rsidR="002D763F" w:rsidRPr="00C77073" w14:paraId="4E51446B" w14:textId="77777777" w:rsidTr="000F16D3">
        <w:tc>
          <w:tcPr>
            <w:tcW w:w="1980" w:type="dxa"/>
            <w:vMerge/>
            <w:tcBorders>
              <w:left w:val="single" w:sz="12" w:space="0" w:color="F58025" w:themeColor="accent2"/>
            </w:tcBorders>
            <w:shd w:val="clear" w:color="auto" w:fill="FDE5D3" w:themeFill="accent2" w:themeFillTint="33"/>
          </w:tcPr>
          <w:p w14:paraId="02094121" w14:textId="77777777" w:rsidR="002D763F" w:rsidRPr="00C77073" w:rsidRDefault="002D763F" w:rsidP="00A950FB">
            <w:pPr>
              <w:pStyle w:val="Bodycopytable8pt"/>
            </w:pPr>
          </w:p>
        </w:tc>
        <w:tc>
          <w:tcPr>
            <w:tcW w:w="1134" w:type="dxa"/>
            <w:tcBorders>
              <w:bottom w:val="single" w:sz="4" w:space="0" w:color="F58025" w:themeColor="accent2"/>
            </w:tcBorders>
            <w:shd w:val="clear" w:color="auto" w:fill="FDE5D3" w:themeFill="accent2" w:themeFillTint="33"/>
            <w:vAlign w:val="center"/>
          </w:tcPr>
          <w:p w14:paraId="38144264" w14:textId="699A60DA" w:rsidR="002D763F" w:rsidRDefault="002D763F">
            <w:pPr>
              <w:pStyle w:val="Bodycopytable8pt"/>
            </w:pPr>
            <w:r>
              <w:t>Energy</w:t>
            </w:r>
          </w:p>
        </w:tc>
        <w:tc>
          <w:tcPr>
            <w:tcW w:w="1134" w:type="dxa"/>
            <w:tcBorders>
              <w:bottom w:val="single" w:sz="4" w:space="0" w:color="F58025" w:themeColor="accent2"/>
            </w:tcBorders>
            <w:shd w:val="clear" w:color="auto" w:fill="FDE5D3" w:themeFill="accent2" w:themeFillTint="33"/>
            <w:vAlign w:val="center"/>
          </w:tcPr>
          <w:p w14:paraId="5A93A249" w14:textId="4AE7C119" w:rsidR="002D763F" w:rsidRDefault="002D763F" w:rsidP="00411093">
            <w:pPr>
              <w:pStyle w:val="Bodycopytable8pt"/>
            </w:pPr>
            <w:r>
              <w:t>c/kWh</w:t>
            </w:r>
          </w:p>
        </w:tc>
        <w:tc>
          <w:tcPr>
            <w:tcW w:w="5958" w:type="dxa"/>
            <w:tcBorders>
              <w:bottom w:val="single" w:sz="4" w:space="0" w:color="F58025" w:themeColor="accent2"/>
              <w:right w:val="single" w:sz="12" w:space="0" w:color="F58025" w:themeColor="accent2"/>
            </w:tcBorders>
            <w:shd w:val="clear" w:color="auto" w:fill="FDE5D3" w:themeFill="accent2" w:themeFillTint="33"/>
          </w:tcPr>
          <w:p w14:paraId="2750B1DE" w14:textId="14FA1F68" w:rsidR="002D763F" w:rsidRPr="00EF351F" w:rsidRDefault="002D763F">
            <w:pPr>
              <w:pStyle w:val="Bodycopytable8pt"/>
            </w:pPr>
            <w:r w:rsidRPr="00EF351F">
              <w:t>Peak, shoulder and off-peak rate based on energy consumed in each period</w:t>
            </w:r>
          </w:p>
          <w:p w14:paraId="5DC44CD7" w14:textId="698F0164" w:rsidR="002D763F" w:rsidRPr="00EF351F" w:rsidRDefault="002D763F" w:rsidP="00920137">
            <w:pPr>
              <w:pStyle w:val="Bulletsnotindented8pt"/>
            </w:pPr>
            <w:r w:rsidRPr="00EF351F">
              <w:t>Peak period is from 5pm to 8pm on weekdays</w:t>
            </w:r>
          </w:p>
          <w:p w14:paraId="4EC4C0FA" w14:textId="1E77CFA1" w:rsidR="002D763F" w:rsidRPr="00EF351F" w:rsidRDefault="00313C2C" w:rsidP="00920137">
            <w:pPr>
              <w:pStyle w:val="Bulletsnotindented8pt"/>
            </w:pPr>
            <w:r w:rsidRPr="00EF351F">
              <w:t>Shoulder period</w:t>
            </w:r>
            <w:r w:rsidR="002D763F" w:rsidRPr="00EF351F">
              <w:t xml:space="preserve"> is from </w:t>
            </w:r>
            <w:r w:rsidR="00A3543E">
              <w:t>7</w:t>
            </w:r>
            <w:r w:rsidR="002D763F" w:rsidRPr="00EF351F">
              <w:t>am to 5pm and 8pm to 10pm on weekdays</w:t>
            </w:r>
          </w:p>
          <w:p w14:paraId="7C43C108" w14:textId="6D2C0DBC" w:rsidR="002D763F" w:rsidRPr="00EF351F" w:rsidRDefault="002D763F" w:rsidP="00920137">
            <w:pPr>
              <w:pStyle w:val="Bulletsnotindented8pt"/>
            </w:pPr>
            <w:r w:rsidRPr="00EF351F">
              <w:t>Off peak period is at all other times</w:t>
            </w:r>
          </w:p>
        </w:tc>
      </w:tr>
      <w:tr w:rsidR="002D763F" w:rsidRPr="00C77073" w14:paraId="33F5DDA1" w14:textId="77777777" w:rsidTr="000F16D3">
        <w:tc>
          <w:tcPr>
            <w:tcW w:w="1980" w:type="dxa"/>
            <w:vMerge/>
            <w:tcBorders>
              <w:left w:val="single" w:sz="12" w:space="0" w:color="F58025" w:themeColor="accent2"/>
              <w:bottom w:val="single" w:sz="12" w:space="0" w:color="F58025" w:themeColor="accent2"/>
            </w:tcBorders>
            <w:shd w:val="clear" w:color="auto" w:fill="FDE5D3" w:themeFill="accent2" w:themeFillTint="33"/>
          </w:tcPr>
          <w:p w14:paraId="08F56909" w14:textId="77777777" w:rsidR="002D763F" w:rsidRPr="00C77073" w:rsidRDefault="002D763F" w:rsidP="00A950FB">
            <w:pPr>
              <w:pStyle w:val="Bodycopytable8pt"/>
            </w:pPr>
          </w:p>
        </w:tc>
        <w:tc>
          <w:tcPr>
            <w:tcW w:w="1134" w:type="dxa"/>
            <w:tcBorders>
              <w:bottom w:val="single" w:sz="12" w:space="0" w:color="F58025" w:themeColor="accent2"/>
            </w:tcBorders>
            <w:shd w:val="clear" w:color="auto" w:fill="FDE5D3" w:themeFill="accent2" w:themeFillTint="33"/>
            <w:vAlign w:val="center"/>
          </w:tcPr>
          <w:p w14:paraId="49CB4048" w14:textId="77777777" w:rsidR="002D763F" w:rsidRPr="00C77073" w:rsidRDefault="002D763F" w:rsidP="00A950FB">
            <w:pPr>
              <w:pStyle w:val="Bodycopytable8pt"/>
            </w:pPr>
            <w:r>
              <w:t>Demand</w:t>
            </w:r>
          </w:p>
        </w:tc>
        <w:tc>
          <w:tcPr>
            <w:tcW w:w="1134" w:type="dxa"/>
            <w:tcBorders>
              <w:bottom w:val="single" w:sz="12" w:space="0" w:color="F58025" w:themeColor="accent2"/>
            </w:tcBorders>
            <w:shd w:val="clear" w:color="auto" w:fill="FDE5D3" w:themeFill="accent2" w:themeFillTint="33"/>
            <w:vAlign w:val="center"/>
          </w:tcPr>
          <w:p w14:paraId="66329502" w14:textId="2E1017D4" w:rsidR="002D763F" w:rsidRDefault="002D763F" w:rsidP="00A950FB">
            <w:pPr>
              <w:pStyle w:val="Bodycopytable8pt"/>
            </w:pPr>
            <w:r>
              <w:t>$/kVA</w:t>
            </w:r>
          </w:p>
        </w:tc>
        <w:tc>
          <w:tcPr>
            <w:tcW w:w="5958" w:type="dxa"/>
            <w:tcBorders>
              <w:bottom w:val="single" w:sz="12" w:space="0" w:color="F58025" w:themeColor="accent2"/>
              <w:right w:val="single" w:sz="12" w:space="0" w:color="F58025" w:themeColor="accent2"/>
            </w:tcBorders>
            <w:shd w:val="clear" w:color="auto" w:fill="FDE5D3" w:themeFill="accent2" w:themeFillTint="33"/>
          </w:tcPr>
          <w:p w14:paraId="156DE4F9" w14:textId="7736250D" w:rsidR="002D763F" w:rsidRPr="00C77073" w:rsidRDefault="002D763F" w:rsidP="00A950FB">
            <w:pPr>
              <w:pStyle w:val="Bodycopytable8pt"/>
            </w:pPr>
            <w:r w:rsidRPr="00721DB3">
              <w:t>Maximum demand charge based on the highest measured half-hour kVA demand registered in each of the peak, shoulder and off-peak periods during the month.</w:t>
            </w:r>
          </w:p>
        </w:tc>
      </w:tr>
    </w:tbl>
    <w:p w14:paraId="7462842E" w14:textId="77777777" w:rsidR="008322A1" w:rsidRDefault="008322A1" w:rsidP="00BA11A2">
      <w:pPr>
        <w:pStyle w:val="Bodycopy"/>
      </w:pPr>
    </w:p>
    <w:p w14:paraId="24680DC2" w14:textId="77777777" w:rsidR="000F16D3" w:rsidRDefault="000F16D3" w:rsidP="00C404E9">
      <w:pPr>
        <w:pStyle w:val="Bodycopy"/>
      </w:pPr>
      <w:r>
        <w:br w:type="page"/>
      </w:r>
    </w:p>
    <w:p w14:paraId="463DAFBE" w14:textId="6D89EB3D" w:rsidR="00022F0C" w:rsidRDefault="00022F0C" w:rsidP="00094667">
      <w:pPr>
        <w:pStyle w:val="Heading2"/>
      </w:pPr>
      <w:bookmarkStart w:id="1319" w:name="_Toc462994063"/>
      <w:bookmarkStart w:id="1320" w:name="_Toc463343027"/>
      <w:r w:rsidRPr="00BA11A2">
        <w:lastRenderedPageBreak/>
        <w:t>Large</w:t>
      </w:r>
      <w:r>
        <w:t xml:space="preserve"> </w:t>
      </w:r>
      <w:r w:rsidR="005504D5">
        <w:t>B</w:t>
      </w:r>
      <w:r>
        <w:t xml:space="preserve">usiness </w:t>
      </w:r>
      <w:r w:rsidR="0067436E">
        <w:t>Sub-transmission</w:t>
      </w:r>
      <w:r>
        <w:t xml:space="preserve"> </w:t>
      </w:r>
      <w:r w:rsidR="005504D5">
        <w:t>customers</w:t>
      </w:r>
      <w:r w:rsidR="00B6416E">
        <w:t>’</w:t>
      </w:r>
      <w:r w:rsidR="005504D5">
        <w:t xml:space="preserve"> </w:t>
      </w:r>
      <w:r>
        <w:t>network tariffs and charging parameters</w:t>
      </w:r>
      <w:bookmarkEnd w:id="1319"/>
      <w:bookmarkEnd w:id="1320"/>
    </w:p>
    <w:p w14:paraId="478BDE85" w14:textId="79EFABBE" w:rsidR="00022F0C" w:rsidRDefault="00022F0C" w:rsidP="00933D39">
      <w:pPr>
        <w:pStyle w:val="Bodycopy"/>
      </w:pPr>
      <w:r>
        <w:t>We propose continu</w:t>
      </w:r>
      <w:r w:rsidR="00BF4FE4">
        <w:t>ing to</w:t>
      </w:r>
      <w:r>
        <w:t xml:space="preserve"> offer </w:t>
      </w:r>
      <w:r w:rsidR="00C658F7">
        <w:t>two</w:t>
      </w:r>
      <w:r w:rsidR="00F763A5">
        <w:t xml:space="preserve"> </w:t>
      </w:r>
      <w:r w:rsidR="00814719">
        <w:t>network tariff</w:t>
      </w:r>
      <w:r w:rsidR="00BE2E69">
        <w:t xml:space="preserve"> </w:t>
      </w:r>
      <w:r w:rsidR="00C658F7">
        <w:t xml:space="preserve">options </w:t>
      </w:r>
      <w:r w:rsidR="00BE2E69">
        <w:t>for Large B</w:t>
      </w:r>
      <w:r>
        <w:t>usiness</w:t>
      </w:r>
      <w:r w:rsidR="00BE2E69">
        <w:t xml:space="preserve"> </w:t>
      </w:r>
      <w:r w:rsidR="0067436E">
        <w:t>Sub-transmission</w:t>
      </w:r>
      <w:r>
        <w:t xml:space="preserve"> customers</w:t>
      </w:r>
      <w:r w:rsidR="00BE2E69">
        <w:t xml:space="preserve"> under the </w:t>
      </w:r>
      <w:r w:rsidR="0067436E">
        <w:t>‘Sub-transmission’</w:t>
      </w:r>
      <w:r w:rsidR="00BE2E69">
        <w:t xml:space="preserve"> tariff class</w:t>
      </w:r>
      <w:r>
        <w:t>. The</w:t>
      </w:r>
      <w:r w:rsidR="00F763A5">
        <w:t xml:space="preserve"> tariff</w:t>
      </w:r>
      <w:r>
        <w:t xml:space="preserve"> and the associated eligibility criteria are shown in</w:t>
      </w:r>
      <w:r w:rsidR="00933D39">
        <w:t xml:space="preserve"> </w:t>
      </w:r>
      <w:r w:rsidR="00933D39">
        <w:fldChar w:fldCharType="begin"/>
      </w:r>
      <w:r w:rsidR="00933D39">
        <w:instrText xml:space="preserve"> REF _Ref432598380 \h </w:instrText>
      </w:r>
      <w:r w:rsidR="00933D39">
        <w:fldChar w:fldCharType="separate"/>
      </w:r>
      <w:r w:rsidR="0073687F">
        <w:t xml:space="preserve">Table </w:t>
      </w:r>
      <w:r w:rsidR="0073687F">
        <w:rPr>
          <w:noProof/>
        </w:rPr>
        <w:t>4</w:t>
      </w:r>
      <w:r w:rsidR="0073687F">
        <w:noBreakHyphen/>
      </w:r>
      <w:r w:rsidR="0073687F">
        <w:rPr>
          <w:noProof/>
        </w:rPr>
        <w:t>11</w:t>
      </w:r>
      <w:r w:rsidR="00933D39">
        <w:fldChar w:fldCharType="end"/>
      </w:r>
      <w:r>
        <w:t xml:space="preserve"> below</w:t>
      </w:r>
      <w:r w:rsidR="00B6416E">
        <w:t>.</w:t>
      </w:r>
    </w:p>
    <w:p w14:paraId="10E63296" w14:textId="77777777" w:rsidR="00441DE4" w:rsidRDefault="00441DE4" w:rsidP="00933D39">
      <w:pPr>
        <w:pStyle w:val="Bodycopy"/>
      </w:pPr>
    </w:p>
    <w:p w14:paraId="341D1B4B" w14:textId="5143FE20" w:rsidR="00A978CC" w:rsidRDefault="00A978CC" w:rsidP="001F7859">
      <w:pPr>
        <w:pStyle w:val="Caption"/>
      </w:pPr>
      <w:bookmarkStart w:id="1321" w:name="_Ref432593267"/>
      <w:bookmarkStart w:id="1322" w:name="_Ref432598380"/>
      <w:bookmarkStart w:id="1323" w:name="_Toc432597597"/>
      <w:bookmarkStart w:id="1324" w:name="_Toc434839506"/>
      <w:bookmarkStart w:id="1325" w:name="_Toc435177031"/>
      <w:bookmarkStart w:id="1326" w:name="_Toc435454538"/>
      <w:bookmarkStart w:id="1327" w:name="_Toc435608284"/>
      <w:bookmarkStart w:id="1328" w:name="_Toc435629502"/>
      <w:bookmarkStart w:id="1329" w:name="_Toc436127231"/>
      <w:bookmarkStart w:id="1330" w:name="_Toc436226265"/>
      <w:bookmarkStart w:id="1331" w:name="_Toc436304597"/>
      <w:bookmarkStart w:id="1332" w:name="_Toc462988235"/>
      <w:bookmarkStart w:id="1333" w:name="_Toc462994037"/>
      <w:bookmarkStart w:id="1334" w:name="_Toc463343044"/>
      <w:r>
        <w:t xml:space="preserve">Table </w:t>
      </w:r>
      <w:fldSimple w:instr=" STYLEREF 1 \s ">
        <w:r w:rsidR="0073687F">
          <w:rPr>
            <w:noProof/>
          </w:rPr>
          <w:t>4</w:t>
        </w:r>
      </w:fldSimple>
      <w:r w:rsidR="00A52BA8">
        <w:noBreakHyphen/>
      </w:r>
      <w:fldSimple w:instr=" SEQ Table \* ARABIC \s 1 ">
        <w:r w:rsidR="0073687F">
          <w:rPr>
            <w:noProof/>
          </w:rPr>
          <w:t>11</w:t>
        </w:r>
      </w:fldSimple>
      <w:bookmarkEnd w:id="1321"/>
      <w:bookmarkEnd w:id="1322"/>
      <w:r w:rsidR="00BE2E69">
        <w:t xml:space="preserve">: Eligibility for Large Business </w:t>
      </w:r>
      <w:r w:rsidR="0067436E">
        <w:t>Sub-transmission</w:t>
      </w:r>
      <w:r>
        <w:t xml:space="preserve"> </w:t>
      </w:r>
      <w:r w:rsidR="005504D5">
        <w:t xml:space="preserve">customer </w:t>
      </w:r>
      <w:r>
        <w:t>tariffs</w:t>
      </w:r>
      <w:bookmarkEnd w:id="1323"/>
      <w:bookmarkEnd w:id="1324"/>
      <w:bookmarkEnd w:id="1325"/>
      <w:bookmarkEnd w:id="1326"/>
      <w:bookmarkEnd w:id="1327"/>
      <w:bookmarkEnd w:id="1328"/>
      <w:bookmarkEnd w:id="1329"/>
      <w:bookmarkEnd w:id="1330"/>
      <w:bookmarkEnd w:id="1331"/>
      <w:bookmarkEnd w:id="1332"/>
      <w:bookmarkEnd w:id="1333"/>
      <w:bookmarkEnd w:id="1334"/>
    </w:p>
    <w:tbl>
      <w:tblPr>
        <w:tblStyle w:val="EEOrangeTable"/>
        <w:tblW w:w="10206" w:type="dxa"/>
        <w:tblInd w:w="-5" w:type="dxa"/>
        <w:tblLook w:val="04A0" w:firstRow="1" w:lastRow="0" w:firstColumn="1" w:lastColumn="0" w:noHBand="0" w:noVBand="1"/>
      </w:tblPr>
      <w:tblGrid>
        <w:gridCol w:w="2095"/>
        <w:gridCol w:w="8111"/>
      </w:tblGrid>
      <w:tr w:rsidR="00A978CC" w:rsidRPr="00C77073" w14:paraId="740BBE14" w14:textId="77777777" w:rsidTr="000F16D3">
        <w:trPr>
          <w:cnfStyle w:val="100000000000" w:firstRow="1" w:lastRow="0" w:firstColumn="0" w:lastColumn="0" w:oddVBand="0" w:evenVBand="0" w:oddHBand="0" w:evenHBand="0" w:firstRowFirstColumn="0" w:firstRowLastColumn="0" w:lastRowFirstColumn="0" w:lastRowLastColumn="0"/>
        </w:trPr>
        <w:tc>
          <w:tcPr>
            <w:tcW w:w="2095" w:type="dxa"/>
            <w:tcBorders>
              <w:right w:val="single" w:sz="4" w:space="0" w:color="FFFFFF" w:themeColor="background1"/>
            </w:tcBorders>
          </w:tcPr>
          <w:p w14:paraId="17E3ACDD" w14:textId="77777777" w:rsidR="00A978CC" w:rsidRPr="00C77073" w:rsidRDefault="00A978CC" w:rsidP="00F763A5">
            <w:pPr>
              <w:pStyle w:val="Tableheadingwhite"/>
            </w:pPr>
            <w:r w:rsidRPr="00C77073">
              <w:t>Tariff</w:t>
            </w:r>
          </w:p>
        </w:tc>
        <w:tc>
          <w:tcPr>
            <w:tcW w:w="8111" w:type="dxa"/>
            <w:tcBorders>
              <w:left w:val="single" w:sz="4" w:space="0" w:color="FFFFFF" w:themeColor="background1"/>
              <w:right w:val="single" w:sz="12" w:space="0" w:color="F58025" w:themeColor="accent2"/>
            </w:tcBorders>
          </w:tcPr>
          <w:p w14:paraId="146B50E9" w14:textId="77777777" w:rsidR="00A978CC" w:rsidRPr="00C77073" w:rsidRDefault="00A978CC" w:rsidP="00F763A5">
            <w:pPr>
              <w:pStyle w:val="Tableheadingwhite"/>
            </w:pPr>
            <w:r>
              <w:t>Eligibility</w:t>
            </w:r>
          </w:p>
        </w:tc>
      </w:tr>
      <w:tr w:rsidR="00A978CC" w:rsidRPr="00C77073" w14:paraId="7F8AFA8D" w14:textId="77777777" w:rsidTr="000F16D3">
        <w:trPr>
          <w:trHeight w:val="448"/>
        </w:trPr>
        <w:tc>
          <w:tcPr>
            <w:tcW w:w="2095" w:type="dxa"/>
            <w:tcBorders>
              <w:top w:val="single" w:sz="4" w:space="0" w:color="F58025" w:themeColor="accent2"/>
              <w:left w:val="single" w:sz="12" w:space="0" w:color="F58025" w:themeColor="accent2"/>
              <w:bottom w:val="single" w:sz="4" w:space="0" w:color="F58025" w:themeColor="accent2"/>
            </w:tcBorders>
            <w:vAlign w:val="center"/>
          </w:tcPr>
          <w:p w14:paraId="0187F164" w14:textId="5C2F6F34" w:rsidR="00A978CC" w:rsidRPr="00C77073" w:rsidRDefault="0067436E" w:rsidP="00F763A5">
            <w:pPr>
              <w:pStyle w:val="Bodycopytable8pt"/>
            </w:pPr>
            <w:r>
              <w:t>Sub-transmission</w:t>
            </w:r>
            <w:r w:rsidR="00A978CC">
              <w:t xml:space="preserve"> – three rate demand</w:t>
            </w:r>
          </w:p>
        </w:tc>
        <w:tc>
          <w:tcPr>
            <w:tcW w:w="8111" w:type="dxa"/>
            <w:tcBorders>
              <w:top w:val="single" w:sz="4" w:space="0" w:color="F58025" w:themeColor="accent2"/>
              <w:bottom w:val="single" w:sz="4" w:space="0" w:color="F58025" w:themeColor="accent2"/>
              <w:right w:val="single" w:sz="12" w:space="0" w:color="F58025" w:themeColor="accent2"/>
            </w:tcBorders>
            <w:vAlign w:val="center"/>
          </w:tcPr>
          <w:p w14:paraId="57444100" w14:textId="2222228F" w:rsidR="00A978CC" w:rsidRDefault="0067436E" w:rsidP="00920137">
            <w:pPr>
              <w:pStyle w:val="Bulletsnotindented8pt"/>
            </w:pPr>
            <w:r>
              <w:t>Sub-transmission</w:t>
            </w:r>
            <w:r w:rsidR="00A978CC">
              <w:t xml:space="preserve"> connection</w:t>
            </w:r>
            <w:r w:rsidR="00F763A5">
              <w:t xml:space="preserve"> (as defined by Essential Energy)</w:t>
            </w:r>
          </w:p>
          <w:p w14:paraId="707E7544" w14:textId="77777777" w:rsidR="00A978CC" w:rsidRDefault="00A978CC" w:rsidP="00920137">
            <w:pPr>
              <w:pStyle w:val="Bulletsnotindented8pt"/>
            </w:pPr>
            <w:r>
              <w:t>Business premises where consumption exceeds 160 MWh per year</w:t>
            </w:r>
          </w:p>
          <w:p w14:paraId="66B201C3" w14:textId="77777777" w:rsidR="00A978CC" w:rsidRDefault="00A978CC" w:rsidP="00920137">
            <w:pPr>
              <w:pStyle w:val="Bulletsnotindented8pt"/>
            </w:pPr>
            <w:r>
              <w:t>Interval capable meter</w:t>
            </w:r>
          </w:p>
          <w:p w14:paraId="5A36B357" w14:textId="7BC66BF4" w:rsidR="00247295" w:rsidRPr="00C77073" w:rsidRDefault="00247295" w:rsidP="00920137">
            <w:pPr>
              <w:pStyle w:val="Bulletsnotindented8pt"/>
            </w:pPr>
            <w:r>
              <w:t>N</w:t>
            </w:r>
            <w:r w:rsidRPr="00247295">
              <w:t xml:space="preserve">ot applicable for connection to dual purpose </w:t>
            </w:r>
            <w:r w:rsidR="0067436E">
              <w:t>sub-transmission</w:t>
            </w:r>
            <w:r w:rsidRPr="00247295">
              <w:t>/distribution circuits</w:t>
            </w:r>
          </w:p>
        </w:tc>
      </w:tr>
      <w:tr w:rsidR="00C658F7" w:rsidRPr="00C77073" w14:paraId="032DB745" w14:textId="77777777" w:rsidTr="000F16D3">
        <w:trPr>
          <w:trHeight w:val="448"/>
        </w:trPr>
        <w:tc>
          <w:tcPr>
            <w:tcW w:w="2095" w:type="dxa"/>
            <w:tcBorders>
              <w:top w:val="single" w:sz="4" w:space="0" w:color="F58025" w:themeColor="accent2"/>
              <w:left w:val="single" w:sz="12" w:space="0" w:color="F58025" w:themeColor="accent2"/>
              <w:bottom w:val="single" w:sz="12" w:space="0" w:color="F58025" w:themeColor="accent2"/>
            </w:tcBorders>
            <w:shd w:val="clear" w:color="auto" w:fill="FDE5D3" w:themeFill="accent2" w:themeFillTint="33"/>
            <w:vAlign w:val="center"/>
          </w:tcPr>
          <w:p w14:paraId="510BDACE" w14:textId="20F8EC8D" w:rsidR="00C658F7" w:rsidRDefault="00C658F7" w:rsidP="00F763A5">
            <w:pPr>
              <w:pStyle w:val="Bodycopytable8pt"/>
            </w:pPr>
            <w:r>
              <w:t xml:space="preserve">Site specific </w:t>
            </w:r>
          </w:p>
        </w:tc>
        <w:tc>
          <w:tcPr>
            <w:tcW w:w="8111" w:type="dxa"/>
            <w:tcBorders>
              <w:top w:val="single" w:sz="4" w:space="0" w:color="F58025" w:themeColor="accent2"/>
              <w:bottom w:val="single" w:sz="12" w:space="0" w:color="F58025" w:themeColor="accent2"/>
              <w:right w:val="single" w:sz="12" w:space="0" w:color="F58025" w:themeColor="accent2"/>
            </w:tcBorders>
            <w:shd w:val="clear" w:color="auto" w:fill="FDE5D3" w:themeFill="accent2" w:themeFillTint="33"/>
            <w:vAlign w:val="center"/>
          </w:tcPr>
          <w:p w14:paraId="24304BCC" w14:textId="77777777" w:rsidR="00C658F7" w:rsidRDefault="00C658F7" w:rsidP="00920137">
            <w:pPr>
              <w:pStyle w:val="Bulletsnotindented8pt"/>
            </w:pPr>
            <w:r>
              <w:t>Certain large business customers</w:t>
            </w:r>
          </w:p>
          <w:p w14:paraId="4ED60294" w14:textId="375B16E5" w:rsidR="00C658F7" w:rsidRDefault="00C658F7" w:rsidP="00920137">
            <w:pPr>
              <w:pStyle w:val="Bulletsnotindented8pt"/>
            </w:pPr>
            <w:r>
              <w:t xml:space="preserve">On </w:t>
            </w:r>
            <w:r w:rsidR="001A2BA8">
              <w:t xml:space="preserve">a </w:t>
            </w:r>
            <w:r>
              <w:t>case-by-case basis by application to Essential Energy</w:t>
            </w:r>
          </w:p>
        </w:tc>
      </w:tr>
    </w:tbl>
    <w:p w14:paraId="48E9E9E0" w14:textId="77777777" w:rsidR="00FF4F37" w:rsidRDefault="00FF4F37" w:rsidP="00E01ED3">
      <w:pPr>
        <w:pStyle w:val="Bodycopy"/>
      </w:pPr>
    </w:p>
    <w:p w14:paraId="7A4433AA" w14:textId="49C8097E" w:rsidR="002B4D5E" w:rsidRDefault="00533B7B" w:rsidP="002B4D5E">
      <w:pPr>
        <w:pStyle w:val="Bodycopy"/>
      </w:pPr>
      <w:r w:rsidRPr="000E1434">
        <w:t xml:space="preserve">The associated </w:t>
      </w:r>
      <w:r>
        <w:t>tariff structure a</w:t>
      </w:r>
      <w:r w:rsidR="00BE2E69">
        <w:t xml:space="preserve">nd charging parameters for our Large Business </w:t>
      </w:r>
      <w:r w:rsidR="0067436E">
        <w:t>Sub-transmission</w:t>
      </w:r>
      <w:r>
        <w:t xml:space="preserve"> </w:t>
      </w:r>
      <w:r w:rsidR="007F4879">
        <w:t>customer</w:t>
      </w:r>
      <w:r w:rsidR="00BE2E69">
        <w:t xml:space="preserve"> </w:t>
      </w:r>
      <w:r>
        <w:t>tariff</w:t>
      </w:r>
      <w:r w:rsidR="00C658F7">
        <w:t>s</w:t>
      </w:r>
      <w:r>
        <w:t xml:space="preserve"> </w:t>
      </w:r>
      <w:r w:rsidR="00BF4FE4">
        <w:t>are</w:t>
      </w:r>
      <w:r>
        <w:t xml:space="preserve"> shown in </w:t>
      </w:r>
      <w:r w:rsidR="00DF4907">
        <w:fldChar w:fldCharType="begin"/>
      </w:r>
      <w:r w:rsidR="00DF4907">
        <w:instrText xml:space="preserve"> REF _Ref432434300 \h </w:instrText>
      </w:r>
      <w:r w:rsidR="00DF4907">
        <w:fldChar w:fldCharType="separate"/>
      </w:r>
      <w:r w:rsidR="0073687F">
        <w:t xml:space="preserve">Table </w:t>
      </w:r>
      <w:r w:rsidR="0073687F">
        <w:rPr>
          <w:noProof/>
        </w:rPr>
        <w:t>4</w:t>
      </w:r>
      <w:r w:rsidR="0073687F">
        <w:noBreakHyphen/>
      </w:r>
      <w:r w:rsidR="0073687F">
        <w:rPr>
          <w:noProof/>
        </w:rPr>
        <w:t>12</w:t>
      </w:r>
      <w:r w:rsidR="00DF4907">
        <w:fldChar w:fldCharType="end"/>
      </w:r>
      <w:r w:rsidR="00DF4907">
        <w:t xml:space="preserve"> </w:t>
      </w:r>
      <w:r>
        <w:t>below</w:t>
      </w:r>
      <w:r w:rsidR="00BE2E69">
        <w:t xml:space="preserve">. </w:t>
      </w:r>
      <w:r w:rsidR="00BE2E69" w:rsidRPr="003970B7">
        <w:t>The</w:t>
      </w:r>
      <w:r w:rsidR="00BE2E69">
        <w:t xml:space="preserve"> structure</w:t>
      </w:r>
      <w:r w:rsidR="00C658F7">
        <w:t>s are</w:t>
      </w:r>
      <w:r w:rsidR="00BE2E69">
        <w:t xml:space="preserve"> identical to our existing tariff</w:t>
      </w:r>
      <w:r w:rsidR="00C658F7">
        <w:t>s</w:t>
      </w:r>
      <w:r w:rsidR="00BE2E69">
        <w:t xml:space="preserve"> for </w:t>
      </w:r>
      <w:r w:rsidR="00BE2E69" w:rsidRPr="00EF351F">
        <w:t xml:space="preserve">Large Business </w:t>
      </w:r>
      <w:r w:rsidR="0067436E">
        <w:t>Sub-transmission</w:t>
      </w:r>
      <w:r w:rsidR="00BE2E69" w:rsidRPr="00EF351F">
        <w:t xml:space="preserve"> </w:t>
      </w:r>
      <w:r w:rsidR="00C658F7" w:rsidRPr="00EF351F">
        <w:t xml:space="preserve">and Inter distributor transfer </w:t>
      </w:r>
      <w:r w:rsidR="00BE2E69" w:rsidRPr="00EF351F">
        <w:t>customers</w:t>
      </w:r>
      <w:r w:rsidR="009F3824" w:rsidRPr="00EF351F">
        <w:t xml:space="preserve"> except for the change in charging windows. The morning peak has been removed and replaced with a</w:t>
      </w:r>
      <w:r w:rsidR="007618B1">
        <w:t>n extension of the day-time</w:t>
      </w:r>
      <w:r w:rsidR="000C1B28">
        <w:t xml:space="preserve"> shoulder</w:t>
      </w:r>
      <w:r w:rsidR="007618B1">
        <w:t xml:space="preserve"> window</w:t>
      </w:r>
      <w:r w:rsidR="00BF4FE4">
        <w:t xml:space="preserve">, </w:t>
      </w:r>
      <w:r w:rsidR="009F3824" w:rsidRPr="00EF351F">
        <w:t xml:space="preserve">in line with our </w:t>
      </w:r>
      <w:r w:rsidR="00EF351F">
        <w:t xml:space="preserve">latest </w:t>
      </w:r>
      <w:r w:rsidR="009F3824" w:rsidRPr="00EF351F">
        <w:t xml:space="preserve">network </w:t>
      </w:r>
      <w:r w:rsidR="00B6416E">
        <w:t xml:space="preserve">use </w:t>
      </w:r>
      <w:r w:rsidR="009F3824" w:rsidRPr="00EF351F">
        <w:t>analysis</w:t>
      </w:r>
      <w:r w:rsidR="00B6416E">
        <w:t xml:space="preserve"> and the AER’s feedback in its draft decision</w:t>
      </w:r>
      <w:r w:rsidR="009F3824" w:rsidRPr="00EF351F">
        <w:t>.</w:t>
      </w:r>
    </w:p>
    <w:p w14:paraId="42BF37CA" w14:textId="77777777" w:rsidR="00441DE4" w:rsidRPr="001F7859" w:rsidRDefault="00441DE4" w:rsidP="002B4D5E">
      <w:pPr>
        <w:pStyle w:val="Bodycopy"/>
      </w:pPr>
    </w:p>
    <w:p w14:paraId="257EFA38" w14:textId="09BC5723" w:rsidR="002B4D5E" w:rsidRDefault="002B4D5E" w:rsidP="002B4D5E">
      <w:pPr>
        <w:pStyle w:val="Caption"/>
        <w:rPr>
          <w:highlight w:val="cyan"/>
        </w:rPr>
      </w:pPr>
      <w:bookmarkStart w:id="1335" w:name="_Ref432434300"/>
      <w:bookmarkStart w:id="1336" w:name="_Toc432597598"/>
      <w:bookmarkStart w:id="1337" w:name="_Toc434839507"/>
      <w:bookmarkStart w:id="1338" w:name="_Toc435177032"/>
      <w:bookmarkStart w:id="1339" w:name="_Toc435454539"/>
      <w:bookmarkStart w:id="1340" w:name="_Toc435608285"/>
      <w:bookmarkStart w:id="1341" w:name="_Toc435629503"/>
      <w:bookmarkStart w:id="1342" w:name="_Toc436127232"/>
      <w:bookmarkStart w:id="1343" w:name="_Toc436226266"/>
      <w:bookmarkStart w:id="1344" w:name="_Toc436304598"/>
      <w:bookmarkStart w:id="1345" w:name="_Toc462988236"/>
      <w:bookmarkStart w:id="1346" w:name="_Toc462994038"/>
      <w:bookmarkStart w:id="1347" w:name="_Toc463343045"/>
      <w:r>
        <w:t xml:space="preserve">Table </w:t>
      </w:r>
      <w:fldSimple w:instr=" STYLEREF 1 \s ">
        <w:r w:rsidR="0073687F">
          <w:rPr>
            <w:noProof/>
          </w:rPr>
          <w:t>4</w:t>
        </w:r>
      </w:fldSimple>
      <w:r w:rsidR="00A52BA8">
        <w:noBreakHyphen/>
      </w:r>
      <w:fldSimple w:instr=" SEQ Table \* ARABIC \s 1 ">
        <w:r w:rsidR="0073687F">
          <w:rPr>
            <w:noProof/>
          </w:rPr>
          <w:t>12</w:t>
        </w:r>
      </w:fldSimple>
      <w:bookmarkEnd w:id="1335"/>
      <w:r>
        <w:t xml:space="preserve">: Large </w:t>
      </w:r>
      <w:r w:rsidR="00BE2E69">
        <w:t>B</w:t>
      </w:r>
      <w:r>
        <w:t xml:space="preserve">usiness </w:t>
      </w:r>
      <w:r w:rsidR="0067436E">
        <w:t>Sub-transmission</w:t>
      </w:r>
      <w:r>
        <w:t xml:space="preserve"> customers proposed network tariff structures</w:t>
      </w:r>
      <w:bookmarkEnd w:id="1336"/>
      <w:bookmarkEnd w:id="1337"/>
      <w:bookmarkEnd w:id="1338"/>
      <w:bookmarkEnd w:id="1339"/>
      <w:bookmarkEnd w:id="1340"/>
      <w:bookmarkEnd w:id="1341"/>
      <w:bookmarkEnd w:id="1342"/>
      <w:bookmarkEnd w:id="1343"/>
      <w:bookmarkEnd w:id="1344"/>
      <w:bookmarkEnd w:id="1345"/>
      <w:bookmarkEnd w:id="1346"/>
      <w:bookmarkEnd w:id="1347"/>
    </w:p>
    <w:tbl>
      <w:tblPr>
        <w:tblStyle w:val="EEOrangeTable"/>
        <w:tblW w:w="10206" w:type="dxa"/>
        <w:tblInd w:w="-5" w:type="dxa"/>
        <w:tblLook w:val="04A0" w:firstRow="1" w:lastRow="0" w:firstColumn="1" w:lastColumn="0" w:noHBand="0" w:noVBand="1"/>
      </w:tblPr>
      <w:tblGrid>
        <w:gridCol w:w="2122"/>
        <w:gridCol w:w="1134"/>
        <w:gridCol w:w="1134"/>
        <w:gridCol w:w="5816"/>
      </w:tblGrid>
      <w:tr w:rsidR="00787DB0" w:rsidRPr="00C77073" w14:paraId="2EE7AA87" w14:textId="77777777" w:rsidTr="000F16D3">
        <w:trPr>
          <w:cnfStyle w:val="100000000000" w:firstRow="1" w:lastRow="0" w:firstColumn="0" w:lastColumn="0" w:oddVBand="0" w:evenVBand="0" w:oddHBand="0" w:evenHBand="0" w:firstRowFirstColumn="0" w:firstRowLastColumn="0" w:lastRowFirstColumn="0" w:lastRowLastColumn="0"/>
        </w:trPr>
        <w:tc>
          <w:tcPr>
            <w:tcW w:w="2122" w:type="dxa"/>
            <w:tcBorders>
              <w:right w:val="single" w:sz="4" w:space="0" w:color="FFFFFF" w:themeColor="background1"/>
            </w:tcBorders>
          </w:tcPr>
          <w:p w14:paraId="1351FAC2" w14:textId="77777777" w:rsidR="00787DB0" w:rsidRPr="00C77073" w:rsidRDefault="00787DB0" w:rsidP="00A950FB">
            <w:pPr>
              <w:pStyle w:val="Tableheadingwhite"/>
            </w:pPr>
            <w:r w:rsidRPr="00C77073">
              <w:t>Tariff</w:t>
            </w:r>
          </w:p>
        </w:tc>
        <w:tc>
          <w:tcPr>
            <w:tcW w:w="1134" w:type="dxa"/>
            <w:tcBorders>
              <w:left w:val="single" w:sz="4" w:space="0" w:color="FFFFFF" w:themeColor="background1"/>
              <w:right w:val="single" w:sz="4" w:space="0" w:color="FFFFFF" w:themeColor="background1"/>
            </w:tcBorders>
          </w:tcPr>
          <w:p w14:paraId="4B0D91BC" w14:textId="77777777" w:rsidR="00787DB0" w:rsidRPr="00C77073" w:rsidRDefault="00787DB0" w:rsidP="00A950FB">
            <w:pPr>
              <w:pStyle w:val="Tableheadingwhite"/>
            </w:pPr>
            <w:r>
              <w:t>Tariff structure</w:t>
            </w:r>
          </w:p>
        </w:tc>
        <w:tc>
          <w:tcPr>
            <w:tcW w:w="1134" w:type="dxa"/>
            <w:tcBorders>
              <w:left w:val="single" w:sz="4" w:space="0" w:color="FFFFFF" w:themeColor="background1"/>
              <w:right w:val="single" w:sz="4" w:space="0" w:color="FFFFFF" w:themeColor="background1"/>
            </w:tcBorders>
          </w:tcPr>
          <w:p w14:paraId="107920B4" w14:textId="4543E4B2" w:rsidR="00787DB0" w:rsidRDefault="00787DB0" w:rsidP="00A950FB">
            <w:pPr>
              <w:pStyle w:val="Tableheadingwhite"/>
            </w:pPr>
            <w:r>
              <w:t>Measure</w:t>
            </w:r>
          </w:p>
        </w:tc>
        <w:tc>
          <w:tcPr>
            <w:tcW w:w="5816" w:type="dxa"/>
            <w:tcBorders>
              <w:left w:val="single" w:sz="4" w:space="0" w:color="FFFFFF" w:themeColor="background1"/>
              <w:right w:val="single" w:sz="12" w:space="0" w:color="F58025" w:themeColor="accent2"/>
            </w:tcBorders>
          </w:tcPr>
          <w:p w14:paraId="629CA80B" w14:textId="1DA650DE" w:rsidR="00787DB0" w:rsidRPr="00C77073" w:rsidRDefault="00787DB0" w:rsidP="00A950FB">
            <w:pPr>
              <w:pStyle w:val="Tableheadingwhite"/>
            </w:pPr>
            <w:r>
              <w:t>Charging parameter</w:t>
            </w:r>
          </w:p>
        </w:tc>
      </w:tr>
      <w:tr w:rsidR="009B7A50" w:rsidRPr="00C77073" w14:paraId="05A6D242" w14:textId="77777777" w:rsidTr="000F16D3">
        <w:tc>
          <w:tcPr>
            <w:tcW w:w="2122" w:type="dxa"/>
            <w:vMerge w:val="restart"/>
            <w:tcBorders>
              <w:left w:val="single" w:sz="12" w:space="0" w:color="F58025" w:themeColor="accent2"/>
            </w:tcBorders>
            <w:vAlign w:val="center"/>
          </w:tcPr>
          <w:p w14:paraId="0885D28A" w14:textId="7F1B2AC1" w:rsidR="009B7A50" w:rsidRPr="00C77073" w:rsidRDefault="0067436E" w:rsidP="00A950FB">
            <w:pPr>
              <w:pStyle w:val="Bodycopytable8pt"/>
            </w:pPr>
            <w:r>
              <w:t>Sub-transmission</w:t>
            </w:r>
            <w:r w:rsidR="009B7A50">
              <w:t xml:space="preserve"> – three rate demand</w:t>
            </w:r>
          </w:p>
        </w:tc>
        <w:tc>
          <w:tcPr>
            <w:tcW w:w="1134" w:type="dxa"/>
            <w:vAlign w:val="center"/>
          </w:tcPr>
          <w:p w14:paraId="10EAB547" w14:textId="77777777" w:rsidR="009B7A50" w:rsidRPr="00C77073" w:rsidRDefault="009B7A50" w:rsidP="00A950FB">
            <w:pPr>
              <w:pStyle w:val="Bodycopytable8pt"/>
            </w:pPr>
            <w:r>
              <w:t>Fixed</w:t>
            </w:r>
          </w:p>
        </w:tc>
        <w:tc>
          <w:tcPr>
            <w:tcW w:w="1134" w:type="dxa"/>
          </w:tcPr>
          <w:p w14:paraId="577CC1DA" w14:textId="0CEF1659" w:rsidR="009B7A50" w:rsidRDefault="009B7A50" w:rsidP="00A950FB">
            <w:pPr>
              <w:pStyle w:val="Bodycopytable8pt"/>
            </w:pPr>
            <w:r>
              <w:t>$/day</w:t>
            </w:r>
          </w:p>
        </w:tc>
        <w:tc>
          <w:tcPr>
            <w:tcW w:w="5816" w:type="dxa"/>
            <w:tcBorders>
              <w:right w:val="single" w:sz="12" w:space="0" w:color="F58025" w:themeColor="accent2"/>
            </w:tcBorders>
          </w:tcPr>
          <w:p w14:paraId="173920AA" w14:textId="230A26BC" w:rsidR="009B7A50" w:rsidRPr="00C77073" w:rsidRDefault="009B7A50" w:rsidP="00A950FB">
            <w:pPr>
              <w:pStyle w:val="Bodycopytable8pt"/>
            </w:pPr>
            <w:r>
              <w:t>Network access charge reflecting a fixed amount per day</w:t>
            </w:r>
          </w:p>
        </w:tc>
      </w:tr>
      <w:tr w:rsidR="009B7A50" w:rsidRPr="00C77073" w14:paraId="34DE45A5" w14:textId="77777777" w:rsidTr="000F16D3">
        <w:tc>
          <w:tcPr>
            <w:tcW w:w="2122" w:type="dxa"/>
            <w:vMerge/>
            <w:tcBorders>
              <w:left w:val="single" w:sz="12" w:space="0" w:color="F58025" w:themeColor="accent2"/>
            </w:tcBorders>
          </w:tcPr>
          <w:p w14:paraId="6D53C3D6" w14:textId="77777777" w:rsidR="009B7A50" w:rsidRPr="00C77073" w:rsidRDefault="009B7A50" w:rsidP="00A950FB">
            <w:pPr>
              <w:pStyle w:val="Bodycopytable8pt"/>
            </w:pPr>
          </w:p>
        </w:tc>
        <w:tc>
          <w:tcPr>
            <w:tcW w:w="1134" w:type="dxa"/>
            <w:vAlign w:val="center"/>
          </w:tcPr>
          <w:p w14:paraId="418CDED4" w14:textId="20700CAD" w:rsidR="009B7A50" w:rsidRDefault="009B7A50" w:rsidP="00A950FB">
            <w:pPr>
              <w:pStyle w:val="Bodycopytable8pt"/>
            </w:pPr>
            <w:r>
              <w:t>Energy</w:t>
            </w:r>
          </w:p>
        </w:tc>
        <w:tc>
          <w:tcPr>
            <w:tcW w:w="1134" w:type="dxa"/>
            <w:vAlign w:val="center"/>
          </w:tcPr>
          <w:p w14:paraId="532A4E3C" w14:textId="073B50CC" w:rsidR="009B7A50" w:rsidRPr="0021457A" w:rsidRDefault="009B7A50" w:rsidP="0021457A">
            <w:pPr>
              <w:pStyle w:val="Bodycopytable8pt"/>
            </w:pPr>
            <w:r>
              <w:t>c/kWh</w:t>
            </w:r>
          </w:p>
        </w:tc>
        <w:tc>
          <w:tcPr>
            <w:tcW w:w="5816" w:type="dxa"/>
            <w:tcBorders>
              <w:right w:val="single" w:sz="12" w:space="0" w:color="F58025" w:themeColor="accent2"/>
            </w:tcBorders>
          </w:tcPr>
          <w:p w14:paraId="0B02925F" w14:textId="697546CE" w:rsidR="009B7A50" w:rsidRPr="0021457A" w:rsidRDefault="009B7A50" w:rsidP="0021457A">
            <w:pPr>
              <w:pStyle w:val="Bodycopytable8pt"/>
            </w:pPr>
            <w:r w:rsidRPr="0021457A">
              <w:t>Peak, shoulder and off-peak rate based on energy consumed in each period</w:t>
            </w:r>
          </w:p>
          <w:p w14:paraId="7CB5F50A" w14:textId="6F75775B" w:rsidR="009B7A50" w:rsidRPr="00EF351F" w:rsidRDefault="009B7A50" w:rsidP="00920137">
            <w:pPr>
              <w:pStyle w:val="Bulletsnotindented8pt"/>
            </w:pPr>
            <w:r w:rsidRPr="0021457A">
              <w:t xml:space="preserve">Peak period is from </w:t>
            </w:r>
            <w:r w:rsidRPr="00EF351F">
              <w:t>5pm to 8pm on weekdays</w:t>
            </w:r>
          </w:p>
          <w:p w14:paraId="6B86791D" w14:textId="09968E78" w:rsidR="009B7A50" w:rsidRPr="0021457A" w:rsidRDefault="00313C2C" w:rsidP="00920137">
            <w:pPr>
              <w:pStyle w:val="Bulletsnotindented8pt"/>
            </w:pPr>
            <w:r w:rsidRPr="00EF351F">
              <w:t xml:space="preserve">Shoulder period </w:t>
            </w:r>
            <w:r w:rsidR="009B7A50" w:rsidRPr="00EF351F">
              <w:t xml:space="preserve">is from </w:t>
            </w:r>
            <w:r w:rsidR="00A3543E">
              <w:t>7</w:t>
            </w:r>
            <w:r w:rsidR="009B7A50" w:rsidRPr="00EF351F">
              <w:t>am to 5pm and 8pm</w:t>
            </w:r>
            <w:r w:rsidR="009B7A50" w:rsidRPr="0021457A">
              <w:t xml:space="preserve"> to 10pm on weekdays</w:t>
            </w:r>
          </w:p>
          <w:p w14:paraId="544D4F0B" w14:textId="20E150BD" w:rsidR="009B7A50" w:rsidRPr="001F7859" w:rsidRDefault="009B7A50" w:rsidP="00920137">
            <w:pPr>
              <w:pStyle w:val="Bulletsnotindented8pt"/>
            </w:pPr>
            <w:r w:rsidRPr="00F57480">
              <w:t>Off peak period is at all other times</w:t>
            </w:r>
          </w:p>
        </w:tc>
      </w:tr>
      <w:tr w:rsidR="009B7A50" w:rsidRPr="00C77073" w14:paraId="7BAD5E67" w14:textId="77777777" w:rsidTr="000F16D3">
        <w:tc>
          <w:tcPr>
            <w:tcW w:w="2122" w:type="dxa"/>
            <w:vMerge/>
            <w:tcBorders>
              <w:left w:val="single" w:sz="12" w:space="0" w:color="F58025" w:themeColor="accent2"/>
              <w:bottom w:val="single" w:sz="12" w:space="0" w:color="F58025" w:themeColor="accent2"/>
            </w:tcBorders>
          </w:tcPr>
          <w:p w14:paraId="6BDCDFCD" w14:textId="77777777" w:rsidR="009B7A50" w:rsidRPr="00C77073" w:rsidRDefault="009B7A50" w:rsidP="00A950FB">
            <w:pPr>
              <w:pStyle w:val="Bodycopytable8pt"/>
            </w:pPr>
          </w:p>
        </w:tc>
        <w:tc>
          <w:tcPr>
            <w:tcW w:w="1134" w:type="dxa"/>
            <w:tcBorders>
              <w:bottom w:val="single" w:sz="12" w:space="0" w:color="F58025" w:themeColor="accent2"/>
            </w:tcBorders>
            <w:vAlign w:val="center"/>
          </w:tcPr>
          <w:p w14:paraId="1382B3A9" w14:textId="77777777" w:rsidR="009B7A50" w:rsidRPr="00C77073" w:rsidRDefault="009B7A50" w:rsidP="00A950FB">
            <w:pPr>
              <w:pStyle w:val="Bodycopytable8pt"/>
            </w:pPr>
            <w:r>
              <w:t>Demand</w:t>
            </w:r>
          </w:p>
        </w:tc>
        <w:tc>
          <w:tcPr>
            <w:tcW w:w="1134" w:type="dxa"/>
            <w:tcBorders>
              <w:bottom w:val="single" w:sz="12" w:space="0" w:color="F58025" w:themeColor="accent2"/>
            </w:tcBorders>
            <w:vAlign w:val="center"/>
          </w:tcPr>
          <w:p w14:paraId="0B29AFC5" w14:textId="29B7A8DF" w:rsidR="009B7A50" w:rsidRPr="0021457A" w:rsidRDefault="009B7A50" w:rsidP="00A950FB">
            <w:pPr>
              <w:pStyle w:val="Bodycopytable8pt"/>
            </w:pPr>
            <w:r>
              <w:t>$/kVA</w:t>
            </w:r>
          </w:p>
        </w:tc>
        <w:tc>
          <w:tcPr>
            <w:tcW w:w="5816" w:type="dxa"/>
            <w:tcBorders>
              <w:bottom w:val="single" w:sz="12" w:space="0" w:color="F58025" w:themeColor="accent2"/>
              <w:right w:val="single" w:sz="12" w:space="0" w:color="F58025" w:themeColor="accent2"/>
            </w:tcBorders>
          </w:tcPr>
          <w:p w14:paraId="18331B5C" w14:textId="57F1386A" w:rsidR="009B7A50" w:rsidRPr="0021457A" w:rsidRDefault="009B7A50" w:rsidP="00A950FB">
            <w:pPr>
              <w:pStyle w:val="Bodycopytable8pt"/>
            </w:pPr>
            <w:r w:rsidRPr="001F7859">
              <w:t xml:space="preserve">Maximum demand </w:t>
            </w:r>
            <w:r w:rsidRPr="00721DB3">
              <w:t>charge based on the highest measured half-hour kVA demand registered in each of the peak, shoulder and off-peak periods during the month.</w:t>
            </w:r>
          </w:p>
        </w:tc>
      </w:tr>
      <w:tr w:rsidR="00C13EF8" w:rsidRPr="00C77073" w14:paraId="15CDA594" w14:textId="77777777" w:rsidTr="000F16D3">
        <w:trPr>
          <w:trHeight w:val="437"/>
        </w:trPr>
        <w:tc>
          <w:tcPr>
            <w:tcW w:w="2122" w:type="dxa"/>
            <w:tcBorders>
              <w:left w:val="single" w:sz="12" w:space="0" w:color="F58025" w:themeColor="accent2"/>
              <w:bottom w:val="single" w:sz="12" w:space="0" w:color="F58025" w:themeColor="accent2"/>
            </w:tcBorders>
            <w:shd w:val="clear" w:color="auto" w:fill="FDE5D3" w:themeFill="accent2" w:themeFillTint="33"/>
            <w:vAlign w:val="center"/>
          </w:tcPr>
          <w:p w14:paraId="7A06F071" w14:textId="763C595D" w:rsidR="00C13EF8" w:rsidRPr="00C77073" w:rsidRDefault="00C13EF8" w:rsidP="00C658F7">
            <w:pPr>
              <w:pStyle w:val="Bodycopytable8pt"/>
            </w:pPr>
            <w:r>
              <w:t>Site specific</w:t>
            </w:r>
          </w:p>
        </w:tc>
        <w:tc>
          <w:tcPr>
            <w:tcW w:w="1134" w:type="dxa"/>
            <w:tcBorders>
              <w:top w:val="single" w:sz="12" w:space="0" w:color="F58025" w:themeColor="accent2"/>
              <w:bottom w:val="single" w:sz="12" w:space="0" w:color="F58025" w:themeColor="accent2"/>
            </w:tcBorders>
            <w:shd w:val="clear" w:color="auto" w:fill="FDE5D3" w:themeFill="accent2" w:themeFillTint="33"/>
            <w:vAlign w:val="center"/>
          </w:tcPr>
          <w:p w14:paraId="77431DC0" w14:textId="59EE84BC" w:rsidR="00C13EF8" w:rsidRDefault="00C13EF8" w:rsidP="00A950FB">
            <w:pPr>
              <w:pStyle w:val="Bodycopytable8pt"/>
            </w:pPr>
            <w:r>
              <w:t>Various</w:t>
            </w:r>
          </w:p>
        </w:tc>
        <w:tc>
          <w:tcPr>
            <w:tcW w:w="1134" w:type="dxa"/>
            <w:tcBorders>
              <w:top w:val="single" w:sz="12" w:space="0" w:color="F58025" w:themeColor="accent2"/>
              <w:bottom w:val="single" w:sz="12" w:space="0" w:color="F58025" w:themeColor="accent2"/>
            </w:tcBorders>
            <w:shd w:val="clear" w:color="auto" w:fill="FDE5D3" w:themeFill="accent2" w:themeFillTint="33"/>
            <w:vAlign w:val="center"/>
          </w:tcPr>
          <w:p w14:paraId="64D954F2" w14:textId="03856512" w:rsidR="00C13EF8" w:rsidRDefault="00C13EF8" w:rsidP="00C13EF8">
            <w:pPr>
              <w:pStyle w:val="Bodycopytable8pt"/>
            </w:pPr>
            <w:r>
              <w:t>Various</w:t>
            </w:r>
          </w:p>
        </w:tc>
        <w:tc>
          <w:tcPr>
            <w:tcW w:w="5816" w:type="dxa"/>
            <w:tcBorders>
              <w:top w:val="single" w:sz="12" w:space="0" w:color="F58025" w:themeColor="accent2"/>
              <w:bottom w:val="single" w:sz="12" w:space="0" w:color="F58025" w:themeColor="accent2"/>
              <w:right w:val="single" w:sz="12" w:space="0" w:color="F58025" w:themeColor="accent2"/>
            </w:tcBorders>
            <w:shd w:val="clear" w:color="auto" w:fill="FDE5D3" w:themeFill="accent2" w:themeFillTint="33"/>
            <w:vAlign w:val="center"/>
          </w:tcPr>
          <w:p w14:paraId="009CAE0C" w14:textId="7E0AFE79" w:rsidR="00C13EF8" w:rsidRPr="001F7859" w:rsidRDefault="00C13EF8" w:rsidP="00C658F7">
            <w:pPr>
              <w:pStyle w:val="Bodycopytable8pt"/>
            </w:pPr>
            <w:r>
              <w:t>Variou</w:t>
            </w:r>
            <w:r w:rsidRPr="00E01ED3">
              <w:t>s combinations of</w:t>
            </w:r>
            <w:r>
              <w:t xml:space="preserve"> fully cost reflective structures</w:t>
            </w:r>
          </w:p>
        </w:tc>
      </w:tr>
    </w:tbl>
    <w:p w14:paraId="56BAA075" w14:textId="33F2446E" w:rsidR="00146A4E" w:rsidRDefault="00146A4E" w:rsidP="00146A4E">
      <w:pPr>
        <w:pStyle w:val="Bodycopy"/>
      </w:pPr>
      <w:bookmarkStart w:id="1348" w:name="_Toc431299150"/>
      <w:bookmarkStart w:id="1349" w:name="_Toc431478339"/>
      <w:bookmarkStart w:id="1350" w:name="_Ref431538902"/>
      <w:bookmarkStart w:id="1351" w:name="_Ref431538960"/>
      <w:bookmarkStart w:id="1352" w:name="_Toc431544717"/>
      <w:bookmarkStart w:id="1353" w:name="_Toc431996377"/>
      <w:bookmarkStart w:id="1354" w:name="_Toc432151755"/>
      <w:bookmarkStart w:id="1355" w:name="_Toc432163908"/>
      <w:bookmarkStart w:id="1356" w:name="_Toc432173091"/>
      <w:bookmarkStart w:id="1357" w:name="_Toc432174551"/>
      <w:bookmarkStart w:id="1358" w:name="_Ref432488554"/>
      <w:bookmarkStart w:id="1359" w:name="_Ref432488572"/>
      <w:bookmarkStart w:id="1360" w:name="_Toc432597629"/>
    </w:p>
    <w:p w14:paraId="3BB594D8" w14:textId="77777777" w:rsidR="00146A4E" w:rsidRPr="00E01ED3" w:rsidRDefault="00146A4E" w:rsidP="00E01ED3">
      <w:pPr>
        <w:pStyle w:val="Bodycopy"/>
      </w:pPr>
      <w:r>
        <w:br w:type="page"/>
      </w:r>
    </w:p>
    <w:p w14:paraId="6330220B" w14:textId="2246EB48" w:rsidR="00C658F7" w:rsidRDefault="00C658F7" w:rsidP="00094667">
      <w:pPr>
        <w:pStyle w:val="Heading2"/>
      </w:pPr>
      <w:bookmarkStart w:id="1361" w:name="_Toc462994064"/>
      <w:bookmarkStart w:id="1362" w:name="_Toc463343028"/>
      <w:r>
        <w:lastRenderedPageBreak/>
        <w:t>Unmetered customers</w:t>
      </w:r>
      <w:r w:rsidR="00B6416E">
        <w:t>’</w:t>
      </w:r>
      <w:r>
        <w:t xml:space="preserve"> network tariffs and charging parameters</w:t>
      </w:r>
      <w:bookmarkEnd w:id="1361"/>
      <w:bookmarkEnd w:id="1362"/>
    </w:p>
    <w:p w14:paraId="6562DCE8" w14:textId="5E279C2F" w:rsidR="00C658F7" w:rsidRDefault="00C658F7" w:rsidP="00C658F7">
      <w:pPr>
        <w:pStyle w:val="Bodycopy"/>
      </w:pPr>
      <w:r>
        <w:t>We propose continu</w:t>
      </w:r>
      <w:r w:rsidR="00BF4FE4">
        <w:t>ing to</w:t>
      </w:r>
      <w:r>
        <w:t xml:space="preserve"> offer two network tariff options for Unmetered customers under the </w:t>
      </w:r>
      <w:r w:rsidR="0067436E">
        <w:t>‘</w:t>
      </w:r>
      <w:r>
        <w:t>Unmetered</w:t>
      </w:r>
      <w:r w:rsidR="0067436E">
        <w:t>’</w:t>
      </w:r>
      <w:r>
        <w:t xml:space="preserve"> tariff class. The tariff and the associated eligibility criteria are shown in </w:t>
      </w:r>
      <w:r w:rsidR="00146A4E">
        <w:fldChar w:fldCharType="begin"/>
      </w:r>
      <w:r w:rsidR="00146A4E">
        <w:instrText xml:space="preserve"> REF _Ref435617101 \h </w:instrText>
      </w:r>
      <w:r w:rsidR="00146A4E">
        <w:fldChar w:fldCharType="separate"/>
      </w:r>
      <w:r w:rsidR="0073687F">
        <w:t xml:space="preserve">Table </w:t>
      </w:r>
      <w:r w:rsidR="0073687F">
        <w:rPr>
          <w:noProof/>
        </w:rPr>
        <w:t>4</w:t>
      </w:r>
      <w:r w:rsidR="0073687F">
        <w:noBreakHyphen/>
      </w:r>
      <w:r w:rsidR="0073687F">
        <w:rPr>
          <w:noProof/>
        </w:rPr>
        <w:t>13</w:t>
      </w:r>
      <w:r w:rsidR="00146A4E">
        <w:fldChar w:fldCharType="end"/>
      </w:r>
      <w:r w:rsidR="00146A4E">
        <w:t xml:space="preserve"> </w:t>
      </w:r>
      <w:r>
        <w:t>below</w:t>
      </w:r>
      <w:r w:rsidR="00B6416E">
        <w:t>.</w:t>
      </w:r>
    </w:p>
    <w:p w14:paraId="2A8E33C0" w14:textId="77777777" w:rsidR="00557A25" w:rsidRDefault="00557A25" w:rsidP="00C658F7">
      <w:pPr>
        <w:pStyle w:val="Bodycopy"/>
      </w:pPr>
    </w:p>
    <w:p w14:paraId="2B38EF32" w14:textId="07B65B10" w:rsidR="00146A4E" w:rsidRDefault="00146A4E" w:rsidP="00146A4E">
      <w:pPr>
        <w:pStyle w:val="Caption"/>
      </w:pPr>
      <w:bookmarkStart w:id="1363" w:name="_Ref435617101"/>
      <w:bookmarkStart w:id="1364" w:name="_Toc435629504"/>
      <w:bookmarkStart w:id="1365" w:name="_Toc436127233"/>
      <w:bookmarkStart w:id="1366" w:name="_Toc436226267"/>
      <w:bookmarkStart w:id="1367" w:name="_Toc436304599"/>
      <w:bookmarkStart w:id="1368" w:name="_Toc462988237"/>
      <w:bookmarkStart w:id="1369" w:name="_Toc462994039"/>
      <w:bookmarkStart w:id="1370" w:name="_Toc463343046"/>
      <w:r>
        <w:t xml:space="preserve">Table </w:t>
      </w:r>
      <w:fldSimple w:instr=" STYLEREF 1 \s ">
        <w:r w:rsidR="0073687F">
          <w:rPr>
            <w:noProof/>
          </w:rPr>
          <w:t>4</w:t>
        </w:r>
      </w:fldSimple>
      <w:r w:rsidR="00A52BA8">
        <w:noBreakHyphen/>
      </w:r>
      <w:fldSimple w:instr=" SEQ Table \* ARABIC \s 1 ">
        <w:r w:rsidR="0073687F">
          <w:rPr>
            <w:noProof/>
          </w:rPr>
          <w:t>13</w:t>
        </w:r>
      </w:fldSimple>
      <w:bookmarkEnd w:id="1363"/>
      <w:r>
        <w:t>: Eligibility for Unmetered customer tariffs</w:t>
      </w:r>
      <w:bookmarkEnd w:id="1364"/>
      <w:bookmarkEnd w:id="1365"/>
      <w:bookmarkEnd w:id="1366"/>
      <w:bookmarkEnd w:id="1367"/>
      <w:bookmarkEnd w:id="1368"/>
      <w:bookmarkEnd w:id="1369"/>
      <w:bookmarkEnd w:id="1370"/>
    </w:p>
    <w:tbl>
      <w:tblPr>
        <w:tblStyle w:val="EEOrangeTable"/>
        <w:tblW w:w="10206" w:type="dxa"/>
        <w:tblInd w:w="-5" w:type="dxa"/>
        <w:tblLook w:val="04A0" w:firstRow="1" w:lastRow="0" w:firstColumn="1" w:lastColumn="0" w:noHBand="0" w:noVBand="1"/>
      </w:tblPr>
      <w:tblGrid>
        <w:gridCol w:w="2089"/>
        <w:gridCol w:w="8117"/>
      </w:tblGrid>
      <w:tr w:rsidR="00C658F7" w:rsidRPr="00C77073" w14:paraId="7750D0F4" w14:textId="77777777" w:rsidTr="000F16D3">
        <w:trPr>
          <w:cnfStyle w:val="100000000000" w:firstRow="1" w:lastRow="0" w:firstColumn="0" w:lastColumn="0" w:oddVBand="0" w:evenVBand="0" w:oddHBand="0" w:evenHBand="0" w:firstRowFirstColumn="0" w:firstRowLastColumn="0" w:lastRowFirstColumn="0" w:lastRowLastColumn="0"/>
        </w:trPr>
        <w:tc>
          <w:tcPr>
            <w:tcW w:w="2089" w:type="dxa"/>
            <w:tcBorders>
              <w:right w:val="single" w:sz="4" w:space="0" w:color="FFFFFF" w:themeColor="background1"/>
            </w:tcBorders>
          </w:tcPr>
          <w:p w14:paraId="67775CB7" w14:textId="77777777" w:rsidR="00C658F7" w:rsidRPr="00C77073" w:rsidRDefault="00C658F7" w:rsidP="0040782D">
            <w:pPr>
              <w:pStyle w:val="Tableheadingwhite"/>
            </w:pPr>
            <w:r w:rsidRPr="00C77073">
              <w:t>Tariff</w:t>
            </w:r>
          </w:p>
        </w:tc>
        <w:tc>
          <w:tcPr>
            <w:tcW w:w="8117" w:type="dxa"/>
            <w:tcBorders>
              <w:left w:val="single" w:sz="4" w:space="0" w:color="FFFFFF" w:themeColor="background1"/>
              <w:right w:val="single" w:sz="12" w:space="0" w:color="F58025" w:themeColor="accent2"/>
            </w:tcBorders>
          </w:tcPr>
          <w:p w14:paraId="692CD0BD" w14:textId="77777777" w:rsidR="00C658F7" w:rsidRPr="00C77073" w:rsidRDefault="00C658F7" w:rsidP="0040782D">
            <w:pPr>
              <w:pStyle w:val="Tableheadingwhite"/>
            </w:pPr>
            <w:r>
              <w:t>Eligibility</w:t>
            </w:r>
          </w:p>
        </w:tc>
      </w:tr>
      <w:tr w:rsidR="00C658F7" w:rsidRPr="00C77073" w14:paraId="256B827C" w14:textId="77777777" w:rsidTr="000F16D3">
        <w:trPr>
          <w:trHeight w:val="448"/>
        </w:trPr>
        <w:tc>
          <w:tcPr>
            <w:tcW w:w="2089" w:type="dxa"/>
            <w:tcBorders>
              <w:top w:val="single" w:sz="4" w:space="0" w:color="F58025" w:themeColor="accent2"/>
              <w:left w:val="single" w:sz="12" w:space="0" w:color="F58025" w:themeColor="accent2"/>
              <w:bottom w:val="single" w:sz="4" w:space="0" w:color="F58025" w:themeColor="accent2"/>
            </w:tcBorders>
            <w:vAlign w:val="center"/>
          </w:tcPr>
          <w:p w14:paraId="726D08DD" w14:textId="7554C3DE" w:rsidR="00C658F7" w:rsidRPr="00C77073" w:rsidRDefault="00C658F7" w:rsidP="0040782D">
            <w:pPr>
              <w:pStyle w:val="Bodycopytable8pt"/>
            </w:pPr>
            <w:r>
              <w:t>LV Unmetered NUOS</w:t>
            </w:r>
          </w:p>
        </w:tc>
        <w:tc>
          <w:tcPr>
            <w:tcW w:w="8117" w:type="dxa"/>
            <w:tcBorders>
              <w:top w:val="single" w:sz="4" w:space="0" w:color="F58025" w:themeColor="accent2"/>
              <w:bottom w:val="single" w:sz="4" w:space="0" w:color="F58025" w:themeColor="accent2"/>
              <w:right w:val="single" w:sz="12" w:space="0" w:color="F58025" w:themeColor="accent2"/>
            </w:tcBorders>
            <w:vAlign w:val="center"/>
          </w:tcPr>
          <w:p w14:paraId="3CB36AD4" w14:textId="77777777" w:rsidR="00146A4E" w:rsidRPr="00146A4E" w:rsidRDefault="00146A4E" w:rsidP="00920137">
            <w:pPr>
              <w:pStyle w:val="Bulletsnotindented8pt"/>
            </w:pPr>
            <w:r>
              <w:t>Type 7 meter</w:t>
            </w:r>
          </w:p>
          <w:p w14:paraId="0BF5D97A" w14:textId="77777777" w:rsidR="00C658F7" w:rsidRPr="00AD1EB3" w:rsidRDefault="00146A4E" w:rsidP="00920137">
            <w:pPr>
              <w:pStyle w:val="Bulletsnotindented8pt"/>
            </w:pPr>
            <w:r>
              <w:t>Applies to</w:t>
            </w:r>
            <w:r w:rsidRPr="008A5AE8">
              <w:t xml:space="preserve"> loads agreed between a Minister and AEMO</w:t>
            </w:r>
          </w:p>
          <w:p w14:paraId="63288B0E" w14:textId="1C46FE56" w:rsidR="00AD1EB3" w:rsidRPr="00C77073" w:rsidRDefault="00AD1EB3" w:rsidP="00920137">
            <w:pPr>
              <w:pStyle w:val="Bulletsnotindented8pt"/>
            </w:pPr>
            <w:r>
              <w:t>All new unmetered supply connections will have this tariff applied</w:t>
            </w:r>
          </w:p>
        </w:tc>
      </w:tr>
      <w:tr w:rsidR="00C658F7" w14:paraId="0CDC98BD" w14:textId="77777777" w:rsidTr="000F16D3">
        <w:trPr>
          <w:trHeight w:val="448"/>
        </w:trPr>
        <w:tc>
          <w:tcPr>
            <w:tcW w:w="2089" w:type="dxa"/>
            <w:tcBorders>
              <w:top w:val="single" w:sz="4" w:space="0" w:color="F58025" w:themeColor="accent2"/>
              <w:left w:val="single" w:sz="12" w:space="0" w:color="F58025" w:themeColor="accent2"/>
              <w:bottom w:val="single" w:sz="12" w:space="0" w:color="F58025" w:themeColor="accent2"/>
            </w:tcBorders>
            <w:shd w:val="clear" w:color="auto" w:fill="FDE5D3" w:themeFill="accent2" w:themeFillTint="33"/>
            <w:vAlign w:val="center"/>
          </w:tcPr>
          <w:p w14:paraId="2879A631" w14:textId="4A1626C6" w:rsidR="00C658F7" w:rsidRDefault="00C658F7" w:rsidP="0040782D">
            <w:pPr>
              <w:pStyle w:val="Bodycopytable8pt"/>
            </w:pPr>
            <w:r>
              <w:t xml:space="preserve">LV Public Street lighting TOU NUOS </w:t>
            </w:r>
          </w:p>
        </w:tc>
        <w:tc>
          <w:tcPr>
            <w:tcW w:w="8117" w:type="dxa"/>
            <w:tcBorders>
              <w:top w:val="single" w:sz="4" w:space="0" w:color="F58025" w:themeColor="accent2"/>
              <w:bottom w:val="single" w:sz="12" w:space="0" w:color="F58025" w:themeColor="accent2"/>
              <w:right w:val="single" w:sz="12" w:space="0" w:color="F58025" w:themeColor="accent2"/>
            </w:tcBorders>
            <w:shd w:val="clear" w:color="auto" w:fill="FDE5D3" w:themeFill="accent2" w:themeFillTint="33"/>
            <w:vAlign w:val="center"/>
          </w:tcPr>
          <w:p w14:paraId="7C557193" w14:textId="77777777" w:rsidR="00146A4E" w:rsidRPr="00146A4E" w:rsidRDefault="00146A4E" w:rsidP="00920137">
            <w:pPr>
              <w:pStyle w:val="Bulletsnotindented8pt"/>
            </w:pPr>
            <w:r>
              <w:t>Type 7 meter</w:t>
            </w:r>
          </w:p>
          <w:p w14:paraId="302927BE" w14:textId="77777777" w:rsidR="00C658F7" w:rsidRPr="00AD1EB3" w:rsidRDefault="00146A4E" w:rsidP="00920137">
            <w:pPr>
              <w:pStyle w:val="Bulletsnotindented8pt"/>
            </w:pPr>
            <w:r>
              <w:t>Applies to</w:t>
            </w:r>
            <w:r w:rsidRPr="008A5AE8">
              <w:t xml:space="preserve"> loads agreed between a Minister and AEMO</w:t>
            </w:r>
          </w:p>
          <w:p w14:paraId="5D7FDA0A" w14:textId="7577A4D5" w:rsidR="00AD1EB3" w:rsidRDefault="00AD1EB3" w:rsidP="00920137">
            <w:pPr>
              <w:pStyle w:val="Bulletsnotindented8pt"/>
            </w:pPr>
            <w:r>
              <w:t>All new public street lighting connections will have this tariff applied</w:t>
            </w:r>
          </w:p>
        </w:tc>
      </w:tr>
    </w:tbl>
    <w:p w14:paraId="5502B31A" w14:textId="77777777" w:rsidR="00146A4E" w:rsidRDefault="00146A4E" w:rsidP="00146A4E">
      <w:pPr>
        <w:pStyle w:val="Bodycopy"/>
      </w:pPr>
    </w:p>
    <w:p w14:paraId="164FEDDF" w14:textId="4AA1F301" w:rsidR="00146A4E" w:rsidRDefault="00146A4E" w:rsidP="00146A4E">
      <w:pPr>
        <w:pStyle w:val="Bodycopy"/>
      </w:pPr>
      <w:r w:rsidRPr="000E1434">
        <w:t xml:space="preserve">The associated </w:t>
      </w:r>
      <w:r>
        <w:t xml:space="preserve">tariff structure and charging parameters for our Unmetered customer tariffs </w:t>
      </w:r>
      <w:r w:rsidR="00BF4FE4">
        <w:t>are</w:t>
      </w:r>
      <w:r>
        <w:t xml:space="preserve"> shown in </w:t>
      </w:r>
      <w:r>
        <w:fldChar w:fldCharType="begin"/>
      </w:r>
      <w:r>
        <w:instrText xml:space="preserve"> REF _Ref435617119 \h </w:instrText>
      </w:r>
      <w:r>
        <w:fldChar w:fldCharType="separate"/>
      </w:r>
      <w:r w:rsidR="0073687F">
        <w:t xml:space="preserve">Table </w:t>
      </w:r>
      <w:r w:rsidR="0073687F">
        <w:rPr>
          <w:noProof/>
        </w:rPr>
        <w:t>4</w:t>
      </w:r>
      <w:r w:rsidR="0073687F">
        <w:noBreakHyphen/>
      </w:r>
      <w:r w:rsidR="0073687F">
        <w:rPr>
          <w:noProof/>
        </w:rPr>
        <w:t>14</w:t>
      </w:r>
      <w:r>
        <w:fldChar w:fldCharType="end"/>
      </w:r>
      <w:r>
        <w:t xml:space="preserve"> below. </w:t>
      </w:r>
      <w:r w:rsidRPr="003970B7">
        <w:t>The</w:t>
      </w:r>
      <w:r>
        <w:t xml:space="preserve"> structures are identical to our existing tariffs for Unmetered customers.</w:t>
      </w:r>
    </w:p>
    <w:p w14:paraId="1C547092" w14:textId="77777777" w:rsidR="00557A25" w:rsidRPr="001F7859" w:rsidRDefault="00557A25" w:rsidP="00146A4E">
      <w:pPr>
        <w:pStyle w:val="Bodycopy"/>
      </w:pPr>
    </w:p>
    <w:p w14:paraId="1365444E" w14:textId="450DF5F7" w:rsidR="00146A4E" w:rsidRDefault="00146A4E" w:rsidP="00146A4E">
      <w:pPr>
        <w:pStyle w:val="Caption"/>
        <w:rPr>
          <w:highlight w:val="cyan"/>
        </w:rPr>
      </w:pPr>
      <w:bookmarkStart w:id="1371" w:name="_Ref435617119"/>
      <w:bookmarkStart w:id="1372" w:name="_Toc435629505"/>
      <w:bookmarkStart w:id="1373" w:name="_Toc436127234"/>
      <w:bookmarkStart w:id="1374" w:name="_Toc436226268"/>
      <w:bookmarkStart w:id="1375" w:name="_Toc436304600"/>
      <w:bookmarkStart w:id="1376" w:name="_Toc462988238"/>
      <w:bookmarkStart w:id="1377" w:name="_Toc462994040"/>
      <w:bookmarkStart w:id="1378" w:name="_Toc463343047"/>
      <w:r>
        <w:t xml:space="preserve">Table </w:t>
      </w:r>
      <w:fldSimple w:instr=" STYLEREF 1 \s ">
        <w:r w:rsidR="0073687F">
          <w:rPr>
            <w:noProof/>
          </w:rPr>
          <w:t>4</w:t>
        </w:r>
      </w:fldSimple>
      <w:r w:rsidR="00A52BA8">
        <w:noBreakHyphen/>
      </w:r>
      <w:fldSimple w:instr=" SEQ Table \* ARABIC \s 1 ">
        <w:r w:rsidR="0073687F">
          <w:rPr>
            <w:noProof/>
          </w:rPr>
          <w:t>14</w:t>
        </w:r>
      </w:fldSimple>
      <w:bookmarkEnd w:id="1371"/>
      <w:r>
        <w:t xml:space="preserve">: </w:t>
      </w:r>
      <w:r w:rsidR="008721F1">
        <w:t>Unmetered</w:t>
      </w:r>
      <w:r>
        <w:t xml:space="preserve"> customers proposed network tariff structures</w:t>
      </w:r>
      <w:bookmarkEnd w:id="1372"/>
      <w:bookmarkEnd w:id="1373"/>
      <w:bookmarkEnd w:id="1374"/>
      <w:bookmarkEnd w:id="1375"/>
      <w:bookmarkEnd w:id="1376"/>
      <w:bookmarkEnd w:id="1377"/>
      <w:bookmarkEnd w:id="1378"/>
    </w:p>
    <w:tbl>
      <w:tblPr>
        <w:tblStyle w:val="EEOrangeTable"/>
        <w:tblW w:w="10206" w:type="dxa"/>
        <w:tblInd w:w="-5" w:type="dxa"/>
        <w:tblLook w:val="04A0" w:firstRow="1" w:lastRow="0" w:firstColumn="1" w:lastColumn="0" w:noHBand="0" w:noVBand="1"/>
      </w:tblPr>
      <w:tblGrid>
        <w:gridCol w:w="2122"/>
        <w:gridCol w:w="1134"/>
        <w:gridCol w:w="1134"/>
        <w:gridCol w:w="5816"/>
      </w:tblGrid>
      <w:tr w:rsidR="00146A4E" w:rsidRPr="00C77073" w14:paraId="7714D0BA" w14:textId="77777777" w:rsidTr="00AC15C1">
        <w:trPr>
          <w:cnfStyle w:val="100000000000" w:firstRow="1" w:lastRow="0" w:firstColumn="0" w:lastColumn="0" w:oddVBand="0" w:evenVBand="0" w:oddHBand="0" w:evenHBand="0" w:firstRowFirstColumn="0" w:firstRowLastColumn="0" w:lastRowFirstColumn="0" w:lastRowLastColumn="0"/>
        </w:trPr>
        <w:tc>
          <w:tcPr>
            <w:tcW w:w="2122" w:type="dxa"/>
            <w:tcBorders>
              <w:top w:val="single" w:sz="12" w:space="0" w:color="F58025" w:themeColor="accent2"/>
              <w:right w:val="single" w:sz="4" w:space="0" w:color="FFFFFF" w:themeColor="background1"/>
            </w:tcBorders>
          </w:tcPr>
          <w:p w14:paraId="2EFA11F8" w14:textId="77777777" w:rsidR="00146A4E" w:rsidRPr="00C77073" w:rsidRDefault="00146A4E" w:rsidP="0040782D">
            <w:pPr>
              <w:pStyle w:val="Tableheadingwhite"/>
            </w:pPr>
            <w:r w:rsidRPr="00C77073">
              <w:t>Tariff</w:t>
            </w:r>
          </w:p>
        </w:tc>
        <w:tc>
          <w:tcPr>
            <w:tcW w:w="1134" w:type="dxa"/>
            <w:tcBorders>
              <w:left w:val="single" w:sz="4" w:space="0" w:color="FFFFFF" w:themeColor="background1"/>
              <w:right w:val="single" w:sz="4" w:space="0" w:color="FFFFFF" w:themeColor="background1"/>
            </w:tcBorders>
          </w:tcPr>
          <w:p w14:paraId="4A902252" w14:textId="77777777" w:rsidR="00146A4E" w:rsidRPr="00C77073" w:rsidRDefault="00146A4E" w:rsidP="0040782D">
            <w:pPr>
              <w:pStyle w:val="Tableheadingwhite"/>
            </w:pPr>
            <w:r>
              <w:t>Tariff structure</w:t>
            </w:r>
          </w:p>
        </w:tc>
        <w:tc>
          <w:tcPr>
            <w:tcW w:w="1134" w:type="dxa"/>
            <w:tcBorders>
              <w:left w:val="single" w:sz="4" w:space="0" w:color="FFFFFF" w:themeColor="background1"/>
              <w:right w:val="single" w:sz="4" w:space="0" w:color="FFFFFF" w:themeColor="background1"/>
            </w:tcBorders>
          </w:tcPr>
          <w:p w14:paraId="16818BB8" w14:textId="77777777" w:rsidR="00146A4E" w:rsidRDefault="00146A4E" w:rsidP="0040782D">
            <w:pPr>
              <w:pStyle w:val="Tableheadingwhite"/>
            </w:pPr>
            <w:r>
              <w:t>Measure</w:t>
            </w:r>
          </w:p>
        </w:tc>
        <w:tc>
          <w:tcPr>
            <w:tcW w:w="5816" w:type="dxa"/>
            <w:tcBorders>
              <w:left w:val="single" w:sz="4" w:space="0" w:color="FFFFFF" w:themeColor="background1"/>
              <w:right w:val="single" w:sz="12" w:space="0" w:color="F58025" w:themeColor="accent2"/>
            </w:tcBorders>
          </w:tcPr>
          <w:p w14:paraId="02D9C2DA" w14:textId="77777777" w:rsidR="00146A4E" w:rsidRPr="00C77073" w:rsidRDefault="00146A4E" w:rsidP="0040782D">
            <w:pPr>
              <w:pStyle w:val="Tableheadingwhite"/>
            </w:pPr>
            <w:r>
              <w:t>Charging parameter</w:t>
            </w:r>
          </w:p>
        </w:tc>
      </w:tr>
      <w:tr w:rsidR="00146A4E" w:rsidRPr="00C77073" w14:paraId="40D57018" w14:textId="77777777" w:rsidTr="000F16D3">
        <w:tc>
          <w:tcPr>
            <w:tcW w:w="2122" w:type="dxa"/>
            <w:vMerge w:val="restart"/>
            <w:tcBorders>
              <w:left w:val="single" w:sz="12" w:space="0" w:color="F58025" w:themeColor="accent2"/>
            </w:tcBorders>
            <w:vAlign w:val="center"/>
          </w:tcPr>
          <w:p w14:paraId="74985DDD" w14:textId="5E151218" w:rsidR="00146A4E" w:rsidRPr="00C77073" w:rsidRDefault="00146A4E" w:rsidP="0040782D">
            <w:pPr>
              <w:pStyle w:val="Bodycopytable8pt"/>
            </w:pPr>
            <w:r>
              <w:t>LV Unmetered NUOS</w:t>
            </w:r>
          </w:p>
        </w:tc>
        <w:tc>
          <w:tcPr>
            <w:tcW w:w="1134" w:type="dxa"/>
            <w:vAlign w:val="center"/>
          </w:tcPr>
          <w:p w14:paraId="1455E671" w14:textId="77777777" w:rsidR="00146A4E" w:rsidRPr="00C77073" w:rsidRDefault="00146A4E" w:rsidP="0040782D">
            <w:pPr>
              <w:pStyle w:val="Bodycopytable8pt"/>
            </w:pPr>
            <w:r>
              <w:t>Fixed</w:t>
            </w:r>
          </w:p>
        </w:tc>
        <w:tc>
          <w:tcPr>
            <w:tcW w:w="1134" w:type="dxa"/>
          </w:tcPr>
          <w:p w14:paraId="3E7639F8" w14:textId="77777777" w:rsidR="00146A4E" w:rsidRDefault="00146A4E" w:rsidP="0040782D">
            <w:pPr>
              <w:pStyle w:val="Bodycopytable8pt"/>
            </w:pPr>
            <w:r>
              <w:t>$/day</w:t>
            </w:r>
          </w:p>
        </w:tc>
        <w:tc>
          <w:tcPr>
            <w:tcW w:w="5816" w:type="dxa"/>
            <w:tcBorders>
              <w:right w:val="single" w:sz="12" w:space="0" w:color="F58025" w:themeColor="accent2"/>
            </w:tcBorders>
          </w:tcPr>
          <w:p w14:paraId="589AAC6B" w14:textId="77777777" w:rsidR="00146A4E" w:rsidRPr="00C77073" w:rsidRDefault="00146A4E" w:rsidP="0040782D">
            <w:pPr>
              <w:pStyle w:val="Bodycopytable8pt"/>
            </w:pPr>
            <w:r>
              <w:t>Network access charge reflecting a fixed amount per day</w:t>
            </w:r>
          </w:p>
        </w:tc>
      </w:tr>
      <w:tr w:rsidR="00146A4E" w:rsidRPr="00C77073" w14:paraId="479B25FB" w14:textId="77777777" w:rsidTr="00C404E9">
        <w:tc>
          <w:tcPr>
            <w:tcW w:w="2122" w:type="dxa"/>
            <w:vMerge/>
            <w:tcBorders>
              <w:left w:val="single" w:sz="12" w:space="0" w:color="F58025" w:themeColor="accent2"/>
              <w:bottom w:val="single" w:sz="12" w:space="0" w:color="F58025" w:themeColor="accent2"/>
            </w:tcBorders>
          </w:tcPr>
          <w:p w14:paraId="573A1FC9" w14:textId="77777777" w:rsidR="00146A4E" w:rsidRPr="00C77073" w:rsidRDefault="00146A4E" w:rsidP="0040782D">
            <w:pPr>
              <w:pStyle w:val="Bodycopytable8pt"/>
            </w:pPr>
          </w:p>
        </w:tc>
        <w:tc>
          <w:tcPr>
            <w:tcW w:w="1134" w:type="dxa"/>
            <w:tcBorders>
              <w:bottom w:val="single" w:sz="12" w:space="0" w:color="F58025" w:themeColor="accent2"/>
            </w:tcBorders>
            <w:vAlign w:val="center"/>
          </w:tcPr>
          <w:p w14:paraId="6BE23E67" w14:textId="77777777" w:rsidR="00146A4E" w:rsidRDefault="00146A4E" w:rsidP="0040782D">
            <w:pPr>
              <w:pStyle w:val="Bodycopytable8pt"/>
            </w:pPr>
            <w:r>
              <w:t>Energy</w:t>
            </w:r>
          </w:p>
        </w:tc>
        <w:tc>
          <w:tcPr>
            <w:tcW w:w="1134" w:type="dxa"/>
            <w:vAlign w:val="center"/>
          </w:tcPr>
          <w:p w14:paraId="6180F432" w14:textId="77777777" w:rsidR="00146A4E" w:rsidRPr="0021457A" w:rsidRDefault="00146A4E" w:rsidP="0040782D">
            <w:pPr>
              <w:pStyle w:val="Bodycopytable8pt"/>
            </w:pPr>
            <w:r>
              <w:t>c/kWh</w:t>
            </w:r>
          </w:p>
        </w:tc>
        <w:tc>
          <w:tcPr>
            <w:tcW w:w="5816" w:type="dxa"/>
            <w:tcBorders>
              <w:right w:val="single" w:sz="12" w:space="0" w:color="F58025" w:themeColor="accent2"/>
            </w:tcBorders>
          </w:tcPr>
          <w:p w14:paraId="0ADFD280" w14:textId="2B17CA6B" w:rsidR="00146A4E" w:rsidRPr="001F7859" w:rsidRDefault="00313C2C" w:rsidP="00313C2C">
            <w:pPr>
              <w:pStyle w:val="Bodycopytable8pt"/>
            </w:pPr>
            <w:r>
              <w:t>Flat rate based on usage</w:t>
            </w:r>
          </w:p>
        </w:tc>
      </w:tr>
      <w:tr w:rsidR="00146A4E" w:rsidRPr="00C77073" w14:paraId="186AD1E3" w14:textId="77777777" w:rsidTr="00E41DD0">
        <w:trPr>
          <w:trHeight w:val="1023"/>
        </w:trPr>
        <w:tc>
          <w:tcPr>
            <w:tcW w:w="2122" w:type="dxa"/>
            <w:tcBorders>
              <w:top w:val="single" w:sz="12" w:space="0" w:color="F58025" w:themeColor="accent2"/>
              <w:left w:val="single" w:sz="12" w:space="0" w:color="F58025" w:themeColor="accent2"/>
              <w:bottom w:val="single" w:sz="12" w:space="0" w:color="F58025" w:themeColor="accent2"/>
            </w:tcBorders>
            <w:shd w:val="clear" w:color="auto" w:fill="FDE5D3" w:themeFill="accent2" w:themeFillTint="33"/>
            <w:vAlign w:val="center"/>
          </w:tcPr>
          <w:p w14:paraId="581B674D" w14:textId="677BED47" w:rsidR="00146A4E" w:rsidRPr="00C77073" w:rsidRDefault="00146A4E" w:rsidP="0040782D">
            <w:pPr>
              <w:pStyle w:val="Bodycopytable8pt"/>
            </w:pPr>
            <w:r>
              <w:t>LV Public Street lighting TOU NUOS</w:t>
            </w:r>
          </w:p>
        </w:tc>
        <w:tc>
          <w:tcPr>
            <w:tcW w:w="1134" w:type="dxa"/>
            <w:tcBorders>
              <w:top w:val="single" w:sz="12" w:space="0" w:color="F58025" w:themeColor="accent2"/>
              <w:bottom w:val="single" w:sz="12" w:space="0" w:color="F58025" w:themeColor="accent2"/>
            </w:tcBorders>
            <w:shd w:val="clear" w:color="auto" w:fill="FDE5D3" w:themeFill="accent2" w:themeFillTint="33"/>
            <w:vAlign w:val="center"/>
          </w:tcPr>
          <w:p w14:paraId="2E56E511" w14:textId="382BEA5E" w:rsidR="00146A4E" w:rsidRDefault="00146A4E" w:rsidP="0040782D">
            <w:pPr>
              <w:pStyle w:val="Bodycopytable8pt"/>
            </w:pPr>
            <w:r>
              <w:t>Energy</w:t>
            </w:r>
          </w:p>
        </w:tc>
        <w:tc>
          <w:tcPr>
            <w:tcW w:w="1134" w:type="dxa"/>
            <w:tcBorders>
              <w:top w:val="single" w:sz="12" w:space="0" w:color="F58025" w:themeColor="accent2"/>
              <w:bottom w:val="single" w:sz="12" w:space="0" w:color="F58025" w:themeColor="accent2"/>
            </w:tcBorders>
            <w:shd w:val="clear" w:color="auto" w:fill="FDE5D3" w:themeFill="accent2" w:themeFillTint="33"/>
            <w:vAlign w:val="center"/>
          </w:tcPr>
          <w:p w14:paraId="569E8CD3" w14:textId="4D017F2B" w:rsidR="00146A4E" w:rsidRDefault="00146A4E" w:rsidP="00146A4E">
            <w:pPr>
              <w:pStyle w:val="Bodycopytable8pt"/>
            </w:pPr>
            <w:r>
              <w:t>c/kWh</w:t>
            </w:r>
          </w:p>
        </w:tc>
        <w:tc>
          <w:tcPr>
            <w:tcW w:w="5816" w:type="dxa"/>
            <w:tcBorders>
              <w:top w:val="single" w:sz="12" w:space="0" w:color="F58025" w:themeColor="accent2"/>
              <w:bottom w:val="single" w:sz="12" w:space="0" w:color="F58025" w:themeColor="accent2"/>
              <w:right w:val="single" w:sz="12" w:space="0" w:color="F58025" w:themeColor="accent2"/>
            </w:tcBorders>
            <w:shd w:val="clear" w:color="auto" w:fill="FDE5D3" w:themeFill="accent2" w:themeFillTint="33"/>
            <w:vAlign w:val="center"/>
          </w:tcPr>
          <w:p w14:paraId="400D52F0" w14:textId="5129DA0D" w:rsidR="00146A4E" w:rsidRPr="0021457A" w:rsidRDefault="00146A4E" w:rsidP="0040782D">
            <w:pPr>
              <w:pStyle w:val="Bodycopytable8pt"/>
            </w:pPr>
            <w:r w:rsidRPr="0021457A">
              <w:t>Peak, shoulder and off-peak rate based on energy consumed in each period</w:t>
            </w:r>
          </w:p>
          <w:p w14:paraId="5A338BF7" w14:textId="667EFA77" w:rsidR="00146A4E" w:rsidRPr="0021457A" w:rsidRDefault="00146A4E" w:rsidP="00920137">
            <w:pPr>
              <w:pStyle w:val="Bulletsnotindented8pt"/>
            </w:pPr>
            <w:r w:rsidRPr="0021457A">
              <w:t>Peak period is from 5pm to 8pm on weekdays</w:t>
            </w:r>
          </w:p>
          <w:p w14:paraId="22BB0227" w14:textId="6FE4369B" w:rsidR="00146A4E" w:rsidRDefault="00313C2C" w:rsidP="00920137">
            <w:pPr>
              <w:pStyle w:val="Bulletsnotindented8pt"/>
            </w:pPr>
            <w:r>
              <w:t>Shoulder period</w:t>
            </w:r>
            <w:r w:rsidR="00146A4E" w:rsidRPr="0021457A">
              <w:t xml:space="preserve"> is from </w:t>
            </w:r>
            <w:r w:rsidR="00A3543E">
              <w:t>7</w:t>
            </w:r>
            <w:r w:rsidR="00146A4E" w:rsidRPr="0021457A">
              <w:t>am to 5pm and 8pm to 10pm on weekdays</w:t>
            </w:r>
          </w:p>
          <w:p w14:paraId="1B8D57B7" w14:textId="7B4E69FB" w:rsidR="00146A4E" w:rsidRPr="001F7859" w:rsidRDefault="00146A4E" w:rsidP="00920137">
            <w:pPr>
              <w:pStyle w:val="Bulletsnotindented8pt"/>
            </w:pPr>
            <w:r w:rsidRPr="00F57480">
              <w:t>Off peak period is at all other times</w:t>
            </w:r>
          </w:p>
        </w:tc>
      </w:tr>
    </w:tbl>
    <w:p w14:paraId="239C5D4B" w14:textId="77777777" w:rsidR="00C85FB0" w:rsidRPr="008716F4" w:rsidRDefault="00C85FB0" w:rsidP="008716F4">
      <w:pPr>
        <w:pStyle w:val="Bodycopy"/>
      </w:pPr>
    </w:p>
    <w:p w14:paraId="4BFA453F" w14:textId="08118304" w:rsidR="00991492" w:rsidRPr="006E4E99" w:rsidRDefault="00F47AEC" w:rsidP="006E4E99">
      <w:pPr>
        <w:pStyle w:val="Bodycopy"/>
      </w:pPr>
      <w:bookmarkStart w:id="1379" w:name="_Toc434839539"/>
      <w:bookmarkStart w:id="1380" w:name="_Ref435101397"/>
      <w:bookmarkStart w:id="1381" w:name="_Toc435177064"/>
      <w:bookmarkStart w:id="1382" w:name="_Ref435438630"/>
      <w:bookmarkStart w:id="1383" w:name="_Ref435438631"/>
      <w:r>
        <w:br w:type="page"/>
      </w:r>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79"/>
      <w:bookmarkEnd w:id="1380"/>
      <w:bookmarkEnd w:id="1381"/>
      <w:bookmarkEnd w:id="1382"/>
      <w:bookmarkEnd w:id="1383"/>
    </w:p>
    <w:p w14:paraId="04A7F288" w14:textId="5474C936" w:rsidR="00D56E6D" w:rsidRDefault="00AE072F" w:rsidP="00512642">
      <w:pPr>
        <w:pStyle w:val="Heading1"/>
        <w:rPr>
          <w:rFonts w:cs="Arial"/>
          <w:szCs w:val="28"/>
          <w:lang w:val="en-AU"/>
        </w:rPr>
      </w:pPr>
      <w:bookmarkStart w:id="1384" w:name="_Toc436304032"/>
      <w:bookmarkStart w:id="1385" w:name="_Toc436304514"/>
      <w:bookmarkStart w:id="1386" w:name="_Toc436304822"/>
      <w:bookmarkStart w:id="1387" w:name="_Toc436305821"/>
      <w:bookmarkStart w:id="1388" w:name="_Toc436304033"/>
      <w:bookmarkStart w:id="1389" w:name="_Toc436304515"/>
      <w:bookmarkStart w:id="1390" w:name="_Toc436304823"/>
      <w:bookmarkStart w:id="1391" w:name="_Toc436305822"/>
      <w:bookmarkStart w:id="1392" w:name="_Toc436304034"/>
      <w:bookmarkStart w:id="1393" w:name="_Toc436304516"/>
      <w:bookmarkStart w:id="1394" w:name="_Toc436304824"/>
      <w:bookmarkStart w:id="1395" w:name="_Toc436305823"/>
      <w:bookmarkStart w:id="1396" w:name="_Toc436304038"/>
      <w:bookmarkStart w:id="1397" w:name="_Toc436304520"/>
      <w:bookmarkStart w:id="1398" w:name="_Toc436304828"/>
      <w:bookmarkStart w:id="1399" w:name="_Toc436305827"/>
      <w:bookmarkStart w:id="1400" w:name="_Toc436304043"/>
      <w:bookmarkStart w:id="1401" w:name="_Toc436304525"/>
      <w:bookmarkStart w:id="1402" w:name="_Toc436304833"/>
      <w:bookmarkStart w:id="1403" w:name="_Toc436305832"/>
      <w:bookmarkStart w:id="1404" w:name="_Toc436304044"/>
      <w:bookmarkStart w:id="1405" w:name="_Toc436304526"/>
      <w:bookmarkStart w:id="1406" w:name="_Toc436304834"/>
      <w:bookmarkStart w:id="1407" w:name="_Toc436305833"/>
      <w:bookmarkStart w:id="1408" w:name="_Toc436304045"/>
      <w:bookmarkStart w:id="1409" w:name="_Toc436304527"/>
      <w:bookmarkStart w:id="1410" w:name="_Toc436304835"/>
      <w:bookmarkStart w:id="1411" w:name="_Toc436305834"/>
      <w:bookmarkStart w:id="1412" w:name="_Toc436304046"/>
      <w:bookmarkStart w:id="1413" w:name="_Toc436304528"/>
      <w:bookmarkStart w:id="1414" w:name="_Toc436304836"/>
      <w:bookmarkStart w:id="1415" w:name="_Toc436305835"/>
      <w:bookmarkStart w:id="1416" w:name="_Toc436304047"/>
      <w:bookmarkStart w:id="1417" w:name="_Toc436304529"/>
      <w:bookmarkStart w:id="1418" w:name="_Toc436304837"/>
      <w:bookmarkStart w:id="1419" w:name="_Toc436305836"/>
      <w:bookmarkStart w:id="1420" w:name="_Toc432491990"/>
      <w:bookmarkStart w:id="1421" w:name="_Toc432492241"/>
      <w:bookmarkStart w:id="1422" w:name="_Toc432498334"/>
      <w:bookmarkStart w:id="1423" w:name="_Toc432515857"/>
      <w:bookmarkStart w:id="1424" w:name="_Toc432516585"/>
      <w:bookmarkStart w:id="1425" w:name="_Toc432519596"/>
      <w:bookmarkStart w:id="1426" w:name="_Toc432520210"/>
      <w:bookmarkStart w:id="1427" w:name="_Toc432588470"/>
      <w:bookmarkStart w:id="1428" w:name="_Toc432590375"/>
      <w:bookmarkStart w:id="1429" w:name="_Toc432595003"/>
      <w:bookmarkStart w:id="1430" w:name="_Toc432595087"/>
      <w:bookmarkStart w:id="1431" w:name="_Toc432595168"/>
      <w:bookmarkStart w:id="1432" w:name="_Toc432595250"/>
      <w:bookmarkStart w:id="1433" w:name="_Toc432595335"/>
      <w:bookmarkStart w:id="1434" w:name="_Toc432595417"/>
      <w:bookmarkStart w:id="1435" w:name="_Toc432596442"/>
      <w:bookmarkStart w:id="1436" w:name="_Toc432596926"/>
      <w:bookmarkStart w:id="1437" w:name="_Toc432597630"/>
      <w:bookmarkStart w:id="1438" w:name="_Toc432597986"/>
      <w:bookmarkStart w:id="1439" w:name="_Toc432598040"/>
      <w:bookmarkStart w:id="1440" w:name="_Toc432598132"/>
      <w:bookmarkStart w:id="1441" w:name="_Toc432491991"/>
      <w:bookmarkStart w:id="1442" w:name="_Toc432492242"/>
      <w:bookmarkStart w:id="1443" w:name="_Toc432498335"/>
      <w:bookmarkStart w:id="1444" w:name="_Toc432515858"/>
      <w:bookmarkStart w:id="1445" w:name="_Toc432516586"/>
      <w:bookmarkStart w:id="1446" w:name="_Toc432519597"/>
      <w:bookmarkStart w:id="1447" w:name="_Toc432520211"/>
      <w:bookmarkStart w:id="1448" w:name="_Toc432588471"/>
      <w:bookmarkStart w:id="1449" w:name="_Toc432590376"/>
      <w:bookmarkStart w:id="1450" w:name="_Toc432595004"/>
      <w:bookmarkStart w:id="1451" w:name="_Toc432595088"/>
      <w:bookmarkStart w:id="1452" w:name="_Toc432595169"/>
      <w:bookmarkStart w:id="1453" w:name="_Toc432595251"/>
      <w:bookmarkStart w:id="1454" w:name="_Toc432595336"/>
      <w:bookmarkStart w:id="1455" w:name="_Toc432595418"/>
      <w:bookmarkStart w:id="1456" w:name="_Toc432597987"/>
      <w:bookmarkStart w:id="1457" w:name="_Toc432598041"/>
      <w:bookmarkStart w:id="1458" w:name="_Toc432598133"/>
      <w:bookmarkStart w:id="1459" w:name="_Toc432491992"/>
      <w:bookmarkStart w:id="1460" w:name="_Toc432492243"/>
      <w:bookmarkStart w:id="1461" w:name="_Toc432498336"/>
      <w:bookmarkStart w:id="1462" w:name="_Toc432515859"/>
      <w:bookmarkStart w:id="1463" w:name="_Toc432516587"/>
      <w:bookmarkStart w:id="1464" w:name="_Toc432519598"/>
      <w:bookmarkStart w:id="1465" w:name="_Toc432520212"/>
      <w:bookmarkStart w:id="1466" w:name="_Toc432588472"/>
      <w:bookmarkStart w:id="1467" w:name="_Toc432590377"/>
      <w:bookmarkStart w:id="1468" w:name="_Toc432595005"/>
      <w:bookmarkStart w:id="1469" w:name="_Toc432595089"/>
      <w:bookmarkStart w:id="1470" w:name="_Toc432595170"/>
      <w:bookmarkStart w:id="1471" w:name="_Toc432595252"/>
      <w:bookmarkStart w:id="1472" w:name="_Toc432595337"/>
      <w:bookmarkStart w:id="1473" w:name="_Toc432595419"/>
      <w:bookmarkStart w:id="1474" w:name="_Toc432597988"/>
      <w:bookmarkStart w:id="1475" w:name="_Toc432598042"/>
      <w:bookmarkStart w:id="1476" w:name="_Toc432598134"/>
      <w:bookmarkStart w:id="1477" w:name="_Toc432491993"/>
      <w:bookmarkStart w:id="1478" w:name="_Toc432492244"/>
      <w:bookmarkStart w:id="1479" w:name="_Toc432498337"/>
      <w:bookmarkStart w:id="1480" w:name="_Toc432515860"/>
      <w:bookmarkStart w:id="1481" w:name="_Toc432516588"/>
      <w:bookmarkStart w:id="1482" w:name="_Toc432519599"/>
      <w:bookmarkStart w:id="1483" w:name="_Toc432520213"/>
      <w:bookmarkStart w:id="1484" w:name="_Toc432588473"/>
      <w:bookmarkStart w:id="1485" w:name="_Toc432590378"/>
      <w:bookmarkStart w:id="1486" w:name="_Toc432595006"/>
      <w:bookmarkStart w:id="1487" w:name="_Toc432595090"/>
      <w:bookmarkStart w:id="1488" w:name="_Toc432595171"/>
      <w:bookmarkStart w:id="1489" w:name="_Toc432595253"/>
      <w:bookmarkStart w:id="1490" w:name="_Toc432595338"/>
      <w:bookmarkStart w:id="1491" w:name="_Toc432595420"/>
      <w:bookmarkStart w:id="1492" w:name="_Toc432597989"/>
      <w:bookmarkStart w:id="1493" w:name="_Toc432598043"/>
      <w:bookmarkStart w:id="1494" w:name="_Toc432598135"/>
      <w:bookmarkStart w:id="1495" w:name="_Toc432491994"/>
      <w:bookmarkStart w:id="1496" w:name="_Toc432492245"/>
      <w:bookmarkStart w:id="1497" w:name="_Toc432498338"/>
      <w:bookmarkStart w:id="1498" w:name="_Toc432515861"/>
      <w:bookmarkStart w:id="1499" w:name="_Toc432516589"/>
      <w:bookmarkStart w:id="1500" w:name="_Toc432519600"/>
      <w:bookmarkStart w:id="1501" w:name="_Toc432520214"/>
      <w:bookmarkStart w:id="1502" w:name="_Toc432588474"/>
      <w:bookmarkStart w:id="1503" w:name="_Toc432590379"/>
      <w:bookmarkStart w:id="1504" w:name="_Toc432595007"/>
      <w:bookmarkStart w:id="1505" w:name="_Toc432595091"/>
      <w:bookmarkStart w:id="1506" w:name="_Toc432595172"/>
      <w:bookmarkStart w:id="1507" w:name="_Toc432595254"/>
      <w:bookmarkStart w:id="1508" w:name="_Toc432595339"/>
      <w:bookmarkStart w:id="1509" w:name="_Toc432595421"/>
      <w:bookmarkStart w:id="1510" w:name="_Toc432597990"/>
      <w:bookmarkStart w:id="1511" w:name="_Toc432598044"/>
      <w:bookmarkStart w:id="1512" w:name="_Toc432598136"/>
      <w:bookmarkStart w:id="1513" w:name="_Toc432491996"/>
      <w:bookmarkStart w:id="1514" w:name="_Toc432492247"/>
      <w:bookmarkStart w:id="1515" w:name="_Toc432498340"/>
      <w:bookmarkStart w:id="1516" w:name="_Toc432515863"/>
      <w:bookmarkStart w:id="1517" w:name="_Toc432516591"/>
      <w:bookmarkStart w:id="1518" w:name="_Toc432519602"/>
      <w:bookmarkStart w:id="1519" w:name="_Toc432520216"/>
      <w:bookmarkStart w:id="1520" w:name="_Toc432588476"/>
      <w:bookmarkStart w:id="1521" w:name="_Toc432590381"/>
      <w:bookmarkStart w:id="1522" w:name="_Toc432595009"/>
      <w:bookmarkStart w:id="1523" w:name="_Toc432595093"/>
      <w:bookmarkStart w:id="1524" w:name="_Toc432595174"/>
      <w:bookmarkStart w:id="1525" w:name="_Toc432595256"/>
      <w:bookmarkStart w:id="1526" w:name="_Toc432595341"/>
      <w:bookmarkStart w:id="1527" w:name="_Toc432595423"/>
      <w:bookmarkStart w:id="1528" w:name="_Toc432597992"/>
      <w:bookmarkStart w:id="1529" w:name="_Toc432598046"/>
      <w:bookmarkStart w:id="1530" w:name="_Toc432598138"/>
      <w:bookmarkStart w:id="1531" w:name="_Toc458677715"/>
      <w:bookmarkStart w:id="1532" w:name="_Toc458678091"/>
      <w:bookmarkStart w:id="1533" w:name="_Toc458683011"/>
      <w:bookmarkStart w:id="1534" w:name="_Toc458684248"/>
      <w:bookmarkStart w:id="1535" w:name="_Toc458686836"/>
      <w:bookmarkStart w:id="1536" w:name="_Toc458677717"/>
      <w:bookmarkStart w:id="1537" w:name="_Toc458678093"/>
      <w:bookmarkStart w:id="1538" w:name="_Toc458683013"/>
      <w:bookmarkStart w:id="1539" w:name="_Toc458684250"/>
      <w:bookmarkStart w:id="1540" w:name="_Toc458686838"/>
      <w:bookmarkStart w:id="1541" w:name="_Toc458689824"/>
      <w:bookmarkStart w:id="1542" w:name="_Toc429480665"/>
      <w:bookmarkStart w:id="1543" w:name="_Ref430944145"/>
      <w:bookmarkStart w:id="1544" w:name="_Ref430944213"/>
      <w:bookmarkStart w:id="1545" w:name="_Ref430945353"/>
      <w:bookmarkStart w:id="1546" w:name="_Ref430945479"/>
      <w:bookmarkStart w:id="1547" w:name="_Ref430945670"/>
      <w:bookmarkStart w:id="1548" w:name="_Ref430945924"/>
      <w:bookmarkStart w:id="1549" w:name="_Ref430946155"/>
      <w:bookmarkStart w:id="1550" w:name="_Ref430946224"/>
      <w:bookmarkStart w:id="1551" w:name="_Ref430946968"/>
      <w:bookmarkStart w:id="1552" w:name="_Toc431299153"/>
      <w:bookmarkStart w:id="1553" w:name="_Toc431478342"/>
      <w:bookmarkStart w:id="1554" w:name="_Ref431538993"/>
      <w:bookmarkStart w:id="1555" w:name="_Ref431539042"/>
      <w:bookmarkStart w:id="1556" w:name="_Ref431539099"/>
      <w:bookmarkStart w:id="1557" w:name="_Ref431539164"/>
      <w:bookmarkStart w:id="1558" w:name="_Toc431544720"/>
      <w:bookmarkStart w:id="1559" w:name="_Toc431996380"/>
      <w:bookmarkStart w:id="1560" w:name="_Toc432151758"/>
      <w:bookmarkStart w:id="1561" w:name="_Toc432163911"/>
      <w:bookmarkStart w:id="1562" w:name="_Toc432173094"/>
      <w:bookmarkStart w:id="1563" w:name="_Toc432174554"/>
      <w:bookmarkStart w:id="1564" w:name="_Ref432420539"/>
      <w:bookmarkStart w:id="1565" w:name="_Ref432420591"/>
      <w:bookmarkStart w:id="1566" w:name="_Ref432492053"/>
      <w:bookmarkStart w:id="1567" w:name="_Toc432597634"/>
      <w:bookmarkStart w:id="1568" w:name="_Toc434839543"/>
      <w:bookmarkStart w:id="1569" w:name="_Toc435177068"/>
      <w:bookmarkStart w:id="1570" w:name="_Ref435435041"/>
      <w:bookmarkStart w:id="1571" w:name="_Toc435454575"/>
      <w:bookmarkStart w:id="1572" w:name="_Toc435608321"/>
      <w:bookmarkStart w:id="1573" w:name="_Toc435629541"/>
      <w:bookmarkStart w:id="1574" w:name="_Toc436127274"/>
      <w:bookmarkStart w:id="1575" w:name="_Toc436226308"/>
      <w:bookmarkStart w:id="1576" w:name="_Ref436300351"/>
      <w:bookmarkStart w:id="1577" w:name="_Toc436304874"/>
      <w:bookmarkStart w:id="1578" w:name="_Ref458689122"/>
      <w:bookmarkStart w:id="1579" w:name="_Ref458689707"/>
      <w:bookmarkStart w:id="1580" w:name="_Ref458689730"/>
      <w:bookmarkStart w:id="1581" w:name="_Ref459630645"/>
      <w:bookmarkStart w:id="1582" w:name="_Ref459630656"/>
      <w:bookmarkStart w:id="1583" w:name="_Ref459796674"/>
      <w:bookmarkStart w:id="1584" w:name="_Ref459796680"/>
      <w:bookmarkStart w:id="1585" w:name="_Toc462994065"/>
      <w:bookmarkStart w:id="1586" w:name="_Toc463343029"/>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r>
        <w:rPr>
          <w:rFonts w:cs="Arial"/>
          <w:szCs w:val="28"/>
          <w:lang w:val="en-AU"/>
        </w:rPr>
        <w:lastRenderedPageBreak/>
        <w:t>Our Tariff Setting M</w:t>
      </w:r>
      <w:r w:rsidR="00630CEA">
        <w:rPr>
          <w:rFonts w:cs="Arial"/>
          <w:szCs w:val="28"/>
          <w:lang w:val="en-AU"/>
        </w:rPr>
        <w:t>ethodology</w:t>
      </w:r>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p>
    <w:p w14:paraId="3B4E7786" w14:textId="11CC8E1D" w:rsidR="00026AE2" w:rsidRDefault="00026AE2" w:rsidP="00110BAB">
      <w:pPr>
        <w:pStyle w:val="Bodycopy"/>
      </w:pPr>
      <w:r>
        <w:rPr>
          <w:lang w:val="en-AU"/>
        </w:rPr>
        <w:t xml:space="preserve">This section outlines </w:t>
      </w:r>
      <w:r w:rsidR="00005656">
        <w:rPr>
          <w:lang w:val="en-AU"/>
        </w:rPr>
        <w:t>t</w:t>
      </w:r>
      <w:r w:rsidR="00005656">
        <w:t>he approach we will use to set each tariff in each of the 2017-18 and 2018-19 pricing proposals</w:t>
      </w:r>
      <w:r w:rsidR="00BF4FE4">
        <w:t>,</w:t>
      </w:r>
      <w:r w:rsidR="00005656">
        <w:t xml:space="preserve"> in accordance with clause 16.8.5 of the NER</w:t>
      </w:r>
      <w:r w:rsidR="00966E97">
        <w:t>.</w:t>
      </w:r>
    </w:p>
    <w:p w14:paraId="140C2DA7" w14:textId="46494F1A" w:rsidR="00005656" w:rsidRDefault="00E444CD" w:rsidP="00026AE2">
      <w:pPr>
        <w:pStyle w:val="Heading2"/>
      </w:pPr>
      <w:bookmarkStart w:id="1587" w:name="_Toc462994066"/>
      <w:bookmarkStart w:id="1588" w:name="_Toc463343030"/>
      <w:r>
        <w:t>Rule requirements</w:t>
      </w:r>
      <w:bookmarkEnd w:id="1587"/>
      <w:bookmarkEnd w:id="1588"/>
    </w:p>
    <w:p w14:paraId="57502130" w14:textId="474C2423" w:rsidR="00966E97" w:rsidRDefault="00BF4FE4" w:rsidP="00966E97">
      <w:pPr>
        <w:pStyle w:val="Bodycopy"/>
        <w:rPr>
          <w:lang w:val="en-AU"/>
        </w:rPr>
      </w:pPr>
      <w:r>
        <w:rPr>
          <w:lang w:val="en-AU"/>
        </w:rPr>
        <w:t>T</w:t>
      </w:r>
      <w:r w:rsidR="00966E97">
        <w:rPr>
          <w:lang w:val="en-AU"/>
        </w:rPr>
        <w:t>he pricing principles</w:t>
      </w:r>
      <w:r w:rsidR="00A52BA8">
        <w:rPr>
          <w:lang w:val="en-AU"/>
        </w:rPr>
        <w:t xml:space="preserve"> set out in the Rules are summarised in </w:t>
      </w:r>
      <w:r w:rsidR="00A52BA8">
        <w:rPr>
          <w:lang w:val="en-AU"/>
        </w:rPr>
        <w:fldChar w:fldCharType="begin"/>
      </w:r>
      <w:r w:rsidR="00A52BA8">
        <w:rPr>
          <w:lang w:val="en-AU"/>
        </w:rPr>
        <w:instrText xml:space="preserve"> REF _Ref459796586 \h </w:instrText>
      </w:r>
      <w:r w:rsidR="00A52BA8">
        <w:rPr>
          <w:lang w:val="en-AU"/>
        </w:rPr>
      </w:r>
      <w:r w:rsidR="00A52BA8">
        <w:rPr>
          <w:lang w:val="en-AU"/>
        </w:rPr>
        <w:fldChar w:fldCharType="separate"/>
      </w:r>
      <w:r w:rsidR="0073687F">
        <w:t xml:space="preserve">Table </w:t>
      </w:r>
      <w:r w:rsidR="0073687F">
        <w:rPr>
          <w:noProof/>
        </w:rPr>
        <w:t>5</w:t>
      </w:r>
      <w:r w:rsidR="0073687F">
        <w:noBreakHyphen/>
      </w:r>
      <w:r w:rsidR="0073687F">
        <w:rPr>
          <w:noProof/>
        </w:rPr>
        <w:t>1</w:t>
      </w:r>
      <w:r w:rsidR="00A52BA8">
        <w:rPr>
          <w:lang w:val="en-AU"/>
        </w:rPr>
        <w:fldChar w:fldCharType="end"/>
      </w:r>
      <w:r w:rsidR="00A52BA8" w:rsidRPr="00A52BA8">
        <w:rPr>
          <w:lang w:val="en-AU"/>
        </w:rPr>
        <w:t xml:space="preserve"> </w:t>
      </w:r>
      <w:r w:rsidR="00A52BA8">
        <w:rPr>
          <w:lang w:val="en-AU"/>
        </w:rPr>
        <w:t>below.</w:t>
      </w:r>
    </w:p>
    <w:p w14:paraId="31347EC8" w14:textId="312B5DD0" w:rsidR="00A52BA8" w:rsidRDefault="00A52BA8" w:rsidP="00A52BA8">
      <w:pPr>
        <w:pStyle w:val="Caption"/>
      </w:pPr>
      <w:bookmarkStart w:id="1589" w:name="_Ref459796586"/>
      <w:bookmarkStart w:id="1590" w:name="_Toc462988239"/>
      <w:bookmarkStart w:id="1591" w:name="_Toc462994041"/>
      <w:bookmarkStart w:id="1592" w:name="_Toc463343048"/>
      <w:r>
        <w:t xml:space="preserve">Table </w:t>
      </w:r>
      <w:fldSimple w:instr=" STYLEREF 1 \s ">
        <w:r w:rsidR="0073687F">
          <w:rPr>
            <w:noProof/>
          </w:rPr>
          <w:t>5</w:t>
        </w:r>
      </w:fldSimple>
      <w:r>
        <w:noBreakHyphen/>
      </w:r>
      <w:fldSimple w:instr=" SEQ Table \* ARABIC \s 1 ">
        <w:r w:rsidR="0073687F">
          <w:rPr>
            <w:noProof/>
          </w:rPr>
          <w:t>1</w:t>
        </w:r>
      </w:fldSimple>
      <w:bookmarkEnd w:id="1589"/>
      <w:r>
        <w:t>: The NER p</w:t>
      </w:r>
      <w:r w:rsidR="002732BD">
        <w:t>ricing principles</w:t>
      </w:r>
      <w:bookmarkEnd w:id="1590"/>
      <w:bookmarkEnd w:id="1591"/>
      <w:bookmarkEnd w:id="1592"/>
    </w:p>
    <w:tbl>
      <w:tblPr>
        <w:tblStyle w:val="GridTable5DarkAccent2"/>
        <w:tblW w:w="0" w:type="auto"/>
        <w:tblLayout w:type="fixed"/>
        <w:tblLook w:val="0420" w:firstRow="1" w:lastRow="0" w:firstColumn="0" w:lastColumn="0" w:noHBand="0" w:noVBand="1"/>
      </w:tblPr>
      <w:tblGrid>
        <w:gridCol w:w="1271"/>
        <w:gridCol w:w="8923"/>
      </w:tblGrid>
      <w:tr w:rsidR="009B41A0" w14:paraId="3410FE88" w14:textId="77777777" w:rsidTr="00A52BA8">
        <w:trPr>
          <w:cnfStyle w:val="100000000000" w:firstRow="1" w:lastRow="0" w:firstColumn="0" w:lastColumn="0" w:oddVBand="0" w:evenVBand="0" w:oddHBand="0" w:evenHBand="0" w:firstRowFirstColumn="0" w:firstRowLastColumn="0" w:lastRowFirstColumn="0" w:lastRowLastColumn="0"/>
        </w:trPr>
        <w:tc>
          <w:tcPr>
            <w:tcW w:w="1271" w:type="dxa"/>
          </w:tcPr>
          <w:p w14:paraId="7A6A74CC" w14:textId="08D85861" w:rsidR="009B41A0" w:rsidRPr="003A240F" w:rsidRDefault="009B41A0" w:rsidP="003A240F">
            <w:pPr>
              <w:pStyle w:val="Tableheadingwhitebold8pt"/>
              <w:jc w:val="left"/>
              <w:rPr>
                <w:b/>
              </w:rPr>
            </w:pPr>
            <w:r w:rsidRPr="003A240F">
              <w:rPr>
                <w:b/>
              </w:rPr>
              <w:t>Clause</w:t>
            </w:r>
          </w:p>
        </w:tc>
        <w:tc>
          <w:tcPr>
            <w:tcW w:w="8923" w:type="dxa"/>
          </w:tcPr>
          <w:p w14:paraId="610FBEA1" w14:textId="6EC32E6B" w:rsidR="009B41A0" w:rsidRPr="003A240F" w:rsidRDefault="009B41A0" w:rsidP="003A240F">
            <w:pPr>
              <w:pStyle w:val="Tableheadingwhitebold8pt"/>
              <w:jc w:val="left"/>
              <w:rPr>
                <w:b/>
              </w:rPr>
            </w:pPr>
            <w:r w:rsidRPr="003A240F">
              <w:rPr>
                <w:b/>
              </w:rPr>
              <w:t>Pricing principle</w:t>
            </w:r>
          </w:p>
        </w:tc>
      </w:tr>
      <w:tr w:rsidR="00E5281E" w14:paraId="7DA61603" w14:textId="77777777" w:rsidTr="003A240F">
        <w:trPr>
          <w:cnfStyle w:val="000000100000" w:firstRow="0" w:lastRow="0" w:firstColumn="0" w:lastColumn="0" w:oddVBand="0" w:evenVBand="0" w:oddHBand="1" w:evenHBand="0" w:firstRowFirstColumn="0" w:firstRowLastColumn="0" w:lastRowFirstColumn="0" w:lastRowLastColumn="0"/>
        </w:trPr>
        <w:tc>
          <w:tcPr>
            <w:tcW w:w="1271" w:type="dxa"/>
            <w:vAlign w:val="center"/>
          </w:tcPr>
          <w:p w14:paraId="283BCD84" w14:textId="50D8AD04" w:rsidR="00E5281E" w:rsidRDefault="00E5281E" w:rsidP="003A240F">
            <w:pPr>
              <w:pStyle w:val="Bodycopytable8pt"/>
              <w:rPr>
                <w:lang w:val="en-AU"/>
              </w:rPr>
            </w:pPr>
            <w:r>
              <w:t>6.18.5(e)</w:t>
            </w:r>
          </w:p>
        </w:tc>
        <w:tc>
          <w:tcPr>
            <w:tcW w:w="8923" w:type="dxa"/>
          </w:tcPr>
          <w:p w14:paraId="03003160" w14:textId="77777777" w:rsidR="00E5281E" w:rsidRDefault="00E5281E" w:rsidP="003A240F">
            <w:pPr>
              <w:pStyle w:val="Bodycopytable8pt"/>
            </w:pPr>
            <w:r>
              <w:t xml:space="preserve">The revenue expected to be recovered for each tariff class must lie on or between </w:t>
            </w:r>
          </w:p>
          <w:p w14:paraId="292F1F97" w14:textId="645805C5" w:rsidR="00E5281E" w:rsidRDefault="00E5281E" w:rsidP="003A240F">
            <w:pPr>
              <w:pStyle w:val="Bulletsnotindented8pt"/>
            </w:pPr>
            <w:r>
              <w:t>an upp</w:t>
            </w:r>
            <w:r w:rsidR="0034304A">
              <w:t>er bound representing the stand-</w:t>
            </w:r>
            <w:r>
              <w:t>alone cost of serving the retail customers who belong to that class; and</w:t>
            </w:r>
          </w:p>
          <w:p w14:paraId="194816F9" w14:textId="0FDBAB1E" w:rsidR="00E5281E" w:rsidRPr="00E5281E" w:rsidRDefault="00E5281E" w:rsidP="003A240F">
            <w:pPr>
              <w:pStyle w:val="Bulletsnotindented8pt"/>
            </w:pPr>
            <w:r>
              <w:t>a lower bound representing the avoidable cost of not serving those retail customers</w:t>
            </w:r>
          </w:p>
        </w:tc>
      </w:tr>
      <w:tr w:rsidR="00E5281E" w14:paraId="3BD4B35A" w14:textId="77777777" w:rsidTr="003A240F">
        <w:tc>
          <w:tcPr>
            <w:tcW w:w="1271" w:type="dxa"/>
            <w:vAlign w:val="center"/>
          </w:tcPr>
          <w:p w14:paraId="67A75CD6" w14:textId="620E21E2" w:rsidR="00E5281E" w:rsidRDefault="00E5281E" w:rsidP="003A240F">
            <w:pPr>
              <w:pStyle w:val="Bodycopytable8pt"/>
              <w:rPr>
                <w:lang w:val="en-AU"/>
              </w:rPr>
            </w:pPr>
            <w:r>
              <w:t>6.18.5(f)]</w:t>
            </w:r>
          </w:p>
        </w:tc>
        <w:tc>
          <w:tcPr>
            <w:tcW w:w="8923" w:type="dxa"/>
            <w:vAlign w:val="center"/>
          </w:tcPr>
          <w:p w14:paraId="1AA15F60" w14:textId="2DB2BCDF" w:rsidR="00E5281E" w:rsidRDefault="00E5281E" w:rsidP="003A240F">
            <w:pPr>
              <w:pStyle w:val="Bodycopytable8pt"/>
              <w:rPr>
                <w:lang w:val="en-AU"/>
              </w:rPr>
            </w:pPr>
            <w:r>
              <w:t>Each tariff is based on the long run marginal cost (LRMC) of providing the service</w:t>
            </w:r>
          </w:p>
        </w:tc>
      </w:tr>
      <w:tr w:rsidR="00F75B77" w14:paraId="25652E7F" w14:textId="77777777" w:rsidTr="003A240F">
        <w:trPr>
          <w:cnfStyle w:val="000000100000" w:firstRow="0" w:lastRow="0" w:firstColumn="0" w:lastColumn="0" w:oddVBand="0" w:evenVBand="0" w:oddHBand="1" w:evenHBand="0" w:firstRowFirstColumn="0" w:firstRowLastColumn="0" w:lastRowFirstColumn="0" w:lastRowLastColumn="0"/>
        </w:trPr>
        <w:tc>
          <w:tcPr>
            <w:tcW w:w="1271" w:type="dxa"/>
            <w:vAlign w:val="center"/>
          </w:tcPr>
          <w:p w14:paraId="68398443" w14:textId="35A62B95" w:rsidR="00F75B77" w:rsidRDefault="00F75B77" w:rsidP="003A240F">
            <w:pPr>
              <w:pStyle w:val="Bodycopytable8pt"/>
            </w:pPr>
            <w:r>
              <w:t>6.18.5(g)</w:t>
            </w:r>
          </w:p>
        </w:tc>
        <w:tc>
          <w:tcPr>
            <w:tcW w:w="8923" w:type="dxa"/>
            <w:vAlign w:val="center"/>
          </w:tcPr>
          <w:p w14:paraId="0193FD33" w14:textId="565D01D6" w:rsidR="00F75B77" w:rsidRDefault="00F75B77" w:rsidP="003A240F">
            <w:pPr>
              <w:pStyle w:val="Bodycopytable8pt"/>
            </w:pPr>
            <w:r>
              <w:t>Tariffs reflect the efficient costs of serving customers and minimise distortions in price signals for efficient usage</w:t>
            </w:r>
          </w:p>
        </w:tc>
      </w:tr>
      <w:tr w:rsidR="00E5281E" w14:paraId="2EC140B8" w14:textId="77777777" w:rsidTr="003A240F">
        <w:tc>
          <w:tcPr>
            <w:tcW w:w="1271" w:type="dxa"/>
            <w:vAlign w:val="center"/>
          </w:tcPr>
          <w:p w14:paraId="69F1567D" w14:textId="3DF2E2C6" w:rsidR="00E5281E" w:rsidRDefault="00E5281E" w:rsidP="003A240F">
            <w:pPr>
              <w:pStyle w:val="Bodycopytable8pt"/>
              <w:rPr>
                <w:lang w:val="en-AU"/>
              </w:rPr>
            </w:pPr>
            <w:r>
              <w:t>6.18.5(h)</w:t>
            </w:r>
          </w:p>
        </w:tc>
        <w:tc>
          <w:tcPr>
            <w:tcW w:w="8923" w:type="dxa"/>
            <w:vAlign w:val="center"/>
          </w:tcPr>
          <w:p w14:paraId="6A8FEE99" w14:textId="63CB0453" w:rsidR="00E5281E" w:rsidRPr="00E5281E" w:rsidRDefault="00E5281E" w:rsidP="003A240F">
            <w:pPr>
              <w:pStyle w:val="Bodycopytable8pt"/>
            </w:pPr>
            <w:r>
              <w:t xml:space="preserve">The need to consider the impact on customers of tariff changes </w:t>
            </w:r>
          </w:p>
        </w:tc>
      </w:tr>
      <w:tr w:rsidR="00A52BA8" w14:paraId="68608947" w14:textId="77777777" w:rsidTr="003A240F">
        <w:trPr>
          <w:cnfStyle w:val="000000100000" w:firstRow="0" w:lastRow="0" w:firstColumn="0" w:lastColumn="0" w:oddVBand="0" w:evenVBand="0" w:oddHBand="1" w:evenHBand="0" w:firstRowFirstColumn="0" w:firstRowLastColumn="0" w:lastRowFirstColumn="0" w:lastRowLastColumn="0"/>
        </w:trPr>
        <w:tc>
          <w:tcPr>
            <w:tcW w:w="1271" w:type="dxa"/>
            <w:vAlign w:val="center"/>
          </w:tcPr>
          <w:p w14:paraId="383FD6E4" w14:textId="643B8495" w:rsidR="00A52BA8" w:rsidRDefault="00A52BA8" w:rsidP="003A240F">
            <w:pPr>
              <w:pStyle w:val="Bodycopytable8pt"/>
            </w:pPr>
            <w:r w:rsidRPr="009037AC">
              <w:t>6.18.5(i)</w:t>
            </w:r>
          </w:p>
        </w:tc>
        <w:tc>
          <w:tcPr>
            <w:tcW w:w="8923" w:type="dxa"/>
            <w:vAlign w:val="center"/>
          </w:tcPr>
          <w:p w14:paraId="0423B196" w14:textId="567F0F23" w:rsidR="00A52BA8" w:rsidRDefault="004304F4" w:rsidP="003A240F">
            <w:pPr>
              <w:pStyle w:val="Bodycopytable8pt"/>
            </w:pPr>
            <w:r>
              <w:t>Tariff structures must</w:t>
            </w:r>
            <w:r w:rsidR="00A52BA8" w:rsidRPr="009037AC">
              <w:t xml:space="preserve"> be reasonably capable of being understood by customers</w:t>
            </w:r>
          </w:p>
        </w:tc>
      </w:tr>
      <w:tr w:rsidR="00A52BA8" w14:paraId="647ED00F" w14:textId="77777777" w:rsidTr="003A240F">
        <w:tc>
          <w:tcPr>
            <w:tcW w:w="1271" w:type="dxa"/>
            <w:vAlign w:val="center"/>
          </w:tcPr>
          <w:p w14:paraId="69D7D7BA" w14:textId="1B661186" w:rsidR="00A52BA8" w:rsidRDefault="00A52BA8" w:rsidP="003A240F">
            <w:pPr>
              <w:pStyle w:val="Bodycopytable8pt"/>
            </w:pPr>
            <w:r w:rsidRPr="009037AC">
              <w:t>6.18.5(j)</w:t>
            </w:r>
          </w:p>
        </w:tc>
        <w:tc>
          <w:tcPr>
            <w:tcW w:w="8923" w:type="dxa"/>
            <w:vAlign w:val="center"/>
          </w:tcPr>
          <w:p w14:paraId="187BE7F8" w14:textId="10C2C757" w:rsidR="00A52BA8" w:rsidRDefault="00A52BA8" w:rsidP="003A240F">
            <w:pPr>
              <w:pStyle w:val="Bodycopytable8pt"/>
            </w:pPr>
            <w:r w:rsidRPr="009037AC">
              <w:t>Tariffs must comply with all applicable regulatory instruments</w:t>
            </w:r>
          </w:p>
        </w:tc>
      </w:tr>
    </w:tbl>
    <w:p w14:paraId="787F35D3" w14:textId="77777777" w:rsidR="00E5281E" w:rsidRDefault="00E5281E" w:rsidP="00966E97">
      <w:pPr>
        <w:pStyle w:val="Bodycopy"/>
        <w:rPr>
          <w:lang w:val="en-AU"/>
        </w:rPr>
      </w:pPr>
    </w:p>
    <w:p w14:paraId="26CCB9D8" w14:textId="13768EAC" w:rsidR="005C4F3B" w:rsidRDefault="00515A45" w:rsidP="00966E97">
      <w:pPr>
        <w:pStyle w:val="Bodycopy"/>
        <w:rPr>
          <w:lang w:val="en-AU"/>
        </w:rPr>
      </w:pPr>
      <w:r>
        <w:rPr>
          <w:lang w:val="en-AU"/>
        </w:rPr>
        <w:t xml:space="preserve">We have set each of our tariffs for the two years of this TSS with regard to the clauses noted above. </w:t>
      </w:r>
      <w:r w:rsidR="007D2E3F">
        <w:rPr>
          <w:lang w:val="en-AU"/>
        </w:rPr>
        <w:t>In particular, the principle</w:t>
      </w:r>
      <w:r w:rsidR="002732BD">
        <w:rPr>
          <w:lang w:val="en-AU"/>
        </w:rPr>
        <w:t>s</w:t>
      </w:r>
      <w:r w:rsidR="007D2E3F">
        <w:rPr>
          <w:lang w:val="en-AU"/>
        </w:rPr>
        <w:t xml:space="preserve"> around consider</w:t>
      </w:r>
      <w:r w:rsidR="009B41A0">
        <w:rPr>
          <w:lang w:val="en-AU"/>
        </w:rPr>
        <w:t>ing</w:t>
      </w:r>
      <w:r w:rsidR="007D2E3F">
        <w:rPr>
          <w:lang w:val="en-AU"/>
        </w:rPr>
        <w:t xml:space="preserve"> the impact on customers </w:t>
      </w:r>
      <w:r w:rsidR="002732BD">
        <w:rPr>
          <w:lang w:val="en-AU"/>
        </w:rPr>
        <w:t xml:space="preserve">and our tariffs being easily understood </w:t>
      </w:r>
      <w:r w:rsidR="007D2E3F">
        <w:rPr>
          <w:lang w:val="en-AU"/>
        </w:rPr>
        <w:t>ha</w:t>
      </w:r>
      <w:r w:rsidR="00B6416E">
        <w:rPr>
          <w:lang w:val="en-AU"/>
        </w:rPr>
        <w:t>ve</w:t>
      </w:r>
      <w:r w:rsidR="007D2E3F">
        <w:rPr>
          <w:lang w:val="en-AU"/>
        </w:rPr>
        <w:t xml:space="preserve"> heavily influenced our proposed transition strategy for this TSS. </w:t>
      </w:r>
      <w:r w:rsidR="00B2032B">
        <w:rPr>
          <w:lang w:val="en-AU"/>
        </w:rPr>
        <w:t>The following sections contain a brief outline of how we have met e</w:t>
      </w:r>
      <w:r w:rsidR="009B41A0">
        <w:rPr>
          <w:lang w:val="en-AU"/>
        </w:rPr>
        <w:t>ach of these pricing principles. M</w:t>
      </w:r>
      <w:r w:rsidR="00B2032B">
        <w:rPr>
          <w:lang w:val="en-AU"/>
        </w:rPr>
        <w:t>ore detail</w:t>
      </w:r>
      <w:r>
        <w:rPr>
          <w:lang w:val="en-AU"/>
        </w:rPr>
        <w:t xml:space="preserve"> can be found in </w:t>
      </w:r>
      <w:r w:rsidR="0043386B" w:rsidRPr="0043386B">
        <w:rPr>
          <w:lang w:val="en-AU"/>
        </w:rPr>
        <w:t>Section 4</w:t>
      </w:r>
      <w:r w:rsidRPr="0043386B">
        <w:rPr>
          <w:lang w:val="en-AU"/>
        </w:rPr>
        <w:t xml:space="preserve"> of the addendum to this</w:t>
      </w:r>
      <w:r>
        <w:rPr>
          <w:lang w:val="en-AU"/>
        </w:rPr>
        <w:t xml:space="preserve"> TSS</w:t>
      </w:r>
      <w:r w:rsidR="00B2032B">
        <w:rPr>
          <w:lang w:val="en-AU"/>
        </w:rPr>
        <w:t>.</w:t>
      </w:r>
    </w:p>
    <w:p w14:paraId="64F04D72" w14:textId="0EC5E105" w:rsidR="0055779C" w:rsidRDefault="0034304A" w:rsidP="0055779C">
      <w:pPr>
        <w:pStyle w:val="Heading3"/>
      </w:pPr>
      <w:r>
        <w:t>Stand-</w:t>
      </w:r>
      <w:r w:rsidR="0055779C">
        <w:t>alone and avoidable cost</w:t>
      </w:r>
    </w:p>
    <w:p w14:paraId="6029EAD7" w14:textId="5312907D" w:rsidR="00144D05" w:rsidRDefault="00144D05" w:rsidP="0085244D">
      <w:pPr>
        <w:pStyle w:val="Bodycopy"/>
        <w:rPr>
          <w:lang w:val="en-AU"/>
        </w:rPr>
      </w:pPr>
      <w:r>
        <w:rPr>
          <w:lang w:val="en-AU"/>
        </w:rPr>
        <w:t>In relation to clause 6.18.5(e), o</w:t>
      </w:r>
      <w:r w:rsidR="0085244D">
        <w:rPr>
          <w:lang w:val="en-AU"/>
        </w:rPr>
        <w:t xml:space="preserve">ur </w:t>
      </w:r>
      <w:r w:rsidR="0034304A">
        <w:rPr>
          <w:lang w:val="en-AU"/>
        </w:rPr>
        <w:t>method for estimating the stand-</w:t>
      </w:r>
      <w:r w:rsidR="0085244D">
        <w:rPr>
          <w:lang w:val="en-AU"/>
        </w:rPr>
        <w:t xml:space="preserve">alone and avoidable cost for each tariff class is summarised </w:t>
      </w:r>
      <w:r w:rsidR="0085244D" w:rsidRPr="0043386B">
        <w:rPr>
          <w:lang w:val="en-AU"/>
        </w:rPr>
        <w:t xml:space="preserve">in </w:t>
      </w:r>
      <w:r w:rsidR="0043386B" w:rsidRPr="0043386B">
        <w:rPr>
          <w:lang w:val="en-AU"/>
        </w:rPr>
        <w:t>section 4</w:t>
      </w:r>
      <w:r w:rsidR="00C05329" w:rsidRPr="0043386B">
        <w:rPr>
          <w:lang w:val="en-AU"/>
        </w:rPr>
        <w:t>.3.1</w:t>
      </w:r>
      <w:r w:rsidR="0085244D" w:rsidRPr="0043386B">
        <w:rPr>
          <w:lang w:val="en-AU"/>
        </w:rPr>
        <w:t xml:space="preserve"> of the addendum to this</w:t>
      </w:r>
      <w:r w:rsidR="0085244D">
        <w:rPr>
          <w:lang w:val="en-AU"/>
        </w:rPr>
        <w:t xml:space="preserve"> TSS</w:t>
      </w:r>
      <w:r w:rsidR="00C05329">
        <w:rPr>
          <w:lang w:val="en-AU"/>
        </w:rPr>
        <w:t xml:space="preserve"> as well as </w:t>
      </w:r>
      <w:r w:rsidR="00C05329">
        <w:t xml:space="preserve">Attachment </w:t>
      </w:r>
      <w:r w:rsidR="005A34DB">
        <w:t>4</w:t>
      </w:r>
      <w:r w:rsidR="005004E3">
        <w:t xml:space="preserve"> -</w:t>
      </w:r>
      <w:r w:rsidR="005004E3" w:rsidRPr="005004E3">
        <w:rPr>
          <w:i/>
          <w:lang w:val="en-AU"/>
        </w:rPr>
        <w:t xml:space="preserve"> </w:t>
      </w:r>
      <w:r w:rsidR="005004E3" w:rsidRPr="00144D05">
        <w:rPr>
          <w:i/>
          <w:lang w:val="en-AU"/>
        </w:rPr>
        <w:t>Estimation of Long Run Marginal Cost and Other Concepts Related to the Distribution Pricing Principles</w:t>
      </w:r>
      <w:r w:rsidR="00C05329" w:rsidRPr="00D96D0C">
        <w:rPr>
          <w:i/>
        </w:rPr>
        <w:t xml:space="preserve"> </w:t>
      </w:r>
      <w:r w:rsidR="00C05329">
        <w:t>of our original TS</w:t>
      </w:r>
      <w:r w:rsidR="00B6416E">
        <w:t>S</w:t>
      </w:r>
      <w:r w:rsidR="0085244D">
        <w:rPr>
          <w:lang w:val="en-AU"/>
        </w:rPr>
        <w:t xml:space="preserve">. The method has not changed from our initial TSS. </w:t>
      </w:r>
    </w:p>
    <w:p w14:paraId="6B1E16B4" w14:textId="29941C1C" w:rsidR="0085244D" w:rsidRPr="0079409B" w:rsidRDefault="0085244D" w:rsidP="0085244D">
      <w:pPr>
        <w:pStyle w:val="Bodycopy"/>
        <w:rPr>
          <w:lang w:val="en-AU"/>
        </w:rPr>
      </w:pPr>
      <w:r>
        <w:rPr>
          <w:lang w:val="en-AU"/>
        </w:rPr>
        <w:t>The results of our calculation</w:t>
      </w:r>
      <w:r w:rsidR="00144D05">
        <w:rPr>
          <w:lang w:val="en-AU"/>
        </w:rPr>
        <w:t>s</w:t>
      </w:r>
      <w:r>
        <w:rPr>
          <w:lang w:val="en-AU"/>
        </w:rPr>
        <w:t xml:space="preserve"> show that</w:t>
      </w:r>
      <w:r w:rsidR="00A07BF8">
        <w:rPr>
          <w:lang w:val="en-AU"/>
        </w:rPr>
        <w:t>,</w:t>
      </w:r>
      <w:r>
        <w:rPr>
          <w:lang w:val="en-AU"/>
        </w:rPr>
        <w:t xml:space="preserve"> for each tariff class, the proposed revenue does lie between the lower bound (</w:t>
      </w:r>
      <w:r w:rsidRPr="0079409B">
        <w:rPr>
          <w:lang w:val="en-AU"/>
        </w:rPr>
        <w:t>avoidable cost) and upper bound (stand</w:t>
      </w:r>
      <w:r w:rsidR="0034304A" w:rsidRPr="0079409B">
        <w:rPr>
          <w:lang w:val="en-AU"/>
        </w:rPr>
        <w:t>-</w:t>
      </w:r>
      <w:r w:rsidRPr="0079409B">
        <w:rPr>
          <w:lang w:val="en-AU"/>
        </w:rPr>
        <w:t>alone cost</w:t>
      </w:r>
      <w:r w:rsidR="00A07BF8" w:rsidRPr="0079409B">
        <w:rPr>
          <w:lang w:val="en-AU"/>
        </w:rPr>
        <w:t>)</w:t>
      </w:r>
      <w:r w:rsidRPr="0079409B">
        <w:rPr>
          <w:lang w:val="en-AU"/>
        </w:rPr>
        <w:t>.</w:t>
      </w:r>
    </w:p>
    <w:p w14:paraId="0D7A5CE8" w14:textId="1DCD448A" w:rsidR="0085244D" w:rsidRPr="00DD48CC" w:rsidRDefault="0085244D" w:rsidP="0085244D">
      <w:pPr>
        <w:pStyle w:val="Caption"/>
        <w:rPr>
          <w:rStyle w:val="SubtleEmphasis"/>
          <w:i/>
          <w:color w:val="auto"/>
        </w:rPr>
      </w:pPr>
      <w:bookmarkStart w:id="1593" w:name="_Ref436121996"/>
      <w:bookmarkStart w:id="1594" w:name="_Ref459796575"/>
      <w:bookmarkStart w:id="1595" w:name="_Toc436127236"/>
      <w:bookmarkStart w:id="1596" w:name="_Toc436226270"/>
      <w:bookmarkStart w:id="1597" w:name="_Toc436304601"/>
      <w:bookmarkStart w:id="1598" w:name="_Toc459045444"/>
      <w:bookmarkStart w:id="1599" w:name="_Toc462988240"/>
      <w:bookmarkStart w:id="1600" w:name="_Toc462994042"/>
      <w:bookmarkStart w:id="1601" w:name="_Toc463343049"/>
      <w:r w:rsidRPr="0079409B">
        <w:t xml:space="preserve">Table </w:t>
      </w:r>
      <w:fldSimple w:instr=" STYLEREF 1 \s ">
        <w:r w:rsidR="0073687F">
          <w:rPr>
            <w:noProof/>
          </w:rPr>
          <w:t>5</w:t>
        </w:r>
      </w:fldSimple>
      <w:r w:rsidR="00A52BA8" w:rsidRPr="0079409B">
        <w:noBreakHyphen/>
      </w:r>
      <w:fldSimple w:instr=" SEQ Table \* ARABIC \s 1 ">
        <w:r w:rsidR="0073687F">
          <w:rPr>
            <w:noProof/>
          </w:rPr>
          <w:t>2</w:t>
        </w:r>
      </w:fldSimple>
      <w:bookmarkEnd w:id="1593"/>
      <w:bookmarkEnd w:id="1594"/>
      <w:r w:rsidRPr="0079409B">
        <w:t xml:space="preserve">: Proposed </w:t>
      </w:r>
      <w:r w:rsidR="00EF351F" w:rsidRPr="0079409B">
        <w:t>201</w:t>
      </w:r>
      <w:r w:rsidR="00377ADB" w:rsidRPr="0079409B">
        <w:t>7</w:t>
      </w:r>
      <w:r w:rsidR="00EF351F" w:rsidRPr="0079409B">
        <w:t>-1</w:t>
      </w:r>
      <w:r w:rsidR="00377ADB" w:rsidRPr="0079409B">
        <w:t>8</w:t>
      </w:r>
      <w:r w:rsidRPr="0079409B">
        <w:t xml:space="preserve"> revenue ($M) by tariff class </w:t>
      </w:r>
      <w:bookmarkEnd w:id="1595"/>
      <w:bookmarkEnd w:id="1596"/>
      <w:r w:rsidRPr="0079409B">
        <w:t>complies with the Rule</w:t>
      </w:r>
      <w:bookmarkEnd w:id="1597"/>
      <w:bookmarkEnd w:id="1598"/>
      <w:bookmarkEnd w:id="1599"/>
      <w:bookmarkEnd w:id="1600"/>
      <w:bookmarkEnd w:id="1601"/>
    </w:p>
    <w:tbl>
      <w:tblPr>
        <w:tblStyle w:val="EETealTable"/>
        <w:tblW w:w="0" w:type="auto"/>
        <w:tblInd w:w="-23" w:type="dxa"/>
        <w:tblLook w:val="04A0" w:firstRow="1" w:lastRow="0" w:firstColumn="1" w:lastColumn="0" w:noHBand="0" w:noVBand="1"/>
      </w:tblPr>
      <w:tblGrid>
        <w:gridCol w:w="2263"/>
        <w:gridCol w:w="1177"/>
        <w:gridCol w:w="1177"/>
        <w:gridCol w:w="1177"/>
        <w:gridCol w:w="2848"/>
      </w:tblGrid>
      <w:tr w:rsidR="0085244D" w:rsidRPr="004908FD" w14:paraId="7B423280" w14:textId="77777777" w:rsidTr="00445BD6">
        <w:trPr>
          <w:cnfStyle w:val="100000000000" w:firstRow="1" w:lastRow="0" w:firstColumn="0" w:lastColumn="0" w:oddVBand="0" w:evenVBand="0" w:oddHBand="0" w:evenHBand="0" w:firstRowFirstColumn="0" w:firstRowLastColumn="0" w:lastRowFirstColumn="0" w:lastRowLastColumn="0"/>
        </w:trPr>
        <w:tc>
          <w:tcPr>
            <w:tcW w:w="2263" w:type="dxa"/>
          </w:tcPr>
          <w:p w14:paraId="2A4AF8AA" w14:textId="77777777" w:rsidR="0085244D" w:rsidRPr="008C1CDC" w:rsidRDefault="0085244D" w:rsidP="00445BD6">
            <w:pPr>
              <w:pStyle w:val="Tableheadingwhitebold8pt"/>
              <w:jc w:val="left"/>
              <w:rPr>
                <w:b/>
              </w:rPr>
            </w:pPr>
            <w:r w:rsidRPr="008C1CDC">
              <w:rPr>
                <w:b/>
                <w:bCs/>
              </w:rPr>
              <w:t>Tariff class</w:t>
            </w:r>
          </w:p>
        </w:tc>
        <w:tc>
          <w:tcPr>
            <w:tcW w:w="1177" w:type="dxa"/>
          </w:tcPr>
          <w:p w14:paraId="19325712" w14:textId="77777777" w:rsidR="0085244D" w:rsidRPr="004908FD" w:rsidRDefault="0085244D" w:rsidP="00445BD6">
            <w:pPr>
              <w:pStyle w:val="Tableheadingwhitebold8pt"/>
            </w:pPr>
            <w:r w:rsidRPr="00566050">
              <w:rPr>
                <w:b/>
              </w:rPr>
              <w:t>Avoidable</w:t>
            </w:r>
          </w:p>
        </w:tc>
        <w:tc>
          <w:tcPr>
            <w:tcW w:w="1177" w:type="dxa"/>
          </w:tcPr>
          <w:p w14:paraId="3B4301B1" w14:textId="06A2B158" w:rsidR="0085244D" w:rsidRPr="004908FD" w:rsidRDefault="0085244D" w:rsidP="00445BD6">
            <w:pPr>
              <w:pStyle w:val="Tableheadingwhitebold8pt"/>
            </w:pPr>
            <w:r w:rsidRPr="00566050">
              <w:rPr>
                <w:b/>
              </w:rPr>
              <w:t>Stand</w:t>
            </w:r>
            <w:r w:rsidR="0034304A">
              <w:rPr>
                <w:b/>
              </w:rPr>
              <w:t>-</w:t>
            </w:r>
            <w:r w:rsidRPr="00566050">
              <w:rPr>
                <w:b/>
              </w:rPr>
              <w:t>alone</w:t>
            </w:r>
          </w:p>
        </w:tc>
        <w:tc>
          <w:tcPr>
            <w:tcW w:w="1177" w:type="dxa"/>
          </w:tcPr>
          <w:p w14:paraId="14A4A6F7" w14:textId="77777777" w:rsidR="0085244D" w:rsidRPr="00566050" w:rsidRDefault="0085244D" w:rsidP="00445BD6">
            <w:pPr>
              <w:pStyle w:val="Tableheadingwhitebold8pt"/>
            </w:pPr>
            <w:r w:rsidRPr="00566050">
              <w:rPr>
                <w:b/>
              </w:rPr>
              <w:t>Proposed</w:t>
            </w:r>
          </w:p>
        </w:tc>
        <w:tc>
          <w:tcPr>
            <w:tcW w:w="2848" w:type="dxa"/>
          </w:tcPr>
          <w:p w14:paraId="0BA60609" w14:textId="3DED06F2" w:rsidR="0085244D" w:rsidRPr="00566050" w:rsidRDefault="0085244D" w:rsidP="00445BD6">
            <w:pPr>
              <w:pStyle w:val="Tableheadingwhitebold8pt"/>
            </w:pPr>
            <w:r>
              <w:rPr>
                <w:b/>
              </w:rPr>
              <w:t>Prop</w:t>
            </w:r>
            <w:r w:rsidR="0034304A">
              <w:rPr>
                <w:b/>
              </w:rPr>
              <w:t>osed revenue lies between stand-</w:t>
            </w:r>
            <w:r>
              <w:rPr>
                <w:b/>
              </w:rPr>
              <w:t>alone and avoidable cost?</w:t>
            </w:r>
          </w:p>
        </w:tc>
      </w:tr>
      <w:tr w:rsidR="0085244D" w:rsidRPr="004908FD" w14:paraId="5B5943C7" w14:textId="77777777" w:rsidTr="003C26B9">
        <w:trPr>
          <w:cnfStyle w:val="000000100000" w:firstRow="0" w:lastRow="0" w:firstColumn="0" w:lastColumn="0" w:oddVBand="0" w:evenVBand="0" w:oddHBand="1" w:evenHBand="0" w:firstRowFirstColumn="0" w:firstRowLastColumn="0" w:lastRowFirstColumn="0" w:lastRowLastColumn="0"/>
          <w:trHeight w:val="227"/>
        </w:trPr>
        <w:tc>
          <w:tcPr>
            <w:tcW w:w="2263" w:type="dxa"/>
            <w:vAlign w:val="center"/>
          </w:tcPr>
          <w:p w14:paraId="35985149" w14:textId="1EE543CD" w:rsidR="0085244D" w:rsidRPr="004908FD" w:rsidRDefault="0085244D" w:rsidP="003C26B9">
            <w:pPr>
              <w:pStyle w:val="Bodycopytable8pt"/>
              <w:rPr>
                <w:rFonts w:ascii="Calibri" w:hAnsi="Calibri"/>
                <w:szCs w:val="22"/>
                <w:lang w:eastAsia="en-US"/>
              </w:rPr>
            </w:pPr>
            <w:r w:rsidRPr="004908FD">
              <w:t>L</w:t>
            </w:r>
            <w:r>
              <w:t>ow Voltage</w:t>
            </w:r>
            <w:r w:rsidRPr="004908FD">
              <w:t xml:space="preserve"> </w:t>
            </w:r>
            <w:r w:rsidR="00377ADB">
              <w:t>Residential &amp; Small Business</w:t>
            </w:r>
          </w:p>
        </w:tc>
        <w:tc>
          <w:tcPr>
            <w:tcW w:w="1177" w:type="dxa"/>
            <w:vAlign w:val="center"/>
          </w:tcPr>
          <w:p w14:paraId="2F732FDE" w14:textId="08D8FDEF" w:rsidR="0085244D" w:rsidRPr="00377ADB" w:rsidRDefault="0085244D" w:rsidP="003C26B9">
            <w:pPr>
              <w:pStyle w:val="Bodycopytable8pt"/>
              <w:jc w:val="center"/>
              <w:rPr>
                <w:rFonts w:cs="Arial"/>
                <w:color w:val="292934"/>
                <w:szCs w:val="16"/>
                <w:lang w:eastAsia="en-US"/>
              </w:rPr>
            </w:pPr>
            <w:r w:rsidRPr="00377ADB">
              <w:rPr>
                <w:color w:val="292934"/>
                <w:lang w:eastAsia="en-US"/>
              </w:rPr>
              <w:t>10</w:t>
            </w:r>
            <w:r w:rsidR="002D7417">
              <w:rPr>
                <w:color w:val="292934"/>
                <w:lang w:eastAsia="en-US"/>
              </w:rPr>
              <w:t>7</w:t>
            </w:r>
          </w:p>
        </w:tc>
        <w:tc>
          <w:tcPr>
            <w:tcW w:w="1177" w:type="dxa"/>
            <w:vAlign w:val="center"/>
          </w:tcPr>
          <w:p w14:paraId="71002306" w14:textId="158F4AA2" w:rsidR="0085244D" w:rsidRPr="00377ADB" w:rsidRDefault="002D7417" w:rsidP="003C26B9">
            <w:pPr>
              <w:pStyle w:val="Bodycopytable8pt"/>
              <w:jc w:val="center"/>
              <w:rPr>
                <w:rFonts w:cs="Arial"/>
                <w:color w:val="292934"/>
                <w:szCs w:val="16"/>
                <w:lang w:eastAsia="en-US"/>
              </w:rPr>
            </w:pPr>
            <w:r>
              <w:rPr>
                <w:color w:val="292934"/>
                <w:lang w:eastAsia="en-US"/>
              </w:rPr>
              <w:t>904</w:t>
            </w:r>
          </w:p>
        </w:tc>
        <w:tc>
          <w:tcPr>
            <w:tcW w:w="1177" w:type="dxa"/>
            <w:vAlign w:val="center"/>
          </w:tcPr>
          <w:p w14:paraId="2D4C930B" w14:textId="352EE5EB" w:rsidR="0085244D" w:rsidRPr="0079409B" w:rsidRDefault="0085244D" w:rsidP="003C26B9">
            <w:pPr>
              <w:pStyle w:val="Bodycopytable8pt"/>
              <w:jc w:val="center"/>
              <w:rPr>
                <w:rFonts w:cs="Arial"/>
                <w:color w:val="292934"/>
                <w:szCs w:val="16"/>
                <w:lang w:eastAsia="en-US"/>
              </w:rPr>
            </w:pPr>
            <w:r w:rsidRPr="0079409B">
              <w:rPr>
                <w:color w:val="292934"/>
                <w:lang w:eastAsia="en-US"/>
              </w:rPr>
              <w:t>6</w:t>
            </w:r>
            <w:r w:rsidR="0079409B" w:rsidRPr="0079409B">
              <w:rPr>
                <w:color w:val="292934"/>
                <w:lang w:eastAsia="en-US"/>
              </w:rPr>
              <w:t>9</w:t>
            </w:r>
            <w:r w:rsidR="002D7417">
              <w:rPr>
                <w:color w:val="292934"/>
                <w:lang w:eastAsia="en-US"/>
              </w:rPr>
              <w:t>2</w:t>
            </w:r>
          </w:p>
        </w:tc>
        <w:tc>
          <w:tcPr>
            <w:tcW w:w="2848" w:type="dxa"/>
            <w:vAlign w:val="center"/>
          </w:tcPr>
          <w:p w14:paraId="6DB1DC31" w14:textId="77777777" w:rsidR="0085244D" w:rsidRPr="004908FD" w:rsidRDefault="0085244D" w:rsidP="003C26B9">
            <w:pPr>
              <w:pStyle w:val="Bodycopytable8pt"/>
              <w:jc w:val="center"/>
              <w:rPr>
                <w:rFonts w:cs="Arial"/>
                <w:color w:val="292934"/>
                <w:szCs w:val="16"/>
                <w:lang w:eastAsia="en-US"/>
              </w:rPr>
            </w:pPr>
            <w:r w:rsidRPr="00D76F47">
              <w:rPr>
                <w:color w:val="292934"/>
                <w:lang w:eastAsia="en-US"/>
              </w:rPr>
              <w:t>Yes</w:t>
            </w:r>
          </w:p>
        </w:tc>
      </w:tr>
      <w:tr w:rsidR="0085244D" w:rsidRPr="004908FD" w14:paraId="3C5B85A4" w14:textId="77777777" w:rsidTr="003C26B9">
        <w:trPr>
          <w:cnfStyle w:val="000000010000" w:firstRow="0" w:lastRow="0" w:firstColumn="0" w:lastColumn="0" w:oddVBand="0" w:evenVBand="0" w:oddHBand="0" w:evenHBand="1" w:firstRowFirstColumn="0" w:firstRowLastColumn="0" w:lastRowFirstColumn="0" w:lastRowLastColumn="0"/>
          <w:trHeight w:val="227"/>
        </w:trPr>
        <w:tc>
          <w:tcPr>
            <w:tcW w:w="2263" w:type="dxa"/>
            <w:vAlign w:val="center"/>
          </w:tcPr>
          <w:p w14:paraId="0A8A0C6D" w14:textId="77777777" w:rsidR="0085244D" w:rsidRPr="004908FD" w:rsidRDefault="0085244D" w:rsidP="003C26B9">
            <w:pPr>
              <w:pStyle w:val="Bodycopytable8pt"/>
              <w:rPr>
                <w:rFonts w:ascii="Calibri" w:hAnsi="Calibri"/>
                <w:szCs w:val="22"/>
                <w:lang w:eastAsia="en-US"/>
              </w:rPr>
            </w:pPr>
            <w:r w:rsidRPr="004908FD">
              <w:t>L</w:t>
            </w:r>
            <w:r>
              <w:t xml:space="preserve">ow </w:t>
            </w:r>
            <w:r w:rsidRPr="004908FD">
              <w:t>V</w:t>
            </w:r>
            <w:r>
              <w:t>oltage</w:t>
            </w:r>
            <w:r w:rsidRPr="004908FD">
              <w:t xml:space="preserve"> Demand</w:t>
            </w:r>
          </w:p>
        </w:tc>
        <w:tc>
          <w:tcPr>
            <w:tcW w:w="1177" w:type="dxa"/>
            <w:vAlign w:val="center"/>
          </w:tcPr>
          <w:p w14:paraId="6D0B70FC" w14:textId="77777777" w:rsidR="0085244D" w:rsidRPr="00377ADB" w:rsidRDefault="0085244D" w:rsidP="003C26B9">
            <w:pPr>
              <w:pStyle w:val="Bodycopytable8pt"/>
              <w:jc w:val="center"/>
              <w:rPr>
                <w:rFonts w:cs="Arial"/>
                <w:color w:val="292934"/>
                <w:szCs w:val="16"/>
                <w:lang w:eastAsia="en-US"/>
              </w:rPr>
            </w:pPr>
            <w:r w:rsidRPr="00377ADB">
              <w:rPr>
                <w:color w:val="292934"/>
                <w:lang w:eastAsia="en-US"/>
              </w:rPr>
              <w:t>13</w:t>
            </w:r>
          </w:p>
        </w:tc>
        <w:tc>
          <w:tcPr>
            <w:tcW w:w="1177" w:type="dxa"/>
            <w:vAlign w:val="center"/>
          </w:tcPr>
          <w:p w14:paraId="6AFA6702" w14:textId="5A2A80D5" w:rsidR="0085244D" w:rsidRPr="00377ADB" w:rsidRDefault="002D7417" w:rsidP="003C26B9">
            <w:pPr>
              <w:pStyle w:val="Bodycopytable8pt"/>
              <w:jc w:val="center"/>
              <w:rPr>
                <w:rFonts w:cs="Arial"/>
                <w:color w:val="292934"/>
                <w:szCs w:val="16"/>
                <w:lang w:eastAsia="en-US"/>
              </w:rPr>
            </w:pPr>
            <w:r>
              <w:rPr>
                <w:color w:val="292934"/>
                <w:lang w:eastAsia="en-US"/>
              </w:rPr>
              <w:t>811</w:t>
            </w:r>
          </w:p>
        </w:tc>
        <w:tc>
          <w:tcPr>
            <w:tcW w:w="1177" w:type="dxa"/>
            <w:vAlign w:val="center"/>
          </w:tcPr>
          <w:p w14:paraId="234EB47C" w14:textId="2B9D4332" w:rsidR="0085244D" w:rsidRPr="0079409B" w:rsidRDefault="0085244D" w:rsidP="003C26B9">
            <w:pPr>
              <w:pStyle w:val="Bodycopytable8pt"/>
              <w:jc w:val="center"/>
              <w:rPr>
                <w:rFonts w:cs="Arial"/>
                <w:color w:val="292934"/>
                <w:szCs w:val="16"/>
                <w:lang w:eastAsia="en-US"/>
              </w:rPr>
            </w:pPr>
            <w:r w:rsidRPr="0079409B">
              <w:rPr>
                <w:color w:val="292934"/>
                <w:lang w:eastAsia="en-US"/>
              </w:rPr>
              <w:t>1</w:t>
            </w:r>
            <w:r w:rsidR="0079409B" w:rsidRPr="0079409B">
              <w:rPr>
                <w:color w:val="292934"/>
                <w:lang w:eastAsia="en-US"/>
              </w:rPr>
              <w:t>9</w:t>
            </w:r>
            <w:r w:rsidR="002D7417">
              <w:rPr>
                <w:color w:val="292934"/>
                <w:lang w:eastAsia="en-US"/>
              </w:rPr>
              <w:t>7</w:t>
            </w:r>
          </w:p>
        </w:tc>
        <w:tc>
          <w:tcPr>
            <w:tcW w:w="2848" w:type="dxa"/>
            <w:vAlign w:val="center"/>
          </w:tcPr>
          <w:p w14:paraId="1D6EBD29" w14:textId="77777777" w:rsidR="0085244D" w:rsidRPr="004908FD" w:rsidRDefault="0085244D" w:rsidP="003C26B9">
            <w:pPr>
              <w:pStyle w:val="Bodycopytable8pt"/>
              <w:jc w:val="center"/>
              <w:rPr>
                <w:rFonts w:cs="Arial"/>
                <w:color w:val="292934"/>
                <w:szCs w:val="16"/>
                <w:lang w:eastAsia="en-US"/>
              </w:rPr>
            </w:pPr>
            <w:r w:rsidRPr="00D76F47">
              <w:rPr>
                <w:color w:val="292934"/>
                <w:lang w:eastAsia="en-US"/>
              </w:rPr>
              <w:t>Yes</w:t>
            </w:r>
          </w:p>
        </w:tc>
      </w:tr>
      <w:tr w:rsidR="0085244D" w:rsidRPr="004908FD" w14:paraId="3BD9A367" w14:textId="77777777" w:rsidTr="003C26B9">
        <w:trPr>
          <w:cnfStyle w:val="000000100000" w:firstRow="0" w:lastRow="0" w:firstColumn="0" w:lastColumn="0" w:oddVBand="0" w:evenVBand="0" w:oddHBand="1" w:evenHBand="0" w:firstRowFirstColumn="0" w:firstRowLastColumn="0" w:lastRowFirstColumn="0" w:lastRowLastColumn="0"/>
          <w:trHeight w:val="227"/>
        </w:trPr>
        <w:tc>
          <w:tcPr>
            <w:tcW w:w="2263" w:type="dxa"/>
            <w:vAlign w:val="center"/>
          </w:tcPr>
          <w:p w14:paraId="1E22C3D0" w14:textId="77777777" w:rsidR="0085244D" w:rsidRPr="004908FD" w:rsidRDefault="0085244D" w:rsidP="003C26B9">
            <w:pPr>
              <w:pStyle w:val="Bodycopytable8pt"/>
              <w:rPr>
                <w:rFonts w:ascii="Calibri" w:hAnsi="Calibri"/>
                <w:szCs w:val="22"/>
                <w:lang w:eastAsia="en-US"/>
              </w:rPr>
            </w:pPr>
            <w:r w:rsidRPr="004908FD">
              <w:rPr>
                <w:lang w:eastAsia="en-US"/>
              </w:rPr>
              <w:t>H</w:t>
            </w:r>
            <w:r>
              <w:rPr>
                <w:lang w:eastAsia="en-US"/>
              </w:rPr>
              <w:t xml:space="preserve">igh </w:t>
            </w:r>
            <w:r w:rsidRPr="004908FD">
              <w:rPr>
                <w:lang w:eastAsia="en-US"/>
              </w:rPr>
              <w:t>V</w:t>
            </w:r>
            <w:r>
              <w:rPr>
                <w:lang w:eastAsia="en-US"/>
              </w:rPr>
              <w:t>oltage</w:t>
            </w:r>
            <w:r w:rsidRPr="004908FD">
              <w:rPr>
                <w:lang w:eastAsia="en-US"/>
              </w:rPr>
              <w:t xml:space="preserve"> Demand</w:t>
            </w:r>
          </w:p>
        </w:tc>
        <w:tc>
          <w:tcPr>
            <w:tcW w:w="1177" w:type="dxa"/>
            <w:vAlign w:val="center"/>
          </w:tcPr>
          <w:p w14:paraId="36BED73B" w14:textId="77777777" w:rsidR="0085244D" w:rsidRPr="00377ADB" w:rsidRDefault="0085244D" w:rsidP="003C26B9">
            <w:pPr>
              <w:pStyle w:val="Bodycopytable8pt"/>
              <w:jc w:val="center"/>
              <w:rPr>
                <w:rFonts w:cs="Arial"/>
                <w:color w:val="292934"/>
                <w:szCs w:val="16"/>
                <w:lang w:eastAsia="en-US"/>
              </w:rPr>
            </w:pPr>
            <w:r w:rsidRPr="00377ADB">
              <w:rPr>
                <w:color w:val="292934"/>
                <w:lang w:eastAsia="en-US"/>
              </w:rPr>
              <w:t>4</w:t>
            </w:r>
          </w:p>
        </w:tc>
        <w:tc>
          <w:tcPr>
            <w:tcW w:w="1177" w:type="dxa"/>
            <w:vAlign w:val="center"/>
          </w:tcPr>
          <w:p w14:paraId="5253D603" w14:textId="4B27AA82" w:rsidR="0085244D" w:rsidRPr="00377ADB" w:rsidRDefault="0085244D" w:rsidP="003C26B9">
            <w:pPr>
              <w:pStyle w:val="Bodycopytable8pt"/>
              <w:jc w:val="center"/>
              <w:rPr>
                <w:rFonts w:cs="Arial"/>
                <w:color w:val="292934"/>
                <w:szCs w:val="16"/>
                <w:lang w:eastAsia="en-US"/>
              </w:rPr>
            </w:pPr>
            <w:r w:rsidRPr="00377ADB">
              <w:rPr>
                <w:color w:val="292934"/>
                <w:lang w:eastAsia="en-US"/>
              </w:rPr>
              <w:t>5</w:t>
            </w:r>
            <w:r w:rsidR="002D7417">
              <w:rPr>
                <w:color w:val="292934"/>
                <w:lang w:eastAsia="en-US"/>
              </w:rPr>
              <w:t>2</w:t>
            </w:r>
            <w:r w:rsidR="00377ADB">
              <w:rPr>
                <w:color w:val="292934"/>
                <w:lang w:eastAsia="en-US"/>
              </w:rPr>
              <w:t>3</w:t>
            </w:r>
          </w:p>
        </w:tc>
        <w:tc>
          <w:tcPr>
            <w:tcW w:w="1177" w:type="dxa"/>
            <w:vAlign w:val="center"/>
          </w:tcPr>
          <w:p w14:paraId="75461A49" w14:textId="17A7A016" w:rsidR="0085244D" w:rsidRPr="0079409B" w:rsidRDefault="0079409B" w:rsidP="003C26B9">
            <w:pPr>
              <w:pStyle w:val="Bodycopytable8pt"/>
              <w:jc w:val="center"/>
              <w:rPr>
                <w:rFonts w:cs="Arial"/>
                <w:color w:val="292934"/>
                <w:szCs w:val="16"/>
                <w:lang w:eastAsia="en-US"/>
              </w:rPr>
            </w:pPr>
            <w:r w:rsidRPr="0079409B">
              <w:rPr>
                <w:color w:val="292934"/>
                <w:lang w:eastAsia="en-US"/>
              </w:rPr>
              <w:t>47</w:t>
            </w:r>
          </w:p>
        </w:tc>
        <w:tc>
          <w:tcPr>
            <w:tcW w:w="2848" w:type="dxa"/>
            <w:vAlign w:val="center"/>
          </w:tcPr>
          <w:p w14:paraId="1D6B63A0" w14:textId="77777777" w:rsidR="0085244D" w:rsidRPr="004908FD" w:rsidRDefault="0085244D" w:rsidP="003C26B9">
            <w:pPr>
              <w:pStyle w:val="Bodycopytable8pt"/>
              <w:jc w:val="center"/>
              <w:rPr>
                <w:rFonts w:cs="Arial"/>
                <w:color w:val="292934"/>
                <w:szCs w:val="16"/>
                <w:lang w:eastAsia="en-US"/>
              </w:rPr>
            </w:pPr>
            <w:r w:rsidRPr="00D76F47">
              <w:rPr>
                <w:color w:val="292934"/>
                <w:lang w:eastAsia="en-US"/>
              </w:rPr>
              <w:t>Yes</w:t>
            </w:r>
          </w:p>
        </w:tc>
      </w:tr>
      <w:tr w:rsidR="0085244D" w:rsidRPr="004908FD" w14:paraId="648738F6" w14:textId="77777777" w:rsidTr="003C26B9">
        <w:trPr>
          <w:cnfStyle w:val="000000010000" w:firstRow="0" w:lastRow="0" w:firstColumn="0" w:lastColumn="0" w:oddVBand="0" w:evenVBand="0" w:oddHBand="0" w:evenHBand="1" w:firstRowFirstColumn="0" w:firstRowLastColumn="0" w:lastRowFirstColumn="0" w:lastRowLastColumn="0"/>
          <w:trHeight w:val="227"/>
        </w:trPr>
        <w:tc>
          <w:tcPr>
            <w:tcW w:w="2263" w:type="dxa"/>
            <w:vAlign w:val="center"/>
          </w:tcPr>
          <w:p w14:paraId="275E7BB0" w14:textId="7E1A6B3F" w:rsidR="0085244D" w:rsidRPr="004908FD" w:rsidRDefault="0067436E" w:rsidP="003C26B9">
            <w:pPr>
              <w:pStyle w:val="Bodycopytable8pt"/>
              <w:rPr>
                <w:rFonts w:ascii="Calibri" w:hAnsi="Calibri"/>
                <w:szCs w:val="22"/>
                <w:lang w:eastAsia="en-US"/>
              </w:rPr>
            </w:pPr>
            <w:r>
              <w:rPr>
                <w:lang w:eastAsia="en-US"/>
              </w:rPr>
              <w:t>Sub-transmission</w:t>
            </w:r>
            <w:r w:rsidR="0079409B">
              <w:rPr>
                <w:lang w:eastAsia="en-US"/>
              </w:rPr>
              <w:t xml:space="preserve"> (including inter-distributor transfers)</w:t>
            </w:r>
          </w:p>
        </w:tc>
        <w:tc>
          <w:tcPr>
            <w:tcW w:w="1177" w:type="dxa"/>
            <w:vAlign w:val="center"/>
          </w:tcPr>
          <w:p w14:paraId="6EBBDD89" w14:textId="0C7B0031" w:rsidR="0085244D" w:rsidRPr="00377ADB" w:rsidRDefault="0085244D" w:rsidP="003C26B9">
            <w:pPr>
              <w:pStyle w:val="Bodycopytable8pt"/>
              <w:jc w:val="center"/>
              <w:rPr>
                <w:rFonts w:cs="Arial"/>
                <w:color w:val="292934"/>
                <w:szCs w:val="16"/>
                <w:lang w:eastAsia="en-US"/>
              </w:rPr>
            </w:pPr>
            <w:r w:rsidRPr="00377ADB">
              <w:rPr>
                <w:color w:val="292934"/>
                <w:lang w:eastAsia="en-US"/>
              </w:rPr>
              <w:t>1</w:t>
            </w:r>
            <w:r w:rsidR="00445EFC" w:rsidRPr="00377ADB">
              <w:rPr>
                <w:color w:val="292934"/>
                <w:lang w:eastAsia="en-US"/>
              </w:rPr>
              <w:t>3</w:t>
            </w:r>
          </w:p>
        </w:tc>
        <w:tc>
          <w:tcPr>
            <w:tcW w:w="1177" w:type="dxa"/>
            <w:vAlign w:val="center"/>
          </w:tcPr>
          <w:p w14:paraId="382EBF5D" w14:textId="4BC512CB" w:rsidR="0085244D" w:rsidRPr="00377ADB" w:rsidRDefault="0079409B" w:rsidP="003C26B9">
            <w:pPr>
              <w:pStyle w:val="Bodycopytable8pt"/>
              <w:jc w:val="center"/>
              <w:rPr>
                <w:rFonts w:cs="Arial"/>
                <w:color w:val="292934"/>
                <w:szCs w:val="16"/>
                <w:lang w:eastAsia="en-US"/>
              </w:rPr>
            </w:pPr>
            <w:r>
              <w:rPr>
                <w:color w:val="292934"/>
                <w:lang w:eastAsia="en-US"/>
              </w:rPr>
              <w:t>13</w:t>
            </w:r>
            <w:r w:rsidR="002D7417">
              <w:rPr>
                <w:color w:val="292934"/>
                <w:lang w:eastAsia="en-US"/>
              </w:rPr>
              <w:t>3</w:t>
            </w:r>
          </w:p>
        </w:tc>
        <w:tc>
          <w:tcPr>
            <w:tcW w:w="1177" w:type="dxa"/>
            <w:vAlign w:val="center"/>
          </w:tcPr>
          <w:p w14:paraId="74703084" w14:textId="782BF888" w:rsidR="0085244D" w:rsidRPr="0079409B" w:rsidRDefault="0085244D" w:rsidP="003C26B9">
            <w:pPr>
              <w:pStyle w:val="Bodycopytable8pt"/>
              <w:jc w:val="center"/>
              <w:rPr>
                <w:rFonts w:cs="Arial"/>
                <w:color w:val="292934"/>
                <w:szCs w:val="16"/>
                <w:lang w:eastAsia="en-US"/>
              </w:rPr>
            </w:pPr>
            <w:r w:rsidRPr="0079409B">
              <w:rPr>
                <w:color w:val="292934"/>
                <w:lang w:eastAsia="en-US"/>
              </w:rPr>
              <w:t>1</w:t>
            </w:r>
            <w:r w:rsidR="0079409B" w:rsidRPr="0079409B">
              <w:rPr>
                <w:color w:val="292934"/>
                <w:lang w:eastAsia="en-US"/>
              </w:rPr>
              <w:t>4</w:t>
            </w:r>
          </w:p>
        </w:tc>
        <w:tc>
          <w:tcPr>
            <w:tcW w:w="2848" w:type="dxa"/>
            <w:vAlign w:val="center"/>
          </w:tcPr>
          <w:p w14:paraId="0F024113" w14:textId="77777777" w:rsidR="0085244D" w:rsidRPr="004908FD" w:rsidRDefault="0085244D" w:rsidP="003C26B9">
            <w:pPr>
              <w:pStyle w:val="Bodycopytable8pt"/>
              <w:jc w:val="center"/>
              <w:rPr>
                <w:rFonts w:cs="Arial"/>
                <w:color w:val="292934"/>
                <w:szCs w:val="16"/>
                <w:lang w:eastAsia="en-US"/>
              </w:rPr>
            </w:pPr>
            <w:r w:rsidRPr="00D76F47">
              <w:rPr>
                <w:color w:val="292934"/>
                <w:lang w:eastAsia="en-US"/>
              </w:rPr>
              <w:t>Yes</w:t>
            </w:r>
          </w:p>
        </w:tc>
      </w:tr>
      <w:tr w:rsidR="0085244D" w:rsidRPr="004908FD" w14:paraId="6ACF54A4" w14:textId="77777777" w:rsidTr="003C26B9">
        <w:trPr>
          <w:cnfStyle w:val="000000100000" w:firstRow="0" w:lastRow="0" w:firstColumn="0" w:lastColumn="0" w:oddVBand="0" w:evenVBand="0" w:oddHBand="1" w:evenHBand="0" w:firstRowFirstColumn="0" w:firstRowLastColumn="0" w:lastRowFirstColumn="0" w:lastRowLastColumn="0"/>
          <w:trHeight w:val="227"/>
        </w:trPr>
        <w:tc>
          <w:tcPr>
            <w:tcW w:w="2263" w:type="dxa"/>
            <w:vAlign w:val="center"/>
          </w:tcPr>
          <w:p w14:paraId="050DC11D" w14:textId="77777777" w:rsidR="0085244D" w:rsidRPr="004908FD" w:rsidRDefault="0085244D" w:rsidP="003C26B9">
            <w:pPr>
              <w:pStyle w:val="Bodycopytable8pt"/>
              <w:rPr>
                <w:rFonts w:cs="Arial"/>
                <w:szCs w:val="16"/>
                <w:lang w:eastAsia="en-US"/>
              </w:rPr>
            </w:pPr>
            <w:r w:rsidRPr="004908FD">
              <w:rPr>
                <w:lang w:eastAsia="en-US"/>
              </w:rPr>
              <w:t>Unmetered</w:t>
            </w:r>
          </w:p>
        </w:tc>
        <w:tc>
          <w:tcPr>
            <w:tcW w:w="1177" w:type="dxa"/>
            <w:vAlign w:val="center"/>
          </w:tcPr>
          <w:p w14:paraId="7BB62C28" w14:textId="181632A7" w:rsidR="0085244D" w:rsidRPr="00377ADB" w:rsidRDefault="00445EFC" w:rsidP="003C26B9">
            <w:pPr>
              <w:pStyle w:val="Bodycopytable8pt"/>
              <w:jc w:val="center"/>
              <w:rPr>
                <w:rFonts w:cs="Arial"/>
                <w:color w:val="292934"/>
                <w:szCs w:val="16"/>
                <w:lang w:eastAsia="en-US"/>
              </w:rPr>
            </w:pPr>
            <w:r w:rsidRPr="00377ADB">
              <w:rPr>
                <w:color w:val="292934"/>
                <w:lang w:eastAsia="en-US"/>
              </w:rPr>
              <w:t>1</w:t>
            </w:r>
          </w:p>
        </w:tc>
        <w:tc>
          <w:tcPr>
            <w:tcW w:w="1177" w:type="dxa"/>
            <w:vAlign w:val="center"/>
          </w:tcPr>
          <w:p w14:paraId="16C8E455" w14:textId="529CA274" w:rsidR="0085244D" w:rsidRPr="00377ADB" w:rsidRDefault="002D7417" w:rsidP="003C26B9">
            <w:pPr>
              <w:pStyle w:val="Bodycopytable8pt"/>
              <w:jc w:val="center"/>
              <w:rPr>
                <w:rFonts w:cs="Arial"/>
                <w:color w:val="292934"/>
                <w:szCs w:val="16"/>
                <w:lang w:eastAsia="en-US"/>
              </w:rPr>
            </w:pPr>
            <w:r>
              <w:rPr>
                <w:color w:val="292934"/>
                <w:lang w:eastAsia="en-US"/>
              </w:rPr>
              <w:t>400</w:t>
            </w:r>
          </w:p>
        </w:tc>
        <w:tc>
          <w:tcPr>
            <w:tcW w:w="1177" w:type="dxa"/>
            <w:vAlign w:val="center"/>
          </w:tcPr>
          <w:p w14:paraId="33EC56A3" w14:textId="2C970470" w:rsidR="0085244D" w:rsidRPr="0079409B" w:rsidRDefault="0079409B" w:rsidP="003C26B9">
            <w:pPr>
              <w:pStyle w:val="Bodycopytable8pt"/>
              <w:jc w:val="center"/>
              <w:rPr>
                <w:rFonts w:cs="Arial"/>
                <w:color w:val="292934"/>
                <w:szCs w:val="16"/>
                <w:lang w:eastAsia="en-US"/>
              </w:rPr>
            </w:pPr>
            <w:r w:rsidRPr="0079409B">
              <w:rPr>
                <w:color w:val="292934"/>
                <w:lang w:eastAsia="en-US"/>
              </w:rPr>
              <w:t>9</w:t>
            </w:r>
          </w:p>
        </w:tc>
        <w:tc>
          <w:tcPr>
            <w:tcW w:w="2848" w:type="dxa"/>
            <w:vAlign w:val="center"/>
          </w:tcPr>
          <w:p w14:paraId="0CC4892E" w14:textId="77777777" w:rsidR="0085244D" w:rsidRPr="004908FD" w:rsidRDefault="0085244D" w:rsidP="003C26B9">
            <w:pPr>
              <w:pStyle w:val="Bodycopytable8pt"/>
              <w:jc w:val="center"/>
              <w:rPr>
                <w:rFonts w:cs="Arial"/>
                <w:color w:val="292934"/>
                <w:szCs w:val="16"/>
                <w:lang w:eastAsia="en-US"/>
              </w:rPr>
            </w:pPr>
            <w:r w:rsidRPr="00D76F47">
              <w:rPr>
                <w:color w:val="292934"/>
                <w:lang w:eastAsia="en-US"/>
              </w:rPr>
              <w:t>Yes</w:t>
            </w:r>
          </w:p>
        </w:tc>
      </w:tr>
    </w:tbl>
    <w:p w14:paraId="1C660D99" w14:textId="251C221B" w:rsidR="0085244D" w:rsidRDefault="00144D05" w:rsidP="00144D05">
      <w:pPr>
        <w:pStyle w:val="Heading3"/>
      </w:pPr>
      <w:r>
        <w:t>Long run marginal cost</w:t>
      </w:r>
    </w:p>
    <w:p w14:paraId="0CC34BF5" w14:textId="0255AF61" w:rsidR="001750E5" w:rsidRDefault="00144D05" w:rsidP="00B057EF">
      <w:pPr>
        <w:pStyle w:val="Bodycopy"/>
      </w:pPr>
      <w:r>
        <w:rPr>
          <w:lang w:val="en-AU"/>
        </w:rPr>
        <w:t>In relation to clause 6.18.5(f), our approach to estimating</w:t>
      </w:r>
      <w:r w:rsidRPr="00144D05">
        <w:rPr>
          <w:lang w:val="en-AU"/>
        </w:rPr>
        <w:t xml:space="preserve"> </w:t>
      </w:r>
      <w:r>
        <w:rPr>
          <w:lang w:val="en-AU"/>
        </w:rPr>
        <w:t>the long run marginal cost (LRMC) across our network was summarised in section 7.3 of our initial TSS.</w:t>
      </w:r>
      <w:r w:rsidR="003C26B9" w:rsidRPr="003C26B9">
        <w:rPr>
          <w:lang w:val="en-AU"/>
        </w:rPr>
        <w:t xml:space="preserve"> </w:t>
      </w:r>
      <w:r w:rsidR="001750E5">
        <w:rPr>
          <w:lang w:val="en-AU"/>
        </w:rPr>
        <w:t xml:space="preserve">Our </w:t>
      </w:r>
      <w:r w:rsidR="001750E5" w:rsidRPr="001750E5">
        <w:t>LRMC is calculated at a voltage level for our customers. Therefore, we have a</w:t>
      </w:r>
      <w:r w:rsidR="00445EFC">
        <w:t>n</w:t>
      </w:r>
      <w:r w:rsidR="001750E5" w:rsidRPr="001750E5">
        <w:t xml:space="preserve"> LRMC </w:t>
      </w:r>
      <w:r w:rsidR="00445EFC">
        <w:t xml:space="preserve">estimate </w:t>
      </w:r>
      <w:r w:rsidR="001750E5" w:rsidRPr="001750E5">
        <w:t xml:space="preserve">for each of low voltage, high voltage and </w:t>
      </w:r>
      <w:r w:rsidR="0067436E">
        <w:t>sub-transmission</w:t>
      </w:r>
      <w:r w:rsidR="001750E5" w:rsidRPr="001750E5">
        <w:t xml:space="preserve"> customers. The LRMC</w:t>
      </w:r>
      <w:r w:rsidR="00445EFC">
        <w:t xml:space="preserve"> estimate</w:t>
      </w:r>
      <w:r w:rsidR="001750E5" w:rsidRPr="001750E5">
        <w:t xml:space="preserve"> is not specific to location or feeder, but an average for all customers connected at the same voltage level or within the same </w:t>
      </w:r>
      <w:r w:rsidR="00445EFC">
        <w:t xml:space="preserve">tariff </w:t>
      </w:r>
      <w:r w:rsidR="001750E5" w:rsidRPr="001750E5">
        <w:t xml:space="preserve">class. </w:t>
      </w:r>
    </w:p>
    <w:p w14:paraId="4533AEEA" w14:textId="088B6EE5" w:rsidR="0085244D" w:rsidRDefault="00144D05" w:rsidP="00B057EF">
      <w:pPr>
        <w:pStyle w:val="Bodycopy"/>
        <w:rPr>
          <w:lang w:val="en-AU"/>
        </w:rPr>
      </w:pPr>
      <w:r>
        <w:rPr>
          <w:lang w:val="en-AU"/>
        </w:rPr>
        <w:lastRenderedPageBreak/>
        <w:t xml:space="preserve">Further details were provided in the Houston Kemp prepared </w:t>
      </w:r>
      <w:r w:rsidRPr="00144D05">
        <w:rPr>
          <w:i/>
          <w:lang w:val="en-AU"/>
        </w:rPr>
        <w:t>Estimation of Long Run Marginal Cost and Other Concepts Related to the Distribution Pricing Principles</w:t>
      </w:r>
      <w:r>
        <w:rPr>
          <w:lang w:val="en-AU"/>
        </w:rPr>
        <w:t xml:space="preserve"> that comprised Attachment 4 to the </w:t>
      </w:r>
      <w:r w:rsidR="003C26B9">
        <w:rPr>
          <w:lang w:val="en-AU"/>
        </w:rPr>
        <w:t>initial</w:t>
      </w:r>
      <w:r>
        <w:rPr>
          <w:lang w:val="en-AU"/>
        </w:rPr>
        <w:t xml:space="preserve"> TSS. </w:t>
      </w:r>
      <w:r w:rsidR="006F7BDD">
        <w:rPr>
          <w:lang w:val="en-AU"/>
        </w:rPr>
        <w:t>Our tariffs are based on LRMC</w:t>
      </w:r>
      <w:r w:rsidR="001750E5">
        <w:rPr>
          <w:lang w:val="en-AU"/>
        </w:rPr>
        <w:t>. O</w:t>
      </w:r>
      <w:r w:rsidR="006F7BDD">
        <w:rPr>
          <w:lang w:val="en-AU"/>
        </w:rPr>
        <w:t>ur</w:t>
      </w:r>
      <w:r>
        <w:rPr>
          <w:lang w:val="en-AU"/>
        </w:rPr>
        <w:t xml:space="preserve"> </w:t>
      </w:r>
      <w:r w:rsidR="001750E5">
        <w:rPr>
          <w:lang w:val="en-AU"/>
        </w:rPr>
        <w:t xml:space="preserve">LRMC </w:t>
      </w:r>
      <w:r>
        <w:rPr>
          <w:lang w:val="en-AU"/>
        </w:rPr>
        <w:t>approach was accepted by t</w:t>
      </w:r>
      <w:r w:rsidR="001750E5">
        <w:rPr>
          <w:lang w:val="en-AU"/>
        </w:rPr>
        <w:t>he AER in its draft decision and</w:t>
      </w:r>
      <w:r>
        <w:rPr>
          <w:lang w:val="en-AU"/>
        </w:rPr>
        <w:t xml:space="preserve"> remains unchanged for this revised TSS.</w:t>
      </w:r>
      <w:r w:rsidR="00445EFC">
        <w:rPr>
          <w:lang w:val="en-AU"/>
        </w:rPr>
        <w:t xml:space="preserve"> We have, however, updated our LR</w:t>
      </w:r>
      <w:r w:rsidR="006B5AE6">
        <w:rPr>
          <w:lang w:val="en-AU"/>
        </w:rPr>
        <w:t>M</w:t>
      </w:r>
      <w:r w:rsidR="00445EFC">
        <w:rPr>
          <w:lang w:val="en-AU"/>
        </w:rPr>
        <w:t xml:space="preserve">C estimates for </w:t>
      </w:r>
      <w:r w:rsidR="002D0B87">
        <w:rPr>
          <w:lang w:val="en-AU"/>
        </w:rPr>
        <w:t xml:space="preserve">inflation and </w:t>
      </w:r>
      <w:r w:rsidR="00445EFC">
        <w:rPr>
          <w:lang w:val="en-AU"/>
        </w:rPr>
        <w:t xml:space="preserve">improved data inputs relating to the likelihood of demand occurring in the peak period and our growth capex estimates. </w:t>
      </w:r>
      <w:r w:rsidR="00B4444A">
        <w:rPr>
          <w:lang w:val="en-AU"/>
        </w:rPr>
        <w:t>We also intend to improve our LRMC calculation in the next regulatory period – see section 7 of our Addendum document.</w:t>
      </w:r>
    </w:p>
    <w:p w14:paraId="061C16E2" w14:textId="498CD6A9" w:rsidR="006F7BDD" w:rsidRDefault="006F7BDD" w:rsidP="006F7BDD">
      <w:pPr>
        <w:pStyle w:val="Heading3"/>
      </w:pPr>
      <w:r>
        <w:t>Tariffs reflect efficient costs and minimise distortions in price signals</w:t>
      </w:r>
    </w:p>
    <w:p w14:paraId="10C2B12F" w14:textId="526C8615" w:rsidR="00E321A8" w:rsidRDefault="00E321A8" w:rsidP="00E321A8">
      <w:pPr>
        <w:pStyle w:val="Bodycopy"/>
      </w:pPr>
      <w:r w:rsidRPr="006E5305">
        <w:t xml:space="preserve">Setting our charges based </w:t>
      </w:r>
      <w:r>
        <w:t>solely on LRMC</w:t>
      </w:r>
      <w:r w:rsidRPr="006E5305">
        <w:t xml:space="preserve"> would result in </w:t>
      </w:r>
      <w:r w:rsidR="00885EBC">
        <w:t>Essential Energy</w:t>
      </w:r>
      <w:r w:rsidR="00885EBC" w:rsidRPr="006E5305">
        <w:t xml:space="preserve"> </w:t>
      </w:r>
      <w:r w:rsidRPr="006E5305">
        <w:t xml:space="preserve">not recovering all of our required revenue. The </w:t>
      </w:r>
      <w:r>
        <w:t>R</w:t>
      </w:r>
      <w:r w:rsidRPr="006E5305">
        <w:t xml:space="preserve">ules require us to consider how best to recover these remaining costs – sometimes referred to as residual costs – in a manner that </w:t>
      </w:r>
      <w:r>
        <w:t xml:space="preserve">is efficient and </w:t>
      </w:r>
      <w:r w:rsidRPr="006E5305">
        <w:t xml:space="preserve">minimises distortions </w:t>
      </w:r>
      <w:r>
        <w:t>to</w:t>
      </w:r>
      <w:r w:rsidRPr="006E5305">
        <w:t xml:space="preserve"> price signals</w:t>
      </w:r>
      <w:r>
        <w:t xml:space="preserve">. </w:t>
      </w:r>
      <w:r w:rsidR="001750E5">
        <w:t>The concepts of efficient pricing and price distortion are briefly discussed below.</w:t>
      </w:r>
    </w:p>
    <w:p w14:paraId="720CB828" w14:textId="7759017E" w:rsidR="006E2F2C" w:rsidRDefault="006E2F2C" w:rsidP="001750E5">
      <w:pPr>
        <w:pStyle w:val="Heading4nonumbers"/>
        <w:ind w:left="720"/>
      </w:pPr>
      <w:r>
        <w:t>Efficient pricing</w:t>
      </w:r>
    </w:p>
    <w:p w14:paraId="587D2A85" w14:textId="5E6E5F54" w:rsidR="00E321A8" w:rsidRDefault="00E321A8" w:rsidP="001750E5">
      <w:pPr>
        <w:pStyle w:val="Bodycopy"/>
        <w:ind w:left="720"/>
      </w:pPr>
      <w:r w:rsidRPr="006E2F2C">
        <w:t>In the initial stages of tariff reform, an efficient allocation of residual costs would be to allocate more residual costs to the less efficient tariff</w:t>
      </w:r>
      <w:r w:rsidR="00445EFC">
        <w:t>s and charging parameters</w:t>
      </w:r>
      <w:r w:rsidRPr="006E2F2C">
        <w:t xml:space="preserve"> and less residual costs to the more efficient tariff</w:t>
      </w:r>
      <w:r w:rsidR="00445EFC">
        <w:t>s and charging parameters</w:t>
      </w:r>
      <w:r w:rsidR="00885EBC">
        <w:t>, so c</w:t>
      </w:r>
      <w:r w:rsidRPr="006E2F2C">
        <w:t xml:space="preserve">ustomers on more efficient tariffs pay a smaller quantum of residual costs. This allocation of residual costs </w:t>
      </w:r>
      <w:r w:rsidR="006E2F2C" w:rsidRPr="006E2F2C">
        <w:t>should</w:t>
      </w:r>
      <w:r w:rsidRPr="006E2F2C">
        <w:t xml:space="preserve"> encourage customer take-up of the more efficient tariff during the transition period.</w:t>
      </w:r>
    </w:p>
    <w:p w14:paraId="2C9B27E6" w14:textId="14ECB1ED" w:rsidR="006E2F2C" w:rsidRDefault="006E2F2C" w:rsidP="001750E5">
      <w:pPr>
        <w:pStyle w:val="Heading4nonumbers"/>
        <w:ind w:left="720"/>
      </w:pPr>
      <w:r>
        <w:t>Price distortion</w:t>
      </w:r>
    </w:p>
    <w:p w14:paraId="42B04130" w14:textId="0E3E7D10" w:rsidR="006E2F2C" w:rsidRDefault="006E2F2C" w:rsidP="001750E5">
      <w:pPr>
        <w:pStyle w:val="Bodycopy"/>
        <w:ind w:left="720"/>
      </w:pPr>
      <w:r>
        <w:t>T</w:t>
      </w:r>
      <w:r w:rsidR="00D47076">
        <w:t xml:space="preserve">ariffs set closer to the LRMC </w:t>
      </w:r>
      <w:r>
        <w:t xml:space="preserve">will </w:t>
      </w:r>
      <w:r w:rsidR="00D47076">
        <w:t>have a small</w:t>
      </w:r>
      <w:r>
        <w:t>er</w:t>
      </w:r>
      <w:r w:rsidR="00D47076">
        <w:t xml:space="preserve"> distortion on </w:t>
      </w:r>
      <w:r w:rsidR="00445EFC">
        <w:t xml:space="preserve">efficient usage decisions </w:t>
      </w:r>
      <w:r w:rsidR="00D47076">
        <w:t xml:space="preserve">than those </w:t>
      </w:r>
      <w:r>
        <w:t xml:space="preserve">set further from the LRMC. </w:t>
      </w:r>
      <w:r w:rsidR="008B5CA2">
        <w:t>Some of our current tariffs are below LRMC</w:t>
      </w:r>
      <w:r w:rsidR="00C92466">
        <w:t>;</w:t>
      </w:r>
      <w:r w:rsidR="008B5CA2">
        <w:t xml:space="preserve"> others are closely aligned </w:t>
      </w:r>
      <w:r w:rsidR="00EF351F">
        <w:t>to LRMC</w:t>
      </w:r>
      <w:r w:rsidR="008B5CA2">
        <w:t>.</w:t>
      </w:r>
    </w:p>
    <w:p w14:paraId="0DDCD71A" w14:textId="62ED954D" w:rsidR="00763A52" w:rsidRDefault="00763A52" w:rsidP="00E321A8">
      <w:pPr>
        <w:pStyle w:val="Bodycopy"/>
      </w:pPr>
      <w:r>
        <w:t xml:space="preserve">For this TSS, we have considered both these requirements in conjunction with </w:t>
      </w:r>
      <w:r w:rsidR="001750E5">
        <w:t>the customer impact of tariff change required by clause 6.18.5(h)</w:t>
      </w:r>
      <w:r>
        <w:t xml:space="preserve">. </w:t>
      </w:r>
      <w:r w:rsidR="00885EBC">
        <w:t>T</w:t>
      </w:r>
      <w:r>
        <w:t>he outcomes of this requirement are explained in conju</w:t>
      </w:r>
      <w:r w:rsidR="00DE569A">
        <w:t>nction with the customer impact</w:t>
      </w:r>
      <w:r>
        <w:t xml:space="preserve"> in the following section.</w:t>
      </w:r>
    </w:p>
    <w:p w14:paraId="731C0701" w14:textId="11DBB99A" w:rsidR="006E2F2C" w:rsidRDefault="006E2F2C" w:rsidP="006E2F2C">
      <w:pPr>
        <w:pStyle w:val="Heading3"/>
      </w:pPr>
      <w:r>
        <w:t>Customer impact of tariff changes</w:t>
      </w:r>
    </w:p>
    <w:p w14:paraId="40CA462F" w14:textId="3126A746" w:rsidR="00DB2EB5" w:rsidRDefault="00E444CD" w:rsidP="00B2032B">
      <w:pPr>
        <w:pStyle w:val="Bodycopy"/>
      </w:pPr>
      <w:r>
        <w:t>Many of our current tariff structures do not meet the requirements of the Rules. For example, they are below LRMC and/or residual costs are not being apportioned efficiently</w:t>
      </w:r>
      <w:r w:rsidR="00885EBC">
        <w:t>,</w:t>
      </w:r>
      <w:r>
        <w:t xml:space="preserve"> or in a manner that minimises price distortions. </w:t>
      </w:r>
    </w:p>
    <w:p w14:paraId="26FC7CB7" w14:textId="61F20946" w:rsidR="00DB2EB5" w:rsidRDefault="00DB2EB5" w:rsidP="00B2032B">
      <w:pPr>
        <w:pStyle w:val="Bodycopy"/>
      </w:pPr>
      <w:r>
        <w:t xml:space="preserve">The </w:t>
      </w:r>
      <w:r w:rsidR="00C92466">
        <w:t xml:space="preserve">level of </w:t>
      </w:r>
      <w:r>
        <w:t xml:space="preserve">adjustments to some customer tariffs required to satisfy cost-reflectivity under the Rules are of such magnitude that managing the associated bill impacts for </w:t>
      </w:r>
      <w:r w:rsidR="00445EFC">
        <w:t xml:space="preserve">our </w:t>
      </w:r>
      <w:r>
        <w:t>customer</w:t>
      </w:r>
      <w:r w:rsidR="00445EFC">
        <w:t>s</w:t>
      </w:r>
      <w:r>
        <w:t xml:space="preserve"> has necessarily required a higher weighting</w:t>
      </w:r>
      <w:r w:rsidR="00E444CD">
        <w:t xml:space="preserve"> </w:t>
      </w:r>
      <w:r>
        <w:t>in this TSS. We would expect this weighting to decline in priority with each subsequent TSS, as our tariffs become more cost-reflective and the relative impacts on customers declines.</w:t>
      </w:r>
    </w:p>
    <w:p w14:paraId="130B8652" w14:textId="098D6C8E" w:rsidR="00AC1694" w:rsidRDefault="00DB2EB5" w:rsidP="00B2032B">
      <w:pPr>
        <w:pStyle w:val="Bodycopy"/>
        <w:rPr>
          <w:lang w:val="en-AU"/>
        </w:rPr>
      </w:pPr>
      <w:r>
        <w:t xml:space="preserve">We </w:t>
      </w:r>
      <w:r w:rsidR="00B2032B">
        <w:rPr>
          <w:lang w:val="en-AU"/>
        </w:rPr>
        <w:t>have relied on stakeholder feedback to help form our transition strategy</w:t>
      </w:r>
      <w:r>
        <w:rPr>
          <w:lang w:val="en-AU"/>
        </w:rPr>
        <w:t xml:space="preserve"> and manage the bill impacts on our customers. More </w:t>
      </w:r>
      <w:r w:rsidR="00B2032B">
        <w:rPr>
          <w:lang w:val="en-AU"/>
        </w:rPr>
        <w:t xml:space="preserve">details of </w:t>
      </w:r>
      <w:r>
        <w:rPr>
          <w:lang w:val="en-AU"/>
        </w:rPr>
        <w:t>this feedback</w:t>
      </w:r>
      <w:r w:rsidR="00B2032B">
        <w:rPr>
          <w:lang w:val="en-AU"/>
        </w:rPr>
        <w:t xml:space="preserve"> can be found </w:t>
      </w:r>
      <w:r w:rsidR="00B2032B" w:rsidRPr="0043386B">
        <w:rPr>
          <w:lang w:val="en-AU"/>
        </w:rPr>
        <w:t xml:space="preserve">in </w:t>
      </w:r>
      <w:r w:rsidR="005004E3" w:rsidRPr="0043386B">
        <w:rPr>
          <w:lang w:val="en-AU"/>
        </w:rPr>
        <w:t xml:space="preserve">sections 2 and 3 </w:t>
      </w:r>
      <w:r w:rsidR="00B2032B" w:rsidRPr="0043386B">
        <w:rPr>
          <w:lang w:val="en-AU"/>
        </w:rPr>
        <w:t>of the addendum to this</w:t>
      </w:r>
      <w:r w:rsidR="00B2032B">
        <w:rPr>
          <w:lang w:val="en-AU"/>
        </w:rPr>
        <w:t xml:space="preserve"> TSS. </w:t>
      </w:r>
    </w:p>
    <w:p w14:paraId="0CEF6A17" w14:textId="7BA6534E" w:rsidR="000C0A87" w:rsidRDefault="000C0A87" w:rsidP="004304F4">
      <w:pPr>
        <w:pStyle w:val="Heading3"/>
      </w:pPr>
      <w:r>
        <w:t xml:space="preserve">Our tariffs can be </w:t>
      </w:r>
      <w:r w:rsidR="004304F4">
        <w:t>easily understood by customers</w:t>
      </w:r>
    </w:p>
    <w:p w14:paraId="5FDA1816" w14:textId="123B8DCB" w:rsidR="004304F4" w:rsidRDefault="004304F4" w:rsidP="004304F4">
      <w:pPr>
        <w:pStyle w:val="Bodycopy"/>
      </w:pPr>
      <w:r>
        <w:t xml:space="preserve">We believe </w:t>
      </w:r>
      <w:r w:rsidR="0064189E">
        <w:t xml:space="preserve">that </w:t>
      </w:r>
      <w:r>
        <w:t>our</w:t>
      </w:r>
      <w:r w:rsidR="00F166A4">
        <w:t xml:space="preserve"> </w:t>
      </w:r>
      <w:r>
        <w:t xml:space="preserve">tariff structures are simple and </w:t>
      </w:r>
      <w:r w:rsidR="00866793">
        <w:t>can</w:t>
      </w:r>
      <w:r>
        <w:t xml:space="preserve"> therefore </w:t>
      </w:r>
      <w:r w:rsidR="00866793">
        <w:t xml:space="preserve">be </w:t>
      </w:r>
      <w:r>
        <w:t xml:space="preserve">reasonably </w:t>
      </w:r>
      <w:r w:rsidR="00866793">
        <w:t>easily</w:t>
      </w:r>
      <w:r>
        <w:t xml:space="preserve"> understood by our customers. </w:t>
      </w:r>
      <w:r w:rsidR="00866793">
        <w:t>In particular</w:t>
      </w:r>
      <w:r>
        <w:t>:</w:t>
      </w:r>
    </w:p>
    <w:p w14:paraId="29EDA566" w14:textId="2B73CDBB" w:rsidR="004304F4" w:rsidRDefault="004304F4" w:rsidP="004304F4">
      <w:pPr>
        <w:pStyle w:val="Bullets"/>
      </w:pPr>
      <w:r>
        <w:t xml:space="preserve">Most of our tariff structures remain </w:t>
      </w:r>
      <w:r w:rsidR="00AF6E3C">
        <w:t xml:space="preserve">largely </w:t>
      </w:r>
      <w:r>
        <w:t>unchanged from their existing form</w:t>
      </w:r>
      <w:r w:rsidR="00866793">
        <w:t>.</w:t>
      </w:r>
    </w:p>
    <w:p w14:paraId="54424976" w14:textId="10F0B3F0" w:rsidR="004304F4" w:rsidRDefault="004304F4" w:rsidP="004304F4">
      <w:pPr>
        <w:pStyle w:val="Bullets"/>
      </w:pPr>
      <w:r>
        <w:t>Our existing DBT will be further simplified into a flat rate tariff</w:t>
      </w:r>
      <w:r w:rsidR="00866793">
        <w:t>.</w:t>
      </w:r>
    </w:p>
    <w:p w14:paraId="5355043A" w14:textId="15C247C5" w:rsidR="00445EFC" w:rsidRDefault="00445EFC" w:rsidP="00445EFC">
      <w:pPr>
        <w:pStyle w:val="Bullets"/>
      </w:pPr>
      <w:r>
        <w:t>We have not implemented different summer and winter seasonal charging windows</w:t>
      </w:r>
      <w:r w:rsidR="00866793">
        <w:t>.</w:t>
      </w:r>
    </w:p>
    <w:p w14:paraId="00187340" w14:textId="73A56D70" w:rsidR="00445EFC" w:rsidRPr="00445EFC" w:rsidRDefault="00445EFC" w:rsidP="00445EFC">
      <w:pPr>
        <w:pStyle w:val="Bullets"/>
      </w:pPr>
      <w:r>
        <w:t xml:space="preserve">We have </w:t>
      </w:r>
      <w:r w:rsidR="0064189E">
        <w:t>simplified our charging windows to remove</w:t>
      </w:r>
      <w:r>
        <w:t xml:space="preserve"> the morning peak </w:t>
      </w:r>
      <w:r w:rsidR="0064189E">
        <w:t>where a customer has an</w:t>
      </w:r>
      <w:r>
        <w:t xml:space="preserve"> interval (or higher capability) meter</w:t>
      </w:r>
      <w:r w:rsidR="007618B1">
        <w:t xml:space="preserve"> and replace it with an extension of the day-time shoulder window</w:t>
      </w:r>
      <w:r w:rsidR="00866793">
        <w:t>.</w:t>
      </w:r>
    </w:p>
    <w:p w14:paraId="7F18F61B" w14:textId="7251FE22" w:rsidR="004304F4" w:rsidRDefault="00866793" w:rsidP="004304F4">
      <w:pPr>
        <w:pStyle w:val="Bullets"/>
      </w:pPr>
      <w:r>
        <w:t>R</w:t>
      </w:r>
      <w:r w:rsidR="004304F4">
        <w:t xml:space="preserve">esidential and small business customers </w:t>
      </w:r>
      <w:r>
        <w:t xml:space="preserve">who </w:t>
      </w:r>
      <w:r w:rsidR="004304F4">
        <w:t xml:space="preserve">want to </w:t>
      </w:r>
      <w:r w:rsidR="0064189E">
        <w:t>s</w:t>
      </w:r>
      <w:r w:rsidR="004304F4">
        <w:t>elect a demand based tariff</w:t>
      </w:r>
      <w:r>
        <w:t xml:space="preserve"> </w:t>
      </w:r>
      <w:r w:rsidR="004304F4">
        <w:t xml:space="preserve">can do so. This opt-in approach will ensure that only those customers who understand demand charging </w:t>
      </w:r>
      <w:r w:rsidR="0064189E">
        <w:t xml:space="preserve">will be assigned to </w:t>
      </w:r>
      <w:r w:rsidR="004304F4">
        <w:t>such a tariff</w:t>
      </w:r>
      <w:r>
        <w:t>.</w:t>
      </w:r>
    </w:p>
    <w:p w14:paraId="56A5E0A5" w14:textId="6832D96E" w:rsidR="004304F4" w:rsidRDefault="00EF351F" w:rsidP="004304F4">
      <w:pPr>
        <w:pStyle w:val="Bullets"/>
      </w:pPr>
      <w:r>
        <w:t>To assist our customers, w</w:t>
      </w:r>
      <w:r w:rsidR="004304F4">
        <w:t xml:space="preserve">e </w:t>
      </w:r>
      <w:r w:rsidR="0064189E">
        <w:t xml:space="preserve">will soon </w:t>
      </w:r>
      <w:r w:rsidR="004304F4">
        <w:t>release brochures to explain our TOU, load control and demand charging tariffs</w:t>
      </w:r>
      <w:r w:rsidR="00E62854">
        <w:t>,</w:t>
      </w:r>
      <w:r w:rsidR="004304F4">
        <w:t xml:space="preserve"> as well as a brochure outlining the different types of meters and the capabilities they offer. </w:t>
      </w:r>
    </w:p>
    <w:p w14:paraId="7C1BCD12" w14:textId="77777777" w:rsidR="000A38FA" w:rsidRPr="000A38FA" w:rsidRDefault="000A38FA" w:rsidP="000A38FA">
      <w:pPr>
        <w:rPr>
          <w:lang w:val="en-GB"/>
        </w:rPr>
      </w:pPr>
    </w:p>
    <w:p w14:paraId="498A5AD6" w14:textId="77777777" w:rsidR="00E444CD" w:rsidRDefault="00E444CD" w:rsidP="00E444CD">
      <w:pPr>
        <w:pStyle w:val="Heading2"/>
      </w:pPr>
      <w:bookmarkStart w:id="1602" w:name="_Ref459630013"/>
      <w:bookmarkStart w:id="1603" w:name="_Ref459630018"/>
      <w:bookmarkStart w:id="1604" w:name="_Ref459630028"/>
      <w:bookmarkStart w:id="1605" w:name="_Toc462994067"/>
      <w:bookmarkStart w:id="1606" w:name="_Toc463343031"/>
      <w:r>
        <w:lastRenderedPageBreak/>
        <w:t>Approach to setting tariffs</w:t>
      </w:r>
      <w:bookmarkEnd w:id="1602"/>
      <w:bookmarkEnd w:id="1603"/>
      <w:bookmarkEnd w:id="1604"/>
      <w:bookmarkEnd w:id="1605"/>
      <w:bookmarkEnd w:id="1606"/>
    </w:p>
    <w:p w14:paraId="0B3DF861" w14:textId="4B50F50F" w:rsidR="004D2D00" w:rsidRDefault="00E24D40" w:rsidP="00E321A8">
      <w:pPr>
        <w:pStyle w:val="Bodycopy"/>
      </w:pPr>
      <w:r>
        <w:t>We aim</w:t>
      </w:r>
      <w:r w:rsidR="00DB2EB5">
        <w:t xml:space="preserve"> to </w:t>
      </w:r>
      <w:r w:rsidR="00DB2EB5" w:rsidRPr="006E5305">
        <w:t>improv</w:t>
      </w:r>
      <w:r w:rsidR="00DB2EB5">
        <w:t>e</w:t>
      </w:r>
      <w:r w:rsidR="00DB2EB5" w:rsidRPr="006E5305">
        <w:t xml:space="preserve"> price signals </w:t>
      </w:r>
      <w:r w:rsidR="00DB2EB5">
        <w:t xml:space="preserve">to encourage </w:t>
      </w:r>
      <w:r w:rsidR="001C0F65">
        <w:t xml:space="preserve">more </w:t>
      </w:r>
      <w:r w:rsidR="00DB2EB5" w:rsidRPr="006E5305">
        <w:t>efficient use of the network where feasible</w:t>
      </w:r>
      <w:r w:rsidR="00DB2EB5">
        <w:t xml:space="preserve">, </w:t>
      </w:r>
      <w:r w:rsidR="001C0F65">
        <w:t>whil</w:t>
      </w:r>
      <w:r>
        <w:t>e</w:t>
      </w:r>
      <w:r w:rsidR="001C0F65">
        <w:t xml:space="preserve"> also </w:t>
      </w:r>
      <w:r w:rsidR="00DB2EB5">
        <w:t xml:space="preserve">managing the associated bill impacts for </w:t>
      </w:r>
      <w:r w:rsidR="004D2D00">
        <w:t>customer</w:t>
      </w:r>
      <w:r w:rsidR="001C0F65">
        <w:t>s as we transition to more cost-reflective pricing</w:t>
      </w:r>
      <w:r w:rsidR="004D2D00">
        <w:t xml:space="preserve">. </w:t>
      </w:r>
      <w:r w:rsidR="0026049C">
        <w:t>Practically this is being achieved by proposing a greater difference between</w:t>
      </w:r>
      <w:r w:rsidR="000A38FA">
        <w:t xml:space="preserve"> peak and shoulder rates. </w:t>
      </w:r>
    </w:p>
    <w:p w14:paraId="4786E871" w14:textId="0857A88E" w:rsidR="004D2D00" w:rsidRDefault="004D2D00" w:rsidP="00E321A8">
      <w:pPr>
        <w:pStyle w:val="Bodycopy"/>
      </w:pPr>
      <w:r>
        <w:t xml:space="preserve">In </w:t>
      </w:r>
      <w:r w:rsidR="001C0F65">
        <w:t xml:space="preserve">addition, in </w:t>
      </w:r>
      <w:r>
        <w:t xml:space="preserve">calculating </w:t>
      </w:r>
      <w:r w:rsidR="00F13D11">
        <w:t xml:space="preserve">each of our </w:t>
      </w:r>
      <w:r>
        <w:t xml:space="preserve">proposed tariffs </w:t>
      </w:r>
      <w:r w:rsidR="00F13D11">
        <w:t xml:space="preserve">for each year of this TSS </w:t>
      </w:r>
      <w:r>
        <w:t>we have:</w:t>
      </w:r>
    </w:p>
    <w:p w14:paraId="006C8EEB" w14:textId="0C58EAB9" w:rsidR="00EB1CCE" w:rsidRPr="00EB1CCE" w:rsidRDefault="00E24D40" w:rsidP="00E24D40">
      <w:pPr>
        <w:pStyle w:val="Bullets"/>
      </w:pPr>
      <w:r>
        <w:t>e</w:t>
      </w:r>
      <w:r w:rsidR="004D2D00" w:rsidRPr="004D2D00">
        <w:t xml:space="preserve">nsured that the expected revenue for each tariff class lies between our estimates </w:t>
      </w:r>
      <w:r w:rsidR="004D2D00" w:rsidRPr="00EB1CCE">
        <w:t xml:space="preserve">of </w:t>
      </w:r>
      <w:r w:rsidR="00EB1CCE" w:rsidRPr="00EB1CCE">
        <w:t>t</w:t>
      </w:r>
      <w:r w:rsidR="0034304A">
        <w:t>he stand-</w:t>
      </w:r>
      <w:r w:rsidR="00EB1CCE" w:rsidRPr="00EB1CCE">
        <w:t>alone cost of serving customers who belong to that class and the avoidable costs</w:t>
      </w:r>
      <w:r w:rsidR="00FE4B0B">
        <w:t xml:space="preserve"> of not serving those customers</w:t>
      </w:r>
    </w:p>
    <w:p w14:paraId="37C2A57C" w14:textId="30784154" w:rsidR="004D2D00" w:rsidRPr="0079238B" w:rsidRDefault="00E24D40" w:rsidP="008B5CA2">
      <w:pPr>
        <w:pStyle w:val="Bullets"/>
      </w:pPr>
      <w:r>
        <w:t>a</w:t>
      </w:r>
      <w:r w:rsidR="004D2D00">
        <w:t xml:space="preserve">ssessed the </w:t>
      </w:r>
      <w:r w:rsidR="00AB3FE8">
        <w:t xml:space="preserve">relevant </w:t>
      </w:r>
      <w:r w:rsidR="004D2D00" w:rsidRPr="004D2D00">
        <w:t xml:space="preserve">variable component of </w:t>
      </w:r>
      <w:r w:rsidR="004D2D00">
        <w:t>each tariff and</w:t>
      </w:r>
      <w:r>
        <w:t>,</w:t>
      </w:r>
      <w:r w:rsidR="004D2D00">
        <w:t xml:space="preserve"> where this</w:t>
      </w:r>
      <w:r w:rsidR="004D2D00" w:rsidRPr="004D2D00">
        <w:t xml:space="preserve"> is not above LRMC, are transitioning them to LRMC </w:t>
      </w:r>
      <w:r w:rsidR="004D2D00" w:rsidRPr="0079238B">
        <w:t>– though in some cases t</w:t>
      </w:r>
      <w:r w:rsidR="00FE4B0B" w:rsidRPr="0079238B">
        <w:t>his will take several years</w:t>
      </w:r>
      <w:r w:rsidR="008302FE">
        <w:t>, such as for the demand components of the transitional tariff and the opt-in residential demand tariff</w:t>
      </w:r>
    </w:p>
    <w:p w14:paraId="3A116EAA" w14:textId="4A715FFD" w:rsidR="007350D1" w:rsidRDefault="00E24D40" w:rsidP="00E24D40">
      <w:pPr>
        <w:pStyle w:val="Bullets"/>
        <w:spacing w:after="0"/>
      </w:pPr>
      <w:r>
        <w:t>a</w:t>
      </w:r>
      <w:r w:rsidR="00D1572A" w:rsidRPr="005004E3">
        <w:t>llocated r</w:t>
      </w:r>
      <w:r w:rsidR="004D2D00" w:rsidRPr="005004E3">
        <w:t xml:space="preserve">esidual costs in a way that minimises </w:t>
      </w:r>
      <w:r w:rsidR="00AB3FE8">
        <w:t xml:space="preserve">distortion to </w:t>
      </w:r>
      <w:r w:rsidR="004D2D00" w:rsidRPr="005004E3">
        <w:t>customer</w:t>
      </w:r>
      <w:r w:rsidR="00AB3FE8">
        <w:t>s’ usage decisions</w:t>
      </w:r>
      <w:r w:rsidR="004D2D00" w:rsidRPr="005004E3">
        <w:t>.</w:t>
      </w:r>
      <w:r w:rsidR="001C0F65" w:rsidRPr="005004E3">
        <w:t xml:space="preserve"> </w:t>
      </w:r>
      <w:r w:rsidR="00E321A8" w:rsidRPr="005004E3">
        <w:t xml:space="preserve">To achieve </w:t>
      </w:r>
    </w:p>
    <w:p w14:paraId="296B53E6" w14:textId="1E0D4412" w:rsidR="001C0F65" w:rsidRDefault="00AB3FE8" w:rsidP="00E24D40">
      <w:pPr>
        <w:pStyle w:val="Bullets"/>
        <w:numPr>
          <w:ilvl w:val="0"/>
          <w:numId w:val="0"/>
        </w:numPr>
        <w:spacing w:after="0"/>
        <w:ind w:left="641"/>
      </w:pPr>
      <w:r w:rsidRPr="005004E3">
        <w:t>this,</w:t>
      </w:r>
      <w:r w:rsidR="00E321A8" w:rsidRPr="005004E3">
        <w:t xml:space="preserve"> we have sought to recover more of our residual costs from those usage tariffs that </w:t>
      </w:r>
      <w:r w:rsidR="00A84D9E" w:rsidRPr="005004E3">
        <w:t>are less efficient or</w:t>
      </w:r>
      <w:r w:rsidR="00E321A8" w:rsidRPr="005004E3">
        <w:t xml:space="preserve"> less responsive to changes in price</w:t>
      </w:r>
      <w:r w:rsidR="00EF351F">
        <w:t xml:space="preserve">. Our least efficient tariffs are </w:t>
      </w:r>
      <w:r w:rsidR="00A84D9E" w:rsidRPr="005004E3">
        <w:t xml:space="preserve">the </w:t>
      </w:r>
      <w:r w:rsidR="005004E3">
        <w:t>Anytime</w:t>
      </w:r>
      <w:r w:rsidR="00A84D9E" w:rsidRPr="005004E3">
        <w:t xml:space="preserve"> </w:t>
      </w:r>
      <w:r w:rsidR="00E24D40">
        <w:t xml:space="preserve">flat rate </w:t>
      </w:r>
      <w:r w:rsidR="00A84D9E" w:rsidRPr="005004E3">
        <w:t>tariff</w:t>
      </w:r>
      <w:r w:rsidR="005004E3">
        <w:t>s</w:t>
      </w:r>
      <w:r w:rsidR="00A84D9E" w:rsidRPr="005004E3">
        <w:t xml:space="preserve"> for residential and small business customers</w:t>
      </w:r>
    </w:p>
    <w:p w14:paraId="427EE308" w14:textId="00DC9C5B" w:rsidR="00FE4B0B" w:rsidRPr="00FE4B0B" w:rsidRDefault="00E24D40" w:rsidP="00E24D40">
      <w:pPr>
        <w:pStyle w:val="Bullets"/>
      </w:pPr>
      <w:r>
        <w:t>c</w:t>
      </w:r>
      <w:r w:rsidR="00FE4B0B">
        <w:t>onsidered customer bill impacts.</w:t>
      </w:r>
    </w:p>
    <w:p w14:paraId="4CA2C9BB" w14:textId="77777777" w:rsidR="00FE4B0B" w:rsidRDefault="00FE4B0B" w:rsidP="00FE4B0B">
      <w:pPr>
        <w:pStyle w:val="Heading3"/>
      </w:pPr>
      <w:r>
        <w:t>Residual cost allocation</w:t>
      </w:r>
    </w:p>
    <w:p w14:paraId="75E31ECF" w14:textId="615B55E9" w:rsidR="00CD7707" w:rsidRPr="00CD7707" w:rsidRDefault="00CD7707" w:rsidP="00CD7707">
      <w:pPr>
        <w:pStyle w:val="Bodycopy"/>
      </w:pPr>
      <w:r>
        <w:t xml:space="preserve">We have sought to allocate residual costs - </w:t>
      </w:r>
      <w:r w:rsidRPr="00CD7707">
        <w:t>the difference between LRMC-driven costs and its allowed</w:t>
      </w:r>
      <w:r>
        <w:t xml:space="preserve"> revenues determined by the AER - </w:t>
      </w:r>
      <w:r w:rsidRPr="00CD7707">
        <w:t>in a fashion that:</w:t>
      </w:r>
    </w:p>
    <w:p w14:paraId="2521E629" w14:textId="48493A3A" w:rsidR="00CD7707" w:rsidRPr="00CD7707" w:rsidRDefault="00CD7707" w:rsidP="00CD7707">
      <w:pPr>
        <w:pStyle w:val="Bullets"/>
      </w:pPr>
      <w:r>
        <w:t>m</w:t>
      </w:r>
      <w:r w:rsidRPr="00CD7707">
        <w:t>inimises distortions to efficient price signals</w:t>
      </w:r>
    </w:p>
    <w:p w14:paraId="20876938" w14:textId="2CCF8215" w:rsidR="00CD7707" w:rsidRPr="00CD7707" w:rsidRDefault="00CD7707" w:rsidP="00CD7707">
      <w:pPr>
        <w:pStyle w:val="Bullets"/>
      </w:pPr>
      <w:r>
        <w:t>encourages opt-in uptake of our</w:t>
      </w:r>
      <w:r w:rsidRPr="00CD7707">
        <w:t xml:space="preserve"> newly created cost reflective demand tariffs.</w:t>
      </w:r>
    </w:p>
    <w:p w14:paraId="05DC5746" w14:textId="4EAF1739" w:rsidR="00CD7707" w:rsidRPr="00CD7707" w:rsidRDefault="00CD7707" w:rsidP="00CD7707">
      <w:pPr>
        <w:pStyle w:val="Bodycopy"/>
      </w:pPr>
      <w:r w:rsidRPr="00CD7707">
        <w:t xml:space="preserve">This approach means </w:t>
      </w:r>
      <w:r w:rsidR="008302FE">
        <w:t xml:space="preserve">that </w:t>
      </w:r>
      <w:r>
        <w:t xml:space="preserve">our most efficient tariffs - demand tariffs - most closely reflect their LRMC estimates, while our least efficient tariffs - anytime tariffs - </w:t>
      </w:r>
      <w:r w:rsidRPr="00CD7707">
        <w:t>attract a greater share of residual costs.</w:t>
      </w:r>
    </w:p>
    <w:p w14:paraId="426AF9BB" w14:textId="3CB63406" w:rsidR="00CD7707" w:rsidRDefault="00CD7707" w:rsidP="00CD7707">
      <w:pPr>
        <w:pStyle w:val="Bodycopy"/>
      </w:pPr>
      <w:r>
        <w:fldChar w:fldCharType="begin"/>
      </w:r>
      <w:r>
        <w:instrText xml:space="preserve"> REF _Ref459629480 \h </w:instrText>
      </w:r>
      <w:r>
        <w:fldChar w:fldCharType="separate"/>
      </w:r>
      <w:r w:rsidR="0073687F" w:rsidRPr="00C23E90">
        <w:rPr>
          <w:iCs/>
        </w:rPr>
        <w:t xml:space="preserve">Figure </w:t>
      </w:r>
      <w:r w:rsidR="0073687F">
        <w:rPr>
          <w:iCs/>
          <w:noProof/>
        </w:rPr>
        <w:t>5</w:t>
      </w:r>
      <w:r w:rsidR="0073687F">
        <w:rPr>
          <w:iCs/>
        </w:rPr>
        <w:noBreakHyphen/>
      </w:r>
      <w:r w:rsidR="0073687F">
        <w:rPr>
          <w:iCs/>
          <w:noProof/>
        </w:rPr>
        <w:t>1</w:t>
      </w:r>
      <w:r>
        <w:fldChar w:fldCharType="end"/>
      </w:r>
      <w:r>
        <w:t xml:space="preserve"> below </w:t>
      </w:r>
      <w:r w:rsidRPr="00CD7707">
        <w:t xml:space="preserve">shows that the tariffs where the charging parameters are not closely linked to the drivers of Essential Energy’s costs </w:t>
      </w:r>
      <w:r>
        <w:t xml:space="preserve">i.e. </w:t>
      </w:r>
      <w:r w:rsidRPr="00CD7707">
        <w:t xml:space="preserve">where time of use KVA demand is </w:t>
      </w:r>
      <w:r>
        <w:t>not the key driver</w:t>
      </w:r>
      <w:r w:rsidRPr="00CD7707">
        <w:t>, have been allocated a higher share of residual cos</w:t>
      </w:r>
      <w:r>
        <w:t xml:space="preserve">ts. </w:t>
      </w:r>
      <w:r w:rsidRPr="00CD7707">
        <w:t>This</w:t>
      </w:r>
      <w:r>
        <w:t xml:space="preserve"> allocation across tariffs provides the least distortion to</w:t>
      </w:r>
      <w:r w:rsidRPr="00CD7707">
        <w:t xml:space="preserve"> customers’ efficient usage decisions and supports opt-in uptake.</w:t>
      </w:r>
    </w:p>
    <w:p w14:paraId="12076D09" w14:textId="334E336A" w:rsidR="008B5CA2" w:rsidRPr="00C23E90" w:rsidRDefault="008B5CA2" w:rsidP="008B5CA2">
      <w:pPr>
        <w:pStyle w:val="Caption"/>
        <w:jc w:val="center"/>
        <w:rPr>
          <w:iCs/>
        </w:rPr>
      </w:pPr>
      <w:bookmarkStart w:id="1607" w:name="_Ref459629480"/>
      <w:bookmarkStart w:id="1608" w:name="_Toc462994021"/>
      <w:bookmarkStart w:id="1609" w:name="_Toc463343132"/>
      <w:r w:rsidRPr="00C23E90">
        <w:rPr>
          <w:iCs/>
        </w:rPr>
        <w:t xml:space="preserve">Figure </w:t>
      </w:r>
      <w:r w:rsidR="008E4BD2">
        <w:rPr>
          <w:iCs/>
        </w:rPr>
        <w:fldChar w:fldCharType="begin"/>
      </w:r>
      <w:r w:rsidR="008E4BD2">
        <w:rPr>
          <w:iCs/>
        </w:rPr>
        <w:instrText xml:space="preserve"> STYLEREF 1 \s </w:instrText>
      </w:r>
      <w:r w:rsidR="008E4BD2">
        <w:rPr>
          <w:iCs/>
        </w:rPr>
        <w:fldChar w:fldCharType="separate"/>
      </w:r>
      <w:r w:rsidR="0073687F">
        <w:rPr>
          <w:iCs/>
          <w:noProof/>
        </w:rPr>
        <w:t>5</w:t>
      </w:r>
      <w:r w:rsidR="008E4BD2">
        <w:rPr>
          <w:iCs/>
        </w:rPr>
        <w:fldChar w:fldCharType="end"/>
      </w:r>
      <w:r w:rsidR="008E4BD2">
        <w:rPr>
          <w:iCs/>
        </w:rPr>
        <w:noBreakHyphen/>
      </w:r>
      <w:r w:rsidR="008E4BD2">
        <w:rPr>
          <w:iCs/>
        </w:rPr>
        <w:fldChar w:fldCharType="begin"/>
      </w:r>
      <w:r w:rsidR="008E4BD2">
        <w:rPr>
          <w:iCs/>
        </w:rPr>
        <w:instrText xml:space="preserve"> SEQ Figure \* ARABIC \s 1 </w:instrText>
      </w:r>
      <w:r w:rsidR="008E4BD2">
        <w:rPr>
          <w:iCs/>
        </w:rPr>
        <w:fldChar w:fldCharType="separate"/>
      </w:r>
      <w:r w:rsidR="0073687F">
        <w:rPr>
          <w:iCs/>
          <w:noProof/>
        </w:rPr>
        <w:t>1</w:t>
      </w:r>
      <w:r w:rsidR="008E4BD2">
        <w:rPr>
          <w:iCs/>
        </w:rPr>
        <w:fldChar w:fldCharType="end"/>
      </w:r>
      <w:bookmarkEnd w:id="1607"/>
      <w:r w:rsidRPr="00C23E90">
        <w:rPr>
          <w:iCs/>
        </w:rPr>
        <w:t>: Allocation of residual costs between tariff types</w:t>
      </w:r>
      <w:r w:rsidR="00A4256C" w:rsidRPr="00C23E90">
        <w:rPr>
          <w:iCs/>
        </w:rPr>
        <w:t xml:space="preserve"> and customer types</w:t>
      </w:r>
      <w:bookmarkEnd w:id="1608"/>
      <w:bookmarkEnd w:id="1609"/>
    </w:p>
    <w:p w14:paraId="25A7022F" w14:textId="61C1AE74" w:rsidR="00F54AE4" w:rsidRDefault="001B77D5" w:rsidP="001B77D5">
      <w:pPr>
        <w:pStyle w:val="Bodycopy"/>
        <w:jc w:val="center"/>
        <w:rPr>
          <w:highlight w:val="green"/>
          <w:lang w:val="en-AU"/>
        </w:rPr>
      </w:pPr>
      <w:r w:rsidRPr="001B77D5">
        <w:rPr>
          <w:noProof/>
          <w:lang w:val="en-AU" w:eastAsia="en-AU"/>
        </w:rPr>
        <w:drawing>
          <wp:inline distT="0" distB="0" distL="0" distR="0" wp14:anchorId="08789CA5" wp14:editId="17E5AC47">
            <wp:extent cx="6479540" cy="310599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9540" cy="3105991"/>
                    </a:xfrm>
                    <a:prstGeom prst="rect">
                      <a:avLst/>
                    </a:prstGeom>
                    <a:noFill/>
                    <a:ln>
                      <a:noFill/>
                    </a:ln>
                  </pic:spPr>
                </pic:pic>
              </a:graphicData>
            </a:graphic>
          </wp:inline>
        </w:drawing>
      </w:r>
    </w:p>
    <w:p w14:paraId="39A036F6" w14:textId="58599054" w:rsidR="00FC007C" w:rsidRPr="00FC007C" w:rsidRDefault="00FC007C" w:rsidP="00FC007C">
      <w:pPr>
        <w:pStyle w:val="Bodycopy"/>
        <w:rPr>
          <w:lang w:eastAsia="en-US"/>
        </w:rPr>
      </w:pPr>
      <w:r>
        <w:rPr>
          <w:lang w:eastAsia="en-US"/>
        </w:rPr>
        <w:t>The n</w:t>
      </w:r>
      <w:r w:rsidRPr="00FC007C">
        <w:rPr>
          <w:lang w:eastAsia="en-US"/>
        </w:rPr>
        <w:t xml:space="preserve">egative values </w:t>
      </w:r>
      <w:r>
        <w:rPr>
          <w:lang w:eastAsia="en-US"/>
        </w:rPr>
        <w:t xml:space="preserve">in the above figure </w:t>
      </w:r>
      <w:r w:rsidRPr="00FC007C">
        <w:rPr>
          <w:lang w:eastAsia="en-US"/>
        </w:rPr>
        <w:t>imply that the recovered revenue is less than the LRMC allocation for customers on those tariffs</w:t>
      </w:r>
      <w:r>
        <w:rPr>
          <w:lang w:eastAsia="en-US"/>
        </w:rPr>
        <w:t xml:space="preserve">. </w:t>
      </w:r>
      <w:r w:rsidRPr="00FC007C">
        <w:rPr>
          <w:lang w:eastAsia="en-US"/>
        </w:rPr>
        <w:t xml:space="preserve">This outcome is temporary and will be addressed as </w:t>
      </w:r>
      <w:r>
        <w:rPr>
          <w:lang w:eastAsia="en-US"/>
        </w:rPr>
        <w:t>we</w:t>
      </w:r>
      <w:r w:rsidRPr="00FC007C">
        <w:rPr>
          <w:lang w:eastAsia="en-US"/>
        </w:rPr>
        <w:t xml:space="preserve"> transition these </w:t>
      </w:r>
      <w:r>
        <w:rPr>
          <w:lang w:eastAsia="en-US"/>
        </w:rPr>
        <w:t xml:space="preserve">tariffs </w:t>
      </w:r>
      <w:r w:rsidRPr="00FC007C">
        <w:rPr>
          <w:lang w:eastAsia="en-US"/>
        </w:rPr>
        <w:t>up to cost reflective levels over a period that allows customer impacts to be appropriately managed.</w:t>
      </w:r>
    </w:p>
    <w:p w14:paraId="6A7CAA4C" w14:textId="7D090395" w:rsidR="00F54AE4" w:rsidRDefault="00FC007C" w:rsidP="00F54AE4">
      <w:pPr>
        <w:pStyle w:val="Bodycopy"/>
        <w:rPr>
          <w:lang w:val="en-AU"/>
        </w:rPr>
      </w:pPr>
      <w:r>
        <w:rPr>
          <w:lang w:eastAsia="en-US"/>
        </w:rPr>
        <w:lastRenderedPageBreak/>
        <w:fldChar w:fldCharType="begin"/>
      </w:r>
      <w:r>
        <w:rPr>
          <w:lang w:eastAsia="en-US"/>
        </w:rPr>
        <w:instrText xml:space="preserve"> REF _Ref462393190 \h </w:instrText>
      </w:r>
      <w:r>
        <w:rPr>
          <w:lang w:eastAsia="en-US"/>
        </w:rPr>
      </w:r>
      <w:r>
        <w:rPr>
          <w:lang w:eastAsia="en-US"/>
        </w:rPr>
        <w:fldChar w:fldCharType="separate"/>
      </w:r>
      <w:r w:rsidR="0073687F" w:rsidRPr="00892763">
        <w:rPr>
          <w:iCs/>
        </w:rPr>
        <w:t xml:space="preserve">Figure </w:t>
      </w:r>
      <w:r w:rsidR="0073687F">
        <w:rPr>
          <w:iCs/>
          <w:noProof/>
        </w:rPr>
        <w:t>5</w:t>
      </w:r>
      <w:r w:rsidR="0073687F">
        <w:rPr>
          <w:iCs/>
        </w:rPr>
        <w:noBreakHyphen/>
      </w:r>
      <w:r w:rsidR="0073687F">
        <w:rPr>
          <w:iCs/>
          <w:noProof/>
        </w:rPr>
        <w:t>2</w:t>
      </w:r>
      <w:r>
        <w:rPr>
          <w:lang w:eastAsia="en-US"/>
        </w:rPr>
        <w:fldChar w:fldCharType="end"/>
      </w:r>
      <w:r>
        <w:rPr>
          <w:lang w:eastAsia="en-US"/>
        </w:rPr>
        <w:t xml:space="preserve"> below </w:t>
      </w:r>
      <w:r w:rsidRPr="00FC007C">
        <w:rPr>
          <w:lang w:eastAsia="en-US"/>
        </w:rPr>
        <w:t xml:space="preserve">shows that </w:t>
      </w:r>
      <w:r>
        <w:rPr>
          <w:lang w:eastAsia="en-US"/>
        </w:rPr>
        <w:t>we have</w:t>
      </w:r>
      <w:r w:rsidRPr="00FC007C">
        <w:rPr>
          <w:lang w:eastAsia="en-US"/>
        </w:rPr>
        <w:t xml:space="preserve"> continued this principled-approach to allocations of residual costs </w:t>
      </w:r>
      <w:r w:rsidRPr="00FC007C">
        <w:rPr>
          <w:i/>
          <w:lang w:eastAsia="en-US"/>
        </w:rPr>
        <w:t>within tariffs</w:t>
      </w:r>
      <w:r w:rsidRPr="00FC007C">
        <w:rPr>
          <w:lang w:eastAsia="en-US"/>
        </w:rPr>
        <w:t xml:space="preserve"> </w:t>
      </w:r>
      <w:r w:rsidR="00074B39">
        <w:rPr>
          <w:lang w:eastAsia="en-US"/>
        </w:rPr>
        <w:t xml:space="preserve">based on </w:t>
      </w:r>
      <w:r w:rsidRPr="00FC007C">
        <w:rPr>
          <w:lang w:eastAsia="en-US"/>
        </w:rPr>
        <w:t xml:space="preserve">the various charging parameters </w:t>
      </w:r>
      <w:r>
        <w:rPr>
          <w:lang w:eastAsia="en-US"/>
        </w:rPr>
        <w:t>within each tariff</w:t>
      </w:r>
      <w:r w:rsidRPr="00FC007C">
        <w:rPr>
          <w:lang w:eastAsia="en-US"/>
        </w:rPr>
        <w:t>. Charging parameters that are not closely linked to the drivers of Essential Energy’s costs</w:t>
      </w:r>
      <w:r>
        <w:rPr>
          <w:lang w:eastAsia="en-US"/>
        </w:rPr>
        <w:t>,</w:t>
      </w:r>
      <w:r w:rsidRPr="00FC007C">
        <w:rPr>
          <w:lang w:eastAsia="en-US"/>
        </w:rPr>
        <w:t xml:space="preserve"> such as fixed and usage charges, have been allocated a</w:t>
      </w:r>
      <w:r>
        <w:rPr>
          <w:lang w:eastAsia="en-US"/>
        </w:rPr>
        <w:t xml:space="preserve"> higher share of residual costs</w:t>
      </w:r>
      <w:r w:rsidRPr="00FC007C">
        <w:rPr>
          <w:lang w:eastAsia="en-US"/>
        </w:rPr>
        <w:t xml:space="preserve"> and the demand tariff does n</w:t>
      </w:r>
      <w:r>
        <w:rPr>
          <w:lang w:eastAsia="en-US"/>
        </w:rPr>
        <w:t xml:space="preserve">ot attract any residual costs. </w:t>
      </w:r>
      <w:r w:rsidRPr="00FC007C">
        <w:rPr>
          <w:lang w:eastAsia="en-US"/>
        </w:rPr>
        <w:t>This allocation within</w:t>
      </w:r>
      <w:r w:rsidRPr="00FC007C">
        <w:rPr>
          <w:i/>
          <w:lang w:eastAsia="en-US"/>
        </w:rPr>
        <w:t xml:space="preserve"> </w:t>
      </w:r>
      <w:r w:rsidRPr="00FC007C">
        <w:rPr>
          <w:lang w:eastAsia="en-US"/>
        </w:rPr>
        <w:t xml:space="preserve">each tariffs’ charging parameters </w:t>
      </w:r>
      <w:r w:rsidR="00074B39">
        <w:rPr>
          <w:lang w:eastAsia="en-US"/>
        </w:rPr>
        <w:t>again provides the least</w:t>
      </w:r>
      <w:r w:rsidRPr="00FC007C">
        <w:rPr>
          <w:lang w:eastAsia="en-US"/>
        </w:rPr>
        <w:t xml:space="preserve"> dis</w:t>
      </w:r>
      <w:r w:rsidR="00074B39">
        <w:rPr>
          <w:lang w:eastAsia="en-US"/>
        </w:rPr>
        <w:t>tortion to</w:t>
      </w:r>
      <w:r w:rsidRPr="00FC007C">
        <w:rPr>
          <w:lang w:eastAsia="en-US"/>
        </w:rPr>
        <w:t xml:space="preserve"> customers’ efficient usage decisions.</w:t>
      </w:r>
    </w:p>
    <w:p w14:paraId="72999903" w14:textId="36F17F16" w:rsidR="005953F5" w:rsidRPr="005953F5" w:rsidRDefault="005953F5" w:rsidP="005953F5">
      <w:pPr>
        <w:pStyle w:val="Caption"/>
        <w:jc w:val="center"/>
        <w:rPr>
          <w:iCs/>
        </w:rPr>
      </w:pPr>
      <w:bookmarkStart w:id="1610" w:name="_Ref462393190"/>
      <w:bookmarkStart w:id="1611" w:name="_Ref462829324"/>
      <w:bookmarkStart w:id="1612" w:name="_Toc462994022"/>
      <w:bookmarkStart w:id="1613" w:name="_Toc463343133"/>
      <w:r w:rsidRPr="00892763">
        <w:rPr>
          <w:iCs/>
        </w:rPr>
        <w:t xml:space="preserve">Figure </w:t>
      </w:r>
      <w:r w:rsidR="008E4BD2">
        <w:rPr>
          <w:iCs/>
        </w:rPr>
        <w:fldChar w:fldCharType="begin"/>
      </w:r>
      <w:r w:rsidR="008E4BD2">
        <w:rPr>
          <w:iCs/>
        </w:rPr>
        <w:instrText xml:space="preserve"> STYLEREF 1 \s </w:instrText>
      </w:r>
      <w:r w:rsidR="008E4BD2">
        <w:rPr>
          <w:iCs/>
        </w:rPr>
        <w:fldChar w:fldCharType="separate"/>
      </w:r>
      <w:r w:rsidR="0073687F">
        <w:rPr>
          <w:iCs/>
          <w:noProof/>
        </w:rPr>
        <w:t>5</w:t>
      </w:r>
      <w:r w:rsidR="008E4BD2">
        <w:rPr>
          <w:iCs/>
        </w:rPr>
        <w:fldChar w:fldCharType="end"/>
      </w:r>
      <w:r w:rsidR="008E4BD2">
        <w:rPr>
          <w:iCs/>
        </w:rPr>
        <w:noBreakHyphen/>
      </w:r>
      <w:r w:rsidR="008E4BD2">
        <w:rPr>
          <w:iCs/>
        </w:rPr>
        <w:fldChar w:fldCharType="begin"/>
      </w:r>
      <w:r w:rsidR="008E4BD2">
        <w:rPr>
          <w:iCs/>
        </w:rPr>
        <w:instrText xml:space="preserve"> SEQ Figure \* ARABIC \s 1 </w:instrText>
      </w:r>
      <w:r w:rsidR="008E4BD2">
        <w:rPr>
          <w:iCs/>
        </w:rPr>
        <w:fldChar w:fldCharType="separate"/>
      </w:r>
      <w:r w:rsidR="0073687F">
        <w:rPr>
          <w:iCs/>
          <w:noProof/>
        </w:rPr>
        <w:t>2</w:t>
      </w:r>
      <w:r w:rsidR="008E4BD2">
        <w:rPr>
          <w:iCs/>
        </w:rPr>
        <w:fldChar w:fldCharType="end"/>
      </w:r>
      <w:bookmarkEnd w:id="1610"/>
      <w:bookmarkEnd w:id="1611"/>
      <w:r w:rsidRPr="00892763">
        <w:rPr>
          <w:iCs/>
        </w:rPr>
        <w:t xml:space="preserve">: Allocation of </w:t>
      </w:r>
      <w:r w:rsidR="00A4256C" w:rsidRPr="00892763">
        <w:rPr>
          <w:iCs/>
        </w:rPr>
        <w:t xml:space="preserve">residual costs by tariff component for </w:t>
      </w:r>
      <w:r w:rsidR="003A63C3">
        <w:rPr>
          <w:iCs/>
        </w:rPr>
        <w:t xml:space="preserve">residential &amp; </w:t>
      </w:r>
      <w:r w:rsidR="0044622C">
        <w:rPr>
          <w:iCs/>
        </w:rPr>
        <w:t xml:space="preserve">small business </w:t>
      </w:r>
      <w:r w:rsidR="00A4256C" w:rsidRPr="00892763">
        <w:rPr>
          <w:iCs/>
        </w:rPr>
        <w:t>customers</w:t>
      </w:r>
      <w:bookmarkEnd w:id="1612"/>
      <w:bookmarkEnd w:id="1613"/>
    </w:p>
    <w:p w14:paraId="737821A9" w14:textId="655E51E0" w:rsidR="00F54AE4" w:rsidRPr="00F54AE4" w:rsidRDefault="003A63C3" w:rsidP="00F54AE4">
      <w:pPr>
        <w:pStyle w:val="Bodycopy"/>
        <w:jc w:val="center"/>
        <w:rPr>
          <w:lang w:val="en-AU"/>
        </w:rPr>
      </w:pPr>
      <w:r w:rsidRPr="003A63C3">
        <w:rPr>
          <w:noProof/>
          <w:lang w:val="en-AU" w:eastAsia="en-AU"/>
        </w:rPr>
        <w:drawing>
          <wp:inline distT="0" distB="0" distL="0" distR="0" wp14:anchorId="77D218A2" wp14:editId="1AC64976">
            <wp:extent cx="6479540" cy="312892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9540" cy="3128927"/>
                    </a:xfrm>
                    <a:prstGeom prst="rect">
                      <a:avLst/>
                    </a:prstGeom>
                    <a:noFill/>
                    <a:ln>
                      <a:noFill/>
                    </a:ln>
                  </pic:spPr>
                </pic:pic>
              </a:graphicData>
            </a:graphic>
          </wp:inline>
        </w:drawing>
      </w:r>
    </w:p>
    <w:p w14:paraId="785AF8AA" w14:textId="48E50E37" w:rsidR="008302FE" w:rsidRDefault="0044622C" w:rsidP="0044622C">
      <w:pPr>
        <w:pStyle w:val="Bodycopy"/>
      </w:pPr>
      <w:r>
        <w:t xml:space="preserve">It is important to read the allocation of residual costs shown in </w:t>
      </w:r>
      <w:r>
        <w:fldChar w:fldCharType="begin"/>
      </w:r>
      <w:r>
        <w:instrText xml:space="preserve"> REF _Ref462829324 \h </w:instrText>
      </w:r>
      <w:r>
        <w:fldChar w:fldCharType="separate"/>
      </w:r>
      <w:r w:rsidR="0073687F" w:rsidRPr="00892763">
        <w:rPr>
          <w:iCs/>
        </w:rPr>
        <w:t xml:space="preserve">Figure </w:t>
      </w:r>
      <w:r w:rsidR="0073687F">
        <w:rPr>
          <w:iCs/>
          <w:noProof/>
        </w:rPr>
        <w:t>5</w:t>
      </w:r>
      <w:r w:rsidR="0073687F">
        <w:rPr>
          <w:iCs/>
        </w:rPr>
        <w:noBreakHyphen/>
      </w:r>
      <w:r w:rsidR="0073687F">
        <w:rPr>
          <w:iCs/>
          <w:noProof/>
        </w:rPr>
        <w:t>2</w:t>
      </w:r>
      <w:r>
        <w:fldChar w:fldCharType="end"/>
      </w:r>
      <w:r>
        <w:t xml:space="preserve"> in conjunction with the actual residual dollars allocated to each tariff shown in </w:t>
      </w:r>
      <w:r>
        <w:fldChar w:fldCharType="begin"/>
      </w:r>
      <w:r>
        <w:instrText xml:space="preserve"> REF _Ref459629480 \h </w:instrText>
      </w:r>
      <w:r>
        <w:fldChar w:fldCharType="separate"/>
      </w:r>
      <w:r w:rsidR="0073687F" w:rsidRPr="00C23E90">
        <w:rPr>
          <w:iCs/>
        </w:rPr>
        <w:t xml:space="preserve">Figure </w:t>
      </w:r>
      <w:r w:rsidR="0073687F">
        <w:rPr>
          <w:iCs/>
          <w:noProof/>
        </w:rPr>
        <w:t>5</w:t>
      </w:r>
      <w:r w:rsidR="0073687F">
        <w:rPr>
          <w:iCs/>
        </w:rPr>
        <w:noBreakHyphen/>
      </w:r>
      <w:r w:rsidR="0073687F">
        <w:rPr>
          <w:iCs/>
          <w:noProof/>
        </w:rPr>
        <w:t>1</w:t>
      </w:r>
      <w:r>
        <w:fldChar w:fldCharType="end"/>
      </w:r>
      <w:r>
        <w:t xml:space="preserve">. This puts the </w:t>
      </w:r>
      <w:r w:rsidR="00F63230">
        <w:t>split</w:t>
      </w:r>
      <w:r>
        <w:t xml:space="preserve"> of residual costs for </w:t>
      </w:r>
      <w:r w:rsidR="00B9733A">
        <w:t xml:space="preserve">both the TOU and </w:t>
      </w:r>
      <w:r>
        <w:t>Demand tariff</w:t>
      </w:r>
      <w:r w:rsidR="00B9733A">
        <w:t>s</w:t>
      </w:r>
      <w:r>
        <w:t xml:space="preserve"> in perspective.</w:t>
      </w:r>
      <w:r w:rsidR="008302FE" w:rsidRPr="008302FE">
        <w:t xml:space="preserve"> These graphs show that most customers are better on the new demand and / or TOU tariffs than the anytime an</w:t>
      </w:r>
      <w:r w:rsidR="008302FE">
        <w:t xml:space="preserve">d old TOU tariffs. </w:t>
      </w:r>
      <w:r w:rsidR="008302FE" w:rsidRPr="008302FE">
        <w:t>This aligns with our aim of encouraging customers to take up these tariffs.</w:t>
      </w:r>
      <w:r>
        <w:t xml:space="preserve"> </w:t>
      </w:r>
    </w:p>
    <w:p w14:paraId="42ADF79A" w14:textId="0F7ACBCC" w:rsidR="0044622C" w:rsidRDefault="008302FE" w:rsidP="0044622C">
      <w:pPr>
        <w:pStyle w:val="Bodycopy"/>
      </w:pPr>
      <w:r>
        <w:t xml:space="preserve">It is also important to note that the split of residual costs in the far right is for the opt-in small business demand tariff only. As shown in </w:t>
      </w:r>
      <w:r>
        <w:fldChar w:fldCharType="begin"/>
      </w:r>
      <w:r>
        <w:instrText xml:space="preserve"> REF _Ref459629480 \h </w:instrText>
      </w:r>
      <w:r>
        <w:fldChar w:fldCharType="separate"/>
      </w:r>
      <w:r w:rsidR="0073687F" w:rsidRPr="00C23E90">
        <w:rPr>
          <w:iCs/>
        </w:rPr>
        <w:t xml:space="preserve">Figure </w:t>
      </w:r>
      <w:r w:rsidR="0073687F">
        <w:rPr>
          <w:iCs/>
          <w:noProof/>
        </w:rPr>
        <w:t>5</w:t>
      </w:r>
      <w:r w:rsidR="0073687F">
        <w:rPr>
          <w:iCs/>
        </w:rPr>
        <w:noBreakHyphen/>
      </w:r>
      <w:r w:rsidR="0073687F">
        <w:rPr>
          <w:iCs/>
          <w:noProof/>
        </w:rPr>
        <w:t>1</w:t>
      </w:r>
      <w:r>
        <w:fldChar w:fldCharType="end"/>
      </w:r>
      <w:r>
        <w:t>, the residual costs are negative for the opt-in residential demand tariff as we are looking to encourage customer take up. Our intent is to transition the charges to more cost reflective tariffs over time.</w:t>
      </w:r>
    </w:p>
    <w:p w14:paraId="6F750D6C" w14:textId="4A553A64" w:rsidR="00FE4B0B" w:rsidRDefault="00FE4B0B" w:rsidP="00FE4B0B">
      <w:pPr>
        <w:pStyle w:val="Heading3"/>
      </w:pPr>
      <w:r>
        <w:t>Customer bill impacts</w:t>
      </w:r>
    </w:p>
    <w:p w14:paraId="5CABD6B1" w14:textId="7E7B5C18" w:rsidR="00EE3472" w:rsidRDefault="00EE3472" w:rsidP="00EE3472">
      <w:pPr>
        <w:pStyle w:val="Heading4nonumbers"/>
      </w:pPr>
      <w:r>
        <w:t>Residential and small business customers</w:t>
      </w:r>
    </w:p>
    <w:p w14:paraId="75FE3960" w14:textId="1CD65484" w:rsidR="007931A7" w:rsidRDefault="00EE3472" w:rsidP="001C0F65">
      <w:pPr>
        <w:pStyle w:val="Bodycopy"/>
      </w:pPr>
      <w:r>
        <w:t>T</w:t>
      </w:r>
      <w:r w:rsidR="007931A7">
        <w:t xml:space="preserve">he differences in </w:t>
      </w:r>
      <w:r>
        <w:t>2017</w:t>
      </w:r>
      <w:r w:rsidR="007931A7">
        <w:t>-1</w:t>
      </w:r>
      <w:r>
        <w:t>8</w:t>
      </w:r>
      <w:r w:rsidR="007931A7">
        <w:t xml:space="preserve"> </w:t>
      </w:r>
      <w:r>
        <w:t xml:space="preserve">residential and small business </w:t>
      </w:r>
      <w:r w:rsidR="007931A7">
        <w:t xml:space="preserve">customer NUOS bills under our proposed tariffs are shown in </w:t>
      </w:r>
      <w:r w:rsidR="007931A7">
        <w:fldChar w:fldCharType="begin"/>
      </w:r>
      <w:r w:rsidR="007931A7">
        <w:instrText xml:space="preserve"> REF _Ref462834789 \h </w:instrText>
      </w:r>
      <w:r w:rsidR="007931A7">
        <w:fldChar w:fldCharType="separate"/>
      </w:r>
      <w:r w:rsidR="0073687F" w:rsidRPr="007931A7">
        <w:rPr>
          <w:iCs/>
        </w:rPr>
        <w:t xml:space="preserve">Figure </w:t>
      </w:r>
      <w:r w:rsidR="0073687F">
        <w:rPr>
          <w:iCs/>
          <w:noProof/>
        </w:rPr>
        <w:t>5</w:t>
      </w:r>
      <w:r w:rsidR="0073687F">
        <w:rPr>
          <w:iCs/>
        </w:rPr>
        <w:noBreakHyphen/>
      </w:r>
      <w:r w:rsidR="0073687F">
        <w:rPr>
          <w:iCs/>
          <w:noProof/>
        </w:rPr>
        <w:t>3</w:t>
      </w:r>
      <w:r w:rsidR="007931A7">
        <w:fldChar w:fldCharType="end"/>
      </w:r>
      <w:r>
        <w:t xml:space="preserve">. </w:t>
      </w:r>
    </w:p>
    <w:p w14:paraId="613BD2E9" w14:textId="7DAC0BED" w:rsidR="00AE048A" w:rsidRDefault="007931A7" w:rsidP="00405F2F">
      <w:pPr>
        <w:pStyle w:val="Caption"/>
        <w:jc w:val="center"/>
      </w:pPr>
      <w:bookmarkStart w:id="1614" w:name="_Ref462834789"/>
      <w:bookmarkStart w:id="1615" w:name="_Toc462994023"/>
      <w:bookmarkStart w:id="1616" w:name="_Toc463343134"/>
      <w:r w:rsidRPr="007931A7">
        <w:rPr>
          <w:iCs/>
        </w:rPr>
        <w:lastRenderedPageBreak/>
        <w:t xml:space="preserve">Figure </w:t>
      </w:r>
      <w:r w:rsidR="008E4BD2">
        <w:rPr>
          <w:bCs w:val="0"/>
        </w:rPr>
        <w:fldChar w:fldCharType="begin"/>
      </w:r>
      <w:r w:rsidR="008E4BD2">
        <w:rPr>
          <w:iCs/>
        </w:rPr>
        <w:instrText xml:space="preserve"> STYLEREF 1 \s </w:instrText>
      </w:r>
      <w:r w:rsidR="008E4BD2">
        <w:rPr>
          <w:bCs w:val="0"/>
        </w:rPr>
        <w:fldChar w:fldCharType="separate"/>
      </w:r>
      <w:r w:rsidR="0073687F">
        <w:rPr>
          <w:iCs/>
          <w:noProof/>
        </w:rPr>
        <w:t>5</w:t>
      </w:r>
      <w:r w:rsidR="008E4BD2">
        <w:rPr>
          <w:bCs w:val="0"/>
        </w:rPr>
        <w:fldChar w:fldCharType="end"/>
      </w:r>
      <w:r w:rsidR="008E4BD2">
        <w:rPr>
          <w:iCs/>
        </w:rPr>
        <w:noBreakHyphen/>
      </w:r>
      <w:r w:rsidR="008E4BD2">
        <w:rPr>
          <w:bCs w:val="0"/>
        </w:rPr>
        <w:fldChar w:fldCharType="begin"/>
      </w:r>
      <w:r w:rsidR="008E4BD2">
        <w:rPr>
          <w:iCs/>
        </w:rPr>
        <w:instrText xml:space="preserve"> SEQ Figure \* ARABIC \s 1 </w:instrText>
      </w:r>
      <w:r w:rsidR="008E4BD2">
        <w:rPr>
          <w:bCs w:val="0"/>
        </w:rPr>
        <w:fldChar w:fldCharType="separate"/>
      </w:r>
      <w:r w:rsidR="0073687F">
        <w:rPr>
          <w:iCs/>
          <w:noProof/>
        </w:rPr>
        <w:t>3</w:t>
      </w:r>
      <w:r w:rsidR="008E4BD2">
        <w:rPr>
          <w:bCs w:val="0"/>
        </w:rPr>
        <w:fldChar w:fldCharType="end"/>
      </w:r>
      <w:bookmarkEnd w:id="1614"/>
      <w:r w:rsidRPr="007931A7">
        <w:rPr>
          <w:iCs/>
        </w:rPr>
        <w:t xml:space="preserve">: Comparison of </w:t>
      </w:r>
      <w:r>
        <w:rPr>
          <w:iCs/>
        </w:rPr>
        <w:t xml:space="preserve">proposed </w:t>
      </w:r>
      <w:r w:rsidR="00077F7C">
        <w:rPr>
          <w:iCs/>
        </w:rPr>
        <w:t>2017</w:t>
      </w:r>
      <w:r w:rsidRPr="007931A7">
        <w:rPr>
          <w:iCs/>
        </w:rPr>
        <w:t>-</w:t>
      </w:r>
      <w:r w:rsidR="00077F7C">
        <w:rPr>
          <w:iCs/>
        </w:rPr>
        <w:t>18</w:t>
      </w:r>
      <w:r w:rsidRPr="007931A7">
        <w:rPr>
          <w:iCs/>
        </w:rPr>
        <w:t xml:space="preserve"> </w:t>
      </w:r>
      <w:r>
        <w:rPr>
          <w:iCs/>
        </w:rPr>
        <w:t>residential and small business NUOS bills by tariff</w:t>
      </w:r>
      <w:bookmarkEnd w:id="1615"/>
      <w:r w:rsidR="00CB5C29" w:rsidRPr="00CB5C29">
        <w:rPr>
          <w:noProof/>
          <w:lang w:eastAsia="en-AU"/>
        </w:rPr>
        <w:drawing>
          <wp:inline distT="0" distB="0" distL="0" distR="0" wp14:anchorId="5EEAA0CC" wp14:editId="7DE209A3">
            <wp:extent cx="4791075" cy="279714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8944" cy="2801736"/>
                    </a:xfrm>
                    <a:prstGeom prst="rect">
                      <a:avLst/>
                    </a:prstGeom>
                    <a:noFill/>
                    <a:ln>
                      <a:noFill/>
                    </a:ln>
                  </pic:spPr>
                </pic:pic>
              </a:graphicData>
            </a:graphic>
          </wp:inline>
        </w:drawing>
      </w:r>
      <w:bookmarkEnd w:id="1616"/>
    </w:p>
    <w:p w14:paraId="0BC3F3FF" w14:textId="064ECC06" w:rsidR="00AE048A" w:rsidRPr="00AE048A" w:rsidRDefault="00CB5C29" w:rsidP="00AE048A">
      <w:pPr>
        <w:pStyle w:val="Bodycopy"/>
        <w:jc w:val="center"/>
        <w:rPr>
          <w:lang w:val="en-AU"/>
        </w:rPr>
      </w:pPr>
      <w:r w:rsidRPr="00CB5C29">
        <w:rPr>
          <w:noProof/>
          <w:lang w:val="en-AU" w:eastAsia="en-AU"/>
        </w:rPr>
        <w:drawing>
          <wp:inline distT="0" distB="0" distL="0" distR="0" wp14:anchorId="1196DF32" wp14:editId="12E94345">
            <wp:extent cx="5046001" cy="3079545"/>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3184" cy="3090031"/>
                    </a:xfrm>
                    <a:prstGeom prst="rect">
                      <a:avLst/>
                    </a:prstGeom>
                    <a:noFill/>
                    <a:ln>
                      <a:noFill/>
                    </a:ln>
                  </pic:spPr>
                </pic:pic>
              </a:graphicData>
            </a:graphic>
          </wp:inline>
        </w:drawing>
      </w:r>
    </w:p>
    <w:p w14:paraId="4317CCF0" w14:textId="2E3E93C4" w:rsidR="00EE3472" w:rsidRDefault="001C0F65" w:rsidP="001C0F65">
      <w:pPr>
        <w:pStyle w:val="Bodycopy"/>
      </w:pPr>
      <w:r w:rsidRPr="008B5CA2">
        <w:fldChar w:fldCharType="begin"/>
      </w:r>
      <w:r w:rsidRPr="008B5CA2">
        <w:instrText xml:space="preserve"> REF _Ref436122179 \h </w:instrText>
      </w:r>
      <w:r w:rsidR="008B5CA2">
        <w:instrText xml:space="preserve"> \* MERGEFORMAT </w:instrText>
      </w:r>
      <w:r w:rsidRPr="008B5CA2">
        <w:fldChar w:fldCharType="separate"/>
      </w:r>
      <w:r w:rsidR="0073687F" w:rsidRPr="00C17869">
        <w:rPr>
          <w:iCs/>
        </w:rPr>
        <w:t xml:space="preserve">Figure </w:t>
      </w:r>
      <w:r w:rsidR="0073687F">
        <w:rPr>
          <w:iCs/>
          <w:noProof/>
        </w:rPr>
        <w:t>5</w:t>
      </w:r>
      <w:r w:rsidR="0073687F">
        <w:rPr>
          <w:iCs/>
          <w:noProof/>
        </w:rPr>
        <w:noBreakHyphen/>
        <w:t>4</w:t>
      </w:r>
      <w:r w:rsidRPr="008B5CA2">
        <w:fldChar w:fldCharType="end"/>
      </w:r>
      <w:r>
        <w:t xml:space="preserve"> below </w:t>
      </w:r>
      <w:r w:rsidRPr="006E5305">
        <w:t xml:space="preserve">sets out our analysis of </w:t>
      </w:r>
      <w:r w:rsidR="007A05D1">
        <w:t xml:space="preserve">NUOS </w:t>
      </w:r>
      <w:r w:rsidRPr="006E5305">
        <w:t xml:space="preserve">bill impacts </w:t>
      </w:r>
      <w:r w:rsidR="00592545">
        <w:t xml:space="preserve">by tariff type </w:t>
      </w:r>
      <w:r w:rsidR="00592545" w:rsidRPr="006E5305">
        <w:t xml:space="preserve">for </w:t>
      </w:r>
      <w:r w:rsidR="00AE048A">
        <w:t xml:space="preserve">an </w:t>
      </w:r>
      <w:r w:rsidR="00592545">
        <w:t xml:space="preserve">average residential </w:t>
      </w:r>
      <w:r w:rsidR="00AE048A">
        <w:t xml:space="preserve">customer </w:t>
      </w:r>
      <w:r w:rsidR="00592545">
        <w:t xml:space="preserve">and </w:t>
      </w:r>
      <w:r w:rsidR="00AE048A">
        <w:t xml:space="preserve">two </w:t>
      </w:r>
      <w:r w:rsidR="00592545">
        <w:t xml:space="preserve">small business </w:t>
      </w:r>
      <w:r w:rsidR="00592545" w:rsidRPr="006E5305">
        <w:t>customers</w:t>
      </w:r>
      <w:r w:rsidR="00592545">
        <w:t xml:space="preserve"> for the remainder of this regulatory period.</w:t>
      </w:r>
    </w:p>
    <w:p w14:paraId="62C2589C" w14:textId="39BCAFC6" w:rsidR="003A63C3" w:rsidRDefault="003A63C3" w:rsidP="001C0F65">
      <w:pPr>
        <w:pStyle w:val="Bodycopy"/>
      </w:pPr>
    </w:p>
    <w:p w14:paraId="16B011BA" w14:textId="2656F51A" w:rsidR="003A63C3" w:rsidRDefault="003A63C3" w:rsidP="001C0F65">
      <w:pPr>
        <w:pStyle w:val="Bodycopy"/>
      </w:pPr>
    </w:p>
    <w:p w14:paraId="7105ACCD" w14:textId="073D2D85" w:rsidR="003A63C3" w:rsidRDefault="003A63C3" w:rsidP="001C0F65">
      <w:pPr>
        <w:pStyle w:val="Bodycopy"/>
      </w:pPr>
    </w:p>
    <w:p w14:paraId="5108020F" w14:textId="0F4683AF" w:rsidR="003A63C3" w:rsidRDefault="003A63C3" w:rsidP="001C0F65">
      <w:pPr>
        <w:pStyle w:val="Bodycopy"/>
      </w:pPr>
    </w:p>
    <w:p w14:paraId="1F367F4B" w14:textId="53B4EDAF" w:rsidR="003A63C3" w:rsidRDefault="003A63C3" w:rsidP="001C0F65">
      <w:pPr>
        <w:pStyle w:val="Bodycopy"/>
      </w:pPr>
    </w:p>
    <w:p w14:paraId="5F0F2598" w14:textId="1631DE25" w:rsidR="003A63C3" w:rsidRDefault="003A63C3" w:rsidP="001C0F65">
      <w:pPr>
        <w:pStyle w:val="Bodycopy"/>
      </w:pPr>
    </w:p>
    <w:p w14:paraId="1223F554" w14:textId="50FC472D" w:rsidR="003A63C3" w:rsidRDefault="003A63C3" w:rsidP="001C0F65">
      <w:pPr>
        <w:pStyle w:val="Bodycopy"/>
      </w:pPr>
    </w:p>
    <w:p w14:paraId="794373E4" w14:textId="57E6C783" w:rsidR="003A63C3" w:rsidRDefault="003A63C3" w:rsidP="001C0F65">
      <w:pPr>
        <w:pStyle w:val="Bodycopy"/>
      </w:pPr>
    </w:p>
    <w:p w14:paraId="4B80E2E7" w14:textId="0433FFA7" w:rsidR="003A63C3" w:rsidRDefault="003A63C3" w:rsidP="001C0F65">
      <w:pPr>
        <w:pStyle w:val="Bodycopy"/>
      </w:pPr>
    </w:p>
    <w:p w14:paraId="59E3617D" w14:textId="6A88D3DD" w:rsidR="003A63C3" w:rsidRDefault="003A63C3" w:rsidP="001C0F65">
      <w:pPr>
        <w:pStyle w:val="Bodycopy"/>
      </w:pPr>
    </w:p>
    <w:p w14:paraId="1E34BEF9" w14:textId="77777777" w:rsidR="003A63C3" w:rsidRDefault="003A63C3" w:rsidP="001C0F65">
      <w:pPr>
        <w:pStyle w:val="Bodycopy"/>
      </w:pPr>
    </w:p>
    <w:p w14:paraId="3A409B2A" w14:textId="30564E74" w:rsidR="001C0F65" w:rsidRDefault="001C0F65" w:rsidP="001C0F65">
      <w:pPr>
        <w:pStyle w:val="Caption"/>
        <w:jc w:val="center"/>
      </w:pPr>
      <w:bookmarkStart w:id="1617" w:name="_Ref436122179"/>
      <w:bookmarkStart w:id="1618" w:name="_Toc436127208"/>
      <w:bookmarkStart w:id="1619" w:name="_Toc436226242"/>
      <w:bookmarkStart w:id="1620" w:name="_Toc436304624"/>
      <w:bookmarkStart w:id="1621" w:name="_Toc459045449"/>
      <w:bookmarkStart w:id="1622" w:name="_Toc462994024"/>
      <w:bookmarkStart w:id="1623" w:name="_Toc463343135"/>
      <w:r w:rsidRPr="00C17869">
        <w:rPr>
          <w:iCs/>
        </w:rPr>
        <w:t xml:space="preserve">Figure </w:t>
      </w:r>
      <w:r w:rsidR="008E4BD2">
        <w:rPr>
          <w:iCs/>
        </w:rPr>
        <w:fldChar w:fldCharType="begin"/>
      </w:r>
      <w:r w:rsidR="008E4BD2">
        <w:rPr>
          <w:iCs/>
        </w:rPr>
        <w:instrText xml:space="preserve"> STYLEREF 1 \s </w:instrText>
      </w:r>
      <w:r w:rsidR="008E4BD2">
        <w:rPr>
          <w:iCs/>
        </w:rPr>
        <w:fldChar w:fldCharType="separate"/>
      </w:r>
      <w:r w:rsidR="0073687F">
        <w:rPr>
          <w:iCs/>
          <w:noProof/>
        </w:rPr>
        <w:t>5</w:t>
      </w:r>
      <w:r w:rsidR="008E4BD2">
        <w:rPr>
          <w:iCs/>
        </w:rPr>
        <w:fldChar w:fldCharType="end"/>
      </w:r>
      <w:r w:rsidR="008E4BD2">
        <w:rPr>
          <w:iCs/>
        </w:rPr>
        <w:noBreakHyphen/>
      </w:r>
      <w:r w:rsidR="008E4BD2">
        <w:rPr>
          <w:iCs/>
        </w:rPr>
        <w:fldChar w:fldCharType="begin"/>
      </w:r>
      <w:r w:rsidR="008E4BD2">
        <w:rPr>
          <w:iCs/>
        </w:rPr>
        <w:instrText xml:space="preserve"> SEQ Figure \* ARABIC \s 1 </w:instrText>
      </w:r>
      <w:r w:rsidR="008E4BD2">
        <w:rPr>
          <w:iCs/>
        </w:rPr>
        <w:fldChar w:fldCharType="separate"/>
      </w:r>
      <w:r w:rsidR="0073687F">
        <w:rPr>
          <w:iCs/>
          <w:noProof/>
        </w:rPr>
        <w:t>4</w:t>
      </w:r>
      <w:r w:rsidR="008E4BD2">
        <w:rPr>
          <w:iCs/>
        </w:rPr>
        <w:fldChar w:fldCharType="end"/>
      </w:r>
      <w:bookmarkEnd w:id="1617"/>
      <w:r w:rsidRPr="00C17869">
        <w:rPr>
          <w:iCs/>
        </w:rPr>
        <w:t xml:space="preserve">: </w:t>
      </w:r>
      <w:r w:rsidR="00AE048A" w:rsidRPr="00C17869">
        <w:rPr>
          <w:iCs/>
        </w:rPr>
        <w:t xml:space="preserve">Average residential and small </w:t>
      </w:r>
      <w:r w:rsidR="00AE048A" w:rsidRPr="00C17869">
        <w:t>c</w:t>
      </w:r>
      <w:r w:rsidRPr="00C17869">
        <w:t xml:space="preserve">ustomer </w:t>
      </w:r>
      <w:r w:rsidR="008E4BD2">
        <w:t xml:space="preserve">annual </w:t>
      </w:r>
      <w:r w:rsidR="007A05D1" w:rsidRPr="00C17869">
        <w:t xml:space="preserve">NUOS </w:t>
      </w:r>
      <w:r w:rsidRPr="00C17869">
        <w:rPr>
          <w:iCs/>
        </w:rPr>
        <w:t xml:space="preserve">bill </w:t>
      </w:r>
      <w:r w:rsidRPr="00C17869">
        <w:t>by tariff type</w:t>
      </w:r>
      <w:r w:rsidRPr="00C17869">
        <w:rPr>
          <w:iCs/>
        </w:rPr>
        <w:t xml:space="preserve"> </w:t>
      </w:r>
      <w:r w:rsidR="00AE048A" w:rsidRPr="00C17869">
        <w:rPr>
          <w:iCs/>
        </w:rPr>
        <w:t xml:space="preserve">(with </w:t>
      </w:r>
      <w:r w:rsidRPr="00C17869">
        <w:rPr>
          <w:iCs/>
        </w:rPr>
        <w:t>year on year change</w:t>
      </w:r>
      <w:r w:rsidR="00AE048A" w:rsidRPr="00C17869">
        <w:rPr>
          <w:iCs/>
        </w:rPr>
        <w:t>)</w:t>
      </w:r>
      <w:bookmarkEnd w:id="1618"/>
      <w:bookmarkEnd w:id="1619"/>
      <w:bookmarkEnd w:id="1620"/>
      <w:bookmarkEnd w:id="1621"/>
      <w:bookmarkEnd w:id="1622"/>
      <w:bookmarkEnd w:id="1623"/>
    </w:p>
    <w:p w14:paraId="5B8D7F43" w14:textId="30319B96" w:rsidR="001C0F65" w:rsidRDefault="00CB5C29" w:rsidP="001C0F65">
      <w:pPr>
        <w:pStyle w:val="Bodycopy"/>
        <w:jc w:val="center"/>
      </w:pPr>
      <w:r w:rsidRPr="00CB5C29">
        <w:rPr>
          <w:noProof/>
          <w:lang w:val="en-AU" w:eastAsia="en-AU"/>
        </w:rPr>
        <w:drawing>
          <wp:inline distT="0" distB="0" distL="0" distR="0" wp14:anchorId="1CE53E37" wp14:editId="188D4A01">
            <wp:extent cx="4247979" cy="2423343"/>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8202" cy="2429175"/>
                    </a:xfrm>
                    <a:prstGeom prst="rect">
                      <a:avLst/>
                    </a:prstGeom>
                    <a:noFill/>
                    <a:ln>
                      <a:noFill/>
                    </a:ln>
                  </pic:spPr>
                </pic:pic>
              </a:graphicData>
            </a:graphic>
          </wp:inline>
        </w:drawing>
      </w:r>
    </w:p>
    <w:p w14:paraId="3DFDF69E" w14:textId="12632A7A" w:rsidR="00AE048A" w:rsidRDefault="00CB5C29" w:rsidP="001C0F65">
      <w:pPr>
        <w:pStyle w:val="Bodycopy"/>
        <w:jc w:val="center"/>
      </w:pPr>
      <w:r w:rsidRPr="00CB5C29">
        <w:rPr>
          <w:noProof/>
          <w:lang w:val="en-AU" w:eastAsia="en-AU"/>
        </w:rPr>
        <w:drawing>
          <wp:inline distT="0" distB="0" distL="0" distR="0" wp14:anchorId="6126F2E7" wp14:editId="4D4145EF">
            <wp:extent cx="4381500" cy="25226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2724" cy="2529144"/>
                    </a:xfrm>
                    <a:prstGeom prst="rect">
                      <a:avLst/>
                    </a:prstGeom>
                    <a:noFill/>
                    <a:ln>
                      <a:noFill/>
                    </a:ln>
                  </pic:spPr>
                </pic:pic>
              </a:graphicData>
            </a:graphic>
          </wp:inline>
        </w:drawing>
      </w:r>
    </w:p>
    <w:p w14:paraId="68E98D81" w14:textId="30229492" w:rsidR="007A05D1" w:rsidRDefault="00CB5C29" w:rsidP="001C0F65">
      <w:pPr>
        <w:pStyle w:val="Bodycopy"/>
        <w:jc w:val="center"/>
      </w:pPr>
      <w:r w:rsidRPr="00CB5C29">
        <w:rPr>
          <w:noProof/>
          <w:lang w:val="en-AU" w:eastAsia="en-AU"/>
        </w:rPr>
        <w:drawing>
          <wp:inline distT="0" distB="0" distL="0" distR="0" wp14:anchorId="2DBD174C" wp14:editId="06A8245F">
            <wp:extent cx="4543425" cy="26159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60969" cy="2626012"/>
                    </a:xfrm>
                    <a:prstGeom prst="rect">
                      <a:avLst/>
                    </a:prstGeom>
                    <a:noFill/>
                    <a:ln>
                      <a:noFill/>
                    </a:ln>
                  </pic:spPr>
                </pic:pic>
              </a:graphicData>
            </a:graphic>
          </wp:inline>
        </w:drawing>
      </w:r>
    </w:p>
    <w:p w14:paraId="009D498A" w14:textId="67B57609" w:rsidR="008E4BD2" w:rsidRDefault="008E4BD2" w:rsidP="008E4BD2">
      <w:pPr>
        <w:pStyle w:val="Heading4nonumbers"/>
      </w:pPr>
      <w:r>
        <w:t>Business, Large Business and Sub-transmission customers</w:t>
      </w:r>
    </w:p>
    <w:p w14:paraId="762CE09A" w14:textId="21FCEB12" w:rsidR="00AE048A" w:rsidRDefault="00AE048A" w:rsidP="00AE048A">
      <w:pPr>
        <w:pStyle w:val="Bodycopy"/>
      </w:pPr>
      <w:r>
        <w:t xml:space="preserve">Bill impacts for Business, Large Business and Sub-transmission customer bill impacts are shown </w:t>
      </w:r>
      <w:r w:rsidR="008E4BD2">
        <w:t xml:space="preserve">in </w:t>
      </w:r>
      <w:r w:rsidR="008E4BD2">
        <w:fldChar w:fldCharType="begin"/>
      </w:r>
      <w:r w:rsidR="008E4BD2">
        <w:instrText xml:space="preserve"> REF _Ref462840393 \h </w:instrText>
      </w:r>
      <w:r w:rsidR="008E4BD2">
        <w:fldChar w:fldCharType="separate"/>
      </w:r>
      <w:r w:rsidR="0073687F" w:rsidRPr="008E4BD2">
        <w:rPr>
          <w:iCs/>
        </w:rPr>
        <w:t xml:space="preserve">Figure </w:t>
      </w:r>
      <w:r w:rsidR="0073687F">
        <w:rPr>
          <w:iCs/>
          <w:noProof/>
        </w:rPr>
        <w:t>5</w:t>
      </w:r>
      <w:r w:rsidR="0073687F" w:rsidRPr="008E4BD2">
        <w:rPr>
          <w:iCs/>
        </w:rPr>
        <w:noBreakHyphen/>
      </w:r>
      <w:r w:rsidR="0073687F">
        <w:rPr>
          <w:iCs/>
          <w:noProof/>
        </w:rPr>
        <w:t>5</w:t>
      </w:r>
      <w:r w:rsidR="008E4BD2">
        <w:fldChar w:fldCharType="end"/>
      </w:r>
      <w:r w:rsidR="008E4BD2">
        <w:t xml:space="preserve">, though </w:t>
      </w:r>
      <w:r>
        <w:t>only for the main tariffs employed by those customer groups.</w:t>
      </w:r>
    </w:p>
    <w:p w14:paraId="4318783F" w14:textId="77777777" w:rsidR="005744C5" w:rsidRDefault="005744C5" w:rsidP="00AE048A">
      <w:pPr>
        <w:pStyle w:val="Bodycopy"/>
      </w:pPr>
    </w:p>
    <w:p w14:paraId="5AACE134" w14:textId="5B972B1E" w:rsidR="00AE048A" w:rsidRPr="008E4BD2" w:rsidRDefault="008E4BD2" w:rsidP="008E4BD2">
      <w:pPr>
        <w:pStyle w:val="Caption"/>
        <w:jc w:val="center"/>
        <w:rPr>
          <w:iCs/>
        </w:rPr>
      </w:pPr>
      <w:bookmarkStart w:id="1624" w:name="_Ref462840393"/>
      <w:bookmarkStart w:id="1625" w:name="_Toc462994025"/>
      <w:bookmarkStart w:id="1626" w:name="_Toc463343136"/>
      <w:r w:rsidRPr="008E4BD2">
        <w:rPr>
          <w:iCs/>
        </w:rPr>
        <w:t xml:space="preserve">Figure </w:t>
      </w:r>
      <w:r w:rsidRPr="008E4BD2">
        <w:rPr>
          <w:iCs/>
        </w:rPr>
        <w:fldChar w:fldCharType="begin"/>
      </w:r>
      <w:r w:rsidRPr="008E4BD2">
        <w:rPr>
          <w:iCs/>
        </w:rPr>
        <w:instrText xml:space="preserve"> STYLEREF 1 \s </w:instrText>
      </w:r>
      <w:r w:rsidRPr="008E4BD2">
        <w:rPr>
          <w:iCs/>
        </w:rPr>
        <w:fldChar w:fldCharType="separate"/>
      </w:r>
      <w:r w:rsidR="0073687F">
        <w:rPr>
          <w:iCs/>
          <w:noProof/>
        </w:rPr>
        <w:t>5</w:t>
      </w:r>
      <w:r w:rsidRPr="008E4BD2">
        <w:rPr>
          <w:iCs/>
        </w:rPr>
        <w:fldChar w:fldCharType="end"/>
      </w:r>
      <w:r w:rsidRPr="008E4BD2">
        <w:rPr>
          <w:iCs/>
        </w:rPr>
        <w:noBreakHyphen/>
      </w:r>
      <w:r w:rsidRPr="008E4BD2">
        <w:rPr>
          <w:iCs/>
        </w:rPr>
        <w:fldChar w:fldCharType="begin"/>
      </w:r>
      <w:r w:rsidRPr="008E4BD2">
        <w:rPr>
          <w:iCs/>
        </w:rPr>
        <w:instrText xml:space="preserve"> SEQ Figure \* ARABIC \s 1 </w:instrText>
      </w:r>
      <w:r w:rsidRPr="008E4BD2">
        <w:rPr>
          <w:iCs/>
        </w:rPr>
        <w:fldChar w:fldCharType="separate"/>
      </w:r>
      <w:r w:rsidR="0073687F">
        <w:rPr>
          <w:iCs/>
          <w:noProof/>
        </w:rPr>
        <w:t>5</w:t>
      </w:r>
      <w:r w:rsidRPr="008E4BD2">
        <w:rPr>
          <w:iCs/>
        </w:rPr>
        <w:fldChar w:fldCharType="end"/>
      </w:r>
      <w:bookmarkEnd w:id="1624"/>
      <w:r w:rsidRPr="008E4BD2">
        <w:rPr>
          <w:iCs/>
        </w:rPr>
        <w:t xml:space="preserve">: Business, large business and sub-transmission </w:t>
      </w:r>
      <w:r>
        <w:rPr>
          <w:iCs/>
        </w:rPr>
        <w:t xml:space="preserve">annual </w:t>
      </w:r>
      <w:r w:rsidRPr="008E4BD2">
        <w:rPr>
          <w:iCs/>
        </w:rPr>
        <w:t>NUOS bill (with year on year change)</w:t>
      </w:r>
      <w:bookmarkEnd w:id="1625"/>
      <w:bookmarkEnd w:id="1626"/>
    </w:p>
    <w:p w14:paraId="257FEF42" w14:textId="3173B93A" w:rsidR="007A05D1" w:rsidRDefault="00CB5C29" w:rsidP="001C0F65">
      <w:pPr>
        <w:pStyle w:val="Bodycopy"/>
        <w:jc w:val="center"/>
      </w:pPr>
      <w:r w:rsidRPr="00CB5C29">
        <w:rPr>
          <w:noProof/>
          <w:lang w:val="en-AU" w:eastAsia="en-AU"/>
        </w:rPr>
        <w:drawing>
          <wp:inline distT="0" distB="0" distL="0" distR="0" wp14:anchorId="05DA74C6" wp14:editId="00312D11">
            <wp:extent cx="6479540" cy="27482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9540" cy="2748219"/>
                    </a:xfrm>
                    <a:prstGeom prst="rect">
                      <a:avLst/>
                    </a:prstGeom>
                    <a:noFill/>
                    <a:ln>
                      <a:noFill/>
                    </a:ln>
                  </pic:spPr>
                </pic:pic>
              </a:graphicData>
            </a:graphic>
          </wp:inline>
        </w:drawing>
      </w:r>
    </w:p>
    <w:p w14:paraId="128F2D6F" w14:textId="3509BBB3" w:rsidR="007A05D1" w:rsidRDefault="00CB5C29" w:rsidP="001C0F65">
      <w:pPr>
        <w:pStyle w:val="Bodycopy"/>
        <w:jc w:val="center"/>
      </w:pPr>
      <w:r w:rsidRPr="00CB5C29">
        <w:rPr>
          <w:noProof/>
          <w:lang w:val="en-AU" w:eastAsia="en-AU"/>
        </w:rPr>
        <w:drawing>
          <wp:inline distT="0" distB="0" distL="0" distR="0" wp14:anchorId="62B4199D" wp14:editId="1819C410">
            <wp:extent cx="6479540" cy="2736424"/>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9540" cy="2736424"/>
                    </a:xfrm>
                    <a:prstGeom prst="rect">
                      <a:avLst/>
                    </a:prstGeom>
                    <a:noFill/>
                    <a:ln>
                      <a:noFill/>
                    </a:ln>
                  </pic:spPr>
                </pic:pic>
              </a:graphicData>
            </a:graphic>
          </wp:inline>
        </w:drawing>
      </w:r>
    </w:p>
    <w:p w14:paraId="06C65B99" w14:textId="77777777" w:rsidR="005744C5" w:rsidRDefault="00CB5C29" w:rsidP="001C0F65">
      <w:pPr>
        <w:pStyle w:val="Bodycopy"/>
        <w:jc w:val="center"/>
      </w:pPr>
      <w:r w:rsidRPr="00CB5C29">
        <w:rPr>
          <w:noProof/>
          <w:lang w:val="en-AU" w:eastAsia="en-AU"/>
        </w:rPr>
        <w:drawing>
          <wp:inline distT="0" distB="0" distL="0" distR="0" wp14:anchorId="57AD7402" wp14:editId="203A8DFD">
            <wp:extent cx="6479540" cy="2734077"/>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9540" cy="2734077"/>
                    </a:xfrm>
                    <a:prstGeom prst="rect">
                      <a:avLst/>
                    </a:prstGeom>
                    <a:noFill/>
                    <a:ln>
                      <a:noFill/>
                    </a:ln>
                  </pic:spPr>
                </pic:pic>
              </a:graphicData>
            </a:graphic>
          </wp:inline>
        </w:drawing>
      </w:r>
    </w:p>
    <w:p w14:paraId="50CCDA97" w14:textId="70AEF7D8" w:rsidR="007A05D1" w:rsidRPr="00CD3444" w:rsidRDefault="007A05D1" w:rsidP="001C0F65">
      <w:pPr>
        <w:pStyle w:val="Bodycopy"/>
        <w:jc w:val="center"/>
      </w:pPr>
    </w:p>
    <w:p w14:paraId="0ADBD19F" w14:textId="3208AA91" w:rsidR="00536002" w:rsidRDefault="00536002" w:rsidP="00536002">
      <w:pPr>
        <w:pStyle w:val="Heading2"/>
      </w:pPr>
      <w:bookmarkStart w:id="1627" w:name="_Ref460933620"/>
      <w:bookmarkStart w:id="1628" w:name="_Toc462994068"/>
      <w:bookmarkStart w:id="1629" w:name="_Toc463343032"/>
      <w:r>
        <w:t>Tariff change project</w:t>
      </w:r>
      <w:bookmarkEnd w:id="1627"/>
      <w:bookmarkEnd w:id="1628"/>
      <w:bookmarkEnd w:id="1629"/>
    </w:p>
    <w:p w14:paraId="25880CCC" w14:textId="6BE57C8C" w:rsidR="00536002" w:rsidRPr="00E26C85" w:rsidRDefault="00536002" w:rsidP="00536002">
      <w:pPr>
        <w:pStyle w:val="Bodycopy"/>
      </w:pPr>
      <w:r w:rsidRPr="00E26C85">
        <w:t>In consultation with our stakeholders and impacted customers, w</w:t>
      </w:r>
      <w:r w:rsidR="001750E5" w:rsidRPr="00E26C85">
        <w:t xml:space="preserve">e </w:t>
      </w:r>
      <w:r w:rsidRPr="00E26C85">
        <w:t xml:space="preserve">are </w:t>
      </w:r>
      <w:r w:rsidR="00137945" w:rsidRPr="00E26C85">
        <w:t>introducing</w:t>
      </w:r>
      <w:r w:rsidR="001750E5" w:rsidRPr="00E26C85">
        <w:t xml:space="preserve"> specific transitional tariffs for those business customers currently on </w:t>
      </w:r>
      <w:r w:rsidR="00137945" w:rsidRPr="00E26C85">
        <w:t xml:space="preserve">a </w:t>
      </w:r>
      <w:r w:rsidR="001750E5" w:rsidRPr="00E26C85">
        <w:t xml:space="preserve">Small Business </w:t>
      </w:r>
      <w:r w:rsidR="00137945" w:rsidRPr="00E26C85">
        <w:t>DBT</w:t>
      </w:r>
      <w:r w:rsidR="001750E5" w:rsidRPr="00E26C85">
        <w:t xml:space="preserve"> </w:t>
      </w:r>
      <w:r w:rsidR="00EF351F" w:rsidRPr="00E26C85">
        <w:t xml:space="preserve">or TOU tariff </w:t>
      </w:r>
      <w:r w:rsidR="001750E5" w:rsidRPr="00E26C85">
        <w:t xml:space="preserve">who </w:t>
      </w:r>
      <w:r w:rsidR="00137945" w:rsidRPr="00E26C85">
        <w:t>no longer</w:t>
      </w:r>
      <w:r w:rsidR="001750E5" w:rsidRPr="00E26C85">
        <w:t xml:space="preserve"> satisfy the associated eligibility requirem</w:t>
      </w:r>
      <w:r w:rsidR="00137945" w:rsidRPr="00E26C85">
        <w:t>ents and need to be moved to an</w:t>
      </w:r>
      <w:r w:rsidR="001750E5" w:rsidRPr="00E26C85">
        <w:t xml:space="preserve"> appropriate </w:t>
      </w:r>
      <w:r w:rsidR="00137945" w:rsidRPr="00E26C85">
        <w:t xml:space="preserve">demand based </w:t>
      </w:r>
      <w:r w:rsidR="001750E5" w:rsidRPr="00E26C85">
        <w:t>Business or Large Business tariff</w:t>
      </w:r>
      <w:r w:rsidR="00A239A9" w:rsidRPr="00E26C85">
        <w:t xml:space="preserve"> and will consequently suffer a bill increase</w:t>
      </w:r>
      <w:r w:rsidR="001750E5" w:rsidRPr="00E26C85">
        <w:t xml:space="preserve">. </w:t>
      </w:r>
    </w:p>
    <w:p w14:paraId="6C0F24C2" w14:textId="3F0DEFB6" w:rsidR="00B2749F" w:rsidRPr="00E26C85" w:rsidRDefault="001750E5" w:rsidP="00B2749F">
      <w:pPr>
        <w:pStyle w:val="Bodycopy"/>
      </w:pPr>
      <w:r w:rsidRPr="00E26C85">
        <w:t xml:space="preserve">The </w:t>
      </w:r>
      <w:r w:rsidR="00536002" w:rsidRPr="00E26C85">
        <w:t xml:space="preserve">actual </w:t>
      </w:r>
      <w:r w:rsidRPr="00E26C85">
        <w:t>tariff s</w:t>
      </w:r>
      <w:r w:rsidR="00EF351F" w:rsidRPr="00E26C85">
        <w:t>tructure</w:t>
      </w:r>
      <w:r w:rsidRPr="00E26C85">
        <w:t xml:space="preserve"> for </w:t>
      </w:r>
      <w:r w:rsidR="00EF351F" w:rsidRPr="00E26C85">
        <w:t>this transitional tariff</w:t>
      </w:r>
      <w:r w:rsidRPr="00E26C85">
        <w:t xml:space="preserve"> do</w:t>
      </w:r>
      <w:r w:rsidR="00EF351F" w:rsidRPr="00E26C85">
        <w:t>es</w:t>
      </w:r>
      <w:r w:rsidRPr="00E26C85">
        <w:t xml:space="preserve"> not differ from </w:t>
      </w:r>
      <w:r w:rsidR="00EF351F" w:rsidRPr="00E26C85">
        <w:t xml:space="preserve">the Low voltage – Time of Use </w:t>
      </w:r>
      <w:r w:rsidR="00A0442E">
        <w:t xml:space="preserve">three rate </w:t>
      </w:r>
      <w:r w:rsidR="00EF351F" w:rsidRPr="00E26C85">
        <w:t xml:space="preserve">demand </w:t>
      </w:r>
      <w:r w:rsidR="00A0442E" w:rsidRPr="00E26C85">
        <w:t xml:space="preserve"> </w:t>
      </w:r>
      <w:r w:rsidR="00EF351F" w:rsidRPr="00E26C85">
        <w:t>tariff</w:t>
      </w:r>
      <w:r w:rsidRPr="00E26C85">
        <w:t xml:space="preserve"> offered to other Business </w:t>
      </w:r>
      <w:r w:rsidR="00C67286" w:rsidRPr="00E26C85">
        <w:t>customers in section</w:t>
      </w:r>
      <w:r w:rsidR="00137945" w:rsidRPr="00E26C85">
        <w:t xml:space="preserve"> </w:t>
      </w:r>
      <w:r w:rsidR="00137945" w:rsidRPr="00E26C85">
        <w:fldChar w:fldCharType="begin"/>
      </w:r>
      <w:r w:rsidR="00137945" w:rsidRPr="00E26C85">
        <w:instrText xml:space="preserve"> REF _Ref459882652 \r \h </w:instrText>
      </w:r>
      <w:r w:rsidR="00090F8D" w:rsidRPr="00E26C85">
        <w:instrText xml:space="preserve"> \* MERGEFORMAT </w:instrText>
      </w:r>
      <w:r w:rsidR="00137945" w:rsidRPr="00E26C85">
        <w:fldChar w:fldCharType="separate"/>
      </w:r>
      <w:r w:rsidR="0073687F">
        <w:t>4.5</w:t>
      </w:r>
      <w:r w:rsidR="00137945" w:rsidRPr="00E26C85">
        <w:fldChar w:fldCharType="end"/>
      </w:r>
      <w:r w:rsidR="00137945" w:rsidRPr="00E26C85">
        <w:t>. Rather,</w:t>
      </w:r>
      <w:r w:rsidRPr="00E26C85">
        <w:t xml:space="preserve"> it is </w:t>
      </w:r>
      <w:r w:rsidR="00137945" w:rsidRPr="00E26C85">
        <w:t>the weighting of the various tariff components and the associated pric</w:t>
      </w:r>
      <w:r w:rsidR="00536002" w:rsidRPr="00E26C85">
        <w:t xml:space="preserve">ing </w:t>
      </w:r>
      <w:r w:rsidRPr="00E26C85">
        <w:t xml:space="preserve">transition path </w:t>
      </w:r>
      <w:r w:rsidR="00536002" w:rsidRPr="00E26C85">
        <w:t>that differs.</w:t>
      </w:r>
      <w:r w:rsidR="00137945" w:rsidRPr="00E26C85">
        <w:t xml:space="preserve"> As such, </w:t>
      </w:r>
      <w:r w:rsidR="00C67286" w:rsidRPr="00E26C85">
        <w:t>this transitional tariff</w:t>
      </w:r>
      <w:r w:rsidR="00137945" w:rsidRPr="00E26C85">
        <w:t xml:space="preserve"> </w:t>
      </w:r>
      <w:r w:rsidR="00C67286" w:rsidRPr="00E26C85">
        <w:t>is shown separately in</w:t>
      </w:r>
      <w:r w:rsidR="00137945" w:rsidRPr="00E26C85">
        <w:t xml:space="preserve"> Attachment </w:t>
      </w:r>
      <w:r w:rsidR="00137945" w:rsidRPr="00E26C85">
        <w:fldChar w:fldCharType="begin"/>
      </w:r>
      <w:r w:rsidR="00137945" w:rsidRPr="00E26C85">
        <w:instrText xml:space="preserve"> REF _Ref432488644 \r \h </w:instrText>
      </w:r>
      <w:r w:rsidR="00090F8D" w:rsidRPr="00E26C85">
        <w:instrText xml:space="preserve"> \* MERGEFORMAT </w:instrText>
      </w:r>
      <w:r w:rsidR="00137945" w:rsidRPr="00E26C85">
        <w:fldChar w:fldCharType="separate"/>
      </w:r>
      <w:r w:rsidR="0073687F">
        <w:t>2</w:t>
      </w:r>
      <w:r w:rsidR="00137945" w:rsidRPr="00E26C85">
        <w:fldChar w:fldCharType="end"/>
      </w:r>
      <w:r w:rsidR="00137945" w:rsidRPr="00E26C85">
        <w:t xml:space="preserve"> - </w:t>
      </w:r>
      <w:r w:rsidR="00137945" w:rsidRPr="00E26C85">
        <w:rPr>
          <w:i/>
        </w:rPr>
        <w:fldChar w:fldCharType="begin"/>
      </w:r>
      <w:r w:rsidR="00137945" w:rsidRPr="00E26C85">
        <w:rPr>
          <w:i/>
        </w:rPr>
        <w:instrText xml:space="preserve"> REF _Ref432488644 \h  \* MERGEFORMAT </w:instrText>
      </w:r>
      <w:r w:rsidR="00137945" w:rsidRPr="00E26C85">
        <w:rPr>
          <w:i/>
        </w:rPr>
      </w:r>
      <w:r w:rsidR="00137945" w:rsidRPr="00E26C85">
        <w:rPr>
          <w:i/>
        </w:rPr>
        <w:fldChar w:fldCharType="separate"/>
      </w:r>
      <w:r w:rsidR="0073687F" w:rsidRPr="0073687F">
        <w:rPr>
          <w:i/>
        </w:rPr>
        <w:t>Indicative NUOS Pricing Schedule</w:t>
      </w:r>
      <w:r w:rsidR="00137945" w:rsidRPr="00E26C85">
        <w:rPr>
          <w:i/>
        </w:rPr>
        <w:fldChar w:fldCharType="end"/>
      </w:r>
      <w:r w:rsidR="00137945" w:rsidRPr="00E26C85">
        <w:t xml:space="preserve"> of this TSS. </w:t>
      </w:r>
    </w:p>
    <w:p w14:paraId="5DE7FA19" w14:textId="136D01FA" w:rsidR="00A239A9" w:rsidRDefault="00A239A9" w:rsidP="00B2749F">
      <w:pPr>
        <w:pStyle w:val="Bodycopy"/>
      </w:pPr>
      <w:r w:rsidRPr="00FE6100">
        <w:t xml:space="preserve">This tariff will </w:t>
      </w:r>
      <w:r w:rsidR="00E8088C" w:rsidRPr="00FE6100">
        <w:t xml:space="preserve">allow </w:t>
      </w:r>
      <w:r w:rsidR="00FE6100" w:rsidRPr="00FE6100">
        <w:t xml:space="preserve">eligible </w:t>
      </w:r>
      <w:r w:rsidR="00E8088C" w:rsidRPr="00FE6100">
        <w:t>customers to transition to the full demand</w:t>
      </w:r>
      <w:r w:rsidR="00E8088C">
        <w:t xml:space="preserve"> based tariff over a five</w:t>
      </w:r>
      <w:r w:rsidR="00E24D40">
        <w:t>-</w:t>
      </w:r>
      <w:r w:rsidR="00E8088C">
        <w:t>year period, reducing bill shock and ensuring</w:t>
      </w:r>
      <w:r w:rsidR="00E8088C" w:rsidRPr="00E8088C">
        <w:t xml:space="preserve"> adherence to the pricing principles in the Rules. </w:t>
      </w:r>
      <w:r w:rsidR="00E8088C">
        <w:t>More details on this project</w:t>
      </w:r>
      <w:r w:rsidR="0046133C">
        <w:t xml:space="preserve">, including the composition of the tariff and the impact on affected customers </w:t>
      </w:r>
      <w:r w:rsidR="00E8088C">
        <w:t>can be found in section 5 of the Addendum to this TSS.</w:t>
      </w:r>
    </w:p>
    <w:sectPr w:rsidR="00A239A9" w:rsidSect="00065D3E">
      <w:footerReference w:type="default" r:id="rId27"/>
      <w:type w:val="continuous"/>
      <w:pgSz w:w="11906" w:h="16838" w:code="9"/>
      <w:pgMar w:top="1276" w:right="851" w:bottom="1418" w:left="851" w:header="737" w:footer="680" w:gutter="0"/>
      <w:cols w:space="284"/>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1CE72B" w14:textId="77777777" w:rsidR="003D0B6F" w:rsidRDefault="003D0B6F">
      <w:r>
        <w:separator/>
      </w:r>
    </w:p>
  </w:endnote>
  <w:endnote w:type="continuationSeparator" w:id="0">
    <w:p w14:paraId="0BEF3980" w14:textId="77777777" w:rsidR="003D0B6F" w:rsidRDefault="003D0B6F">
      <w:r>
        <w:continuationSeparator/>
      </w:r>
    </w:p>
  </w:endnote>
  <w:endnote w:type="continuationNotice" w:id="1">
    <w:p w14:paraId="32EDB3D0" w14:textId="77777777" w:rsidR="003D0B6F" w:rsidRDefault="003D0B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HelveticaNeueLT Std Lt Cn">
    <w:panose1 w:val="00000000000000000000"/>
    <w:charset w:val="00"/>
    <w:family w:val="swiss"/>
    <w:notTrueType/>
    <w:pitch w:val="variable"/>
    <w:sig w:usb0="800000AF" w:usb1="4000204A"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ITC Franklin Gothic LT Medium">
    <w:panose1 w:val="00000000000000000000"/>
    <w:charset w:val="00"/>
    <w:family w:val="auto"/>
    <w:notTrueType/>
    <w:pitch w:val="default"/>
    <w:sig w:usb0="00000003" w:usb1="00000000" w:usb2="00000000" w:usb3="00000000" w:csb0="00000001" w:csb1="00000000"/>
  </w:font>
  <w:font w:name="ITC Franklin Gothic LT Heavy">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7F29C" w14:textId="77777777" w:rsidR="003D0B6F" w:rsidRPr="00D56E6D" w:rsidRDefault="003D0B6F" w:rsidP="00D56E6D">
    <w:pPr>
      <w:pStyle w:val="Footer"/>
      <w:ind w:right="-2"/>
      <w:rPr>
        <w:rFonts w:cs="Arial"/>
        <w:b/>
        <w:noProof/>
        <w:color w:val="4D4D4F"/>
        <w:sz w:val="20"/>
        <w:szCs w:val="20"/>
        <w:lang w:eastAsia="en-AU"/>
      </w:rPr>
    </w:pPr>
    <w:r w:rsidRPr="00D56E6D">
      <w:rPr>
        <w:rFonts w:cs="Arial"/>
        <w:b/>
        <w:noProof/>
        <w:color w:val="4D4D4F"/>
        <w:sz w:val="20"/>
        <w:szCs w:val="20"/>
        <w:lang w:eastAsia="en-AU"/>
      </w:rPr>
      <mc:AlternateContent>
        <mc:Choice Requires="wps">
          <w:drawing>
            <wp:anchor distT="0" distB="0" distL="114300" distR="114300" simplePos="0" relativeHeight="251658240" behindDoc="0" locked="1" layoutInCell="1" allowOverlap="1" wp14:anchorId="04A7F29E" wp14:editId="04A7F29F">
              <wp:simplePos x="0" y="0"/>
              <wp:positionH relativeFrom="column">
                <wp:posOffset>-8255</wp:posOffset>
              </wp:positionH>
              <wp:positionV relativeFrom="page">
                <wp:posOffset>9839960</wp:posOffset>
              </wp:positionV>
              <wp:extent cx="6503670" cy="0"/>
              <wp:effectExtent l="0" t="0" r="11430" b="19050"/>
              <wp:wrapNone/>
              <wp:docPr id="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3670" cy="0"/>
                      </a:xfrm>
                      <a:prstGeom prst="line">
                        <a:avLst/>
                      </a:prstGeom>
                      <a:noFill/>
                      <a:ln w="6350">
                        <a:solidFill>
                          <a:srgbClr val="F5802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1A8A4A08" id="Line 3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65pt,774.8pt" to="511.45pt,7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" strokecolor="#f58025" strokeweight=".5pt">
              <w10:wrap anchory="page"/>
              <w10:anchorlock/>
            </v:line>
          </w:pict>
        </mc:Fallback>
      </mc:AlternateContent>
    </w:r>
    <w:r w:rsidRPr="00D56E6D">
      <w:rPr>
        <w:rFonts w:cs="Arial"/>
        <w:b/>
        <w:noProof/>
        <w:color w:val="4D4D4F"/>
        <w:sz w:val="20"/>
        <w:szCs w:val="20"/>
        <w:lang w:eastAsia="en-AU"/>
      </w:rPr>
      <w:t xml:space="preserve">TARIFF STRUCTURE STATEMENT </w:t>
    </w:r>
  </w:p>
  <w:p w14:paraId="03FB7612" w14:textId="5916DE58" w:rsidR="003D0B6F" w:rsidRPr="00C57B9C" w:rsidRDefault="003D0B6F" w:rsidP="00C57B9C">
    <w:pPr>
      <w:pStyle w:val="Footer"/>
      <w:ind w:right="-2"/>
      <w:rPr>
        <w:rFonts w:cs="Arial"/>
        <w:sz w:val="20"/>
        <w:szCs w:val="20"/>
      </w:rPr>
    </w:pPr>
    <w:r w:rsidRPr="00611D0A">
      <w:rPr>
        <w:rFonts w:cs="Arial"/>
        <w:sz w:val="20"/>
        <w:szCs w:val="20"/>
      </w:rPr>
      <w:t xml:space="preserve">Page </w:t>
    </w:r>
    <w:r w:rsidRPr="00611D0A">
      <w:rPr>
        <w:rFonts w:cs="Arial"/>
        <w:sz w:val="20"/>
        <w:szCs w:val="20"/>
      </w:rPr>
      <w:fldChar w:fldCharType="begin"/>
    </w:r>
    <w:r w:rsidRPr="00611D0A">
      <w:rPr>
        <w:rFonts w:cs="Arial"/>
        <w:sz w:val="20"/>
        <w:szCs w:val="20"/>
      </w:rPr>
      <w:instrText xml:space="preserve"> PAGE </w:instrText>
    </w:r>
    <w:r w:rsidRPr="00611D0A">
      <w:rPr>
        <w:rFonts w:cs="Arial"/>
        <w:sz w:val="20"/>
        <w:szCs w:val="20"/>
      </w:rPr>
      <w:fldChar w:fldCharType="separate"/>
    </w:r>
    <w:r w:rsidR="0073687F">
      <w:rPr>
        <w:rFonts w:cs="Arial"/>
        <w:noProof/>
        <w:sz w:val="20"/>
        <w:szCs w:val="20"/>
      </w:rPr>
      <w:t>14</w:t>
    </w:r>
    <w:r w:rsidRPr="00611D0A">
      <w:rPr>
        <w:rFonts w:cs="Arial"/>
        <w:sz w:val="20"/>
        <w:szCs w:val="20"/>
      </w:rPr>
      <w:fldChar w:fldCharType="end"/>
    </w:r>
    <w:r w:rsidRPr="00611D0A">
      <w:rPr>
        <w:rFonts w:cs="Arial"/>
        <w:sz w:val="20"/>
        <w:szCs w:val="20"/>
      </w:rPr>
      <w:t xml:space="preserve"> of </w:t>
    </w:r>
    <w:r w:rsidRPr="00611D0A">
      <w:rPr>
        <w:rFonts w:cs="Arial"/>
        <w:sz w:val="20"/>
        <w:szCs w:val="20"/>
      </w:rPr>
      <w:fldChar w:fldCharType="begin"/>
    </w:r>
    <w:r w:rsidRPr="00611D0A">
      <w:rPr>
        <w:rFonts w:cs="Arial"/>
        <w:sz w:val="20"/>
        <w:szCs w:val="20"/>
      </w:rPr>
      <w:instrText xml:space="preserve"> NUMPAGES </w:instrText>
    </w:r>
    <w:r w:rsidRPr="00611D0A">
      <w:rPr>
        <w:rFonts w:cs="Arial"/>
        <w:sz w:val="20"/>
        <w:szCs w:val="20"/>
      </w:rPr>
      <w:fldChar w:fldCharType="separate"/>
    </w:r>
    <w:r w:rsidR="0073687F">
      <w:rPr>
        <w:rFonts w:cs="Arial"/>
        <w:noProof/>
        <w:sz w:val="20"/>
        <w:szCs w:val="20"/>
      </w:rPr>
      <w:t>27</w:t>
    </w:r>
    <w:r w:rsidRPr="00611D0A">
      <w:rPr>
        <w:rFonts w:cs="Arial"/>
        <w:sz w:val="20"/>
        <w:szCs w:val="20"/>
      </w:rPr>
      <w:fldChar w:fldCharType="end"/>
    </w:r>
    <w:r>
      <w:rPr>
        <w:rFonts w:cs="Arial"/>
        <w:sz w:val="20"/>
        <w:szCs w:val="20"/>
      </w:rPr>
      <w:t xml:space="preserve"> | © </w:t>
    </w:r>
    <w:r>
      <w:rPr>
        <w:rFonts w:cs="Arial"/>
        <w:noProof/>
        <w:sz w:val="20"/>
        <w:szCs w:val="20"/>
        <w:lang w:eastAsia="en-AU"/>
      </w:rPr>
      <w:t xml:space="preserve">Essential Energy | UNCONTROLLED IF PRINTED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EC5DE8" w14:textId="77777777" w:rsidR="003D0B6F" w:rsidRDefault="003D0B6F">
      <w:r>
        <w:separator/>
      </w:r>
    </w:p>
  </w:footnote>
  <w:footnote w:type="continuationSeparator" w:id="0">
    <w:p w14:paraId="0E7C9A7E" w14:textId="77777777" w:rsidR="003D0B6F" w:rsidRDefault="003D0B6F">
      <w:r>
        <w:continuationSeparator/>
      </w:r>
    </w:p>
  </w:footnote>
  <w:footnote w:type="continuationNotice" w:id="1">
    <w:p w14:paraId="6A7F050C" w14:textId="77777777" w:rsidR="003D0B6F" w:rsidRDefault="003D0B6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E3843A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7A74992"/>
    <w:multiLevelType w:val="multilevel"/>
    <w:tmpl w:val="A23A1EBA"/>
    <w:numStyleLink w:val="aaReportListBullets"/>
  </w:abstractNum>
  <w:abstractNum w:abstractNumId="2">
    <w:nsid w:val="092457D6"/>
    <w:multiLevelType w:val="hybridMultilevel"/>
    <w:tmpl w:val="F8043BB6"/>
    <w:lvl w:ilvl="0" w:tplc="E09ED348">
      <w:start w:val="1"/>
      <w:numFmt w:val="decimal"/>
      <w:pStyle w:val="Numberednotindented8p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9A944DC"/>
    <w:multiLevelType w:val="hybridMultilevel"/>
    <w:tmpl w:val="F19CB6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nsid w:val="10900BFF"/>
    <w:multiLevelType w:val="hybridMultilevel"/>
    <w:tmpl w:val="434C1C9A"/>
    <w:lvl w:ilvl="0" w:tplc="86A27598">
      <w:start w:val="1"/>
      <w:numFmt w:val="bullet"/>
      <w:pStyle w:val="Bulletedtext"/>
      <w:lvlText w:val=""/>
      <w:lvlJc w:val="left"/>
      <w:pPr>
        <w:tabs>
          <w:tab w:val="num" w:pos="227"/>
        </w:tabs>
        <w:ind w:left="227" w:hanging="227"/>
      </w:pPr>
      <w:rPr>
        <w:rFonts w:ascii="Symbol" w:hAnsi="Symbol" w:hint="default"/>
        <w:color w:val="auto"/>
        <w:sz w:val="14"/>
        <w:szCs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2A62EC3"/>
    <w:multiLevelType w:val="hybridMultilevel"/>
    <w:tmpl w:val="55226B9E"/>
    <w:lvl w:ilvl="0" w:tplc="6186DC6C">
      <w:start w:val="1"/>
      <w:numFmt w:val="bullet"/>
      <w:pStyle w:val="Bullets"/>
      <w:lvlText w:val="&gt;"/>
      <w:lvlJc w:val="left"/>
      <w:pPr>
        <w:ind w:left="1080" w:hanging="360"/>
      </w:pPr>
      <w:rPr>
        <w:rFonts w:ascii="Verdana" w:hAnsi="Verdana" w:hint="default"/>
        <w:color w:val="F58025"/>
      </w:rPr>
    </w:lvl>
    <w:lvl w:ilvl="1" w:tplc="0C090001">
      <w:start w:val="1"/>
      <w:numFmt w:val="bullet"/>
      <w:lvlText w:val=""/>
      <w:lvlJc w:val="left"/>
      <w:pPr>
        <w:ind w:left="1800" w:hanging="360"/>
      </w:pPr>
      <w:rPr>
        <w:rFonts w:ascii="Symbol" w:hAnsi="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1C051FF3"/>
    <w:multiLevelType w:val="hybridMultilevel"/>
    <w:tmpl w:val="A8C06A80"/>
    <w:lvl w:ilvl="0" w:tplc="DD2C6186">
      <w:start w:val="1"/>
      <w:numFmt w:val="bullet"/>
      <w:pStyle w:val="EEBullets"/>
      <w:lvlText w:val="•"/>
      <w:lvlJc w:val="left"/>
      <w:pPr>
        <w:ind w:left="720" w:hanging="360"/>
      </w:pPr>
      <w:rPr>
        <w:rFonts w:ascii="Times New Roman" w:hAnsi="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4103F2B"/>
    <w:multiLevelType w:val="multilevel"/>
    <w:tmpl w:val="A23A1EBA"/>
    <w:styleLink w:val="aaReportListBullets"/>
    <w:lvl w:ilvl="0">
      <w:start w:val="1"/>
      <w:numFmt w:val="bullet"/>
      <w:pStyle w:val="ListBullet"/>
      <w:lvlText w:val="—"/>
      <w:lvlJc w:val="left"/>
      <w:pPr>
        <w:ind w:left="0" w:hanging="446"/>
      </w:pPr>
      <w:rPr>
        <w:rFonts w:ascii="Arial Narrow" w:hAnsi="Arial Narrow" w:hint="default"/>
        <w:sz w:val="20"/>
      </w:rPr>
    </w:lvl>
    <w:lvl w:ilvl="1">
      <w:start w:val="1"/>
      <w:numFmt w:val="bullet"/>
      <w:lvlText w:val="–"/>
      <w:lvlJc w:val="left"/>
      <w:pPr>
        <w:ind w:left="240" w:hanging="240"/>
      </w:pPr>
      <w:rPr>
        <w:rFonts w:ascii="Arial Narrow" w:hAnsi="Arial Narrow" w:hint="default"/>
        <w:sz w:val="16"/>
      </w:rPr>
    </w:lvl>
    <w:lvl w:ilvl="2">
      <w:start w:val="1"/>
      <w:numFmt w:val="bullet"/>
      <w:lvlText w:val="–"/>
      <w:lvlJc w:val="left"/>
      <w:pPr>
        <w:ind w:left="480" w:hanging="240"/>
      </w:pPr>
      <w:rPr>
        <w:rFonts w:ascii="Arial Narrow" w:hAnsi="Arial Narrow" w:hint="default"/>
      </w:rPr>
    </w:lvl>
    <w:lvl w:ilvl="3">
      <w:start w:val="1"/>
      <w:numFmt w:val="bullet"/>
      <w:lvlText w:val="–"/>
      <w:lvlJc w:val="left"/>
      <w:pPr>
        <w:ind w:left="480" w:hanging="240"/>
      </w:pPr>
      <w:rPr>
        <w:rFonts w:ascii="HelveticaNeueLT Std Lt Cn" w:hAnsi="HelveticaNeueLT Std Lt Cn" w:hint="default"/>
      </w:rPr>
    </w:lvl>
    <w:lvl w:ilvl="4">
      <w:start w:val="1"/>
      <w:numFmt w:val="lowerLetter"/>
      <w:lvlText w:val="(%5)"/>
      <w:lvlJc w:val="left"/>
      <w:pPr>
        <w:ind w:left="960" w:hanging="446"/>
      </w:pPr>
      <w:rPr>
        <w:rFonts w:hint="default"/>
      </w:rPr>
    </w:lvl>
    <w:lvl w:ilvl="5">
      <w:start w:val="1"/>
      <w:numFmt w:val="lowerRoman"/>
      <w:lvlText w:val="(%6)"/>
      <w:lvlJc w:val="left"/>
      <w:pPr>
        <w:ind w:left="1200" w:hanging="446"/>
      </w:pPr>
      <w:rPr>
        <w:rFonts w:hint="default"/>
      </w:rPr>
    </w:lvl>
    <w:lvl w:ilvl="6">
      <w:start w:val="1"/>
      <w:numFmt w:val="decimal"/>
      <w:lvlText w:val="%7."/>
      <w:lvlJc w:val="left"/>
      <w:pPr>
        <w:ind w:left="1440" w:hanging="446"/>
      </w:pPr>
      <w:rPr>
        <w:rFonts w:hint="default"/>
      </w:rPr>
    </w:lvl>
    <w:lvl w:ilvl="7">
      <w:start w:val="1"/>
      <w:numFmt w:val="lowerLetter"/>
      <w:lvlText w:val="%8."/>
      <w:lvlJc w:val="left"/>
      <w:pPr>
        <w:ind w:left="1680" w:hanging="446"/>
      </w:pPr>
      <w:rPr>
        <w:rFonts w:hint="default"/>
      </w:rPr>
    </w:lvl>
    <w:lvl w:ilvl="8">
      <w:start w:val="1"/>
      <w:numFmt w:val="lowerRoman"/>
      <w:lvlText w:val="%9."/>
      <w:lvlJc w:val="left"/>
      <w:pPr>
        <w:ind w:left="1920" w:hanging="446"/>
      </w:pPr>
      <w:rPr>
        <w:rFonts w:hint="default"/>
      </w:rPr>
    </w:lvl>
  </w:abstractNum>
  <w:abstractNum w:abstractNumId="8">
    <w:nsid w:val="4628245C"/>
    <w:multiLevelType w:val="hybridMultilevel"/>
    <w:tmpl w:val="9D00B9BC"/>
    <w:lvl w:ilvl="0" w:tplc="06F08D8E">
      <w:start w:val="1"/>
      <w:numFmt w:val="decimal"/>
      <w:pStyle w:val="Numbered"/>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9">
    <w:nsid w:val="4C594632"/>
    <w:multiLevelType w:val="multilevel"/>
    <w:tmpl w:val="27BA60BA"/>
    <w:styleLink w:val="Numberedlist"/>
    <w:lvl w:ilvl="0">
      <w:start w:val="1"/>
      <w:numFmt w:val="bullet"/>
      <w:lvlText w:val="Q"/>
      <w:lvlJc w:val="left"/>
      <w:pPr>
        <w:tabs>
          <w:tab w:val="num" w:pos="363"/>
        </w:tabs>
        <w:ind w:left="363" w:hanging="363"/>
      </w:pPr>
      <w:rPr>
        <w:rFonts w:ascii="Franklin Gothic Medium" w:hAnsi="Franklin Gothic Medium" w:hint="default"/>
        <w:color w:val="auto"/>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4DD36510"/>
    <w:multiLevelType w:val="hybridMultilevel"/>
    <w:tmpl w:val="2A3A76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E9A3867"/>
    <w:multiLevelType w:val="hybridMultilevel"/>
    <w:tmpl w:val="C4A473BE"/>
    <w:lvl w:ilvl="0" w:tplc="B52E381C">
      <w:start w:val="1"/>
      <w:numFmt w:val="bullet"/>
      <w:pStyle w:val="RRPBullets"/>
      <w:lvlText w:val="&gt;"/>
      <w:lvlJc w:val="left"/>
      <w:pPr>
        <w:ind w:left="252" w:hanging="360"/>
      </w:pPr>
      <w:rPr>
        <w:rFonts w:ascii="Verdana" w:hAnsi="Verdana" w:hint="default"/>
        <w:color w:val="F58025"/>
      </w:rPr>
    </w:lvl>
    <w:lvl w:ilvl="1" w:tplc="0C00AFAA">
      <w:start w:val="1"/>
      <w:numFmt w:val="bullet"/>
      <w:lvlText w:val="o"/>
      <w:lvlJc w:val="left"/>
      <w:pPr>
        <w:ind w:left="972" w:hanging="360"/>
      </w:pPr>
      <w:rPr>
        <w:rFonts w:ascii="Courier New" w:hAnsi="Courier New" w:cs="Courier New" w:hint="default"/>
      </w:rPr>
    </w:lvl>
    <w:lvl w:ilvl="2" w:tplc="0C090003">
      <w:start w:val="1"/>
      <w:numFmt w:val="bullet"/>
      <w:lvlText w:val="o"/>
      <w:lvlJc w:val="left"/>
      <w:pPr>
        <w:ind w:left="1692" w:hanging="360"/>
      </w:pPr>
      <w:rPr>
        <w:rFonts w:ascii="Courier New" w:hAnsi="Courier New" w:cs="Courier New" w:hint="default"/>
      </w:rPr>
    </w:lvl>
    <w:lvl w:ilvl="3" w:tplc="0C090001" w:tentative="1">
      <w:start w:val="1"/>
      <w:numFmt w:val="bullet"/>
      <w:lvlText w:val=""/>
      <w:lvlJc w:val="left"/>
      <w:pPr>
        <w:ind w:left="2412" w:hanging="360"/>
      </w:pPr>
      <w:rPr>
        <w:rFonts w:ascii="Symbol" w:hAnsi="Symbol" w:hint="default"/>
      </w:rPr>
    </w:lvl>
    <w:lvl w:ilvl="4" w:tplc="0C090003" w:tentative="1">
      <w:start w:val="1"/>
      <w:numFmt w:val="bullet"/>
      <w:lvlText w:val="o"/>
      <w:lvlJc w:val="left"/>
      <w:pPr>
        <w:ind w:left="3132" w:hanging="360"/>
      </w:pPr>
      <w:rPr>
        <w:rFonts w:ascii="Courier New" w:hAnsi="Courier New" w:cs="Courier New" w:hint="default"/>
      </w:rPr>
    </w:lvl>
    <w:lvl w:ilvl="5" w:tplc="0C090005" w:tentative="1">
      <w:start w:val="1"/>
      <w:numFmt w:val="bullet"/>
      <w:lvlText w:val=""/>
      <w:lvlJc w:val="left"/>
      <w:pPr>
        <w:ind w:left="3852" w:hanging="360"/>
      </w:pPr>
      <w:rPr>
        <w:rFonts w:ascii="Wingdings" w:hAnsi="Wingdings" w:hint="default"/>
      </w:rPr>
    </w:lvl>
    <w:lvl w:ilvl="6" w:tplc="0C090001" w:tentative="1">
      <w:start w:val="1"/>
      <w:numFmt w:val="bullet"/>
      <w:lvlText w:val=""/>
      <w:lvlJc w:val="left"/>
      <w:pPr>
        <w:ind w:left="4572" w:hanging="360"/>
      </w:pPr>
      <w:rPr>
        <w:rFonts w:ascii="Symbol" w:hAnsi="Symbol" w:hint="default"/>
      </w:rPr>
    </w:lvl>
    <w:lvl w:ilvl="7" w:tplc="0C090003" w:tentative="1">
      <w:start w:val="1"/>
      <w:numFmt w:val="bullet"/>
      <w:lvlText w:val="o"/>
      <w:lvlJc w:val="left"/>
      <w:pPr>
        <w:ind w:left="5292" w:hanging="360"/>
      </w:pPr>
      <w:rPr>
        <w:rFonts w:ascii="Courier New" w:hAnsi="Courier New" w:cs="Courier New" w:hint="default"/>
      </w:rPr>
    </w:lvl>
    <w:lvl w:ilvl="8" w:tplc="0C090005" w:tentative="1">
      <w:start w:val="1"/>
      <w:numFmt w:val="bullet"/>
      <w:lvlText w:val=""/>
      <w:lvlJc w:val="left"/>
      <w:pPr>
        <w:ind w:left="6012" w:hanging="360"/>
      </w:pPr>
      <w:rPr>
        <w:rFonts w:ascii="Wingdings" w:hAnsi="Wingdings" w:hint="default"/>
      </w:rPr>
    </w:lvl>
  </w:abstractNum>
  <w:abstractNum w:abstractNumId="12">
    <w:nsid w:val="4FA81D05"/>
    <w:multiLevelType w:val="hybridMultilevel"/>
    <w:tmpl w:val="AA9CBD96"/>
    <w:lvl w:ilvl="0" w:tplc="D66A57FA">
      <w:start w:val="1"/>
      <w:numFmt w:val="decimal"/>
      <w:pStyle w:val="Numberednotindented"/>
      <w:lvlText w:val="%1."/>
      <w:lvlJc w:val="left"/>
      <w:pPr>
        <w:ind w:left="1077" w:hanging="360"/>
      </w:pPr>
      <w:rPr>
        <w:b w:val="0"/>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3">
    <w:nsid w:val="572D211C"/>
    <w:multiLevelType w:val="multilevel"/>
    <w:tmpl w:val="29EEEE02"/>
    <w:styleLink w:val="Style1"/>
    <w:lvl w:ilvl="0">
      <w:start w:val="1"/>
      <w:numFmt w:val="bullet"/>
      <w:pStyle w:val="Bulletlist"/>
      <w:lvlText w:val=""/>
      <w:lvlJc w:val="left"/>
      <w:pPr>
        <w:ind w:left="340" w:hanging="340"/>
      </w:pPr>
      <w:rPr>
        <w:rFonts w:ascii="Symbol" w:hAnsi="Symbol" w:hint="default"/>
        <w:b w:val="0"/>
        <w:i w:val="0"/>
        <w:color w:val="F58025" w:themeColor="accent2"/>
        <w:sz w:val="20"/>
      </w:rPr>
    </w:lvl>
    <w:lvl w:ilvl="1">
      <w:start w:val="1"/>
      <w:numFmt w:val="bullet"/>
      <w:lvlText w:val="&gt;"/>
      <w:lvlJc w:val="left"/>
      <w:pPr>
        <w:ind w:left="680" w:hanging="340"/>
      </w:pPr>
      <w:rPr>
        <w:rFonts w:ascii="Verdana" w:hAnsi="Verdana" w:hint="default"/>
        <w:color w:val="F58025"/>
        <w:sz w:val="20"/>
      </w:rPr>
    </w:lvl>
    <w:lvl w:ilvl="2">
      <w:start w:val="1"/>
      <w:numFmt w:val="bullet"/>
      <w:lvlText w:val=""/>
      <w:lvlJc w:val="left"/>
      <w:pPr>
        <w:ind w:left="1020" w:hanging="340"/>
      </w:pPr>
      <w:rPr>
        <w:rFonts w:ascii="Wingdings" w:hAnsi="Wingdings" w:hint="default"/>
        <w:color w:val="E2CCAF" w:themeColor="accent3" w:themeTint="99"/>
        <w:sz w:val="20"/>
      </w:rPr>
    </w:lvl>
    <w:lvl w:ilvl="3">
      <w:start w:val="1"/>
      <w:numFmt w:val="bullet"/>
      <w:lvlText w:val=""/>
      <w:lvlJc w:val="left"/>
      <w:pPr>
        <w:ind w:left="1360" w:hanging="340"/>
      </w:pPr>
      <w:rPr>
        <w:rFonts w:ascii="Symbol" w:hAnsi="Symbol" w:hint="default"/>
        <w:color w:val="E2CCAF" w:themeColor="accent3" w:themeTint="99"/>
      </w:rPr>
    </w:lvl>
    <w:lvl w:ilvl="4">
      <w:start w:val="1"/>
      <w:numFmt w:val="bullet"/>
      <w:lvlText w:val="–"/>
      <w:lvlJc w:val="left"/>
      <w:pPr>
        <w:ind w:left="1700" w:hanging="340"/>
      </w:pPr>
      <w:rPr>
        <w:rFonts w:ascii="Century Gothic" w:hAnsi="Century Gothic" w:hint="default"/>
        <w:color w:val="E2CCAF" w:themeColor="accent3" w:themeTint="99"/>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14">
    <w:nsid w:val="5B8666B4"/>
    <w:multiLevelType w:val="hybridMultilevel"/>
    <w:tmpl w:val="B28ADD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nsid w:val="60AA317A"/>
    <w:multiLevelType w:val="hybridMultilevel"/>
    <w:tmpl w:val="9078E030"/>
    <w:lvl w:ilvl="0" w:tplc="0CBCEFB6">
      <w:start w:val="1"/>
      <w:numFmt w:val="decimal"/>
      <w:pStyle w:val="Numberedbold6pybeforenotindent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78C915FA"/>
    <w:multiLevelType w:val="multilevel"/>
    <w:tmpl w:val="7D6E60B6"/>
    <w:lvl w:ilvl="0">
      <w:start w:val="1"/>
      <w:numFmt w:val="decimal"/>
      <w:pStyle w:val="Heading1"/>
      <w:lvlText w:val="%1."/>
      <w:lvlJc w:val="left"/>
      <w:pPr>
        <w:ind w:left="360" w:hanging="360"/>
      </w:pPr>
      <w:rPr>
        <w:rFonts w:ascii="Arial" w:hAnsi="Arial" w:hint="default"/>
        <w:b/>
        <w:i w:val="0"/>
        <w:color w:val="F58025" w:themeColor="accent2"/>
        <w:sz w:val="28"/>
      </w:rPr>
    </w:lvl>
    <w:lvl w:ilvl="1">
      <w:start w:val="1"/>
      <w:numFmt w:val="decimal"/>
      <w:pStyle w:val="Heading2"/>
      <w:lvlText w:val="%1.%2"/>
      <w:lvlJc w:val="left"/>
      <w:pPr>
        <w:ind w:left="822" w:hanging="680"/>
      </w:pPr>
      <w:rPr>
        <w:rFonts w:ascii="Arial" w:hAnsi="Arial" w:hint="default"/>
        <w:b/>
        <w:i w:val="0"/>
        <w:color w:val="006A71" w:themeColor="accent1"/>
        <w:sz w:val="26"/>
      </w:rPr>
    </w:lvl>
    <w:lvl w:ilvl="2">
      <w:start w:val="1"/>
      <w:numFmt w:val="decimal"/>
      <w:pStyle w:val="Heading3"/>
      <w:lvlText w:val="%1.%2.%3"/>
      <w:lvlJc w:val="left"/>
      <w:pPr>
        <w:ind w:left="3686" w:firstLine="0"/>
      </w:pPr>
      <w:rPr>
        <w:rFonts w:ascii="Arial" w:hAnsi="Arial" w:hint="default"/>
        <w:b/>
        <w:i w:val="0"/>
        <w:color w:val="006A71" w:themeColor="text2"/>
        <w:sz w:val="22"/>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9"/>
  </w:num>
  <w:num w:numId="2">
    <w:abstractNumId w:val="4"/>
  </w:num>
  <w:num w:numId="3">
    <w:abstractNumId w:val="6"/>
  </w:num>
  <w:num w:numId="4">
    <w:abstractNumId w:val="5"/>
  </w:num>
  <w:num w:numId="5">
    <w:abstractNumId w:val="16"/>
  </w:num>
  <w:num w:numId="6">
    <w:abstractNumId w:val="8"/>
  </w:num>
  <w:num w:numId="7">
    <w:abstractNumId w:val="12"/>
  </w:num>
  <w:num w:numId="8">
    <w:abstractNumId w:val="15"/>
  </w:num>
  <w:num w:numId="9">
    <w:abstractNumId w:val="13"/>
  </w:num>
  <w:num w:numId="10">
    <w:abstractNumId w:val="11"/>
  </w:num>
  <w:num w:numId="11">
    <w:abstractNumId w:val="2"/>
  </w:num>
  <w:num w:numId="12">
    <w:abstractNumId w:val="8"/>
    <w:lvlOverride w:ilvl="0">
      <w:startOverride w:val="1"/>
    </w:lvlOverride>
  </w:num>
  <w:num w:numId="13">
    <w:abstractNumId w:val="7"/>
  </w:num>
  <w:num w:numId="14">
    <w:abstractNumId w:val="1"/>
  </w:num>
  <w:num w:numId="15">
    <w:abstractNumId w:val="0"/>
  </w:num>
  <w:num w:numId="16">
    <w:abstractNumId w:val="12"/>
    <w:lvlOverride w:ilvl="0">
      <w:startOverride w:val="1"/>
    </w:lvlOverride>
  </w:num>
  <w:num w:numId="17">
    <w:abstractNumId w:val="12"/>
    <w:lvlOverride w:ilvl="0">
      <w:startOverride w:val="1"/>
    </w:lvlOverride>
  </w:num>
  <w:num w:numId="18">
    <w:abstractNumId w:val="8"/>
    <w:lvlOverride w:ilvl="0">
      <w:startOverride w:val="1"/>
    </w:lvlOverride>
  </w:num>
  <w:num w:numId="19">
    <w:abstractNumId w:val="10"/>
  </w:num>
  <w:num w:numId="20">
    <w:abstractNumId w:val="8"/>
    <w:lvlOverride w:ilvl="0">
      <w:startOverride w:val="1"/>
    </w:lvlOverride>
  </w:num>
  <w:num w:numId="21">
    <w:abstractNumId w:val="8"/>
  </w:num>
  <w:num w:numId="22">
    <w:abstractNumId w:val="8"/>
    <w:lvlOverride w:ilvl="0">
      <w:startOverride w:val="1"/>
    </w:lvlOverride>
  </w:num>
  <w:num w:numId="23">
    <w:abstractNumId w:val="8"/>
  </w:num>
  <w:num w:numId="24">
    <w:abstractNumId w:val="8"/>
    <w:lvlOverride w:ilvl="0">
      <w:startOverride w:val="1"/>
    </w:lvlOverride>
  </w:num>
  <w:num w:numId="25">
    <w:abstractNumId w:val="8"/>
    <w:lvlOverride w:ilvl="0">
      <w:startOverride w:val="1"/>
    </w:lvlOverride>
  </w:num>
  <w:num w:numId="26">
    <w:abstractNumId w:val="3"/>
  </w:num>
  <w:num w:numId="27">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noPunctuationKerning/>
  <w:characterSpacingControl w:val="doNotCompress"/>
  <w:hdrShapeDefaults>
    <o:shapedefaults v:ext="edit" spidmax="94209">
      <o:colormru v:ext="edit" colors="#699419"/>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A1F"/>
    <w:rsid w:val="00000317"/>
    <w:rsid w:val="0000082E"/>
    <w:rsid w:val="00000EFC"/>
    <w:rsid w:val="00001DC9"/>
    <w:rsid w:val="000020ED"/>
    <w:rsid w:val="0000239A"/>
    <w:rsid w:val="000024B4"/>
    <w:rsid w:val="00002DD4"/>
    <w:rsid w:val="0000315E"/>
    <w:rsid w:val="000036A4"/>
    <w:rsid w:val="00003F39"/>
    <w:rsid w:val="000041A1"/>
    <w:rsid w:val="000045AD"/>
    <w:rsid w:val="00004D5C"/>
    <w:rsid w:val="0000513F"/>
    <w:rsid w:val="00005434"/>
    <w:rsid w:val="00005656"/>
    <w:rsid w:val="000058F5"/>
    <w:rsid w:val="00005AF1"/>
    <w:rsid w:val="00006A78"/>
    <w:rsid w:val="00006E4F"/>
    <w:rsid w:val="0000780C"/>
    <w:rsid w:val="000148C8"/>
    <w:rsid w:val="00014B47"/>
    <w:rsid w:val="000156BC"/>
    <w:rsid w:val="00017B65"/>
    <w:rsid w:val="00021D4E"/>
    <w:rsid w:val="000226CB"/>
    <w:rsid w:val="00022F0C"/>
    <w:rsid w:val="000230F5"/>
    <w:rsid w:val="0002370F"/>
    <w:rsid w:val="00023B20"/>
    <w:rsid w:val="00024C0A"/>
    <w:rsid w:val="00025333"/>
    <w:rsid w:val="000254AC"/>
    <w:rsid w:val="00025900"/>
    <w:rsid w:val="00026AE2"/>
    <w:rsid w:val="00026C70"/>
    <w:rsid w:val="00027E4A"/>
    <w:rsid w:val="00030FFB"/>
    <w:rsid w:val="000325E6"/>
    <w:rsid w:val="00032929"/>
    <w:rsid w:val="00032EA4"/>
    <w:rsid w:val="00033EB6"/>
    <w:rsid w:val="00033F36"/>
    <w:rsid w:val="0003432D"/>
    <w:rsid w:val="00034979"/>
    <w:rsid w:val="00034A53"/>
    <w:rsid w:val="00034EF0"/>
    <w:rsid w:val="00035BE6"/>
    <w:rsid w:val="00035C50"/>
    <w:rsid w:val="0003619D"/>
    <w:rsid w:val="00036635"/>
    <w:rsid w:val="00036A20"/>
    <w:rsid w:val="000379A6"/>
    <w:rsid w:val="000379B7"/>
    <w:rsid w:val="00045BE7"/>
    <w:rsid w:val="00046319"/>
    <w:rsid w:val="00050F58"/>
    <w:rsid w:val="00051EBE"/>
    <w:rsid w:val="0005290A"/>
    <w:rsid w:val="00052F65"/>
    <w:rsid w:val="00053907"/>
    <w:rsid w:val="000545B9"/>
    <w:rsid w:val="00055FCF"/>
    <w:rsid w:val="00056667"/>
    <w:rsid w:val="00060F66"/>
    <w:rsid w:val="00062564"/>
    <w:rsid w:val="00063654"/>
    <w:rsid w:val="00064A4C"/>
    <w:rsid w:val="00064BC8"/>
    <w:rsid w:val="00064F4B"/>
    <w:rsid w:val="0006545F"/>
    <w:rsid w:val="0006549F"/>
    <w:rsid w:val="000657CA"/>
    <w:rsid w:val="00065A78"/>
    <w:rsid w:val="00065D3E"/>
    <w:rsid w:val="000665BC"/>
    <w:rsid w:val="00066E4A"/>
    <w:rsid w:val="00066F27"/>
    <w:rsid w:val="000674C5"/>
    <w:rsid w:val="00070E46"/>
    <w:rsid w:val="00071D19"/>
    <w:rsid w:val="00072915"/>
    <w:rsid w:val="0007358A"/>
    <w:rsid w:val="0007365A"/>
    <w:rsid w:val="0007369D"/>
    <w:rsid w:val="00073A45"/>
    <w:rsid w:val="000746FB"/>
    <w:rsid w:val="00074B39"/>
    <w:rsid w:val="000759AA"/>
    <w:rsid w:val="000760A5"/>
    <w:rsid w:val="0007651B"/>
    <w:rsid w:val="00076A56"/>
    <w:rsid w:val="00076BA3"/>
    <w:rsid w:val="00076C0D"/>
    <w:rsid w:val="000776EE"/>
    <w:rsid w:val="000777F3"/>
    <w:rsid w:val="00077F7C"/>
    <w:rsid w:val="00080005"/>
    <w:rsid w:val="0008058B"/>
    <w:rsid w:val="000833D1"/>
    <w:rsid w:val="000845BB"/>
    <w:rsid w:val="00085938"/>
    <w:rsid w:val="00086F70"/>
    <w:rsid w:val="00087D58"/>
    <w:rsid w:val="00090314"/>
    <w:rsid w:val="0009086F"/>
    <w:rsid w:val="00090F4B"/>
    <w:rsid w:val="00090F8D"/>
    <w:rsid w:val="00091042"/>
    <w:rsid w:val="000927B0"/>
    <w:rsid w:val="0009464A"/>
    <w:rsid w:val="00094667"/>
    <w:rsid w:val="00094A46"/>
    <w:rsid w:val="00095119"/>
    <w:rsid w:val="000954F7"/>
    <w:rsid w:val="00095CDD"/>
    <w:rsid w:val="00096395"/>
    <w:rsid w:val="0009718A"/>
    <w:rsid w:val="00097ADE"/>
    <w:rsid w:val="000A03A2"/>
    <w:rsid w:val="000A15D2"/>
    <w:rsid w:val="000A205C"/>
    <w:rsid w:val="000A258D"/>
    <w:rsid w:val="000A2BC2"/>
    <w:rsid w:val="000A2E93"/>
    <w:rsid w:val="000A38FA"/>
    <w:rsid w:val="000A47AA"/>
    <w:rsid w:val="000A4FC8"/>
    <w:rsid w:val="000A65E2"/>
    <w:rsid w:val="000A701B"/>
    <w:rsid w:val="000A72A0"/>
    <w:rsid w:val="000B0011"/>
    <w:rsid w:val="000B0085"/>
    <w:rsid w:val="000B1643"/>
    <w:rsid w:val="000B18F5"/>
    <w:rsid w:val="000B20A8"/>
    <w:rsid w:val="000B3C1C"/>
    <w:rsid w:val="000B3FDB"/>
    <w:rsid w:val="000B4BCA"/>
    <w:rsid w:val="000B6585"/>
    <w:rsid w:val="000B679C"/>
    <w:rsid w:val="000B73AB"/>
    <w:rsid w:val="000B7F05"/>
    <w:rsid w:val="000C0A87"/>
    <w:rsid w:val="000C1B28"/>
    <w:rsid w:val="000C1CD9"/>
    <w:rsid w:val="000C246F"/>
    <w:rsid w:val="000C4B62"/>
    <w:rsid w:val="000C53A2"/>
    <w:rsid w:val="000C5562"/>
    <w:rsid w:val="000C67A6"/>
    <w:rsid w:val="000C70E2"/>
    <w:rsid w:val="000C78A7"/>
    <w:rsid w:val="000D06CD"/>
    <w:rsid w:val="000D0C8D"/>
    <w:rsid w:val="000D1441"/>
    <w:rsid w:val="000D1D76"/>
    <w:rsid w:val="000D4A82"/>
    <w:rsid w:val="000D551A"/>
    <w:rsid w:val="000D6FA6"/>
    <w:rsid w:val="000E1014"/>
    <w:rsid w:val="000E1434"/>
    <w:rsid w:val="000E21CF"/>
    <w:rsid w:val="000E28D4"/>
    <w:rsid w:val="000E2B8E"/>
    <w:rsid w:val="000E2C85"/>
    <w:rsid w:val="000E3101"/>
    <w:rsid w:val="000E3BFB"/>
    <w:rsid w:val="000E4318"/>
    <w:rsid w:val="000E43E5"/>
    <w:rsid w:val="000E4492"/>
    <w:rsid w:val="000E45EB"/>
    <w:rsid w:val="000E46F0"/>
    <w:rsid w:val="000E5336"/>
    <w:rsid w:val="000E5872"/>
    <w:rsid w:val="000E6135"/>
    <w:rsid w:val="000E6E15"/>
    <w:rsid w:val="000E6F5A"/>
    <w:rsid w:val="000E712E"/>
    <w:rsid w:val="000F005E"/>
    <w:rsid w:val="000F053B"/>
    <w:rsid w:val="000F0974"/>
    <w:rsid w:val="000F16D3"/>
    <w:rsid w:val="000F2987"/>
    <w:rsid w:val="000F3375"/>
    <w:rsid w:val="000F3536"/>
    <w:rsid w:val="000F5C20"/>
    <w:rsid w:val="000F6A79"/>
    <w:rsid w:val="000F71F1"/>
    <w:rsid w:val="001002DE"/>
    <w:rsid w:val="001008CC"/>
    <w:rsid w:val="0010096F"/>
    <w:rsid w:val="00100B27"/>
    <w:rsid w:val="001011F4"/>
    <w:rsid w:val="00102C90"/>
    <w:rsid w:val="00102FD5"/>
    <w:rsid w:val="00104334"/>
    <w:rsid w:val="00104F19"/>
    <w:rsid w:val="00105CEC"/>
    <w:rsid w:val="00105FAE"/>
    <w:rsid w:val="00106615"/>
    <w:rsid w:val="00106C61"/>
    <w:rsid w:val="00107338"/>
    <w:rsid w:val="001078C5"/>
    <w:rsid w:val="00110BAB"/>
    <w:rsid w:val="001115AF"/>
    <w:rsid w:val="001117AA"/>
    <w:rsid w:val="00111B8C"/>
    <w:rsid w:val="0011304B"/>
    <w:rsid w:val="00113611"/>
    <w:rsid w:val="0011424D"/>
    <w:rsid w:val="0011458A"/>
    <w:rsid w:val="001152E5"/>
    <w:rsid w:val="0011561F"/>
    <w:rsid w:val="00116B83"/>
    <w:rsid w:val="001176F6"/>
    <w:rsid w:val="00117D1D"/>
    <w:rsid w:val="00120D77"/>
    <w:rsid w:val="0012123B"/>
    <w:rsid w:val="00121F3B"/>
    <w:rsid w:val="0012282A"/>
    <w:rsid w:val="00122F10"/>
    <w:rsid w:val="00126624"/>
    <w:rsid w:val="001272FB"/>
    <w:rsid w:val="001278CF"/>
    <w:rsid w:val="00127AA3"/>
    <w:rsid w:val="001307D1"/>
    <w:rsid w:val="001314FC"/>
    <w:rsid w:val="00132066"/>
    <w:rsid w:val="001322F7"/>
    <w:rsid w:val="001334BE"/>
    <w:rsid w:val="00133BD1"/>
    <w:rsid w:val="001347F9"/>
    <w:rsid w:val="00134967"/>
    <w:rsid w:val="00134F70"/>
    <w:rsid w:val="001361F2"/>
    <w:rsid w:val="00136955"/>
    <w:rsid w:val="0013771F"/>
    <w:rsid w:val="00137945"/>
    <w:rsid w:val="00137F6B"/>
    <w:rsid w:val="001403AA"/>
    <w:rsid w:val="00141218"/>
    <w:rsid w:val="0014155B"/>
    <w:rsid w:val="00143346"/>
    <w:rsid w:val="00143F8B"/>
    <w:rsid w:val="00144891"/>
    <w:rsid w:val="00144D05"/>
    <w:rsid w:val="0014550E"/>
    <w:rsid w:val="0014655C"/>
    <w:rsid w:val="0014694A"/>
    <w:rsid w:val="00146A4E"/>
    <w:rsid w:val="001503BB"/>
    <w:rsid w:val="0015079B"/>
    <w:rsid w:val="001507C6"/>
    <w:rsid w:val="001511BF"/>
    <w:rsid w:val="00151A3A"/>
    <w:rsid w:val="00151D0C"/>
    <w:rsid w:val="00152AF9"/>
    <w:rsid w:val="00153335"/>
    <w:rsid w:val="00153BEE"/>
    <w:rsid w:val="00153BF4"/>
    <w:rsid w:val="0015493F"/>
    <w:rsid w:val="0015511D"/>
    <w:rsid w:val="00156530"/>
    <w:rsid w:val="00156624"/>
    <w:rsid w:val="00156825"/>
    <w:rsid w:val="001569CA"/>
    <w:rsid w:val="00157223"/>
    <w:rsid w:val="001613EB"/>
    <w:rsid w:val="0016149D"/>
    <w:rsid w:val="00161989"/>
    <w:rsid w:val="00161C8F"/>
    <w:rsid w:val="00162261"/>
    <w:rsid w:val="00162581"/>
    <w:rsid w:val="00163125"/>
    <w:rsid w:val="00163D50"/>
    <w:rsid w:val="00164872"/>
    <w:rsid w:val="001654BE"/>
    <w:rsid w:val="00166FB7"/>
    <w:rsid w:val="00170A3A"/>
    <w:rsid w:val="00172594"/>
    <w:rsid w:val="001725F3"/>
    <w:rsid w:val="00172955"/>
    <w:rsid w:val="00173E76"/>
    <w:rsid w:val="001743CF"/>
    <w:rsid w:val="00174A7F"/>
    <w:rsid w:val="00174F2C"/>
    <w:rsid w:val="00175057"/>
    <w:rsid w:val="001750E5"/>
    <w:rsid w:val="001766FB"/>
    <w:rsid w:val="00177E06"/>
    <w:rsid w:val="00181A1F"/>
    <w:rsid w:val="00182018"/>
    <w:rsid w:val="0018265B"/>
    <w:rsid w:val="00182745"/>
    <w:rsid w:val="00182A52"/>
    <w:rsid w:val="00182FF4"/>
    <w:rsid w:val="00183BBF"/>
    <w:rsid w:val="001844B9"/>
    <w:rsid w:val="00184AA8"/>
    <w:rsid w:val="00184DC3"/>
    <w:rsid w:val="001865A9"/>
    <w:rsid w:val="00186FFA"/>
    <w:rsid w:val="00190BD6"/>
    <w:rsid w:val="001910BF"/>
    <w:rsid w:val="00193492"/>
    <w:rsid w:val="0019359F"/>
    <w:rsid w:val="0019540A"/>
    <w:rsid w:val="00195553"/>
    <w:rsid w:val="00197BFC"/>
    <w:rsid w:val="001A05F5"/>
    <w:rsid w:val="001A1103"/>
    <w:rsid w:val="001A1F2E"/>
    <w:rsid w:val="001A2BA8"/>
    <w:rsid w:val="001A31EC"/>
    <w:rsid w:val="001A32AF"/>
    <w:rsid w:val="001A3387"/>
    <w:rsid w:val="001A3839"/>
    <w:rsid w:val="001A452A"/>
    <w:rsid w:val="001A4B02"/>
    <w:rsid w:val="001A59F4"/>
    <w:rsid w:val="001A5C2F"/>
    <w:rsid w:val="001A6D4C"/>
    <w:rsid w:val="001A7997"/>
    <w:rsid w:val="001B0620"/>
    <w:rsid w:val="001B0A68"/>
    <w:rsid w:val="001B1F82"/>
    <w:rsid w:val="001B33D1"/>
    <w:rsid w:val="001B3CD5"/>
    <w:rsid w:val="001B45B1"/>
    <w:rsid w:val="001B5185"/>
    <w:rsid w:val="001B518C"/>
    <w:rsid w:val="001B5C96"/>
    <w:rsid w:val="001B5D72"/>
    <w:rsid w:val="001B5E87"/>
    <w:rsid w:val="001B6D7D"/>
    <w:rsid w:val="001B706A"/>
    <w:rsid w:val="001B766A"/>
    <w:rsid w:val="001B77D5"/>
    <w:rsid w:val="001C0A59"/>
    <w:rsid w:val="001C0F65"/>
    <w:rsid w:val="001C1042"/>
    <w:rsid w:val="001C1277"/>
    <w:rsid w:val="001C1EB4"/>
    <w:rsid w:val="001C2A04"/>
    <w:rsid w:val="001C33A6"/>
    <w:rsid w:val="001C4732"/>
    <w:rsid w:val="001C5676"/>
    <w:rsid w:val="001C63BE"/>
    <w:rsid w:val="001C6DE4"/>
    <w:rsid w:val="001D05F4"/>
    <w:rsid w:val="001D0739"/>
    <w:rsid w:val="001D11CA"/>
    <w:rsid w:val="001D21E8"/>
    <w:rsid w:val="001D3042"/>
    <w:rsid w:val="001D35BE"/>
    <w:rsid w:val="001D385C"/>
    <w:rsid w:val="001D3912"/>
    <w:rsid w:val="001D3F28"/>
    <w:rsid w:val="001D4A50"/>
    <w:rsid w:val="001D4B2A"/>
    <w:rsid w:val="001D4F44"/>
    <w:rsid w:val="001D58AD"/>
    <w:rsid w:val="001D5B1C"/>
    <w:rsid w:val="001D636A"/>
    <w:rsid w:val="001D6DAB"/>
    <w:rsid w:val="001D72C7"/>
    <w:rsid w:val="001D7670"/>
    <w:rsid w:val="001E09DE"/>
    <w:rsid w:val="001E0A7E"/>
    <w:rsid w:val="001E167F"/>
    <w:rsid w:val="001E1B5A"/>
    <w:rsid w:val="001E201D"/>
    <w:rsid w:val="001E290F"/>
    <w:rsid w:val="001E30C6"/>
    <w:rsid w:val="001E49F3"/>
    <w:rsid w:val="001E5A52"/>
    <w:rsid w:val="001E64B3"/>
    <w:rsid w:val="001E6D0B"/>
    <w:rsid w:val="001F0B8B"/>
    <w:rsid w:val="001F0C8B"/>
    <w:rsid w:val="001F0DDD"/>
    <w:rsid w:val="001F29A8"/>
    <w:rsid w:val="001F2F4A"/>
    <w:rsid w:val="001F34D9"/>
    <w:rsid w:val="001F381E"/>
    <w:rsid w:val="001F3F0B"/>
    <w:rsid w:val="001F49EF"/>
    <w:rsid w:val="001F4AD0"/>
    <w:rsid w:val="001F4CF8"/>
    <w:rsid w:val="001F5538"/>
    <w:rsid w:val="001F57A3"/>
    <w:rsid w:val="001F6974"/>
    <w:rsid w:val="001F6B06"/>
    <w:rsid w:val="001F6EA7"/>
    <w:rsid w:val="001F7697"/>
    <w:rsid w:val="001F7859"/>
    <w:rsid w:val="002003D1"/>
    <w:rsid w:val="0020048D"/>
    <w:rsid w:val="00200805"/>
    <w:rsid w:val="00200839"/>
    <w:rsid w:val="0020098A"/>
    <w:rsid w:val="002010A9"/>
    <w:rsid w:val="002022F9"/>
    <w:rsid w:val="002026B4"/>
    <w:rsid w:val="0020273F"/>
    <w:rsid w:val="002033A6"/>
    <w:rsid w:val="00203921"/>
    <w:rsid w:val="00203968"/>
    <w:rsid w:val="00205B8D"/>
    <w:rsid w:val="00205C48"/>
    <w:rsid w:val="00205C5B"/>
    <w:rsid w:val="00205DDA"/>
    <w:rsid w:val="002060DD"/>
    <w:rsid w:val="00207828"/>
    <w:rsid w:val="0021004B"/>
    <w:rsid w:val="00210185"/>
    <w:rsid w:val="00211C0E"/>
    <w:rsid w:val="00212447"/>
    <w:rsid w:val="00212D49"/>
    <w:rsid w:val="00213242"/>
    <w:rsid w:val="00213596"/>
    <w:rsid w:val="002137EB"/>
    <w:rsid w:val="00214454"/>
    <w:rsid w:val="0021457A"/>
    <w:rsid w:val="00214FC5"/>
    <w:rsid w:val="0021747F"/>
    <w:rsid w:val="002207E7"/>
    <w:rsid w:val="002207E8"/>
    <w:rsid w:val="002217D9"/>
    <w:rsid w:val="00223005"/>
    <w:rsid w:val="00223762"/>
    <w:rsid w:val="00224C5D"/>
    <w:rsid w:val="00224E4C"/>
    <w:rsid w:val="00225EF8"/>
    <w:rsid w:val="0022635C"/>
    <w:rsid w:val="002307A4"/>
    <w:rsid w:val="00231B61"/>
    <w:rsid w:val="00232133"/>
    <w:rsid w:val="00232DD0"/>
    <w:rsid w:val="0023344B"/>
    <w:rsid w:val="00233C48"/>
    <w:rsid w:val="00233D1D"/>
    <w:rsid w:val="0023413F"/>
    <w:rsid w:val="002364AA"/>
    <w:rsid w:val="00237001"/>
    <w:rsid w:val="002401A2"/>
    <w:rsid w:val="00241B28"/>
    <w:rsid w:val="002427FE"/>
    <w:rsid w:val="002428ED"/>
    <w:rsid w:val="0024342A"/>
    <w:rsid w:val="002435ED"/>
    <w:rsid w:val="00243E4C"/>
    <w:rsid w:val="00243F30"/>
    <w:rsid w:val="00244544"/>
    <w:rsid w:val="00244B4E"/>
    <w:rsid w:val="00245DBE"/>
    <w:rsid w:val="00246643"/>
    <w:rsid w:val="00247295"/>
    <w:rsid w:val="00252295"/>
    <w:rsid w:val="0025229E"/>
    <w:rsid w:val="00252BB1"/>
    <w:rsid w:val="00254311"/>
    <w:rsid w:val="00254524"/>
    <w:rsid w:val="00255885"/>
    <w:rsid w:val="00256640"/>
    <w:rsid w:val="00256FD9"/>
    <w:rsid w:val="00257007"/>
    <w:rsid w:val="00257411"/>
    <w:rsid w:val="002575AD"/>
    <w:rsid w:val="00257693"/>
    <w:rsid w:val="002603D3"/>
    <w:rsid w:val="0026049C"/>
    <w:rsid w:val="002605A7"/>
    <w:rsid w:val="0026073C"/>
    <w:rsid w:val="00261A01"/>
    <w:rsid w:val="00262016"/>
    <w:rsid w:val="00262137"/>
    <w:rsid w:val="002626B8"/>
    <w:rsid w:val="002634EC"/>
    <w:rsid w:val="0026380E"/>
    <w:rsid w:val="002644D4"/>
    <w:rsid w:val="00265624"/>
    <w:rsid w:val="002656E6"/>
    <w:rsid w:val="0026570C"/>
    <w:rsid w:val="00265A87"/>
    <w:rsid w:val="002661D9"/>
    <w:rsid w:val="0026711E"/>
    <w:rsid w:val="00270B83"/>
    <w:rsid w:val="00272001"/>
    <w:rsid w:val="002732BD"/>
    <w:rsid w:val="002736A1"/>
    <w:rsid w:val="0027497B"/>
    <w:rsid w:val="002752C5"/>
    <w:rsid w:val="002753EC"/>
    <w:rsid w:val="00275C46"/>
    <w:rsid w:val="00276C8F"/>
    <w:rsid w:val="002774BE"/>
    <w:rsid w:val="0028005D"/>
    <w:rsid w:val="002806FA"/>
    <w:rsid w:val="00281152"/>
    <w:rsid w:val="00281F6C"/>
    <w:rsid w:val="0028288D"/>
    <w:rsid w:val="00283CF4"/>
    <w:rsid w:val="00284FFE"/>
    <w:rsid w:val="00286CF3"/>
    <w:rsid w:val="00287595"/>
    <w:rsid w:val="0029048E"/>
    <w:rsid w:val="002906A6"/>
    <w:rsid w:val="002930FA"/>
    <w:rsid w:val="00294A3A"/>
    <w:rsid w:val="00296C30"/>
    <w:rsid w:val="00296E2A"/>
    <w:rsid w:val="002974C1"/>
    <w:rsid w:val="00297EF1"/>
    <w:rsid w:val="002A0EE3"/>
    <w:rsid w:val="002A0F00"/>
    <w:rsid w:val="002A169B"/>
    <w:rsid w:val="002A1C56"/>
    <w:rsid w:val="002A2151"/>
    <w:rsid w:val="002A22E1"/>
    <w:rsid w:val="002A35C5"/>
    <w:rsid w:val="002A35E1"/>
    <w:rsid w:val="002A435E"/>
    <w:rsid w:val="002A4A38"/>
    <w:rsid w:val="002A4A85"/>
    <w:rsid w:val="002A4AC2"/>
    <w:rsid w:val="002A593A"/>
    <w:rsid w:val="002A5F4D"/>
    <w:rsid w:val="002A6648"/>
    <w:rsid w:val="002A6CDE"/>
    <w:rsid w:val="002A73DC"/>
    <w:rsid w:val="002B0887"/>
    <w:rsid w:val="002B0E1C"/>
    <w:rsid w:val="002B1661"/>
    <w:rsid w:val="002B2072"/>
    <w:rsid w:val="002B20DC"/>
    <w:rsid w:val="002B26D4"/>
    <w:rsid w:val="002B47F6"/>
    <w:rsid w:val="002B4D5E"/>
    <w:rsid w:val="002B543C"/>
    <w:rsid w:val="002B612C"/>
    <w:rsid w:val="002B6505"/>
    <w:rsid w:val="002C0216"/>
    <w:rsid w:val="002C1158"/>
    <w:rsid w:val="002C12CE"/>
    <w:rsid w:val="002C16FC"/>
    <w:rsid w:val="002C1C15"/>
    <w:rsid w:val="002C2609"/>
    <w:rsid w:val="002C4864"/>
    <w:rsid w:val="002C4E8A"/>
    <w:rsid w:val="002C50B3"/>
    <w:rsid w:val="002C68DF"/>
    <w:rsid w:val="002C78AF"/>
    <w:rsid w:val="002D0B87"/>
    <w:rsid w:val="002D1961"/>
    <w:rsid w:val="002D2737"/>
    <w:rsid w:val="002D2902"/>
    <w:rsid w:val="002D4FCF"/>
    <w:rsid w:val="002D5531"/>
    <w:rsid w:val="002D7417"/>
    <w:rsid w:val="002D763F"/>
    <w:rsid w:val="002E06E1"/>
    <w:rsid w:val="002E209E"/>
    <w:rsid w:val="002E2652"/>
    <w:rsid w:val="002E36FA"/>
    <w:rsid w:val="002E4209"/>
    <w:rsid w:val="002E440C"/>
    <w:rsid w:val="002E59A7"/>
    <w:rsid w:val="002E5D8A"/>
    <w:rsid w:val="002E5D98"/>
    <w:rsid w:val="002E65AE"/>
    <w:rsid w:val="002E6F04"/>
    <w:rsid w:val="002F04FF"/>
    <w:rsid w:val="002F0878"/>
    <w:rsid w:val="002F114D"/>
    <w:rsid w:val="002F1ECC"/>
    <w:rsid w:val="002F210B"/>
    <w:rsid w:val="002F2B98"/>
    <w:rsid w:val="002F3120"/>
    <w:rsid w:val="002F3D03"/>
    <w:rsid w:val="002F4283"/>
    <w:rsid w:val="002F4C5C"/>
    <w:rsid w:val="002F795A"/>
    <w:rsid w:val="003004E4"/>
    <w:rsid w:val="00300DF1"/>
    <w:rsid w:val="0030107E"/>
    <w:rsid w:val="003011EC"/>
    <w:rsid w:val="003023C7"/>
    <w:rsid w:val="0030288A"/>
    <w:rsid w:val="00303224"/>
    <w:rsid w:val="00303348"/>
    <w:rsid w:val="00303878"/>
    <w:rsid w:val="00304ACF"/>
    <w:rsid w:val="00306B9A"/>
    <w:rsid w:val="00307D98"/>
    <w:rsid w:val="00310284"/>
    <w:rsid w:val="00310B28"/>
    <w:rsid w:val="00310F0F"/>
    <w:rsid w:val="003116B2"/>
    <w:rsid w:val="00311D3C"/>
    <w:rsid w:val="00311F5E"/>
    <w:rsid w:val="00313C2C"/>
    <w:rsid w:val="00313C97"/>
    <w:rsid w:val="00313E42"/>
    <w:rsid w:val="003141F4"/>
    <w:rsid w:val="0031496B"/>
    <w:rsid w:val="00317F23"/>
    <w:rsid w:val="00321A72"/>
    <w:rsid w:val="00321D9C"/>
    <w:rsid w:val="003223EF"/>
    <w:rsid w:val="00323A2A"/>
    <w:rsid w:val="003241CC"/>
    <w:rsid w:val="003249E1"/>
    <w:rsid w:val="00324A63"/>
    <w:rsid w:val="0032503E"/>
    <w:rsid w:val="00325DCC"/>
    <w:rsid w:val="00327138"/>
    <w:rsid w:val="00327BFE"/>
    <w:rsid w:val="0033123E"/>
    <w:rsid w:val="003341E2"/>
    <w:rsid w:val="00334740"/>
    <w:rsid w:val="00335533"/>
    <w:rsid w:val="003357AF"/>
    <w:rsid w:val="00335E0C"/>
    <w:rsid w:val="003363E5"/>
    <w:rsid w:val="00336AA9"/>
    <w:rsid w:val="0033756B"/>
    <w:rsid w:val="00337842"/>
    <w:rsid w:val="00337A05"/>
    <w:rsid w:val="0034091C"/>
    <w:rsid w:val="00340C2C"/>
    <w:rsid w:val="003416BE"/>
    <w:rsid w:val="0034304A"/>
    <w:rsid w:val="00343F03"/>
    <w:rsid w:val="0034405F"/>
    <w:rsid w:val="003454FC"/>
    <w:rsid w:val="00346D9D"/>
    <w:rsid w:val="00350582"/>
    <w:rsid w:val="003516DD"/>
    <w:rsid w:val="00351CC5"/>
    <w:rsid w:val="00351EAD"/>
    <w:rsid w:val="00352288"/>
    <w:rsid w:val="0035243A"/>
    <w:rsid w:val="00352551"/>
    <w:rsid w:val="00352C3C"/>
    <w:rsid w:val="00352CE6"/>
    <w:rsid w:val="00353954"/>
    <w:rsid w:val="003541FB"/>
    <w:rsid w:val="003549A8"/>
    <w:rsid w:val="0035508F"/>
    <w:rsid w:val="0035692B"/>
    <w:rsid w:val="00356B49"/>
    <w:rsid w:val="00357817"/>
    <w:rsid w:val="003579A6"/>
    <w:rsid w:val="00361184"/>
    <w:rsid w:val="00361E16"/>
    <w:rsid w:val="00362319"/>
    <w:rsid w:val="00362789"/>
    <w:rsid w:val="00363185"/>
    <w:rsid w:val="003634C3"/>
    <w:rsid w:val="00364B16"/>
    <w:rsid w:val="00365139"/>
    <w:rsid w:val="0036551A"/>
    <w:rsid w:val="0036593A"/>
    <w:rsid w:val="003673C8"/>
    <w:rsid w:val="003679B4"/>
    <w:rsid w:val="00370ADE"/>
    <w:rsid w:val="00371EB9"/>
    <w:rsid w:val="00372F10"/>
    <w:rsid w:val="003734DF"/>
    <w:rsid w:val="00373D2A"/>
    <w:rsid w:val="003754E9"/>
    <w:rsid w:val="00375A2E"/>
    <w:rsid w:val="003768E9"/>
    <w:rsid w:val="0037797C"/>
    <w:rsid w:val="00377A54"/>
    <w:rsid w:val="00377ADB"/>
    <w:rsid w:val="00380122"/>
    <w:rsid w:val="003801E1"/>
    <w:rsid w:val="003803C5"/>
    <w:rsid w:val="0038144D"/>
    <w:rsid w:val="0038222A"/>
    <w:rsid w:val="0038232C"/>
    <w:rsid w:val="00382D75"/>
    <w:rsid w:val="00383332"/>
    <w:rsid w:val="0038467C"/>
    <w:rsid w:val="00384FA3"/>
    <w:rsid w:val="003858D2"/>
    <w:rsid w:val="003859C3"/>
    <w:rsid w:val="003859F1"/>
    <w:rsid w:val="003860B9"/>
    <w:rsid w:val="0038619A"/>
    <w:rsid w:val="00386501"/>
    <w:rsid w:val="00386F88"/>
    <w:rsid w:val="003870D4"/>
    <w:rsid w:val="003900EE"/>
    <w:rsid w:val="003938BD"/>
    <w:rsid w:val="003958A1"/>
    <w:rsid w:val="00396447"/>
    <w:rsid w:val="00396AE3"/>
    <w:rsid w:val="00396DB2"/>
    <w:rsid w:val="003A03FE"/>
    <w:rsid w:val="003A1FD2"/>
    <w:rsid w:val="003A240F"/>
    <w:rsid w:val="003A27FF"/>
    <w:rsid w:val="003A2860"/>
    <w:rsid w:val="003A2900"/>
    <w:rsid w:val="003A2D7E"/>
    <w:rsid w:val="003A308D"/>
    <w:rsid w:val="003A3372"/>
    <w:rsid w:val="003A44E0"/>
    <w:rsid w:val="003A46D8"/>
    <w:rsid w:val="003A63C3"/>
    <w:rsid w:val="003A7B78"/>
    <w:rsid w:val="003A7CB8"/>
    <w:rsid w:val="003B07F0"/>
    <w:rsid w:val="003B147B"/>
    <w:rsid w:val="003B1A97"/>
    <w:rsid w:val="003B3364"/>
    <w:rsid w:val="003B44F1"/>
    <w:rsid w:val="003B51F2"/>
    <w:rsid w:val="003B6606"/>
    <w:rsid w:val="003B6669"/>
    <w:rsid w:val="003B66E1"/>
    <w:rsid w:val="003B7C96"/>
    <w:rsid w:val="003C0194"/>
    <w:rsid w:val="003C14A5"/>
    <w:rsid w:val="003C18C6"/>
    <w:rsid w:val="003C1AD7"/>
    <w:rsid w:val="003C22C9"/>
    <w:rsid w:val="003C250B"/>
    <w:rsid w:val="003C26B9"/>
    <w:rsid w:val="003C3640"/>
    <w:rsid w:val="003C3DA6"/>
    <w:rsid w:val="003C436F"/>
    <w:rsid w:val="003C4DC0"/>
    <w:rsid w:val="003C4E07"/>
    <w:rsid w:val="003C5957"/>
    <w:rsid w:val="003C606D"/>
    <w:rsid w:val="003C74F0"/>
    <w:rsid w:val="003C7AB7"/>
    <w:rsid w:val="003C7E93"/>
    <w:rsid w:val="003D006C"/>
    <w:rsid w:val="003D05A5"/>
    <w:rsid w:val="003D0B6F"/>
    <w:rsid w:val="003D1349"/>
    <w:rsid w:val="003D1BD0"/>
    <w:rsid w:val="003D221A"/>
    <w:rsid w:val="003D3AC6"/>
    <w:rsid w:val="003D426C"/>
    <w:rsid w:val="003D4370"/>
    <w:rsid w:val="003D49AF"/>
    <w:rsid w:val="003D59D9"/>
    <w:rsid w:val="003D5E78"/>
    <w:rsid w:val="003D6139"/>
    <w:rsid w:val="003D68B4"/>
    <w:rsid w:val="003D6AE7"/>
    <w:rsid w:val="003D6E8C"/>
    <w:rsid w:val="003D7C22"/>
    <w:rsid w:val="003E0802"/>
    <w:rsid w:val="003E14EB"/>
    <w:rsid w:val="003E16F2"/>
    <w:rsid w:val="003E19DB"/>
    <w:rsid w:val="003E2029"/>
    <w:rsid w:val="003E2077"/>
    <w:rsid w:val="003E2CF4"/>
    <w:rsid w:val="003E31E0"/>
    <w:rsid w:val="003E4732"/>
    <w:rsid w:val="003E4997"/>
    <w:rsid w:val="003E6FBE"/>
    <w:rsid w:val="003F07D1"/>
    <w:rsid w:val="003F0AEF"/>
    <w:rsid w:val="003F2518"/>
    <w:rsid w:val="003F317A"/>
    <w:rsid w:val="003F40E8"/>
    <w:rsid w:val="003F46FD"/>
    <w:rsid w:val="003F5178"/>
    <w:rsid w:val="003F59AD"/>
    <w:rsid w:val="003F59EF"/>
    <w:rsid w:val="003F5F95"/>
    <w:rsid w:val="003F66B3"/>
    <w:rsid w:val="003F68F3"/>
    <w:rsid w:val="00400424"/>
    <w:rsid w:val="00402B31"/>
    <w:rsid w:val="00403A9A"/>
    <w:rsid w:val="00403F87"/>
    <w:rsid w:val="00404119"/>
    <w:rsid w:val="00404A05"/>
    <w:rsid w:val="00404E90"/>
    <w:rsid w:val="00404FCC"/>
    <w:rsid w:val="00405770"/>
    <w:rsid w:val="00405945"/>
    <w:rsid w:val="00405F2F"/>
    <w:rsid w:val="004064F1"/>
    <w:rsid w:val="0040668A"/>
    <w:rsid w:val="004069D7"/>
    <w:rsid w:val="00406C69"/>
    <w:rsid w:val="0040782D"/>
    <w:rsid w:val="0041055C"/>
    <w:rsid w:val="00410A56"/>
    <w:rsid w:val="00411093"/>
    <w:rsid w:val="00411AB1"/>
    <w:rsid w:val="004121A7"/>
    <w:rsid w:val="004121D9"/>
    <w:rsid w:val="00412719"/>
    <w:rsid w:val="00412DD5"/>
    <w:rsid w:val="00412E98"/>
    <w:rsid w:val="004130B2"/>
    <w:rsid w:val="00414660"/>
    <w:rsid w:val="00414EC8"/>
    <w:rsid w:val="00414FE4"/>
    <w:rsid w:val="00414FEE"/>
    <w:rsid w:val="00416301"/>
    <w:rsid w:val="004201CE"/>
    <w:rsid w:val="00421384"/>
    <w:rsid w:val="0042178E"/>
    <w:rsid w:val="00421C19"/>
    <w:rsid w:val="00422004"/>
    <w:rsid w:val="00422650"/>
    <w:rsid w:val="00423509"/>
    <w:rsid w:val="004265E9"/>
    <w:rsid w:val="004267AB"/>
    <w:rsid w:val="00426B44"/>
    <w:rsid w:val="004304F4"/>
    <w:rsid w:val="00432AC2"/>
    <w:rsid w:val="00432E46"/>
    <w:rsid w:val="00433582"/>
    <w:rsid w:val="0043386B"/>
    <w:rsid w:val="00434593"/>
    <w:rsid w:val="0043485D"/>
    <w:rsid w:val="0043555A"/>
    <w:rsid w:val="0043698C"/>
    <w:rsid w:val="00436EAC"/>
    <w:rsid w:val="00440DC2"/>
    <w:rsid w:val="00440E72"/>
    <w:rsid w:val="00441DE4"/>
    <w:rsid w:val="004420A3"/>
    <w:rsid w:val="00442420"/>
    <w:rsid w:val="0044266A"/>
    <w:rsid w:val="00442D9C"/>
    <w:rsid w:val="0044347C"/>
    <w:rsid w:val="004438CB"/>
    <w:rsid w:val="004439C9"/>
    <w:rsid w:val="00443CA0"/>
    <w:rsid w:val="00444483"/>
    <w:rsid w:val="0044542F"/>
    <w:rsid w:val="00445684"/>
    <w:rsid w:val="00445AF3"/>
    <w:rsid w:val="00445BD6"/>
    <w:rsid w:val="00445EFC"/>
    <w:rsid w:val="00445FD0"/>
    <w:rsid w:val="0044622C"/>
    <w:rsid w:val="00446376"/>
    <w:rsid w:val="0044643B"/>
    <w:rsid w:val="00446BF1"/>
    <w:rsid w:val="00446F8F"/>
    <w:rsid w:val="00447474"/>
    <w:rsid w:val="00447683"/>
    <w:rsid w:val="004477BC"/>
    <w:rsid w:val="00447BAE"/>
    <w:rsid w:val="00450DEA"/>
    <w:rsid w:val="00451454"/>
    <w:rsid w:val="0045167C"/>
    <w:rsid w:val="00452996"/>
    <w:rsid w:val="0045324D"/>
    <w:rsid w:val="00453AA5"/>
    <w:rsid w:val="00455E23"/>
    <w:rsid w:val="004568EF"/>
    <w:rsid w:val="00456C94"/>
    <w:rsid w:val="00456DBD"/>
    <w:rsid w:val="00456DFA"/>
    <w:rsid w:val="00457322"/>
    <w:rsid w:val="0046083C"/>
    <w:rsid w:val="00460FE3"/>
    <w:rsid w:val="0046133C"/>
    <w:rsid w:val="00461570"/>
    <w:rsid w:val="00461DD0"/>
    <w:rsid w:val="00462650"/>
    <w:rsid w:val="004631CF"/>
    <w:rsid w:val="00463282"/>
    <w:rsid w:val="00463FAB"/>
    <w:rsid w:val="00465107"/>
    <w:rsid w:val="00465323"/>
    <w:rsid w:val="00465B13"/>
    <w:rsid w:val="004668FF"/>
    <w:rsid w:val="004675AD"/>
    <w:rsid w:val="00470F65"/>
    <w:rsid w:val="00471103"/>
    <w:rsid w:val="004719BD"/>
    <w:rsid w:val="004738D9"/>
    <w:rsid w:val="004743F8"/>
    <w:rsid w:val="00474481"/>
    <w:rsid w:val="0047603F"/>
    <w:rsid w:val="00476162"/>
    <w:rsid w:val="00476181"/>
    <w:rsid w:val="00476F37"/>
    <w:rsid w:val="00477B94"/>
    <w:rsid w:val="00477CB7"/>
    <w:rsid w:val="00480486"/>
    <w:rsid w:val="00481040"/>
    <w:rsid w:val="0048133B"/>
    <w:rsid w:val="00483AF3"/>
    <w:rsid w:val="004846FF"/>
    <w:rsid w:val="0048548E"/>
    <w:rsid w:val="00486281"/>
    <w:rsid w:val="0048629A"/>
    <w:rsid w:val="0048752E"/>
    <w:rsid w:val="00487A62"/>
    <w:rsid w:val="00487CC7"/>
    <w:rsid w:val="004908FD"/>
    <w:rsid w:val="004916B8"/>
    <w:rsid w:val="00491C21"/>
    <w:rsid w:val="00491F11"/>
    <w:rsid w:val="004920BC"/>
    <w:rsid w:val="0049254F"/>
    <w:rsid w:val="00492BAA"/>
    <w:rsid w:val="00493723"/>
    <w:rsid w:val="00493EBD"/>
    <w:rsid w:val="0049494A"/>
    <w:rsid w:val="00495C9A"/>
    <w:rsid w:val="00496C0A"/>
    <w:rsid w:val="004977C2"/>
    <w:rsid w:val="004A0A61"/>
    <w:rsid w:val="004A111A"/>
    <w:rsid w:val="004A14AD"/>
    <w:rsid w:val="004A19DC"/>
    <w:rsid w:val="004A273D"/>
    <w:rsid w:val="004A345B"/>
    <w:rsid w:val="004A4759"/>
    <w:rsid w:val="004A5100"/>
    <w:rsid w:val="004A514C"/>
    <w:rsid w:val="004A548A"/>
    <w:rsid w:val="004A566C"/>
    <w:rsid w:val="004A5DE0"/>
    <w:rsid w:val="004A690A"/>
    <w:rsid w:val="004A7FCC"/>
    <w:rsid w:val="004A7FF3"/>
    <w:rsid w:val="004B15D5"/>
    <w:rsid w:val="004B1ED7"/>
    <w:rsid w:val="004B3950"/>
    <w:rsid w:val="004B46CB"/>
    <w:rsid w:val="004B4CED"/>
    <w:rsid w:val="004B550C"/>
    <w:rsid w:val="004B6480"/>
    <w:rsid w:val="004C0E05"/>
    <w:rsid w:val="004C137D"/>
    <w:rsid w:val="004C1658"/>
    <w:rsid w:val="004C1D1B"/>
    <w:rsid w:val="004C322B"/>
    <w:rsid w:val="004C3D96"/>
    <w:rsid w:val="004C4D55"/>
    <w:rsid w:val="004C5EBE"/>
    <w:rsid w:val="004C60FC"/>
    <w:rsid w:val="004C77A7"/>
    <w:rsid w:val="004C7C36"/>
    <w:rsid w:val="004D0D74"/>
    <w:rsid w:val="004D1133"/>
    <w:rsid w:val="004D12B6"/>
    <w:rsid w:val="004D15C5"/>
    <w:rsid w:val="004D2D00"/>
    <w:rsid w:val="004D31B1"/>
    <w:rsid w:val="004D4A88"/>
    <w:rsid w:val="004D4EA8"/>
    <w:rsid w:val="004D626F"/>
    <w:rsid w:val="004D7395"/>
    <w:rsid w:val="004E0D16"/>
    <w:rsid w:val="004E2089"/>
    <w:rsid w:val="004E22D2"/>
    <w:rsid w:val="004E2A03"/>
    <w:rsid w:val="004E2E00"/>
    <w:rsid w:val="004E3B62"/>
    <w:rsid w:val="004E6256"/>
    <w:rsid w:val="004E6546"/>
    <w:rsid w:val="004E6DDD"/>
    <w:rsid w:val="004E7779"/>
    <w:rsid w:val="004F02BB"/>
    <w:rsid w:val="004F080C"/>
    <w:rsid w:val="004F0846"/>
    <w:rsid w:val="004F28AD"/>
    <w:rsid w:val="004F2B2F"/>
    <w:rsid w:val="004F30D5"/>
    <w:rsid w:val="004F371A"/>
    <w:rsid w:val="004F3F51"/>
    <w:rsid w:val="004F5C6C"/>
    <w:rsid w:val="004F6038"/>
    <w:rsid w:val="004F6F96"/>
    <w:rsid w:val="004F73DA"/>
    <w:rsid w:val="005004E3"/>
    <w:rsid w:val="005006AD"/>
    <w:rsid w:val="00501AA3"/>
    <w:rsid w:val="00501C06"/>
    <w:rsid w:val="00501C8C"/>
    <w:rsid w:val="005028DE"/>
    <w:rsid w:val="0050298A"/>
    <w:rsid w:val="00503B45"/>
    <w:rsid w:val="00504C00"/>
    <w:rsid w:val="00506FE9"/>
    <w:rsid w:val="00510A28"/>
    <w:rsid w:val="00511971"/>
    <w:rsid w:val="0051231A"/>
    <w:rsid w:val="00512642"/>
    <w:rsid w:val="005140A1"/>
    <w:rsid w:val="00514662"/>
    <w:rsid w:val="0051487C"/>
    <w:rsid w:val="00514CF3"/>
    <w:rsid w:val="00515203"/>
    <w:rsid w:val="005156AF"/>
    <w:rsid w:val="00515A45"/>
    <w:rsid w:val="00516650"/>
    <w:rsid w:val="00516FDD"/>
    <w:rsid w:val="005171E6"/>
    <w:rsid w:val="00517546"/>
    <w:rsid w:val="0051782C"/>
    <w:rsid w:val="00520848"/>
    <w:rsid w:val="0052104A"/>
    <w:rsid w:val="00521CB7"/>
    <w:rsid w:val="00522414"/>
    <w:rsid w:val="0052309B"/>
    <w:rsid w:val="00523AC3"/>
    <w:rsid w:val="00524727"/>
    <w:rsid w:val="005248DF"/>
    <w:rsid w:val="00524B78"/>
    <w:rsid w:val="00524FA4"/>
    <w:rsid w:val="00525124"/>
    <w:rsid w:val="005274E5"/>
    <w:rsid w:val="0052772A"/>
    <w:rsid w:val="00527953"/>
    <w:rsid w:val="005306F5"/>
    <w:rsid w:val="0053096D"/>
    <w:rsid w:val="00530A31"/>
    <w:rsid w:val="0053211A"/>
    <w:rsid w:val="0053259E"/>
    <w:rsid w:val="0053320B"/>
    <w:rsid w:val="0053324D"/>
    <w:rsid w:val="00533B7B"/>
    <w:rsid w:val="0053429A"/>
    <w:rsid w:val="005342B3"/>
    <w:rsid w:val="00534FF7"/>
    <w:rsid w:val="00536002"/>
    <w:rsid w:val="00536B42"/>
    <w:rsid w:val="0053754E"/>
    <w:rsid w:val="005378EF"/>
    <w:rsid w:val="005379C1"/>
    <w:rsid w:val="00540317"/>
    <w:rsid w:val="005404CC"/>
    <w:rsid w:val="00540FB2"/>
    <w:rsid w:val="00541FB3"/>
    <w:rsid w:val="00542728"/>
    <w:rsid w:val="00542E44"/>
    <w:rsid w:val="005441F0"/>
    <w:rsid w:val="005442CF"/>
    <w:rsid w:val="00545709"/>
    <w:rsid w:val="00545C32"/>
    <w:rsid w:val="00546FB4"/>
    <w:rsid w:val="00547458"/>
    <w:rsid w:val="005500DE"/>
    <w:rsid w:val="005504D5"/>
    <w:rsid w:val="00552C34"/>
    <w:rsid w:val="0055330C"/>
    <w:rsid w:val="00553F6E"/>
    <w:rsid w:val="005549AA"/>
    <w:rsid w:val="005552CB"/>
    <w:rsid w:val="0055539F"/>
    <w:rsid w:val="00556142"/>
    <w:rsid w:val="00556E65"/>
    <w:rsid w:val="0055705E"/>
    <w:rsid w:val="0055727A"/>
    <w:rsid w:val="0055779C"/>
    <w:rsid w:val="00557A25"/>
    <w:rsid w:val="00557C51"/>
    <w:rsid w:val="00560367"/>
    <w:rsid w:val="00560579"/>
    <w:rsid w:val="005619A5"/>
    <w:rsid w:val="00561C09"/>
    <w:rsid w:val="00562549"/>
    <w:rsid w:val="00562870"/>
    <w:rsid w:val="00562B68"/>
    <w:rsid w:val="005637F9"/>
    <w:rsid w:val="005647E7"/>
    <w:rsid w:val="005648FD"/>
    <w:rsid w:val="00564A55"/>
    <w:rsid w:val="00564BE1"/>
    <w:rsid w:val="00564DB2"/>
    <w:rsid w:val="00565361"/>
    <w:rsid w:val="00565375"/>
    <w:rsid w:val="005654DF"/>
    <w:rsid w:val="00566050"/>
    <w:rsid w:val="005660B1"/>
    <w:rsid w:val="00566979"/>
    <w:rsid w:val="0056782F"/>
    <w:rsid w:val="00570233"/>
    <w:rsid w:val="00570BE5"/>
    <w:rsid w:val="0057137F"/>
    <w:rsid w:val="00572955"/>
    <w:rsid w:val="0057304F"/>
    <w:rsid w:val="005744C5"/>
    <w:rsid w:val="00575FEC"/>
    <w:rsid w:val="00576E48"/>
    <w:rsid w:val="00580F60"/>
    <w:rsid w:val="00581B0A"/>
    <w:rsid w:val="0058252F"/>
    <w:rsid w:val="00582C4C"/>
    <w:rsid w:val="00582F73"/>
    <w:rsid w:val="00582F76"/>
    <w:rsid w:val="00583A9B"/>
    <w:rsid w:val="00583E2C"/>
    <w:rsid w:val="005857DE"/>
    <w:rsid w:val="00585BB0"/>
    <w:rsid w:val="00585CA0"/>
    <w:rsid w:val="00585F84"/>
    <w:rsid w:val="00586207"/>
    <w:rsid w:val="005870A3"/>
    <w:rsid w:val="00587D8F"/>
    <w:rsid w:val="00590835"/>
    <w:rsid w:val="005908D9"/>
    <w:rsid w:val="00590F0B"/>
    <w:rsid w:val="005918A1"/>
    <w:rsid w:val="00592545"/>
    <w:rsid w:val="005927E9"/>
    <w:rsid w:val="00592D92"/>
    <w:rsid w:val="00594D0E"/>
    <w:rsid w:val="00594FAA"/>
    <w:rsid w:val="00595345"/>
    <w:rsid w:val="005953F5"/>
    <w:rsid w:val="005956E4"/>
    <w:rsid w:val="005961C5"/>
    <w:rsid w:val="00597BFF"/>
    <w:rsid w:val="005A1B3E"/>
    <w:rsid w:val="005A23BF"/>
    <w:rsid w:val="005A2815"/>
    <w:rsid w:val="005A34DB"/>
    <w:rsid w:val="005A4768"/>
    <w:rsid w:val="005A589C"/>
    <w:rsid w:val="005A5B54"/>
    <w:rsid w:val="005A7D4F"/>
    <w:rsid w:val="005B01F0"/>
    <w:rsid w:val="005B05B1"/>
    <w:rsid w:val="005B05C6"/>
    <w:rsid w:val="005B145C"/>
    <w:rsid w:val="005B1978"/>
    <w:rsid w:val="005B2020"/>
    <w:rsid w:val="005B29B1"/>
    <w:rsid w:val="005B338D"/>
    <w:rsid w:val="005B3604"/>
    <w:rsid w:val="005B6CB6"/>
    <w:rsid w:val="005B7D7A"/>
    <w:rsid w:val="005B7DC5"/>
    <w:rsid w:val="005C03B3"/>
    <w:rsid w:val="005C086B"/>
    <w:rsid w:val="005C2656"/>
    <w:rsid w:val="005C2E69"/>
    <w:rsid w:val="005C478A"/>
    <w:rsid w:val="005C48D0"/>
    <w:rsid w:val="005C4F3B"/>
    <w:rsid w:val="005C51D5"/>
    <w:rsid w:val="005C525B"/>
    <w:rsid w:val="005C61EB"/>
    <w:rsid w:val="005C6374"/>
    <w:rsid w:val="005C75D1"/>
    <w:rsid w:val="005C7D26"/>
    <w:rsid w:val="005D048E"/>
    <w:rsid w:val="005D0C04"/>
    <w:rsid w:val="005D0E07"/>
    <w:rsid w:val="005D10D8"/>
    <w:rsid w:val="005D13DF"/>
    <w:rsid w:val="005D1435"/>
    <w:rsid w:val="005D1657"/>
    <w:rsid w:val="005D25B5"/>
    <w:rsid w:val="005D3A72"/>
    <w:rsid w:val="005D4602"/>
    <w:rsid w:val="005D49D5"/>
    <w:rsid w:val="005D4D10"/>
    <w:rsid w:val="005D4E6C"/>
    <w:rsid w:val="005D5603"/>
    <w:rsid w:val="005D5CD7"/>
    <w:rsid w:val="005D5F17"/>
    <w:rsid w:val="005D6833"/>
    <w:rsid w:val="005D6D63"/>
    <w:rsid w:val="005D729A"/>
    <w:rsid w:val="005D7810"/>
    <w:rsid w:val="005D7E98"/>
    <w:rsid w:val="005E1161"/>
    <w:rsid w:val="005E147D"/>
    <w:rsid w:val="005E182C"/>
    <w:rsid w:val="005E27B2"/>
    <w:rsid w:val="005E29C1"/>
    <w:rsid w:val="005E38E6"/>
    <w:rsid w:val="005E3AF0"/>
    <w:rsid w:val="005E4088"/>
    <w:rsid w:val="005E4506"/>
    <w:rsid w:val="005E4C26"/>
    <w:rsid w:val="005E6336"/>
    <w:rsid w:val="005E6562"/>
    <w:rsid w:val="005E65D5"/>
    <w:rsid w:val="005E725D"/>
    <w:rsid w:val="005F0511"/>
    <w:rsid w:val="005F0D59"/>
    <w:rsid w:val="005F1BF8"/>
    <w:rsid w:val="005F2056"/>
    <w:rsid w:val="005F21BD"/>
    <w:rsid w:val="005F3554"/>
    <w:rsid w:val="005F357B"/>
    <w:rsid w:val="005F3F70"/>
    <w:rsid w:val="005F49C8"/>
    <w:rsid w:val="005F4A55"/>
    <w:rsid w:val="005F4F08"/>
    <w:rsid w:val="005F5A81"/>
    <w:rsid w:val="005F6F7C"/>
    <w:rsid w:val="005F70AC"/>
    <w:rsid w:val="005F7BE8"/>
    <w:rsid w:val="00600126"/>
    <w:rsid w:val="0060023F"/>
    <w:rsid w:val="00600C5A"/>
    <w:rsid w:val="006011CD"/>
    <w:rsid w:val="00601599"/>
    <w:rsid w:val="00601C05"/>
    <w:rsid w:val="00602774"/>
    <w:rsid w:val="00602DC8"/>
    <w:rsid w:val="0060309C"/>
    <w:rsid w:val="006043E7"/>
    <w:rsid w:val="00604870"/>
    <w:rsid w:val="0060554C"/>
    <w:rsid w:val="00605B6C"/>
    <w:rsid w:val="006066D8"/>
    <w:rsid w:val="00607353"/>
    <w:rsid w:val="00607A19"/>
    <w:rsid w:val="00610543"/>
    <w:rsid w:val="00610768"/>
    <w:rsid w:val="00611A87"/>
    <w:rsid w:val="00611CA7"/>
    <w:rsid w:val="00611D0A"/>
    <w:rsid w:val="0061317F"/>
    <w:rsid w:val="0061433D"/>
    <w:rsid w:val="00614E70"/>
    <w:rsid w:val="00617333"/>
    <w:rsid w:val="0061776D"/>
    <w:rsid w:val="00620EE4"/>
    <w:rsid w:val="006226EA"/>
    <w:rsid w:val="00623EB8"/>
    <w:rsid w:val="006243F4"/>
    <w:rsid w:val="00624481"/>
    <w:rsid w:val="00624A9E"/>
    <w:rsid w:val="00625C1E"/>
    <w:rsid w:val="00625D73"/>
    <w:rsid w:val="0062692E"/>
    <w:rsid w:val="00630CEA"/>
    <w:rsid w:val="006319E5"/>
    <w:rsid w:val="00631A77"/>
    <w:rsid w:val="00631D0A"/>
    <w:rsid w:val="00632257"/>
    <w:rsid w:val="00632C7F"/>
    <w:rsid w:val="00632DD2"/>
    <w:rsid w:val="00632EF8"/>
    <w:rsid w:val="006332E5"/>
    <w:rsid w:val="00633C2D"/>
    <w:rsid w:val="00633DD4"/>
    <w:rsid w:val="00633ED9"/>
    <w:rsid w:val="0063497E"/>
    <w:rsid w:val="006370E2"/>
    <w:rsid w:val="00640561"/>
    <w:rsid w:val="006412A6"/>
    <w:rsid w:val="0064189E"/>
    <w:rsid w:val="00642109"/>
    <w:rsid w:val="006435FA"/>
    <w:rsid w:val="006440F4"/>
    <w:rsid w:val="006443D0"/>
    <w:rsid w:val="00644C17"/>
    <w:rsid w:val="00645065"/>
    <w:rsid w:val="00645C7A"/>
    <w:rsid w:val="00646579"/>
    <w:rsid w:val="00646D2F"/>
    <w:rsid w:val="00646DAA"/>
    <w:rsid w:val="00650389"/>
    <w:rsid w:val="006503B9"/>
    <w:rsid w:val="00650661"/>
    <w:rsid w:val="006507F9"/>
    <w:rsid w:val="00650AF2"/>
    <w:rsid w:val="00651F58"/>
    <w:rsid w:val="006526BB"/>
    <w:rsid w:val="00652F32"/>
    <w:rsid w:val="0065404F"/>
    <w:rsid w:val="00654057"/>
    <w:rsid w:val="00654229"/>
    <w:rsid w:val="00654B13"/>
    <w:rsid w:val="00654F65"/>
    <w:rsid w:val="0065539B"/>
    <w:rsid w:val="00656971"/>
    <w:rsid w:val="00656B41"/>
    <w:rsid w:val="0065773F"/>
    <w:rsid w:val="006579E7"/>
    <w:rsid w:val="00661146"/>
    <w:rsid w:val="00661182"/>
    <w:rsid w:val="00661246"/>
    <w:rsid w:val="00661B5C"/>
    <w:rsid w:val="00662625"/>
    <w:rsid w:val="0066353C"/>
    <w:rsid w:val="00663A35"/>
    <w:rsid w:val="00663BE3"/>
    <w:rsid w:val="0066521C"/>
    <w:rsid w:val="006671FB"/>
    <w:rsid w:val="00667499"/>
    <w:rsid w:val="006678BA"/>
    <w:rsid w:val="00667CA8"/>
    <w:rsid w:val="00670CF4"/>
    <w:rsid w:val="00670D61"/>
    <w:rsid w:val="006714CC"/>
    <w:rsid w:val="0067199F"/>
    <w:rsid w:val="00671F1D"/>
    <w:rsid w:val="00671F4E"/>
    <w:rsid w:val="006726C7"/>
    <w:rsid w:val="00672EB9"/>
    <w:rsid w:val="006734E3"/>
    <w:rsid w:val="0067436E"/>
    <w:rsid w:val="00674C30"/>
    <w:rsid w:val="00674F63"/>
    <w:rsid w:val="006752ED"/>
    <w:rsid w:val="006753DF"/>
    <w:rsid w:val="00676772"/>
    <w:rsid w:val="00676C30"/>
    <w:rsid w:val="00677472"/>
    <w:rsid w:val="00677CBC"/>
    <w:rsid w:val="0068116D"/>
    <w:rsid w:val="0068273A"/>
    <w:rsid w:val="00682946"/>
    <w:rsid w:val="00682F6A"/>
    <w:rsid w:val="00684E08"/>
    <w:rsid w:val="00685924"/>
    <w:rsid w:val="00685AEA"/>
    <w:rsid w:val="00686126"/>
    <w:rsid w:val="0068655A"/>
    <w:rsid w:val="00686F89"/>
    <w:rsid w:val="006874C7"/>
    <w:rsid w:val="00687E02"/>
    <w:rsid w:val="006904EB"/>
    <w:rsid w:val="00690694"/>
    <w:rsid w:val="00690CAD"/>
    <w:rsid w:val="0069248E"/>
    <w:rsid w:val="00692F51"/>
    <w:rsid w:val="00693B6E"/>
    <w:rsid w:val="00693CFF"/>
    <w:rsid w:val="00694EB2"/>
    <w:rsid w:val="0069577E"/>
    <w:rsid w:val="00697611"/>
    <w:rsid w:val="006A0D6B"/>
    <w:rsid w:val="006A3E0D"/>
    <w:rsid w:val="006A51AA"/>
    <w:rsid w:val="006A573C"/>
    <w:rsid w:val="006A5D15"/>
    <w:rsid w:val="006A778C"/>
    <w:rsid w:val="006B004A"/>
    <w:rsid w:val="006B05FE"/>
    <w:rsid w:val="006B08EA"/>
    <w:rsid w:val="006B0A6E"/>
    <w:rsid w:val="006B0F77"/>
    <w:rsid w:val="006B196D"/>
    <w:rsid w:val="006B2B32"/>
    <w:rsid w:val="006B37AF"/>
    <w:rsid w:val="006B4913"/>
    <w:rsid w:val="006B4AFD"/>
    <w:rsid w:val="006B5760"/>
    <w:rsid w:val="006B5AE6"/>
    <w:rsid w:val="006B7081"/>
    <w:rsid w:val="006B78D5"/>
    <w:rsid w:val="006C02B7"/>
    <w:rsid w:val="006C08BB"/>
    <w:rsid w:val="006C28EA"/>
    <w:rsid w:val="006C3564"/>
    <w:rsid w:val="006C3BD7"/>
    <w:rsid w:val="006C3F21"/>
    <w:rsid w:val="006C413C"/>
    <w:rsid w:val="006C4505"/>
    <w:rsid w:val="006C4C4F"/>
    <w:rsid w:val="006C5871"/>
    <w:rsid w:val="006D017B"/>
    <w:rsid w:val="006D0BBD"/>
    <w:rsid w:val="006D0E96"/>
    <w:rsid w:val="006D1181"/>
    <w:rsid w:val="006D2026"/>
    <w:rsid w:val="006D2FFA"/>
    <w:rsid w:val="006D316B"/>
    <w:rsid w:val="006D4446"/>
    <w:rsid w:val="006D449F"/>
    <w:rsid w:val="006D4699"/>
    <w:rsid w:val="006D6398"/>
    <w:rsid w:val="006D6556"/>
    <w:rsid w:val="006D6716"/>
    <w:rsid w:val="006D67D7"/>
    <w:rsid w:val="006D7CBB"/>
    <w:rsid w:val="006E016C"/>
    <w:rsid w:val="006E0F1B"/>
    <w:rsid w:val="006E1B8A"/>
    <w:rsid w:val="006E2F2C"/>
    <w:rsid w:val="006E3154"/>
    <w:rsid w:val="006E3202"/>
    <w:rsid w:val="006E333E"/>
    <w:rsid w:val="006E464C"/>
    <w:rsid w:val="006E4AF9"/>
    <w:rsid w:val="006E4E99"/>
    <w:rsid w:val="006F0E45"/>
    <w:rsid w:val="006F1BEC"/>
    <w:rsid w:val="006F205D"/>
    <w:rsid w:val="006F34F9"/>
    <w:rsid w:val="006F3C8A"/>
    <w:rsid w:val="006F492E"/>
    <w:rsid w:val="006F4AFC"/>
    <w:rsid w:val="006F73A4"/>
    <w:rsid w:val="006F7BDD"/>
    <w:rsid w:val="006F7C52"/>
    <w:rsid w:val="007000CE"/>
    <w:rsid w:val="007002B3"/>
    <w:rsid w:val="007003A0"/>
    <w:rsid w:val="00700653"/>
    <w:rsid w:val="007008A1"/>
    <w:rsid w:val="00700905"/>
    <w:rsid w:val="00700A98"/>
    <w:rsid w:val="00701082"/>
    <w:rsid w:val="00701696"/>
    <w:rsid w:val="00702A01"/>
    <w:rsid w:val="00702E95"/>
    <w:rsid w:val="00703010"/>
    <w:rsid w:val="007036B4"/>
    <w:rsid w:val="00703B1B"/>
    <w:rsid w:val="007056AC"/>
    <w:rsid w:val="00705F27"/>
    <w:rsid w:val="00706741"/>
    <w:rsid w:val="00706C2E"/>
    <w:rsid w:val="007115AA"/>
    <w:rsid w:val="00713ECE"/>
    <w:rsid w:val="00714133"/>
    <w:rsid w:val="007149EA"/>
    <w:rsid w:val="00714E99"/>
    <w:rsid w:val="00715087"/>
    <w:rsid w:val="00715A82"/>
    <w:rsid w:val="00716876"/>
    <w:rsid w:val="00716F3D"/>
    <w:rsid w:val="00717011"/>
    <w:rsid w:val="007209D4"/>
    <w:rsid w:val="00720A54"/>
    <w:rsid w:val="00721872"/>
    <w:rsid w:val="00721B84"/>
    <w:rsid w:val="00721DB3"/>
    <w:rsid w:val="00722A4E"/>
    <w:rsid w:val="00722E06"/>
    <w:rsid w:val="0072319F"/>
    <w:rsid w:val="00723356"/>
    <w:rsid w:val="007233CD"/>
    <w:rsid w:val="007233D1"/>
    <w:rsid w:val="007236BC"/>
    <w:rsid w:val="00724868"/>
    <w:rsid w:val="0072581D"/>
    <w:rsid w:val="0072584C"/>
    <w:rsid w:val="0072639E"/>
    <w:rsid w:val="007264AD"/>
    <w:rsid w:val="00726672"/>
    <w:rsid w:val="007266C9"/>
    <w:rsid w:val="00727232"/>
    <w:rsid w:val="00730929"/>
    <w:rsid w:val="00730E94"/>
    <w:rsid w:val="00731057"/>
    <w:rsid w:val="007314FF"/>
    <w:rsid w:val="0073178D"/>
    <w:rsid w:val="00731C91"/>
    <w:rsid w:val="00731F66"/>
    <w:rsid w:val="0073219E"/>
    <w:rsid w:val="007334C8"/>
    <w:rsid w:val="007335E3"/>
    <w:rsid w:val="00734B71"/>
    <w:rsid w:val="007350D1"/>
    <w:rsid w:val="00735985"/>
    <w:rsid w:val="00736123"/>
    <w:rsid w:val="00736339"/>
    <w:rsid w:val="00736720"/>
    <w:rsid w:val="0073687F"/>
    <w:rsid w:val="00736D22"/>
    <w:rsid w:val="00741B1B"/>
    <w:rsid w:val="00744981"/>
    <w:rsid w:val="007454E5"/>
    <w:rsid w:val="00747DC4"/>
    <w:rsid w:val="007518D5"/>
    <w:rsid w:val="00752555"/>
    <w:rsid w:val="00752731"/>
    <w:rsid w:val="0075373C"/>
    <w:rsid w:val="00753B10"/>
    <w:rsid w:val="00753DC4"/>
    <w:rsid w:val="0075447B"/>
    <w:rsid w:val="007554AB"/>
    <w:rsid w:val="007554B8"/>
    <w:rsid w:val="00757531"/>
    <w:rsid w:val="00757A12"/>
    <w:rsid w:val="00757FD3"/>
    <w:rsid w:val="0076059D"/>
    <w:rsid w:val="00760B96"/>
    <w:rsid w:val="00760EEB"/>
    <w:rsid w:val="007618B1"/>
    <w:rsid w:val="0076192C"/>
    <w:rsid w:val="00761D15"/>
    <w:rsid w:val="00762398"/>
    <w:rsid w:val="0076286C"/>
    <w:rsid w:val="00763A52"/>
    <w:rsid w:val="00764A79"/>
    <w:rsid w:val="00764AE6"/>
    <w:rsid w:val="00764BA7"/>
    <w:rsid w:val="0076511E"/>
    <w:rsid w:val="007651CC"/>
    <w:rsid w:val="0076649C"/>
    <w:rsid w:val="00766667"/>
    <w:rsid w:val="00766F89"/>
    <w:rsid w:val="0076743A"/>
    <w:rsid w:val="0077123F"/>
    <w:rsid w:val="00772289"/>
    <w:rsid w:val="0077252C"/>
    <w:rsid w:val="00772A01"/>
    <w:rsid w:val="00772CFB"/>
    <w:rsid w:val="007754E1"/>
    <w:rsid w:val="007755D5"/>
    <w:rsid w:val="00775DC0"/>
    <w:rsid w:val="0077611B"/>
    <w:rsid w:val="00776D4E"/>
    <w:rsid w:val="00776EAD"/>
    <w:rsid w:val="00777F04"/>
    <w:rsid w:val="0078037B"/>
    <w:rsid w:val="00780884"/>
    <w:rsid w:val="007808DD"/>
    <w:rsid w:val="00780C15"/>
    <w:rsid w:val="00781FEF"/>
    <w:rsid w:val="00783204"/>
    <w:rsid w:val="007832A5"/>
    <w:rsid w:val="00783763"/>
    <w:rsid w:val="00783BF7"/>
    <w:rsid w:val="00783BF8"/>
    <w:rsid w:val="007845E8"/>
    <w:rsid w:val="0078478D"/>
    <w:rsid w:val="00784C14"/>
    <w:rsid w:val="00785C2B"/>
    <w:rsid w:val="00785C5C"/>
    <w:rsid w:val="007860D6"/>
    <w:rsid w:val="007872D5"/>
    <w:rsid w:val="00787AFB"/>
    <w:rsid w:val="00787DB0"/>
    <w:rsid w:val="0079238B"/>
    <w:rsid w:val="0079242E"/>
    <w:rsid w:val="00792A76"/>
    <w:rsid w:val="007931A7"/>
    <w:rsid w:val="00793C11"/>
    <w:rsid w:val="00793DD5"/>
    <w:rsid w:val="0079409B"/>
    <w:rsid w:val="007949A3"/>
    <w:rsid w:val="00794B48"/>
    <w:rsid w:val="007955E2"/>
    <w:rsid w:val="0079790E"/>
    <w:rsid w:val="007A0013"/>
    <w:rsid w:val="007A05D1"/>
    <w:rsid w:val="007A08A5"/>
    <w:rsid w:val="007A1F7B"/>
    <w:rsid w:val="007A1FB1"/>
    <w:rsid w:val="007A2581"/>
    <w:rsid w:val="007A31BA"/>
    <w:rsid w:val="007A32F3"/>
    <w:rsid w:val="007A4925"/>
    <w:rsid w:val="007A4E1B"/>
    <w:rsid w:val="007A4E72"/>
    <w:rsid w:val="007A5599"/>
    <w:rsid w:val="007A5C85"/>
    <w:rsid w:val="007A5ED0"/>
    <w:rsid w:val="007A5FE2"/>
    <w:rsid w:val="007A633C"/>
    <w:rsid w:val="007A66D0"/>
    <w:rsid w:val="007A6BF4"/>
    <w:rsid w:val="007A7542"/>
    <w:rsid w:val="007A7841"/>
    <w:rsid w:val="007A7EE1"/>
    <w:rsid w:val="007B002A"/>
    <w:rsid w:val="007B0D2C"/>
    <w:rsid w:val="007B0E81"/>
    <w:rsid w:val="007B183A"/>
    <w:rsid w:val="007B1F0B"/>
    <w:rsid w:val="007B2044"/>
    <w:rsid w:val="007B2825"/>
    <w:rsid w:val="007B3BD3"/>
    <w:rsid w:val="007B3F41"/>
    <w:rsid w:val="007B42E5"/>
    <w:rsid w:val="007B58CF"/>
    <w:rsid w:val="007C0316"/>
    <w:rsid w:val="007C06DD"/>
    <w:rsid w:val="007C06EA"/>
    <w:rsid w:val="007C0F57"/>
    <w:rsid w:val="007C0FBF"/>
    <w:rsid w:val="007C1122"/>
    <w:rsid w:val="007C1204"/>
    <w:rsid w:val="007C2053"/>
    <w:rsid w:val="007C230C"/>
    <w:rsid w:val="007C26E7"/>
    <w:rsid w:val="007C2B88"/>
    <w:rsid w:val="007C5961"/>
    <w:rsid w:val="007C7044"/>
    <w:rsid w:val="007C727A"/>
    <w:rsid w:val="007C7636"/>
    <w:rsid w:val="007D0DE7"/>
    <w:rsid w:val="007D117D"/>
    <w:rsid w:val="007D1B1A"/>
    <w:rsid w:val="007D2E3F"/>
    <w:rsid w:val="007D4085"/>
    <w:rsid w:val="007D534A"/>
    <w:rsid w:val="007D5407"/>
    <w:rsid w:val="007D5C3B"/>
    <w:rsid w:val="007D5FB1"/>
    <w:rsid w:val="007D6465"/>
    <w:rsid w:val="007E0B1F"/>
    <w:rsid w:val="007E27FE"/>
    <w:rsid w:val="007E31EC"/>
    <w:rsid w:val="007E3B3F"/>
    <w:rsid w:val="007E3F6C"/>
    <w:rsid w:val="007E42FB"/>
    <w:rsid w:val="007E43FF"/>
    <w:rsid w:val="007E5466"/>
    <w:rsid w:val="007E642B"/>
    <w:rsid w:val="007E667C"/>
    <w:rsid w:val="007E7482"/>
    <w:rsid w:val="007E7F47"/>
    <w:rsid w:val="007F04E0"/>
    <w:rsid w:val="007F2084"/>
    <w:rsid w:val="007F385D"/>
    <w:rsid w:val="007F3CBA"/>
    <w:rsid w:val="007F4879"/>
    <w:rsid w:val="007F5367"/>
    <w:rsid w:val="007F5EC9"/>
    <w:rsid w:val="007F6085"/>
    <w:rsid w:val="007F611D"/>
    <w:rsid w:val="007F6222"/>
    <w:rsid w:val="007F730E"/>
    <w:rsid w:val="007F7F99"/>
    <w:rsid w:val="00800254"/>
    <w:rsid w:val="00800B2D"/>
    <w:rsid w:val="0080133A"/>
    <w:rsid w:val="0080354A"/>
    <w:rsid w:val="0080465B"/>
    <w:rsid w:val="00805620"/>
    <w:rsid w:val="00806410"/>
    <w:rsid w:val="00807B7D"/>
    <w:rsid w:val="00807FC1"/>
    <w:rsid w:val="00811C91"/>
    <w:rsid w:val="00811EFC"/>
    <w:rsid w:val="00812243"/>
    <w:rsid w:val="00813E41"/>
    <w:rsid w:val="00813EC7"/>
    <w:rsid w:val="00814178"/>
    <w:rsid w:val="00814461"/>
    <w:rsid w:val="00814719"/>
    <w:rsid w:val="00814B81"/>
    <w:rsid w:val="00815100"/>
    <w:rsid w:val="00815A08"/>
    <w:rsid w:val="00816041"/>
    <w:rsid w:val="0081681A"/>
    <w:rsid w:val="008202E7"/>
    <w:rsid w:val="0082127C"/>
    <w:rsid w:val="008215CE"/>
    <w:rsid w:val="00822553"/>
    <w:rsid w:val="0082269D"/>
    <w:rsid w:val="00822A41"/>
    <w:rsid w:val="00822C34"/>
    <w:rsid w:val="00823B1D"/>
    <w:rsid w:val="0082481C"/>
    <w:rsid w:val="00824F8E"/>
    <w:rsid w:val="0082636A"/>
    <w:rsid w:val="00826D51"/>
    <w:rsid w:val="008271AE"/>
    <w:rsid w:val="008276CE"/>
    <w:rsid w:val="008301DF"/>
    <w:rsid w:val="008302FE"/>
    <w:rsid w:val="0083041B"/>
    <w:rsid w:val="008307B3"/>
    <w:rsid w:val="0083126C"/>
    <w:rsid w:val="008319D3"/>
    <w:rsid w:val="008319DD"/>
    <w:rsid w:val="00831E80"/>
    <w:rsid w:val="008322A1"/>
    <w:rsid w:val="0083273C"/>
    <w:rsid w:val="00832BF6"/>
    <w:rsid w:val="008332D6"/>
    <w:rsid w:val="008339C0"/>
    <w:rsid w:val="00833A9F"/>
    <w:rsid w:val="00834DE8"/>
    <w:rsid w:val="0083556E"/>
    <w:rsid w:val="00835A81"/>
    <w:rsid w:val="00836384"/>
    <w:rsid w:val="00836782"/>
    <w:rsid w:val="00837678"/>
    <w:rsid w:val="00840767"/>
    <w:rsid w:val="00841026"/>
    <w:rsid w:val="00842F5B"/>
    <w:rsid w:val="0084303D"/>
    <w:rsid w:val="0084308F"/>
    <w:rsid w:val="00843D70"/>
    <w:rsid w:val="0084464C"/>
    <w:rsid w:val="0084512A"/>
    <w:rsid w:val="00845630"/>
    <w:rsid w:val="008456DE"/>
    <w:rsid w:val="00845791"/>
    <w:rsid w:val="0084616B"/>
    <w:rsid w:val="00847346"/>
    <w:rsid w:val="00847981"/>
    <w:rsid w:val="00847F8C"/>
    <w:rsid w:val="008506EE"/>
    <w:rsid w:val="00850992"/>
    <w:rsid w:val="00851661"/>
    <w:rsid w:val="0085244D"/>
    <w:rsid w:val="008524C6"/>
    <w:rsid w:val="00854502"/>
    <w:rsid w:val="00855CE2"/>
    <w:rsid w:val="00856E5F"/>
    <w:rsid w:val="00856EA8"/>
    <w:rsid w:val="00857EC0"/>
    <w:rsid w:val="00857F4C"/>
    <w:rsid w:val="00860056"/>
    <w:rsid w:val="008610C0"/>
    <w:rsid w:val="00861355"/>
    <w:rsid w:val="00861374"/>
    <w:rsid w:val="0086280B"/>
    <w:rsid w:val="00863848"/>
    <w:rsid w:val="00864371"/>
    <w:rsid w:val="008659C2"/>
    <w:rsid w:val="00865D04"/>
    <w:rsid w:val="00865F2A"/>
    <w:rsid w:val="0086605C"/>
    <w:rsid w:val="00866793"/>
    <w:rsid w:val="00870A88"/>
    <w:rsid w:val="00870C46"/>
    <w:rsid w:val="008712E0"/>
    <w:rsid w:val="008716F4"/>
    <w:rsid w:val="00871760"/>
    <w:rsid w:val="00871853"/>
    <w:rsid w:val="008721F1"/>
    <w:rsid w:val="008735EA"/>
    <w:rsid w:val="00874D37"/>
    <w:rsid w:val="00875B8F"/>
    <w:rsid w:val="00876496"/>
    <w:rsid w:val="008765BB"/>
    <w:rsid w:val="00876B3B"/>
    <w:rsid w:val="008772AC"/>
    <w:rsid w:val="00877B2E"/>
    <w:rsid w:val="00877E11"/>
    <w:rsid w:val="0088083A"/>
    <w:rsid w:val="00881AA6"/>
    <w:rsid w:val="00881BED"/>
    <w:rsid w:val="00881D7A"/>
    <w:rsid w:val="00883F66"/>
    <w:rsid w:val="008845E2"/>
    <w:rsid w:val="008855DB"/>
    <w:rsid w:val="00885C2F"/>
    <w:rsid w:val="00885EBC"/>
    <w:rsid w:val="0088638C"/>
    <w:rsid w:val="008866E6"/>
    <w:rsid w:val="00886A7C"/>
    <w:rsid w:val="0088703E"/>
    <w:rsid w:val="00887BF0"/>
    <w:rsid w:val="00887E6B"/>
    <w:rsid w:val="0089035F"/>
    <w:rsid w:val="00891D21"/>
    <w:rsid w:val="00892479"/>
    <w:rsid w:val="0089259C"/>
    <w:rsid w:val="008926BC"/>
    <w:rsid w:val="00892763"/>
    <w:rsid w:val="00892886"/>
    <w:rsid w:val="008931B7"/>
    <w:rsid w:val="00893D94"/>
    <w:rsid w:val="00894BE7"/>
    <w:rsid w:val="00895C78"/>
    <w:rsid w:val="00896952"/>
    <w:rsid w:val="008969E7"/>
    <w:rsid w:val="00896C4B"/>
    <w:rsid w:val="008975C1"/>
    <w:rsid w:val="008A111C"/>
    <w:rsid w:val="008A1CB7"/>
    <w:rsid w:val="008A5BD1"/>
    <w:rsid w:val="008A7805"/>
    <w:rsid w:val="008B03E0"/>
    <w:rsid w:val="008B043B"/>
    <w:rsid w:val="008B04B9"/>
    <w:rsid w:val="008B10E2"/>
    <w:rsid w:val="008B2ADD"/>
    <w:rsid w:val="008B2CD3"/>
    <w:rsid w:val="008B30F6"/>
    <w:rsid w:val="008B5500"/>
    <w:rsid w:val="008B55F1"/>
    <w:rsid w:val="008B5ACC"/>
    <w:rsid w:val="008B5CA2"/>
    <w:rsid w:val="008B66BC"/>
    <w:rsid w:val="008B69A4"/>
    <w:rsid w:val="008B72B1"/>
    <w:rsid w:val="008B7A78"/>
    <w:rsid w:val="008B7E71"/>
    <w:rsid w:val="008C0606"/>
    <w:rsid w:val="008C09DB"/>
    <w:rsid w:val="008C0B2A"/>
    <w:rsid w:val="008C0D8A"/>
    <w:rsid w:val="008C114F"/>
    <w:rsid w:val="008C1600"/>
    <w:rsid w:val="008C1CDC"/>
    <w:rsid w:val="008C2079"/>
    <w:rsid w:val="008C2827"/>
    <w:rsid w:val="008C32E6"/>
    <w:rsid w:val="008C49A1"/>
    <w:rsid w:val="008C4E82"/>
    <w:rsid w:val="008C5097"/>
    <w:rsid w:val="008C5B6C"/>
    <w:rsid w:val="008C5C52"/>
    <w:rsid w:val="008C694A"/>
    <w:rsid w:val="008C7A87"/>
    <w:rsid w:val="008D0843"/>
    <w:rsid w:val="008D1053"/>
    <w:rsid w:val="008D1631"/>
    <w:rsid w:val="008D1BC1"/>
    <w:rsid w:val="008D1CDC"/>
    <w:rsid w:val="008D2024"/>
    <w:rsid w:val="008D25BD"/>
    <w:rsid w:val="008D26B7"/>
    <w:rsid w:val="008D2E35"/>
    <w:rsid w:val="008D435A"/>
    <w:rsid w:val="008D5450"/>
    <w:rsid w:val="008D5CDF"/>
    <w:rsid w:val="008D674F"/>
    <w:rsid w:val="008D6C36"/>
    <w:rsid w:val="008D6DC7"/>
    <w:rsid w:val="008E0002"/>
    <w:rsid w:val="008E15AF"/>
    <w:rsid w:val="008E15DC"/>
    <w:rsid w:val="008E1D48"/>
    <w:rsid w:val="008E208A"/>
    <w:rsid w:val="008E32E7"/>
    <w:rsid w:val="008E34B3"/>
    <w:rsid w:val="008E3A66"/>
    <w:rsid w:val="008E3EDF"/>
    <w:rsid w:val="008E4B40"/>
    <w:rsid w:val="008E4BD2"/>
    <w:rsid w:val="008E539E"/>
    <w:rsid w:val="008E5446"/>
    <w:rsid w:val="008E6C58"/>
    <w:rsid w:val="008E6DA5"/>
    <w:rsid w:val="008E6E3D"/>
    <w:rsid w:val="008F13E6"/>
    <w:rsid w:val="008F2125"/>
    <w:rsid w:val="008F23EF"/>
    <w:rsid w:val="008F3AF4"/>
    <w:rsid w:val="008F558D"/>
    <w:rsid w:val="008F7E7F"/>
    <w:rsid w:val="00900407"/>
    <w:rsid w:val="0090097D"/>
    <w:rsid w:val="00900D88"/>
    <w:rsid w:val="00901ADA"/>
    <w:rsid w:val="0090263D"/>
    <w:rsid w:val="00902F4B"/>
    <w:rsid w:val="00903A28"/>
    <w:rsid w:val="009049E0"/>
    <w:rsid w:val="00904F42"/>
    <w:rsid w:val="0090568E"/>
    <w:rsid w:val="00905FE4"/>
    <w:rsid w:val="0090712B"/>
    <w:rsid w:val="00907E7D"/>
    <w:rsid w:val="009100D9"/>
    <w:rsid w:val="00911159"/>
    <w:rsid w:val="009111B5"/>
    <w:rsid w:val="00913BE4"/>
    <w:rsid w:val="009148F5"/>
    <w:rsid w:val="00916022"/>
    <w:rsid w:val="00916D82"/>
    <w:rsid w:val="00917523"/>
    <w:rsid w:val="00920137"/>
    <w:rsid w:val="00920B9A"/>
    <w:rsid w:val="00920FDC"/>
    <w:rsid w:val="00921563"/>
    <w:rsid w:val="009223BB"/>
    <w:rsid w:val="0092259C"/>
    <w:rsid w:val="00923C77"/>
    <w:rsid w:val="00924616"/>
    <w:rsid w:val="0092561E"/>
    <w:rsid w:val="00925ECA"/>
    <w:rsid w:val="00926684"/>
    <w:rsid w:val="00926AC2"/>
    <w:rsid w:val="00926C52"/>
    <w:rsid w:val="0092728F"/>
    <w:rsid w:val="00927C08"/>
    <w:rsid w:val="0093175F"/>
    <w:rsid w:val="0093339C"/>
    <w:rsid w:val="00933D39"/>
    <w:rsid w:val="00934F5D"/>
    <w:rsid w:val="009352DA"/>
    <w:rsid w:val="00935AC0"/>
    <w:rsid w:val="009367F6"/>
    <w:rsid w:val="00937D76"/>
    <w:rsid w:val="009410BD"/>
    <w:rsid w:val="00941745"/>
    <w:rsid w:val="00941DD0"/>
    <w:rsid w:val="009432B1"/>
    <w:rsid w:val="00943713"/>
    <w:rsid w:val="00944ED9"/>
    <w:rsid w:val="00945F00"/>
    <w:rsid w:val="0094661F"/>
    <w:rsid w:val="00946CAD"/>
    <w:rsid w:val="00946F3D"/>
    <w:rsid w:val="0094702D"/>
    <w:rsid w:val="00947746"/>
    <w:rsid w:val="00947D3B"/>
    <w:rsid w:val="009501CE"/>
    <w:rsid w:val="0095037B"/>
    <w:rsid w:val="00952073"/>
    <w:rsid w:val="00953673"/>
    <w:rsid w:val="00955251"/>
    <w:rsid w:val="00955A31"/>
    <w:rsid w:val="00955CA2"/>
    <w:rsid w:val="0095687B"/>
    <w:rsid w:val="00956C03"/>
    <w:rsid w:val="0095732A"/>
    <w:rsid w:val="009575C4"/>
    <w:rsid w:val="00957922"/>
    <w:rsid w:val="00957A09"/>
    <w:rsid w:val="00957DE9"/>
    <w:rsid w:val="00957ED9"/>
    <w:rsid w:val="00960390"/>
    <w:rsid w:val="0096084B"/>
    <w:rsid w:val="00960F9F"/>
    <w:rsid w:val="00961004"/>
    <w:rsid w:val="00961434"/>
    <w:rsid w:val="00961DB6"/>
    <w:rsid w:val="00962080"/>
    <w:rsid w:val="009622AB"/>
    <w:rsid w:val="009622B3"/>
    <w:rsid w:val="009629D7"/>
    <w:rsid w:val="00963865"/>
    <w:rsid w:val="00963950"/>
    <w:rsid w:val="0096402D"/>
    <w:rsid w:val="0096429F"/>
    <w:rsid w:val="009642A6"/>
    <w:rsid w:val="00965684"/>
    <w:rsid w:val="00966E97"/>
    <w:rsid w:val="00966FDB"/>
    <w:rsid w:val="00967123"/>
    <w:rsid w:val="00967AB9"/>
    <w:rsid w:val="0097117F"/>
    <w:rsid w:val="00971675"/>
    <w:rsid w:val="00971906"/>
    <w:rsid w:val="009720B9"/>
    <w:rsid w:val="009723C8"/>
    <w:rsid w:val="009726C9"/>
    <w:rsid w:val="00972EE3"/>
    <w:rsid w:val="009743BD"/>
    <w:rsid w:val="0097491B"/>
    <w:rsid w:val="00975360"/>
    <w:rsid w:val="00975DB7"/>
    <w:rsid w:val="0097615F"/>
    <w:rsid w:val="00976E9A"/>
    <w:rsid w:val="009772CA"/>
    <w:rsid w:val="009808C8"/>
    <w:rsid w:val="00980A5D"/>
    <w:rsid w:val="009813F8"/>
    <w:rsid w:val="00982A74"/>
    <w:rsid w:val="0098499A"/>
    <w:rsid w:val="00985A39"/>
    <w:rsid w:val="00986150"/>
    <w:rsid w:val="0098624D"/>
    <w:rsid w:val="00986A13"/>
    <w:rsid w:val="00987059"/>
    <w:rsid w:val="0098787C"/>
    <w:rsid w:val="00987ECB"/>
    <w:rsid w:val="0099028C"/>
    <w:rsid w:val="009902A5"/>
    <w:rsid w:val="00990D79"/>
    <w:rsid w:val="00991492"/>
    <w:rsid w:val="00991709"/>
    <w:rsid w:val="0099183E"/>
    <w:rsid w:val="00991FD3"/>
    <w:rsid w:val="009925FD"/>
    <w:rsid w:val="009926E2"/>
    <w:rsid w:val="009929AF"/>
    <w:rsid w:val="00992A3B"/>
    <w:rsid w:val="00992DBA"/>
    <w:rsid w:val="0099305B"/>
    <w:rsid w:val="00994549"/>
    <w:rsid w:val="0099462D"/>
    <w:rsid w:val="00994A9A"/>
    <w:rsid w:val="0099586A"/>
    <w:rsid w:val="00995FF8"/>
    <w:rsid w:val="0099628D"/>
    <w:rsid w:val="00997038"/>
    <w:rsid w:val="00997338"/>
    <w:rsid w:val="009973F3"/>
    <w:rsid w:val="00997AB6"/>
    <w:rsid w:val="00997E4C"/>
    <w:rsid w:val="00997FDC"/>
    <w:rsid w:val="00997FF2"/>
    <w:rsid w:val="009A02C2"/>
    <w:rsid w:val="009A0C81"/>
    <w:rsid w:val="009A0F95"/>
    <w:rsid w:val="009A249B"/>
    <w:rsid w:val="009A2FE3"/>
    <w:rsid w:val="009A3DC9"/>
    <w:rsid w:val="009A53A7"/>
    <w:rsid w:val="009A54CB"/>
    <w:rsid w:val="009A55C0"/>
    <w:rsid w:val="009A6329"/>
    <w:rsid w:val="009A7DF1"/>
    <w:rsid w:val="009B002D"/>
    <w:rsid w:val="009B0402"/>
    <w:rsid w:val="009B26CA"/>
    <w:rsid w:val="009B26E4"/>
    <w:rsid w:val="009B2B89"/>
    <w:rsid w:val="009B2CFB"/>
    <w:rsid w:val="009B41A0"/>
    <w:rsid w:val="009B5137"/>
    <w:rsid w:val="009B54D9"/>
    <w:rsid w:val="009B610C"/>
    <w:rsid w:val="009B7A50"/>
    <w:rsid w:val="009C075C"/>
    <w:rsid w:val="009C0769"/>
    <w:rsid w:val="009C1474"/>
    <w:rsid w:val="009C2131"/>
    <w:rsid w:val="009C32A4"/>
    <w:rsid w:val="009C3CD2"/>
    <w:rsid w:val="009C59A5"/>
    <w:rsid w:val="009C63E9"/>
    <w:rsid w:val="009C7DB1"/>
    <w:rsid w:val="009C7F55"/>
    <w:rsid w:val="009D1A65"/>
    <w:rsid w:val="009D3973"/>
    <w:rsid w:val="009D4348"/>
    <w:rsid w:val="009D434B"/>
    <w:rsid w:val="009D4B1F"/>
    <w:rsid w:val="009D6019"/>
    <w:rsid w:val="009D6C44"/>
    <w:rsid w:val="009D6F7E"/>
    <w:rsid w:val="009D719E"/>
    <w:rsid w:val="009D7CAF"/>
    <w:rsid w:val="009E0551"/>
    <w:rsid w:val="009E1CB5"/>
    <w:rsid w:val="009E2CE8"/>
    <w:rsid w:val="009E34A5"/>
    <w:rsid w:val="009E3B90"/>
    <w:rsid w:val="009E58CD"/>
    <w:rsid w:val="009E61D7"/>
    <w:rsid w:val="009E62BE"/>
    <w:rsid w:val="009E6468"/>
    <w:rsid w:val="009E65AC"/>
    <w:rsid w:val="009E7591"/>
    <w:rsid w:val="009E7E56"/>
    <w:rsid w:val="009F00E3"/>
    <w:rsid w:val="009F027D"/>
    <w:rsid w:val="009F148B"/>
    <w:rsid w:val="009F2286"/>
    <w:rsid w:val="009F2A05"/>
    <w:rsid w:val="009F3824"/>
    <w:rsid w:val="009F391B"/>
    <w:rsid w:val="009F4354"/>
    <w:rsid w:val="009F43F0"/>
    <w:rsid w:val="009F5B46"/>
    <w:rsid w:val="009F64FA"/>
    <w:rsid w:val="00A01550"/>
    <w:rsid w:val="00A0287B"/>
    <w:rsid w:val="00A0324A"/>
    <w:rsid w:val="00A0442E"/>
    <w:rsid w:val="00A04B96"/>
    <w:rsid w:val="00A04DF6"/>
    <w:rsid w:val="00A05C81"/>
    <w:rsid w:val="00A06C0D"/>
    <w:rsid w:val="00A06F19"/>
    <w:rsid w:val="00A06FEA"/>
    <w:rsid w:val="00A07BF8"/>
    <w:rsid w:val="00A10111"/>
    <w:rsid w:val="00A10715"/>
    <w:rsid w:val="00A1134A"/>
    <w:rsid w:val="00A1141B"/>
    <w:rsid w:val="00A12096"/>
    <w:rsid w:val="00A124EB"/>
    <w:rsid w:val="00A14154"/>
    <w:rsid w:val="00A1438A"/>
    <w:rsid w:val="00A147B2"/>
    <w:rsid w:val="00A1674F"/>
    <w:rsid w:val="00A2000A"/>
    <w:rsid w:val="00A20DC3"/>
    <w:rsid w:val="00A212C8"/>
    <w:rsid w:val="00A2188F"/>
    <w:rsid w:val="00A21902"/>
    <w:rsid w:val="00A21C68"/>
    <w:rsid w:val="00A22D1F"/>
    <w:rsid w:val="00A231C4"/>
    <w:rsid w:val="00A2357E"/>
    <w:rsid w:val="00A235AB"/>
    <w:rsid w:val="00A239A9"/>
    <w:rsid w:val="00A24AF7"/>
    <w:rsid w:val="00A25224"/>
    <w:rsid w:val="00A25504"/>
    <w:rsid w:val="00A25691"/>
    <w:rsid w:val="00A25B9E"/>
    <w:rsid w:val="00A25FCE"/>
    <w:rsid w:val="00A26275"/>
    <w:rsid w:val="00A2680A"/>
    <w:rsid w:val="00A27724"/>
    <w:rsid w:val="00A27EFC"/>
    <w:rsid w:val="00A307A4"/>
    <w:rsid w:val="00A30840"/>
    <w:rsid w:val="00A3113F"/>
    <w:rsid w:val="00A3134A"/>
    <w:rsid w:val="00A316F2"/>
    <w:rsid w:val="00A325D9"/>
    <w:rsid w:val="00A32896"/>
    <w:rsid w:val="00A349F3"/>
    <w:rsid w:val="00A3543E"/>
    <w:rsid w:val="00A35660"/>
    <w:rsid w:val="00A35748"/>
    <w:rsid w:val="00A35CA4"/>
    <w:rsid w:val="00A375BC"/>
    <w:rsid w:val="00A379DB"/>
    <w:rsid w:val="00A40111"/>
    <w:rsid w:val="00A401F3"/>
    <w:rsid w:val="00A41B98"/>
    <w:rsid w:val="00A4256C"/>
    <w:rsid w:val="00A43E59"/>
    <w:rsid w:val="00A44267"/>
    <w:rsid w:val="00A446F1"/>
    <w:rsid w:val="00A44810"/>
    <w:rsid w:val="00A47158"/>
    <w:rsid w:val="00A4721F"/>
    <w:rsid w:val="00A473B2"/>
    <w:rsid w:val="00A50B8D"/>
    <w:rsid w:val="00A51F9A"/>
    <w:rsid w:val="00A52215"/>
    <w:rsid w:val="00A52BA8"/>
    <w:rsid w:val="00A5309E"/>
    <w:rsid w:val="00A53C6C"/>
    <w:rsid w:val="00A5462D"/>
    <w:rsid w:val="00A555E2"/>
    <w:rsid w:val="00A55BF6"/>
    <w:rsid w:val="00A55E79"/>
    <w:rsid w:val="00A565AB"/>
    <w:rsid w:val="00A565B3"/>
    <w:rsid w:val="00A5665D"/>
    <w:rsid w:val="00A56F36"/>
    <w:rsid w:val="00A57EBE"/>
    <w:rsid w:val="00A601E6"/>
    <w:rsid w:val="00A60C2B"/>
    <w:rsid w:val="00A61204"/>
    <w:rsid w:val="00A6339E"/>
    <w:rsid w:val="00A63805"/>
    <w:rsid w:val="00A64498"/>
    <w:rsid w:val="00A6463A"/>
    <w:rsid w:val="00A647B8"/>
    <w:rsid w:val="00A64EE4"/>
    <w:rsid w:val="00A65055"/>
    <w:rsid w:val="00A6563A"/>
    <w:rsid w:val="00A65E3B"/>
    <w:rsid w:val="00A65E91"/>
    <w:rsid w:val="00A65FDA"/>
    <w:rsid w:val="00A668E6"/>
    <w:rsid w:val="00A6730B"/>
    <w:rsid w:val="00A714B0"/>
    <w:rsid w:val="00A732BC"/>
    <w:rsid w:val="00A73D04"/>
    <w:rsid w:val="00A74A71"/>
    <w:rsid w:val="00A75DD2"/>
    <w:rsid w:val="00A76B0F"/>
    <w:rsid w:val="00A76ECD"/>
    <w:rsid w:val="00A80D21"/>
    <w:rsid w:val="00A81175"/>
    <w:rsid w:val="00A840A5"/>
    <w:rsid w:val="00A847C3"/>
    <w:rsid w:val="00A84B5D"/>
    <w:rsid w:val="00A84D9E"/>
    <w:rsid w:val="00A8548B"/>
    <w:rsid w:val="00A854B6"/>
    <w:rsid w:val="00A859E7"/>
    <w:rsid w:val="00A85B6D"/>
    <w:rsid w:val="00A85C41"/>
    <w:rsid w:val="00A85EFA"/>
    <w:rsid w:val="00A86693"/>
    <w:rsid w:val="00A87EE3"/>
    <w:rsid w:val="00A92775"/>
    <w:rsid w:val="00A93BED"/>
    <w:rsid w:val="00A9421B"/>
    <w:rsid w:val="00A950FB"/>
    <w:rsid w:val="00A95706"/>
    <w:rsid w:val="00A96B34"/>
    <w:rsid w:val="00A97243"/>
    <w:rsid w:val="00A978CC"/>
    <w:rsid w:val="00AA066C"/>
    <w:rsid w:val="00AA1B5B"/>
    <w:rsid w:val="00AA1DBD"/>
    <w:rsid w:val="00AA2EC7"/>
    <w:rsid w:val="00AA2F7B"/>
    <w:rsid w:val="00AA3CD0"/>
    <w:rsid w:val="00AA3FCC"/>
    <w:rsid w:val="00AA5635"/>
    <w:rsid w:val="00AA63DD"/>
    <w:rsid w:val="00AA6414"/>
    <w:rsid w:val="00AA6CF3"/>
    <w:rsid w:val="00AA70C2"/>
    <w:rsid w:val="00AA7D20"/>
    <w:rsid w:val="00AB00B1"/>
    <w:rsid w:val="00AB023E"/>
    <w:rsid w:val="00AB02A2"/>
    <w:rsid w:val="00AB0BFF"/>
    <w:rsid w:val="00AB19AB"/>
    <w:rsid w:val="00AB1B66"/>
    <w:rsid w:val="00AB392B"/>
    <w:rsid w:val="00AB3FE8"/>
    <w:rsid w:val="00AB44DE"/>
    <w:rsid w:val="00AB55DF"/>
    <w:rsid w:val="00AB5ED1"/>
    <w:rsid w:val="00AB6949"/>
    <w:rsid w:val="00AB6E37"/>
    <w:rsid w:val="00AC12DB"/>
    <w:rsid w:val="00AC15C1"/>
    <w:rsid w:val="00AC1694"/>
    <w:rsid w:val="00AC1709"/>
    <w:rsid w:val="00AC27EF"/>
    <w:rsid w:val="00AC3136"/>
    <w:rsid w:val="00AC4584"/>
    <w:rsid w:val="00AC568B"/>
    <w:rsid w:val="00AC5EB2"/>
    <w:rsid w:val="00AC6034"/>
    <w:rsid w:val="00AC6921"/>
    <w:rsid w:val="00AC6943"/>
    <w:rsid w:val="00AD0E4F"/>
    <w:rsid w:val="00AD146F"/>
    <w:rsid w:val="00AD1593"/>
    <w:rsid w:val="00AD16D0"/>
    <w:rsid w:val="00AD1EB3"/>
    <w:rsid w:val="00AD2188"/>
    <w:rsid w:val="00AD2A98"/>
    <w:rsid w:val="00AD37C6"/>
    <w:rsid w:val="00AD49D0"/>
    <w:rsid w:val="00AD5E07"/>
    <w:rsid w:val="00AD7000"/>
    <w:rsid w:val="00AD72B0"/>
    <w:rsid w:val="00AD7799"/>
    <w:rsid w:val="00AD7DC2"/>
    <w:rsid w:val="00AE048A"/>
    <w:rsid w:val="00AE072F"/>
    <w:rsid w:val="00AE0B12"/>
    <w:rsid w:val="00AE0DE4"/>
    <w:rsid w:val="00AE1BE2"/>
    <w:rsid w:val="00AE3173"/>
    <w:rsid w:val="00AE3275"/>
    <w:rsid w:val="00AE3C4D"/>
    <w:rsid w:val="00AE4B67"/>
    <w:rsid w:val="00AE5097"/>
    <w:rsid w:val="00AE5CA0"/>
    <w:rsid w:val="00AF0330"/>
    <w:rsid w:val="00AF06EF"/>
    <w:rsid w:val="00AF1BA5"/>
    <w:rsid w:val="00AF1D0E"/>
    <w:rsid w:val="00AF1E3E"/>
    <w:rsid w:val="00AF2FA1"/>
    <w:rsid w:val="00AF3713"/>
    <w:rsid w:val="00AF3A84"/>
    <w:rsid w:val="00AF3FB2"/>
    <w:rsid w:val="00AF490B"/>
    <w:rsid w:val="00AF56CA"/>
    <w:rsid w:val="00AF5844"/>
    <w:rsid w:val="00AF5A69"/>
    <w:rsid w:val="00AF5DEC"/>
    <w:rsid w:val="00AF64C7"/>
    <w:rsid w:val="00AF69EC"/>
    <w:rsid w:val="00AF6E3C"/>
    <w:rsid w:val="00B00F1A"/>
    <w:rsid w:val="00B01456"/>
    <w:rsid w:val="00B0184F"/>
    <w:rsid w:val="00B01999"/>
    <w:rsid w:val="00B020D5"/>
    <w:rsid w:val="00B02186"/>
    <w:rsid w:val="00B0553F"/>
    <w:rsid w:val="00B057EF"/>
    <w:rsid w:val="00B05A31"/>
    <w:rsid w:val="00B05FA5"/>
    <w:rsid w:val="00B06564"/>
    <w:rsid w:val="00B06701"/>
    <w:rsid w:val="00B06BE0"/>
    <w:rsid w:val="00B070E6"/>
    <w:rsid w:val="00B105A1"/>
    <w:rsid w:val="00B11A42"/>
    <w:rsid w:val="00B11BD7"/>
    <w:rsid w:val="00B12A95"/>
    <w:rsid w:val="00B12F67"/>
    <w:rsid w:val="00B14282"/>
    <w:rsid w:val="00B14630"/>
    <w:rsid w:val="00B14D94"/>
    <w:rsid w:val="00B14DDD"/>
    <w:rsid w:val="00B154E0"/>
    <w:rsid w:val="00B16EEB"/>
    <w:rsid w:val="00B16F35"/>
    <w:rsid w:val="00B17803"/>
    <w:rsid w:val="00B17FA2"/>
    <w:rsid w:val="00B2032B"/>
    <w:rsid w:val="00B2087C"/>
    <w:rsid w:val="00B20CBF"/>
    <w:rsid w:val="00B22085"/>
    <w:rsid w:val="00B220A4"/>
    <w:rsid w:val="00B234B0"/>
    <w:rsid w:val="00B23E3E"/>
    <w:rsid w:val="00B24430"/>
    <w:rsid w:val="00B24CF7"/>
    <w:rsid w:val="00B25204"/>
    <w:rsid w:val="00B26F34"/>
    <w:rsid w:val="00B2749F"/>
    <w:rsid w:val="00B30133"/>
    <w:rsid w:val="00B313A3"/>
    <w:rsid w:val="00B31AC0"/>
    <w:rsid w:val="00B31FEC"/>
    <w:rsid w:val="00B32408"/>
    <w:rsid w:val="00B330CB"/>
    <w:rsid w:val="00B33ECD"/>
    <w:rsid w:val="00B33F14"/>
    <w:rsid w:val="00B3420B"/>
    <w:rsid w:val="00B34944"/>
    <w:rsid w:val="00B361AA"/>
    <w:rsid w:val="00B3703A"/>
    <w:rsid w:val="00B37242"/>
    <w:rsid w:val="00B3726D"/>
    <w:rsid w:val="00B37C79"/>
    <w:rsid w:val="00B40322"/>
    <w:rsid w:val="00B42798"/>
    <w:rsid w:val="00B42B27"/>
    <w:rsid w:val="00B42BD9"/>
    <w:rsid w:val="00B4324E"/>
    <w:rsid w:val="00B4444A"/>
    <w:rsid w:val="00B453DF"/>
    <w:rsid w:val="00B457C3"/>
    <w:rsid w:val="00B45B8D"/>
    <w:rsid w:val="00B46B78"/>
    <w:rsid w:val="00B47851"/>
    <w:rsid w:val="00B50039"/>
    <w:rsid w:val="00B50160"/>
    <w:rsid w:val="00B50257"/>
    <w:rsid w:val="00B50601"/>
    <w:rsid w:val="00B50FA9"/>
    <w:rsid w:val="00B515DF"/>
    <w:rsid w:val="00B5360C"/>
    <w:rsid w:val="00B53F26"/>
    <w:rsid w:val="00B54098"/>
    <w:rsid w:val="00B546D9"/>
    <w:rsid w:val="00B54F92"/>
    <w:rsid w:val="00B559D6"/>
    <w:rsid w:val="00B561E1"/>
    <w:rsid w:val="00B5642A"/>
    <w:rsid w:val="00B56692"/>
    <w:rsid w:val="00B56E1A"/>
    <w:rsid w:val="00B5741A"/>
    <w:rsid w:val="00B60860"/>
    <w:rsid w:val="00B6122A"/>
    <w:rsid w:val="00B61969"/>
    <w:rsid w:val="00B63084"/>
    <w:rsid w:val="00B635F6"/>
    <w:rsid w:val="00B63B57"/>
    <w:rsid w:val="00B6416E"/>
    <w:rsid w:val="00B64522"/>
    <w:rsid w:val="00B64582"/>
    <w:rsid w:val="00B64662"/>
    <w:rsid w:val="00B66025"/>
    <w:rsid w:val="00B6692A"/>
    <w:rsid w:val="00B674FF"/>
    <w:rsid w:val="00B70B63"/>
    <w:rsid w:val="00B72329"/>
    <w:rsid w:val="00B72705"/>
    <w:rsid w:val="00B72E13"/>
    <w:rsid w:val="00B74D04"/>
    <w:rsid w:val="00B750AC"/>
    <w:rsid w:val="00B773CE"/>
    <w:rsid w:val="00B77CB4"/>
    <w:rsid w:val="00B77E15"/>
    <w:rsid w:val="00B77E41"/>
    <w:rsid w:val="00B801B3"/>
    <w:rsid w:val="00B80E7B"/>
    <w:rsid w:val="00B82D92"/>
    <w:rsid w:val="00B830D3"/>
    <w:rsid w:val="00B836CE"/>
    <w:rsid w:val="00B84F8A"/>
    <w:rsid w:val="00B850C1"/>
    <w:rsid w:val="00B85104"/>
    <w:rsid w:val="00B85911"/>
    <w:rsid w:val="00B8592B"/>
    <w:rsid w:val="00B86A5E"/>
    <w:rsid w:val="00B8727E"/>
    <w:rsid w:val="00B90E35"/>
    <w:rsid w:val="00B92B60"/>
    <w:rsid w:val="00B95333"/>
    <w:rsid w:val="00B96F68"/>
    <w:rsid w:val="00B9733A"/>
    <w:rsid w:val="00B97C8D"/>
    <w:rsid w:val="00B97E41"/>
    <w:rsid w:val="00B97F77"/>
    <w:rsid w:val="00BA0C88"/>
    <w:rsid w:val="00BA11A2"/>
    <w:rsid w:val="00BA3251"/>
    <w:rsid w:val="00BA3B4F"/>
    <w:rsid w:val="00BA50B5"/>
    <w:rsid w:val="00BA5191"/>
    <w:rsid w:val="00BA5C3E"/>
    <w:rsid w:val="00BA5F76"/>
    <w:rsid w:val="00BA5F9A"/>
    <w:rsid w:val="00BA623C"/>
    <w:rsid w:val="00BA68B2"/>
    <w:rsid w:val="00BA7573"/>
    <w:rsid w:val="00BA75F8"/>
    <w:rsid w:val="00BB0462"/>
    <w:rsid w:val="00BB0516"/>
    <w:rsid w:val="00BB0A46"/>
    <w:rsid w:val="00BB0EB1"/>
    <w:rsid w:val="00BB0F8A"/>
    <w:rsid w:val="00BB273D"/>
    <w:rsid w:val="00BB36D9"/>
    <w:rsid w:val="00BB3A74"/>
    <w:rsid w:val="00BB43BC"/>
    <w:rsid w:val="00BB4B06"/>
    <w:rsid w:val="00BB4BFF"/>
    <w:rsid w:val="00BB4CDD"/>
    <w:rsid w:val="00BB50DC"/>
    <w:rsid w:val="00BB536A"/>
    <w:rsid w:val="00BB5AA9"/>
    <w:rsid w:val="00BB5C89"/>
    <w:rsid w:val="00BB6544"/>
    <w:rsid w:val="00BB664D"/>
    <w:rsid w:val="00BB6FD6"/>
    <w:rsid w:val="00BB7878"/>
    <w:rsid w:val="00BB7A3E"/>
    <w:rsid w:val="00BC0B32"/>
    <w:rsid w:val="00BC2317"/>
    <w:rsid w:val="00BC346D"/>
    <w:rsid w:val="00BC3C67"/>
    <w:rsid w:val="00BC4893"/>
    <w:rsid w:val="00BC4E83"/>
    <w:rsid w:val="00BC4FD5"/>
    <w:rsid w:val="00BC51E9"/>
    <w:rsid w:val="00BC63A9"/>
    <w:rsid w:val="00BC63FE"/>
    <w:rsid w:val="00BC68ED"/>
    <w:rsid w:val="00BC7AED"/>
    <w:rsid w:val="00BD04C4"/>
    <w:rsid w:val="00BD1636"/>
    <w:rsid w:val="00BD299D"/>
    <w:rsid w:val="00BD2B3E"/>
    <w:rsid w:val="00BD2E60"/>
    <w:rsid w:val="00BD57DE"/>
    <w:rsid w:val="00BD584A"/>
    <w:rsid w:val="00BD6CAF"/>
    <w:rsid w:val="00BD6E81"/>
    <w:rsid w:val="00BD7710"/>
    <w:rsid w:val="00BE0A73"/>
    <w:rsid w:val="00BE0D46"/>
    <w:rsid w:val="00BE0E9E"/>
    <w:rsid w:val="00BE10C2"/>
    <w:rsid w:val="00BE1B03"/>
    <w:rsid w:val="00BE1ECB"/>
    <w:rsid w:val="00BE2B25"/>
    <w:rsid w:val="00BE2E69"/>
    <w:rsid w:val="00BE37D4"/>
    <w:rsid w:val="00BE3F92"/>
    <w:rsid w:val="00BE41A6"/>
    <w:rsid w:val="00BE508D"/>
    <w:rsid w:val="00BE6315"/>
    <w:rsid w:val="00BE688B"/>
    <w:rsid w:val="00BE7B94"/>
    <w:rsid w:val="00BF09DD"/>
    <w:rsid w:val="00BF1BBB"/>
    <w:rsid w:val="00BF2334"/>
    <w:rsid w:val="00BF2A68"/>
    <w:rsid w:val="00BF2C6F"/>
    <w:rsid w:val="00BF31CE"/>
    <w:rsid w:val="00BF4FE4"/>
    <w:rsid w:val="00BF5088"/>
    <w:rsid w:val="00BF57C5"/>
    <w:rsid w:val="00BF6AC2"/>
    <w:rsid w:val="00BF6B06"/>
    <w:rsid w:val="00BF7144"/>
    <w:rsid w:val="00BF7D59"/>
    <w:rsid w:val="00C03E9F"/>
    <w:rsid w:val="00C0435A"/>
    <w:rsid w:val="00C04404"/>
    <w:rsid w:val="00C04E3F"/>
    <w:rsid w:val="00C05329"/>
    <w:rsid w:val="00C0666B"/>
    <w:rsid w:val="00C06798"/>
    <w:rsid w:val="00C10A3E"/>
    <w:rsid w:val="00C134A0"/>
    <w:rsid w:val="00C13794"/>
    <w:rsid w:val="00C13CDB"/>
    <w:rsid w:val="00C13E8A"/>
    <w:rsid w:val="00C13EF8"/>
    <w:rsid w:val="00C14E10"/>
    <w:rsid w:val="00C150BD"/>
    <w:rsid w:val="00C160C0"/>
    <w:rsid w:val="00C1699D"/>
    <w:rsid w:val="00C1783A"/>
    <w:rsid w:val="00C17869"/>
    <w:rsid w:val="00C17A21"/>
    <w:rsid w:val="00C17E43"/>
    <w:rsid w:val="00C209B8"/>
    <w:rsid w:val="00C21597"/>
    <w:rsid w:val="00C219D2"/>
    <w:rsid w:val="00C21C81"/>
    <w:rsid w:val="00C22D66"/>
    <w:rsid w:val="00C22E82"/>
    <w:rsid w:val="00C232C0"/>
    <w:rsid w:val="00C23E90"/>
    <w:rsid w:val="00C2441C"/>
    <w:rsid w:val="00C2583C"/>
    <w:rsid w:val="00C26F0A"/>
    <w:rsid w:val="00C270C3"/>
    <w:rsid w:val="00C30800"/>
    <w:rsid w:val="00C31E4F"/>
    <w:rsid w:val="00C31E65"/>
    <w:rsid w:val="00C31FF2"/>
    <w:rsid w:val="00C3247F"/>
    <w:rsid w:val="00C32860"/>
    <w:rsid w:val="00C337DB"/>
    <w:rsid w:val="00C33C22"/>
    <w:rsid w:val="00C350ED"/>
    <w:rsid w:val="00C35974"/>
    <w:rsid w:val="00C36A56"/>
    <w:rsid w:val="00C3748C"/>
    <w:rsid w:val="00C37550"/>
    <w:rsid w:val="00C37EA5"/>
    <w:rsid w:val="00C401BF"/>
    <w:rsid w:val="00C404E9"/>
    <w:rsid w:val="00C405D6"/>
    <w:rsid w:val="00C41300"/>
    <w:rsid w:val="00C41DE7"/>
    <w:rsid w:val="00C421C5"/>
    <w:rsid w:val="00C4400B"/>
    <w:rsid w:val="00C4414D"/>
    <w:rsid w:val="00C44DF6"/>
    <w:rsid w:val="00C450B7"/>
    <w:rsid w:val="00C4544E"/>
    <w:rsid w:val="00C454F6"/>
    <w:rsid w:val="00C462ED"/>
    <w:rsid w:val="00C466C5"/>
    <w:rsid w:val="00C50121"/>
    <w:rsid w:val="00C50462"/>
    <w:rsid w:val="00C5082E"/>
    <w:rsid w:val="00C51955"/>
    <w:rsid w:val="00C52288"/>
    <w:rsid w:val="00C527A5"/>
    <w:rsid w:val="00C527A6"/>
    <w:rsid w:val="00C52872"/>
    <w:rsid w:val="00C52D59"/>
    <w:rsid w:val="00C52E49"/>
    <w:rsid w:val="00C52FCB"/>
    <w:rsid w:val="00C53DCF"/>
    <w:rsid w:val="00C54459"/>
    <w:rsid w:val="00C565EF"/>
    <w:rsid w:val="00C5663C"/>
    <w:rsid w:val="00C5688C"/>
    <w:rsid w:val="00C57264"/>
    <w:rsid w:val="00C57B9C"/>
    <w:rsid w:val="00C57FD4"/>
    <w:rsid w:val="00C60663"/>
    <w:rsid w:val="00C60919"/>
    <w:rsid w:val="00C613E4"/>
    <w:rsid w:val="00C61702"/>
    <w:rsid w:val="00C61AC0"/>
    <w:rsid w:val="00C61B30"/>
    <w:rsid w:val="00C62F40"/>
    <w:rsid w:val="00C633EF"/>
    <w:rsid w:val="00C63704"/>
    <w:rsid w:val="00C63F17"/>
    <w:rsid w:val="00C649A5"/>
    <w:rsid w:val="00C64B05"/>
    <w:rsid w:val="00C6527D"/>
    <w:rsid w:val="00C658F7"/>
    <w:rsid w:val="00C6612F"/>
    <w:rsid w:val="00C668FB"/>
    <w:rsid w:val="00C66AD4"/>
    <w:rsid w:val="00C67286"/>
    <w:rsid w:val="00C677AC"/>
    <w:rsid w:val="00C71C5C"/>
    <w:rsid w:val="00C72133"/>
    <w:rsid w:val="00C729DE"/>
    <w:rsid w:val="00C72CEA"/>
    <w:rsid w:val="00C74690"/>
    <w:rsid w:val="00C74A37"/>
    <w:rsid w:val="00C74D30"/>
    <w:rsid w:val="00C77073"/>
    <w:rsid w:val="00C77FA7"/>
    <w:rsid w:val="00C8000F"/>
    <w:rsid w:val="00C800BF"/>
    <w:rsid w:val="00C808EA"/>
    <w:rsid w:val="00C80F5C"/>
    <w:rsid w:val="00C81673"/>
    <w:rsid w:val="00C83405"/>
    <w:rsid w:val="00C83687"/>
    <w:rsid w:val="00C837F6"/>
    <w:rsid w:val="00C83F6A"/>
    <w:rsid w:val="00C85FB0"/>
    <w:rsid w:val="00C86FE7"/>
    <w:rsid w:val="00C874F3"/>
    <w:rsid w:val="00C902BF"/>
    <w:rsid w:val="00C909C6"/>
    <w:rsid w:val="00C9212D"/>
    <w:rsid w:val="00C92466"/>
    <w:rsid w:val="00C92C02"/>
    <w:rsid w:val="00C92C83"/>
    <w:rsid w:val="00C93DE7"/>
    <w:rsid w:val="00C958C7"/>
    <w:rsid w:val="00C959E5"/>
    <w:rsid w:val="00CA086E"/>
    <w:rsid w:val="00CA16AA"/>
    <w:rsid w:val="00CA1924"/>
    <w:rsid w:val="00CA2F86"/>
    <w:rsid w:val="00CA3343"/>
    <w:rsid w:val="00CA4E72"/>
    <w:rsid w:val="00CA5AA5"/>
    <w:rsid w:val="00CA62F1"/>
    <w:rsid w:val="00CA7A79"/>
    <w:rsid w:val="00CB0982"/>
    <w:rsid w:val="00CB0A97"/>
    <w:rsid w:val="00CB20E1"/>
    <w:rsid w:val="00CB218A"/>
    <w:rsid w:val="00CB2246"/>
    <w:rsid w:val="00CB3330"/>
    <w:rsid w:val="00CB43BB"/>
    <w:rsid w:val="00CB44CB"/>
    <w:rsid w:val="00CB4C87"/>
    <w:rsid w:val="00CB4D7C"/>
    <w:rsid w:val="00CB53BD"/>
    <w:rsid w:val="00CB5C29"/>
    <w:rsid w:val="00CB60D9"/>
    <w:rsid w:val="00CB6291"/>
    <w:rsid w:val="00CB6EB9"/>
    <w:rsid w:val="00CB75ED"/>
    <w:rsid w:val="00CC0988"/>
    <w:rsid w:val="00CC0B6A"/>
    <w:rsid w:val="00CC0C0C"/>
    <w:rsid w:val="00CC0F33"/>
    <w:rsid w:val="00CC12EB"/>
    <w:rsid w:val="00CC2E8D"/>
    <w:rsid w:val="00CC3BB1"/>
    <w:rsid w:val="00CC4E3A"/>
    <w:rsid w:val="00CC637D"/>
    <w:rsid w:val="00CC721F"/>
    <w:rsid w:val="00CD02AD"/>
    <w:rsid w:val="00CD0640"/>
    <w:rsid w:val="00CD185D"/>
    <w:rsid w:val="00CD25E2"/>
    <w:rsid w:val="00CD2755"/>
    <w:rsid w:val="00CD314C"/>
    <w:rsid w:val="00CD33AB"/>
    <w:rsid w:val="00CD3444"/>
    <w:rsid w:val="00CD3E4F"/>
    <w:rsid w:val="00CD45A3"/>
    <w:rsid w:val="00CD4930"/>
    <w:rsid w:val="00CD4A7A"/>
    <w:rsid w:val="00CD50C2"/>
    <w:rsid w:val="00CD559D"/>
    <w:rsid w:val="00CD61D8"/>
    <w:rsid w:val="00CD6B65"/>
    <w:rsid w:val="00CD7707"/>
    <w:rsid w:val="00CE0442"/>
    <w:rsid w:val="00CE0A38"/>
    <w:rsid w:val="00CE0CE8"/>
    <w:rsid w:val="00CE1410"/>
    <w:rsid w:val="00CE1D69"/>
    <w:rsid w:val="00CE2478"/>
    <w:rsid w:val="00CE2602"/>
    <w:rsid w:val="00CE27CE"/>
    <w:rsid w:val="00CE2CD8"/>
    <w:rsid w:val="00CE368F"/>
    <w:rsid w:val="00CE3824"/>
    <w:rsid w:val="00CE3AD6"/>
    <w:rsid w:val="00CE428D"/>
    <w:rsid w:val="00CE4559"/>
    <w:rsid w:val="00CE5678"/>
    <w:rsid w:val="00CE5ACC"/>
    <w:rsid w:val="00CE6A43"/>
    <w:rsid w:val="00CF0B73"/>
    <w:rsid w:val="00CF0BD9"/>
    <w:rsid w:val="00CF18B9"/>
    <w:rsid w:val="00CF1973"/>
    <w:rsid w:val="00CF19E4"/>
    <w:rsid w:val="00CF3C9D"/>
    <w:rsid w:val="00CF3DE0"/>
    <w:rsid w:val="00CF3E26"/>
    <w:rsid w:val="00CF45B1"/>
    <w:rsid w:val="00CF594A"/>
    <w:rsid w:val="00CF5C85"/>
    <w:rsid w:val="00CF607C"/>
    <w:rsid w:val="00CF6623"/>
    <w:rsid w:val="00CF6736"/>
    <w:rsid w:val="00CF7A2C"/>
    <w:rsid w:val="00D000CD"/>
    <w:rsid w:val="00D00709"/>
    <w:rsid w:val="00D01412"/>
    <w:rsid w:val="00D0188F"/>
    <w:rsid w:val="00D0249F"/>
    <w:rsid w:val="00D027B3"/>
    <w:rsid w:val="00D031A0"/>
    <w:rsid w:val="00D0417A"/>
    <w:rsid w:val="00D050C6"/>
    <w:rsid w:val="00D0596C"/>
    <w:rsid w:val="00D07A67"/>
    <w:rsid w:val="00D11E5C"/>
    <w:rsid w:val="00D1246F"/>
    <w:rsid w:val="00D13346"/>
    <w:rsid w:val="00D1377A"/>
    <w:rsid w:val="00D13A11"/>
    <w:rsid w:val="00D14955"/>
    <w:rsid w:val="00D14A41"/>
    <w:rsid w:val="00D15488"/>
    <w:rsid w:val="00D1572A"/>
    <w:rsid w:val="00D16FC4"/>
    <w:rsid w:val="00D17783"/>
    <w:rsid w:val="00D17E85"/>
    <w:rsid w:val="00D2090B"/>
    <w:rsid w:val="00D213B3"/>
    <w:rsid w:val="00D219F4"/>
    <w:rsid w:val="00D21ED0"/>
    <w:rsid w:val="00D21F24"/>
    <w:rsid w:val="00D232D5"/>
    <w:rsid w:val="00D24CAA"/>
    <w:rsid w:val="00D27793"/>
    <w:rsid w:val="00D31B5B"/>
    <w:rsid w:val="00D3300A"/>
    <w:rsid w:val="00D331E9"/>
    <w:rsid w:val="00D34806"/>
    <w:rsid w:val="00D352DC"/>
    <w:rsid w:val="00D35A7D"/>
    <w:rsid w:val="00D35DF2"/>
    <w:rsid w:val="00D37DD4"/>
    <w:rsid w:val="00D40642"/>
    <w:rsid w:val="00D41873"/>
    <w:rsid w:val="00D418D9"/>
    <w:rsid w:val="00D41995"/>
    <w:rsid w:val="00D41F76"/>
    <w:rsid w:val="00D423EF"/>
    <w:rsid w:val="00D42639"/>
    <w:rsid w:val="00D43FB5"/>
    <w:rsid w:val="00D441B3"/>
    <w:rsid w:val="00D4472B"/>
    <w:rsid w:val="00D457B2"/>
    <w:rsid w:val="00D45CE4"/>
    <w:rsid w:val="00D46599"/>
    <w:rsid w:val="00D46685"/>
    <w:rsid w:val="00D46CB3"/>
    <w:rsid w:val="00D47076"/>
    <w:rsid w:val="00D47DA8"/>
    <w:rsid w:val="00D510C3"/>
    <w:rsid w:val="00D52966"/>
    <w:rsid w:val="00D53653"/>
    <w:rsid w:val="00D53C47"/>
    <w:rsid w:val="00D54448"/>
    <w:rsid w:val="00D54BDF"/>
    <w:rsid w:val="00D55E81"/>
    <w:rsid w:val="00D55E86"/>
    <w:rsid w:val="00D56C7C"/>
    <w:rsid w:val="00D56E6D"/>
    <w:rsid w:val="00D60F0E"/>
    <w:rsid w:val="00D6219E"/>
    <w:rsid w:val="00D624A5"/>
    <w:rsid w:val="00D62BF9"/>
    <w:rsid w:val="00D630BC"/>
    <w:rsid w:val="00D6320E"/>
    <w:rsid w:val="00D63360"/>
    <w:rsid w:val="00D64033"/>
    <w:rsid w:val="00D64A13"/>
    <w:rsid w:val="00D64B1A"/>
    <w:rsid w:val="00D65F73"/>
    <w:rsid w:val="00D663D3"/>
    <w:rsid w:val="00D66521"/>
    <w:rsid w:val="00D6668A"/>
    <w:rsid w:val="00D666E0"/>
    <w:rsid w:val="00D66721"/>
    <w:rsid w:val="00D667BB"/>
    <w:rsid w:val="00D66EBE"/>
    <w:rsid w:val="00D673DC"/>
    <w:rsid w:val="00D6760B"/>
    <w:rsid w:val="00D70FBF"/>
    <w:rsid w:val="00D7221A"/>
    <w:rsid w:val="00D727D6"/>
    <w:rsid w:val="00D72CD6"/>
    <w:rsid w:val="00D73830"/>
    <w:rsid w:val="00D73C10"/>
    <w:rsid w:val="00D74B8D"/>
    <w:rsid w:val="00D7661F"/>
    <w:rsid w:val="00D76F47"/>
    <w:rsid w:val="00D770D9"/>
    <w:rsid w:val="00D802A4"/>
    <w:rsid w:val="00D80AAC"/>
    <w:rsid w:val="00D80EC9"/>
    <w:rsid w:val="00D8142C"/>
    <w:rsid w:val="00D82541"/>
    <w:rsid w:val="00D8317E"/>
    <w:rsid w:val="00D83385"/>
    <w:rsid w:val="00D84696"/>
    <w:rsid w:val="00D8559D"/>
    <w:rsid w:val="00D85861"/>
    <w:rsid w:val="00D85A37"/>
    <w:rsid w:val="00D90B17"/>
    <w:rsid w:val="00D91077"/>
    <w:rsid w:val="00D9382C"/>
    <w:rsid w:val="00D9408A"/>
    <w:rsid w:val="00D945B5"/>
    <w:rsid w:val="00D95EEE"/>
    <w:rsid w:val="00D9607D"/>
    <w:rsid w:val="00D96C35"/>
    <w:rsid w:val="00D96D0C"/>
    <w:rsid w:val="00D96FC7"/>
    <w:rsid w:val="00D978E8"/>
    <w:rsid w:val="00DA09AF"/>
    <w:rsid w:val="00DA0E19"/>
    <w:rsid w:val="00DA1FDE"/>
    <w:rsid w:val="00DA2088"/>
    <w:rsid w:val="00DA2C52"/>
    <w:rsid w:val="00DA2ED2"/>
    <w:rsid w:val="00DA3405"/>
    <w:rsid w:val="00DA41A2"/>
    <w:rsid w:val="00DA4496"/>
    <w:rsid w:val="00DA4B11"/>
    <w:rsid w:val="00DA5F44"/>
    <w:rsid w:val="00DB066F"/>
    <w:rsid w:val="00DB107D"/>
    <w:rsid w:val="00DB11CB"/>
    <w:rsid w:val="00DB18C3"/>
    <w:rsid w:val="00DB2100"/>
    <w:rsid w:val="00DB2A89"/>
    <w:rsid w:val="00DB2EB5"/>
    <w:rsid w:val="00DB40B0"/>
    <w:rsid w:val="00DB417D"/>
    <w:rsid w:val="00DB4C33"/>
    <w:rsid w:val="00DB553B"/>
    <w:rsid w:val="00DB6061"/>
    <w:rsid w:val="00DB62E1"/>
    <w:rsid w:val="00DB6D38"/>
    <w:rsid w:val="00DB73EA"/>
    <w:rsid w:val="00DC1351"/>
    <w:rsid w:val="00DC4721"/>
    <w:rsid w:val="00DC4E49"/>
    <w:rsid w:val="00DC4EEA"/>
    <w:rsid w:val="00DC51C4"/>
    <w:rsid w:val="00DC5FFD"/>
    <w:rsid w:val="00DC618E"/>
    <w:rsid w:val="00DC6907"/>
    <w:rsid w:val="00DC70A1"/>
    <w:rsid w:val="00DC7A3A"/>
    <w:rsid w:val="00DD02D8"/>
    <w:rsid w:val="00DD0940"/>
    <w:rsid w:val="00DD0D4B"/>
    <w:rsid w:val="00DD14B1"/>
    <w:rsid w:val="00DD215D"/>
    <w:rsid w:val="00DD2626"/>
    <w:rsid w:val="00DD41ED"/>
    <w:rsid w:val="00DD48CC"/>
    <w:rsid w:val="00DD56DA"/>
    <w:rsid w:val="00DD58C5"/>
    <w:rsid w:val="00DD64FD"/>
    <w:rsid w:val="00DD6AFF"/>
    <w:rsid w:val="00DD74B6"/>
    <w:rsid w:val="00DD7719"/>
    <w:rsid w:val="00DE12DE"/>
    <w:rsid w:val="00DE14BC"/>
    <w:rsid w:val="00DE26D3"/>
    <w:rsid w:val="00DE300D"/>
    <w:rsid w:val="00DE569A"/>
    <w:rsid w:val="00DE5E6C"/>
    <w:rsid w:val="00DE623D"/>
    <w:rsid w:val="00DE63AD"/>
    <w:rsid w:val="00DE69EC"/>
    <w:rsid w:val="00DE7060"/>
    <w:rsid w:val="00DE7DD5"/>
    <w:rsid w:val="00DE7EA8"/>
    <w:rsid w:val="00DF016D"/>
    <w:rsid w:val="00DF0572"/>
    <w:rsid w:val="00DF205B"/>
    <w:rsid w:val="00DF4907"/>
    <w:rsid w:val="00DF4EEC"/>
    <w:rsid w:val="00DF6E3E"/>
    <w:rsid w:val="00DF7EA5"/>
    <w:rsid w:val="00E00074"/>
    <w:rsid w:val="00E01594"/>
    <w:rsid w:val="00E019C3"/>
    <w:rsid w:val="00E01A3B"/>
    <w:rsid w:val="00E01ED3"/>
    <w:rsid w:val="00E02263"/>
    <w:rsid w:val="00E0227D"/>
    <w:rsid w:val="00E029C9"/>
    <w:rsid w:val="00E02ABE"/>
    <w:rsid w:val="00E02C7F"/>
    <w:rsid w:val="00E0335B"/>
    <w:rsid w:val="00E03B20"/>
    <w:rsid w:val="00E03B8D"/>
    <w:rsid w:val="00E03FE0"/>
    <w:rsid w:val="00E058F4"/>
    <w:rsid w:val="00E05F57"/>
    <w:rsid w:val="00E10C89"/>
    <w:rsid w:val="00E110D6"/>
    <w:rsid w:val="00E11536"/>
    <w:rsid w:val="00E1238D"/>
    <w:rsid w:val="00E124E7"/>
    <w:rsid w:val="00E126C4"/>
    <w:rsid w:val="00E13061"/>
    <w:rsid w:val="00E13C2C"/>
    <w:rsid w:val="00E141C8"/>
    <w:rsid w:val="00E142C4"/>
    <w:rsid w:val="00E15A3A"/>
    <w:rsid w:val="00E16668"/>
    <w:rsid w:val="00E1695B"/>
    <w:rsid w:val="00E16AF4"/>
    <w:rsid w:val="00E16B08"/>
    <w:rsid w:val="00E17015"/>
    <w:rsid w:val="00E1733D"/>
    <w:rsid w:val="00E20340"/>
    <w:rsid w:val="00E21218"/>
    <w:rsid w:val="00E2133F"/>
    <w:rsid w:val="00E2136F"/>
    <w:rsid w:val="00E21A47"/>
    <w:rsid w:val="00E21C30"/>
    <w:rsid w:val="00E22D70"/>
    <w:rsid w:val="00E23EC2"/>
    <w:rsid w:val="00E2429C"/>
    <w:rsid w:val="00E24D40"/>
    <w:rsid w:val="00E25781"/>
    <w:rsid w:val="00E2593C"/>
    <w:rsid w:val="00E25ABF"/>
    <w:rsid w:val="00E2690C"/>
    <w:rsid w:val="00E26C85"/>
    <w:rsid w:val="00E27724"/>
    <w:rsid w:val="00E3038F"/>
    <w:rsid w:val="00E321A8"/>
    <w:rsid w:val="00E322E9"/>
    <w:rsid w:val="00E332BC"/>
    <w:rsid w:val="00E3345E"/>
    <w:rsid w:val="00E33E8C"/>
    <w:rsid w:val="00E34882"/>
    <w:rsid w:val="00E37CB6"/>
    <w:rsid w:val="00E402F8"/>
    <w:rsid w:val="00E41DD0"/>
    <w:rsid w:val="00E421EB"/>
    <w:rsid w:val="00E42853"/>
    <w:rsid w:val="00E43179"/>
    <w:rsid w:val="00E4374E"/>
    <w:rsid w:val="00E438F2"/>
    <w:rsid w:val="00E444CD"/>
    <w:rsid w:val="00E45680"/>
    <w:rsid w:val="00E45F4D"/>
    <w:rsid w:val="00E464E2"/>
    <w:rsid w:val="00E466E0"/>
    <w:rsid w:val="00E4672E"/>
    <w:rsid w:val="00E47146"/>
    <w:rsid w:val="00E47F6E"/>
    <w:rsid w:val="00E50625"/>
    <w:rsid w:val="00E513A6"/>
    <w:rsid w:val="00E51A90"/>
    <w:rsid w:val="00E5281E"/>
    <w:rsid w:val="00E533B0"/>
    <w:rsid w:val="00E5353C"/>
    <w:rsid w:val="00E53A94"/>
    <w:rsid w:val="00E54E55"/>
    <w:rsid w:val="00E55526"/>
    <w:rsid w:val="00E55587"/>
    <w:rsid w:val="00E555BC"/>
    <w:rsid w:val="00E55B60"/>
    <w:rsid w:val="00E5628C"/>
    <w:rsid w:val="00E56523"/>
    <w:rsid w:val="00E5697B"/>
    <w:rsid w:val="00E56ECC"/>
    <w:rsid w:val="00E57706"/>
    <w:rsid w:val="00E57A8D"/>
    <w:rsid w:val="00E621CE"/>
    <w:rsid w:val="00E62854"/>
    <w:rsid w:val="00E62CDB"/>
    <w:rsid w:val="00E63867"/>
    <w:rsid w:val="00E64691"/>
    <w:rsid w:val="00E648DB"/>
    <w:rsid w:val="00E650D1"/>
    <w:rsid w:val="00E654C8"/>
    <w:rsid w:val="00E661BE"/>
    <w:rsid w:val="00E70123"/>
    <w:rsid w:val="00E714B6"/>
    <w:rsid w:val="00E7229C"/>
    <w:rsid w:val="00E72EAB"/>
    <w:rsid w:val="00E73CD1"/>
    <w:rsid w:val="00E74871"/>
    <w:rsid w:val="00E74BB3"/>
    <w:rsid w:val="00E75029"/>
    <w:rsid w:val="00E758EA"/>
    <w:rsid w:val="00E75EC2"/>
    <w:rsid w:val="00E76399"/>
    <w:rsid w:val="00E7671C"/>
    <w:rsid w:val="00E76EA4"/>
    <w:rsid w:val="00E76F79"/>
    <w:rsid w:val="00E77062"/>
    <w:rsid w:val="00E7757D"/>
    <w:rsid w:val="00E77EF7"/>
    <w:rsid w:val="00E8088C"/>
    <w:rsid w:val="00E80CAB"/>
    <w:rsid w:val="00E82054"/>
    <w:rsid w:val="00E82ABD"/>
    <w:rsid w:val="00E8302B"/>
    <w:rsid w:val="00E8346F"/>
    <w:rsid w:val="00E84FF1"/>
    <w:rsid w:val="00E85333"/>
    <w:rsid w:val="00E855DA"/>
    <w:rsid w:val="00E86299"/>
    <w:rsid w:val="00E86775"/>
    <w:rsid w:val="00E86A65"/>
    <w:rsid w:val="00E87521"/>
    <w:rsid w:val="00E87965"/>
    <w:rsid w:val="00E90240"/>
    <w:rsid w:val="00E9182A"/>
    <w:rsid w:val="00E9240A"/>
    <w:rsid w:val="00E92443"/>
    <w:rsid w:val="00E93B00"/>
    <w:rsid w:val="00E94377"/>
    <w:rsid w:val="00E949E2"/>
    <w:rsid w:val="00E95462"/>
    <w:rsid w:val="00E954C0"/>
    <w:rsid w:val="00E9579B"/>
    <w:rsid w:val="00E963E2"/>
    <w:rsid w:val="00E967E6"/>
    <w:rsid w:val="00E97FA8"/>
    <w:rsid w:val="00EA0E09"/>
    <w:rsid w:val="00EA21E6"/>
    <w:rsid w:val="00EA315A"/>
    <w:rsid w:val="00EA3496"/>
    <w:rsid w:val="00EA37D4"/>
    <w:rsid w:val="00EA380E"/>
    <w:rsid w:val="00EA3998"/>
    <w:rsid w:val="00EA4333"/>
    <w:rsid w:val="00EA4A9C"/>
    <w:rsid w:val="00EA4CD0"/>
    <w:rsid w:val="00EA6AAA"/>
    <w:rsid w:val="00EA6DB6"/>
    <w:rsid w:val="00EA73C7"/>
    <w:rsid w:val="00EA742F"/>
    <w:rsid w:val="00EB007A"/>
    <w:rsid w:val="00EB1CCE"/>
    <w:rsid w:val="00EB4B64"/>
    <w:rsid w:val="00EB52E1"/>
    <w:rsid w:val="00EB5E65"/>
    <w:rsid w:val="00EB607D"/>
    <w:rsid w:val="00EB61D9"/>
    <w:rsid w:val="00EB6557"/>
    <w:rsid w:val="00EB72B8"/>
    <w:rsid w:val="00EB76C4"/>
    <w:rsid w:val="00EB7A04"/>
    <w:rsid w:val="00EC0D4E"/>
    <w:rsid w:val="00EC114E"/>
    <w:rsid w:val="00EC14AF"/>
    <w:rsid w:val="00EC1824"/>
    <w:rsid w:val="00EC212C"/>
    <w:rsid w:val="00EC21B1"/>
    <w:rsid w:val="00EC2605"/>
    <w:rsid w:val="00EC272F"/>
    <w:rsid w:val="00EC2B46"/>
    <w:rsid w:val="00EC3035"/>
    <w:rsid w:val="00EC33BF"/>
    <w:rsid w:val="00EC3891"/>
    <w:rsid w:val="00EC5234"/>
    <w:rsid w:val="00EC6D6A"/>
    <w:rsid w:val="00ED00B1"/>
    <w:rsid w:val="00ED0EA9"/>
    <w:rsid w:val="00ED237A"/>
    <w:rsid w:val="00ED241E"/>
    <w:rsid w:val="00ED26BB"/>
    <w:rsid w:val="00ED295C"/>
    <w:rsid w:val="00ED3851"/>
    <w:rsid w:val="00ED4243"/>
    <w:rsid w:val="00ED4344"/>
    <w:rsid w:val="00ED4426"/>
    <w:rsid w:val="00ED5188"/>
    <w:rsid w:val="00ED52E0"/>
    <w:rsid w:val="00ED6A70"/>
    <w:rsid w:val="00ED6FDE"/>
    <w:rsid w:val="00EE049B"/>
    <w:rsid w:val="00EE0B3A"/>
    <w:rsid w:val="00EE3186"/>
    <w:rsid w:val="00EE3472"/>
    <w:rsid w:val="00EE36A2"/>
    <w:rsid w:val="00EE3D6E"/>
    <w:rsid w:val="00EE4BC2"/>
    <w:rsid w:val="00EE4E8C"/>
    <w:rsid w:val="00EE50F8"/>
    <w:rsid w:val="00EE54AC"/>
    <w:rsid w:val="00EE7123"/>
    <w:rsid w:val="00EE7B99"/>
    <w:rsid w:val="00EF13C4"/>
    <w:rsid w:val="00EF1BE9"/>
    <w:rsid w:val="00EF236F"/>
    <w:rsid w:val="00EF2577"/>
    <w:rsid w:val="00EF351F"/>
    <w:rsid w:val="00EF4A40"/>
    <w:rsid w:val="00EF4D05"/>
    <w:rsid w:val="00EF657D"/>
    <w:rsid w:val="00EF70B3"/>
    <w:rsid w:val="00EF75A8"/>
    <w:rsid w:val="00EF77DC"/>
    <w:rsid w:val="00EF7B83"/>
    <w:rsid w:val="00EF7FEE"/>
    <w:rsid w:val="00F0081C"/>
    <w:rsid w:val="00F00A98"/>
    <w:rsid w:val="00F02FF2"/>
    <w:rsid w:val="00F032CB"/>
    <w:rsid w:val="00F03EE7"/>
    <w:rsid w:val="00F06578"/>
    <w:rsid w:val="00F065D4"/>
    <w:rsid w:val="00F07FB4"/>
    <w:rsid w:val="00F1016A"/>
    <w:rsid w:val="00F102CE"/>
    <w:rsid w:val="00F10882"/>
    <w:rsid w:val="00F11209"/>
    <w:rsid w:val="00F129D8"/>
    <w:rsid w:val="00F12A33"/>
    <w:rsid w:val="00F13D11"/>
    <w:rsid w:val="00F1582B"/>
    <w:rsid w:val="00F159EB"/>
    <w:rsid w:val="00F166A4"/>
    <w:rsid w:val="00F169BD"/>
    <w:rsid w:val="00F20853"/>
    <w:rsid w:val="00F21783"/>
    <w:rsid w:val="00F23AC3"/>
    <w:rsid w:val="00F23C79"/>
    <w:rsid w:val="00F24092"/>
    <w:rsid w:val="00F2417C"/>
    <w:rsid w:val="00F2608E"/>
    <w:rsid w:val="00F267AF"/>
    <w:rsid w:val="00F30120"/>
    <w:rsid w:val="00F307F1"/>
    <w:rsid w:val="00F31042"/>
    <w:rsid w:val="00F3126B"/>
    <w:rsid w:val="00F31608"/>
    <w:rsid w:val="00F32199"/>
    <w:rsid w:val="00F32240"/>
    <w:rsid w:val="00F32A48"/>
    <w:rsid w:val="00F33DB2"/>
    <w:rsid w:val="00F35057"/>
    <w:rsid w:val="00F35744"/>
    <w:rsid w:val="00F35AD6"/>
    <w:rsid w:val="00F35B1D"/>
    <w:rsid w:val="00F36206"/>
    <w:rsid w:val="00F36DBD"/>
    <w:rsid w:val="00F37B51"/>
    <w:rsid w:val="00F4014E"/>
    <w:rsid w:val="00F402B0"/>
    <w:rsid w:val="00F407AF"/>
    <w:rsid w:val="00F41B93"/>
    <w:rsid w:val="00F41D7F"/>
    <w:rsid w:val="00F425BB"/>
    <w:rsid w:val="00F43911"/>
    <w:rsid w:val="00F43A9B"/>
    <w:rsid w:val="00F43E8A"/>
    <w:rsid w:val="00F44D0E"/>
    <w:rsid w:val="00F4528D"/>
    <w:rsid w:val="00F45A5F"/>
    <w:rsid w:val="00F46FD0"/>
    <w:rsid w:val="00F47035"/>
    <w:rsid w:val="00F4731C"/>
    <w:rsid w:val="00F4738D"/>
    <w:rsid w:val="00F47823"/>
    <w:rsid w:val="00F479ED"/>
    <w:rsid w:val="00F47AEC"/>
    <w:rsid w:val="00F47E90"/>
    <w:rsid w:val="00F47EF9"/>
    <w:rsid w:val="00F51FBE"/>
    <w:rsid w:val="00F52B6F"/>
    <w:rsid w:val="00F53FCC"/>
    <w:rsid w:val="00F54731"/>
    <w:rsid w:val="00F54AE4"/>
    <w:rsid w:val="00F54B58"/>
    <w:rsid w:val="00F557CF"/>
    <w:rsid w:val="00F56050"/>
    <w:rsid w:val="00F57480"/>
    <w:rsid w:val="00F578E0"/>
    <w:rsid w:val="00F60008"/>
    <w:rsid w:val="00F60AFB"/>
    <w:rsid w:val="00F60BA1"/>
    <w:rsid w:val="00F6104C"/>
    <w:rsid w:val="00F61745"/>
    <w:rsid w:val="00F617F7"/>
    <w:rsid w:val="00F62447"/>
    <w:rsid w:val="00F627C5"/>
    <w:rsid w:val="00F63230"/>
    <w:rsid w:val="00F63539"/>
    <w:rsid w:val="00F63735"/>
    <w:rsid w:val="00F63DA0"/>
    <w:rsid w:val="00F64D8C"/>
    <w:rsid w:val="00F65217"/>
    <w:rsid w:val="00F658C3"/>
    <w:rsid w:val="00F65F51"/>
    <w:rsid w:val="00F661C0"/>
    <w:rsid w:val="00F70D33"/>
    <w:rsid w:val="00F716B0"/>
    <w:rsid w:val="00F72D22"/>
    <w:rsid w:val="00F7307A"/>
    <w:rsid w:val="00F73C39"/>
    <w:rsid w:val="00F74383"/>
    <w:rsid w:val="00F75695"/>
    <w:rsid w:val="00F75B19"/>
    <w:rsid w:val="00F75B77"/>
    <w:rsid w:val="00F75CFE"/>
    <w:rsid w:val="00F763A5"/>
    <w:rsid w:val="00F768F0"/>
    <w:rsid w:val="00F76EB3"/>
    <w:rsid w:val="00F77B27"/>
    <w:rsid w:val="00F80174"/>
    <w:rsid w:val="00F8099F"/>
    <w:rsid w:val="00F81073"/>
    <w:rsid w:val="00F81EBE"/>
    <w:rsid w:val="00F82206"/>
    <w:rsid w:val="00F8220D"/>
    <w:rsid w:val="00F82636"/>
    <w:rsid w:val="00F843AF"/>
    <w:rsid w:val="00F857C9"/>
    <w:rsid w:val="00F86588"/>
    <w:rsid w:val="00F90C58"/>
    <w:rsid w:val="00F94128"/>
    <w:rsid w:val="00F94536"/>
    <w:rsid w:val="00F94732"/>
    <w:rsid w:val="00F948AA"/>
    <w:rsid w:val="00F95937"/>
    <w:rsid w:val="00F96A66"/>
    <w:rsid w:val="00F96AA4"/>
    <w:rsid w:val="00F96AD9"/>
    <w:rsid w:val="00F96DDD"/>
    <w:rsid w:val="00F971E6"/>
    <w:rsid w:val="00F97760"/>
    <w:rsid w:val="00F97B7B"/>
    <w:rsid w:val="00FA031A"/>
    <w:rsid w:val="00FA0E36"/>
    <w:rsid w:val="00FA11A1"/>
    <w:rsid w:val="00FA29F9"/>
    <w:rsid w:val="00FA3BEB"/>
    <w:rsid w:val="00FA440F"/>
    <w:rsid w:val="00FA4889"/>
    <w:rsid w:val="00FA4A96"/>
    <w:rsid w:val="00FA5A74"/>
    <w:rsid w:val="00FA5D26"/>
    <w:rsid w:val="00FA5F3D"/>
    <w:rsid w:val="00FA6608"/>
    <w:rsid w:val="00FA6941"/>
    <w:rsid w:val="00FA70B1"/>
    <w:rsid w:val="00FB0121"/>
    <w:rsid w:val="00FB0B58"/>
    <w:rsid w:val="00FB0E20"/>
    <w:rsid w:val="00FB172F"/>
    <w:rsid w:val="00FB18BD"/>
    <w:rsid w:val="00FB272F"/>
    <w:rsid w:val="00FB2735"/>
    <w:rsid w:val="00FB482F"/>
    <w:rsid w:val="00FB4C10"/>
    <w:rsid w:val="00FB5207"/>
    <w:rsid w:val="00FB5CA8"/>
    <w:rsid w:val="00FC007C"/>
    <w:rsid w:val="00FC0B6A"/>
    <w:rsid w:val="00FC1B1D"/>
    <w:rsid w:val="00FC465D"/>
    <w:rsid w:val="00FC4A4D"/>
    <w:rsid w:val="00FC63F9"/>
    <w:rsid w:val="00FC67A4"/>
    <w:rsid w:val="00FC745A"/>
    <w:rsid w:val="00FD0CDD"/>
    <w:rsid w:val="00FD1D56"/>
    <w:rsid w:val="00FD1F84"/>
    <w:rsid w:val="00FD28EF"/>
    <w:rsid w:val="00FD2D46"/>
    <w:rsid w:val="00FD307B"/>
    <w:rsid w:val="00FD3FE9"/>
    <w:rsid w:val="00FD4347"/>
    <w:rsid w:val="00FD6DD2"/>
    <w:rsid w:val="00FD7B48"/>
    <w:rsid w:val="00FE03A9"/>
    <w:rsid w:val="00FE05A5"/>
    <w:rsid w:val="00FE23CA"/>
    <w:rsid w:val="00FE32EC"/>
    <w:rsid w:val="00FE3448"/>
    <w:rsid w:val="00FE38D1"/>
    <w:rsid w:val="00FE3B8B"/>
    <w:rsid w:val="00FE3F1B"/>
    <w:rsid w:val="00FE4B0B"/>
    <w:rsid w:val="00FE6100"/>
    <w:rsid w:val="00FE66DE"/>
    <w:rsid w:val="00FE673E"/>
    <w:rsid w:val="00FE68BA"/>
    <w:rsid w:val="00FE6C4E"/>
    <w:rsid w:val="00FE7456"/>
    <w:rsid w:val="00FE79DD"/>
    <w:rsid w:val="00FE7E05"/>
    <w:rsid w:val="00FF0059"/>
    <w:rsid w:val="00FF02A9"/>
    <w:rsid w:val="00FF1B01"/>
    <w:rsid w:val="00FF1CBB"/>
    <w:rsid w:val="00FF1F84"/>
    <w:rsid w:val="00FF235B"/>
    <w:rsid w:val="00FF2A8C"/>
    <w:rsid w:val="00FF3E24"/>
    <w:rsid w:val="00FF4E4B"/>
    <w:rsid w:val="00FF4F37"/>
    <w:rsid w:val="00FF61C7"/>
    <w:rsid w:val="00FF6233"/>
    <w:rsid w:val="00FF6E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9">
      <o:colormru v:ext="edit" colors="#699419"/>
    </o:shapedefaults>
    <o:shapelayout v:ext="edit">
      <o:idmap v:ext="edit" data="1"/>
    </o:shapelayout>
  </w:shapeDefaults>
  <w:decimalSymbol w:val="."/>
  <w:listSeparator w:val=","/>
  <w14:docId w14:val="04A7F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caption" w:qFormat="1"/>
    <w:lsdException w:name="table of figures" w:uiPriority="99"/>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List Bullet 2" w:uiPriority="99"/>
    <w:lsdException w:name="Title" w:semiHidden="0" w:unhideWhenUsed="0"/>
    <w:lsdException w:name="Default Paragraph Font" w:uiPriority="1"/>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E01ED3"/>
    <w:rPr>
      <w:rFonts w:ascii="Arial" w:hAnsi="Arial"/>
      <w:szCs w:val="24"/>
      <w:lang w:eastAsia="ja-JP"/>
    </w:rPr>
  </w:style>
  <w:style w:type="paragraph" w:styleId="Heading1">
    <w:name w:val="heading 1"/>
    <w:next w:val="Bodycopy"/>
    <w:qFormat/>
    <w:rsid w:val="005E27B2"/>
    <w:pPr>
      <w:pageBreakBefore/>
      <w:numPr>
        <w:numId w:val="5"/>
      </w:numPr>
      <w:spacing w:before="240" w:after="80" w:line="240" w:lineRule="atLeast"/>
      <w:outlineLvl w:val="0"/>
    </w:pPr>
    <w:rPr>
      <w:rFonts w:ascii="Arial" w:hAnsi="Arial" w:cs="ITC Franklin Gothic LT Medium"/>
      <w:b/>
      <w:caps/>
      <w:color w:val="F58025" w:themeColor="accent2"/>
      <w:sz w:val="28"/>
      <w:szCs w:val="26"/>
      <w:lang w:val="en-GB" w:eastAsia="ja-JP"/>
    </w:rPr>
  </w:style>
  <w:style w:type="paragraph" w:styleId="Heading2">
    <w:name w:val="heading 2"/>
    <w:next w:val="Bodycopy"/>
    <w:qFormat/>
    <w:rsid w:val="004C3D96"/>
    <w:pPr>
      <w:numPr>
        <w:ilvl w:val="1"/>
        <w:numId w:val="5"/>
      </w:numPr>
      <w:spacing w:before="240" w:after="120"/>
      <w:ind w:left="680"/>
      <w:outlineLvl w:val="1"/>
    </w:pPr>
    <w:rPr>
      <w:rFonts w:ascii="Arial" w:hAnsi="Arial"/>
      <w:b/>
      <w:color w:val="006A71" w:themeColor="text2"/>
      <w:sz w:val="26"/>
      <w:szCs w:val="24"/>
      <w:lang w:eastAsia="ja-JP"/>
    </w:rPr>
  </w:style>
  <w:style w:type="paragraph" w:styleId="Heading3">
    <w:name w:val="heading 3"/>
    <w:basedOn w:val="Bodycopy"/>
    <w:next w:val="Bodycopy"/>
    <w:qFormat/>
    <w:rsid w:val="004C3D96"/>
    <w:pPr>
      <w:numPr>
        <w:ilvl w:val="2"/>
        <w:numId w:val="5"/>
      </w:numPr>
      <w:spacing w:before="200" w:after="80"/>
      <w:ind w:left="0"/>
      <w:outlineLvl w:val="2"/>
    </w:pPr>
    <w:rPr>
      <w:b/>
      <w:color w:val="006A71" w:themeColor="accent1"/>
      <w:sz w:val="22"/>
    </w:rPr>
  </w:style>
  <w:style w:type="paragraph" w:styleId="Heading4">
    <w:name w:val="heading 4"/>
    <w:basedOn w:val="Normal"/>
    <w:next w:val="Normal"/>
    <w:link w:val="Heading4Char"/>
    <w:unhideWhenUsed/>
    <w:qFormat/>
    <w:rsid w:val="00446376"/>
    <w:pPr>
      <w:keepNext/>
      <w:keepLines/>
      <w:spacing w:before="200"/>
      <w:outlineLvl w:val="3"/>
    </w:pPr>
    <w:rPr>
      <w:rFonts w:asciiTheme="majorHAnsi" w:eastAsiaTheme="majorEastAsia" w:hAnsiTheme="majorHAnsi" w:cstheme="majorBidi"/>
      <w:b/>
      <w:bCs/>
      <w:i/>
      <w:iCs/>
    </w:rPr>
  </w:style>
  <w:style w:type="paragraph" w:styleId="Heading7">
    <w:name w:val="heading 7"/>
    <w:basedOn w:val="Normal"/>
    <w:next w:val="Normal"/>
    <w:qFormat/>
    <w:rsid w:val="00E73CD1"/>
    <w:pPr>
      <w:spacing w:before="240" w:after="60"/>
      <w:outlineLvl w:val="6"/>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C50121"/>
    <w:rPr>
      <w:rFonts w:ascii="Arial" w:hAnsi="Arial"/>
      <w:sz w:val="16"/>
    </w:rPr>
  </w:style>
  <w:style w:type="numbering" w:customStyle="1" w:styleId="Numberedlist">
    <w:name w:val="Numbered list"/>
    <w:basedOn w:val="NoList"/>
    <w:rsid w:val="00C50121"/>
    <w:pPr>
      <w:numPr>
        <w:numId w:val="1"/>
      </w:numPr>
    </w:pPr>
  </w:style>
  <w:style w:type="character" w:customStyle="1" w:styleId="Header2Char">
    <w:name w:val="Header2 Char"/>
    <w:basedOn w:val="DefaultParagraphFont"/>
    <w:link w:val="Header2"/>
    <w:rsid w:val="00E16AF4"/>
    <w:rPr>
      <w:rFonts w:ascii="Arial" w:hAnsi="Arial"/>
      <w:b/>
      <w:color w:val="B2B2B2"/>
      <w:sz w:val="60"/>
      <w:szCs w:val="60"/>
      <w:lang w:val="en-GB" w:eastAsia="ja-JP"/>
    </w:rPr>
  </w:style>
  <w:style w:type="paragraph" w:styleId="Footer">
    <w:name w:val="footer"/>
    <w:basedOn w:val="Normal"/>
    <w:rsid w:val="00C57B9C"/>
    <w:pPr>
      <w:tabs>
        <w:tab w:val="right" w:pos="10206"/>
      </w:tabs>
      <w:spacing w:before="120"/>
      <w:ind w:right="5103"/>
    </w:pPr>
    <w:rPr>
      <w:sz w:val="18"/>
      <w:szCs w:val="18"/>
    </w:rPr>
  </w:style>
  <w:style w:type="paragraph" w:customStyle="1" w:styleId="Header1">
    <w:name w:val="Header1"/>
    <w:link w:val="Header1Char"/>
    <w:rsid w:val="00E16AF4"/>
    <w:rPr>
      <w:rFonts w:ascii="Arial" w:hAnsi="Arial"/>
      <w:b/>
      <w:noProof/>
      <w:color w:val="000000"/>
      <w:sz w:val="76"/>
      <w:szCs w:val="72"/>
      <w:lang w:val="en-US" w:eastAsia="ja-JP"/>
    </w:rPr>
  </w:style>
  <w:style w:type="paragraph" w:customStyle="1" w:styleId="HeaderSubhead">
    <w:name w:val="Header Subhead"/>
    <w:basedOn w:val="Normal"/>
    <w:rsid w:val="00C50121"/>
    <w:pPr>
      <w:autoSpaceDE w:val="0"/>
      <w:autoSpaceDN w:val="0"/>
      <w:adjustRightInd w:val="0"/>
      <w:jc w:val="right"/>
      <w:textAlignment w:val="center"/>
    </w:pPr>
    <w:rPr>
      <w:rFonts w:cs="ITC Franklin Gothic LT Heavy"/>
      <w:color w:val="F58025"/>
      <w:szCs w:val="20"/>
      <w:lang w:val="en-GB"/>
    </w:rPr>
  </w:style>
  <w:style w:type="paragraph" w:customStyle="1" w:styleId="Header2">
    <w:name w:val="Header2"/>
    <w:link w:val="Header2Char"/>
    <w:rsid w:val="00E16AF4"/>
    <w:pPr>
      <w:spacing w:before="120"/>
    </w:pPr>
    <w:rPr>
      <w:rFonts w:ascii="Arial" w:hAnsi="Arial"/>
      <w:b/>
      <w:color w:val="B2B2B2"/>
      <w:sz w:val="60"/>
      <w:szCs w:val="60"/>
      <w:lang w:val="en-GB" w:eastAsia="ja-JP"/>
    </w:rPr>
  </w:style>
  <w:style w:type="table" w:styleId="TableSimple1">
    <w:name w:val="Table Simple 1"/>
    <w:basedOn w:val="TableNormal"/>
    <w:rsid w:val="00C50121"/>
    <w:pPr>
      <w:spacing w:before="40" w:after="40"/>
    </w:pPr>
    <w:rPr>
      <w:rFonts w:ascii="Verdana" w:hAnsi="Verdana"/>
      <w:sz w:val="18"/>
    </w:rPr>
    <w:tblPr>
      <w:tblBorders>
        <w:insideH w:val="single" w:sz="4" w:space="0" w:color="699419"/>
      </w:tblBorders>
      <w:tblCellMar>
        <w:left w:w="0" w:type="dxa"/>
        <w:right w:w="0" w:type="dxa"/>
      </w:tblCellMar>
    </w:tblPr>
    <w:tcPr>
      <w:shd w:val="clear" w:color="auto" w:fill="auto"/>
    </w:tcPr>
    <w:tblStylePr w:type="firstRow">
      <w:pPr>
        <w:wordWrap/>
        <w:spacing w:beforeLines="0" w:before="120" w:beforeAutospacing="0" w:afterLines="0" w:after="0" w:afterAutospacing="0"/>
      </w:pPr>
      <w:rPr>
        <w:rFonts w:ascii="Cambria" w:hAnsi="Cambria"/>
        <w:sz w:val="20"/>
        <w:szCs w:val="20"/>
      </w:rPr>
      <w:tblPr/>
      <w:tcPr>
        <w:tcBorders>
          <w:top w:val="nil"/>
          <w:left w:val="nil"/>
          <w:bottom w:val="single" w:sz="4" w:space="0" w:color="699419"/>
          <w:right w:val="nil"/>
          <w:insideH w:val="nil"/>
          <w:insideV w:val="nil"/>
          <w:tl2br w:val="nil"/>
          <w:tr2bl w:val="nil"/>
        </w:tcBorders>
        <w:shd w:val="clear" w:color="auto" w:fill="auto"/>
      </w:tcPr>
    </w:tblStylePr>
    <w:tblStylePr w:type="lastRow">
      <w:tblPr/>
      <w:tcPr>
        <w:tcBorders>
          <w:top w:val="nil"/>
        </w:tcBorders>
        <w:shd w:val="clear" w:color="auto" w:fill="auto"/>
      </w:tcPr>
    </w:tblStylePr>
  </w:style>
  <w:style w:type="paragraph" w:customStyle="1" w:styleId="Bodycopy">
    <w:name w:val="Body copy"/>
    <w:link w:val="BodycopyChar"/>
    <w:rsid w:val="00457322"/>
    <w:pPr>
      <w:suppressAutoHyphens/>
      <w:autoSpaceDE w:val="0"/>
      <w:autoSpaceDN w:val="0"/>
      <w:adjustRightInd w:val="0"/>
      <w:spacing w:after="120" w:line="240" w:lineRule="atLeast"/>
      <w:textAlignment w:val="center"/>
    </w:pPr>
    <w:rPr>
      <w:rFonts w:ascii="Arial" w:hAnsi="Arial" w:cs="ITC Franklin Gothic LT Medium"/>
      <w:color w:val="000000"/>
      <w:lang w:val="en-GB" w:eastAsia="ja-JP"/>
    </w:rPr>
  </w:style>
  <w:style w:type="paragraph" w:customStyle="1" w:styleId="Bulletedtext">
    <w:name w:val="Bulleted text"/>
    <w:basedOn w:val="Bodycopy"/>
    <w:link w:val="BulletedtextChar"/>
    <w:rsid w:val="00E16AF4"/>
    <w:pPr>
      <w:numPr>
        <w:numId w:val="2"/>
      </w:numPr>
    </w:pPr>
  </w:style>
  <w:style w:type="paragraph" w:styleId="Header">
    <w:name w:val="header"/>
    <w:basedOn w:val="Normal"/>
    <w:semiHidden/>
    <w:rsid w:val="00C50121"/>
    <w:pPr>
      <w:tabs>
        <w:tab w:val="center" w:pos="4320"/>
        <w:tab w:val="right" w:pos="8640"/>
      </w:tabs>
    </w:pPr>
  </w:style>
  <w:style w:type="paragraph" w:styleId="BodyText">
    <w:name w:val="Body Text"/>
    <w:basedOn w:val="Normal"/>
    <w:link w:val="BodyTextChar"/>
    <w:qFormat/>
    <w:rsid w:val="00C50121"/>
    <w:pPr>
      <w:spacing w:before="40" w:after="40"/>
    </w:pPr>
  </w:style>
  <w:style w:type="table" w:customStyle="1" w:styleId="EEOrangeTable">
    <w:name w:val="EEOrange Table"/>
    <w:basedOn w:val="TableProfessional"/>
    <w:uiPriority w:val="99"/>
    <w:rsid w:val="00A35748"/>
    <w:rPr>
      <w:rFonts w:ascii="Arial" w:hAnsi="Arial"/>
    </w:rPr>
    <w:tblPr>
      <w:tblInd w:w="113" w:type="dxa"/>
      <w:tblBorders>
        <w:top w:val="single" w:sz="4" w:space="0" w:color="F58025" w:themeColor="accent2"/>
        <w:left w:val="single" w:sz="4" w:space="0" w:color="F58025" w:themeColor="accent2"/>
        <w:bottom w:val="single" w:sz="4" w:space="0" w:color="F58025" w:themeColor="accent2"/>
        <w:right w:val="single" w:sz="4" w:space="0" w:color="F58025" w:themeColor="accent2"/>
        <w:insideH w:val="single" w:sz="4" w:space="0" w:color="F58025" w:themeColor="accent2"/>
        <w:insideV w:val="single" w:sz="4" w:space="0" w:color="F58025" w:themeColor="accent2"/>
      </w:tblBorders>
    </w:tblPr>
    <w:tcPr>
      <w:shd w:val="clear" w:color="auto" w:fill="auto"/>
    </w:tcPr>
    <w:tblStylePr w:type="firstRow">
      <w:rPr>
        <w:rFonts w:ascii="Arial" w:hAnsi="Arial"/>
        <w:b/>
        <w:bCs/>
        <w:color w:val="FFFFFF" w:themeColor="background1"/>
        <w:sz w:val="20"/>
      </w:rPr>
      <w:tblPr/>
      <w:tcPr>
        <w:tcBorders>
          <w:top w:val="single" w:sz="4" w:space="0" w:color="F58025" w:themeColor="accent2"/>
          <w:left w:val="single" w:sz="4" w:space="0" w:color="F58025" w:themeColor="accent2"/>
          <w:bottom w:val="single" w:sz="4" w:space="0" w:color="F58025" w:themeColor="accent2"/>
          <w:right w:val="single" w:sz="4" w:space="0" w:color="F58025" w:themeColor="accent2"/>
          <w:insideH w:val="single" w:sz="4" w:space="0" w:color="F58025" w:themeColor="accent2"/>
          <w:insideV w:val="single" w:sz="4" w:space="0" w:color="F58025" w:themeColor="accent2"/>
          <w:tl2br w:val="none" w:sz="0" w:space="0" w:color="auto"/>
          <w:tr2bl w:val="none" w:sz="0" w:space="0" w:color="auto"/>
        </w:tcBorders>
        <w:shd w:val="clear" w:color="auto" w:fill="F58025" w:themeFill="accent2"/>
      </w:tcPr>
    </w:tblStylePr>
  </w:style>
  <w:style w:type="table" w:styleId="TableProfessional">
    <w:name w:val="Table Professional"/>
    <w:basedOn w:val="TableNormal"/>
    <w:rsid w:val="00631A7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
    <w:name w:val="Table Grid"/>
    <w:basedOn w:val="TableNormal"/>
    <w:uiPriority w:val="59"/>
    <w:rsid w:val="001C12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73CD1"/>
    <w:rPr>
      <w:rFonts w:ascii="Arial" w:hAnsi="Arial"/>
      <w:i/>
      <w:iCs/>
    </w:rPr>
  </w:style>
  <w:style w:type="character" w:styleId="Strong">
    <w:name w:val="Strong"/>
    <w:basedOn w:val="DefaultParagraphFont"/>
    <w:qFormat/>
    <w:rsid w:val="00E73CD1"/>
    <w:rPr>
      <w:rFonts w:ascii="Arial" w:hAnsi="Arial"/>
      <w:b/>
      <w:bCs/>
    </w:rPr>
  </w:style>
  <w:style w:type="paragraph" w:styleId="Subtitle">
    <w:name w:val="Subtitle"/>
    <w:basedOn w:val="Normal"/>
    <w:next w:val="Normal"/>
    <w:link w:val="SubtitleChar"/>
    <w:rsid w:val="00E73CD1"/>
    <w:pPr>
      <w:numPr>
        <w:ilvl w:val="1"/>
      </w:numPr>
    </w:pPr>
    <w:rPr>
      <w:rFonts w:eastAsiaTheme="majorEastAsia" w:cstheme="majorBidi"/>
      <w:i/>
      <w:iCs/>
      <w:color w:val="006A71" w:themeColor="accent1"/>
      <w:spacing w:val="15"/>
      <w:sz w:val="24"/>
    </w:rPr>
  </w:style>
  <w:style w:type="character" w:customStyle="1" w:styleId="SubtitleChar">
    <w:name w:val="Subtitle Char"/>
    <w:basedOn w:val="DefaultParagraphFont"/>
    <w:link w:val="Subtitle"/>
    <w:rsid w:val="00E73CD1"/>
    <w:rPr>
      <w:rFonts w:ascii="Arial" w:eastAsiaTheme="majorEastAsia" w:hAnsi="Arial" w:cstheme="majorBidi"/>
      <w:i/>
      <w:iCs/>
      <w:color w:val="006A71" w:themeColor="accent1"/>
      <w:spacing w:val="15"/>
      <w:sz w:val="24"/>
      <w:szCs w:val="24"/>
      <w:lang w:eastAsia="ja-JP"/>
    </w:rPr>
  </w:style>
  <w:style w:type="paragraph" w:styleId="Title">
    <w:name w:val="Title"/>
    <w:basedOn w:val="Normal"/>
    <w:next w:val="Normal"/>
    <w:link w:val="TitleChar"/>
    <w:rsid w:val="00E73CD1"/>
    <w:pPr>
      <w:pBdr>
        <w:bottom w:val="single" w:sz="8" w:space="4" w:color="006A71" w:themeColor="accent1"/>
      </w:pBdr>
      <w:spacing w:after="300"/>
      <w:contextualSpacing/>
    </w:pPr>
    <w:rPr>
      <w:rFonts w:eastAsiaTheme="majorEastAsia" w:cstheme="majorBidi"/>
      <w:color w:val="004F54" w:themeColor="text2" w:themeShade="BF"/>
      <w:spacing w:val="5"/>
      <w:kern w:val="28"/>
      <w:sz w:val="52"/>
      <w:szCs w:val="52"/>
    </w:rPr>
  </w:style>
  <w:style w:type="character" w:customStyle="1" w:styleId="TitleChar">
    <w:name w:val="Title Char"/>
    <w:basedOn w:val="DefaultParagraphFont"/>
    <w:link w:val="Title"/>
    <w:rsid w:val="00E73CD1"/>
    <w:rPr>
      <w:rFonts w:ascii="Arial" w:eastAsiaTheme="majorEastAsia" w:hAnsi="Arial" w:cstheme="majorBidi"/>
      <w:color w:val="004F54" w:themeColor="text2" w:themeShade="BF"/>
      <w:spacing w:val="5"/>
      <w:kern w:val="28"/>
      <w:sz w:val="52"/>
      <w:szCs w:val="52"/>
      <w:lang w:eastAsia="ja-JP"/>
    </w:rPr>
  </w:style>
  <w:style w:type="paragraph" w:styleId="NoSpacing">
    <w:name w:val="No Spacing"/>
    <w:uiPriority w:val="1"/>
    <w:qFormat/>
    <w:rsid w:val="00E73CD1"/>
    <w:rPr>
      <w:rFonts w:ascii="Arial" w:hAnsi="Arial"/>
      <w:szCs w:val="24"/>
      <w:lang w:eastAsia="ja-JP"/>
    </w:rPr>
  </w:style>
  <w:style w:type="character" w:styleId="SubtleEmphasis">
    <w:name w:val="Subtle Emphasis"/>
    <w:basedOn w:val="DefaultParagraphFont"/>
    <w:uiPriority w:val="19"/>
    <w:qFormat/>
    <w:rsid w:val="00E73CD1"/>
    <w:rPr>
      <w:rFonts w:ascii="Arial" w:hAnsi="Arial"/>
      <w:i/>
      <w:iCs/>
      <w:color w:val="808080" w:themeColor="text1" w:themeTint="7F"/>
    </w:rPr>
  </w:style>
  <w:style w:type="character" w:styleId="IntenseEmphasis">
    <w:name w:val="Intense Emphasis"/>
    <w:basedOn w:val="DefaultParagraphFont"/>
    <w:uiPriority w:val="21"/>
    <w:qFormat/>
    <w:rsid w:val="00E73CD1"/>
    <w:rPr>
      <w:rFonts w:ascii="Arial" w:hAnsi="Arial"/>
      <w:b/>
      <w:bCs/>
      <w:i/>
      <w:iCs/>
      <w:color w:val="006A71" w:themeColor="accent1"/>
    </w:rPr>
  </w:style>
  <w:style w:type="paragraph" w:styleId="Quote">
    <w:name w:val="Quote"/>
    <w:basedOn w:val="Normal"/>
    <w:next w:val="Normal"/>
    <w:link w:val="QuoteChar"/>
    <w:uiPriority w:val="29"/>
    <w:qFormat/>
    <w:rsid w:val="00E73CD1"/>
    <w:rPr>
      <w:i/>
      <w:iCs/>
      <w:color w:val="000000" w:themeColor="text1"/>
    </w:rPr>
  </w:style>
  <w:style w:type="character" w:customStyle="1" w:styleId="QuoteChar">
    <w:name w:val="Quote Char"/>
    <w:basedOn w:val="DefaultParagraphFont"/>
    <w:link w:val="Quote"/>
    <w:uiPriority w:val="29"/>
    <w:rsid w:val="00E73CD1"/>
    <w:rPr>
      <w:rFonts w:ascii="Arial" w:hAnsi="Arial"/>
      <w:i/>
      <w:iCs/>
      <w:color w:val="000000" w:themeColor="text1"/>
      <w:szCs w:val="24"/>
      <w:lang w:eastAsia="ja-JP"/>
    </w:rPr>
  </w:style>
  <w:style w:type="paragraph" w:customStyle="1" w:styleId="StyleBodycopy11pt">
    <w:name w:val="Style Body copy + 11 pt"/>
    <w:basedOn w:val="Bodycopy"/>
    <w:rsid w:val="007266C9"/>
    <w:rPr>
      <w:sz w:val="22"/>
    </w:rPr>
  </w:style>
  <w:style w:type="paragraph" w:customStyle="1" w:styleId="StyleBodycopy11ptBoldBackground1">
    <w:name w:val="Style Body copy + 11 pt Bold Background 1"/>
    <w:basedOn w:val="Bodycopy"/>
    <w:rsid w:val="007266C9"/>
    <w:rPr>
      <w:b/>
      <w:bCs/>
      <w:color w:val="FFFFFF" w:themeColor="background1"/>
      <w:sz w:val="22"/>
    </w:rPr>
  </w:style>
  <w:style w:type="paragraph" w:customStyle="1" w:styleId="EEHeader">
    <w:name w:val="EEHeader"/>
    <w:basedOn w:val="Header1"/>
    <w:link w:val="EEHeaderChar"/>
    <w:qFormat/>
    <w:rsid w:val="00E73CD1"/>
  </w:style>
  <w:style w:type="paragraph" w:customStyle="1" w:styleId="Headersub">
    <w:name w:val="Header sub"/>
    <w:basedOn w:val="Header1"/>
    <w:link w:val="HeadersubChar"/>
    <w:qFormat/>
    <w:rsid w:val="00E73CD1"/>
    <w:rPr>
      <w:rFonts w:cs="Arial"/>
      <w:color w:val="A6A6A6" w:themeColor="background1" w:themeShade="A6"/>
      <w:sz w:val="64"/>
      <w:szCs w:val="64"/>
    </w:rPr>
  </w:style>
  <w:style w:type="character" w:customStyle="1" w:styleId="Header1Char">
    <w:name w:val="Header1 Char"/>
    <w:basedOn w:val="DefaultParagraphFont"/>
    <w:link w:val="Header1"/>
    <w:rsid w:val="00E16AF4"/>
    <w:rPr>
      <w:rFonts w:ascii="Arial" w:hAnsi="Arial"/>
      <w:b/>
      <w:noProof/>
      <w:color w:val="000000"/>
      <w:sz w:val="76"/>
      <w:szCs w:val="72"/>
      <w:lang w:val="en-US" w:eastAsia="ja-JP"/>
    </w:rPr>
  </w:style>
  <w:style w:type="character" w:customStyle="1" w:styleId="EEHeaderChar">
    <w:name w:val="EEHeader Char"/>
    <w:basedOn w:val="Header1Char"/>
    <w:link w:val="EEHeader"/>
    <w:rsid w:val="00E73CD1"/>
    <w:rPr>
      <w:rFonts w:ascii="Arial" w:hAnsi="Arial"/>
      <w:b/>
      <w:noProof/>
      <w:color w:val="000000"/>
      <w:sz w:val="76"/>
      <w:szCs w:val="72"/>
      <w:lang w:val="en-US" w:eastAsia="ja-JP"/>
    </w:rPr>
  </w:style>
  <w:style w:type="paragraph" w:customStyle="1" w:styleId="EEBodyCopy">
    <w:name w:val="EEBody Copy"/>
    <w:basedOn w:val="Bodycopy"/>
    <w:link w:val="EEBodyCopyChar"/>
    <w:rsid w:val="00E73CD1"/>
    <w:rPr>
      <w:rFonts w:cs="Arial"/>
      <w:sz w:val="22"/>
      <w:szCs w:val="22"/>
    </w:rPr>
  </w:style>
  <w:style w:type="character" w:customStyle="1" w:styleId="HeadersubChar">
    <w:name w:val="Header sub Char"/>
    <w:basedOn w:val="Header1Char"/>
    <w:link w:val="Headersub"/>
    <w:rsid w:val="00E73CD1"/>
    <w:rPr>
      <w:rFonts w:ascii="Arial" w:hAnsi="Arial" w:cs="Arial"/>
      <w:b/>
      <w:noProof/>
      <w:color w:val="A6A6A6" w:themeColor="background1" w:themeShade="A6"/>
      <w:sz w:val="64"/>
      <w:szCs w:val="64"/>
      <w:lang w:val="en-US" w:eastAsia="ja-JP"/>
    </w:rPr>
  </w:style>
  <w:style w:type="paragraph" w:customStyle="1" w:styleId="EEBullets">
    <w:name w:val="EEBullets"/>
    <w:basedOn w:val="Bulletedtext"/>
    <w:link w:val="EEBulletsChar"/>
    <w:qFormat/>
    <w:rsid w:val="00E73CD1"/>
    <w:pPr>
      <w:numPr>
        <w:numId w:val="3"/>
      </w:numPr>
      <w:ind w:left="360"/>
    </w:pPr>
    <w:rPr>
      <w:rFonts w:cs="Arial"/>
      <w:sz w:val="22"/>
      <w:szCs w:val="22"/>
    </w:rPr>
  </w:style>
  <w:style w:type="character" w:customStyle="1" w:styleId="BodycopyChar">
    <w:name w:val="Body copy Char"/>
    <w:basedOn w:val="DefaultParagraphFont"/>
    <w:link w:val="Bodycopy"/>
    <w:rsid w:val="00457322"/>
    <w:rPr>
      <w:rFonts w:ascii="Arial" w:hAnsi="Arial" w:cs="ITC Franklin Gothic LT Medium"/>
      <w:color w:val="000000"/>
      <w:lang w:val="en-GB" w:eastAsia="ja-JP"/>
    </w:rPr>
  </w:style>
  <w:style w:type="character" w:customStyle="1" w:styleId="EEBodyCopyChar">
    <w:name w:val="EEBody Copy Char"/>
    <w:basedOn w:val="BodycopyChar"/>
    <w:link w:val="EEBodyCopy"/>
    <w:rsid w:val="00E73CD1"/>
    <w:rPr>
      <w:rFonts w:ascii="Arial" w:hAnsi="Arial" w:cs="Arial"/>
      <w:color w:val="000000"/>
      <w:sz w:val="22"/>
      <w:szCs w:val="22"/>
      <w:lang w:val="en-GB" w:eastAsia="ja-JP"/>
    </w:rPr>
  </w:style>
  <w:style w:type="table" w:customStyle="1" w:styleId="EETealTable">
    <w:name w:val="EETeal Table"/>
    <w:basedOn w:val="TableNormal"/>
    <w:uiPriority w:val="99"/>
    <w:rsid w:val="0097117F"/>
    <w:rPr>
      <w:rFonts w:ascii="Arial" w:hAnsi="Arial"/>
    </w:rPr>
    <w:tblPr>
      <w:tblStyleRowBandSize w:val="1"/>
      <w:tblInd w:w="11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cPr>
      <w:shd w:val="clear" w:color="auto" w:fill="FFFFFF" w:themeFill="background1"/>
    </w:tcPr>
    <w:tblStylePr w:type="firstRow">
      <w:rPr>
        <w:rFonts w:ascii="Arial" w:hAnsi="Arial"/>
        <w:b/>
        <w:color w:val="FFFFFF" w:themeColor="background1"/>
        <w:sz w:val="20"/>
      </w:rPr>
      <w:tblPr/>
      <w:tcPr>
        <w:shd w:val="clear" w:color="auto" w:fill="006A71" w:themeFill="accent1"/>
      </w:tcPr>
    </w:tblStylePr>
    <w:tblStylePr w:type="band1Horz">
      <w:tblPr/>
      <w:tcPr>
        <w:shd w:val="clear" w:color="auto" w:fill="F2F2F2" w:themeFill="background1" w:themeFillShade="F2"/>
      </w:tcPr>
    </w:tblStylePr>
    <w:tblStylePr w:type="band2Horz">
      <w:tblPr/>
      <w:tcPr>
        <w:shd w:val="clear" w:color="auto" w:fill="D9D9D9" w:themeFill="background1" w:themeFillShade="D9"/>
      </w:tcPr>
    </w:tblStylePr>
  </w:style>
  <w:style w:type="character" w:customStyle="1" w:styleId="BulletedtextChar">
    <w:name w:val="Bulleted text Char"/>
    <w:basedOn w:val="BodycopyChar"/>
    <w:link w:val="Bulletedtext"/>
    <w:rsid w:val="00E16AF4"/>
    <w:rPr>
      <w:rFonts w:ascii="Arial" w:hAnsi="Arial" w:cs="ITC Franklin Gothic LT Medium"/>
      <w:color w:val="000000"/>
      <w:lang w:val="en-GB" w:eastAsia="ja-JP"/>
    </w:rPr>
  </w:style>
  <w:style w:type="character" w:customStyle="1" w:styleId="EEBulletsChar">
    <w:name w:val="EEBullets Char"/>
    <w:basedOn w:val="BulletedtextChar"/>
    <w:link w:val="EEBullets"/>
    <w:rsid w:val="00E73CD1"/>
    <w:rPr>
      <w:rFonts w:ascii="Arial" w:hAnsi="Arial" w:cs="Arial"/>
      <w:color w:val="000000"/>
      <w:sz w:val="22"/>
      <w:szCs w:val="22"/>
      <w:lang w:val="en-GB" w:eastAsia="ja-JP"/>
    </w:rPr>
  </w:style>
  <w:style w:type="table" w:customStyle="1" w:styleId="EEGreytable">
    <w:name w:val="EEGrey table"/>
    <w:basedOn w:val="TableNormal"/>
    <w:uiPriority w:val="99"/>
    <w:rsid w:val="00A35748"/>
    <w:rPr>
      <w:rFonts w:ascii="Arial" w:hAnsi="Arial"/>
    </w:rPr>
    <w:tblPr>
      <w:tblInd w:w="113" w:type="dxa"/>
      <w:tblBorders>
        <w:top w:val="single" w:sz="4" w:space="0" w:color="807F83" w:themeColor="accent4"/>
        <w:left w:val="single" w:sz="4" w:space="0" w:color="807F83" w:themeColor="accent4"/>
        <w:bottom w:val="single" w:sz="4" w:space="0" w:color="807F83" w:themeColor="accent4"/>
        <w:right w:val="single" w:sz="4" w:space="0" w:color="807F83" w:themeColor="accent4"/>
        <w:insideH w:val="single" w:sz="4" w:space="0" w:color="807F83" w:themeColor="accent4"/>
        <w:insideV w:val="single" w:sz="4" w:space="0" w:color="807F83" w:themeColor="accent4"/>
      </w:tblBorders>
    </w:tblPr>
    <w:tcPr>
      <w:shd w:val="clear" w:color="auto" w:fill="FFFFFF" w:themeFill="background1"/>
    </w:tcPr>
    <w:tblStylePr w:type="firstRow">
      <w:rPr>
        <w:rFonts w:ascii="Arial" w:hAnsi="Arial"/>
        <w:b/>
        <w:color w:val="FFFFFF" w:themeColor="background1"/>
        <w:sz w:val="20"/>
      </w:rPr>
      <w:tblPr/>
      <w:tcPr>
        <w:shd w:val="clear" w:color="auto" w:fill="807F83" w:themeFill="accent4"/>
      </w:tcPr>
    </w:tblStylePr>
  </w:style>
  <w:style w:type="paragraph" w:styleId="ListParagraph">
    <w:name w:val="List Paragraph"/>
    <w:basedOn w:val="Normal"/>
    <w:link w:val="ListParagraphChar"/>
    <w:uiPriority w:val="34"/>
    <w:qFormat/>
    <w:rsid w:val="00A35748"/>
    <w:pPr>
      <w:ind w:left="720"/>
      <w:contextualSpacing/>
    </w:pPr>
  </w:style>
  <w:style w:type="paragraph" w:customStyle="1" w:styleId="Bullets">
    <w:name w:val="Bullets"/>
    <w:basedOn w:val="Bulletedtext"/>
    <w:next w:val="Normal"/>
    <w:link w:val="BulletsChar"/>
    <w:qFormat/>
    <w:rsid w:val="00457322"/>
    <w:pPr>
      <w:numPr>
        <w:numId w:val="4"/>
      </w:numPr>
      <w:ind w:left="641" w:hanging="357"/>
    </w:pPr>
    <w:rPr>
      <w:rFonts w:cs="Arial"/>
      <w:szCs w:val="22"/>
    </w:rPr>
  </w:style>
  <w:style w:type="character" w:customStyle="1" w:styleId="BulletsChar">
    <w:name w:val="Bullets Char"/>
    <w:basedOn w:val="BulletedtextChar"/>
    <w:link w:val="Bullets"/>
    <w:rsid w:val="00457322"/>
    <w:rPr>
      <w:rFonts w:ascii="Arial" w:hAnsi="Arial" w:cs="Arial"/>
      <w:color w:val="000000"/>
      <w:szCs w:val="22"/>
      <w:lang w:val="en-GB" w:eastAsia="ja-JP"/>
    </w:rPr>
  </w:style>
  <w:style w:type="character" w:styleId="Hyperlink">
    <w:name w:val="Hyperlink"/>
    <w:basedOn w:val="DefaultParagraphFont"/>
    <w:uiPriority w:val="99"/>
    <w:rsid w:val="00181A1F"/>
    <w:rPr>
      <w:color w:val="A30046" w:themeColor="hyperlink"/>
      <w:u w:val="single"/>
    </w:rPr>
  </w:style>
  <w:style w:type="paragraph" w:styleId="BalloonText">
    <w:name w:val="Balloon Text"/>
    <w:basedOn w:val="Normal"/>
    <w:link w:val="BalloonTextChar"/>
    <w:uiPriority w:val="99"/>
    <w:rsid w:val="00181A1F"/>
    <w:rPr>
      <w:rFonts w:ascii="Tahoma" w:hAnsi="Tahoma" w:cs="Tahoma"/>
      <w:sz w:val="16"/>
      <w:szCs w:val="16"/>
    </w:rPr>
  </w:style>
  <w:style w:type="character" w:customStyle="1" w:styleId="BalloonTextChar">
    <w:name w:val="Balloon Text Char"/>
    <w:basedOn w:val="DefaultParagraphFont"/>
    <w:link w:val="BalloonText"/>
    <w:uiPriority w:val="99"/>
    <w:rsid w:val="00181A1F"/>
    <w:rPr>
      <w:rFonts w:ascii="Tahoma" w:hAnsi="Tahoma" w:cs="Tahoma"/>
      <w:sz w:val="16"/>
      <w:szCs w:val="16"/>
      <w:lang w:eastAsia="ja-JP"/>
    </w:rPr>
  </w:style>
  <w:style w:type="character" w:customStyle="1" w:styleId="ListParagraphChar">
    <w:name w:val="List Paragraph Char"/>
    <w:basedOn w:val="DefaultParagraphFont"/>
    <w:link w:val="ListParagraph"/>
    <w:uiPriority w:val="34"/>
    <w:rsid w:val="00CA5AA5"/>
    <w:rPr>
      <w:rFonts w:ascii="Arial" w:hAnsi="Arial"/>
      <w:szCs w:val="24"/>
      <w:lang w:eastAsia="ja-JP"/>
    </w:rPr>
  </w:style>
  <w:style w:type="paragraph" w:styleId="TOCHeading">
    <w:name w:val="TOC Heading"/>
    <w:basedOn w:val="Heading1"/>
    <w:next w:val="Normal"/>
    <w:uiPriority w:val="39"/>
    <w:unhideWhenUsed/>
    <w:qFormat/>
    <w:rsid w:val="009D6C44"/>
    <w:pPr>
      <w:keepNext/>
      <w:keepLines/>
      <w:spacing w:before="480" w:after="0" w:line="276" w:lineRule="auto"/>
      <w:outlineLvl w:val="9"/>
    </w:pPr>
    <w:rPr>
      <w:rFonts w:asciiTheme="majorHAnsi" w:eastAsiaTheme="majorEastAsia" w:hAnsiTheme="majorHAnsi" w:cstheme="majorBidi"/>
      <w:bCs/>
      <w:color w:val="004F54" w:themeColor="accent1" w:themeShade="BF"/>
      <w:szCs w:val="28"/>
      <w:lang w:val="en-US"/>
    </w:rPr>
  </w:style>
  <w:style w:type="paragraph" w:styleId="TOC1">
    <w:name w:val="toc 1"/>
    <w:basedOn w:val="Normal"/>
    <w:next w:val="Normal"/>
    <w:autoRedefine/>
    <w:uiPriority w:val="39"/>
    <w:rsid w:val="000B6585"/>
    <w:pPr>
      <w:tabs>
        <w:tab w:val="left" w:pos="400"/>
        <w:tab w:val="right" w:leader="dot" w:pos="10194"/>
      </w:tabs>
      <w:spacing w:after="80"/>
    </w:pPr>
    <w:rPr>
      <w:caps/>
    </w:rPr>
  </w:style>
  <w:style w:type="paragraph" w:styleId="TOC2">
    <w:name w:val="toc 2"/>
    <w:basedOn w:val="Normal"/>
    <w:next w:val="Normal"/>
    <w:autoRedefine/>
    <w:uiPriority w:val="39"/>
    <w:rsid w:val="00916D82"/>
    <w:pPr>
      <w:tabs>
        <w:tab w:val="left" w:pos="952"/>
        <w:tab w:val="right" w:leader="dot" w:pos="10194"/>
      </w:tabs>
      <w:spacing w:after="60"/>
      <w:ind w:left="952" w:hanging="756"/>
    </w:pPr>
    <w:rPr>
      <w:noProof/>
    </w:rPr>
  </w:style>
  <w:style w:type="paragraph" w:customStyle="1" w:styleId="RRPCopy">
    <w:name w:val="RRP Copy"/>
    <w:basedOn w:val="Bodycopy"/>
    <w:link w:val="RRPCopyChar"/>
    <w:qFormat/>
    <w:rsid w:val="00F96AA4"/>
    <w:rPr>
      <w:rFonts w:cs="Arial"/>
      <w:lang w:val="en-US"/>
    </w:rPr>
  </w:style>
  <w:style w:type="character" w:customStyle="1" w:styleId="RRPCopyChar">
    <w:name w:val="RRP Copy Char"/>
    <w:basedOn w:val="BodycopyChar"/>
    <w:link w:val="RRPCopy"/>
    <w:rsid w:val="00F96AA4"/>
    <w:rPr>
      <w:rFonts w:ascii="Arial" w:hAnsi="Arial" w:cs="Arial"/>
      <w:color w:val="000000"/>
      <w:lang w:val="en-US" w:eastAsia="ja-JP"/>
    </w:rPr>
  </w:style>
  <w:style w:type="paragraph" w:customStyle="1" w:styleId="StyleHeading122ptNotBoldAccent2">
    <w:name w:val="Style Heading 1 + 22 pt Not Bold Accent 2"/>
    <w:basedOn w:val="Heading1"/>
    <w:autoRedefine/>
    <w:qFormat/>
    <w:rsid w:val="00F96AA4"/>
    <w:rPr>
      <w:b w:val="0"/>
      <w:color w:val="F58025"/>
      <w:sz w:val="44"/>
    </w:rPr>
  </w:style>
  <w:style w:type="character" w:styleId="FootnoteReference">
    <w:name w:val="footnote reference"/>
    <w:aliases w:val="(NECG) Footnote Reference,(NECG) Footnote Reference1,(NECG) Footnote Reference2,o,Style 3,Style 12,fr,Appel note de bas de p,Style 124,(NECG) Footnote Reference3,(NECG) Footnote Reference4,(NECG) Footnote Reference5"/>
    <w:basedOn w:val="DefaultParagraphFont"/>
    <w:uiPriority w:val="99"/>
    <w:rsid w:val="00D95EEE"/>
    <w:rPr>
      <w:sz w:val="20"/>
      <w:vertAlign w:val="superscript"/>
    </w:rPr>
  </w:style>
  <w:style w:type="paragraph" w:customStyle="1" w:styleId="SRPBodyCopy">
    <w:name w:val="SRP Body Copy"/>
    <w:basedOn w:val="Normal"/>
    <w:qFormat/>
    <w:rsid w:val="00CD4930"/>
    <w:pPr>
      <w:spacing w:after="120"/>
    </w:pPr>
  </w:style>
  <w:style w:type="paragraph" w:customStyle="1" w:styleId="SRPheading2">
    <w:name w:val="SRP heading 2"/>
    <w:basedOn w:val="Heading2"/>
    <w:next w:val="SRPBodyCopy"/>
    <w:qFormat/>
    <w:rsid w:val="00CD4930"/>
    <w:rPr>
      <w:color w:val="807F83" w:themeColor="accent4"/>
    </w:rPr>
  </w:style>
  <w:style w:type="paragraph" w:customStyle="1" w:styleId="SRPTableHeading">
    <w:name w:val="SRP Table Heading"/>
    <w:basedOn w:val="Normal"/>
    <w:next w:val="SRPBodyCopy"/>
    <w:autoRedefine/>
    <w:qFormat/>
    <w:rsid w:val="00D95EEE"/>
    <w:rPr>
      <w:b/>
      <w:i/>
      <w:color w:val="006A71" w:themeColor="text2"/>
      <w:sz w:val="16"/>
    </w:rPr>
  </w:style>
  <w:style w:type="paragraph" w:customStyle="1" w:styleId="SRPFootnoteText">
    <w:name w:val="SRP Footnote Text"/>
    <w:basedOn w:val="FootnoteText"/>
    <w:qFormat/>
    <w:rsid w:val="00D95EEE"/>
    <w:rPr>
      <w:rFonts w:cs="Arial"/>
      <w:szCs w:val="16"/>
    </w:rPr>
  </w:style>
  <w:style w:type="paragraph" w:styleId="FootnoteText">
    <w:name w:val="footnote text"/>
    <w:aliases w:val="fn,(NECG) Footnote Text,ALTS FOOTNOTE,Footnote Text Char Char Char,Footnote Text Char1 Char Char,Footnote Text Char Char Char Char Char,Footnote Text Char Char1 Char Char,Footnote Text Char Char1,f,Footnote Text1,Footnote Text2, Char Char"/>
    <w:basedOn w:val="Bodycopy"/>
    <w:link w:val="FootnoteTextChar"/>
    <w:uiPriority w:val="99"/>
    <w:qFormat/>
    <w:rsid w:val="00A0324A"/>
    <w:rPr>
      <w:sz w:val="16"/>
    </w:rPr>
  </w:style>
  <w:style w:type="character" w:customStyle="1" w:styleId="FootnoteTextChar">
    <w:name w:val="Footnote Text Char"/>
    <w:aliases w:val="fn Char,(NECG) Footnote Text Char,ALTS FOOTNOTE Char,Footnote Text Char Char Char Char,Footnote Text Char1 Char Char Char,Footnote Text Char Char Char Char Char Char,Footnote Text Char Char1 Char Char Char,f Char,Footnote Text1 Char"/>
    <w:basedOn w:val="DefaultParagraphFont"/>
    <w:link w:val="FootnoteText"/>
    <w:uiPriority w:val="99"/>
    <w:rsid w:val="00A0324A"/>
    <w:rPr>
      <w:rFonts w:ascii="Arial" w:hAnsi="Arial" w:cs="ITC Franklin Gothic LT Medium"/>
      <w:color w:val="000000"/>
      <w:sz w:val="16"/>
      <w:lang w:val="en-GB" w:eastAsia="ja-JP"/>
    </w:rPr>
  </w:style>
  <w:style w:type="paragraph" w:styleId="NormalWeb">
    <w:name w:val="Normal (Web)"/>
    <w:basedOn w:val="Normal"/>
    <w:uiPriority w:val="99"/>
    <w:rsid w:val="007B0E81"/>
    <w:pPr>
      <w:spacing w:before="100" w:beforeAutospacing="1" w:after="100" w:afterAutospacing="1"/>
    </w:pPr>
    <w:rPr>
      <w:rFonts w:ascii="Times New Roman" w:eastAsia="Times New Roman" w:hAnsi="Times New Roman"/>
      <w:sz w:val="24"/>
      <w:lang w:eastAsia="en-AU"/>
    </w:rPr>
  </w:style>
  <w:style w:type="character" w:customStyle="1" w:styleId="headerminiblue1">
    <w:name w:val="headerminiblue1"/>
    <w:rsid w:val="007B0E81"/>
    <w:rPr>
      <w:rFonts w:ascii="Arial" w:hAnsi="Arial" w:cs="Arial" w:hint="default"/>
      <w:b/>
      <w:bCs/>
      <w:color w:val="000000"/>
      <w:sz w:val="20"/>
      <w:szCs w:val="20"/>
    </w:rPr>
  </w:style>
  <w:style w:type="character" w:customStyle="1" w:styleId="text1">
    <w:name w:val="text1"/>
    <w:rsid w:val="007B0E81"/>
    <w:rPr>
      <w:rFonts w:ascii="Arial" w:hAnsi="Arial" w:cs="Arial" w:hint="default"/>
      <w:color w:val="000000"/>
      <w:sz w:val="20"/>
      <w:szCs w:val="20"/>
    </w:rPr>
  </w:style>
  <w:style w:type="paragraph" w:styleId="Caption">
    <w:name w:val="caption"/>
    <w:basedOn w:val="Normal"/>
    <w:next w:val="Bodycopy"/>
    <w:unhideWhenUsed/>
    <w:qFormat/>
    <w:rsid w:val="0048752E"/>
    <w:pPr>
      <w:spacing w:after="120"/>
    </w:pPr>
    <w:rPr>
      <w:b/>
      <w:bCs/>
      <w:i/>
      <w:color w:val="006A71" w:themeColor="accent1"/>
      <w:sz w:val="18"/>
      <w:szCs w:val="18"/>
    </w:rPr>
  </w:style>
  <w:style w:type="paragraph" w:customStyle="1" w:styleId="Heading1nonumbers">
    <w:name w:val="Heading 1 no numbers"/>
    <w:basedOn w:val="Heading1"/>
    <w:qFormat/>
    <w:rsid w:val="009720B9"/>
    <w:pPr>
      <w:pageBreakBefore w:val="0"/>
      <w:numPr>
        <w:numId w:val="0"/>
      </w:numPr>
    </w:pPr>
    <w:rPr>
      <w:rFonts w:ascii="Arial Bold" w:hAnsi="Arial Bold" w:cs="Arial"/>
      <w:szCs w:val="28"/>
      <w:lang w:val="en-AU"/>
    </w:rPr>
  </w:style>
  <w:style w:type="paragraph" w:customStyle="1" w:styleId="Heading2nonumbers">
    <w:name w:val="Heading 2 no numbers"/>
    <w:basedOn w:val="Heading2"/>
    <w:qFormat/>
    <w:rsid w:val="005E27B2"/>
    <w:pPr>
      <w:numPr>
        <w:ilvl w:val="0"/>
        <w:numId w:val="0"/>
      </w:numPr>
    </w:pPr>
  </w:style>
  <w:style w:type="paragraph" w:customStyle="1" w:styleId="Bodycopysmallspacing">
    <w:name w:val="Body copy small spacing"/>
    <w:basedOn w:val="Bodycopy"/>
    <w:qFormat/>
    <w:rsid w:val="00C93DE7"/>
    <w:pPr>
      <w:spacing w:after="40"/>
    </w:pPr>
  </w:style>
  <w:style w:type="character" w:customStyle="1" w:styleId="StyleBold">
    <w:name w:val="Style Bold"/>
    <w:basedOn w:val="DefaultParagraphFont"/>
    <w:rsid w:val="00C93DE7"/>
    <w:rPr>
      <w:b/>
      <w:bCs/>
    </w:rPr>
  </w:style>
  <w:style w:type="paragraph" w:customStyle="1" w:styleId="StyleBodycopyBold">
    <w:name w:val="Style Body copy + Bold"/>
    <w:basedOn w:val="Bodycopy"/>
    <w:rsid w:val="00C93DE7"/>
    <w:rPr>
      <w:b/>
      <w:bCs/>
    </w:rPr>
  </w:style>
  <w:style w:type="paragraph" w:customStyle="1" w:styleId="Bodycopybold">
    <w:name w:val="Body copy bold"/>
    <w:basedOn w:val="Bodycopy"/>
    <w:next w:val="Bodycopy"/>
    <w:qFormat/>
    <w:rsid w:val="00C93DE7"/>
    <w:rPr>
      <w:b/>
    </w:rPr>
  </w:style>
  <w:style w:type="paragraph" w:customStyle="1" w:styleId="Boldbodycopy">
    <w:name w:val="Bold body copy"/>
    <w:basedOn w:val="Bodycopy"/>
    <w:qFormat/>
    <w:rsid w:val="00C93DE7"/>
    <w:rPr>
      <w:b/>
    </w:rPr>
  </w:style>
  <w:style w:type="paragraph" w:customStyle="1" w:styleId="Bulletsnotindented">
    <w:name w:val="Bullets not indented"/>
    <w:basedOn w:val="Bullets"/>
    <w:qFormat/>
    <w:rsid w:val="00C93DE7"/>
    <w:pPr>
      <w:ind w:left="357"/>
    </w:pPr>
  </w:style>
  <w:style w:type="paragraph" w:customStyle="1" w:styleId="Heading3nonumbers">
    <w:name w:val="Heading 3 no numbers"/>
    <w:basedOn w:val="Heading3"/>
    <w:qFormat/>
    <w:rsid w:val="00161C8F"/>
    <w:pPr>
      <w:numPr>
        <w:ilvl w:val="0"/>
        <w:numId w:val="0"/>
      </w:numPr>
    </w:pPr>
    <w:rPr>
      <w:color w:val="006A71" w:themeColor="text2"/>
    </w:rPr>
  </w:style>
  <w:style w:type="character" w:customStyle="1" w:styleId="BodyTextChar">
    <w:name w:val="Body Text Char"/>
    <w:basedOn w:val="DefaultParagraphFont"/>
    <w:link w:val="BodyText"/>
    <w:rsid w:val="00C93DE7"/>
    <w:rPr>
      <w:rFonts w:ascii="Arial" w:hAnsi="Arial"/>
      <w:szCs w:val="24"/>
      <w:lang w:eastAsia="ja-JP"/>
    </w:rPr>
  </w:style>
  <w:style w:type="paragraph" w:customStyle="1" w:styleId="Tableheadingwhite">
    <w:name w:val="Table heading white"/>
    <w:basedOn w:val="Bodycopy"/>
    <w:rsid w:val="0097117F"/>
    <w:pPr>
      <w:spacing w:before="80" w:line="240" w:lineRule="auto"/>
    </w:pPr>
    <w:rPr>
      <w:bCs/>
      <w:color w:val="FFFFFF" w:themeColor="background1"/>
    </w:rPr>
  </w:style>
  <w:style w:type="paragraph" w:customStyle="1" w:styleId="Bodycopytable8pt">
    <w:name w:val="Body copy table 8pt"/>
    <w:basedOn w:val="Bodycopy"/>
    <w:rsid w:val="00793C11"/>
    <w:pPr>
      <w:spacing w:before="40" w:after="40"/>
    </w:pPr>
    <w:rPr>
      <w:rFonts w:eastAsia="Times New Roman"/>
      <w:bCs/>
      <w:color w:val="auto"/>
      <w:sz w:val="16"/>
    </w:rPr>
  </w:style>
  <w:style w:type="paragraph" w:customStyle="1" w:styleId="Bodycopytable8ptbold">
    <w:name w:val="Body copy table 8pt bold"/>
    <w:basedOn w:val="Bodycopytable8pt"/>
    <w:qFormat/>
    <w:rsid w:val="00DA41A2"/>
    <w:pPr>
      <w:jc w:val="center"/>
    </w:pPr>
    <w:rPr>
      <w:b/>
    </w:rPr>
  </w:style>
  <w:style w:type="paragraph" w:customStyle="1" w:styleId="Bodycopyindented">
    <w:name w:val="Body copy indented"/>
    <w:basedOn w:val="Bullets"/>
    <w:qFormat/>
    <w:rsid w:val="00875B8F"/>
    <w:pPr>
      <w:numPr>
        <w:numId w:val="0"/>
      </w:numPr>
      <w:ind w:left="644" w:hanging="20"/>
    </w:pPr>
  </w:style>
  <w:style w:type="character" w:customStyle="1" w:styleId="Heading4Char">
    <w:name w:val="Heading 4 Char"/>
    <w:basedOn w:val="DefaultParagraphFont"/>
    <w:link w:val="Heading4"/>
    <w:rsid w:val="00446376"/>
    <w:rPr>
      <w:rFonts w:asciiTheme="majorHAnsi" w:eastAsiaTheme="majorEastAsia" w:hAnsiTheme="majorHAnsi" w:cstheme="majorBidi"/>
      <w:b/>
      <w:bCs/>
      <w:i/>
      <w:iCs/>
      <w:szCs w:val="24"/>
      <w:lang w:eastAsia="ja-JP"/>
    </w:rPr>
  </w:style>
  <w:style w:type="paragraph" w:customStyle="1" w:styleId="Heading4nonumbers">
    <w:name w:val="Heading 4 no numbers"/>
    <w:basedOn w:val="Heading3nonumbers"/>
    <w:next w:val="Bodycopy"/>
    <w:qFormat/>
    <w:rsid w:val="00270B83"/>
    <w:rPr>
      <w:color w:val="456478" w:themeColor="accent5" w:themeShade="BF"/>
      <w:sz w:val="20"/>
    </w:rPr>
  </w:style>
  <w:style w:type="paragraph" w:customStyle="1" w:styleId="Numbered">
    <w:name w:val="Numbered"/>
    <w:basedOn w:val="Bullets"/>
    <w:qFormat/>
    <w:rsid w:val="00A40111"/>
    <w:pPr>
      <w:numPr>
        <w:numId w:val="6"/>
      </w:numPr>
    </w:pPr>
  </w:style>
  <w:style w:type="paragraph" w:customStyle="1" w:styleId="Numberednotindented">
    <w:name w:val="Numbered not indented"/>
    <w:basedOn w:val="Bodycopy"/>
    <w:qFormat/>
    <w:rsid w:val="00676772"/>
    <w:pPr>
      <w:numPr>
        <w:numId w:val="7"/>
      </w:numPr>
      <w:ind w:left="357" w:hanging="357"/>
    </w:pPr>
  </w:style>
  <w:style w:type="paragraph" w:customStyle="1" w:styleId="Numberedbold">
    <w:name w:val="Numbered bold"/>
    <w:basedOn w:val="Numbered"/>
    <w:qFormat/>
    <w:rsid w:val="00757FD3"/>
    <w:rPr>
      <w:b/>
    </w:rPr>
  </w:style>
  <w:style w:type="paragraph" w:customStyle="1" w:styleId="Numberedbold6ptbefore">
    <w:name w:val="Numbered bold 6pt before"/>
    <w:basedOn w:val="Numberedbold"/>
    <w:qFormat/>
    <w:rsid w:val="00F47E90"/>
    <w:pPr>
      <w:spacing w:before="120"/>
    </w:pPr>
  </w:style>
  <w:style w:type="paragraph" w:styleId="ListContinue4">
    <w:name w:val="List Continue 4"/>
    <w:basedOn w:val="Normal"/>
    <w:rsid w:val="00570BE5"/>
    <w:pPr>
      <w:spacing w:after="120"/>
      <w:ind w:left="1132"/>
      <w:contextualSpacing/>
    </w:pPr>
  </w:style>
  <w:style w:type="paragraph" w:customStyle="1" w:styleId="Default">
    <w:name w:val="Default"/>
    <w:rsid w:val="00693CFF"/>
    <w:pPr>
      <w:autoSpaceDE w:val="0"/>
      <w:autoSpaceDN w:val="0"/>
      <w:adjustRightInd w:val="0"/>
    </w:pPr>
    <w:rPr>
      <w:rFonts w:ascii="Arial" w:hAnsi="Arial" w:cs="Arial"/>
      <w:color w:val="000000"/>
      <w:sz w:val="24"/>
      <w:szCs w:val="24"/>
    </w:rPr>
  </w:style>
  <w:style w:type="paragraph" w:customStyle="1" w:styleId="Numberedbold6pybeforenotindented">
    <w:name w:val="Numbered bold 6py before not indented"/>
    <w:basedOn w:val="Bodycopy"/>
    <w:qFormat/>
    <w:rsid w:val="00D35A7D"/>
    <w:pPr>
      <w:numPr>
        <w:numId w:val="8"/>
      </w:numPr>
      <w:spacing w:before="120"/>
      <w:ind w:left="357" w:hanging="357"/>
    </w:pPr>
    <w:rPr>
      <w:b/>
    </w:rPr>
  </w:style>
  <w:style w:type="numbering" w:customStyle="1" w:styleId="Style1">
    <w:name w:val="Style1"/>
    <w:uiPriority w:val="99"/>
    <w:rsid w:val="00DE69EC"/>
    <w:pPr>
      <w:numPr>
        <w:numId w:val="9"/>
      </w:numPr>
    </w:pPr>
  </w:style>
  <w:style w:type="paragraph" w:customStyle="1" w:styleId="Bulletlist">
    <w:name w:val="Bullet list"/>
    <w:link w:val="BulletlistChar"/>
    <w:uiPriority w:val="4"/>
    <w:qFormat/>
    <w:rsid w:val="00DE69EC"/>
    <w:pPr>
      <w:numPr>
        <w:numId w:val="9"/>
      </w:numPr>
      <w:spacing w:after="120"/>
    </w:pPr>
    <w:rPr>
      <w:rFonts w:asciiTheme="minorHAnsi" w:eastAsia="Calibri" w:hAnsiTheme="minorHAnsi"/>
      <w:szCs w:val="22"/>
      <w:lang w:eastAsia="en-US"/>
    </w:rPr>
  </w:style>
  <w:style w:type="character" w:customStyle="1" w:styleId="BulletlistChar">
    <w:name w:val="Bullet list Char"/>
    <w:basedOn w:val="DefaultParagraphFont"/>
    <w:link w:val="Bulletlist"/>
    <w:uiPriority w:val="4"/>
    <w:rsid w:val="00DE69EC"/>
    <w:rPr>
      <w:rFonts w:asciiTheme="minorHAnsi" w:eastAsia="Calibri" w:hAnsiTheme="minorHAnsi"/>
      <w:szCs w:val="22"/>
      <w:lang w:eastAsia="en-US"/>
    </w:rPr>
  </w:style>
  <w:style w:type="paragraph" w:styleId="TOC3">
    <w:name w:val="toc 3"/>
    <w:basedOn w:val="Normal"/>
    <w:next w:val="Normal"/>
    <w:autoRedefine/>
    <w:uiPriority w:val="39"/>
    <w:rsid w:val="009720B9"/>
    <w:pPr>
      <w:spacing w:after="100"/>
      <w:ind w:left="400"/>
    </w:pPr>
  </w:style>
  <w:style w:type="paragraph" w:customStyle="1" w:styleId="Heading1notinTOC">
    <w:name w:val="Heading 1 not in TOC"/>
    <w:basedOn w:val="Heading1nonumbers"/>
    <w:qFormat/>
    <w:rsid w:val="009720B9"/>
  </w:style>
  <w:style w:type="paragraph" w:styleId="TableofFigures">
    <w:name w:val="table of figures"/>
    <w:basedOn w:val="Normal"/>
    <w:next w:val="Normal"/>
    <w:uiPriority w:val="99"/>
    <w:rsid w:val="00542728"/>
    <w:pPr>
      <w:spacing w:after="100"/>
    </w:pPr>
  </w:style>
  <w:style w:type="paragraph" w:customStyle="1" w:styleId="Numberedbold8ptfortable">
    <w:name w:val="Numbered bold 8pt for table"/>
    <w:basedOn w:val="Numberedbold6pybeforenotindented"/>
    <w:qFormat/>
    <w:rsid w:val="00BA623C"/>
    <w:rPr>
      <w:sz w:val="16"/>
    </w:rPr>
  </w:style>
  <w:style w:type="paragraph" w:customStyle="1" w:styleId="Numberedbold8ptWHITE">
    <w:name w:val="Numbered bold 8pt WHITE"/>
    <w:basedOn w:val="Numberedbold8ptfortable"/>
    <w:qFormat/>
    <w:rsid w:val="00BA623C"/>
    <w:rPr>
      <w:color w:val="FFFFFF" w:themeColor="background1"/>
    </w:rPr>
  </w:style>
  <w:style w:type="paragraph" w:customStyle="1" w:styleId="NumberednotindentedWHITE">
    <w:name w:val="Numbered not indented WHITE"/>
    <w:basedOn w:val="Numberedbold6pybeforenotindented"/>
    <w:qFormat/>
    <w:rsid w:val="00BA623C"/>
    <w:pPr>
      <w:ind w:left="720" w:hanging="360"/>
    </w:pPr>
    <w:rPr>
      <w:color w:val="FFFFFF" w:themeColor="background1"/>
    </w:rPr>
  </w:style>
  <w:style w:type="paragraph" w:customStyle="1" w:styleId="Bulletswhitefont">
    <w:name w:val="Bullets white font"/>
    <w:basedOn w:val="Bulletsnotindented"/>
    <w:qFormat/>
    <w:rsid w:val="00184DC3"/>
    <w:rPr>
      <w:color w:val="FFFFFF" w:themeColor="background1"/>
    </w:rPr>
  </w:style>
  <w:style w:type="paragraph" w:customStyle="1" w:styleId="StyleCaptionCentered">
    <w:name w:val="Style Caption + Centered"/>
    <w:basedOn w:val="Caption"/>
    <w:rsid w:val="00493EBD"/>
    <w:pPr>
      <w:jc w:val="center"/>
    </w:pPr>
    <w:rPr>
      <w:rFonts w:eastAsia="Times New Roman"/>
      <w:iCs/>
      <w:szCs w:val="20"/>
    </w:rPr>
  </w:style>
  <w:style w:type="paragraph" w:styleId="Revision">
    <w:name w:val="Revision"/>
    <w:hidden/>
    <w:uiPriority w:val="99"/>
    <w:semiHidden/>
    <w:rsid w:val="006F492E"/>
    <w:rPr>
      <w:rFonts w:ascii="Arial" w:hAnsi="Arial"/>
      <w:szCs w:val="24"/>
      <w:lang w:eastAsia="ja-JP"/>
    </w:rPr>
  </w:style>
  <w:style w:type="paragraph" w:customStyle="1" w:styleId="CoverSubheading">
    <w:name w:val="Cover Subheading"/>
    <w:basedOn w:val="Normal"/>
    <w:link w:val="CoverSubheadingChar"/>
    <w:qFormat/>
    <w:rsid w:val="00583A9B"/>
    <w:pPr>
      <w:widowControl w:val="0"/>
      <w:spacing w:after="300"/>
    </w:pPr>
    <w:rPr>
      <w:rFonts w:ascii="Century Gothic" w:eastAsia="Century Gothic" w:hAnsi="Century Gothic" w:cs="Century Gothic"/>
      <w:color w:val="008698"/>
      <w:sz w:val="30"/>
      <w:szCs w:val="30"/>
      <w:lang w:val="en-US" w:eastAsia="en-US"/>
    </w:rPr>
  </w:style>
  <w:style w:type="character" w:customStyle="1" w:styleId="CoverSubheadingChar">
    <w:name w:val="Cover Subheading Char"/>
    <w:basedOn w:val="DefaultParagraphFont"/>
    <w:link w:val="CoverSubheading"/>
    <w:rsid w:val="00583A9B"/>
    <w:rPr>
      <w:rFonts w:ascii="Century Gothic" w:eastAsia="Century Gothic" w:hAnsi="Century Gothic" w:cs="Century Gothic"/>
      <w:color w:val="008698"/>
      <w:sz w:val="30"/>
      <w:szCs w:val="30"/>
      <w:lang w:val="en-US" w:eastAsia="en-US"/>
    </w:rPr>
  </w:style>
  <w:style w:type="paragraph" w:customStyle="1" w:styleId="Bulletsnotindentedwhite">
    <w:name w:val="Bullets not indented white"/>
    <w:basedOn w:val="Bulletsnotindented"/>
    <w:qFormat/>
    <w:rsid w:val="008B5ACC"/>
    <w:rPr>
      <w:color w:val="FFFFFF" w:themeColor="background1"/>
    </w:rPr>
  </w:style>
  <w:style w:type="paragraph" w:customStyle="1" w:styleId="TableheadingWHITELARGE">
    <w:name w:val="Table heading WHITE LARGE"/>
    <w:basedOn w:val="Tableheadingwhite"/>
    <w:qFormat/>
    <w:rsid w:val="00337842"/>
    <w:pPr>
      <w:spacing w:before="120" w:after="80"/>
      <w:jc w:val="center"/>
    </w:pPr>
    <w:rPr>
      <w:b/>
      <w:bCs w:val="0"/>
      <w:sz w:val="24"/>
    </w:rPr>
  </w:style>
  <w:style w:type="paragraph" w:styleId="IntenseQuote">
    <w:name w:val="Intense Quote"/>
    <w:aliases w:val="Section Heading"/>
    <w:basedOn w:val="Normal"/>
    <w:next w:val="Normal"/>
    <w:link w:val="IntenseQuoteChar"/>
    <w:uiPriority w:val="30"/>
    <w:rsid w:val="00161C8F"/>
    <w:pPr>
      <w:pBdr>
        <w:bottom w:val="single" w:sz="4" w:space="4" w:color="006A71" w:themeColor="accent1"/>
      </w:pBdr>
      <w:spacing w:before="200" w:after="280"/>
      <w:ind w:left="936" w:right="936"/>
    </w:pPr>
    <w:rPr>
      <w:b/>
      <w:bCs/>
      <w:i/>
      <w:iCs/>
      <w:color w:val="006A71" w:themeColor="accent1"/>
    </w:rPr>
  </w:style>
  <w:style w:type="character" w:customStyle="1" w:styleId="IntenseQuoteChar">
    <w:name w:val="Intense Quote Char"/>
    <w:aliases w:val="Section Heading Char"/>
    <w:basedOn w:val="DefaultParagraphFont"/>
    <w:link w:val="IntenseQuote"/>
    <w:uiPriority w:val="30"/>
    <w:rsid w:val="00161C8F"/>
    <w:rPr>
      <w:rFonts w:ascii="Arial" w:hAnsi="Arial"/>
      <w:b/>
      <w:bCs/>
      <w:i/>
      <w:iCs/>
      <w:color w:val="006A71" w:themeColor="accent1"/>
      <w:szCs w:val="24"/>
      <w:lang w:eastAsia="ja-JP"/>
    </w:rPr>
  </w:style>
  <w:style w:type="paragraph" w:customStyle="1" w:styleId="RRPBullets">
    <w:name w:val="RRP Bullets"/>
    <w:basedOn w:val="Normal"/>
    <w:next w:val="RRPCopy"/>
    <w:link w:val="RRPBulletsChar"/>
    <w:qFormat/>
    <w:rsid w:val="006C3F21"/>
    <w:pPr>
      <w:numPr>
        <w:numId w:val="10"/>
      </w:numPr>
      <w:suppressAutoHyphens/>
      <w:autoSpaceDE w:val="0"/>
      <w:autoSpaceDN w:val="0"/>
      <w:adjustRightInd w:val="0"/>
      <w:spacing w:before="120" w:after="120"/>
      <w:textAlignment w:val="center"/>
    </w:pPr>
    <w:rPr>
      <w:rFonts w:cs="Arial"/>
      <w:color w:val="000000"/>
      <w:szCs w:val="22"/>
      <w:lang w:val="en-GB"/>
    </w:rPr>
  </w:style>
  <w:style w:type="character" w:customStyle="1" w:styleId="RRPBulletsChar">
    <w:name w:val="RRP Bullets Char"/>
    <w:basedOn w:val="DefaultParagraphFont"/>
    <w:link w:val="RRPBullets"/>
    <w:rsid w:val="003B147B"/>
    <w:rPr>
      <w:rFonts w:ascii="Arial" w:hAnsi="Arial" w:cs="Arial"/>
      <w:color w:val="000000"/>
      <w:szCs w:val="22"/>
      <w:lang w:val="en-GB" w:eastAsia="ja-JP"/>
    </w:rPr>
  </w:style>
  <w:style w:type="paragraph" w:customStyle="1" w:styleId="Bulletsnotindented8pt">
    <w:name w:val="Bullets not indented 8pt"/>
    <w:basedOn w:val="Bulletsnotindented"/>
    <w:qFormat/>
    <w:rsid w:val="00793C11"/>
    <w:pPr>
      <w:spacing w:after="20"/>
    </w:pPr>
    <w:rPr>
      <w:sz w:val="16"/>
    </w:rPr>
  </w:style>
  <w:style w:type="paragraph" w:customStyle="1" w:styleId="Numberednotindented8pt">
    <w:name w:val="Numbered not indented 8pt"/>
    <w:basedOn w:val="Bulletsnotindented8pt"/>
    <w:qFormat/>
    <w:rsid w:val="007F6085"/>
    <w:pPr>
      <w:numPr>
        <w:numId w:val="11"/>
      </w:numPr>
      <w:ind w:left="357" w:hanging="357"/>
    </w:pPr>
  </w:style>
  <w:style w:type="paragraph" w:customStyle="1" w:styleId="Tableheadingwhitebold8pt">
    <w:name w:val="Table heading white bold 8pt"/>
    <w:basedOn w:val="Tableheadingwhite"/>
    <w:qFormat/>
    <w:rsid w:val="003F5178"/>
    <w:pPr>
      <w:jc w:val="center"/>
    </w:pPr>
    <w:rPr>
      <w:b/>
      <w:bCs w:val="0"/>
      <w:sz w:val="16"/>
    </w:rPr>
  </w:style>
  <w:style w:type="paragraph" w:customStyle="1" w:styleId="Bodycopt8ptWHITE">
    <w:name w:val="Body copt 8pt WHITE"/>
    <w:basedOn w:val="Bodycopytable8pt"/>
    <w:qFormat/>
    <w:rsid w:val="00E80CAB"/>
    <w:rPr>
      <w:color w:val="FFFFFF" w:themeColor="background1"/>
    </w:rPr>
  </w:style>
  <w:style w:type="character" w:styleId="CommentReference">
    <w:name w:val="annotation reference"/>
    <w:basedOn w:val="DefaultParagraphFont"/>
    <w:rsid w:val="00353954"/>
    <w:rPr>
      <w:sz w:val="16"/>
      <w:szCs w:val="16"/>
    </w:rPr>
  </w:style>
  <w:style w:type="paragraph" w:styleId="CommentText">
    <w:name w:val="annotation text"/>
    <w:basedOn w:val="Normal"/>
    <w:link w:val="CommentTextChar"/>
    <w:rsid w:val="00353954"/>
    <w:rPr>
      <w:szCs w:val="20"/>
    </w:rPr>
  </w:style>
  <w:style w:type="character" w:customStyle="1" w:styleId="CommentTextChar">
    <w:name w:val="Comment Text Char"/>
    <w:basedOn w:val="DefaultParagraphFont"/>
    <w:link w:val="CommentText"/>
    <w:rsid w:val="00353954"/>
    <w:rPr>
      <w:rFonts w:ascii="Arial" w:hAnsi="Arial"/>
      <w:lang w:eastAsia="ja-JP"/>
    </w:rPr>
  </w:style>
  <w:style w:type="paragraph" w:styleId="CommentSubject">
    <w:name w:val="annotation subject"/>
    <w:basedOn w:val="CommentText"/>
    <w:next w:val="CommentText"/>
    <w:link w:val="CommentSubjectChar"/>
    <w:rsid w:val="00353954"/>
    <w:rPr>
      <w:b/>
      <w:bCs/>
    </w:rPr>
  </w:style>
  <w:style w:type="character" w:customStyle="1" w:styleId="CommentSubjectChar">
    <w:name w:val="Comment Subject Char"/>
    <w:basedOn w:val="CommentTextChar"/>
    <w:link w:val="CommentSubject"/>
    <w:rsid w:val="00353954"/>
    <w:rPr>
      <w:rFonts w:ascii="Arial" w:hAnsi="Arial"/>
      <w:b/>
      <w:bCs/>
      <w:lang w:eastAsia="ja-JP"/>
    </w:rPr>
  </w:style>
  <w:style w:type="paragraph" w:customStyle="1" w:styleId="StyleTableheadingwhitebold8ptLeft">
    <w:name w:val="Style Table heading white bold 8pt + Left"/>
    <w:basedOn w:val="Tableheadingwhitebold8pt"/>
    <w:rsid w:val="005306F5"/>
    <w:pPr>
      <w:jc w:val="left"/>
    </w:pPr>
    <w:rPr>
      <w:rFonts w:eastAsia="Times New Roman" w:cs="Times New Roman"/>
      <w:bCs/>
    </w:rPr>
  </w:style>
  <w:style w:type="paragraph" w:customStyle="1" w:styleId="StyleCaptionCentered1">
    <w:name w:val="Style Caption + Centered1"/>
    <w:basedOn w:val="Caption"/>
    <w:rsid w:val="0051487C"/>
    <w:pPr>
      <w:jc w:val="center"/>
    </w:pPr>
    <w:rPr>
      <w:rFonts w:eastAsia="Times New Roman"/>
      <w:iCs/>
      <w:szCs w:val="20"/>
    </w:rPr>
  </w:style>
  <w:style w:type="paragraph" w:customStyle="1" w:styleId="Bodycopynarrowcolumn">
    <w:name w:val="Body copy narrow column"/>
    <w:basedOn w:val="Bodycopy"/>
    <w:qFormat/>
    <w:rsid w:val="005D729A"/>
    <w:pPr>
      <w:ind w:right="7088"/>
    </w:pPr>
  </w:style>
  <w:style w:type="paragraph" w:customStyle="1" w:styleId="Captionrighthandside">
    <w:name w:val="Caption right hand side"/>
    <w:basedOn w:val="StyleCaptionCentered"/>
    <w:qFormat/>
    <w:rsid w:val="005D729A"/>
    <w:pPr>
      <w:ind w:left="3402"/>
    </w:pPr>
  </w:style>
  <w:style w:type="paragraph" w:customStyle="1" w:styleId="Captionnoafter">
    <w:name w:val="Caption no after"/>
    <w:basedOn w:val="Caption"/>
    <w:qFormat/>
    <w:rsid w:val="00F8099F"/>
    <w:pPr>
      <w:spacing w:after="0"/>
      <w:jc w:val="center"/>
    </w:pPr>
    <w:rPr>
      <w:iCs/>
    </w:rPr>
  </w:style>
  <w:style w:type="paragraph" w:customStyle="1" w:styleId="StyleBoldbodycopyAccent1">
    <w:name w:val="Style Bold body copy + Accent 1"/>
    <w:basedOn w:val="Boldbodycopy"/>
    <w:rsid w:val="00600126"/>
    <w:pPr>
      <w:spacing w:before="120"/>
    </w:pPr>
    <w:rPr>
      <w:bCs/>
      <w:color w:val="006A71" w:themeColor="accent1"/>
    </w:rPr>
  </w:style>
  <w:style w:type="paragraph" w:styleId="ListBullet">
    <w:name w:val="List Bullet"/>
    <w:basedOn w:val="Normal"/>
    <w:uiPriority w:val="99"/>
    <w:rsid w:val="003C1AD7"/>
    <w:pPr>
      <w:numPr>
        <w:numId w:val="14"/>
      </w:numPr>
      <w:spacing w:before="60" w:after="60" w:line="240" w:lineRule="atLeast"/>
    </w:pPr>
    <w:rPr>
      <w:rFonts w:ascii="Arial Narrow" w:eastAsiaTheme="minorHAnsi" w:hAnsi="Arial Narrow" w:cstheme="minorBidi"/>
      <w:sz w:val="22"/>
      <w:szCs w:val="22"/>
      <w:lang w:eastAsia="en-US"/>
    </w:rPr>
  </w:style>
  <w:style w:type="paragraph" w:styleId="ListBullet2">
    <w:name w:val="List Bullet 2"/>
    <w:basedOn w:val="Normal"/>
    <w:uiPriority w:val="99"/>
    <w:rsid w:val="003C1AD7"/>
    <w:pPr>
      <w:numPr>
        <w:numId w:val="15"/>
      </w:numPr>
      <w:tabs>
        <w:tab w:val="clear" w:pos="643"/>
      </w:tabs>
      <w:spacing w:line="240" w:lineRule="atLeast"/>
      <w:contextualSpacing/>
    </w:pPr>
    <w:rPr>
      <w:rFonts w:ascii="Arial Narrow" w:eastAsiaTheme="minorHAnsi" w:hAnsi="Arial Narrow" w:cstheme="minorBidi"/>
      <w:sz w:val="22"/>
      <w:szCs w:val="22"/>
      <w:lang w:eastAsia="en-US"/>
    </w:rPr>
  </w:style>
  <w:style w:type="paragraph" w:customStyle="1" w:styleId="CpBoldSubTitle">
    <w:name w:val="Cp Bold SubTitle"/>
    <w:basedOn w:val="Normal"/>
    <w:rsid w:val="003C1AD7"/>
    <w:pPr>
      <w:spacing w:before="48" w:line="200" w:lineRule="exact"/>
      <w:ind w:left="159"/>
    </w:pPr>
    <w:rPr>
      <w:rFonts w:ascii="Arial Bold" w:eastAsiaTheme="minorHAnsi" w:hAnsi="Arial Bold" w:cstheme="minorBidi"/>
      <w:b/>
      <w:caps/>
      <w:color w:val="000100"/>
      <w:sz w:val="22"/>
      <w:szCs w:val="22"/>
      <w:lang w:eastAsia="en-US"/>
    </w:rPr>
  </w:style>
  <w:style w:type="numbering" w:customStyle="1" w:styleId="aaReportListBullets">
    <w:name w:val="aa Report List Bullets"/>
    <w:uiPriority w:val="99"/>
    <w:rsid w:val="003C1AD7"/>
    <w:pPr>
      <w:numPr>
        <w:numId w:val="13"/>
      </w:numPr>
    </w:pPr>
  </w:style>
  <w:style w:type="paragraph" w:customStyle="1" w:styleId="StyleBodycopytable8ptCentered">
    <w:name w:val="Style Body copy table 8pt + Centered"/>
    <w:basedOn w:val="Bodycopytable8pt"/>
    <w:rsid w:val="00063654"/>
    <w:pPr>
      <w:jc w:val="center"/>
    </w:pPr>
    <w:rPr>
      <w:rFonts w:cs="Times New Roman"/>
      <w:bCs w:val="0"/>
    </w:rPr>
  </w:style>
  <w:style w:type="paragraph" w:customStyle="1" w:styleId="StyleCaptionCustomColorRGB0106113">
    <w:name w:val="Style Caption + Custom Color(RGB(0106113))"/>
    <w:basedOn w:val="Caption"/>
    <w:rsid w:val="00E555BC"/>
    <w:rPr>
      <w:iCs/>
      <w:color w:val="006A71"/>
    </w:rPr>
  </w:style>
  <w:style w:type="table" w:customStyle="1" w:styleId="TableGrid1">
    <w:name w:val="Table Grid1"/>
    <w:basedOn w:val="TableNormal"/>
    <w:next w:val="TableGrid"/>
    <w:uiPriority w:val="59"/>
    <w:rsid w:val="00E55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TableheadingWHITELARGE"/>
    <w:qFormat/>
    <w:rsid w:val="003C4DC0"/>
    <w:pPr>
      <w:spacing w:before="0" w:after="0"/>
      <w:jc w:val="left"/>
    </w:pPr>
    <w:rPr>
      <w:noProof/>
      <w:sz w:val="22"/>
      <w:lang w:eastAsia="en-AU"/>
    </w:rPr>
  </w:style>
  <w:style w:type="paragraph" w:customStyle="1" w:styleId="Style3">
    <w:name w:val="Style3"/>
    <w:basedOn w:val="Tableheadingwhitebold8pt"/>
    <w:qFormat/>
    <w:rsid w:val="00311D3C"/>
    <w:pPr>
      <w:spacing w:before="40" w:after="40"/>
    </w:pPr>
  </w:style>
  <w:style w:type="table" w:customStyle="1" w:styleId="GridTable5DarkAccent2">
    <w:name w:val="Grid Table 5 Dark Accent 2"/>
    <w:basedOn w:val="TableNormal"/>
    <w:uiPriority w:val="50"/>
    <w:rsid w:val="00AF5DE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5802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5802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5802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58025" w:themeFill="accent2"/>
      </w:tcPr>
    </w:tblStylePr>
    <w:tblStylePr w:type="band1Vert">
      <w:tblPr/>
      <w:tcPr>
        <w:shd w:val="clear" w:color="auto" w:fill="FBCBA7" w:themeFill="accent2" w:themeFillTint="66"/>
      </w:tcPr>
    </w:tblStylePr>
    <w:tblStylePr w:type="band1Horz">
      <w:tblPr/>
      <w:tcPr>
        <w:shd w:val="clear" w:color="auto" w:fill="FBCBA7" w:themeFill="accent2" w:themeFillTint="66"/>
      </w:tcPr>
    </w:tblStylePr>
  </w:style>
  <w:style w:type="table" w:customStyle="1" w:styleId="GridTable4Accent2">
    <w:name w:val="Grid Table 4 Accent 2"/>
    <w:basedOn w:val="TableNormal"/>
    <w:uiPriority w:val="49"/>
    <w:rsid w:val="00A52BA8"/>
    <w:tblPr>
      <w:tblStyleRowBandSize w:val="1"/>
      <w:tblStyleColBandSize w:val="1"/>
      <w:tblBorders>
        <w:top w:val="single" w:sz="4" w:space="0" w:color="F9B27C" w:themeColor="accent2" w:themeTint="99"/>
        <w:left w:val="single" w:sz="4" w:space="0" w:color="F9B27C" w:themeColor="accent2" w:themeTint="99"/>
        <w:bottom w:val="single" w:sz="4" w:space="0" w:color="F9B27C" w:themeColor="accent2" w:themeTint="99"/>
        <w:right w:val="single" w:sz="4" w:space="0" w:color="F9B27C" w:themeColor="accent2" w:themeTint="99"/>
        <w:insideH w:val="single" w:sz="4" w:space="0" w:color="F9B27C" w:themeColor="accent2" w:themeTint="99"/>
        <w:insideV w:val="single" w:sz="4" w:space="0" w:color="F9B27C" w:themeColor="accent2" w:themeTint="99"/>
      </w:tblBorders>
    </w:tblPr>
    <w:tblStylePr w:type="firstRow">
      <w:rPr>
        <w:b/>
        <w:bCs/>
        <w:color w:val="FFFFFF" w:themeColor="background1"/>
      </w:rPr>
      <w:tblPr/>
      <w:tcPr>
        <w:tcBorders>
          <w:top w:val="single" w:sz="4" w:space="0" w:color="F58025" w:themeColor="accent2"/>
          <w:left w:val="single" w:sz="4" w:space="0" w:color="F58025" w:themeColor="accent2"/>
          <w:bottom w:val="single" w:sz="4" w:space="0" w:color="F58025" w:themeColor="accent2"/>
          <w:right w:val="single" w:sz="4" w:space="0" w:color="F58025" w:themeColor="accent2"/>
          <w:insideH w:val="nil"/>
          <w:insideV w:val="nil"/>
        </w:tcBorders>
        <w:shd w:val="clear" w:color="auto" w:fill="F58025" w:themeFill="accent2"/>
      </w:tcPr>
    </w:tblStylePr>
    <w:tblStylePr w:type="lastRow">
      <w:rPr>
        <w:b/>
        <w:bCs/>
      </w:rPr>
      <w:tblPr/>
      <w:tcPr>
        <w:tcBorders>
          <w:top w:val="double" w:sz="4" w:space="0" w:color="F58025" w:themeColor="accent2"/>
        </w:tcBorders>
      </w:tcPr>
    </w:tblStylePr>
    <w:tblStylePr w:type="firstCol">
      <w:rPr>
        <w:b/>
        <w:bCs/>
      </w:rPr>
    </w:tblStylePr>
    <w:tblStylePr w:type="lastCol">
      <w:rPr>
        <w:b/>
        <w:bCs/>
      </w:rPr>
    </w:tblStylePr>
    <w:tblStylePr w:type="band1Vert">
      <w:tblPr/>
      <w:tcPr>
        <w:shd w:val="clear" w:color="auto" w:fill="FDE5D3" w:themeFill="accent2" w:themeFillTint="33"/>
      </w:tcPr>
    </w:tblStylePr>
    <w:tblStylePr w:type="band1Horz">
      <w:tblPr/>
      <w:tcPr>
        <w:shd w:val="clear" w:color="auto" w:fill="FDE5D3" w:themeFill="accent2"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caption" w:qFormat="1"/>
    <w:lsdException w:name="table of figures" w:uiPriority="99"/>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List Bullet 2" w:uiPriority="99"/>
    <w:lsdException w:name="Title" w:semiHidden="0" w:unhideWhenUsed="0"/>
    <w:lsdException w:name="Default Paragraph Font" w:uiPriority="1"/>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E01ED3"/>
    <w:rPr>
      <w:rFonts w:ascii="Arial" w:hAnsi="Arial"/>
      <w:szCs w:val="24"/>
      <w:lang w:eastAsia="ja-JP"/>
    </w:rPr>
  </w:style>
  <w:style w:type="paragraph" w:styleId="Heading1">
    <w:name w:val="heading 1"/>
    <w:next w:val="Bodycopy"/>
    <w:qFormat/>
    <w:rsid w:val="005E27B2"/>
    <w:pPr>
      <w:pageBreakBefore/>
      <w:numPr>
        <w:numId w:val="5"/>
      </w:numPr>
      <w:spacing w:before="240" w:after="80" w:line="240" w:lineRule="atLeast"/>
      <w:outlineLvl w:val="0"/>
    </w:pPr>
    <w:rPr>
      <w:rFonts w:ascii="Arial" w:hAnsi="Arial" w:cs="ITC Franklin Gothic LT Medium"/>
      <w:b/>
      <w:caps/>
      <w:color w:val="F58025" w:themeColor="accent2"/>
      <w:sz w:val="28"/>
      <w:szCs w:val="26"/>
      <w:lang w:val="en-GB" w:eastAsia="ja-JP"/>
    </w:rPr>
  </w:style>
  <w:style w:type="paragraph" w:styleId="Heading2">
    <w:name w:val="heading 2"/>
    <w:next w:val="Bodycopy"/>
    <w:qFormat/>
    <w:rsid w:val="004C3D96"/>
    <w:pPr>
      <w:numPr>
        <w:ilvl w:val="1"/>
        <w:numId w:val="5"/>
      </w:numPr>
      <w:spacing w:before="240" w:after="120"/>
      <w:ind w:left="680"/>
      <w:outlineLvl w:val="1"/>
    </w:pPr>
    <w:rPr>
      <w:rFonts w:ascii="Arial" w:hAnsi="Arial"/>
      <w:b/>
      <w:color w:val="006A71" w:themeColor="text2"/>
      <w:sz w:val="26"/>
      <w:szCs w:val="24"/>
      <w:lang w:eastAsia="ja-JP"/>
    </w:rPr>
  </w:style>
  <w:style w:type="paragraph" w:styleId="Heading3">
    <w:name w:val="heading 3"/>
    <w:basedOn w:val="Bodycopy"/>
    <w:next w:val="Bodycopy"/>
    <w:qFormat/>
    <w:rsid w:val="004C3D96"/>
    <w:pPr>
      <w:numPr>
        <w:ilvl w:val="2"/>
        <w:numId w:val="5"/>
      </w:numPr>
      <w:spacing w:before="200" w:after="80"/>
      <w:ind w:left="0"/>
      <w:outlineLvl w:val="2"/>
    </w:pPr>
    <w:rPr>
      <w:b/>
      <w:color w:val="006A71" w:themeColor="accent1"/>
      <w:sz w:val="22"/>
    </w:rPr>
  </w:style>
  <w:style w:type="paragraph" w:styleId="Heading4">
    <w:name w:val="heading 4"/>
    <w:basedOn w:val="Normal"/>
    <w:next w:val="Normal"/>
    <w:link w:val="Heading4Char"/>
    <w:unhideWhenUsed/>
    <w:qFormat/>
    <w:rsid w:val="00446376"/>
    <w:pPr>
      <w:keepNext/>
      <w:keepLines/>
      <w:spacing w:before="200"/>
      <w:outlineLvl w:val="3"/>
    </w:pPr>
    <w:rPr>
      <w:rFonts w:asciiTheme="majorHAnsi" w:eastAsiaTheme="majorEastAsia" w:hAnsiTheme="majorHAnsi" w:cstheme="majorBidi"/>
      <w:b/>
      <w:bCs/>
      <w:i/>
      <w:iCs/>
    </w:rPr>
  </w:style>
  <w:style w:type="paragraph" w:styleId="Heading7">
    <w:name w:val="heading 7"/>
    <w:basedOn w:val="Normal"/>
    <w:next w:val="Normal"/>
    <w:qFormat/>
    <w:rsid w:val="00E73CD1"/>
    <w:pPr>
      <w:spacing w:before="240" w:after="60"/>
      <w:outlineLvl w:val="6"/>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C50121"/>
    <w:rPr>
      <w:rFonts w:ascii="Arial" w:hAnsi="Arial"/>
      <w:sz w:val="16"/>
    </w:rPr>
  </w:style>
  <w:style w:type="numbering" w:customStyle="1" w:styleId="Numberedlist">
    <w:name w:val="Numbered list"/>
    <w:basedOn w:val="NoList"/>
    <w:rsid w:val="00C50121"/>
    <w:pPr>
      <w:numPr>
        <w:numId w:val="1"/>
      </w:numPr>
    </w:pPr>
  </w:style>
  <w:style w:type="character" w:customStyle="1" w:styleId="Header2Char">
    <w:name w:val="Header2 Char"/>
    <w:basedOn w:val="DefaultParagraphFont"/>
    <w:link w:val="Header2"/>
    <w:rsid w:val="00E16AF4"/>
    <w:rPr>
      <w:rFonts w:ascii="Arial" w:hAnsi="Arial"/>
      <w:b/>
      <w:color w:val="B2B2B2"/>
      <w:sz w:val="60"/>
      <w:szCs w:val="60"/>
      <w:lang w:val="en-GB" w:eastAsia="ja-JP"/>
    </w:rPr>
  </w:style>
  <w:style w:type="paragraph" w:styleId="Footer">
    <w:name w:val="footer"/>
    <w:basedOn w:val="Normal"/>
    <w:rsid w:val="00C57B9C"/>
    <w:pPr>
      <w:tabs>
        <w:tab w:val="right" w:pos="10206"/>
      </w:tabs>
      <w:spacing w:before="120"/>
      <w:ind w:right="5103"/>
    </w:pPr>
    <w:rPr>
      <w:sz w:val="18"/>
      <w:szCs w:val="18"/>
    </w:rPr>
  </w:style>
  <w:style w:type="paragraph" w:customStyle="1" w:styleId="Header1">
    <w:name w:val="Header1"/>
    <w:link w:val="Header1Char"/>
    <w:rsid w:val="00E16AF4"/>
    <w:rPr>
      <w:rFonts w:ascii="Arial" w:hAnsi="Arial"/>
      <w:b/>
      <w:noProof/>
      <w:color w:val="000000"/>
      <w:sz w:val="76"/>
      <w:szCs w:val="72"/>
      <w:lang w:val="en-US" w:eastAsia="ja-JP"/>
    </w:rPr>
  </w:style>
  <w:style w:type="paragraph" w:customStyle="1" w:styleId="HeaderSubhead">
    <w:name w:val="Header Subhead"/>
    <w:basedOn w:val="Normal"/>
    <w:rsid w:val="00C50121"/>
    <w:pPr>
      <w:autoSpaceDE w:val="0"/>
      <w:autoSpaceDN w:val="0"/>
      <w:adjustRightInd w:val="0"/>
      <w:jc w:val="right"/>
      <w:textAlignment w:val="center"/>
    </w:pPr>
    <w:rPr>
      <w:rFonts w:cs="ITC Franklin Gothic LT Heavy"/>
      <w:color w:val="F58025"/>
      <w:szCs w:val="20"/>
      <w:lang w:val="en-GB"/>
    </w:rPr>
  </w:style>
  <w:style w:type="paragraph" w:customStyle="1" w:styleId="Header2">
    <w:name w:val="Header2"/>
    <w:link w:val="Header2Char"/>
    <w:rsid w:val="00E16AF4"/>
    <w:pPr>
      <w:spacing w:before="120"/>
    </w:pPr>
    <w:rPr>
      <w:rFonts w:ascii="Arial" w:hAnsi="Arial"/>
      <w:b/>
      <w:color w:val="B2B2B2"/>
      <w:sz w:val="60"/>
      <w:szCs w:val="60"/>
      <w:lang w:val="en-GB" w:eastAsia="ja-JP"/>
    </w:rPr>
  </w:style>
  <w:style w:type="table" w:styleId="TableSimple1">
    <w:name w:val="Table Simple 1"/>
    <w:basedOn w:val="TableNormal"/>
    <w:rsid w:val="00C50121"/>
    <w:pPr>
      <w:spacing w:before="40" w:after="40"/>
    </w:pPr>
    <w:rPr>
      <w:rFonts w:ascii="Verdana" w:hAnsi="Verdana"/>
      <w:sz w:val="18"/>
    </w:rPr>
    <w:tblPr>
      <w:tblBorders>
        <w:insideH w:val="single" w:sz="4" w:space="0" w:color="699419"/>
      </w:tblBorders>
      <w:tblCellMar>
        <w:left w:w="0" w:type="dxa"/>
        <w:right w:w="0" w:type="dxa"/>
      </w:tblCellMar>
    </w:tblPr>
    <w:tcPr>
      <w:shd w:val="clear" w:color="auto" w:fill="auto"/>
    </w:tcPr>
    <w:tblStylePr w:type="firstRow">
      <w:pPr>
        <w:wordWrap/>
        <w:spacing w:beforeLines="0" w:before="120" w:beforeAutospacing="0" w:afterLines="0" w:after="0" w:afterAutospacing="0"/>
      </w:pPr>
      <w:rPr>
        <w:rFonts w:ascii="Cambria" w:hAnsi="Cambria"/>
        <w:sz w:val="20"/>
        <w:szCs w:val="20"/>
      </w:rPr>
      <w:tblPr/>
      <w:tcPr>
        <w:tcBorders>
          <w:top w:val="nil"/>
          <w:left w:val="nil"/>
          <w:bottom w:val="single" w:sz="4" w:space="0" w:color="699419"/>
          <w:right w:val="nil"/>
          <w:insideH w:val="nil"/>
          <w:insideV w:val="nil"/>
          <w:tl2br w:val="nil"/>
          <w:tr2bl w:val="nil"/>
        </w:tcBorders>
        <w:shd w:val="clear" w:color="auto" w:fill="auto"/>
      </w:tcPr>
    </w:tblStylePr>
    <w:tblStylePr w:type="lastRow">
      <w:tblPr/>
      <w:tcPr>
        <w:tcBorders>
          <w:top w:val="nil"/>
        </w:tcBorders>
        <w:shd w:val="clear" w:color="auto" w:fill="auto"/>
      </w:tcPr>
    </w:tblStylePr>
  </w:style>
  <w:style w:type="paragraph" w:customStyle="1" w:styleId="Bodycopy">
    <w:name w:val="Body copy"/>
    <w:link w:val="BodycopyChar"/>
    <w:rsid w:val="00457322"/>
    <w:pPr>
      <w:suppressAutoHyphens/>
      <w:autoSpaceDE w:val="0"/>
      <w:autoSpaceDN w:val="0"/>
      <w:adjustRightInd w:val="0"/>
      <w:spacing w:after="120" w:line="240" w:lineRule="atLeast"/>
      <w:textAlignment w:val="center"/>
    </w:pPr>
    <w:rPr>
      <w:rFonts w:ascii="Arial" w:hAnsi="Arial" w:cs="ITC Franklin Gothic LT Medium"/>
      <w:color w:val="000000"/>
      <w:lang w:val="en-GB" w:eastAsia="ja-JP"/>
    </w:rPr>
  </w:style>
  <w:style w:type="paragraph" w:customStyle="1" w:styleId="Bulletedtext">
    <w:name w:val="Bulleted text"/>
    <w:basedOn w:val="Bodycopy"/>
    <w:link w:val="BulletedtextChar"/>
    <w:rsid w:val="00E16AF4"/>
    <w:pPr>
      <w:numPr>
        <w:numId w:val="2"/>
      </w:numPr>
    </w:pPr>
  </w:style>
  <w:style w:type="paragraph" w:styleId="Header">
    <w:name w:val="header"/>
    <w:basedOn w:val="Normal"/>
    <w:semiHidden/>
    <w:rsid w:val="00C50121"/>
    <w:pPr>
      <w:tabs>
        <w:tab w:val="center" w:pos="4320"/>
        <w:tab w:val="right" w:pos="8640"/>
      </w:tabs>
    </w:pPr>
  </w:style>
  <w:style w:type="paragraph" w:styleId="BodyText">
    <w:name w:val="Body Text"/>
    <w:basedOn w:val="Normal"/>
    <w:link w:val="BodyTextChar"/>
    <w:qFormat/>
    <w:rsid w:val="00C50121"/>
    <w:pPr>
      <w:spacing w:before="40" w:after="40"/>
    </w:pPr>
  </w:style>
  <w:style w:type="table" w:customStyle="1" w:styleId="EEOrangeTable">
    <w:name w:val="EEOrange Table"/>
    <w:basedOn w:val="TableProfessional"/>
    <w:uiPriority w:val="99"/>
    <w:rsid w:val="00A35748"/>
    <w:rPr>
      <w:rFonts w:ascii="Arial" w:hAnsi="Arial"/>
    </w:rPr>
    <w:tblPr>
      <w:tblInd w:w="113" w:type="dxa"/>
      <w:tblBorders>
        <w:top w:val="single" w:sz="4" w:space="0" w:color="F58025" w:themeColor="accent2"/>
        <w:left w:val="single" w:sz="4" w:space="0" w:color="F58025" w:themeColor="accent2"/>
        <w:bottom w:val="single" w:sz="4" w:space="0" w:color="F58025" w:themeColor="accent2"/>
        <w:right w:val="single" w:sz="4" w:space="0" w:color="F58025" w:themeColor="accent2"/>
        <w:insideH w:val="single" w:sz="4" w:space="0" w:color="F58025" w:themeColor="accent2"/>
        <w:insideV w:val="single" w:sz="4" w:space="0" w:color="F58025" w:themeColor="accent2"/>
      </w:tblBorders>
    </w:tblPr>
    <w:tcPr>
      <w:shd w:val="clear" w:color="auto" w:fill="auto"/>
    </w:tcPr>
    <w:tblStylePr w:type="firstRow">
      <w:rPr>
        <w:rFonts w:ascii="Arial" w:hAnsi="Arial"/>
        <w:b/>
        <w:bCs/>
        <w:color w:val="FFFFFF" w:themeColor="background1"/>
        <w:sz w:val="20"/>
      </w:rPr>
      <w:tblPr/>
      <w:tcPr>
        <w:tcBorders>
          <w:top w:val="single" w:sz="4" w:space="0" w:color="F58025" w:themeColor="accent2"/>
          <w:left w:val="single" w:sz="4" w:space="0" w:color="F58025" w:themeColor="accent2"/>
          <w:bottom w:val="single" w:sz="4" w:space="0" w:color="F58025" w:themeColor="accent2"/>
          <w:right w:val="single" w:sz="4" w:space="0" w:color="F58025" w:themeColor="accent2"/>
          <w:insideH w:val="single" w:sz="4" w:space="0" w:color="F58025" w:themeColor="accent2"/>
          <w:insideV w:val="single" w:sz="4" w:space="0" w:color="F58025" w:themeColor="accent2"/>
          <w:tl2br w:val="none" w:sz="0" w:space="0" w:color="auto"/>
          <w:tr2bl w:val="none" w:sz="0" w:space="0" w:color="auto"/>
        </w:tcBorders>
        <w:shd w:val="clear" w:color="auto" w:fill="F58025" w:themeFill="accent2"/>
      </w:tcPr>
    </w:tblStylePr>
  </w:style>
  <w:style w:type="table" w:styleId="TableProfessional">
    <w:name w:val="Table Professional"/>
    <w:basedOn w:val="TableNormal"/>
    <w:rsid w:val="00631A7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
    <w:name w:val="Table Grid"/>
    <w:basedOn w:val="TableNormal"/>
    <w:uiPriority w:val="59"/>
    <w:rsid w:val="001C12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73CD1"/>
    <w:rPr>
      <w:rFonts w:ascii="Arial" w:hAnsi="Arial"/>
      <w:i/>
      <w:iCs/>
    </w:rPr>
  </w:style>
  <w:style w:type="character" w:styleId="Strong">
    <w:name w:val="Strong"/>
    <w:basedOn w:val="DefaultParagraphFont"/>
    <w:qFormat/>
    <w:rsid w:val="00E73CD1"/>
    <w:rPr>
      <w:rFonts w:ascii="Arial" w:hAnsi="Arial"/>
      <w:b/>
      <w:bCs/>
    </w:rPr>
  </w:style>
  <w:style w:type="paragraph" w:styleId="Subtitle">
    <w:name w:val="Subtitle"/>
    <w:basedOn w:val="Normal"/>
    <w:next w:val="Normal"/>
    <w:link w:val="SubtitleChar"/>
    <w:rsid w:val="00E73CD1"/>
    <w:pPr>
      <w:numPr>
        <w:ilvl w:val="1"/>
      </w:numPr>
    </w:pPr>
    <w:rPr>
      <w:rFonts w:eastAsiaTheme="majorEastAsia" w:cstheme="majorBidi"/>
      <w:i/>
      <w:iCs/>
      <w:color w:val="006A71" w:themeColor="accent1"/>
      <w:spacing w:val="15"/>
      <w:sz w:val="24"/>
    </w:rPr>
  </w:style>
  <w:style w:type="character" w:customStyle="1" w:styleId="SubtitleChar">
    <w:name w:val="Subtitle Char"/>
    <w:basedOn w:val="DefaultParagraphFont"/>
    <w:link w:val="Subtitle"/>
    <w:rsid w:val="00E73CD1"/>
    <w:rPr>
      <w:rFonts w:ascii="Arial" w:eastAsiaTheme="majorEastAsia" w:hAnsi="Arial" w:cstheme="majorBidi"/>
      <w:i/>
      <w:iCs/>
      <w:color w:val="006A71" w:themeColor="accent1"/>
      <w:spacing w:val="15"/>
      <w:sz w:val="24"/>
      <w:szCs w:val="24"/>
      <w:lang w:eastAsia="ja-JP"/>
    </w:rPr>
  </w:style>
  <w:style w:type="paragraph" w:styleId="Title">
    <w:name w:val="Title"/>
    <w:basedOn w:val="Normal"/>
    <w:next w:val="Normal"/>
    <w:link w:val="TitleChar"/>
    <w:rsid w:val="00E73CD1"/>
    <w:pPr>
      <w:pBdr>
        <w:bottom w:val="single" w:sz="8" w:space="4" w:color="006A71" w:themeColor="accent1"/>
      </w:pBdr>
      <w:spacing w:after="300"/>
      <w:contextualSpacing/>
    </w:pPr>
    <w:rPr>
      <w:rFonts w:eastAsiaTheme="majorEastAsia" w:cstheme="majorBidi"/>
      <w:color w:val="004F54" w:themeColor="text2" w:themeShade="BF"/>
      <w:spacing w:val="5"/>
      <w:kern w:val="28"/>
      <w:sz w:val="52"/>
      <w:szCs w:val="52"/>
    </w:rPr>
  </w:style>
  <w:style w:type="character" w:customStyle="1" w:styleId="TitleChar">
    <w:name w:val="Title Char"/>
    <w:basedOn w:val="DefaultParagraphFont"/>
    <w:link w:val="Title"/>
    <w:rsid w:val="00E73CD1"/>
    <w:rPr>
      <w:rFonts w:ascii="Arial" w:eastAsiaTheme="majorEastAsia" w:hAnsi="Arial" w:cstheme="majorBidi"/>
      <w:color w:val="004F54" w:themeColor="text2" w:themeShade="BF"/>
      <w:spacing w:val="5"/>
      <w:kern w:val="28"/>
      <w:sz w:val="52"/>
      <w:szCs w:val="52"/>
      <w:lang w:eastAsia="ja-JP"/>
    </w:rPr>
  </w:style>
  <w:style w:type="paragraph" w:styleId="NoSpacing">
    <w:name w:val="No Spacing"/>
    <w:uiPriority w:val="1"/>
    <w:qFormat/>
    <w:rsid w:val="00E73CD1"/>
    <w:rPr>
      <w:rFonts w:ascii="Arial" w:hAnsi="Arial"/>
      <w:szCs w:val="24"/>
      <w:lang w:eastAsia="ja-JP"/>
    </w:rPr>
  </w:style>
  <w:style w:type="character" w:styleId="SubtleEmphasis">
    <w:name w:val="Subtle Emphasis"/>
    <w:basedOn w:val="DefaultParagraphFont"/>
    <w:uiPriority w:val="19"/>
    <w:qFormat/>
    <w:rsid w:val="00E73CD1"/>
    <w:rPr>
      <w:rFonts w:ascii="Arial" w:hAnsi="Arial"/>
      <w:i/>
      <w:iCs/>
      <w:color w:val="808080" w:themeColor="text1" w:themeTint="7F"/>
    </w:rPr>
  </w:style>
  <w:style w:type="character" w:styleId="IntenseEmphasis">
    <w:name w:val="Intense Emphasis"/>
    <w:basedOn w:val="DefaultParagraphFont"/>
    <w:uiPriority w:val="21"/>
    <w:qFormat/>
    <w:rsid w:val="00E73CD1"/>
    <w:rPr>
      <w:rFonts w:ascii="Arial" w:hAnsi="Arial"/>
      <w:b/>
      <w:bCs/>
      <w:i/>
      <w:iCs/>
      <w:color w:val="006A71" w:themeColor="accent1"/>
    </w:rPr>
  </w:style>
  <w:style w:type="paragraph" w:styleId="Quote">
    <w:name w:val="Quote"/>
    <w:basedOn w:val="Normal"/>
    <w:next w:val="Normal"/>
    <w:link w:val="QuoteChar"/>
    <w:uiPriority w:val="29"/>
    <w:qFormat/>
    <w:rsid w:val="00E73CD1"/>
    <w:rPr>
      <w:i/>
      <w:iCs/>
      <w:color w:val="000000" w:themeColor="text1"/>
    </w:rPr>
  </w:style>
  <w:style w:type="character" w:customStyle="1" w:styleId="QuoteChar">
    <w:name w:val="Quote Char"/>
    <w:basedOn w:val="DefaultParagraphFont"/>
    <w:link w:val="Quote"/>
    <w:uiPriority w:val="29"/>
    <w:rsid w:val="00E73CD1"/>
    <w:rPr>
      <w:rFonts w:ascii="Arial" w:hAnsi="Arial"/>
      <w:i/>
      <w:iCs/>
      <w:color w:val="000000" w:themeColor="text1"/>
      <w:szCs w:val="24"/>
      <w:lang w:eastAsia="ja-JP"/>
    </w:rPr>
  </w:style>
  <w:style w:type="paragraph" w:customStyle="1" w:styleId="StyleBodycopy11pt">
    <w:name w:val="Style Body copy + 11 pt"/>
    <w:basedOn w:val="Bodycopy"/>
    <w:rsid w:val="007266C9"/>
    <w:rPr>
      <w:sz w:val="22"/>
    </w:rPr>
  </w:style>
  <w:style w:type="paragraph" w:customStyle="1" w:styleId="StyleBodycopy11ptBoldBackground1">
    <w:name w:val="Style Body copy + 11 pt Bold Background 1"/>
    <w:basedOn w:val="Bodycopy"/>
    <w:rsid w:val="007266C9"/>
    <w:rPr>
      <w:b/>
      <w:bCs/>
      <w:color w:val="FFFFFF" w:themeColor="background1"/>
      <w:sz w:val="22"/>
    </w:rPr>
  </w:style>
  <w:style w:type="paragraph" w:customStyle="1" w:styleId="EEHeader">
    <w:name w:val="EEHeader"/>
    <w:basedOn w:val="Header1"/>
    <w:link w:val="EEHeaderChar"/>
    <w:qFormat/>
    <w:rsid w:val="00E73CD1"/>
  </w:style>
  <w:style w:type="paragraph" w:customStyle="1" w:styleId="Headersub">
    <w:name w:val="Header sub"/>
    <w:basedOn w:val="Header1"/>
    <w:link w:val="HeadersubChar"/>
    <w:qFormat/>
    <w:rsid w:val="00E73CD1"/>
    <w:rPr>
      <w:rFonts w:cs="Arial"/>
      <w:color w:val="A6A6A6" w:themeColor="background1" w:themeShade="A6"/>
      <w:sz w:val="64"/>
      <w:szCs w:val="64"/>
    </w:rPr>
  </w:style>
  <w:style w:type="character" w:customStyle="1" w:styleId="Header1Char">
    <w:name w:val="Header1 Char"/>
    <w:basedOn w:val="DefaultParagraphFont"/>
    <w:link w:val="Header1"/>
    <w:rsid w:val="00E16AF4"/>
    <w:rPr>
      <w:rFonts w:ascii="Arial" w:hAnsi="Arial"/>
      <w:b/>
      <w:noProof/>
      <w:color w:val="000000"/>
      <w:sz w:val="76"/>
      <w:szCs w:val="72"/>
      <w:lang w:val="en-US" w:eastAsia="ja-JP"/>
    </w:rPr>
  </w:style>
  <w:style w:type="character" w:customStyle="1" w:styleId="EEHeaderChar">
    <w:name w:val="EEHeader Char"/>
    <w:basedOn w:val="Header1Char"/>
    <w:link w:val="EEHeader"/>
    <w:rsid w:val="00E73CD1"/>
    <w:rPr>
      <w:rFonts w:ascii="Arial" w:hAnsi="Arial"/>
      <w:b/>
      <w:noProof/>
      <w:color w:val="000000"/>
      <w:sz w:val="76"/>
      <w:szCs w:val="72"/>
      <w:lang w:val="en-US" w:eastAsia="ja-JP"/>
    </w:rPr>
  </w:style>
  <w:style w:type="paragraph" w:customStyle="1" w:styleId="EEBodyCopy">
    <w:name w:val="EEBody Copy"/>
    <w:basedOn w:val="Bodycopy"/>
    <w:link w:val="EEBodyCopyChar"/>
    <w:rsid w:val="00E73CD1"/>
    <w:rPr>
      <w:rFonts w:cs="Arial"/>
      <w:sz w:val="22"/>
      <w:szCs w:val="22"/>
    </w:rPr>
  </w:style>
  <w:style w:type="character" w:customStyle="1" w:styleId="HeadersubChar">
    <w:name w:val="Header sub Char"/>
    <w:basedOn w:val="Header1Char"/>
    <w:link w:val="Headersub"/>
    <w:rsid w:val="00E73CD1"/>
    <w:rPr>
      <w:rFonts w:ascii="Arial" w:hAnsi="Arial" w:cs="Arial"/>
      <w:b/>
      <w:noProof/>
      <w:color w:val="A6A6A6" w:themeColor="background1" w:themeShade="A6"/>
      <w:sz w:val="64"/>
      <w:szCs w:val="64"/>
      <w:lang w:val="en-US" w:eastAsia="ja-JP"/>
    </w:rPr>
  </w:style>
  <w:style w:type="paragraph" w:customStyle="1" w:styleId="EEBullets">
    <w:name w:val="EEBullets"/>
    <w:basedOn w:val="Bulletedtext"/>
    <w:link w:val="EEBulletsChar"/>
    <w:qFormat/>
    <w:rsid w:val="00E73CD1"/>
    <w:pPr>
      <w:numPr>
        <w:numId w:val="3"/>
      </w:numPr>
      <w:ind w:left="360"/>
    </w:pPr>
    <w:rPr>
      <w:rFonts w:cs="Arial"/>
      <w:sz w:val="22"/>
      <w:szCs w:val="22"/>
    </w:rPr>
  </w:style>
  <w:style w:type="character" w:customStyle="1" w:styleId="BodycopyChar">
    <w:name w:val="Body copy Char"/>
    <w:basedOn w:val="DefaultParagraphFont"/>
    <w:link w:val="Bodycopy"/>
    <w:rsid w:val="00457322"/>
    <w:rPr>
      <w:rFonts w:ascii="Arial" w:hAnsi="Arial" w:cs="ITC Franklin Gothic LT Medium"/>
      <w:color w:val="000000"/>
      <w:lang w:val="en-GB" w:eastAsia="ja-JP"/>
    </w:rPr>
  </w:style>
  <w:style w:type="character" w:customStyle="1" w:styleId="EEBodyCopyChar">
    <w:name w:val="EEBody Copy Char"/>
    <w:basedOn w:val="BodycopyChar"/>
    <w:link w:val="EEBodyCopy"/>
    <w:rsid w:val="00E73CD1"/>
    <w:rPr>
      <w:rFonts w:ascii="Arial" w:hAnsi="Arial" w:cs="Arial"/>
      <w:color w:val="000000"/>
      <w:sz w:val="22"/>
      <w:szCs w:val="22"/>
      <w:lang w:val="en-GB" w:eastAsia="ja-JP"/>
    </w:rPr>
  </w:style>
  <w:style w:type="table" w:customStyle="1" w:styleId="EETealTable">
    <w:name w:val="EETeal Table"/>
    <w:basedOn w:val="TableNormal"/>
    <w:uiPriority w:val="99"/>
    <w:rsid w:val="0097117F"/>
    <w:rPr>
      <w:rFonts w:ascii="Arial" w:hAnsi="Arial"/>
    </w:rPr>
    <w:tblPr>
      <w:tblStyleRowBandSize w:val="1"/>
      <w:tblInd w:w="11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cPr>
      <w:shd w:val="clear" w:color="auto" w:fill="FFFFFF" w:themeFill="background1"/>
    </w:tcPr>
    <w:tblStylePr w:type="firstRow">
      <w:rPr>
        <w:rFonts w:ascii="Arial" w:hAnsi="Arial"/>
        <w:b/>
        <w:color w:val="FFFFFF" w:themeColor="background1"/>
        <w:sz w:val="20"/>
      </w:rPr>
      <w:tblPr/>
      <w:tcPr>
        <w:shd w:val="clear" w:color="auto" w:fill="006A71" w:themeFill="accent1"/>
      </w:tcPr>
    </w:tblStylePr>
    <w:tblStylePr w:type="band1Horz">
      <w:tblPr/>
      <w:tcPr>
        <w:shd w:val="clear" w:color="auto" w:fill="F2F2F2" w:themeFill="background1" w:themeFillShade="F2"/>
      </w:tcPr>
    </w:tblStylePr>
    <w:tblStylePr w:type="band2Horz">
      <w:tblPr/>
      <w:tcPr>
        <w:shd w:val="clear" w:color="auto" w:fill="D9D9D9" w:themeFill="background1" w:themeFillShade="D9"/>
      </w:tcPr>
    </w:tblStylePr>
  </w:style>
  <w:style w:type="character" w:customStyle="1" w:styleId="BulletedtextChar">
    <w:name w:val="Bulleted text Char"/>
    <w:basedOn w:val="BodycopyChar"/>
    <w:link w:val="Bulletedtext"/>
    <w:rsid w:val="00E16AF4"/>
    <w:rPr>
      <w:rFonts w:ascii="Arial" w:hAnsi="Arial" w:cs="ITC Franklin Gothic LT Medium"/>
      <w:color w:val="000000"/>
      <w:lang w:val="en-GB" w:eastAsia="ja-JP"/>
    </w:rPr>
  </w:style>
  <w:style w:type="character" w:customStyle="1" w:styleId="EEBulletsChar">
    <w:name w:val="EEBullets Char"/>
    <w:basedOn w:val="BulletedtextChar"/>
    <w:link w:val="EEBullets"/>
    <w:rsid w:val="00E73CD1"/>
    <w:rPr>
      <w:rFonts w:ascii="Arial" w:hAnsi="Arial" w:cs="Arial"/>
      <w:color w:val="000000"/>
      <w:sz w:val="22"/>
      <w:szCs w:val="22"/>
      <w:lang w:val="en-GB" w:eastAsia="ja-JP"/>
    </w:rPr>
  </w:style>
  <w:style w:type="table" w:customStyle="1" w:styleId="EEGreytable">
    <w:name w:val="EEGrey table"/>
    <w:basedOn w:val="TableNormal"/>
    <w:uiPriority w:val="99"/>
    <w:rsid w:val="00A35748"/>
    <w:rPr>
      <w:rFonts w:ascii="Arial" w:hAnsi="Arial"/>
    </w:rPr>
    <w:tblPr>
      <w:tblInd w:w="113" w:type="dxa"/>
      <w:tblBorders>
        <w:top w:val="single" w:sz="4" w:space="0" w:color="807F83" w:themeColor="accent4"/>
        <w:left w:val="single" w:sz="4" w:space="0" w:color="807F83" w:themeColor="accent4"/>
        <w:bottom w:val="single" w:sz="4" w:space="0" w:color="807F83" w:themeColor="accent4"/>
        <w:right w:val="single" w:sz="4" w:space="0" w:color="807F83" w:themeColor="accent4"/>
        <w:insideH w:val="single" w:sz="4" w:space="0" w:color="807F83" w:themeColor="accent4"/>
        <w:insideV w:val="single" w:sz="4" w:space="0" w:color="807F83" w:themeColor="accent4"/>
      </w:tblBorders>
    </w:tblPr>
    <w:tcPr>
      <w:shd w:val="clear" w:color="auto" w:fill="FFFFFF" w:themeFill="background1"/>
    </w:tcPr>
    <w:tblStylePr w:type="firstRow">
      <w:rPr>
        <w:rFonts w:ascii="Arial" w:hAnsi="Arial"/>
        <w:b/>
        <w:color w:val="FFFFFF" w:themeColor="background1"/>
        <w:sz w:val="20"/>
      </w:rPr>
      <w:tblPr/>
      <w:tcPr>
        <w:shd w:val="clear" w:color="auto" w:fill="807F83" w:themeFill="accent4"/>
      </w:tcPr>
    </w:tblStylePr>
  </w:style>
  <w:style w:type="paragraph" w:styleId="ListParagraph">
    <w:name w:val="List Paragraph"/>
    <w:basedOn w:val="Normal"/>
    <w:link w:val="ListParagraphChar"/>
    <w:uiPriority w:val="34"/>
    <w:qFormat/>
    <w:rsid w:val="00A35748"/>
    <w:pPr>
      <w:ind w:left="720"/>
      <w:contextualSpacing/>
    </w:pPr>
  </w:style>
  <w:style w:type="paragraph" w:customStyle="1" w:styleId="Bullets">
    <w:name w:val="Bullets"/>
    <w:basedOn w:val="Bulletedtext"/>
    <w:next w:val="Normal"/>
    <w:link w:val="BulletsChar"/>
    <w:qFormat/>
    <w:rsid w:val="00457322"/>
    <w:pPr>
      <w:numPr>
        <w:numId w:val="4"/>
      </w:numPr>
      <w:ind w:left="641" w:hanging="357"/>
    </w:pPr>
    <w:rPr>
      <w:rFonts w:cs="Arial"/>
      <w:szCs w:val="22"/>
    </w:rPr>
  </w:style>
  <w:style w:type="character" w:customStyle="1" w:styleId="BulletsChar">
    <w:name w:val="Bullets Char"/>
    <w:basedOn w:val="BulletedtextChar"/>
    <w:link w:val="Bullets"/>
    <w:rsid w:val="00457322"/>
    <w:rPr>
      <w:rFonts w:ascii="Arial" w:hAnsi="Arial" w:cs="Arial"/>
      <w:color w:val="000000"/>
      <w:szCs w:val="22"/>
      <w:lang w:val="en-GB" w:eastAsia="ja-JP"/>
    </w:rPr>
  </w:style>
  <w:style w:type="character" w:styleId="Hyperlink">
    <w:name w:val="Hyperlink"/>
    <w:basedOn w:val="DefaultParagraphFont"/>
    <w:uiPriority w:val="99"/>
    <w:rsid w:val="00181A1F"/>
    <w:rPr>
      <w:color w:val="A30046" w:themeColor="hyperlink"/>
      <w:u w:val="single"/>
    </w:rPr>
  </w:style>
  <w:style w:type="paragraph" w:styleId="BalloonText">
    <w:name w:val="Balloon Text"/>
    <w:basedOn w:val="Normal"/>
    <w:link w:val="BalloonTextChar"/>
    <w:uiPriority w:val="99"/>
    <w:rsid w:val="00181A1F"/>
    <w:rPr>
      <w:rFonts w:ascii="Tahoma" w:hAnsi="Tahoma" w:cs="Tahoma"/>
      <w:sz w:val="16"/>
      <w:szCs w:val="16"/>
    </w:rPr>
  </w:style>
  <w:style w:type="character" w:customStyle="1" w:styleId="BalloonTextChar">
    <w:name w:val="Balloon Text Char"/>
    <w:basedOn w:val="DefaultParagraphFont"/>
    <w:link w:val="BalloonText"/>
    <w:uiPriority w:val="99"/>
    <w:rsid w:val="00181A1F"/>
    <w:rPr>
      <w:rFonts w:ascii="Tahoma" w:hAnsi="Tahoma" w:cs="Tahoma"/>
      <w:sz w:val="16"/>
      <w:szCs w:val="16"/>
      <w:lang w:eastAsia="ja-JP"/>
    </w:rPr>
  </w:style>
  <w:style w:type="character" w:customStyle="1" w:styleId="ListParagraphChar">
    <w:name w:val="List Paragraph Char"/>
    <w:basedOn w:val="DefaultParagraphFont"/>
    <w:link w:val="ListParagraph"/>
    <w:uiPriority w:val="34"/>
    <w:rsid w:val="00CA5AA5"/>
    <w:rPr>
      <w:rFonts w:ascii="Arial" w:hAnsi="Arial"/>
      <w:szCs w:val="24"/>
      <w:lang w:eastAsia="ja-JP"/>
    </w:rPr>
  </w:style>
  <w:style w:type="paragraph" w:styleId="TOCHeading">
    <w:name w:val="TOC Heading"/>
    <w:basedOn w:val="Heading1"/>
    <w:next w:val="Normal"/>
    <w:uiPriority w:val="39"/>
    <w:unhideWhenUsed/>
    <w:qFormat/>
    <w:rsid w:val="009D6C44"/>
    <w:pPr>
      <w:keepNext/>
      <w:keepLines/>
      <w:spacing w:before="480" w:after="0" w:line="276" w:lineRule="auto"/>
      <w:outlineLvl w:val="9"/>
    </w:pPr>
    <w:rPr>
      <w:rFonts w:asciiTheme="majorHAnsi" w:eastAsiaTheme="majorEastAsia" w:hAnsiTheme="majorHAnsi" w:cstheme="majorBidi"/>
      <w:bCs/>
      <w:color w:val="004F54" w:themeColor="accent1" w:themeShade="BF"/>
      <w:szCs w:val="28"/>
      <w:lang w:val="en-US"/>
    </w:rPr>
  </w:style>
  <w:style w:type="paragraph" w:styleId="TOC1">
    <w:name w:val="toc 1"/>
    <w:basedOn w:val="Normal"/>
    <w:next w:val="Normal"/>
    <w:autoRedefine/>
    <w:uiPriority w:val="39"/>
    <w:rsid w:val="000B6585"/>
    <w:pPr>
      <w:tabs>
        <w:tab w:val="left" w:pos="400"/>
        <w:tab w:val="right" w:leader="dot" w:pos="10194"/>
      </w:tabs>
      <w:spacing w:after="80"/>
    </w:pPr>
    <w:rPr>
      <w:caps/>
    </w:rPr>
  </w:style>
  <w:style w:type="paragraph" w:styleId="TOC2">
    <w:name w:val="toc 2"/>
    <w:basedOn w:val="Normal"/>
    <w:next w:val="Normal"/>
    <w:autoRedefine/>
    <w:uiPriority w:val="39"/>
    <w:rsid w:val="00916D82"/>
    <w:pPr>
      <w:tabs>
        <w:tab w:val="left" w:pos="952"/>
        <w:tab w:val="right" w:leader="dot" w:pos="10194"/>
      </w:tabs>
      <w:spacing w:after="60"/>
      <w:ind w:left="952" w:hanging="756"/>
    </w:pPr>
    <w:rPr>
      <w:noProof/>
    </w:rPr>
  </w:style>
  <w:style w:type="paragraph" w:customStyle="1" w:styleId="RRPCopy">
    <w:name w:val="RRP Copy"/>
    <w:basedOn w:val="Bodycopy"/>
    <w:link w:val="RRPCopyChar"/>
    <w:qFormat/>
    <w:rsid w:val="00F96AA4"/>
    <w:rPr>
      <w:rFonts w:cs="Arial"/>
      <w:lang w:val="en-US"/>
    </w:rPr>
  </w:style>
  <w:style w:type="character" w:customStyle="1" w:styleId="RRPCopyChar">
    <w:name w:val="RRP Copy Char"/>
    <w:basedOn w:val="BodycopyChar"/>
    <w:link w:val="RRPCopy"/>
    <w:rsid w:val="00F96AA4"/>
    <w:rPr>
      <w:rFonts w:ascii="Arial" w:hAnsi="Arial" w:cs="Arial"/>
      <w:color w:val="000000"/>
      <w:lang w:val="en-US" w:eastAsia="ja-JP"/>
    </w:rPr>
  </w:style>
  <w:style w:type="paragraph" w:customStyle="1" w:styleId="StyleHeading122ptNotBoldAccent2">
    <w:name w:val="Style Heading 1 + 22 pt Not Bold Accent 2"/>
    <w:basedOn w:val="Heading1"/>
    <w:autoRedefine/>
    <w:qFormat/>
    <w:rsid w:val="00F96AA4"/>
    <w:rPr>
      <w:b w:val="0"/>
      <w:color w:val="F58025"/>
      <w:sz w:val="44"/>
    </w:rPr>
  </w:style>
  <w:style w:type="character" w:styleId="FootnoteReference">
    <w:name w:val="footnote reference"/>
    <w:aliases w:val="(NECG) Footnote Reference,(NECG) Footnote Reference1,(NECG) Footnote Reference2,o,Style 3,Style 12,fr,Appel note de bas de p,Style 124,(NECG) Footnote Reference3,(NECG) Footnote Reference4,(NECG) Footnote Reference5"/>
    <w:basedOn w:val="DefaultParagraphFont"/>
    <w:uiPriority w:val="99"/>
    <w:rsid w:val="00D95EEE"/>
    <w:rPr>
      <w:sz w:val="20"/>
      <w:vertAlign w:val="superscript"/>
    </w:rPr>
  </w:style>
  <w:style w:type="paragraph" w:customStyle="1" w:styleId="SRPBodyCopy">
    <w:name w:val="SRP Body Copy"/>
    <w:basedOn w:val="Normal"/>
    <w:qFormat/>
    <w:rsid w:val="00CD4930"/>
    <w:pPr>
      <w:spacing w:after="120"/>
    </w:pPr>
  </w:style>
  <w:style w:type="paragraph" w:customStyle="1" w:styleId="SRPheading2">
    <w:name w:val="SRP heading 2"/>
    <w:basedOn w:val="Heading2"/>
    <w:next w:val="SRPBodyCopy"/>
    <w:qFormat/>
    <w:rsid w:val="00CD4930"/>
    <w:rPr>
      <w:color w:val="807F83" w:themeColor="accent4"/>
    </w:rPr>
  </w:style>
  <w:style w:type="paragraph" w:customStyle="1" w:styleId="SRPTableHeading">
    <w:name w:val="SRP Table Heading"/>
    <w:basedOn w:val="Normal"/>
    <w:next w:val="SRPBodyCopy"/>
    <w:autoRedefine/>
    <w:qFormat/>
    <w:rsid w:val="00D95EEE"/>
    <w:rPr>
      <w:b/>
      <w:i/>
      <w:color w:val="006A71" w:themeColor="text2"/>
      <w:sz w:val="16"/>
    </w:rPr>
  </w:style>
  <w:style w:type="paragraph" w:customStyle="1" w:styleId="SRPFootnoteText">
    <w:name w:val="SRP Footnote Text"/>
    <w:basedOn w:val="FootnoteText"/>
    <w:qFormat/>
    <w:rsid w:val="00D95EEE"/>
    <w:rPr>
      <w:rFonts w:cs="Arial"/>
      <w:szCs w:val="16"/>
    </w:rPr>
  </w:style>
  <w:style w:type="paragraph" w:styleId="FootnoteText">
    <w:name w:val="footnote text"/>
    <w:aliases w:val="fn,(NECG) Footnote Text,ALTS FOOTNOTE,Footnote Text Char Char Char,Footnote Text Char1 Char Char,Footnote Text Char Char Char Char Char,Footnote Text Char Char1 Char Char,Footnote Text Char Char1,f,Footnote Text1,Footnote Text2, Char Char"/>
    <w:basedOn w:val="Bodycopy"/>
    <w:link w:val="FootnoteTextChar"/>
    <w:uiPriority w:val="99"/>
    <w:qFormat/>
    <w:rsid w:val="00A0324A"/>
    <w:rPr>
      <w:sz w:val="16"/>
    </w:rPr>
  </w:style>
  <w:style w:type="character" w:customStyle="1" w:styleId="FootnoteTextChar">
    <w:name w:val="Footnote Text Char"/>
    <w:aliases w:val="fn Char,(NECG) Footnote Text Char,ALTS FOOTNOTE Char,Footnote Text Char Char Char Char,Footnote Text Char1 Char Char Char,Footnote Text Char Char Char Char Char Char,Footnote Text Char Char1 Char Char Char,f Char,Footnote Text1 Char"/>
    <w:basedOn w:val="DefaultParagraphFont"/>
    <w:link w:val="FootnoteText"/>
    <w:uiPriority w:val="99"/>
    <w:rsid w:val="00A0324A"/>
    <w:rPr>
      <w:rFonts w:ascii="Arial" w:hAnsi="Arial" w:cs="ITC Franklin Gothic LT Medium"/>
      <w:color w:val="000000"/>
      <w:sz w:val="16"/>
      <w:lang w:val="en-GB" w:eastAsia="ja-JP"/>
    </w:rPr>
  </w:style>
  <w:style w:type="paragraph" w:styleId="NormalWeb">
    <w:name w:val="Normal (Web)"/>
    <w:basedOn w:val="Normal"/>
    <w:uiPriority w:val="99"/>
    <w:rsid w:val="007B0E81"/>
    <w:pPr>
      <w:spacing w:before="100" w:beforeAutospacing="1" w:after="100" w:afterAutospacing="1"/>
    </w:pPr>
    <w:rPr>
      <w:rFonts w:ascii="Times New Roman" w:eastAsia="Times New Roman" w:hAnsi="Times New Roman"/>
      <w:sz w:val="24"/>
      <w:lang w:eastAsia="en-AU"/>
    </w:rPr>
  </w:style>
  <w:style w:type="character" w:customStyle="1" w:styleId="headerminiblue1">
    <w:name w:val="headerminiblue1"/>
    <w:rsid w:val="007B0E81"/>
    <w:rPr>
      <w:rFonts w:ascii="Arial" w:hAnsi="Arial" w:cs="Arial" w:hint="default"/>
      <w:b/>
      <w:bCs/>
      <w:color w:val="000000"/>
      <w:sz w:val="20"/>
      <w:szCs w:val="20"/>
    </w:rPr>
  </w:style>
  <w:style w:type="character" w:customStyle="1" w:styleId="text1">
    <w:name w:val="text1"/>
    <w:rsid w:val="007B0E81"/>
    <w:rPr>
      <w:rFonts w:ascii="Arial" w:hAnsi="Arial" w:cs="Arial" w:hint="default"/>
      <w:color w:val="000000"/>
      <w:sz w:val="20"/>
      <w:szCs w:val="20"/>
    </w:rPr>
  </w:style>
  <w:style w:type="paragraph" w:styleId="Caption">
    <w:name w:val="caption"/>
    <w:basedOn w:val="Normal"/>
    <w:next w:val="Bodycopy"/>
    <w:unhideWhenUsed/>
    <w:qFormat/>
    <w:rsid w:val="0048752E"/>
    <w:pPr>
      <w:spacing w:after="120"/>
    </w:pPr>
    <w:rPr>
      <w:b/>
      <w:bCs/>
      <w:i/>
      <w:color w:val="006A71" w:themeColor="accent1"/>
      <w:sz w:val="18"/>
      <w:szCs w:val="18"/>
    </w:rPr>
  </w:style>
  <w:style w:type="paragraph" w:customStyle="1" w:styleId="Heading1nonumbers">
    <w:name w:val="Heading 1 no numbers"/>
    <w:basedOn w:val="Heading1"/>
    <w:qFormat/>
    <w:rsid w:val="009720B9"/>
    <w:pPr>
      <w:pageBreakBefore w:val="0"/>
      <w:numPr>
        <w:numId w:val="0"/>
      </w:numPr>
    </w:pPr>
    <w:rPr>
      <w:rFonts w:ascii="Arial Bold" w:hAnsi="Arial Bold" w:cs="Arial"/>
      <w:szCs w:val="28"/>
      <w:lang w:val="en-AU"/>
    </w:rPr>
  </w:style>
  <w:style w:type="paragraph" w:customStyle="1" w:styleId="Heading2nonumbers">
    <w:name w:val="Heading 2 no numbers"/>
    <w:basedOn w:val="Heading2"/>
    <w:qFormat/>
    <w:rsid w:val="005E27B2"/>
    <w:pPr>
      <w:numPr>
        <w:ilvl w:val="0"/>
        <w:numId w:val="0"/>
      </w:numPr>
    </w:pPr>
  </w:style>
  <w:style w:type="paragraph" w:customStyle="1" w:styleId="Bodycopysmallspacing">
    <w:name w:val="Body copy small spacing"/>
    <w:basedOn w:val="Bodycopy"/>
    <w:qFormat/>
    <w:rsid w:val="00C93DE7"/>
    <w:pPr>
      <w:spacing w:after="40"/>
    </w:pPr>
  </w:style>
  <w:style w:type="character" w:customStyle="1" w:styleId="StyleBold">
    <w:name w:val="Style Bold"/>
    <w:basedOn w:val="DefaultParagraphFont"/>
    <w:rsid w:val="00C93DE7"/>
    <w:rPr>
      <w:b/>
      <w:bCs/>
    </w:rPr>
  </w:style>
  <w:style w:type="paragraph" w:customStyle="1" w:styleId="StyleBodycopyBold">
    <w:name w:val="Style Body copy + Bold"/>
    <w:basedOn w:val="Bodycopy"/>
    <w:rsid w:val="00C93DE7"/>
    <w:rPr>
      <w:b/>
      <w:bCs/>
    </w:rPr>
  </w:style>
  <w:style w:type="paragraph" w:customStyle="1" w:styleId="Bodycopybold">
    <w:name w:val="Body copy bold"/>
    <w:basedOn w:val="Bodycopy"/>
    <w:next w:val="Bodycopy"/>
    <w:qFormat/>
    <w:rsid w:val="00C93DE7"/>
    <w:rPr>
      <w:b/>
    </w:rPr>
  </w:style>
  <w:style w:type="paragraph" w:customStyle="1" w:styleId="Boldbodycopy">
    <w:name w:val="Bold body copy"/>
    <w:basedOn w:val="Bodycopy"/>
    <w:qFormat/>
    <w:rsid w:val="00C93DE7"/>
    <w:rPr>
      <w:b/>
    </w:rPr>
  </w:style>
  <w:style w:type="paragraph" w:customStyle="1" w:styleId="Bulletsnotindented">
    <w:name w:val="Bullets not indented"/>
    <w:basedOn w:val="Bullets"/>
    <w:qFormat/>
    <w:rsid w:val="00C93DE7"/>
    <w:pPr>
      <w:ind w:left="357"/>
    </w:pPr>
  </w:style>
  <w:style w:type="paragraph" w:customStyle="1" w:styleId="Heading3nonumbers">
    <w:name w:val="Heading 3 no numbers"/>
    <w:basedOn w:val="Heading3"/>
    <w:qFormat/>
    <w:rsid w:val="00161C8F"/>
    <w:pPr>
      <w:numPr>
        <w:ilvl w:val="0"/>
        <w:numId w:val="0"/>
      </w:numPr>
    </w:pPr>
    <w:rPr>
      <w:color w:val="006A71" w:themeColor="text2"/>
    </w:rPr>
  </w:style>
  <w:style w:type="character" w:customStyle="1" w:styleId="BodyTextChar">
    <w:name w:val="Body Text Char"/>
    <w:basedOn w:val="DefaultParagraphFont"/>
    <w:link w:val="BodyText"/>
    <w:rsid w:val="00C93DE7"/>
    <w:rPr>
      <w:rFonts w:ascii="Arial" w:hAnsi="Arial"/>
      <w:szCs w:val="24"/>
      <w:lang w:eastAsia="ja-JP"/>
    </w:rPr>
  </w:style>
  <w:style w:type="paragraph" w:customStyle="1" w:styleId="Tableheadingwhite">
    <w:name w:val="Table heading white"/>
    <w:basedOn w:val="Bodycopy"/>
    <w:rsid w:val="0097117F"/>
    <w:pPr>
      <w:spacing w:before="80" w:line="240" w:lineRule="auto"/>
    </w:pPr>
    <w:rPr>
      <w:bCs/>
      <w:color w:val="FFFFFF" w:themeColor="background1"/>
    </w:rPr>
  </w:style>
  <w:style w:type="paragraph" w:customStyle="1" w:styleId="Bodycopytable8pt">
    <w:name w:val="Body copy table 8pt"/>
    <w:basedOn w:val="Bodycopy"/>
    <w:rsid w:val="00793C11"/>
    <w:pPr>
      <w:spacing w:before="40" w:after="40"/>
    </w:pPr>
    <w:rPr>
      <w:rFonts w:eastAsia="Times New Roman"/>
      <w:bCs/>
      <w:color w:val="auto"/>
      <w:sz w:val="16"/>
    </w:rPr>
  </w:style>
  <w:style w:type="paragraph" w:customStyle="1" w:styleId="Bodycopytable8ptbold">
    <w:name w:val="Body copy table 8pt bold"/>
    <w:basedOn w:val="Bodycopytable8pt"/>
    <w:qFormat/>
    <w:rsid w:val="00DA41A2"/>
    <w:pPr>
      <w:jc w:val="center"/>
    </w:pPr>
    <w:rPr>
      <w:b/>
    </w:rPr>
  </w:style>
  <w:style w:type="paragraph" w:customStyle="1" w:styleId="Bodycopyindented">
    <w:name w:val="Body copy indented"/>
    <w:basedOn w:val="Bullets"/>
    <w:qFormat/>
    <w:rsid w:val="00875B8F"/>
    <w:pPr>
      <w:numPr>
        <w:numId w:val="0"/>
      </w:numPr>
      <w:ind w:left="644" w:hanging="20"/>
    </w:pPr>
  </w:style>
  <w:style w:type="character" w:customStyle="1" w:styleId="Heading4Char">
    <w:name w:val="Heading 4 Char"/>
    <w:basedOn w:val="DefaultParagraphFont"/>
    <w:link w:val="Heading4"/>
    <w:rsid w:val="00446376"/>
    <w:rPr>
      <w:rFonts w:asciiTheme="majorHAnsi" w:eastAsiaTheme="majorEastAsia" w:hAnsiTheme="majorHAnsi" w:cstheme="majorBidi"/>
      <w:b/>
      <w:bCs/>
      <w:i/>
      <w:iCs/>
      <w:szCs w:val="24"/>
      <w:lang w:eastAsia="ja-JP"/>
    </w:rPr>
  </w:style>
  <w:style w:type="paragraph" w:customStyle="1" w:styleId="Heading4nonumbers">
    <w:name w:val="Heading 4 no numbers"/>
    <w:basedOn w:val="Heading3nonumbers"/>
    <w:next w:val="Bodycopy"/>
    <w:qFormat/>
    <w:rsid w:val="00270B83"/>
    <w:rPr>
      <w:color w:val="456478" w:themeColor="accent5" w:themeShade="BF"/>
      <w:sz w:val="20"/>
    </w:rPr>
  </w:style>
  <w:style w:type="paragraph" w:customStyle="1" w:styleId="Numbered">
    <w:name w:val="Numbered"/>
    <w:basedOn w:val="Bullets"/>
    <w:qFormat/>
    <w:rsid w:val="00A40111"/>
    <w:pPr>
      <w:numPr>
        <w:numId w:val="6"/>
      </w:numPr>
    </w:pPr>
  </w:style>
  <w:style w:type="paragraph" w:customStyle="1" w:styleId="Numberednotindented">
    <w:name w:val="Numbered not indented"/>
    <w:basedOn w:val="Bodycopy"/>
    <w:qFormat/>
    <w:rsid w:val="00676772"/>
    <w:pPr>
      <w:numPr>
        <w:numId w:val="7"/>
      </w:numPr>
      <w:ind w:left="357" w:hanging="357"/>
    </w:pPr>
  </w:style>
  <w:style w:type="paragraph" w:customStyle="1" w:styleId="Numberedbold">
    <w:name w:val="Numbered bold"/>
    <w:basedOn w:val="Numbered"/>
    <w:qFormat/>
    <w:rsid w:val="00757FD3"/>
    <w:rPr>
      <w:b/>
    </w:rPr>
  </w:style>
  <w:style w:type="paragraph" w:customStyle="1" w:styleId="Numberedbold6ptbefore">
    <w:name w:val="Numbered bold 6pt before"/>
    <w:basedOn w:val="Numberedbold"/>
    <w:qFormat/>
    <w:rsid w:val="00F47E90"/>
    <w:pPr>
      <w:spacing w:before="120"/>
    </w:pPr>
  </w:style>
  <w:style w:type="paragraph" w:styleId="ListContinue4">
    <w:name w:val="List Continue 4"/>
    <w:basedOn w:val="Normal"/>
    <w:rsid w:val="00570BE5"/>
    <w:pPr>
      <w:spacing w:after="120"/>
      <w:ind w:left="1132"/>
      <w:contextualSpacing/>
    </w:pPr>
  </w:style>
  <w:style w:type="paragraph" w:customStyle="1" w:styleId="Default">
    <w:name w:val="Default"/>
    <w:rsid w:val="00693CFF"/>
    <w:pPr>
      <w:autoSpaceDE w:val="0"/>
      <w:autoSpaceDN w:val="0"/>
      <w:adjustRightInd w:val="0"/>
    </w:pPr>
    <w:rPr>
      <w:rFonts w:ascii="Arial" w:hAnsi="Arial" w:cs="Arial"/>
      <w:color w:val="000000"/>
      <w:sz w:val="24"/>
      <w:szCs w:val="24"/>
    </w:rPr>
  </w:style>
  <w:style w:type="paragraph" w:customStyle="1" w:styleId="Numberedbold6pybeforenotindented">
    <w:name w:val="Numbered bold 6py before not indented"/>
    <w:basedOn w:val="Bodycopy"/>
    <w:qFormat/>
    <w:rsid w:val="00D35A7D"/>
    <w:pPr>
      <w:numPr>
        <w:numId w:val="8"/>
      </w:numPr>
      <w:spacing w:before="120"/>
      <w:ind w:left="357" w:hanging="357"/>
    </w:pPr>
    <w:rPr>
      <w:b/>
    </w:rPr>
  </w:style>
  <w:style w:type="numbering" w:customStyle="1" w:styleId="Style1">
    <w:name w:val="Style1"/>
    <w:uiPriority w:val="99"/>
    <w:rsid w:val="00DE69EC"/>
    <w:pPr>
      <w:numPr>
        <w:numId w:val="9"/>
      </w:numPr>
    </w:pPr>
  </w:style>
  <w:style w:type="paragraph" w:customStyle="1" w:styleId="Bulletlist">
    <w:name w:val="Bullet list"/>
    <w:link w:val="BulletlistChar"/>
    <w:uiPriority w:val="4"/>
    <w:qFormat/>
    <w:rsid w:val="00DE69EC"/>
    <w:pPr>
      <w:numPr>
        <w:numId w:val="9"/>
      </w:numPr>
      <w:spacing w:after="120"/>
    </w:pPr>
    <w:rPr>
      <w:rFonts w:asciiTheme="minorHAnsi" w:eastAsia="Calibri" w:hAnsiTheme="minorHAnsi"/>
      <w:szCs w:val="22"/>
      <w:lang w:eastAsia="en-US"/>
    </w:rPr>
  </w:style>
  <w:style w:type="character" w:customStyle="1" w:styleId="BulletlistChar">
    <w:name w:val="Bullet list Char"/>
    <w:basedOn w:val="DefaultParagraphFont"/>
    <w:link w:val="Bulletlist"/>
    <w:uiPriority w:val="4"/>
    <w:rsid w:val="00DE69EC"/>
    <w:rPr>
      <w:rFonts w:asciiTheme="minorHAnsi" w:eastAsia="Calibri" w:hAnsiTheme="minorHAnsi"/>
      <w:szCs w:val="22"/>
      <w:lang w:eastAsia="en-US"/>
    </w:rPr>
  </w:style>
  <w:style w:type="paragraph" w:styleId="TOC3">
    <w:name w:val="toc 3"/>
    <w:basedOn w:val="Normal"/>
    <w:next w:val="Normal"/>
    <w:autoRedefine/>
    <w:uiPriority w:val="39"/>
    <w:rsid w:val="009720B9"/>
    <w:pPr>
      <w:spacing w:after="100"/>
      <w:ind w:left="400"/>
    </w:pPr>
  </w:style>
  <w:style w:type="paragraph" w:customStyle="1" w:styleId="Heading1notinTOC">
    <w:name w:val="Heading 1 not in TOC"/>
    <w:basedOn w:val="Heading1nonumbers"/>
    <w:qFormat/>
    <w:rsid w:val="009720B9"/>
  </w:style>
  <w:style w:type="paragraph" w:styleId="TableofFigures">
    <w:name w:val="table of figures"/>
    <w:basedOn w:val="Normal"/>
    <w:next w:val="Normal"/>
    <w:uiPriority w:val="99"/>
    <w:rsid w:val="00542728"/>
    <w:pPr>
      <w:spacing w:after="100"/>
    </w:pPr>
  </w:style>
  <w:style w:type="paragraph" w:customStyle="1" w:styleId="Numberedbold8ptfortable">
    <w:name w:val="Numbered bold 8pt for table"/>
    <w:basedOn w:val="Numberedbold6pybeforenotindented"/>
    <w:qFormat/>
    <w:rsid w:val="00BA623C"/>
    <w:rPr>
      <w:sz w:val="16"/>
    </w:rPr>
  </w:style>
  <w:style w:type="paragraph" w:customStyle="1" w:styleId="Numberedbold8ptWHITE">
    <w:name w:val="Numbered bold 8pt WHITE"/>
    <w:basedOn w:val="Numberedbold8ptfortable"/>
    <w:qFormat/>
    <w:rsid w:val="00BA623C"/>
    <w:rPr>
      <w:color w:val="FFFFFF" w:themeColor="background1"/>
    </w:rPr>
  </w:style>
  <w:style w:type="paragraph" w:customStyle="1" w:styleId="NumberednotindentedWHITE">
    <w:name w:val="Numbered not indented WHITE"/>
    <w:basedOn w:val="Numberedbold6pybeforenotindented"/>
    <w:qFormat/>
    <w:rsid w:val="00BA623C"/>
    <w:pPr>
      <w:ind w:left="720" w:hanging="360"/>
    </w:pPr>
    <w:rPr>
      <w:color w:val="FFFFFF" w:themeColor="background1"/>
    </w:rPr>
  </w:style>
  <w:style w:type="paragraph" w:customStyle="1" w:styleId="Bulletswhitefont">
    <w:name w:val="Bullets white font"/>
    <w:basedOn w:val="Bulletsnotindented"/>
    <w:qFormat/>
    <w:rsid w:val="00184DC3"/>
    <w:rPr>
      <w:color w:val="FFFFFF" w:themeColor="background1"/>
    </w:rPr>
  </w:style>
  <w:style w:type="paragraph" w:customStyle="1" w:styleId="StyleCaptionCentered">
    <w:name w:val="Style Caption + Centered"/>
    <w:basedOn w:val="Caption"/>
    <w:rsid w:val="00493EBD"/>
    <w:pPr>
      <w:jc w:val="center"/>
    </w:pPr>
    <w:rPr>
      <w:rFonts w:eastAsia="Times New Roman"/>
      <w:iCs/>
      <w:szCs w:val="20"/>
    </w:rPr>
  </w:style>
  <w:style w:type="paragraph" w:styleId="Revision">
    <w:name w:val="Revision"/>
    <w:hidden/>
    <w:uiPriority w:val="99"/>
    <w:semiHidden/>
    <w:rsid w:val="006F492E"/>
    <w:rPr>
      <w:rFonts w:ascii="Arial" w:hAnsi="Arial"/>
      <w:szCs w:val="24"/>
      <w:lang w:eastAsia="ja-JP"/>
    </w:rPr>
  </w:style>
  <w:style w:type="paragraph" w:customStyle="1" w:styleId="CoverSubheading">
    <w:name w:val="Cover Subheading"/>
    <w:basedOn w:val="Normal"/>
    <w:link w:val="CoverSubheadingChar"/>
    <w:qFormat/>
    <w:rsid w:val="00583A9B"/>
    <w:pPr>
      <w:widowControl w:val="0"/>
      <w:spacing w:after="300"/>
    </w:pPr>
    <w:rPr>
      <w:rFonts w:ascii="Century Gothic" w:eastAsia="Century Gothic" w:hAnsi="Century Gothic" w:cs="Century Gothic"/>
      <w:color w:val="008698"/>
      <w:sz w:val="30"/>
      <w:szCs w:val="30"/>
      <w:lang w:val="en-US" w:eastAsia="en-US"/>
    </w:rPr>
  </w:style>
  <w:style w:type="character" w:customStyle="1" w:styleId="CoverSubheadingChar">
    <w:name w:val="Cover Subheading Char"/>
    <w:basedOn w:val="DefaultParagraphFont"/>
    <w:link w:val="CoverSubheading"/>
    <w:rsid w:val="00583A9B"/>
    <w:rPr>
      <w:rFonts w:ascii="Century Gothic" w:eastAsia="Century Gothic" w:hAnsi="Century Gothic" w:cs="Century Gothic"/>
      <w:color w:val="008698"/>
      <w:sz w:val="30"/>
      <w:szCs w:val="30"/>
      <w:lang w:val="en-US" w:eastAsia="en-US"/>
    </w:rPr>
  </w:style>
  <w:style w:type="paragraph" w:customStyle="1" w:styleId="Bulletsnotindentedwhite">
    <w:name w:val="Bullets not indented white"/>
    <w:basedOn w:val="Bulletsnotindented"/>
    <w:qFormat/>
    <w:rsid w:val="008B5ACC"/>
    <w:rPr>
      <w:color w:val="FFFFFF" w:themeColor="background1"/>
    </w:rPr>
  </w:style>
  <w:style w:type="paragraph" w:customStyle="1" w:styleId="TableheadingWHITELARGE">
    <w:name w:val="Table heading WHITE LARGE"/>
    <w:basedOn w:val="Tableheadingwhite"/>
    <w:qFormat/>
    <w:rsid w:val="00337842"/>
    <w:pPr>
      <w:spacing w:before="120" w:after="80"/>
      <w:jc w:val="center"/>
    </w:pPr>
    <w:rPr>
      <w:b/>
      <w:bCs w:val="0"/>
      <w:sz w:val="24"/>
    </w:rPr>
  </w:style>
  <w:style w:type="paragraph" w:styleId="IntenseQuote">
    <w:name w:val="Intense Quote"/>
    <w:aliases w:val="Section Heading"/>
    <w:basedOn w:val="Normal"/>
    <w:next w:val="Normal"/>
    <w:link w:val="IntenseQuoteChar"/>
    <w:uiPriority w:val="30"/>
    <w:rsid w:val="00161C8F"/>
    <w:pPr>
      <w:pBdr>
        <w:bottom w:val="single" w:sz="4" w:space="4" w:color="006A71" w:themeColor="accent1"/>
      </w:pBdr>
      <w:spacing w:before="200" w:after="280"/>
      <w:ind w:left="936" w:right="936"/>
    </w:pPr>
    <w:rPr>
      <w:b/>
      <w:bCs/>
      <w:i/>
      <w:iCs/>
      <w:color w:val="006A71" w:themeColor="accent1"/>
    </w:rPr>
  </w:style>
  <w:style w:type="character" w:customStyle="1" w:styleId="IntenseQuoteChar">
    <w:name w:val="Intense Quote Char"/>
    <w:aliases w:val="Section Heading Char"/>
    <w:basedOn w:val="DefaultParagraphFont"/>
    <w:link w:val="IntenseQuote"/>
    <w:uiPriority w:val="30"/>
    <w:rsid w:val="00161C8F"/>
    <w:rPr>
      <w:rFonts w:ascii="Arial" w:hAnsi="Arial"/>
      <w:b/>
      <w:bCs/>
      <w:i/>
      <w:iCs/>
      <w:color w:val="006A71" w:themeColor="accent1"/>
      <w:szCs w:val="24"/>
      <w:lang w:eastAsia="ja-JP"/>
    </w:rPr>
  </w:style>
  <w:style w:type="paragraph" w:customStyle="1" w:styleId="RRPBullets">
    <w:name w:val="RRP Bullets"/>
    <w:basedOn w:val="Normal"/>
    <w:next w:val="RRPCopy"/>
    <w:link w:val="RRPBulletsChar"/>
    <w:qFormat/>
    <w:rsid w:val="006C3F21"/>
    <w:pPr>
      <w:numPr>
        <w:numId w:val="10"/>
      </w:numPr>
      <w:suppressAutoHyphens/>
      <w:autoSpaceDE w:val="0"/>
      <w:autoSpaceDN w:val="0"/>
      <w:adjustRightInd w:val="0"/>
      <w:spacing w:before="120" w:after="120"/>
      <w:textAlignment w:val="center"/>
    </w:pPr>
    <w:rPr>
      <w:rFonts w:cs="Arial"/>
      <w:color w:val="000000"/>
      <w:szCs w:val="22"/>
      <w:lang w:val="en-GB"/>
    </w:rPr>
  </w:style>
  <w:style w:type="character" w:customStyle="1" w:styleId="RRPBulletsChar">
    <w:name w:val="RRP Bullets Char"/>
    <w:basedOn w:val="DefaultParagraphFont"/>
    <w:link w:val="RRPBullets"/>
    <w:rsid w:val="003B147B"/>
    <w:rPr>
      <w:rFonts w:ascii="Arial" w:hAnsi="Arial" w:cs="Arial"/>
      <w:color w:val="000000"/>
      <w:szCs w:val="22"/>
      <w:lang w:val="en-GB" w:eastAsia="ja-JP"/>
    </w:rPr>
  </w:style>
  <w:style w:type="paragraph" w:customStyle="1" w:styleId="Bulletsnotindented8pt">
    <w:name w:val="Bullets not indented 8pt"/>
    <w:basedOn w:val="Bulletsnotindented"/>
    <w:qFormat/>
    <w:rsid w:val="00793C11"/>
    <w:pPr>
      <w:spacing w:after="20"/>
    </w:pPr>
    <w:rPr>
      <w:sz w:val="16"/>
    </w:rPr>
  </w:style>
  <w:style w:type="paragraph" w:customStyle="1" w:styleId="Numberednotindented8pt">
    <w:name w:val="Numbered not indented 8pt"/>
    <w:basedOn w:val="Bulletsnotindented8pt"/>
    <w:qFormat/>
    <w:rsid w:val="007F6085"/>
    <w:pPr>
      <w:numPr>
        <w:numId w:val="11"/>
      </w:numPr>
      <w:ind w:left="357" w:hanging="357"/>
    </w:pPr>
  </w:style>
  <w:style w:type="paragraph" w:customStyle="1" w:styleId="Tableheadingwhitebold8pt">
    <w:name w:val="Table heading white bold 8pt"/>
    <w:basedOn w:val="Tableheadingwhite"/>
    <w:qFormat/>
    <w:rsid w:val="003F5178"/>
    <w:pPr>
      <w:jc w:val="center"/>
    </w:pPr>
    <w:rPr>
      <w:b/>
      <w:bCs w:val="0"/>
      <w:sz w:val="16"/>
    </w:rPr>
  </w:style>
  <w:style w:type="paragraph" w:customStyle="1" w:styleId="Bodycopt8ptWHITE">
    <w:name w:val="Body copt 8pt WHITE"/>
    <w:basedOn w:val="Bodycopytable8pt"/>
    <w:qFormat/>
    <w:rsid w:val="00E80CAB"/>
    <w:rPr>
      <w:color w:val="FFFFFF" w:themeColor="background1"/>
    </w:rPr>
  </w:style>
  <w:style w:type="character" w:styleId="CommentReference">
    <w:name w:val="annotation reference"/>
    <w:basedOn w:val="DefaultParagraphFont"/>
    <w:rsid w:val="00353954"/>
    <w:rPr>
      <w:sz w:val="16"/>
      <w:szCs w:val="16"/>
    </w:rPr>
  </w:style>
  <w:style w:type="paragraph" w:styleId="CommentText">
    <w:name w:val="annotation text"/>
    <w:basedOn w:val="Normal"/>
    <w:link w:val="CommentTextChar"/>
    <w:rsid w:val="00353954"/>
    <w:rPr>
      <w:szCs w:val="20"/>
    </w:rPr>
  </w:style>
  <w:style w:type="character" w:customStyle="1" w:styleId="CommentTextChar">
    <w:name w:val="Comment Text Char"/>
    <w:basedOn w:val="DefaultParagraphFont"/>
    <w:link w:val="CommentText"/>
    <w:rsid w:val="00353954"/>
    <w:rPr>
      <w:rFonts w:ascii="Arial" w:hAnsi="Arial"/>
      <w:lang w:eastAsia="ja-JP"/>
    </w:rPr>
  </w:style>
  <w:style w:type="paragraph" w:styleId="CommentSubject">
    <w:name w:val="annotation subject"/>
    <w:basedOn w:val="CommentText"/>
    <w:next w:val="CommentText"/>
    <w:link w:val="CommentSubjectChar"/>
    <w:rsid w:val="00353954"/>
    <w:rPr>
      <w:b/>
      <w:bCs/>
    </w:rPr>
  </w:style>
  <w:style w:type="character" w:customStyle="1" w:styleId="CommentSubjectChar">
    <w:name w:val="Comment Subject Char"/>
    <w:basedOn w:val="CommentTextChar"/>
    <w:link w:val="CommentSubject"/>
    <w:rsid w:val="00353954"/>
    <w:rPr>
      <w:rFonts w:ascii="Arial" w:hAnsi="Arial"/>
      <w:b/>
      <w:bCs/>
      <w:lang w:eastAsia="ja-JP"/>
    </w:rPr>
  </w:style>
  <w:style w:type="paragraph" w:customStyle="1" w:styleId="StyleTableheadingwhitebold8ptLeft">
    <w:name w:val="Style Table heading white bold 8pt + Left"/>
    <w:basedOn w:val="Tableheadingwhitebold8pt"/>
    <w:rsid w:val="005306F5"/>
    <w:pPr>
      <w:jc w:val="left"/>
    </w:pPr>
    <w:rPr>
      <w:rFonts w:eastAsia="Times New Roman" w:cs="Times New Roman"/>
      <w:bCs/>
    </w:rPr>
  </w:style>
  <w:style w:type="paragraph" w:customStyle="1" w:styleId="StyleCaptionCentered1">
    <w:name w:val="Style Caption + Centered1"/>
    <w:basedOn w:val="Caption"/>
    <w:rsid w:val="0051487C"/>
    <w:pPr>
      <w:jc w:val="center"/>
    </w:pPr>
    <w:rPr>
      <w:rFonts w:eastAsia="Times New Roman"/>
      <w:iCs/>
      <w:szCs w:val="20"/>
    </w:rPr>
  </w:style>
  <w:style w:type="paragraph" w:customStyle="1" w:styleId="Bodycopynarrowcolumn">
    <w:name w:val="Body copy narrow column"/>
    <w:basedOn w:val="Bodycopy"/>
    <w:qFormat/>
    <w:rsid w:val="005D729A"/>
    <w:pPr>
      <w:ind w:right="7088"/>
    </w:pPr>
  </w:style>
  <w:style w:type="paragraph" w:customStyle="1" w:styleId="Captionrighthandside">
    <w:name w:val="Caption right hand side"/>
    <w:basedOn w:val="StyleCaptionCentered"/>
    <w:qFormat/>
    <w:rsid w:val="005D729A"/>
    <w:pPr>
      <w:ind w:left="3402"/>
    </w:pPr>
  </w:style>
  <w:style w:type="paragraph" w:customStyle="1" w:styleId="Captionnoafter">
    <w:name w:val="Caption no after"/>
    <w:basedOn w:val="Caption"/>
    <w:qFormat/>
    <w:rsid w:val="00F8099F"/>
    <w:pPr>
      <w:spacing w:after="0"/>
      <w:jc w:val="center"/>
    </w:pPr>
    <w:rPr>
      <w:iCs/>
    </w:rPr>
  </w:style>
  <w:style w:type="paragraph" w:customStyle="1" w:styleId="StyleBoldbodycopyAccent1">
    <w:name w:val="Style Bold body copy + Accent 1"/>
    <w:basedOn w:val="Boldbodycopy"/>
    <w:rsid w:val="00600126"/>
    <w:pPr>
      <w:spacing w:before="120"/>
    </w:pPr>
    <w:rPr>
      <w:bCs/>
      <w:color w:val="006A71" w:themeColor="accent1"/>
    </w:rPr>
  </w:style>
  <w:style w:type="paragraph" w:styleId="ListBullet">
    <w:name w:val="List Bullet"/>
    <w:basedOn w:val="Normal"/>
    <w:uiPriority w:val="99"/>
    <w:rsid w:val="003C1AD7"/>
    <w:pPr>
      <w:numPr>
        <w:numId w:val="14"/>
      </w:numPr>
      <w:spacing w:before="60" w:after="60" w:line="240" w:lineRule="atLeast"/>
    </w:pPr>
    <w:rPr>
      <w:rFonts w:ascii="Arial Narrow" w:eastAsiaTheme="minorHAnsi" w:hAnsi="Arial Narrow" w:cstheme="minorBidi"/>
      <w:sz w:val="22"/>
      <w:szCs w:val="22"/>
      <w:lang w:eastAsia="en-US"/>
    </w:rPr>
  </w:style>
  <w:style w:type="paragraph" w:styleId="ListBullet2">
    <w:name w:val="List Bullet 2"/>
    <w:basedOn w:val="Normal"/>
    <w:uiPriority w:val="99"/>
    <w:rsid w:val="003C1AD7"/>
    <w:pPr>
      <w:numPr>
        <w:numId w:val="15"/>
      </w:numPr>
      <w:tabs>
        <w:tab w:val="clear" w:pos="643"/>
      </w:tabs>
      <w:spacing w:line="240" w:lineRule="atLeast"/>
      <w:contextualSpacing/>
    </w:pPr>
    <w:rPr>
      <w:rFonts w:ascii="Arial Narrow" w:eastAsiaTheme="minorHAnsi" w:hAnsi="Arial Narrow" w:cstheme="minorBidi"/>
      <w:sz w:val="22"/>
      <w:szCs w:val="22"/>
      <w:lang w:eastAsia="en-US"/>
    </w:rPr>
  </w:style>
  <w:style w:type="paragraph" w:customStyle="1" w:styleId="CpBoldSubTitle">
    <w:name w:val="Cp Bold SubTitle"/>
    <w:basedOn w:val="Normal"/>
    <w:rsid w:val="003C1AD7"/>
    <w:pPr>
      <w:spacing w:before="48" w:line="200" w:lineRule="exact"/>
      <w:ind w:left="159"/>
    </w:pPr>
    <w:rPr>
      <w:rFonts w:ascii="Arial Bold" w:eastAsiaTheme="minorHAnsi" w:hAnsi="Arial Bold" w:cstheme="minorBidi"/>
      <w:b/>
      <w:caps/>
      <w:color w:val="000100"/>
      <w:sz w:val="22"/>
      <w:szCs w:val="22"/>
      <w:lang w:eastAsia="en-US"/>
    </w:rPr>
  </w:style>
  <w:style w:type="numbering" w:customStyle="1" w:styleId="aaReportListBullets">
    <w:name w:val="aa Report List Bullets"/>
    <w:uiPriority w:val="99"/>
    <w:rsid w:val="003C1AD7"/>
    <w:pPr>
      <w:numPr>
        <w:numId w:val="13"/>
      </w:numPr>
    </w:pPr>
  </w:style>
  <w:style w:type="paragraph" w:customStyle="1" w:styleId="StyleBodycopytable8ptCentered">
    <w:name w:val="Style Body copy table 8pt + Centered"/>
    <w:basedOn w:val="Bodycopytable8pt"/>
    <w:rsid w:val="00063654"/>
    <w:pPr>
      <w:jc w:val="center"/>
    </w:pPr>
    <w:rPr>
      <w:rFonts w:cs="Times New Roman"/>
      <w:bCs w:val="0"/>
    </w:rPr>
  </w:style>
  <w:style w:type="paragraph" w:customStyle="1" w:styleId="StyleCaptionCustomColorRGB0106113">
    <w:name w:val="Style Caption + Custom Color(RGB(0106113))"/>
    <w:basedOn w:val="Caption"/>
    <w:rsid w:val="00E555BC"/>
    <w:rPr>
      <w:iCs/>
      <w:color w:val="006A71"/>
    </w:rPr>
  </w:style>
  <w:style w:type="table" w:customStyle="1" w:styleId="TableGrid1">
    <w:name w:val="Table Grid1"/>
    <w:basedOn w:val="TableNormal"/>
    <w:next w:val="TableGrid"/>
    <w:uiPriority w:val="59"/>
    <w:rsid w:val="00E55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TableheadingWHITELARGE"/>
    <w:qFormat/>
    <w:rsid w:val="003C4DC0"/>
    <w:pPr>
      <w:spacing w:before="0" w:after="0"/>
      <w:jc w:val="left"/>
    </w:pPr>
    <w:rPr>
      <w:noProof/>
      <w:sz w:val="22"/>
      <w:lang w:eastAsia="en-AU"/>
    </w:rPr>
  </w:style>
  <w:style w:type="paragraph" w:customStyle="1" w:styleId="Style3">
    <w:name w:val="Style3"/>
    <w:basedOn w:val="Tableheadingwhitebold8pt"/>
    <w:qFormat/>
    <w:rsid w:val="00311D3C"/>
    <w:pPr>
      <w:spacing w:before="40" w:after="40"/>
    </w:pPr>
  </w:style>
  <w:style w:type="table" w:customStyle="1" w:styleId="GridTable5DarkAccent2">
    <w:name w:val="Grid Table 5 Dark Accent 2"/>
    <w:basedOn w:val="TableNormal"/>
    <w:uiPriority w:val="50"/>
    <w:rsid w:val="00AF5DE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5802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5802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5802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58025" w:themeFill="accent2"/>
      </w:tcPr>
    </w:tblStylePr>
    <w:tblStylePr w:type="band1Vert">
      <w:tblPr/>
      <w:tcPr>
        <w:shd w:val="clear" w:color="auto" w:fill="FBCBA7" w:themeFill="accent2" w:themeFillTint="66"/>
      </w:tcPr>
    </w:tblStylePr>
    <w:tblStylePr w:type="band1Horz">
      <w:tblPr/>
      <w:tcPr>
        <w:shd w:val="clear" w:color="auto" w:fill="FBCBA7" w:themeFill="accent2" w:themeFillTint="66"/>
      </w:tcPr>
    </w:tblStylePr>
  </w:style>
  <w:style w:type="table" w:customStyle="1" w:styleId="GridTable4Accent2">
    <w:name w:val="Grid Table 4 Accent 2"/>
    <w:basedOn w:val="TableNormal"/>
    <w:uiPriority w:val="49"/>
    <w:rsid w:val="00A52BA8"/>
    <w:tblPr>
      <w:tblStyleRowBandSize w:val="1"/>
      <w:tblStyleColBandSize w:val="1"/>
      <w:tblBorders>
        <w:top w:val="single" w:sz="4" w:space="0" w:color="F9B27C" w:themeColor="accent2" w:themeTint="99"/>
        <w:left w:val="single" w:sz="4" w:space="0" w:color="F9B27C" w:themeColor="accent2" w:themeTint="99"/>
        <w:bottom w:val="single" w:sz="4" w:space="0" w:color="F9B27C" w:themeColor="accent2" w:themeTint="99"/>
        <w:right w:val="single" w:sz="4" w:space="0" w:color="F9B27C" w:themeColor="accent2" w:themeTint="99"/>
        <w:insideH w:val="single" w:sz="4" w:space="0" w:color="F9B27C" w:themeColor="accent2" w:themeTint="99"/>
        <w:insideV w:val="single" w:sz="4" w:space="0" w:color="F9B27C" w:themeColor="accent2" w:themeTint="99"/>
      </w:tblBorders>
    </w:tblPr>
    <w:tblStylePr w:type="firstRow">
      <w:rPr>
        <w:b/>
        <w:bCs/>
        <w:color w:val="FFFFFF" w:themeColor="background1"/>
      </w:rPr>
      <w:tblPr/>
      <w:tcPr>
        <w:tcBorders>
          <w:top w:val="single" w:sz="4" w:space="0" w:color="F58025" w:themeColor="accent2"/>
          <w:left w:val="single" w:sz="4" w:space="0" w:color="F58025" w:themeColor="accent2"/>
          <w:bottom w:val="single" w:sz="4" w:space="0" w:color="F58025" w:themeColor="accent2"/>
          <w:right w:val="single" w:sz="4" w:space="0" w:color="F58025" w:themeColor="accent2"/>
          <w:insideH w:val="nil"/>
          <w:insideV w:val="nil"/>
        </w:tcBorders>
        <w:shd w:val="clear" w:color="auto" w:fill="F58025" w:themeFill="accent2"/>
      </w:tcPr>
    </w:tblStylePr>
    <w:tblStylePr w:type="lastRow">
      <w:rPr>
        <w:b/>
        <w:bCs/>
      </w:rPr>
      <w:tblPr/>
      <w:tcPr>
        <w:tcBorders>
          <w:top w:val="double" w:sz="4" w:space="0" w:color="F58025" w:themeColor="accent2"/>
        </w:tcBorders>
      </w:tcPr>
    </w:tblStylePr>
    <w:tblStylePr w:type="firstCol">
      <w:rPr>
        <w:b/>
        <w:bCs/>
      </w:rPr>
    </w:tblStylePr>
    <w:tblStylePr w:type="lastCol">
      <w:rPr>
        <w:b/>
        <w:bCs/>
      </w:rPr>
    </w:tblStylePr>
    <w:tblStylePr w:type="band1Vert">
      <w:tblPr/>
      <w:tcPr>
        <w:shd w:val="clear" w:color="auto" w:fill="FDE5D3" w:themeFill="accent2" w:themeFillTint="33"/>
      </w:tcPr>
    </w:tblStylePr>
    <w:tblStylePr w:type="band1Horz">
      <w:tblPr/>
      <w:tcPr>
        <w:shd w:val="clear" w:color="auto" w:fill="FDE5D3"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000252">
      <w:bodyDiv w:val="1"/>
      <w:marLeft w:val="0"/>
      <w:marRight w:val="0"/>
      <w:marTop w:val="0"/>
      <w:marBottom w:val="0"/>
      <w:divBdr>
        <w:top w:val="none" w:sz="0" w:space="0" w:color="auto"/>
        <w:left w:val="none" w:sz="0" w:space="0" w:color="auto"/>
        <w:bottom w:val="none" w:sz="0" w:space="0" w:color="auto"/>
        <w:right w:val="none" w:sz="0" w:space="0" w:color="auto"/>
      </w:divBdr>
    </w:div>
    <w:div w:id="439765506">
      <w:bodyDiv w:val="1"/>
      <w:marLeft w:val="0"/>
      <w:marRight w:val="0"/>
      <w:marTop w:val="0"/>
      <w:marBottom w:val="0"/>
      <w:divBdr>
        <w:top w:val="none" w:sz="0" w:space="0" w:color="auto"/>
        <w:left w:val="none" w:sz="0" w:space="0" w:color="auto"/>
        <w:bottom w:val="none" w:sz="0" w:space="0" w:color="auto"/>
        <w:right w:val="none" w:sz="0" w:space="0" w:color="auto"/>
      </w:divBdr>
    </w:div>
    <w:div w:id="1228299679">
      <w:bodyDiv w:val="1"/>
      <w:marLeft w:val="0"/>
      <w:marRight w:val="0"/>
      <w:marTop w:val="0"/>
      <w:marBottom w:val="0"/>
      <w:divBdr>
        <w:top w:val="none" w:sz="0" w:space="0" w:color="auto"/>
        <w:left w:val="none" w:sz="0" w:space="0" w:color="auto"/>
        <w:bottom w:val="none" w:sz="0" w:space="0" w:color="auto"/>
        <w:right w:val="none" w:sz="0" w:space="0" w:color="auto"/>
      </w:divBdr>
    </w:div>
    <w:div w:id="1316568829">
      <w:bodyDiv w:val="1"/>
      <w:marLeft w:val="0"/>
      <w:marRight w:val="0"/>
      <w:marTop w:val="0"/>
      <w:marBottom w:val="0"/>
      <w:divBdr>
        <w:top w:val="none" w:sz="0" w:space="0" w:color="auto"/>
        <w:left w:val="none" w:sz="0" w:space="0" w:color="auto"/>
        <w:bottom w:val="none" w:sz="0" w:space="0" w:color="auto"/>
        <w:right w:val="none" w:sz="0" w:space="0" w:color="auto"/>
      </w:divBdr>
    </w:div>
    <w:div w:id="1551916039">
      <w:bodyDiv w:val="1"/>
      <w:marLeft w:val="0"/>
      <w:marRight w:val="0"/>
      <w:marTop w:val="0"/>
      <w:marBottom w:val="0"/>
      <w:divBdr>
        <w:top w:val="none" w:sz="0" w:space="0" w:color="auto"/>
        <w:left w:val="none" w:sz="0" w:space="0" w:color="auto"/>
        <w:bottom w:val="none" w:sz="0" w:space="0" w:color="auto"/>
        <w:right w:val="none" w:sz="0" w:space="0" w:color="auto"/>
      </w:divBdr>
      <w:divsChild>
        <w:div w:id="495078828">
          <w:marLeft w:val="0"/>
          <w:marRight w:val="0"/>
          <w:marTop w:val="0"/>
          <w:marBottom w:val="0"/>
          <w:divBdr>
            <w:top w:val="none" w:sz="0" w:space="0" w:color="auto"/>
            <w:left w:val="none" w:sz="0" w:space="0" w:color="auto"/>
            <w:bottom w:val="none" w:sz="0" w:space="0" w:color="auto"/>
            <w:right w:val="none" w:sz="0" w:space="0" w:color="auto"/>
          </w:divBdr>
          <w:divsChild>
            <w:div w:id="464008236">
              <w:marLeft w:val="0"/>
              <w:marRight w:val="0"/>
              <w:marTop w:val="420"/>
              <w:marBottom w:val="450"/>
              <w:divBdr>
                <w:top w:val="none" w:sz="0" w:space="0" w:color="auto"/>
                <w:left w:val="none" w:sz="0" w:space="0" w:color="auto"/>
                <w:bottom w:val="none" w:sz="0" w:space="0" w:color="auto"/>
                <w:right w:val="none" w:sz="0" w:space="0" w:color="auto"/>
              </w:divBdr>
              <w:divsChild>
                <w:div w:id="70781306">
                  <w:marLeft w:val="0"/>
                  <w:marRight w:val="0"/>
                  <w:marTop w:val="0"/>
                  <w:marBottom w:val="0"/>
                  <w:divBdr>
                    <w:top w:val="none" w:sz="0" w:space="0" w:color="auto"/>
                    <w:left w:val="none" w:sz="0" w:space="0" w:color="auto"/>
                    <w:bottom w:val="none" w:sz="0" w:space="0" w:color="auto"/>
                    <w:right w:val="none" w:sz="0" w:space="0" w:color="auto"/>
                  </w:divBdr>
                  <w:divsChild>
                    <w:div w:id="245578970">
                      <w:marLeft w:val="0"/>
                      <w:marRight w:val="255"/>
                      <w:marTop w:val="0"/>
                      <w:marBottom w:val="0"/>
                      <w:divBdr>
                        <w:top w:val="none" w:sz="0" w:space="0" w:color="auto"/>
                        <w:left w:val="none" w:sz="0" w:space="0" w:color="auto"/>
                        <w:bottom w:val="none" w:sz="0" w:space="0" w:color="auto"/>
                        <w:right w:val="none" w:sz="0" w:space="0" w:color="auto"/>
                      </w:divBdr>
                      <w:divsChild>
                        <w:div w:id="159798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88946">
      <w:bodyDiv w:val="1"/>
      <w:marLeft w:val="0"/>
      <w:marRight w:val="0"/>
      <w:marTop w:val="0"/>
      <w:marBottom w:val="0"/>
      <w:divBdr>
        <w:top w:val="none" w:sz="0" w:space="0" w:color="auto"/>
        <w:left w:val="none" w:sz="0" w:space="0" w:color="auto"/>
        <w:bottom w:val="none" w:sz="0" w:space="0" w:color="auto"/>
        <w:right w:val="none" w:sz="0" w:space="0" w:color="auto"/>
      </w:divBdr>
    </w:div>
    <w:div w:id="1795976427">
      <w:bodyDiv w:val="1"/>
      <w:marLeft w:val="0"/>
      <w:marRight w:val="0"/>
      <w:marTop w:val="0"/>
      <w:marBottom w:val="0"/>
      <w:divBdr>
        <w:top w:val="none" w:sz="0" w:space="0" w:color="auto"/>
        <w:left w:val="none" w:sz="0" w:space="0" w:color="auto"/>
        <w:bottom w:val="none" w:sz="0" w:space="0" w:color="auto"/>
        <w:right w:val="none" w:sz="0" w:space="0" w:color="auto"/>
      </w:divBdr>
    </w:div>
    <w:div w:id="1912881508">
      <w:bodyDiv w:val="1"/>
      <w:marLeft w:val="0"/>
      <w:marRight w:val="0"/>
      <w:marTop w:val="0"/>
      <w:marBottom w:val="0"/>
      <w:divBdr>
        <w:top w:val="none" w:sz="0" w:space="0" w:color="auto"/>
        <w:left w:val="none" w:sz="0" w:space="0" w:color="auto"/>
        <w:bottom w:val="none" w:sz="0" w:space="0" w:color="auto"/>
        <w:right w:val="none" w:sz="0" w:space="0" w:color="auto"/>
      </w:divBdr>
      <w:divsChild>
        <w:div w:id="49886698">
          <w:marLeft w:val="547"/>
          <w:marRight w:val="0"/>
          <w:marTop w:val="96"/>
          <w:marBottom w:val="0"/>
          <w:divBdr>
            <w:top w:val="none" w:sz="0" w:space="0" w:color="auto"/>
            <w:left w:val="none" w:sz="0" w:space="0" w:color="auto"/>
            <w:bottom w:val="none" w:sz="0" w:space="0" w:color="auto"/>
            <w:right w:val="none" w:sz="0" w:space="0" w:color="auto"/>
          </w:divBdr>
        </w:div>
        <w:div w:id="457531795">
          <w:marLeft w:val="547"/>
          <w:marRight w:val="0"/>
          <w:marTop w:val="96"/>
          <w:marBottom w:val="0"/>
          <w:divBdr>
            <w:top w:val="none" w:sz="0" w:space="0" w:color="auto"/>
            <w:left w:val="none" w:sz="0" w:space="0" w:color="auto"/>
            <w:bottom w:val="none" w:sz="0" w:space="0" w:color="auto"/>
            <w:right w:val="none" w:sz="0" w:space="0" w:color="auto"/>
          </w:divBdr>
        </w:div>
        <w:div w:id="1013650313">
          <w:marLeft w:val="547"/>
          <w:marRight w:val="0"/>
          <w:marTop w:val="96"/>
          <w:marBottom w:val="0"/>
          <w:divBdr>
            <w:top w:val="none" w:sz="0" w:space="0" w:color="auto"/>
            <w:left w:val="none" w:sz="0" w:space="0" w:color="auto"/>
            <w:bottom w:val="none" w:sz="0" w:space="0" w:color="auto"/>
            <w:right w:val="none" w:sz="0" w:space="0" w:color="auto"/>
          </w:divBdr>
        </w:div>
        <w:div w:id="1325009181">
          <w:marLeft w:val="547"/>
          <w:marRight w:val="0"/>
          <w:marTop w:val="96"/>
          <w:marBottom w:val="0"/>
          <w:divBdr>
            <w:top w:val="none" w:sz="0" w:space="0" w:color="auto"/>
            <w:left w:val="none" w:sz="0" w:space="0" w:color="auto"/>
            <w:bottom w:val="none" w:sz="0" w:space="0" w:color="auto"/>
            <w:right w:val="none" w:sz="0" w:space="0" w:color="auto"/>
          </w:divBdr>
        </w:div>
        <w:div w:id="1730226629">
          <w:marLeft w:val="547"/>
          <w:marRight w:val="0"/>
          <w:marTop w:val="96"/>
          <w:marBottom w:val="0"/>
          <w:divBdr>
            <w:top w:val="none" w:sz="0" w:space="0" w:color="auto"/>
            <w:left w:val="none" w:sz="0" w:space="0" w:color="auto"/>
            <w:bottom w:val="none" w:sz="0" w:space="0" w:color="auto"/>
            <w:right w:val="none" w:sz="0" w:space="0" w:color="auto"/>
          </w:divBdr>
        </w:div>
        <w:div w:id="1878851799">
          <w:marLeft w:val="547"/>
          <w:marRight w:val="0"/>
          <w:marTop w:val="96"/>
          <w:marBottom w:val="0"/>
          <w:divBdr>
            <w:top w:val="none" w:sz="0" w:space="0" w:color="auto"/>
            <w:left w:val="none" w:sz="0" w:space="0" w:color="auto"/>
            <w:bottom w:val="none" w:sz="0" w:space="0" w:color="auto"/>
            <w:right w:val="none" w:sz="0" w:space="0" w:color="auto"/>
          </w:divBdr>
        </w:div>
        <w:div w:id="2120636678">
          <w:marLeft w:val="547"/>
          <w:marRight w:val="0"/>
          <w:marTop w:val="96"/>
          <w:marBottom w:val="0"/>
          <w:divBdr>
            <w:top w:val="none" w:sz="0" w:space="0" w:color="auto"/>
            <w:left w:val="none" w:sz="0" w:space="0" w:color="auto"/>
            <w:bottom w:val="none" w:sz="0" w:space="0" w:color="auto"/>
            <w:right w:val="none" w:sz="0" w:space="0" w:color="auto"/>
          </w:divBdr>
        </w:div>
      </w:divsChild>
    </w:div>
    <w:div w:id="2101095479">
      <w:bodyDiv w:val="1"/>
      <w:marLeft w:val="0"/>
      <w:marRight w:val="0"/>
      <w:marTop w:val="0"/>
      <w:marBottom w:val="0"/>
      <w:divBdr>
        <w:top w:val="none" w:sz="0" w:space="0" w:color="auto"/>
        <w:left w:val="none" w:sz="0" w:space="0" w:color="auto"/>
        <w:bottom w:val="none" w:sz="0" w:space="0" w:color="auto"/>
        <w:right w:val="none" w:sz="0" w:space="0" w:color="auto"/>
      </w:divBdr>
    </w:div>
    <w:div w:id="2136023827">
      <w:bodyDiv w:val="1"/>
      <w:marLeft w:val="0"/>
      <w:marRight w:val="0"/>
      <w:marTop w:val="0"/>
      <w:marBottom w:val="0"/>
      <w:divBdr>
        <w:top w:val="none" w:sz="0" w:space="0" w:color="auto"/>
        <w:left w:val="none" w:sz="0" w:space="0" w:color="auto"/>
        <w:bottom w:val="none" w:sz="0" w:space="0" w:color="auto"/>
        <w:right w:val="none" w:sz="0" w:space="0" w:color="auto"/>
      </w:divBdr>
      <w:divsChild>
        <w:div w:id="277105716">
          <w:marLeft w:val="1296"/>
          <w:marRight w:val="0"/>
          <w:marTop w:val="86"/>
          <w:marBottom w:val="120"/>
          <w:divBdr>
            <w:top w:val="none" w:sz="0" w:space="0" w:color="auto"/>
            <w:left w:val="none" w:sz="0" w:space="0" w:color="auto"/>
            <w:bottom w:val="none" w:sz="0" w:space="0" w:color="auto"/>
            <w:right w:val="none" w:sz="0" w:space="0" w:color="auto"/>
          </w:divBdr>
        </w:div>
        <w:div w:id="2048871613">
          <w:marLeft w:val="1296"/>
          <w:marRight w:val="0"/>
          <w:marTop w:val="86"/>
          <w:marBottom w:val="12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image" Target="media/image8.emf"/><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4.emf"/><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emf"/><Relationship Id="rId5" Type="http://schemas.openxmlformats.org/officeDocument/2006/relationships/numbering" Target="numbering.xml"/><Relationship Id="rId15" Type="http://schemas.openxmlformats.org/officeDocument/2006/relationships/hyperlink" Target="mailto:ourplans@essentialenergy.com.au" TargetMode="External"/><Relationship Id="rId23" Type="http://schemas.openxmlformats.org/officeDocument/2006/relationships/image" Target="media/image10.emf"/><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aer.gov.au" TargetMode="External"/><Relationship Id="rId22" Type="http://schemas.openxmlformats.org/officeDocument/2006/relationships/image" Target="media/image9.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Essential Energy custom colours">
      <a:dk1>
        <a:sysClr val="windowText" lastClr="000000"/>
      </a:dk1>
      <a:lt1>
        <a:sysClr val="window" lastClr="FFFFFF"/>
      </a:lt1>
      <a:dk2>
        <a:srgbClr val="006A71"/>
      </a:dk2>
      <a:lt2>
        <a:srgbClr val="EEECE1"/>
      </a:lt2>
      <a:accent1>
        <a:srgbClr val="006A71"/>
      </a:accent1>
      <a:accent2>
        <a:srgbClr val="F58025"/>
      </a:accent2>
      <a:accent3>
        <a:srgbClr val="CFAB7A"/>
      </a:accent3>
      <a:accent4>
        <a:srgbClr val="807F83"/>
      </a:accent4>
      <a:accent5>
        <a:srgbClr val="5D87A1"/>
      </a:accent5>
      <a:accent6>
        <a:srgbClr val="FFD200"/>
      </a:accent6>
      <a:hlink>
        <a:srgbClr val="A30046"/>
      </a:hlink>
      <a:folHlink>
        <a:srgbClr val="781D7E"/>
      </a:folHlink>
    </a:clrScheme>
    <a:fontScheme name="Essential Energ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33132D61587040A804559435FD5C4B" ma:contentTypeVersion="0" ma:contentTypeDescription="Create a new document." ma:contentTypeScope="" ma:versionID="2edb67e925a2c5359a6842ca49f4b29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697C4-34C8-4FF3-8843-8B7B51D5CC2B}">
  <ds:schemaRefs>
    <ds:schemaRef ds:uri="http://schemas.microsoft.com/sharepoint/v3/contenttype/forms"/>
  </ds:schemaRefs>
</ds:datastoreItem>
</file>

<file path=customXml/itemProps2.xml><?xml version="1.0" encoding="utf-8"?>
<ds:datastoreItem xmlns:ds="http://schemas.openxmlformats.org/officeDocument/2006/customXml" ds:itemID="{C77F6AF3-57E6-45C4-B42C-3F3E035BCB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B0A3943-F878-4629-811E-6BE335E74DF5}">
  <ds:schemaRefs>
    <ds:schemaRef ds:uri="http://schemas.microsoft.com/office/2006/documentManagement/types"/>
    <ds:schemaRef ds:uri="http://purl.org/dc/elements/1.1/"/>
    <ds:schemaRef ds:uri="http://purl.org/dc/dcmitype/"/>
    <ds:schemaRef ds:uri="http://purl.org/dc/terms/"/>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A67FB7BB-67B8-4DA1-A530-A952F36E5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C58E6E4E</Template>
  <TotalTime>3</TotalTime>
  <Pages>27</Pages>
  <Words>9496</Words>
  <Characters>56368</Characters>
  <Application>Microsoft Office Word</Application>
  <DocSecurity>0</DocSecurity>
  <Lines>469</Lines>
  <Paragraphs>131</Paragraphs>
  <ScaleCrop>false</ScaleCrop>
  <HeadingPairs>
    <vt:vector size="2" baseType="variant">
      <vt:variant>
        <vt:lpstr>Title</vt:lpstr>
      </vt:variant>
      <vt:variant>
        <vt:i4>1</vt:i4>
      </vt:variant>
    </vt:vector>
  </HeadingPairs>
  <TitlesOfParts>
    <vt:vector size="1" baseType="lpstr">
      <vt:lpstr>General External</vt:lpstr>
    </vt:vector>
  </TitlesOfParts>
  <Company>Essential Energy</Company>
  <LinksUpToDate>false</LinksUpToDate>
  <CharactersWithSpaces>65733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External</dc:title>
  <dc:creator>Catherine Gordon</dc:creator>
  <cp:lastModifiedBy>Michel, Ingrid</cp:lastModifiedBy>
  <cp:revision>5</cp:revision>
  <cp:lastPrinted>2017-02-24T01:24:00Z</cp:lastPrinted>
  <dcterms:created xsi:type="dcterms:W3CDTF">2017-02-23T04:05:00Z</dcterms:created>
  <dcterms:modified xsi:type="dcterms:W3CDTF">2017-02-24T01:26:00Z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0x0101000B33132D61587040A804559435FD5C4B</vt:lpwstr>
  </property>
</Properties>
</file>