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6F" w:rsidRDefault="005B62CC">
      <w:pPr>
        <w:pStyle w:val="AERdraftfinalminortitle"/>
        <w:tabs>
          <w:tab w:val="left" w:pos="272"/>
          <w:tab w:val="center" w:pos="4156"/>
        </w:tabs>
        <w:jc w:val="left"/>
      </w:pPr>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0pt;margin-top:-81pt;width:601pt;height:855pt;z-index:-251658752">
            <v:imagedata r:id="rId8" o:title="AER-final-orange"/>
          </v:shape>
        </w:pict>
      </w:r>
      <w:r w:rsidR="0089506F">
        <w:tab/>
      </w:r>
      <w:r w:rsidR="0089506F">
        <w:tab/>
      </w:r>
      <w:r w:rsidR="00C07C2D">
        <w:t>Report</w:t>
      </w:r>
    </w:p>
    <w:p w:rsidR="0089506F" w:rsidRDefault="00C07C2D">
      <w:pPr>
        <w:pStyle w:val="Title"/>
      </w:pPr>
      <w:r>
        <w:t xml:space="preserve">RoLR </w:t>
      </w:r>
      <w:r w:rsidR="00E626C6">
        <w:t xml:space="preserve">public </w:t>
      </w:r>
      <w:r>
        <w:t>exercise</w:t>
      </w:r>
      <w:r w:rsidR="00A81280">
        <w:t xml:space="preserve"> </w:t>
      </w:r>
      <w:r w:rsidR="00E626C6">
        <w:t xml:space="preserve">conduct </w:t>
      </w:r>
      <w:r w:rsidR="00A81280">
        <w:t>report</w:t>
      </w:r>
      <w:r w:rsidR="00E626C6">
        <w:t xml:space="preserve">                 21 October 2013</w:t>
      </w:r>
      <w:r w:rsidR="0089506F">
        <w:br w:type="textWrapping" w:clear="all"/>
      </w:r>
    </w:p>
    <w:p w:rsidR="0089506F" w:rsidRDefault="00684532">
      <w:pPr>
        <w:pStyle w:val="Subtitle"/>
      </w:pPr>
      <w:r>
        <w:t>19</w:t>
      </w:r>
      <w:r w:rsidR="00A51358" w:rsidRPr="00E626C6">
        <w:t xml:space="preserve"> November </w:t>
      </w:r>
      <w:r w:rsidR="001B5749" w:rsidRPr="00E626C6">
        <w:t>2013</w:t>
      </w:r>
    </w:p>
    <w:p w:rsidR="0089506F" w:rsidRDefault="0089506F">
      <w:pPr>
        <w:pStyle w:val="Subtitle"/>
        <w:rPr>
          <w:szCs w:val="28"/>
        </w:rPr>
      </w:pPr>
    </w:p>
    <w:p w:rsidR="0089506F" w:rsidRDefault="0089506F">
      <w:pPr>
        <w:pStyle w:val="AERbodytext"/>
      </w:pPr>
    </w:p>
    <w:p w:rsidR="0089506F" w:rsidRDefault="0089506F">
      <w:pPr>
        <w:pStyle w:val="AERbodytext"/>
        <w:sectPr w:rsidR="0089506F" w:rsidSect="00132900">
          <w:footerReference w:type="even" r:id="rId9"/>
          <w:footerReference w:type="default" r:id="rId10"/>
          <w:pgSz w:w="11906" w:h="16838"/>
          <w:pgMar w:top="1440" w:right="1800" w:bottom="1440" w:left="1800" w:header="708" w:footer="708" w:gutter="0"/>
          <w:cols w:space="708"/>
          <w:titlePg/>
          <w:docGrid w:linePitch="360"/>
        </w:sectPr>
      </w:pPr>
    </w:p>
    <w:p w:rsidR="0089506F" w:rsidRDefault="00962BB0">
      <w:pPr>
        <w:pStyle w:val="AERcopyrighttext"/>
      </w:pPr>
      <w:r>
        <w:lastRenderedPageBreak/>
        <w:t>© Commonwealth of Australia 20</w:t>
      </w:r>
      <w:r w:rsidR="001B5749">
        <w:t>13</w:t>
      </w:r>
      <w:r w:rsidR="0089506F">
        <w:t xml:space="preserve"> </w:t>
      </w:r>
    </w:p>
    <w:p w:rsidR="0089506F" w:rsidRDefault="0089506F">
      <w:pPr>
        <w:pStyle w:val="AERcopyrighttext"/>
      </w:pPr>
      <w:r>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proofErr w:type="gramStart"/>
      <w:r>
        <w:t>Canberra  ACT</w:t>
      </w:r>
      <w:proofErr w:type="gramEnd"/>
      <w:r>
        <w:t xml:space="preserve">  2601.</w:t>
      </w:r>
    </w:p>
    <w:p w:rsidR="0089506F" w:rsidRDefault="0089506F">
      <w:pPr>
        <w:pStyle w:val="AERbodytext"/>
      </w:pPr>
      <w:r>
        <w:t>Inquiries about th</w:t>
      </w:r>
      <w:r w:rsidR="001B5749">
        <w:t xml:space="preserve">is report </w:t>
      </w:r>
      <w:r>
        <w:t>should be addressed to:</w:t>
      </w:r>
    </w:p>
    <w:p w:rsidR="0089506F" w:rsidRDefault="0089506F">
      <w:pPr>
        <w:pStyle w:val="AERbodytext"/>
      </w:pPr>
      <w:r>
        <w:t>Australian Energy Regulator</w:t>
      </w:r>
      <w:r>
        <w:br w:type="textWrapping" w:clear="all"/>
        <w:t>GPO Box 520</w:t>
      </w:r>
      <w:r>
        <w:br w:type="textWrapping" w:clear="all"/>
      </w:r>
      <w:proofErr w:type="gramStart"/>
      <w:r>
        <w:t>Melbourne  Vic</w:t>
      </w:r>
      <w:proofErr w:type="gramEnd"/>
      <w:r>
        <w:t xml:space="preserve">  3001</w:t>
      </w:r>
    </w:p>
    <w:p w:rsidR="0089506F" w:rsidRDefault="0089506F">
      <w:pPr>
        <w:pStyle w:val="AERbodytext"/>
      </w:pPr>
      <w:r>
        <w:t>Tel: (03) 9290 1444</w:t>
      </w:r>
      <w:r>
        <w:br w:type="textWrapping" w:clear="all"/>
        <w:t>Fax: (03) 9290 1457</w:t>
      </w:r>
      <w:r>
        <w:br w:type="textWrapping" w:clear="all"/>
        <w:t>Email: AERInquiry@aer.gov.au</w:t>
      </w:r>
    </w:p>
    <w:p w:rsidR="0089506F" w:rsidRDefault="0089506F">
      <w:pPr>
        <w:pStyle w:val="AERbodytext"/>
      </w:pPr>
    </w:p>
    <w:p w:rsidR="0089506F" w:rsidRDefault="0089506F">
      <w:pPr>
        <w:pStyle w:val="AERbodytext"/>
        <w:sectPr w:rsidR="0089506F" w:rsidSect="00132900">
          <w:pgSz w:w="11906" w:h="16838"/>
          <w:pgMar w:top="1440" w:right="1800" w:bottom="1440" w:left="1800" w:header="708" w:footer="708" w:gutter="0"/>
          <w:pgNumType w:fmt="lowerRoman" w:start="2"/>
          <w:cols w:space="708"/>
          <w:titlePg/>
          <w:docGrid w:linePitch="360"/>
        </w:sectPr>
      </w:pPr>
    </w:p>
    <w:p w:rsidR="0089506F" w:rsidRDefault="0089506F">
      <w:pPr>
        <w:pStyle w:val="AERbodytext"/>
        <w:rPr>
          <w:rFonts w:ascii="Arial" w:hAnsi="Arial" w:cs="Arial"/>
          <w:b/>
          <w:sz w:val="28"/>
          <w:szCs w:val="28"/>
        </w:rPr>
      </w:pPr>
      <w:r>
        <w:rPr>
          <w:rFonts w:ascii="Arial" w:hAnsi="Arial" w:cs="Arial"/>
          <w:b/>
          <w:sz w:val="28"/>
          <w:szCs w:val="28"/>
        </w:rPr>
        <w:lastRenderedPageBreak/>
        <w:t xml:space="preserve">Contents </w:t>
      </w:r>
    </w:p>
    <w:p w:rsidR="00BD0FA8" w:rsidRDefault="0089506F">
      <w:pPr>
        <w:pStyle w:val="TOC1"/>
        <w:rPr>
          <w:rFonts w:asciiTheme="minorHAnsi" w:eastAsiaTheme="minorEastAsia" w:hAnsiTheme="minorHAnsi" w:cstheme="minorBidi"/>
          <w:b w:val="0"/>
          <w:sz w:val="22"/>
          <w:szCs w:val="22"/>
          <w:lang w:eastAsia="en-AU"/>
        </w:rPr>
      </w:pPr>
      <w:r>
        <w:fldChar w:fldCharType="begin"/>
      </w:r>
      <w:r>
        <w:instrText xml:space="preserve"> TOC \o "1-1" \h \z \t "Heading 2,2,Heading 3,3,AER heading 2,2,AER heading 3,3" </w:instrText>
      </w:r>
      <w:r>
        <w:fldChar w:fldCharType="separate"/>
      </w:r>
      <w:hyperlink w:anchor="_Toc371945770" w:history="1">
        <w:r w:rsidR="00BD0FA8" w:rsidRPr="00C17653">
          <w:rPr>
            <w:rStyle w:val="Hyperlink"/>
          </w:rPr>
          <w:t>1</w:t>
        </w:r>
        <w:r w:rsidR="00BD0FA8">
          <w:rPr>
            <w:rFonts w:asciiTheme="minorHAnsi" w:eastAsiaTheme="minorEastAsia" w:hAnsiTheme="minorHAnsi" w:cstheme="minorBidi"/>
            <w:b w:val="0"/>
            <w:sz w:val="22"/>
            <w:szCs w:val="22"/>
            <w:lang w:eastAsia="en-AU"/>
          </w:rPr>
          <w:tab/>
        </w:r>
        <w:r w:rsidR="00BD0FA8" w:rsidRPr="00C17653">
          <w:rPr>
            <w:rStyle w:val="Hyperlink"/>
          </w:rPr>
          <w:t>RoLR Exercise Report</w:t>
        </w:r>
        <w:r w:rsidR="00BD0FA8">
          <w:rPr>
            <w:webHidden/>
          </w:rPr>
          <w:tab/>
        </w:r>
        <w:r w:rsidR="00BD0FA8">
          <w:rPr>
            <w:webHidden/>
          </w:rPr>
          <w:fldChar w:fldCharType="begin"/>
        </w:r>
        <w:r w:rsidR="00BD0FA8">
          <w:rPr>
            <w:webHidden/>
          </w:rPr>
          <w:instrText xml:space="preserve"> PAGEREF _Toc371945770 \h </w:instrText>
        </w:r>
        <w:r w:rsidR="00BD0FA8">
          <w:rPr>
            <w:webHidden/>
          </w:rPr>
        </w:r>
        <w:r w:rsidR="00BD0FA8">
          <w:rPr>
            <w:webHidden/>
          </w:rPr>
          <w:fldChar w:fldCharType="separate"/>
        </w:r>
        <w:r w:rsidR="00BD0FA8">
          <w:rPr>
            <w:webHidden/>
          </w:rPr>
          <w:t>1</w:t>
        </w:r>
        <w:r w:rsidR="00BD0FA8">
          <w:rPr>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71" w:history="1">
        <w:r w:rsidR="00BD0FA8" w:rsidRPr="00C17653">
          <w:rPr>
            <w:rStyle w:val="Hyperlink"/>
          </w:rPr>
          <w:t>1.1</w:t>
        </w:r>
        <w:r w:rsidR="00BD0FA8">
          <w:rPr>
            <w:rFonts w:asciiTheme="minorHAnsi" w:eastAsiaTheme="minorEastAsia" w:hAnsiTheme="minorHAnsi" w:cstheme="minorBidi"/>
            <w:sz w:val="22"/>
            <w:szCs w:val="22"/>
            <w:lang w:eastAsia="en-AU"/>
          </w:rPr>
          <w:tab/>
        </w:r>
        <w:r w:rsidR="00BD0FA8" w:rsidRPr="00C17653">
          <w:rPr>
            <w:rStyle w:val="Hyperlink"/>
          </w:rPr>
          <w:t>Summary</w:t>
        </w:r>
        <w:r w:rsidR="00BD0FA8">
          <w:rPr>
            <w:webHidden/>
          </w:rPr>
          <w:tab/>
        </w:r>
        <w:r w:rsidR="00BD0FA8">
          <w:rPr>
            <w:webHidden/>
          </w:rPr>
          <w:fldChar w:fldCharType="begin"/>
        </w:r>
        <w:r w:rsidR="00BD0FA8">
          <w:rPr>
            <w:webHidden/>
          </w:rPr>
          <w:instrText xml:space="preserve"> PAGEREF _Toc371945771 \h </w:instrText>
        </w:r>
        <w:r w:rsidR="00BD0FA8">
          <w:rPr>
            <w:webHidden/>
          </w:rPr>
        </w:r>
        <w:r w:rsidR="00BD0FA8">
          <w:rPr>
            <w:webHidden/>
          </w:rPr>
          <w:fldChar w:fldCharType="separate"/>
        </w:r>
        <w:r w:rsidR="00BD0FA8">
          <w:rPr>
            <w:webHidden/>
          </w:rPr>
          <w:t>1</w:t>
        </w:r>
        <w:r w:rsidR="00BD0FA8">
          <w:rPr>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72" w:history="1">
        <w:r w:rsidR="00BD0FA8" w:rsidRPr="00C17653">
          <w:rPr>
            <w:rStyle w:val="Hyperlink"/>
          </w:rPr>
          <w:t>1.2</w:t>
        </w:r>
        <w:r w:rsidR="00BD0FA8">
          <w:rPr>
            <w:rFonts w:asciiTheme="minorHAnsi" w:eastAsiaTheme="minorEastAsia" w:hAnsiTheme="minorHAnsi" w:cstheme="minorBidi"/>
            <w:sz w:val="22"/>
            <w:szCs w:val="22"/>
            <w:lang w:eastAsia="en-AU"/>
          </w:rPr>
          <w:tab/>
        </w:r>
        <w:r w:rsidR="00BD0FA8" w:rsidRPr="00C17653">
          <w:rPr>
            <w:rStyle w:val="Hyperlink"/>
          </w:rPr>
          <w:t>RoLR exercise details</w:t>
        </w:r>
        <w:r w:rsidR="00BD0FA8">
          <w:rPr>
            <w:webHidden/>
          </w:rPr>
          <w:tab/>
        </w:r>
        <w:r w:rsidR="00BD0FA8">
          <w:rPr>
            <w:webHidden/>
          </w:rPr>
          <w:fldChar w:fldCharType="begin"/>
        </w:r>
        <w:r w:rsidR="00BD0FA8">
          <w:rPr>
            <w:webHidden/>
          </w:rPr>
          <w:instrText xml:space="preserve"> PAGEREF _Toc371945772 \h </w:instrText>
        </w:r>
        <w:r w:rsidR="00BD0FA8">
          <w:rPr>
            <w:webHidden/>
          </w:rPr>
        </w:r>
        <w:r w:rsidR="00BD0FA8">
          <w:rPr>
            <w:webHidden/>
          </w:rPr>
          <w:fldChar w:fldCharType="separate"/>
        </w:r>
        <w:r w:rsidR="00BD0FA8">
          <w:rPr>
            <w:webHidden/>
          </w:rPr>
          <w:t>1</w:t>
        </w:r>
        <w:r w:rsidR="00BD0FA8">
          <w:rPr>
            <w:webHidden/>
          </w:rPr>
          <w:fldChar w:fldCharType="end"/>
        </w:r>
      </w:hyperlink>
    </w:p>
    <w:p w:rsidR="00BD0FA8" w:rsidRDefault="005B62CC">
      <w:pPr>
        <w:pStyle w:val="TOC3"/>
        <w:rPr>
          <w:rFonts w:asciiTheme="minorHAnsi" w:eastAsiaTheme="minorEastAsia" w:hAnsiTheme="minorHAnsi" w:cstheme="minorBidi"/>
          <w:noProof/>
          <w:sz w:val="22"/>
          <w:szCs w:val="22"/>
          <w:lang w:eastAsia="en-AU"/>
        </w:rPr>
      </w:pPr>
      <w:hyperlink w:anchor="_Toc371945773" w:history="1">
        <w:r w:rsidR="00BD0FA8" w:rsidRPr="00C17653">
          <w:rPr>
            <w:rStyle w:val="Hyperlink"/>
            <w:noProof/>
          </w:rPr>
          <w:t>1.2.1</w:t>
        </w:r>
        <w:r w:rsidR="00BD0FA8">
          <w:rPr>
            <w:rFonts w:asciiTheme="minorHAnsi" w:eastAsiaTheme="minorEastAsia" w:hAnsiTheme="minorHAnsi" w:cstheme="minorBidi"/>
            <w:noProof/>
            <w:sz w:val="22"/>
            <w:szCs w:val="22"/>
            <w:lang w:eastAsia="en-AU"/>
          </w:rPr>
          <w:tab/>
        </w:r>
        <w:r w:rsidR="00BD0FA8" w:rsidRPr="00C17653">
          <w:rPr>
            <w:rStyle w:val="Hyperlink"/>
            <w:noProof/>
          </w:rPr>
          <w:t>Venue</w:t>
        </w:r>
        <w:r w:rsidR="00BD0FA8">
          <w:rPr>
            <w:noProof/>
            <w:webHidden/>
          </w:rPr>
          <w:tab/>
        </w:r>
        <w:r w:rsidR="00BD0FA8">
          <w:rPr>
            <w:noProof/>
            <w:webHidden/>
          </w:rPr>
          <w:fldChar w:fldCharType="begin"/>
        </w:r>
        <w:r w:rsidR="00BD0FA8">
          <w:rPr>
            <w:noProof/>
            <w:webHidden/>
          </w:rPr>
          <w:instrText xml:space="preserve"> PAGEREF _Toc371945773 \h </w:instrText>
        </w:r>
        <w:r w:rsidR="00BD0FA8">
          <w:rPr>
            <w:noProof/>
            <w:webHidden/>
          </w:rPr>
        </w:r>
        <w:r w:rsidR="00BD0FA8">
          <w:rPr>
            <w:noProof/>
            <w:webHidden/>
          </w:rPr>
          <w:fldChar w:fldCharType="separate"/>
        </w:r>
        <w:r w:rsidR="00BD0FA8">
          <w:rPr>
            <w:noProof/>
            <w:webHidden/>
          </w:rPr>
          <w:t>1</w:t>
        </w:r>
        <w:r w:rsidR="00BD0FA8">
          <w:rPr>
            <w:noProof/>
            <w:webHidden/>
          </w:rPr>
          <w:fldChar w:fldCharType="end"/>
        </w:r>
      </w:hyperlink>
    </w:p>
    <w:p w:rsidR="00BD0FA8" w:rsidRDefault="005B62CC">
      <w:pPr>
        <w:pStyle w:val="TOC3"/>
        <w:rPr>
          <w:rFonts w:asciiTheme="minorHAnsi" w:eastAsiaTheme="minorEastAsia" w:hAnsiTheme="minorHAnsi" w:cstheme="minorBidi"/>
          <w:noProof/>
          <w:sz w:val="22"/>
          <w:szCs w:val="22"/>
          <w:lang w:eastAsia="en-AU"/>
        </w:rPr>
      </w:pPr>
      <w:hyperlink w:anchor="_Toc371945774" w:history="1">
        <w:r w:rsidR="00BD0FA8" w:rsidRPr="00C17653">
          <w:rPr>
            <w:rStyle w:val="Hyperlink"/>
            <w:noProof/>
          </w:rPr>
          <w:t>1.2.2</w:t>
        </w:r>
        <w:r w:rsidR="00BD0FA8">
          <w:rPr>
            <w:rFonts w:asciiTheme="minorHAnsi" w:eastAsiaTheme="minorEastAsia" w:hAnsiTheme="minorHAnsi" w:cstheme="minorBidi"/>
            <w:noProof/>
            <w:sz w:val="22"/>
            <w:szCs w:val="22"/>
            <w:lang w:eastAsia="en-AU"/>
          </w:rPr>
          <w:tab/>
        </w:r>
        <w:r w:rsidR="00BD0FA8" w:rsidRPr="00C17653">
          <w:rPr>
            <w:rStyle w:val="Hyperlink"/>
            <w:noProof/>
          </w:rPr>
          <w:t>Attendees</w:t>
        </w:r>
        <w:r w:rsidR="00BD0FA8">
          <w:rPr>
            <w:noProof/>
            <w:webHidden/>
          </w:rPr>
          <w:tab/>
        </w:r>
        <w:r w:rsidR="00BD0FA8">
          <w:rPr>
            <w:noProof/>
            <w:webHidden/>
          </w:rPr>
          <w:fldChar w:fldCharType="begin"/>
        </w:r>
        <w:r w:rsidR="00BD0FA8">
          <w:rPr>
            <w:noProof/>
            <w:webHidden/>
          </w:rPr>
          <w:instrText xml:space="preserve"> PAGEREF _Toc371945774 \h </w:instrText>
        </w:r>
        <w:r w:rsidR="00BD0FA8">
          <w:rPr>
            <w:noProof/>
            <w:webHidden/>
          </w:rPr>
        </w:r>
        <w:r w:rsidR="00BD0FA8">
          <w:rPr>
            <w:noProof/>
            <w:webHidden/>
          </w:rPr>
          <w:fldChar w:fldCharType="separate"/>
        </w:r>
        <w:r w:rsidR="00BD0FA8">
          <w:rPr>
            <w:noProof/>
            <w:webHidden/>
          </w:rPr>
          <w:t>2</w:t>
        </w:r>
        <w:r w:rsidR="00BD0FA8">
          <w:rPr>
            <w:noProof/>
            <w:webHidden/>
          </w:rPr>
          <w:fldChar w:fldCharType="end"/>
        </w:r>
      </w:hyperlink>
    </w:p>
    <w:p w:rsidR="00BD0FA8" w:rsidRDefault="005B62CC">
      <w:pPr>
        <w:pStyle w:val="TOC3"/>
        <w:rPr>
          <w:rFonts w:asciiTheme="minorHAnsi" w:eastAsiaTheme="minorEastAsia" w:hAnsiTheme="minorHAnsi" w:cstheme="minorBidi"/>
          <w:noProof/>
          <w:sz w:val="22"/>
          <w:szCs w:val="22"/>
          <w:lang w:eastAsia="en-AU"/>
        </w:rPr>
      </w:pPr>
      <w:hyperlink w:anchor="_Toc371945775" w:history="1">
        <w:r w:rsidR="00BD0FA8" w:rsidRPr="00C17653">
          <w:rPr>
            <w:rStyle w:val="Hyperlink"/>
            <w:noProof/>
          </w:rPr>
          <w:t>1.2.3</w:t>
        </w:r>
        <w:r w:rsidR="00BD0FA8">
          <w:rPr>
            <w:rFonts w:asciiTheme="minorHAnsi" w:eastAsiaTheme="minorEastAsia" w:hAnsiTheme="minorHAnsi" w:cstheme="minorBidi"/>
            <w:noProof/>
            <w:sz w:val="22"/>
            <w:szCs w:val="22"/>
            <w:lang w:eastAsia="en-AU"/>
          </w:rPr>
          <w:tab/>
        </w:r>
        <w:r w:rsidR="00BD0FA8" w:rsidRPr="00C17653">
          <w:rPr>
            <w:rStyle w:val="Hyperlink"/>
            <w:noProof/>
          </w:rPr>
          <w:t>Purpose</w:t>
        </w:r>
        <w:r w:rsidR="00BD0FA8">
          <w:rPr>
            <w:noProof/>
            <w:webHidden/>
          </w:rPr>
          <w:tab/>
        </w:r>
        <w:r w:rsidR="00BD0FA8">
          <w:rPr>
            <w:noProof/>
            <w:webHidden/>
          </w:rPr>
          <w:fldChar w:fldCharType="begin"/>
        </w:r>
        <w:r w:rsidR="00BD0FA8">
          <w:rPr>
            <w:noProof/>
            <w:webHidden/>
          </w:rPr>
          <w:instrText xml:space="preserve"> PAGEREF _Toc371945775 \h </w:instrText>
        </w:r>
        <w:r w:rsidR="00BD0FA8">
          <w:rPr>
            <w:noProof/>
            <w:webHidden/>
          </w:rPr>
        </w:r>
        <w:r w:rsidR="00BD0FA8">
          <w:rPr>
            <w:noProof/>
            <w:webHidden/>
          </w:rPr>
          <w:fldChar w:fldCharType="separate"/>
        </w:r>
        <w:r w:rsidR="00BD0FA8">
          <w:rPr>
            <w:noProof/>
            <w:webHidden/>
          </w:rPr>
          <w:t>2</w:t>
        </w:r>
        <w:r w:rsidR="00BD0FA8">
          <w:rPr>
            <w:noProof/>
            <w:webHidden/>
          </w:rPr>
          <w:fldChar w:fldCharType="end"/>
        </w:r>
      </w:hyperlink>
    </w:p>
    <w:p w:rsidR="00BD0FA8" w:rsidRDefault="005B62CC">
      <w:pPr>
        <w:pStyle w:val="TOC3"/>
        <w:rPr>
          <w:rFonts w:asciiTheme="minorHAnsi" w:eastAsiaTheme="minorEastAsia" w:hAnsiTheme="minorHAnsi" w:cstheme="minorBidi"/>
          <w:noProof/>
          <w:sz w:val="22"/>
          <w:szCs w:val="22"/>
          <w:lang w:eastAsia="en-AU"/>
        </w:rPr>
      </w:pPr>
      <w:hyperlink w:anchor="_Toc371945776" w:history="1">
        <w:r w:rsidR="00BD0FA8" w:rsidRPr="00C17653">
          <w:rPr>
            <w:rStyle w:val="Hyperlink"/>
            <w:noProof/>
          </w:rPr>
          <w:t>1.2.4</w:t>
        </w:r>
        <w:r w:rsidR="00BD0FA8">
          <w:rPr>
            <w:rFonts w:asciiTheme="minorHAnsi" w:eastAsiaTheme="minorEastAsia" w:hAnsiTheme="minorHAnsi" w:cstheme="minorBidi"/>
            <w:noProof/>
            <w:sz w:val="22"/>
            <w:szCs w:val="22"/>
            <w:lang w:eastAsia="en-AU"/>
          </w:rPr>
          <w:tab/>
        </w:r>
        <w:r w:rsidR="00BD0FA8" w:rsidRPr="00C17653">
          <w:rPr>
            <w:rStyle w:val="Hyperlink"/>
            <w:noProof/>
          </w:rPr>
          <w:t>Scenario</w:t>
        </w:r>
        <w:r w:rsidR="00BD0FA8">
          <w:rPr>
            <w:noProof/>
            <w:webHidden/>
          </w:rPr>
          <w:tab/>
        </w:r>
        <w:r w:rsidR="00BD0FA8">
          <w:rPr>
            <w:noProof/>
            <w:webHidden/>
          </w:rPr>
          <w:fldChar w:fldCharType="begin"/>
        </w:r>
        <w:r w:rsidR="00BD0FA8">
          <w:rPr>
            <w:noProof/>
            <w:webHidden/>
          </w:rPr>
          <w:instrText xml:space="preserve"> PAGEREF _Toc371945776 \h </w:instrText>
        </w:r>
        <w:r w:rsidR="00BD0FA8">
          <w:rPr>
            <w:noProof/>
            <w:webHidden/>
          </w:rPr>
        </w:r>
        <w:r w:rsidR="00BD0FA8">
          <w:rPr>
            <w:noProof/>
            <w:webHidden/>
          </w:rPr>
          <w:fldChar w:fldCharType="separate"/>
        </w:r>
        <w:r w:rsidR="00BD0FA8">
          <w:rPr>
            <w:noProof/>
            <w:webHidden/>
          </w:rPr>
          <w:t>2</w:t>
        </w:r>
        <w:r w:rsidR="00BD0FA8">
          <w:rPr>
            <w:noProof/>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77" w:history="1">
        <w:r w:rsidR="00BD0FA8" w:rsidRPr="00C17653">
          <w:rPr>
            <w:rStyle w:val="Hyperlink"/>
          </w:rPr>
          <w:t>1.3</w:t>
        </w:r>
        <w:r w:rsidR="00BD0FA8">
          <w:rPr>
            <w:rFonts w:asciiTheme="minorHAnsi" w:eastAsiaTheme="minorEastAsia" w:hAnsiTheme="minorHAnsi" w:cstheme="minorBidi"/>
            <w:sz w:val="22"/>
            <w:szCs w:val="22"/>
            <w:lang w:eastAsia="en-AU"/>
          </w:rPr>
          <w:tab/>
        </w:r>
        <w:r w:rsidR="00BD0FA8" w:rsidRPr="00C17653">
          <w:rPr>
            <w:rStyle w:val="Hyperlink"/>
          </w:rPr>
          <w:t>Key matters addressed</w:t>
        </w:r>
        <w:r w:rsidR="00BD0FA8">
          <w:rPr>
            <w:webHidden/>
          </w:rPr>
          <w:tab/>
        </w:r>
        <w:r w:rsidR="00BD0FA8">
          <w:rPr>
            <w:webHidden/>
          </w:rPr>
          <w:fldChar w:fldCharType="begin"/>
        </w:r>
        <w:r w:rsidR="00BD0FA8">
          <w:rPr>
            <w:webHidden/>
          </w:rPr>
          <w:instrText xml:space="preserve"> PAGEREF _Toc371945777 \h </w:instrText>
        </w:r>
        <w:r w:rsidR="00BD0FA8">
          <w:rPr>
            <w:webHidden/>
          </w:rPr>
        </w:r>
        <w:r w:rsidR="00BD0FA8">
          <w:rPr>
            <w:webHidden/>
          </w:rPr>
          <w:fldChar w:fldCharType="separate"/>
        </w:r>
        <w:r w:rsidR="00BD0FA8">
          <w:rPr>
            <w:webHidden/>
          </w:rPr>
          <w:t>2</w:t>
        </w:r>
        <w:r w:rsidR="00BD0FA8">
          <w:rPr>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78" w:history="1">
        <w:r w:rsidR="00BD0FA8" w:rsidRPr="00C17653">
          <w:rPr>
            <w:rStyle w:val="Hyperlink"/>
          </w:rPr>
          <w:t>1.4</w:t>
        </w:r>
        <w:r w:rsidR="00BD0FA8">
          <w:rPr>
            <w:rFonts w:asciiTheme="minorHAnsi" w:eastAsiaTheme="minorEastAsia" w:hAnsiTheme="minorHAnsi" w:cstheme="minorBidi"/>
            <w:sz w:val="22"/>
            <w:szCs w:val="22"/>
            <w:lang w:eastAsia="en-AU"/>
          </w:rPr>
          <w:tab/>
        </w:r>
        <w:r w:rsidR="00BD0FA8" w:rsidRPr="00C17653">
          <w:rPr>
            <w:rStyle w:val="Hyperlink"/>
          </w:rPr>
          <w:t>Key discussion topics and questions</w:t>
        </w:r>
        <w:r w:rsidR="00BD0FA8">
          <w:rPr>
            <w:webHidden/>
          </w:rPr>
          <w:tab/>
        </w:r>
        <w:r w:rsidR="00BD0FA8">
          <w:rPr>
            <w:webHidden/>
          </w:rPr>
          <w:fldChar w:fldCharType="begin"/>
        </w:r>
        <w:r w:rsidR="00BD0FA8">
          <w:rPr>
            <w:webHidden/>
          </w:rPr>
          <w:instrText xml:space="preserve"> PAGEREF _Toc371945778 \h </w:instrText>
        </w:r>
        <w:r w:rsidR="00BD0FA8">
          <w:rPr>
            <w:webHidden/>
          </w:rPr>
        </w:r>
        <w:r w:rsidR="00BD0FA8">
          <w:rPr>
            <w:webHidden/>
          </w:rPr>
          <w:fldChar w:fldCharType="separate"/>
        </w:r>
        <w:r w:rsidR="00BD0FA8">
          <w:rPr>
            <w:webHidden/>
          </w:rPr>
          <w:t>3</w:t>
        </w:r>
        <w:r w:rsidR="00BD0FA8">
          <w:rPr>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79" w:history="1">
        <w:r w:rsidR="00BD0FA8" w:rsidRPr="00C17653">
          <w:rPr>
            <w:rStyle w:val="Hyperlink"/>
          </w:rPr>
          <w:t>1.5</w:t>
        </w:r>
        <w:r w:rsidR="00BD0FA8">
          <w:rPr>
            <w:rFonts w:asciiTheme="minorHAnsi" w:eastAsiaTheme="minorEastAsia" w:hAnsiTheme="minorHAnsi" w:cstheme="minorBidi"/>
            <w:sz w:val="22"/>
            <w:szCs w:val="22"/>
            <w:lang w:eastAsia="en-AU"/>
          </w:rPr>
          <w:tab/>
        </w:r>
        <w:r w:rsidR="00BD0FA8" w:rsidRPr="00C17653">
          <w:rPr>
            <w:rStyle w:val="Hyperlink"/>
          </w:rPr>
          <w:t>Conclusion</w:t>
        </w:r>
        <w:r w:rsidR="00BD0FA8">
          <w:rPr>
            <w:webHidden/>
          </w:rPr>
          <w:tab/>
        </w:r>
        <w:r w:rsidR="00BD0FA8">
          <w:rPr>
            <w:webHidden/>
          </w:rPr>
          <w:fldChar w:fldCharType="begin"/>
        </w:r>
        <w:r w:rsidR="00BD0FA8">
          <w:rPr>
            <w:webHidden/>
          </w:rPr>
          <w:instrText xml:space="preserve"> PAGEREF _Toc371945779 \h </w:instrText>
        </w:r>
        <w:r w:rsidR="00BD0FA8">
          <w:rPr>
            <w:webHidden/>
          </w:rPr>
        </w:r>
        <w:r w:rsidR="00BD0FA8">
          <w:rPr>
            <w:webHidden/>
          </w:rPr>
          <w:fldChar w:fldCharType="separate"/>
        </w:r>
        <w:r w:rsidR="00BD0FA8">
          <w:rPr>
            <w:webHidden/>
          </w:rPr>
          <w:t>6</w:t>
        </w:r>
        <w:r w:rsidR="00BD0FA8">
          <w:rPr>
            <w:webHidden/>
          </w:rPr>
          <w:fldChar w:fldCharType="end"/>
        </w:r>
      </w:hyperlink>
    </w:p>
    <w:p w:rsidR="00BD0FA8" w:rsidRDefault="005B62CC">
      <w:pPr>
        <w:pStyle w:val="TOC2"/>
        <w:rPr>
          <w:rFonts w:asciiTheme="minorHAnsi" w:eastAsiaTheme="minorEastAsia" w:hAnsiTheme="minorHAnsi" w:cstheme="minorBidi"/>
          <w:sz w:val="22"/>
          <w:szCs w:val="22"/>
          <w:lang w:eastAsia="en-AU"/>
        </w:rPr>
      </w:pPr>
      <w:hyperlink w:anchor="_Toc371945780" w:history="1">
        <w:r w:rsidR="00BD0FA8" w:rsidRPr="00C17653">
          <w:rPr>
            <w:rStyle w:val="Hyperlink"/>
          </w:rPr>
          <w:t>1.6</w:t>
        </w:r>
        <w:r w:rsidR="00BD0FA8">
          <w:rPr>
            <w:rFonts w:asciiTheme="minorHAnsi" w:eastAsiaTheme="minorEastAsia" w:hAnsiTheme="minorHAnsi" w:cstheme="minorBidi"/>
            <w:sz w:val="22"/>
            <w:szCs w:val="22"/>
            <w:lang w:eastAsia="en-AU"/>
          </w:rPr>
          <w:tab/>
        </w:r>
        <w:r w:rsidR="00BD0FA8" w:rsidRPr="00C17653">
          <w:rPr>
            <w:rStyle w:val="Hyperlink"/>
          </w:rPr>
          <w:t>Further AER RoLR information</w:t>
        </w:r>
        <w:r w:rsidR="00BD0FA8">
          <w:rPr>
            <w:webHidden/>
          </w:rPr>
          <w:tab/>
        </w:r>
        <w:r w:rsidR="00BD0FA8">
          <w:rPr>
            <w:webHidden/>
          </w:rPr>
          <w:fldChar w:fldCharType="begin"/>
        </w:r>
        <w:r w:rsidR="00BD0FA8">
          <w:rPr>
            <w:webHidden/>
          </w:rPr>
          <w:instrText xml:space="preserve"> PAGEREF _Toc371945780 \h </w:instrText>
        </w:r>
        <w:r w:rsidR="00BD0FA8">
          <w:rPr>
            <w:webHidden/>
          </w:rPr>
        </w:r>
        <w:r w:rsidR="00BD0FA8">
          <w:rPr>
            <w:webHidden/>
          </w:rPr>
          <w:fldChar w:fldCharType="separate"/>
        </w:r>
        <w:r w:rsidR="00BD0FA8">
          <w:rPr>
            <w:webHidden/>
          </w:rPr>
          <w:t>6</w:t>
        </w:r>
        <w:r w:rsidR="00BD0FA8">
          <w:rPr>
            <w:webHidden/>
          </w:rPr>
          <w:fldChar w:fldCharType="end"/>
        </w:r>
      </w:hyperlink>
    </w:p>
    <w:p w:rsidR="00BD0FA8" w:rsidRDefault="005B62CC">
      <w:pPr>
        <w:pStyle w:val="TOC1"/>
        <w:rPr>
          <w:rFonts w:asciiTheme="minorHAnsi" w:eastAsiaTheme="minorEastAsia" w:hAnsiTheme="minorHAnsi" w:cstheme="minorBidi"/>
          <w:b w:val="0"/>
          <w:sz w:val="22"/>
          <w:szCs w:val="22"/>
          <w:lang w:eastAsia="en-AU"/>
        </w:rPr>
      </w:pPr>
      <w:hyperlink w:anchor="_Toc371945781" w:history="1">
        <w:r w:rsidR="00BD0FA8" w:rsidRPr="00C17653">
          <w:rPr>
            <w:rStyle w:val="Hyperlink"/>
          </w:rPr>
          <w:t>Appendix A – RoLR plan participants in attendance</w:t>
        </w:r>
        <w:r w:rsidR="00BD0FA8">
          <w:rPr>
            <w:webHidden/>
          </w:rPr>
          <w:tab/>
        </w:r>
        <w:r w:rsidR="00BD0FA8">
          <w:rPr>
            <w:webHidden/>
          </w:rPr>
          <w:fldChar w:fldCharType="begin"/>
        </w:r>
        <w:r w:rsidR="00BD0FA8">
          <w:rPr>
            <w:webHidden/>
          </w:rPr>
          <w:instrText xml:space="preserve"> PAGEREF _Toc371945781 \h </w:instrText>
        </w:r>
        <w:r w:rsidR="00BD0FA8">
          <w:rPr>
            <w:webHidden/>
          </w:rPr>
        </w:r>
        <w:r w:rsidR="00BD0FA8">
          <w:rPr>
            <w:webHidden/>
          </w:rPr>
          <w:fldChar w:fldCharType="separate"/>
        </w:r>
        <w:r w:rsidR="00BD0FA8">
          <w:rPr>
            <w:webHidden/>
          </w:rPr>
          <w:t>8</w:t>
        </w:r>
        <w:r w:rsidR="00BD0FA8">
          <w:rPr>
            <w:webHidden/>
          </w:rPr>
          <w:fldChar w:fldCharType="end"/>
        </w:r>
      </w:hyperlink>
    </w:p>
    <w:p w:rsidR="00132900" w:rsidRDefault="0089506F">
      <w:pPr>
        <w:rPr>
          <w:noProof/>
        </w:rPr>
      </w:pPr>
      <w:r>
        <w:rPr>
          <w:noProof/>
        </w:rPr>
        <w:fldChar w:fldCharType="end"/>
      </w:r>
    </w:p>
    <w:p w:rsidR="0089506F" w:rsidRDefault="0089506F">
      <w:pPr>
        <w:pStyle w:val="AERbodytext"/>
      </w:pPr>
    </w:p>
    <w:p w:rsidR="0089506F" w:rsidRDefault="0089506F">
      <w:pPr>
        <w:pStyle w:val="AERbodytext"/>
        <w:sectPr w:rsidR="0089506F" w:rsidSect="00132900">
          <w:footerReference w:type="default" r:id="rId11"/>
          <w:pgSz w:w="11906" w:h="16838"/>
          <w:pgMar w:top="1440" w:right="1800" w:bottom="1440" w:left="1800" w:header="708" w:footer="708" w:gutter="0"/>
          <w:pgNumType w:fmt="lowerRoman" w:start="3"/>
          <w:cols w:space="708"/>
          <w:docGrid w:linePitch="360"/>
        </w:sectPr>
      </w:pPr>
    </w:p>
    <w:p w:rsidR="0089506F" w:rsidRPr="002A7571" w:rsidRDefault="00A81280" w:rsidP="002A7571">
      <w:pPr>
        <w:pStyle w:val="Heading1"/>
      </w:pPr>
      <w:bookmarkStart w:id="1" w:name="_Toc371945770"/>
      <w:r>
        <w:lastRenderedPageBreak/>
        <w:t>RoLR Exercise Report</w:t>
      </w:r>
      <w:bookmarkEnd w:id="1"/>
    </w:p>
    <w:p w:rsidR="0089506F" w:rsidRDefault="00A51358" w:rsidP="002A7571">
      <w:pPr>
        <w:pStyle w:val="Heading2"/>
      </w:pPr>
      <w:bookmarkStart w:id="2" w:name="_Toc371945771"/>
      <w:r>
        <w:t>Summary</w:t>
      </w:r>
      <w:bookmarkEnd w:id="2"/>
    </w:p>
    <w:p w:rsidR="00195CCB" w:rsidRPr="00FD2727" w:rsidRDefault="00195CCB" w:rsidP="00990B09">
      <w:pPr>
        <w:pStyle w:val="AERbodytext"/>
        <w:rPr>
          <w:lang w:val="en-GB"/>
        </w:rPr>
      </w:pPr>
      <w:r w:rsidRPr="00FD2727">
        <w:rPr>
          <w:lang w:val="en-GB"/>
        </w:rPr>
        <w:t>Under the National Energy Retail Law (NERL), the AER is responsible for overseeing the national Retailer of Last Resort (</w:t>
      </w:r>
      <w:hyperlink r:id="rId12" w:anchor="RoLR" w:history="1">
        <w:r w:rsidRPr="00FD2727">
          <w:rPr>
            <w:i/>
            <w:iCs/>
            <w:lang w:val="en-GB"/>
          </w:rPr>
          <w:t>RoLR</w:t>
        </w:r>
      </w:hyperlink>
      <w:r w:rsidRPr="00FD2727">
        <w:rPr>
          <w:lang w:val="en-GB"/>
        </w:rPr>
        <w:t>) scheme. The scheme is principally designed to ensure that in the event of retailer failure, arrangements are in place to ensure that customers continue to receive electricity and/or gas supply. Under the RoLR scheme, the AER</w:t>
      </w:r>
      <w:r w:rsidR="00A51358">
        <w:rPr>
          <w:lang w:val="en-GB"/>
        </w:rPr>
        <w:t xml:space="preserve"> </w:t>
      </w:r>
      <w:r w:rsidRPr="00FD2727">
        <w:rPr>
          <w:lang w:val="en-GB"/>
        </w:rPr>
        <w:t xml:space="preserve">must publish the </w:t>
      </w:r>
      <w:hyperlink r:id="rId13" w:history="1">
        <w:r w:rsidRPr="00FD2727">
          <w:rPr>
            <w:rStyle w:val="Hyperlink"/>
            <w:szCs w:val="20"/>
            <w:lang w:val="en-GB"/>
          </w:rPr>
          <w:t>RoLR guidelines,</w:t>
        </w:r>
      </w:hyperlink>
      <w:r w:rsidRPr="00FD2727">
        <w:rPr>
          <w:lang w:val="en-GB"/>
        </w:rPr>
        <w:t xml:space="preserve"> publish the </w:t>
      </w:r>
      <w:hyperlink r:id="rId14" w:history="1">
        <w:r w:rsidRPr="00FD2727">
          <w:rPr>
            <w:rStyle w:val="Hyperlink"/>
            <w:szCs w:val="20"/>
            <w:lang w:val="en-GB"/>
          </w:rPr>
          <w:t>RoLR plan,</w:t>
        </w:r>
      </w:hyperlink>
      <w:r w:rsidRPr="00FD2727">
        <w:rPr>
          <w:lang w:val="en-GB"/>
        </w:rPr>
        <w:t xml:space="preserve"> appoint default RoLRs, maintain and publish a </w:t>
      </w:r>
      <w:hyperlink r:id="rId15" w:history="1">
        <w:r w:rsidRPr="00FD2727">
          <w:rPr>
            <w:rStyle w:val="Hyperlink"/>
            <w:szCs w:val="20"/>
            <w:lang w:val="en-GB"/>
          </w:rPr>
          <w:t>register of RoLRs,</w:t>
        </w:r>
      </w:hyperlink>
      <w:r w:rsidRPr="00FD2727">
        <w:rPr>
          <w:lang w:val="en-GB"/>
        </w:rPr>
        <w:t xml:space="preserve"> appoint designated RoLRs following a RoLR event and make RoLR cost recovery scheme determinations.</w:t>
      </w:r>
    </w:p>
    <w:p w:rsidR="00195CCB" w:rsidRPr="00FD2727" w:rsidRDefault="00195CCB" w:rsidP="00990B09">
      <w:pPr>
        <w:pStyle w:val="AERbodytext"/>
        <w:rPr>
          <w:lang w:val="en-GB"/>
        </w:rPr>
      </w:pPr>
      <w:r w:rsidRPr="00FD2727">
        <w:rPr>
          <w:lang w:val="en-GB"/>
        </w:rPr>
        <w:t xml:space="preserve">The AER is required to develop a RoLR plan, which includes a plan for regular exercises to be carried out by the participants in the plan (NERL </w:t>
      </w:r>
      <w:proofErr w:type="gramStart"/>
      <w:r w:rsidRPr="00FD2727">
        <w:rPr>
          <w:lang w:val="en-GB"/>
        </w:rPr>
        <w:t>s162(</w:t>
      </w:r>
      <w:proofErr w:type="gramEnd"/>
      <w:r w:rsidRPr="00FD2727">
        <w:rPr>
          <w:lang w:val="en-GB"/>
        </w:rPr>
        <w:t xml:space="preserve">2)(b)). Further, the AER is required to publish a report on the conduct of RoLR exercises (NERL </w:t>
      </w:r>
      <w:proofErr w:type="gramStart"/>
      <w:r w:rsidRPr="00FD2727">
        <w:rPr>
          <w:lang w:val="en-GB"/>
        </w:rPr>
        <w:t>s.163(</w:t>
      </w:r>
      <w:proofErr w:type="gramEnd"/>
      <w:r w:rsidRPr="00FD2727">
        <w:rPr>
          <w:lang w:val="en-GB"/>
        </w:rPr>
        <w:t xml:space="preserve">a)). </w:t>
      </w:r>
    </w:p>
    <w:p w:rsidR="00195CCB" w:rsidRPr="00FD2727" w:rsidRDefault="00195CCB" w:rsidP="00990B09">
      <w:pPr>
        <w:pStyle w:val="AERbodytext"/>
        <w:rPr>
          <w:lang w:val="en-GB"/>
        </w:rPr>
      </w:pPr>
      <w:r w:rsidRPr="00FD2727">
        <w:rPr>
          <w:lang w:val="en-GB"/>
        </w:rPr>
        <w:t>This document reports on the planning, conduct and outcomes from the AER’s RoLR exercise that was carried out on 21 October 2013. The exercise involved participants representing gas and electricity supply companies, electricity and gas distribution companies, energy Ombudsman Schemes, jurisdictional regulators, jurisdictional energy departments and energy market bodies. The purpose of the exercise was to:</w:t>
      </w:r>
    </w:p>
    <w:p w:rsidR="00195CCB" w:rsidRPr="00990B09" w:rsidRDefault="00195CCB" w:rsidP="00990B09">
      <w:pPr>
        <w:pStyle w:val="AERbulletlistfirststyle"/>
      </w:pPr>
      <w:r w:rsidRPr="00990B09">
        <w:t>assist RoLR plan participants to be able to better undertake their responsibilities during a RoLR event</w:t>
      </w:r>
    </w:p>
    <w:p w:rsidR="00195CCB" w:rsidRPr="00990B09" w:rsidRDefault="00195CCB" w:rsidP="00990B09">
      <w:pPr>
        <w:pStyle w:val="AERbulletlistfirststyle"/>
      </w:pPr>
      <w:r w:rsidRPr="00990B09">
        <w:t>remind RoLR plan participants of their obligations under the RoLR scheme</w:t>
      </w:r>
    </w:p>
    <w:p w:rsidR="00195CCB" w:rsidRPr="00990B09" w:rsidRDefault="00195CCB" w:rsidP="00990B09">
      <w:pPr>
        <w:pStyle w:val="AERbulletlistfirststyle"/>
      </w:pPr>
      <w:proofErr w:type="gramStart"/>
      <w:r w:rsidRPr="00990B09">
        <w:t>clarify</w:t>
      </w:r>
      <w:proofErr w:type="gramEnd"/>
      <w:r w:rsidRPr="00990B09">
        <w:t xml:space="preserve"> the procedures that would be followed in a retailer failure event.</w:t>
      </w:r>
    </w:p>
    <w:p w:rsidR="00195CCB" w:rsidRDefault="00195CCB" w:rsidP="00990B09">
      <w:pPr>
        <w:pStyle w:val="AERbodytext"/>
        <w:rPr>
          <w:szCs w:val="20"/>
          <w:lang w:val="en-GB"/>
        </w:rPr>
      </w:pPr>
      <w:r w:rsidRPr="00FD2727">
        <w:rPr>
          <w:szCs w:val="20"/>
          <w:lang w:val="en-GB"/>
        </w:rPr>
        <w:t xml:space="preserve">During and following the exercise, a number of key topics and discussions were raised by RoLR plan participants. These </w:t>
      </w:r>
      <w:r w:rsidRPr="00FD2727">
        <w:t>included clarification on the RoLR framework, RoLR processes and procedures, market considerations, and RoLR plan participant obligations.</w:t>
      </w:r>
      <w:r w:rsidRPr="00FD2727" w:rsidDel="00DB7889">
        <w:rPr>
          <w:szCs w:val="20"/>
          <w:lang w:val="en-GB"/>
        </w:rPr>
        <w:t xml:space="preserve"> </w:t>
      </w:r>
      <w:r w:rsidRPr="00FD2727">
        <w:rPr>
          <w:szCs w:val="20"/>
          <w:lang w:val="en-GB"/>
        </w:rPr>
        <w:t>These are discussed in detail later this document.</w:t>
      </w:r>
    </w:p>
    <w:p w:rsidR="0089506F" w:rsidRDefault="00A51358" w:rsidP="00764BFC">
      <w:pPr>
        <w:pStyle w:val="Heading2"/>
      </w:pPr>
      <w:bookmarkStart w:id="3" w:name="_Toc371945772"/>
      <w:r>
        <w:t>RoLR exercise details</w:t>
      </w:r>
      <w:bookmarkEnd w:id="3"/>
      <w:r>
        <w:t xml:space="preserve"> </w:t>
      </w:r>
    </w:p>
    <w:p w:rsidR="00195CCB" w:rsidRPr="00051332" w:rsidRDefault="00195CCB" w:rsidP="00990B09">
      <w:pPr>
        <w:pStyle w:val="AERbodytext"/>
      </w:pPr>
      <w:r>
        <w:t xml:space="preserve">The RoLR exercise was held on </w:t>
      </w:r>
      <w:r w:rsidRPr="00E40E79">
        <w:t>Monday, 21 October</w:t>
      </w:r>
      <w:r w:rsidRPr="00212908">
        <w:t xml:space="preserve"> 2013, 1:00pm – 2:30pm</w:t>
      </w:r>
      <w:r w:rsidRPr="00051332">
        <w:t xml:space="preserve"> (AEDT).</w:t>
      </w:r>
    </w:p>
    <w:p w:rsidR="00A51358" w:rsidRDefault="00A51358" w:rsidP="00A51358">
      <w:pPr>
        <w:pStyle w:val="Heading3"/>
      </w:pPr>
      <w:bookmarkStart w:id="4" w:name="_Toc371945773"/>
      <w:r>
        <w:t>Venue</w:t>
      </w:r>
      <w:bookmarkEnd w:id="4"/>
      <w:r>
        <w:t xml:space="preserve"> </w:t>
      </w:r>
    </w:p>
    <w:p w:rsidR="00195CCB" w:rsidRPr="00051332" w:rsidRDefault="00195CCB" w:rsidP="00990B09">
      <w:pPr>
        <w:pStyle w:val="AERbodytext"/>
        <w:rPr>
          <w:b/>
        </w:rPr>
      </w:pPr>
      <w:r w:rsidRPr="00E40E79">
        <w:t>A</w:t>
      </w:r>
      <w:r>
        <w:t>ER</w:t>
      </w:r>
      <w:r w:rsidRPr="00E40E79">
        <w:t xml:space="preserve"> off</w:t>
      </w:r>
      <w:r w:rsidRPr="00212908">
        <w:t>ices in the fol</w:t>
      </w:r>
      <w:r w:rsidRPr="00051332">
        <w:t>lowing locations:</w:t>
      </w:r>
    </w:p>
    <w:p w:rsidR="00195CCB" w:rsidRPr="00051332" w:rsidRDefault="00195CCB" w:rsidP="00990B09">
      <w:pPr>
        <w:pStyle w:val="AERbulletlistfirststyle"/>
      </w:pPr>
      <w:r w:rsidRPr="00051332">
        <w:t>Adelaide: Level 2, 19 Grenfell Street</w:t>
      </w:r>
    </w:p>
    <w:p w:rsidR="00195CCB" w:rsidRPr="00051332" w:rsidRDefault="00195CCB" w:rsidP="00990B09">
      <w:pPr>
        <w:pStyle w:val="AERbulletlistfirststyle"/>
      </w:pPr>
      <w:r w:rsidRPr="00051332">
        <w:t>Brisbane: Level 24, 400 George Street</w:t>
      </w:r>
    </w:p>
    <w:p w:rsidR="00195CCB" w:rsidRPr="00051332" w:rsidRDefault="00195CCB" w:rsidP="00990B09">
      <w:pPr>
        <w:pStyle w:val="AERbulletlistfirststyle"/>
      </w:pPr>
      <w:r w:rsidRPr="00051332">
        <w:t>Canberra: 23 Marcus Clarke Street</w:t>
      </w:r>
    </w:p>
    <w:p w:rsidR="00195CCB" w:rsidRPr="00051332" w:rsidRDefault="00195CCB" w:rsidP="00990B09">
      <w:pPr>
        <w:pStyle w:val="AERbulletlistfirststyle"/>
      </w:pPr>
      <w:r w:rsidRPr="00051332">
        <w:t>Hobart: Level 2, 70 Collins Street</w:t>
      </w:r>
    </w:p>
    <w:p w:rsidR="00195CCB" w:rsidRPr="00051332" w:rsidRDefault="00195CCB" w:rsidP="00990B09">
      <w:pPr>
        <w:pStyle w:val="AERbulletlistfirststyle"/>
      </w:pPr>
      <w:r w:rsidRPr="00051332">
        <w:lastRenderedPageBreak/>
        <w:t>Melbourne: Level 35, 360 Elizabeth Street</w:t>
      </w:r>
    </w:p>
    <w:p w:rsidR="00195CCB" w:rsidRPr="00051332" w:rsidRDefault="00195CCB" w:rsidP="00990B09">
      <w:pPr>
        <w:pStyle w:val="AERbulletlistfirststyle"/>
      </w:pPr>
      <w:r w:rsidRPr="00051332">
        <w:t>Sydney: Level 20, 175 Pitt Street.</w:t>
      </w:r>
    </w:p>
    <w:p w:rsidR="00A51358" w:rsidRDefault="00A51358" w:rsidP="00A51358">
      <w:pPr>
        <w:pStyle w:val="Heading3"/>
      </w:pPr>
      <w:bookmarkStart w:id="5" w:name="_Toc371945774"/>
      <w:r>
        <w:t>Attendees</w:t>
      </w:r>
      <w:bookmarkEnd w:id="5"/>
    </w:p>
    <w:p w:rsidR="00195CCB" w:rsidRDefault="00195CCB" w:rsidP="00990B09">
      <w:pPr>
        <w:pStyle w:val="AERbodytext"/>
      </w:pPr>
      <w:r w:rsidRPr="00FD2727">
        <w:t>115</w:t>
      </w:r>
      <w:r w:rsidRPr="00E40E79">
        <w:t xml:space="preserve"> individuals from </w:t>
      </w:r>
      <w:r w:rsidRPr="00FD2727">
        <w:t>55</w:t>
      </w:r>
      <w:r w:rsidRPr="00E40E79">
        <w:t xml:space="preserve"> organisati</w:t>
      </w:r>
      <w:r w:rsidRPr="00F047BC">
        <w:t xml:space="preserve">ons (see </w:t>
      </w:r>
      <w:r w:rsidRPr="00F047BC">
        <w:rPr>
          <w:b/>
        </w:rPr>
        <w:t>Appendix A</w:t>
      </w:r>
      <w:r w:rsidRPr="00F047BC">
        <w:t xml:space="preserve"> for the</w:t>
      </w:r>
      <w:r w:rsidRPr="00051332">
        <w:t xml:space="preserve"> list of RoLR plan participants in attendance).</w:t>
      </w:r>
    </w:p>
    <w:p w:rsidR="00A51358" w:rsidRDefault="00A51358" w:rsidP="00A51358">
      <w:pPr>
        <w:pStyle w:val="Heading3"/>
      </w:pPr>
      <w:bookmarkStart w:id="6" w:name="_Toc371945775"/>
      <w:r>
        <w:t>Purpose</w:t>
      </w:r>
      <w:bookmarkEnd w:id="6"/>
    </w:p>
    <w:p w:rsidR="00195CCB" w:rsidRPr="00212908" w:rsidRDefault="00195CCB" w:rsidP="00990B09">
      <w:pPr>
        <w:pStyle w:val="AERbodytext"/>
      </w:pPr>
      <w:r w:rsidRPr="00E40E79">
        <w:t>The purpose of the exercise was to:</w:t>
      </w:r>
    </w:p>
    <w:p w:rsidR="00195CCB" w:rsidRPr="00990B09" w:rsidRDefault="00195CCB" w:rsidP="00990B09">
      <w:pPr>
        <w:pStyle w:val="AERbulletlistfirststyle"/>
      </w:pPr>
      <w:r w:rsidRPr="00990B09">
        <w:t>assist RoLR plan participants to be able to better undertake their responsibilities during a RoLR event</w:t>
      </w:r>
    </w:p>
    <w:p w:rsidR="00195CCB" w:rsidRPr="00990B09" w:rsidRDefault="00195CCB" w:rsidP="00990B09">
      <w:pPr>
        <w:pStyle w:val="AERbulletlistfirststyle"/>
      </w:pPr>
      <w:r w:rsidRPr="00990B09">
        <w:t>remind RoLR plan participants of their obligations under the RoLR scheme</w:t>
      </w:r>
    </w:p>
    <w:p w:rsidR="00195CCB" w:rsidRPr="00990B09" w:rsidRDefault="00195CCB" w:rsidP="00990B09">
      <w:pPr>
        <w:pStyle w:val="AERbulletlistfirststyle"/>
      </w:pPr>
      <w:proofErr w:type="gramStart"/>
      <w:r w:rsidRPr="00990B09">
        <w:t>clarify</w:t>
      </w:r>
      <w:proofErr w:type="gramEnd"/>
      <w:r w:rsidRPr="00990B09">
        <w:t xml:space="preserve"> the procedures that would be followed in a retailer failure event.</w:t>
      </w:r>
    </w:p>
    <w:p w:rsidR="00A51358" w:rsidRDefault="00A51358" w:rsidP="00A51358">
      <w:pPr>
        <w:pStyle w:val="Heading3"/>
      </w:pPr>
      <w:bookmarkStart w:id="7" w:name="_Toc371945776"/>
      <w:r>
        <w:t>Scenario</w:t>
      </w:r>
      <w:bookmarkEnd w:id="7"/>
    </w:p>
    <w:p w:rsidR="00195CCB" w:rsidRDefault="00A51358" w:rsidP="00990B09">
      <w:pPr>
        <w:pStyle w:val="AERbodytext"/>
      </w:pPr>
      <w:r>
        <w:t xml:space="preserve">The following scenario was used: </w:t>
      </w:r>
    </w:p>
    <w:p w:rsidR="00195CCB" w:rsidRPr="00051332" w:rsidRDefault="00195CCB" w:rsidP="00990B09">
      <w:pPr>
        <w:pStyle w:val="AERbulletlistfirststyle"/>
      </w:pPr>
      <w:r w:rsidRPr="00E40E79">
        <w:t>A dual fuel retai</w:t>
      </w:r>
      <w:r w:rsidRPr="00212908">
        <w:t>ler, parent company Bundle Energy Pty Ltd, operates an electricity retail business (Bundle Electricity Pty Ltd) across the National Electricity Market (NEM), and a gas retail business (Bundle Gas Pty Ltd) in the Victorian Declared Wholesale Gas Market, New</w:t>
      </w:r>
      <w:r w:rsidRPr="00051332">
        <w:t xml:space="preserve"> South Wales Short Term Trading Market (STTM), South Australian STTM and sells gas into the Australian Capital Territory.</w:t>
      </w:r>
    </w:p>
    <w:p w:rsidR="00195CCB" w:rsidRPr="00051332" w:rsidRDefault="00195CCB" w:rsidP="00990B09">
      <w:pPr>
        <w:pStyle w:val="AERbulletlistfirststyle"/>
        <w:rPr>
          <w:u w:val="single"/>
        </w:rPr>
      </w:pPr>
      <w:r w:rsidRPr="00051332">
        <w:t>Due to financial difficulties and not meeting debts, an insolvency official is appointed by the courts to wind up Bundle Gas Pty Ltd.  This is uncovered by the AER through regular market monitoring activity.</w:t>
      </w:r>
    </w:p>
    <w:p w:rsidR="00195CCB" w:rsidRPr="00051332" w:rsidRDefault="00195CCB" w:rsidP="00990B09">
      <w:pPr>
        <w:pStyle w:val="AERbulletlistfirststyle"/>
        <w:rPr>
          <w:u w:val="single"/>
        </w:rPr>
      </w:pPr>
      <w:r w:rsidRPr="00051332">
        <w:t>The appointment of an insolvency official constitutes a RoLR event under s.122 of the NERL.</w:t>
      </w:r>
    </w:p>
    <w:p w:rsidR="00195CCB" w:rsidRPr="00051332" w:rsidRDefault="00195CCB" w:rsidP="00990B09">
      <w:pPr>
        <w:pStyle w:val="AERbulletlistfirststyle"/>
      </w:pPr>
      <w:r w:rsidRPr="00051332">
        <w:t xml:space="preserve">The period for the RoLR event is July 2015, when all jurisdictions have commenced the National Energy Customer Framework (NECF). </w:t>
      </w:r>
    </w:p>
    <w:p w:rsidR="00A51358" w:rsidRDefault="00A51358" w:rsidP="00A51358">
      <w:pPr>
        <w:pStyle w:val="Heading2"/>
      </w:pPr>
      <w:bookmarkStart w:id="8" w:name="_Toc371945777"/>
      <w:r>
        <w:t>Key matters addressed</w:t>
      </w:r>
      <w:bookmarkEnd w:id="8"/>
      <w:r>
        <w:t xml:space="preserve"> </w:t>
      </w:r>
    </w:p>
    <w:p w:rsidR="00195CCB" w:rsidRPr="00990B09" w:rsidRDefault="00A51358" w:rsidP="00990B09">
      <w:pPr>
        <w:pStyle w:val="AERbodytext"/>
      </w:pPr>
      <w:r w:rsidRPr="00990B09">
        <w:t>The exercise addressed the following matters:</w:t>
      </w:r>
    </w:p>
    <w:p w:rsidR="00195CCB" w:rsidRPr="00E40E79" w:rsidRDefault="00195CCB" w:rsidP="00990B09">
      <w:pPr>
        <w:pStyle w:val="AERbulletlistfirststyle"/>
      </w:pPr>
      <w:r w:rsidRPr="00E40E79">
        <w:t>Review of the RoLR framework</w:t>
      </w:r>
    </w:p>
    <w:p w:rsidR="00195CCB" w:rsidRPr="00212908" w:rsidRDefault="00195CCB" w:rsidP="00990B09">
      <w:pPr>
        <w:pStyle w:val="AERbulletlistfirststyle"/>
      </w:pPr>
      <w:r w:rsidRPr="00212908">
        <w:t>Key functions of RoLR plan participants</w:t>
      </w:r>
    </w:p>
    <w:p w:rsidR="00195CCB" w:rsidRPr="00051332" w:rsidRDefault="00195CCB" w:rsidP="00990B09">
      <w:pPr>
        <w:pStyle w:val="AERbulletlistfirststyle"/>
      </w:pPr>
      <w:r w:rsidRPr="00051332">
        <w:t>AER gas directions powers</w:t>
      </w:r>
    </w:p>
    <w:p w:rsidR="00195CCB" w:rsidRPr="00051332" w:rsidRDefault="00195CCB" w:rsidP="00990B09">
      <w:pPr>
        <w:pStyle w:val="AERbulletlistfirststyle"/>
      </w:pPr>
      <w:r w:rsidRPr="00051332">
        <w:t>AER contingency powers</w:t>
      </w:r>
    </w:p>
    <w:p w:rsidR="00195CCB" w:rsidRPr="00051332" w:rsidRDefault="00195CCB" w:rsidP="00990B09">
      <w:pPr>
        <w:pStyle w:val="AERbulletlistfirststyle"/>
      </w:pPr>
      <w:r w:rsidRPr="00051332">
        <w:lastRenderedPageBreak/>
        <w:t xml:space="preserve">The roles of default and additional RoLRs, and the appointment of designated RoLRs </w:t>
      </w:r>
    </w:p>
    <w:p w:rsidR="00195CCB" w:rsidRPr="00051332" w:rsidRDefault="00195CCB" w:rsidP="00990B09">
      <w:pPr>
        <w:pStyle w:val="AERbulletlistfirststyle"/>
      </w:pPr>
      <w:r w:rsidRPr="00051332">
        <w:t>Key decisions and communication flows prior to a RoLR event</w:t>
      </w:r>
    </w:p>
    <w:p w:rsidR="00195CCB" w:rsidRPr="00051332" w:rsidRDefault="00195CCB" w:rsidP="00990B09">
      <w:pPr>
        <w:pStyle w:val="AERbulletlistfirststyle"/>
      </w:pPr>
      <w:r w:rsidRPr="00051332">
        <w:t>RoLR desktop exercise: dual retailer failure in the gas market of the authorised gas entity, followed by failure in the electricity market by the authorised electricity entity</w:t>
      </w:r>
    </w:p>
    <w:p w:rsidR="00195CCB" w:rsidRPr="00051332" w:rsidRDefault="00195CCB" w:rsidP="00990B09">
      <w:pPr>
        <w:pStyle w:val="AERbulletlistfirststyle"/>
      </w:pPr>
      <w:r w:rsidRPr="00051332">
        <w:t>RoLR event management and customer transfer activity</w:t>
      </w:r>
    </w:p>
    <w:p w:rsidR="00195CCB" w:rsidRPr="00051332" w:rsidRDefault="00195CCB" w:rsidP="00990B09">
      <w:pPr>
        <w:pStyle w:val="AERbulletlistfirststyle"/>
      </w:pPr>
      <w:r w:rsidRPr="00051332">
        <w:t>Management of RoLR events across NECF and non-NECF jurisdictions prior to commencement of the NECF in all jurisdictions.</w:t>
      </w:r>
    </w:p>
    <w:p w:rsidR="00A51358" w:rsidRDefault="00A51358" w:rsidP="00D46DB7">
      <w:pPr>
        <w:pStyle w:val="Heading2"/>
      </w:pPr>
      <w:bookmarkStart w:id="9" w:name="_Toc371945778"/>
      <w:r>
        <w:t>Key discussion topics and questions</w:t>
      </w:r>
      <w:bookmarkEnd w:id="9"/>
    </w:p>
    <w:p w:rsidR="00195CCB" w:rsidRPr="00990B09" w:rsidRDefault="00195CCB" w:rsidP="00990B09">
      <w:pPr>
        <w:pStyle w:val="AERbodytext"/>
      </w:pPr>
      <w:r w:rsidRPr="00990B09">
        <w:t>Participants held discussions on four main themes:</w:t>
      </w:r>
    </w:p>
    <w:p w:rsidR="00195CCB" w:rsidRPr="00212908" w:rsidRDefault="00195CCB" w:rsidP="00990B09">
      <w:pPr>
        <w:pStyle w:val="AERnumberedlistfirststyle"/>
      </w:pPr>
      <w:r w:rsidRPr="00E40E79">
        <w:t xml:space="preserve">AER </w:t>
      </w:r>
      <w:r w:rsidRPr="00212908">
        <w:t>and AEMO processes and procedures</w:t>
      </w:r>
    </w:p>
    <w:p w:rsidR="00195CCB" w:rsidRPr="00051332" w:rsidRDefault="00195CCB" w:rsidP="00990B09">
      <w:pPr>
        <w:pStyle w:val="AERnumberedlistsecondstyle"/>
      </w:pPr>
      <w:r w:rsidRPr="00051332">
        <w:t>What is the frequency of public RoLR exercises?</w:t>
      </w:r>
    </w:p>
    <w:p w:rsidR="00195CCB" w:rsidRPr="00051332" w:rsidRDefault="00195CCB" w:rsidP="006E0019">
      <w:pPr>
        <w:pStyle w:val="AERbodytext"/>
        <w:ind w:left="709"/>
      </w:pPr>
      <w:r w:rsidRPr="006E0019">
        <w:t xml:space="preserve">Exercise frequency is determined by the AER and AEMO (RoLR plan </w:t>
      </w:r>
      <w:proofErr w:type="gramStart"/>
      <w:r w:rsidRPr="006E0019">
        <w:t>cl.6.3(</w:t>
      </w:r>
      <w:proofErr w:type="gramEnd"/>
      <w:r w:rsidRPr="006E0019">
        <w:t>a)).  Exercises will usually be held annually, but annual exercises may not always be necessary, for example where an actual RoLR event occurs.</w:t>
      </w:r>
      <w:r w:rsidRPr="00051332">
        <w:t xml:space="preserve">  </w:t>
      </w:r>
    </w:p>
    <w:p w:rsidR="00195CCB" w:rsidRPr="00051332" w:rsidRDefault="00195CCB" w:rsidP="00990B09">
      <w:pPr>
        <w:pStyle w:val="AERnumberedlistsecondstyle"/>
      </w:pPr>
      <w:r w:rsidRPr="00051332">
        <w:t>How would the AER become aware that a retailer was failing?</w:t>
      </w:r>
    </w:p>
    <w:p w:rsidR="00195CCB" w:rsidRPr="00051332" w:rsidRDefault="00195CCB" w:rsidP="006E0019">
      <w:pPr>
        <w:pStyle w:val="AERbodytext"/>
        <w:ind w:left="720"/>
      </w:pPr>
      <w:r w:rsidRPr="00051332">
        <w:t>The AER might become aware from a number of sources, including the failing retailer, AEMO, reviewing ASIC registers and notices, and through market intelligence from other RoLR plan participants.</w:t>
      </w:r>
    </w:p>
    <w:p w:rsidR="00195CCB" w:rsidRPr="00051332" w:rsidRDefault="00195CCB" w:rsidP="00990B09">
      <w:pPr>
        <w:pStyle w:val="AERnumberedlistsecondstyle"/>
      </w:pPr>
      <w:r w:rsidRPr="00051332">
        <w:t>Who would the AER share in confidence information with under its contingency event powers?</w:t>
      </w:r>
    </w:p>
    <w:p w:rsidR="00195CCB" w:rsidRPr="00051332" w:rsidRDefault="00195CCB" w:rsidP="006E0019">
      <w:pPr>
        <w:pStyle w:val="AERbodytext"/>
        <w:ind w:left="720"/>
      </w:pPr>
      <w:r w:rsidRPr="00051332">
        <w:t xml:space="preserve">If the AER has formed a reason to believe there is a risk of a RoLR event, the AER </w:t>
      </w:r>
      <w:r w:rsidRPr="000F78D7">
        <w:rPr>
          <w:i/>
        </w:rPr>
        <w:t xml:space="preserve">must </w:t>
      </w:r>
      <w:r w:rsidRPr="00051332">
        <w:t xml:space="preserve">advise AEMO, Ministers and energy departments of participating jurisdictions (RoLR plan </w:t>
      </w:r>
      <w:proofErr w:type="gramStart"/>
      <w:r w:rsidRPr="00051332">
        <w:t>cl.2.1(</w:t>
      </w:r>
      <w:proofErr w:type="gramEnd"/>
      <w:r w:rsidRPr="00051332">
        <w:t>a)(</w:t>
      </w:r>
      <w:proofErr w:type="spellStart"/>
      <w:r w:rsidRPr="00051332">
        <w:t>i</w:t>
      </w:r>
      <w:proofErr w:type="spellEnd"/>
      <w:r w:rsidRPr="00051332">
        <w:t xml:space="preserve">)). The AER </w:t>
      </w:r>
      <w:r w:rsidRPr="000F78D7">
        <w:rPr>
          <w:i/>
        </w:rPr>
        <w:t>may</w:t>
      </w:r>
      <w:r w:rsidRPr="00051332">
        <w:t xml:space="preserve"> also inform distributors, registered RoLRs, default RoLRs, and any other participant the AER considers relevant (NERL </w:t>
      </w:r>
      <w:proofErr w:type="gramStart"/>
      <w:r w:rsidRPr="00051332">
        <w:t>s.130(</w:t>
      </w:r>
      <w:proofErr w:type="gramEnd"/>
      <w:r w:rsidRPr="00051332">
        <w:t>5)), which includes ombudsman schemes (RoLR plan cl.2.1(a)((</w:t>
      </w:r>
      <w:proofErr w:type="spellStart"/>
      <w:r w:rsidRPr="00051332">
        <w:t>i</w:t>
      </w:r>
      <w:proofErr w:type="spellEnd"/>
      <w:r w:rsidRPr="00051332">
        <w:t>)).</w:t>
      </w:r>
    </w:p>
    <w:p w:rsidR="00195CCB" w:rsidRPr="00051332" w:rsidRDefault="00195CCB" w:rsidP="00990B09">
      <w:pPr>
        <w:pStyle w:val="AERnumberedlistsecondstyle"/>
      </w:pPr>
      <w:r w:rsidRPr="00051332">
        <w:t xml:space="preserve">What are the agreed customer </w:t>
      </w:r>
      <w:proofErr w:type="gramStart"/>
      <w:r w:rsidRPr="00051332">
        <w:t>transfer</w:t>
      </w:r>
      <w:proofErr w:type="gramEnd"/>
      <w:r w:rsidRPr="00051332">
        <w:t xml:space="preserve"> dates should the RoLR event occur over a weekend, but the suspension notice is given on the Friday night?</w:t>
      </w:r>
    </w:p>
    <w:p w:rsidR="00195CCB" w:rsidRPr="00051332" w:rsidRDefault="00195CCB" w:rsidP="006E0019">
      <w:pPr>
        <w:pStyle w:val="AERbodytext"/>
        <w:ind w:left="720"/>
      </w:pPr>
      <w:r w:rsidRPr="00FD2727">
        <w:t>The RoLR effective transfer date is the next calendar day after the declaration of the RoLR event. This is the date from which National Meter Identifiers (NMIs) for which the suspended retailer was the Financially Responsible Market Participant are transferred to the designated RoLR. At that date, the RoLR becomes the Financially Responsible Market Participant (AEMO NEM RoLR Processes v1.2).</w:t>
      </w:r>
    </w:p>
    <w:p w:rsidR="00195CCB" w:rsidRPr="00051332" w:rsidRDefault="00195CCB" w:rsidP="00990B09">
      <w:pPr>
        <w:pStyle w:val="AERnumberedlistsecondstyle"/>
      </w:pPr>
      <w:r w:rsidRPr="00051332">
        <w:t>How will customers of a failed retailer who are situated within an embedded network be managed under a RoLR event?</w:t>
      </w:r>
    </w:p>
    <w:p w:rsidR="00195CCB" w:rsidRPr="00FD2727" w:rsidRDefault="00195CCB" w:rsidP="006E0019">
      <w:pPr>
        <w:pStyle w:val="AERbodytext"/>
        <w:ind w:left="720"/>
      </w:pPr>
      <w:r>
        <w:lastRenderedPageBreak/>
        <w:t xml:space="preserve">Although the RoLR framework and the AEMO RoLR procedures do not explicitly discuss embedded networks, a customer of a failed retailer in an embedded network </w:t>
      </w:r>
      <w:r w:rsidRPr="00FD2727">
        <w:t>with a discoverable NMI in MSATS purchasing electricity from an authorised retailer</w:t>
      </w:r>
      <w:r w:rsidRPr="00FD2727">
        <w:rPr>
          <w:strike/>
        </w:rPr>
        <w:t xml:space="preserve"> </w:t>
      </w:r>
      <w:r w:rsidRPr="009C58D7">
        <w:t>would be transferred to a RoLR designated by the AER (this may also be the Default RoLR as designated by the AER)</w:t>
      </w:r>
      <w:r w:rsidRPr="00FD2727">
        <w:t>.</w:t>
      </w:r>
    </w:p>
    <w:p w:rsidR="00195CCB" w:rsidRPr="00051332" w:rsidRDefault="00195CCB" w:rsidP="00990B09">
      <w:pPr>
        <w:pStyle w:val="AERnumberedlistsecondstyle"/>
      </w:pPr>
      <w:r w:rsidRPr="00051332">
        <w:t>Will the AER assess the technical capabilities of a registered RoLR when considering designated RoLR appointments?</w:t>
      </w:r>
    </w:p>
    <w:p w:rsidR="00195CCB" w:rsidRPr="00051332" w:rsidRDefault="00195CCB" w:rsidP="006E0019">
      <w:pPr>
        <w:pStyle w:val="AERbodytext"/>
        <w:ind w:left="720"/>
      </w:pPr>
      <w:r w:rsidRPr="00051332">
        <w:t xml:space="preserve">The AER must consider the RoLR criteria when assessing the capacity of a retailer to be a registered RoLR (NERL </w:t>
      </w:r>
      <w:proofErr w:type="gramStart"/>
      <w:r w:rsidRPr="00051332">
        <w:t>ss.124(</w:t>
      </w:r>
      <w:proofErr w:type="gramEnd"/>
      <w:r w:rsidRPr="00051332">
        <w:t xml:space="preserve">3), 125(6) &amp; 126(2)), and when appointing a designated RoLR (NERL s.133(1)(a)). The RoLR criteria includes criteria for the organisational and technical capacity, financial resources and suitability of the organisation (NERL </w:t>
      </w:r>
      <w:proofErr w:type="gramStart"/>
      <w:r w:rsidRPr="00051332">
        <w:t>s.123(</w:t>
      </w:r>
      <w:proofErr w:type="gramEnd"/>
      <w:r w:rsidRPr="00051332">
        <w:t xml:space="preserve">1)). </w:t>
      </w:r>
    </w:p>
    <w:p w:rsidR="00195CCB" w:rsidRPr="00051332" w:rsidRDefault="00195CCB" w:rsidP="00990B09">
      <w:pPr>
        <w:pStyle w:val="AERnumberedlistfirststyle"/>
      </w:pPr>
      <w:r w:rsidRPr="00051332">
        <w:t>Market considerations</w:t>
      </w:r>
    </w:p>
    <w:p w:rsidR="00195CCB" w:rsidRPr="00990B09" w:rsidRDefault="00195CCB" w:rsidP="00D64CBB">
      <w:pPr>
        <w:pStyle w:val="AERnumberedlistsecondstyle"/>
        <w:numPr>
          <w:ilvl w:val="0"/>
          <w:numId w:val="32"/>
        </w:numPr>
      </w:pPr>
      <w:r w:rsidRPr="00990B09">
        <w:t xml:space="preserve">If the AER forms a reason to believe that there is some risk that may or will affect or risk affecting continuity of sale to energy to a retailer’s customers, would there be the ability for a failing retailer to manage a trade sale of their customers? </w:t>
      </w:r>
    </w:p>
    <w:p w:rsidR="00195CCB" w:rsidRPr="00051332" w:rsidRDefault="00195CCB" w:rsidP="006E0019">
      <w:pPr>
        <w:pStyle w:val="AERbodytext"/>
        <w:ind w:left="720"/>
      </w:pPr>
      <w:r w:rsidRPr="00051332">
        <w:t xml:space="preserve">The </w:t>
      </w:r>
      <w:r>
        <w:t>AER has acknowledged that the RoLR scheme should not discourage trade sale opportunities (</w:t>
      </w:r>
      <w:r w:rsidRPr="00051332">
        <w:t>RoLR Statement of Approach s.2</w:t>
      </w:r>
      <w:r>
        <w:t>).</w:t>
      </w:r>
      <w:r w:rsidRPr="00051332">
        <w:t xml:space="preserve"> </w:t>
      </w:r>
      <w:r>
        <w:t xml:space="preserve"> If the AER releases information through the exercise of its “contingency powers” under sections 130 and 131 of the Retail Law, the AER will consider whether the exercise of these powers may unintentionally provoke or bring forward a retailer failure, and whether releasing information about a likely RoLR event may preclude opportunities for a trade sale (</w:t>
      </w:r>
      <w:r w:rsidRPr="00051332">
        <w:t>RoLR Statement of Approach s.</w:t>
      </w:r>
      <w:r>
        <w:t>4.3).</w:t>
      </w:r>
      <w:r w:rsidRPr="00051332">
        <w:t xml:space="preserve"> </w:t>
      </w:r>
      <w:r>
        <w:t xml:space="preserve"> However, it may not always be feasible for a failing retailer to manage a trade sale of their customers, and the implications of using the AER’s “contingency powers” will be assessed on a case-by-case basis.</w:t>
      </w:r>
    </w:p>
    <w:p w:rsidR="00195CCB" w:rsidRPr="00051332" w:rsidRDefault="00195CCB" w:rsidP="00990B09">
      <w:pPr>
        <w:pStyle w:val="AERnumberedlistsecondstyle"/>
      </w:pPr>
      <w:r w:rsidRPr="00051332">
        <w:t xml:space="preserve">How will the AER consider the terms and conditions of pipeline capacity and the effect on contracts following a gas RoLR event should the AER use its gas directions powers?  Are the prevailing terms and conditions those that prevailed prior to the RoLR event or after the RoLR event?  </w:t>
      </w:r>
    </w:p>
    <w:p w:rsidR="00195CCB" w:rsidRPr="00051332" w:rsidRDefault="00195CCB" w:rsidP="006E0019">
      <w:pPr>
        <w:pStyle w:val="AERbodytext"/>
        <w:ind w:left="720"/>
      </w:pPr>
      <w:r w:rsidRPr="00051332">
        <w:t>While it is recognised the AER will not have full vision of the prevailing terms and conditions of market contracts, the AER would take into account the individual circumstances of the failed retailer and the designated RoLR (NERL s.137(7)).  The prevailing terms and conditions that the AER would take into account for the purposes of s. 137 would be those that prevailed prior to the occurrence of the RoLR event.</w:t>
      </w:r>
    </w:p>
    <w:p w:rsidR="00195CCB" w:rsidRPr="00051332" w:rsidRDefault="00195CCB" w:rsidP="00990B09">
      <w:pPr>
        <w:pStyle w:val="AERnumberedlistfirststyle"/>
      </w:pPr>
      <w:r w:rsidRPr="00051332">
        <w:t>RoLR plan participant obligations</w:t>
      </w:r>
    </w:p>
    <w:p w:rsidR="00195CCB" w:rsidRPr="00051332" w:rsidRDefault="00195CCB" w:rsidP="00D64CBB">
      <w:pPr>
        <w:pStyle w:val="AERnumberedlistsecondstyle"/>
        <w:numPr>
          <w:ilvl w:val="0"/>
          <w:numId w:val="33"/>
        </w:numPr>
      </w:pPr>
      <w:r w:rsidRPr="00051332">
        <w:t>Is the failed retailer required to provide life support and hardship details of customers to the designated RoLR(s), and what is the timing of the information exchange?</w:t>
      </w:r>
    </w:p>
    <w:p w:rsidR="00195CCB" w:rsidRDefault="00195CCB" w:rsidP="00F047BC">
      <w:pPr>
        <w:pStyle w:val="AERbodytext"/>
        <w:ind w:left="720"/>
      </w:pPr>
      <w:r w:rsidRPr="00051332">
        <w:t>Failed retailers must provide customer details to the designated RoLR(s) which include, and must clearly identify, customers requiring life support equipment as well as hardship customers (NERL s.163(c</w:t>
      </w:r>
      <w:proofErr w:type="gramStart"/>
      <w:r w:rsidRPr="00051332">
        <w:t>)(</w:t>
      </w:r>
      <w:proofErr w:type="spellStart"/>
      <w:proofErr w:type="gramEnd"/>
      <w:r w:rsidRPr="00051332">
        <w:t>i</w:t>
      </w:r>
      <w:proofErr w:type="spellEnd"/>
      <w:r w:rsidRPr="00051332">
        <w:t xml:space="preserve">), RoLR plan cl. </w:t>
      </w:r>
      <w:r w:rsidRPr="00051332">
        <w:lastRenderedPageBreak/>
        <w:t>2.4(2)(iii)).</w:t>
      </w:r>
      <w:r>
        <w:t xml:space="preserve"> Further, cl.14(c)(2) of the Victorian Energy Retail Code requires Victorian gas retailers or </w:t>
      </w:r>
      <w:r w:rsidRPr="00990B09">
        <w:t>distributors to register a customer’s supply address as a medical exemption supply address should the customer request registration and provide a current medical certificate certifying that a person residing at the supply address has a medical condition which requires continued supply of gas.</w:t>
      </w:r>
    </w:p>
    <w:p w:rsidR="00195CCB" w:rsidRDefault="00195CCB" w:rsidP="00202DC0">
      <w:pPr>
        <w:pStyle w:val="AERbulletlistfirststyle"/>
        <w:numPr>
          <w:ilvl w:val="0"/>
          <w:numId w:val="0"/>
        </w:numPr>
        <w:ind w:left="720"/>
      </w:pPr>
      <w:r>
        <w:t>The timings for the information exchange for the different gas markets and the NEM are as follows:</w:t>
      </w:r>
      <w:r w:rsidRPr="00051332">
        <w:t xml:space="preserve">  </w:t>
      </w:r>
    </w:p>
    <w:p w:rsidR="00195CCB" w:rsidRPr="00FD2727" w:rsidRDefault="00195CCB" w:rsidP="006E0019">
      <w:pPr>
        <w:ind w:left="1020"/>
      </w:pPr>
      <w:r w:rsidRPr="00FD2727">
        <w:t>NSW/ACT Gas RoLR</w:t>
      </w:r>
    </w:p>
    <w:p w:rsidR="00195CCB" w:rsidRPr="00FD2727" w:rsidRDefault="00195CCB" w:rsidP="006E0019">
      <w:pPr>
        <w:ind w:left="1020"/>
      </w:pPr>
      <w:r w:rsidRPr="00FD2727">
        <w:t xml:space="preserve">As soon as is practicable, but in any event not later than two </w:t>
      </w:r>
      <w:r w:rsidRPr="00FD2727">
        <w:rPr>
          <w:i/>
          <w:iCs/>
        </w:rPr>
        <w:t xml:space="preserve">business days </w:t>
      </w:r>
      <w:r w:rsidRPr="00FD2727">
        <w:t xml:space="preserve">after receiving a request from the </w:t>
      </w:r>
      <w:r w:rsidRPr="00FD2727">
        <w:rPr>
          <w:i/>
          <w:iCs/>
        </w:rPr>
        <w:t>Rules administrator</w:t>
      </w:r>
      <w:r>
        <w:rPr>
          <w:i/>
          <w:iCs/>
        </w:rPr>
        <w:t xml:space="preserve"> </w:t>
      </w:r>
      <w:r w:rsidRPr="000F78D7">
        <w:rPr>
          <w:iCs/>
        </w:rPr>
        <w:t>(</w:t>
      </w:r>
      <w:proofErr w:type="spellStart"/>
      <w:r w:rsidRPr="000F78D7">
        <w:rPr>
          <w:iCs/>
        </w:rPr>
        <w:t>ie</w:t>
      </w:r>
      <w:proofErr w:type="spellEnd"/>
      <w:r w:rsidRPr="000F78D7">
        <w:rPr>
          <w:iCs/>
        </w:rPr>
        <w:t>, AEMO)</w:t>
      </w:r>
      <w:r w:rsidRPr="00FD2727">
        <w:rPr>
          <w:i/>
          <w:iCs/>
        </w:rPr>
        <w:t xml:space="preserve">, </w:t>
      </w:r>
      <w:r w:rsidRPr="00FD2727">
        <w:t xml:space="preserve">the </w:t>
      </w:r>
      <w:r w:rsidRPr="00FD2727">
        <w:rPr>
          <w:i/>
          <w:iCs/>
        </w:rPr>
        <w:t xml:space="preserve">affected user </w:t>
      </w:r>
      <w:r w:rsidRPr="00FD2727">
        <w:t xml:space="preserve">must provide the </w:t>
      </w:r>
      <w:r w:rsidRPr="00FD2727">
        <w:rPr>
          <w:i/>
          <w:iCs/>
        </w:rPr>
        <w:t xml:space="preserve">Rules administrator </w:t>
      </w:r>
      <w:r w:rsidRPr="00FD2727">
        <w:t xml:space="preserve">with </w:t>
      </w:r>
      <w:r w:rsidRPr="00FD2727">
        <w:rPr>
          <w:i/>
          <w:iCs/>
        </w:rPr>
        <w:t xml:space="preserve">customer information </w:t>
      </w:r>
      <w:r w:rsidRPr="00FD2727">
        <w:t xml:space="preserve">for each </w:t>
      </w:r>
      <w:r w:rsidRPr="00FD2727">
        <w:rPr>
          <w:i/>
          <w:iCs/>
        </w:rPr>
        <w:t xml:space="preserve">delivery point identifier </w:t>
      </w:r>
      <w:r w:rsidRPr="00FD2727">
        <w:t xml:space="preserve">for which it was the </w:t>
      </w:r>
      <w:r w:rsidRPr="00FD2727">
        <w:rPr>
          <w:i/>
          <w:iCs/>
        </w:rPr>
        <w:t xml:space="preserve">current user </w:t>
      </w:r>
      <w:r w:rsidRPr="00FD2727">
        <w:t xml:space="preserve">immediately prior to the </w:t>
      </w:r>
      <w:r w:rsidRPr="00FD2727">
        <w:rPr>
          <w:i/>
          <w:iCs/>
        </w:rPr>
        <w:t>RoLR effective date</w:t>
      </w:r>
      <w:r w:rsidRPr="00FD2727">
        <w:t xml:space="preserve">. </w:t>
      </w:r>
    </w:p>
    <w:p w:rsidR="00195CCB" w:rsidRPr="00FD2727" w:rsidRDefault="00195CCB" w:rsidP="006E0019">
      <w:pPr>
        <w:ind w:left="1020"/>
      </w:pPr>
    </w:p>
    <w:p w:rsidR="00195CCB" w:rsidRPr="00FD2727" w:rsidRDefault="00195CCB" w:rsidP="006E0019">
      <w:pPr>
        <w:ind w:left="1020"/>
      </w:pPr>
      <w:r w:rsidRPr="00FD2727">
        <w:t>Vic Gas RoLR</w:t>
      </w:r>
    </w:p>
    <w:p w:rsidR="00195CCB" w:rsidRPr="00FD2727" w:rsidRDefault="00195CCB" w:rsidP="006E0019">
      <w:pPr>
        <w:pStyle w:val="Default"/>
        <w:ind w:left="1020"/>
        <w:rPr>
          <w:rFonts w:ascii="Times New Roman" w:hAnsi="Times New Roman" w:cs="Times New Roman"/>
          <w:color w:val="auto"/>
        </w:rPr>
      </w:pPr>
      <w:r w:rsidRPr="00FD2727">
        <w:rPr>
          <w:rFonts w:ascii="Times New Roman" w:hAnsi="Times New Roman" w:cs="Times New Roman"/>
          <w:color w:val="auto"/>
        </w:rPr>
        <w:t xml:space="preserve">Before the </w:t>
      </w:r>
      <w:r w:rsidRPr="00FD2727">
        <w:rPr>
          <w:rFonts w:ascii="Times New Roman" w:hAnsi="Times New Roman" w:cs="Times New Roman"/>
          <w:i/>
          <w:iCs/>
          <w:color w:val="auto"/>
        </w:rPr>
        <w:t xml:space="preserve">RoLR gas day, </w:t>
      </w:r>
      <w:r w:rsidRPr="00FD2727">
        <w:rPr>
          <w:rFonts w:ascii="Times New Roman" w:hAnsi="Times New Roman" w:cs="Times New Roman"/>
          <w:color w:val="auto"/>
        </w:rPr>
        <w:t xml:space="preserve">AEMO must: </w:t>
      </w:r>
    </w:p>
    <w:p w:rsidR="00195CCB" w:rsidRPr="00FD2727" w:rsidRDefault="00195CCB" w:rsidP="006E0019">
      <w:pPr>
        <w:pStyle w:val="Default"/>
        <w:ind w:left="1020"/>
        <w:rPr>
          <w:rFonts w:ascii="Times New Roman" w:hAnsi="Times New Roman" w:cs="Times New Roman"/>
          <w:color w:val="auto"/>
        </w:rPr>
      </w:pPr>
      <w:proofErr w:type="gramStart"/>
      <w:r w:rsidRPr="00FD2727">
        <w:rPr>
          <w:rFonts w:ascii="Times New Roman" w:hAnsi="Times New Roman" w:cs="Times New Roman"/>
          <w:color w:val="auto"/>
        </w:rPr>
        <w:t>provide</w:t>
      </w:r>
      <w:proofErr w:type="gramEnd"/>
      <w:r w:rsidRPr="00FD2727">
        <w:rPr>
          <w:rFonts w:ascii="Times New Roman" w:hAnsi="Times New Roman" w:cs="Times New Roman"/>
          <w:color w:val="auto"/>
        </w:rPr>
        <w:t xml:space="preserve"> each </w:t>
      </w:r>
      <w:r w:rsidRPr="00FD2727">
        <w:rPr>
          <w:rFonts w:ascii="Times New Roman" w:hAnsi="Times New Roman" w:cs="Times New Roman"/>
          <w:i/>
          <w:iCs/>
          <w:color w:val="auto"/>
        </w:rPr>
        <w:t xml:space="preserve">declared host Retailer </w:t>
      </w:r>
      <w:r w:rsidRPr="00FD2727">
        <w:rPr>
          <w:rFonts w:ascii="Times New Roman" w:hAnsi="Times New Roman" w:cs="Times New Roman"/>
          <w:color w:val="auto"/>
        </w:rPr>
        <w:t xml:space="preserve">a file containing customer details using the most recently received </w:t>
      </w:r>
      <w:r w:rsidRPr="00FD2727">
        <w:rPr>
          <w:rFonts w:ascii="Times New Roman" w:hAnsi="Times New Roman" w:cs="Times New Roman"/>
          <w:i/>
          <w:iCs/>
          <w:color w:val="auto"/>
        </w:rPr>
        <w:t xml:space="preserve">complete customer listing </w:t>
      </w:r>
      <w:r w:rsidRPr="00FD2727">
        <w:rPr>
          <w:rFonts w:ascii="Times New Roman" w:hAnsi="Times New Roman" w:cs="Times New Roman"/>
          <w:color w:val="auto"/>
        </w:rPr>
        <w:t xml:space="preserve">in accordance with the </w:t>
      </w:r>
      <w:r w:rsidRPr="00FD2727">
        <w:rPr>
          <w:rFonts w:ascii="Times New Roman" w:hAnsi="Times New Roman" w:cs="Times New Roman"/>
          <w:i/>
          <w:iCs/>
          <w:color w:val="auto"/>
        </w:rPr>
        <w:t>Gas Interface Protocol.</w:t>
      </w:r>
    </w:p>
    <w:p w:rsidR="00195CCB" w:rsidRPr="00FD2727" w:rsidRDefault="00195CCB" w:rsidP="006E0019">
      <w:pPr>
        <w:ind w:left="1020"/>
      </w:pPr>
    </w:p>
    <w:p w:rsidR="00195CCB" w:rsidRPr="00FD2727" w:rsidRDefault="00195CCB" w:rsidP="006E0019">
      <w:pPr>
        <w:ind w:left="1020"/>
      </w:pPr>
      <w:r w:rsidRPr="00FD2727">
        <w:t>SA Gas RoLR</w:t>
      </w:r>
    </w:p>
    <w:p w:rsidR="00195CCB" w:rsidRPr="00FD2727" w:rsidRDefault="00195CCB" w:rsidP="006E0019">
      <w:pPr>
        <w:ind w:left="1020"/>
      </w:pPr>
      <w:r w:rsidRPr="00FD2727">
        <w:t xml:space="preserve">Before the </w:t>
      </w:r>
      <w:r w:rsidRPr="00FD2727">
        <w:rPr>
          <w:i/>
          <w:iCs/>
        </w:rPr>
        <w:t>RoLR gas day</w:t>
      </w:r>
      <w:r w:rsidRPr="00FD2727">
        <w:t xml:space="preserve">, the </w:t>
      </w:r>
      <w:r w:rsidRPr="00FD2727">
        <w:rPr>
          <w:i/>
          <w:iCs/>
        </w:rPr>
        <w:t xml:space="preserve">failed Retailer </w:t>
      </w:r>
      <w:r w:rsidRPr="00FD2727">
        <w:t xml:space="preserve">or its </w:t>
      </w:r>
      <w:r w:rsidRPr="00FD2727">
        <w:rPr>
          <w:i/>
          <w:iCs/>
        </w:rPr>
        <w:t xml:space="preserve">insolvency official </w:t>
      </w:r>
      <w:r w:rsidRPr="00FD2727">
        <w:t xml:space="preserve">must provide each </w:t>
      </w:r>
      <w:r w:rsidRPr="00FD2727">
        <w:rPr>
          <w:i/>
          <w:iCs/>
        </w:rPr>
        <w:t xml:space="preserve">designated RoLR </w:t>
      </w:r>
      <w:r w:rsidRPr="00FD2727">
        <w:t xml:space="preserve">a file containing customer details for the MIRNs for which they will become the </w:t>
      </w:r>
      <w:r w:rsidRPr="00FD2727">
        <w:rPr>
          <w:i/>
          <w:iCs/>
        </w:rPr>
        <w:t xml:space="preserve">current user </w:t>
      </w:r>
      <w:r w:rsidRPr="00FD2727">
        <w:t xml:space="preserve">in accordance with the </w:t>
      </w:r>
      <w:r w:rsidRPr="00FD2727">
        <w:rPr>
          <w:i/>
          <w:iCs/>
        </w:rPr>
        <w:t>AEMO Specification Pack</w:t>
      </w:r>
      <w:r w:rsidRPr="00FD2727">
        <w:t>.</w:t>
      </w:r>
    </w:p>
    <w:p w:rsidR="00195CCB" w:rsidRPr="00FD2727" w:rsidRDefault="00195CCB" w:rsidP="006E0019">
      <w:pPr>
        <w:ind w:left="1020"/>
      </w:pPr>
    </w:p>
    <w:p w:rsidR="00195CCB" w:rsidRPr="00FD2727" w:rsidRDefault="00195CCB" w:rsidP="006E0019">
      <w:pPr>
        <w:ind w:left="1020"/>
      </w:pPr>
      <w:r w:rsidRPr="00FD2727">
        <w:t>QLD Gas RoLR</w:t>
      </w:r>
    </w:p>
    <w:p w:rsidR="00195CCB" w:rsidRPr="00FD2727" w:rsidRDefault="00195CCB" w:rsidP="006E0019">
      <w:pPr>
        <w:ind w:left="1020"/>
      </w:pPr>
      <w:r w:rsidRPr="00FD2727">
        <w:t>No Obligation.</w:t>
      </w:r>
    </w:p>
    <w:p w:rsidR="00195CCB" w:rsidRPr="00FD2727" w:rsidRDefault="00195CCB" w:rsidP="006E0019">
      <w:pPr>
        <w:ind w:left="1020"/>
      </w:pPr>
    </w:p>
    <w:p w:rsidR="00195CCB" w:rsidRPr="00FD2727" w:rsidRDefault="00195CCB" w:rsidP="006E0019">
      <w:pPr>
        <w:ind w:left="1020"/>
      </w:pPr>
      <w:r w:rsidRPr="00FD2727">
        <w:t>National Electricity Market</w:t>
      </w:r>
    </w:p>
    <w:p w:rsidR="00195CCB" w:rsidRPr="00FD2727" w:rsidRDefault="00684532" w:rsidP="006E0019">
      <w:pPr>
        <w:autoSpaceDE w:val="0"/>
        <w:autoSpaceDN w:val="0"/>
        <w:ind w:left="1020"/>
      </w:pPr>
      <w:r>
        <w:t>NEM RoLR Process state:</w:t>
      </w:r>
    </w:p>
    <w:p w:rsidR="00195CCB" w:rsidRPr="00FD2727" w:rsidRDefault="00195CCB" w:rsidP="006E0019">
      <w:pPr>
        <w:autoSpaceDE w:val="0"/>
        <w:autoSpaceDN w:val="0"/>
        <w:spacing w:after="221"/>
        <w:ind w:left="1020"/>
      </w:pPr>
      <w:r w:rsidRPr="00FD2727">
        <w:t xml:space="preserve">a) The </w:t>
      </w:r>
      <w:r w:rsidRPr="00FD2727">
        <w:rPr>
          <w:i/>
          <w:iCs/>
        </w:rPr>
        <w:t xml:space="preserve">suspended retailer/insolvency official </w:t>
      </w:r>
      <w:r w:rsidRPr="00FD2727">
        <w:t xml:space="preserve">must make reasonable endeavours to comply (with clause 102.3(a) of the NEM RoLR process) by the end of the next </w:t>
      </w:r>
      <w:r w:rsidRPr="00FD2727">
        <w:rPr>
          <w:i/>
          <w:iCs/>
        </w:rPr>
        <w:t xml:space="preserve">business day </w:t>
      </w:r>
      <w:r w:rsidRPr="00FD2727">
        <w:t xml:space="preserve">after receiving the </w:t>
      </w:r>
      <w:r w:rsidRPr="00FD2727">
        <w:rPr>
          <w:i/>
          <w:iCs/>
        </w:rPr>
        <w:t xml:space="preserve">NMI </w:t>
      </w:r>
      <w:r w:rsidRPr="00FD2727">
        <w:t xml:space="preserve">List report provided by AEMO and, if that is not possible, must comply within four business days of receiving it. </w:t>
      </w:r>
    </w:p>
    <w:p w:rsidR="00195CCB" w:rsidRDefault="00195CCB" w:rsidP="006E0019">
      <w:pPr>
        <w:autoSpaceDE w:val="0"/>
        <w:autoSpaceDN w:val="0"/>
        <w:ind w:left="1020"/>
      </w:pPr>
      <w:r w:rsidRPr="00FD2727">
        <w:t xml:space="preserve">b) The </w:t>
      </w:r>
      <w:r w:rsidRPr="00FD2727">
        <w:rPr>
          <w:i/>
          <w:iCs/>
        </w:rPr>
        <w:t xml:space="preserve">LNSP </w:t>
      </w:r>
      <w:r w:rsidRPr="00FD2727">
        <w:t xml:space="preserve">must comply (with clause 102.4(a) of the NEM RoLR Process) within four business days of receiving the </w:t>
      </w:r>
      <w:r w:rsidRPr="00FD2727">
        <w:rPr>
          <w:i/>
          <w:iCs/>
        </w:rPr>
        <w:t xml:space="preserve">NMI </w:t>
      </w:r>
      <w:r w:rsidRPr="00FD2727">
        <w:t>List reports provided by AEMO.</w:t>
      </w:r>
    </w:p>
    <w:p w:rsidR="00195CCB" w:rsidRPr="00212908" w:rsidRDefault="00195CCB" w:rsidP="00195CCB">
      <w:pPr>
        <w:autoSpaceDE w:val="0"/>
        <w:autoSpaceDN w:val="0"/>
        <w:ind w:left="1440"/>
      </w:pPr>
    </w:p>
    <w:p w:rsidR="00195CCB" w:rsidRPr="00051332" w:rsidRDefault="00195CCB" w:rsidP="00990B09">
      <w:pPr>
        <w:pStyle w:val="AERnumberedlistsecondstyle"/>
      </w:pPr>
      <w:r w:rsidRPr="00051332">
        <w:t>What are the RoLR obligations for retailers selling only to large customers?</w:t>
      </w:r>
    </w:p>
    <w:p w:rsidR="00195CCB" w:rsidRPr="00051332" w:rsidRDefault="00195CCB" w:rsidP="006E0019">
      <w:pPr>
        <w:pStyle w:val="AERbodytext"/>
        <w:ind w:left="720"/>
      </w:pPr>
      <w:r w:rsidRPr="00051332">
        <w:t xml:space="preserve">Retailers selling only to large customers share the same obligations as other retailers in regards to being required to advise the AER if they may be at risk of failure (NERL s.150(2)), and communicate to any </w:t>
      </w:r>
      <w:r>
        <w:t>“</w:t>
      </w:r>
      <w:r w:rsidRPr="00051332">
        <w:t>in-flight</w:t>
      </w:r>
      <w:r>
        <w:t>”</w:t>
      </w:r>
      <w:r w:rsidRPr="00051332">
        <w:t xml:space="preserve"> transfer customers to the failed retailer (NERL s.140(6); RoLR plan cl.2.3(b)). Further, RoLR scheme obligations relevant to retailers of large customers only include: </w:t>
      </w:r>
    </w:p>
    <w:p w:rsidR="00195CCB" w:rsidRPr="00051332" w:rsidRDefault="00195CCB" w:rsidP="00990B09">
      <w:pPr>
        <w:pStyle w:val="AERbulletlistthirdstyle"/>
      </w:pPr>
      <w:r>
        <w:lastRenderedPageBreak/>
        <w:t>A</w:t>
      </w:r>
      <w:r w:rsidRPr="00051332">
        <w:t>dvising AEMO in writing if a retailer is to be the nominated retailer for a large customer so that AEMO may transfer the large customer to the nominated retailer instead of the default RoLR  (NERL 140(7))</w:t>
      </w:r>
    </w:p>
    <w:p w:rsidR="00195CCB" w:rsidRDefault="00195CCB" w:rsidP="00990B09">
      <w:pPr>
        <w:pStyle w:val="AERbulletlistthirdstyle"/>
      </w:pPr>
      <w:r>
        <w:t>R</w:t>
      </w:r>
      <w:r w:rsidRPr="00051332">
        <w:t>etailers selling to large customers only may submit an EOI to be an additional RoLR with a firm offer for large customers only (AER RoLR Guideline cl.4.1; AER Statement of Approach cl.3.4)</w:t>
      </w:r>
    </w:p>
    <w:p w:rsidR="00195CCB" w:rsidRDefault="00195CCB" w:rsidP="00990B09">
      <w:pPr>
        <w:pStyle w:val="AERbulletlistthirdstyle"/>
      </w:pPr>
      <w:r w:rsidRPr="00D67D7F">
        <w:t>The RoLR Procedures/Processes are applicable to NMIs that have the classification of large or small, Service Providers, RoLR-event affected Participants and Suspended retailer.</w:t>
      </w:r>
    </w:p>
    <w:p w:rsidR="00195CCB" w:rsidRPr="00051332" w:rsidRDefault="00195CCB" w:rsidP="00990B09">
      <w:pPr>
        <w:pStyle w:val="AERnumberedlistfirststyle"/>
      </w:pPr>
      <w:r w:rsidRPr="00051332">
        <w:t>Clarification of RoLR regime provisions</w:t>
      </w:r>
    </w:p>
    <w:p w:rsidR="00195CCB" w:rsidRPr="00051332" w:rsidRDefault="00195CCB" w:rsidP="00D64CBB">
      <w:pPr>
        <w:pStyle w:val="AERnumberedlistsecondstyle"/>
        <w:numPr>
          <w:ilvl w:val="0"/>
          <w:numId w:val="34"/>
        </w:numPr>
      </w:pPr>
      <w:r w:rsidRPr="00051332">
        <w:t>What is the notified time and date of a RoLR event if an administrator were to be appointed?</w:t>
      </w:r>
    </w:p>
    <w:p w:rsidR="00195CCB" w:rsidRDefault="00195CCB" w:rsidP="006E0019">
      <w:pPr>
        <w:pStyle w:val="AERbodytext"/>
        <w:ind w:left="720"/>
      </w:pPr>
      <w:r w:rsidRPr="00051332">
        <w:t xml:space="preserve">The appointment of an administrator is a RoLR event (NERL s.122), and the RoLR event occurs when the administrator is appointed.  Where the RoLR event involves suspension from the wholesale market, the transfer date is taken to be the date and time of the suspension unless an earlier date is fixed (NERL </w:t>
      </w:r>
      <w:proofErr w:type="gramStart"/>
      <w:r w:rsidRPr="00051332">
        <w:t>s.136(</w:t>
      </w:r>
      <w:proofErr w:type="gramEnd"/>
      <w:r w:rsidRPr="00051332">
        <w:t>5)).</w:t>
      </w:r>
    </w:p>
    <w:p w:rsidR="00BD0FA8" w:rsidRDefault="00BD0FA8" w:rsidP="00BD0FA8">
      <w:pPr>
        <w:pStyle w:val="Heading2"/>
      </w:pPr>
      <w:bookmarkStart w:id="10" w:name="_Toc371945779"/>
      <w:r>
        <w:t>Conclusion</w:t>
      </w:r>
      <w:bookmarkEnd w:id="10"/>
    </w:p>
    <w:p w:rsidR="00BD0FA8" w:rsidRDefault="00BD0FA8" w:rsidP="00BD0FA8">
      <w:pPr>
        <w:pStyle w:val="AERbodytext"/>
      </w:pPr>
      <w:r>
        <w:t xml:space="preserve">This RoLR exercise report describes the conduct of the RoLR exercise undertaken with RoLR plan participants on 21 October 2013. In developing the exercise, the AER worked closely with AEMO, with the overall purpose of ensuring that RoLR plan participants are able to meet their RoLR obligations under the NERL. </w:t>
      </w:r>
    </w:p>
    <w:p w:rsidR="00BD0FA8" w:rsidRDefault="00BD0FA8" w:rsidP="00BD0FA8">
      <w:pPr>
        <w:pStyle w:val="AERbodytext"/>
      </w:pPr>
      <w:r>
        <w:t>A post-exercise review suggests that key RoLR plan participants are aware of their RoLR obligations, and have undertaken preparations as required. Further, there is a greater awareness amongst second tier retailers of their RoLR obligations. These outcomes were evident through the level of detailed questions during the exercise, as well as through discussions with RoLR plan participants during the exercise preparation.</w:t>
      </w:r>
    </w:p>
    <w:p w:rsidR="00BD0FA8" w:rsidRDefault="00BD0FA8" w:rsidP="00BD0FA8">
      <w:pPr>
        <w:pStyle w:val="AERbodytext"/>
      </w:pPr>
      <w:r>
        <w:t>The AER considers that the exercise was successful in ensuring the RoLR plan participants are better prepared to meet their RoLR obligations under the NERL</w:t>
      </w:r>
      <w:r w:rsidR="003876F3" w:rsidRPr="003876F3">
        <w:t>, however, the AER will consider improvements to the format based on feedback received</w:t>
      </w:r>
      <w:r>
        <w:t xml:space="preserve">.  The AER will conduct the next public RoLR exercise in 2014.  </w:t>
      </w:r>
    </w:p>
    <w:p w:rsidR="00A51358" w:rsidRDefault="00A51358" w:rsidP="00A51358">
      <w:pPr>
        <w:pStyle w:val="Heading2"/>
      </w:pPr>
      <w:bookmarkStart w:id="11" w:name="_Toc371945780"/>
      <w:r>
        <w:t>Further AER RoLR information</w:t>
      </w:r>
      <w:bookmarkEnd w:id="11"/>
    </w:p>
    <w:p w:rsidR="00195CCB" w:rsidRPr="00E40E79" w:rsidRDefault="00195CCB" w:rsidP="00990B09">
      <w:pPr>
        <w:pStyle w:val="AERbodytext"/>
      </w:pPr>
      <w:r w:rsidRPr="00212908">
        <w:t xml:space="preserve">National Energy Retail Law: </w:t>
      </w:r>
      <w:hyperlink r:id="rId16" w:history="1">
        <w:r w:rsidRPr="00212908">
          <w:rPr>
            <w:rStyle w:val="Hyperlink"/>
          </w:rPr>
          <w:t>http</w:t>
        </w:r>
        <w:r w:rsidRPr="00051332">
          <w:rPr>
            <w:rStyle w:val="Hyperlink"/>
          </w:rPr>
          <w:t>://www.legislation.sa.gov.au/LZ/C/A/NATIONAL%20ENERGY%20RETAIL%20LAW%20(SOUTH%20AUSTRALIA)%20ACT%202011.aspx</w:t>
        </w:r>
      </w:hyperlink>
    </w:p>
    <w:p w:rsidR="00195CCB" w:rsidRPr="00E40E79" w:rsidRDefault="00195CCB" w:rsidP="00990B09">
      <w:pPr>
        <w:pStyle w:val="AERbodytext"/>
      </w:pPr>
      <w:r w:rsidRPr="00051332">
        <w:t xml:space="preserve">AER RoLR Guidelines and RoLR plan: </w:t>
      </w:r>
      <w:hyperlink r:id="rId17" w:history="1">
        <w:r w:rsidRPr="00212908">
          <w:rPr>
            <w:rStyle w:val="Hyperlink"/>
          </w:rPr>
          <w:t>http://www.aer.gov.au/node/1189</w:t>
        </w:r>
      </w:hyperlink>
    </w:p>
    <w:p w:rsidR="00195CCB" w:rsidRPr="00E40E79" w:rsidRDefault="00195CCB" w:rsidP="00990B09">
      <w:pPr>
        <w:pStyle w:val="AERbodytext"/>
      </w:pPr>
      <w:r>
        <w:t xml:space="preserve">AER </w:t>
      </w:r>
      <w:r w:rsidRPr="00051332">
        <w:t xml:space="preserve">RoLR email contact: </w:t>
      </w:r>
      <w:hyperlink r:id="rId18" w:history="1">
        <w:r w:rsidRPr="00212908">
          <w:rPr>
            <w:rStyle w:val="Hyperlink"/>
          </w:rPr>
          <w:t>AERRoLR@aer.gov.au</w:t>
        </w:r>
      </w:hyperlink>
    </w:p>
    <w:p w:rsidR="00195CCB" w:rsidRDefault="00195CCB" w:rsidP="00990B09">
      <w:pPr>
        <w:pStyle w:val="AERbodytext"/>
      </w:pPr>
      <w:r w:rsidRPr="00051332">
        <w:t xml:space="preserve">AEMO RoLR </w:t>
      </w:r>
      <w:r>
        <w:t xml:space="preserve">Policies and </w:t>
      </w:r>
      <w:r w:rsidRPr="00051332">
        <w:t>Procedures</w:t>
      </w:r>
      <w:r>
        <w:t xml:space="preserve">: </w:t>
      </w:r>
    </w:p>
    <w:p w:rsidR="00195CCB" w:rsidRDefault="00195CCB" w:rsidP="00990B09">
      <w:pPr>
        <w:pStyle w:val="AERbulletlistfirststyle"/>
      </w:pPr>
      <w:r>
        <w:lastRenderedPageBreak/>
        <w:t xml:space="preserve">NEM </w:t>
      </w:r>
      <w:hyperlink r:id="rId19" w:history="1">
        <w:r w:rsidRPr="00613F13">
          <w:rPr>
            <w:rStyle w:val="Hyperlink"/>
          </w:rPr>
          <w:t>http://www.aemo.com.au/Electricity/Policies-and-Procedures/B2B/NEM-RoLR-Processes</w:t>
        </w:r>
      </w:hyperlink>
    </w:p>
    <w:p w:rsidR="00195CCB" w:rsidRDefault="00195CCB" w:rsidP="00990B09">
      <w:pPr>
        <w:pStyle w:val="AERbulletlistfirststyle"/>
      </w:pPr>
      <w:r>
        <w:t xml:space="preserve">Gas (found within each separate gas market’s policies and procedures): </w:t>
      </w:r>
      <w:hyperlink r:id="rId20" w:history="1">
        <w:r w:rsidRPr="00613F13">
          <w:rPr>
            <w:rStyle w:val="Hyperlink"/>
          </w:rPr>
          <w:t>http://www.aemo.com.au/Gas/Policies-and-Procedures</w:t>
        </w:r>
      </w:hyperlink>
    </w:p>
    <w:p w:rsidR="00A51358" w:rsidRDefault="00A51358" w:rsidP="00A51358">
      <w:pPr>
        <w:pStyle w:val="Heading11"/>
        <w:numPr>
          <w:ilvl w:val="0"/>
          <w:numId w:val="0"/>
        </w:numPr>
        <w:ind w:left="851" w:hanging="851"/>
      </w:pPr>
      <w:bookmarkStart w:id="12" w:name="_Toc371945781"/>
      <w:r>
        <w:lastRenderedPageBreak/>
        <w:t>Appendix A – RoLR plan participants in attendance</w:t>
      </w:r>
      <w:bookmarkEnd w:id="12"/>
    </w:p>
    <w:p w:rsidR="001B5749" w:rsidRPr="00E40E79" w:rsidRDefault="001B5749" w:rsidP="001B5749"/>
    <w:p w:rsidR="001B5749" w:rsidRPr="00051332" w:rsidRDefault="001B5749" w:rsidP="00990B09">
      <w:pPr>
        <w:pStyle w:val="AERbodytext"/>
      </w:pPr>
      <w:r w:rsidRPr="00212908">
        <w:t>ACT Civil and Administrative Tribunal (ACAT)</w:t>
      </w:r>
    </w:p>
    <w:p w:rsidR="001B5749" w:rsidRPr="00051332" w:rsidRDefault="001B5749" w:rsidP="00990B09">
      <w:pPr>
        <w:pStyle w:val="AERbodytext"/>
      </w:pPr>
      <w:r w:rsidRPr="00051332">
        <w:t>ACT Government</w:t>
      </w:r>
    </w:p>
    <w:p w:rsidR="001B5749" w:rsidRPr="00051332" w:rsidRDefault="001B5749" w:rsidP="00990B09">
      <w:pPr>
        <w:pStyle w:val="AERbodytext"/>
      </w:pPr>
      <w:r w:rsidRPr="00051332">
        <w:t>ActewAGL (distribution)</w:t>
      </w:r>
    </w:p>
    <w:p w:rsidR="001B5749" w:rsidRPr="00051332" w:rsidRDefault="001B5749" w:rsidP="00990B09">
      <w:pPr>
        <w:pStyle w:val="AERbodytext"/>
      </w:pPr>
      <w:r w:rsidRPr="00051332">
        <w:t>ActewAGL Retail</w:t>
      </w:r>
    </w:p>
    <w:p w:rsidR="001B5749" w:rsidRPr="00051332" w:rsidRDefault="001B5749" w:rsidP="00990B09">
      <w:pPr>
        <w:pStyle w:val="AERbodytext"/>
      </w:pPr>
      <w:r w:rsidRPr="00051332">
        <w:t>AGL Energy Limited / AGL Sales Pty Ltd / AGL South Australia</w:t>
      </w:r>
    </w:p>
    <w:p w:rsidR="001B5749" w:rsidRPr="00051332" w:rsidRDefault="001B5749" w:rsidP="00990B09">
      <w:pPr>
        <w:pStyle w:val="AERbodytext"/>
      </w:pPr>
      <w:r w:rsidRPr="00051332">
        <w:t>Alinta Energy Retail</w:t>
      </w:r>
    </w:p>
    <w:p w:rsidR="001B5749" w:rsidRPr="00051332" w:rsidRDefault="001B5749" w:rsidP="00990B09">
      <w:pPr>
        <w:pStyle w:val="AERbodytext"/>
      </w:pPr>
      <w:r w:rsidRPr="00051332">
        <w:t xml:space="preserve">APA Group - </w:t>
      </w:r>
      <w:proofErr w:type="spellStart"/>
      <w:r w:rsidRPr="00051332">
        <w:t>Envestra</w:t>
      </w:r>
      <w:proofErr w:type="spellEnd"/>
      <w:r w:rsidRPr="00051332">
        <w:t xml:space="preserve"> (incl Wagga Wagga)</w:t>
      </w:r>
    </w:p>
    <w:p w:rsidR="001B5749" w:rsidRPr="00051332" w:rsidRDefault="001B5749" w:rsidP="00990B09">
      <w:pPr>
        <w:pStyle w:val="AERbodytext"/>
      </w:pPr>
      <w:r w:rsidRPr="00051332">
        <w:t>Aurora Energy (distribution)</w:t>
      </w:r>
    </w:p>
    <w:p w:rsidR="001B5749" w:rsidRPr="00051332" w:rsidRDefault="001B5749" w:rsidP="00990B09">
      <w:pPr>
        <w:pStyle w:val="AERbodytext"/>
      </w:pPr>
      <w:r w:rsidRPr="00051332">
        <w:t>Aurora Energy Retail</w:t>
      </w:r>
    </w:p>
    <w:p w:rsidR="001B5749" w:rsidRPr="00051332" w:rsidRDefault="001B5749" w:rsidP="00990B09">
      <w:pPr>
        <w:pStyle w:val="AERbodytext"/>
      </w:pPr>
      <w:r w:rsidRPr="00051332">
        <w:t>Ausgrid</w:t>
      </w:r>
    </w:p>
    <w:p w:rsidR="001B5749" w:rsidRPr="00051332" w:rsidRDefault="001B5749" w:rsidP="00990B09">
      <w:pPr>
        <w:pStyle w:val="AERbodytext"/>
      </w:pPr>
      <w:r w:rsidRPr="00051332">
        <w:t>Australian Energy Market Commission</w:t>
      </w:r>
    </w:p>
    <w:p w:rsidR="001B5749" w:rsidRPr="00051332" w:rsidRDefault="001B5749" w:rsidP="00990B09">
      <w:pPr>
        <w:pStyle w:val="AERbodytext"/>
      </w:pPr>
      <w:r w:rsidRPr="00051332">
        <w:t>Australian Energy Market Operator</w:t>
      </w:r>
    </w:p>
    <w:p w:rsidR="001B5749" w:rsidRPr="00051332" w:rsidRDefault="001B5749" w:rsidP="00990B09">
      <w:pPr>
        <w:pStyle w:val="AERbodytext"/>
      </w:pPr>
      <w:r w:rsidRPr="00051332">
        <w:t>Australian Energy Regulator</w:t>
      </w:r>
    </w:p>
    <w:p w:rsidR="001B5749" w:rsidRPr="00051332" w:rsidRDefault="001B5749" w:rsidP="00990B09">
      <w:pPr>
        <w:pStyle w:val="AERbodytext"/>
      </w:pPr>
      <w:r w:rsidRPr="00051332">
        <w:t>Australian Power and Gas</w:t>
      </w:r>
    </w:p>
    <w:p w:rsidR="001B5749" w:rsidRPr="00051332" w:rsidRDefault="001B5749" w:rsidP="00990B09">
      <w:pPr>
        <w:pStyle w:val="AERbodytext"/>
      </w:pPr>
      <w:r w:rsidRPr="00051332">
        <w:t>Blue NRG</w:t>
      </w:r>
    </w:p>
    <w:p w:rsidR="001B5749" w:rsidRPr="00051332" w:rsidRDefault="001B5749" w:rsidP="00990B09">
      <w:pPr>
        <w:pStyle w:val="AERbodytext"/>
      </w:pPr>
      <w:proofErr w:type="spellStart"/>
      <w:r w:rsidRPr="00051332">
        <w:t>CitiPower</w:t>
      </w:r>
      <w:proofErr w:type="spellEnd"/>
      <w:r w:rsidRPr="00051332">
        <w:t xml:space="preserve"> &amp; </w:t>
      </w:r>
      <w:proofErr w:type="spellStart"/>
      <w:r w:rsidRPr="00051332">
        <w:t>Powercor</w:t>
      </w:r>
      <w:proofErr w:type="spellEnd"/>
      <w:r w:rsidRPr="00051332">
        <w:t xml:space="preserve"> Australia Ltd</w:t>
      </w:r>
    </w:p>
    <w:p w:rsidR="001B5749" w:rsidRPr="00051332" w:rsidRDefault="001B5749" w:rsidP="00990B09">
      <w:pPr>
        <w:pStyle w:val="AERbodytext"/>
      </w:pPr>
      <w:r w:rsidRPr="00051332">
        <w:t>Department for Manufacturing, Innovation, Trade, Resources and Energy (DMITRE)</w:t>
      </w:r>
    </w:p>
    <w:p w:rsidR="001B5749" w:rsidRPr="00051332" w:rsidRDefault="001B5749" w:rsidP="00990B09">
      <w:pPr>
        <w:pStyle w:val="AERbodytext"/>
      </w:pPr>
      <w:r w:rsidRPr="00051332">
        <w:t>Department of Energy &amp; Waters Supply (DEWS)</w:t>
      </w:r>
    </w:p>
    <w:p w:rsidR="001B5749" w:rsidRPr="00051332" w:rsidRDefault="001B5749" w:rsidP="00990B09">
      <w:pPr>
        <w:pStyle w:val="AERbodytext"/>
      </w:pPr>
      <w:r w:rsidRPr="00051332">
        <w:t>Department of Infrastructure, Energy and Resources (DIER)</w:t>
      </w:r>
    </w:p>
    <w:p w:rsidR="001B5749" w:rsidRPr="00051332" w:rsidRDefault="001B5749" w:rsidP="00990B09">
      <w:pPr>
        <w:pStyle w:val="AERbodytext"/>
      </w:pPr>
      <w:r w:rsidRPr="00051332">
        <w:t>Department of Resources, Energy &amp; Tourism (DRET)</w:t>
      </w:r>
    </w:p>
    <w:p w:rsidR="001B5749" w:rsidRPr="00051332" w:rsidRDefault="001B5749" w:rsidP="00990B09">
      <w:pPr>
        <w:pStyle w:val="AERbodytext"/>
      </w:pPr>
      <w:r w:rsidRPr="00051332">
        <w:t>Department of State Development, Business and Innovation (DSDBI)</w:t>
      </w:r>
    </w:p>
    <w:p w:rsidR="001B5749" w:rsidRPr="00051332" w:rsidRDefault="001B5749" w:rsidP="00990B09">
      <w:pPr>
        <w:pStyle w:val="AERbodytext"/>
      </w:pPr>
      <w:r w:rsidRPr="00051332">
        <w:t>Dodo Power and Gas</w:t>
      </w:r>
    </w:p>
    <w:p w:rsidR="001B5749" w:rsidRPr="00051332" w:rsidRDefault="001B5749" w:rsidP="00990B09">
      <w:pPr>
        <w:pStyle w:val="AERbodytext"/>
      </w:pPr>
      <w:r w:rsidRPr="00051332">
        <w:t>EDL Retail</w:t>
      </w:r>
    </w:p>
    <w:p w:rsidR="001B5749" w:rsidRPr="00051332" w:rsidRDefault="001B5749" w:rsidP="00990B09">
      <w:pPr>
        <w:pStyle w:val="AERbodytext"/>
      </w:pPr>
      <w:r w:rsidRPr="00051332">
        <w:t>Endeavour Energy</w:t>
      </w:r>
    </w:p>
    <w:p w:rsidR="001B5749" w:rsidRPr="00051332" w:rsidRDefault="001B5749" w:rsidP="00990B09">
      <w:pPr>
        <w:pStyle w:val="AERbodytext"/>
      </w:pPr>
      <w:r w:rsidRPr="00051332">
        <w:t>Energex</w:t>
      </w:r>
    </w:p>
    <w:p w:rsidR="001B5749" w:rsidRPr="00051332" w:rsidRDefault="001B5749" w:rsidP="00990B09">
      <w:pPr>
        <w:pStyle w:val="AERbodytext"/>
      </w:pPr>
      <w:r w:rsidRPr="00051332">
        <w:lastRenderedPageBreak/>
        <w:t xml:space="preserve">Energy and Water Ombudsman New South Wales (EWON) </w:t>
      </w:r>
    </w:p>
    <w:p w:rsidR="001B5749" w:rsidRPr="00051332" w:rsidRDefault="001B5749" w:rsidP="00990B09">
      <w:pPr>
        <w:pStyle w:val="AERbodytext"/>
      </w:pPr>
      <w:r w:rsidRPr="00051332">
        <w:t>Energy and Water Ombudsman South Australia (EWOSA)</w:t>
      </w:r>
    </w:p>
    <w:p w:rsidR="001B5749" w:rsidRPr="00051332" w:rsidRDefault="001B5749" w:rsidP="00990B09">
      <w:pPr>
        <w:pStyle w:val="AERbodytext"/>
      </w:pPr>
      <w:r w:rsidRPr="00051332">
        <w:t>Energy and Water Ombudsman Victoria (EWOV)</w:t>
      </w:r>
    </w:p>
    <w:p w:rsidR="001B5749" w:rsidRPr="00051332" w:rsidRDefault="001B5749" w:rsidP="00990B09">
      <w:pPr>
        <w:pStyle w:val="AERbodytext"/>
      </w:pPr>
      <w:r w:rsidRPr="00051332">
        <w:t>EnergyAustralia</w:t>
      </w:r>
    </w:p>
    <w:p w:rsidR="001B5749" w:rsidRPr="00051332" w:rsidRDefault="001B5749" w:rsidP="00990B09">
      <w:pPr>
        <w:pStyle w:val="AERbodytext"/>
      </w:pPr>
      <w:r w:rsidRPr="00051332">
        <w:t>Ergon Energy</w:t>
      </w:r>
    </w:p>
    <w:p w:rsidR="001B5749" w:rsidRPr="00051332" w:rsidRDefault="001B5749" w:rsidP="00990B09">
      <w:pPr>
        <w:pStyle w:val="AERbodytext"/>
      </w:pPr>
      <w:r w:rsidRPr="00051332">
        <w:t>Ergon Energy (distribution)</w:t>
      </w:r>
    </w:p>
    <w:p w:rsidR="001B5749" w:rsidRPr="00051332" w:rsidRDefault="001B5749" w:rsidP="00990B09">
      <w:pPr>
        <w:pStyle w:val="AERbodytext"/>
      </w:pPr>
      <w:r w:rsidRPr="00051332">
        <w:t>ERM Power Retail</w:t>
      </w:r>
    </w:p>
    <w:p w:rsidR="001B5749" w:rsidRPr="00051332" w:rsidRDefault="001B5749" w:rsidP="00990B09">
      <w:pPr>
        <w:pStyle w:val="AERbodytext"/>
      </w:pPr>
      <w:r w:rsidRPr="00051332">
        <w:t>Essential Energy</w:t>
      </w:r>
    </w:p>
    <w:p w:rsidR="001B5749" w:rsidRPr="00051332" w:rsidRDefault="001B5749" w:rsidP="00990B09">
      <w:pPr>
        <w:pStyle w:val="AERbodytext"/>
      </w:pPr>
      <w:r w:rsidRPr="00051332">
        <w:t>Essential Services Commission of Victoria (ESCV)</w:t>
      </w:r>
    </w:p>
    <w:p w:rsidR="001B5749" w:rsidRPr="00051332" w:rsidRDefault="001B5749" w:rsidP="00990B09">
      <w:pPr>
        <w:pStyle w:val="AERbodytext"/>
      </w:pPr>
      <w:r w:rsidRPr="00051332">
        <w:t>Go Energy</w:t>
      </w:r>
    </w:p>
    <w:p w:rsidR="001B5749" w:rsidRPr="00051332" w:rsidRDefault="001B5749" w:rsidP="00990B09">
      <w:pPr>
        <w:pStyle w:val="AERbodytext"/>
      </w:pPr>
      <w:r w:rsidRPr="00051332">
        <w:t>Industry &amp; Investment NSW</w:t>
      </w:r>
    </w:p>
    <w:p w:rsidR="001B5749" w:rsidRPr="00051332" w:rsidRDefault="001B5749" w:rsidP="00990B09">
      <w:pPr>
        <w:pStyle w:val="AERbodytext"/>
      </w:pPr>
      <w:r w:rsidRPr="00051332">
        <w:t>Infigen Energy Holdings</w:t>
      </w:r>
    </w:p>
    <w:p w:rsidR="001B5749" w:rsidRPr="00051332" w:rsidRDefault="001B5749" w:rsidP="00990B09">
      <w:pPr>
        <w:pStyle w:val="AERbodytext"/>
      </w:pPr>
      <w:r w:rsidRPr="00051332">
        <w:t>International Power (Retail)</w:t>
      </w:r>
    </w:p>
    <w:p w:rsidR="001B5749" w:rsidRPr="00051332" w:rsidRDefault="001B5749" w:rsidP="00990B09">
      <w:pPr>
        <w:pStyle w:val="AERbodytext"/>
      </w:pPr>
      <w:r w:rsidRPr="00051332">
        <w:t>Jemena</w:t>
      </w:r>
    </w:p>
    <w:p w:rsidR="001B5749" w:rsidRPr="00051332" w:rsidRDefault="001B5749" w:rsidP="00990B09">
      <w:pPr>
        <w:pStyle w:val="AERbodytext"/>
      </w:pPr>
      <w:r w:rsidRPr="00051332">
        <w:t>Lumo Energy</w:t>
      </w:r>
    </w:p>
    <w:p w:rsidR="001B5749" w:rsidRPr="00051332" w:rsidRDefault="001B5749" w:rsidP="00990B09">
      <w:pPr>
        <w:pStyle w:val="AERbodytext"/>
      </w:pPr>
      <w:r w:rsidRPr="00051332">
        <w:t>Momentum Energy</w:t>
      </w:r>
    </w:p>
    <w:p w:rsidR="001B5749" w:rsidRPr="00051332" w:rsidRDefault="001B5749" w:rsidP="00990B09">
      <w:pPr>
        <w:pStyle w:val="AERbodytext"/>
      </w:pPr>
      <w:r w:rsidRPr="00051332">
        <w:t>Office of the Tasmanian Economic Regulator (OTTER)</w:t>
      </w:r>
    </w:p>
    <w:p w:rsidR="001B5749" w:rsidRPr="00051332" w:rsidRDefault="001B5749" w:rsidP="00990B09">
      <w:pPr>
        <w:pStyle w:val="AERbodytext"/>
      </w:pPr>
      <w:r w:rsidRPr="00051332">
        <w:t>Origin Energy Retail Limited</w:t>
      </w:r>
    </w:p>
    <w:p w:rsidR="001B5749" w:rsidRPr="00051332" w:rsidRDefault="001B5749" w:rsidP="00990B09">
      <w:pPr>
        <w:pStyle w:val="AERbodytext"/>
      </w:pPr>
      <w:r w:rsidRPr="00051332">
        <w:t>Pacific Hydro</w:t>
      </w:r>
    </w:p>
    <w:p w:rsidR="001B5749" w:rsidRPr="00051332" w:rsidRDefault="001B5749" w:rsidP="00990B09">
      <w:pPr>
        <w:pStyle w:val="AERbodytext"/>
      </w:pPr>
      <w:r w:rsidRPr="00051332">
        <w:t>People Energy</w:t>
      </w:r>
    </w:p>
    <w:p w:rsidR="001B5749" w:rsidRPr="00051332" w:rsidRDefault="001B5749" w:rsidP="00990B09">
      <w:pPr>
        <w:pStyle w:val="AERbodytext"/>
      </w:pPr>
      <w:proofErr w:type="spellStart"/>
      <w:r w:rsidRPr="00051332">
        <w:t>Powershop</w:t>
      </w:r>
      <w:proofErr w:type="spellEnd"/>
    </w:p>
    <w:p w:rsidR="008D77C0" w:rsidRDefault="008D77C0" w:rsidP="00990B09">
      <w:pPr>
        <w:pStyle w:val="AERbodytext"/>
      </w:pPr>
      <w:r>
        <w:t>QEnergy</w:t>
      </w:r>
    </w:p>
    <w:p w:rsidR="001B5749" w:rsidRPr="00051332" w:rsidRDefault="001B5749" w:rsidP="00990B09">
      <w:pPr>
        <w:pStyle w:val="AERbodytext"/>
      </w:pPr>
      <w:r w:rsidRPr="00051332">
        <w:t>Queensland Competition Authority (QCA)</w:t>
      </w:r>
    </w:p>
    <w:p w:rsidR="001B5749" w:rsidRPr="00051332" w:rsidRDefault="001B5749" w:rsidP="00990B09">
      <w:pPr>
        <w:pStyle w:val="AERbodytext"/>
      </w:pPr>
      <w:r w:rsidRPr="00051332">
        <w:t>Red Energy</w:t>
      </w:r>
    </w:p>
    <w:p w:rsidR="001B5749" w:rsidRPr="00051332" w:rsidRDefault="001B5749" w:rsidP="00990B09">
      <w:pPr>
        <w:pStyle w:val="AERbodytext"/>
      </w:pPr>
      <w:r w:rsidRPr="00051332">
        <w:t>SA Power Networks</w:t>
      </w:r>
    </w:p>
    <w:p w:rsidR="001B5749" w:rsidRPr="00051332" w:rsidRDefault="001B5749" w:rsidP="00990B09">
      <w:pPr>
        <w:pStyle w:val="AERbodytext"/>
      </w:pPr>
      <w:r w:rsidRPr="00051332">
        <w:t>Simply Energy</w:t>
      </w:r>
    </w:p>
    <w:p w:rsidR="001B5749" w:rsidRPr="00051332" w:rsidRDefault="001B5749" w:rsidP="00990B09">
      <w:pPr>
        <w:pStyle w:val="AERbodytext"/>
      </w:pPr>
      <w:r w:rsidRPr="00051332">
        <w:t xml:space="preserve">SP </w:t>
      </w:r>
      <w:proofErr w:type="spellStart"/>
      <w:r w:rsidRPr="00051332">
        <w:t>AusNet</w:t>
      </w:r>
      <w:proofErr w:type="spellEnd"/>
    </w:p>
    <w:p w:rsidR="001B5749" w:rsidRPr="00051332" w:rsidRDefault="001B5749" w:rsidP="00990B09">
      <w:pPr>
        <w:pStyle w:val="AERbodytext"/>
      </w:pPr>
      <w:r w:rsidRPr="00051332">
        <w:lastRenderedPageBreak/>
        <w:t>Stanwell Corporation</w:t>
      </w:r>
    </w:p>
    <w:p w:rsidR="001B5749" w:rsidRPr="00051332" w:rsidRDefault="001B5749" w:rsidP="00990B09">
      <w:pPr>
        <w:pStyle w:val="AERbodytext"/>
      </w:pPr>
      <w:r w:rsidRPr="00051332">
        <w:t>Sun Retail</w:t>
      </w:r>
    </w:p>
    <w:p w:rsidR="001B5749" w:rsidRPr="00051332" w:rsidRDefault="001B5749" w:rsidP="00990B09">
      <w:pPr>
        <w:pStyle w:val="AERbodytext"/>
      </w:pPr>
      <w:r w:rsidRPr="00051332">
        <w:t>United Energy &amp; Multinet Gas</w:t>
      </w:r>
    </w:p>
    <w:p w:rsidR="0089506F" w:rsidRDefault="001B5749" w:rsidP="00990B09">
      <w:pPr>
        <w:pStyle w:val="AERbodytext"/>
      </w:pPr>
      <w:r w:rsidRPr="00051332">
        <w:t>WIN Energy</w:t>
      </w:r>
    </w:p>
    <w:sectPr w:rsidR="0089506F">
      <w:headerReference w:type="even" r:id="rId2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09" w:rsidRDefault="00990B09">
      <w:r>
        <w:separator/>
      </w:r>
    </w:p>
    <w:p w:rsidR="00990B09" w:rsidRDefault="00990B09"/>
  </w:endnote>
  <w:endnote w:type="continuationSeparator" w:id="0">
    <w:p w:rsidR="00990B09" w:rsidRDefault="00990B09">
      <w:r>
        <w:continuationSeparator/>
      </w:r>
    </w:p>
    <w:p w:rsidR="00990B09" w:rsidRDefault="0099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9" w:rsidRDefault="00990B09" w:rsidP="00132900">
    <w:pPr>
      <w:framePr w:wrap="around" w:vAnchor="text" w:hAnchor="margin" w:xAlign="center" w:y="1"/>
    </w:pPr>
    <w:r>
      <w:fldChar w:fldCharType="begin"/>
    </w:r>
    <w:r>
      <w:instrText xml:space="preserve">PAGE  </w:instrText>
    </w:r>
    <w:r>
      <w:fldChar w:fldCharType="end"/>
    </w:r>
  </w:p>
  <w:p w:rsidR="00990B09" w:rsidRDefault="00990B09" w:rsidP="0013290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9" w:rsidRDefault="00990B09" w:rsidP="00132900">
    <w:pPr>
      <w:framePr w:wrap="around" w:vAnchor="text" w:hAnchor="margin" w:xAlign="center" w:y="1"/>
    </w:pPr>
    <w:r>
      <w:fldChar w:fldCharType="begin"/>
    </w:r>
    <w:r>
      <w:instrText xml:space="preserve">PAGE  </w:instrText>
    </w:r>
    <w:r>
      <w:fldChar w:fldCharType="separate"/>
    </w:r>
    <w:r>
      <w:rPr>
        <w:noProof/>
      </w:rPr>
      <w:t>iii</w:t>
    </w:r>
    <w:r>
      <w:fldChar w:fldCharType="end"/>
    </w:r>
  </w:p>
  <w:p w:rsidR="00990B09" w:rsidRDefault="00990B09" w:rsidP="00132900">
    <w:pPr>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9" w:rsidRDefault="00990B09">
    <w:pPr>
      <w:framePr w:wrap="around" w:vAnchor="text" w:hAnchor="margin" w:xAlign="center" w:y="1"/>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5B62CC">
      <w:rPr>
        <w:rFonts w:ascii="Arial" w:hAnsi="Arial" w:cs="Arial"/>
        <w:noProof/>
        <w:sz w:val="20"/>
        <w:szCs w:val="20"/>
      </w:rPr>
      <w:t>8</w:t>
    </w:r>
    <w:r>
      <w:rPr>
        <w:rFonts w:ascii="Arial" w:hAnsi="Arial" w:cs="Arial"/>
        <w:sz w:val="20"/>
        <w:szCs w:val="20"/>
      </w:rPr>
      <w:fldChar w:fldCharType="end"/>
    </w:r>
  </w:p>
  <w:p w:rsidR="00990B09" w:rsidRDefault="00990B09">
    <w:pP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09" w:rsidRDefault="00990B09">
      <w:r>
        <w:separator/>
      </w:r>
    </w:p>
    <w:p w:rsidR="00990B09" w:rsidRDefault="00990B09"/>
  </w:footnote>
  <w:footnote w:type="continuationSeparator" w:id="0">
    <w:p w:rsidR="00990B09" w:rsidRDefault="00990B09">
      <w:r>
        <w:continuationSeparator/>
      </w:r>
    </w:p>
    <w:p w:rsidR="00990B09" w:rsidRDefault="00990B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9" w:rsidRDefault="00990B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844"/>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E737956"/>
    <w:multiLevelType w:val="hybridMultilevel"/>
    <w:tmpl w:val="6740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652177"/>
    <w:multiLevelType w:val="hybridMultilevel"/>
    <w:tmpl w:val="341C9D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3A6266"/>
    <w:multiLevelType w:val="multilevel"/>
    <w:tmpl w:val="47CAA82A"/>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1805366"/>
    <w:multiLevelType w:val="hybridMultilevel"/>
    <w:tmpl w:val="746A7B84"/>
    <w:lvl w:ilvl="0" w:tplc="E2649A8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67F0AA2"/>
    <w:multiLevelType w:val="hybridMultilevel"/>
    <w:tmpl w:val="25047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7">
    <w:nsid w:val="2C57382C"/>
    <w:multiLevelType w:val="multilevel"/>
    <w:tmpl w:val="BBC61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301B31FF"/>
    <w:multiLevelType w:val="multilevel"/>
    <w:tmpl w:val="2FB0BD4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20F38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2CB47A2"/>
    <w:multiLevelType w:val="hybridMultilevel"/>
    <w:tmpl w:val="DE2612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3A701F"/>
    <w:multiLevelType w:val="hybridMultilevel"/>
    <w:tmpl w:val="65FCE3A6"/>
    <w:lvl w:ilvl="0" w:tplc="070CDBB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AF05C3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B0F5F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D326B24"/>
    <w:multiLevelType w:val="multilevel"/>
    <w:tmpl w:val="1DE2C0E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2CA085C"/>
    <w:multiLevelType w:val="singleLevel"/>
    <w:tmpl w:val="9AF06992"/>
    <w:lvl w:ilvl="0">
      <w:start w:val="1"/>
      <w:numFmt w:val="bullet"/>
      <w:lvlText w:val=""/>
      <w:lvlJc w:val="left"/>
      <w:pPr>
        <w:tabs>
          <w:tab w:val="num" w:pos="360"/>
        </w:tabs>
        <w:ind w:left="360" w:hanging="360"/>
      </w:pPr>
      <w:rPr>
        <w:rFonts w:ascii="Wingdings" w:hAnsi="Wingdings" w:hint="default"/>
        <w:sz w:val="28"/>
      </w:rPr>
    </w:lvl>
  </w:abstractNum>
  <w:abstractNum w:abstractNumId="16">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abstractNum w:abstractNumId="17">
    <w:nsid w:val="446A50EA"/>
    <w:multiLevelType w:val="hybridMultilevel"/>
    <w:tmpl w:val="2C3A1150"/>
    <w:lvl w:ilvl="0" w:tplc="045220A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51871B6"/>
    <w:multiLevelType w:val="multilevel"/>
    <w:tmpl w:val="32462A86"/>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DCB35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2E0947"/>
    <w:multiLevelType w:val="multilevel"/>
    <w:tmpl w:val="A496B2BC"/>
    <w:lvl w:ilvl="0">
      <w:start w:val="1"/>
      <w:numFmt w:val="upperLetter"/>
      <w:pStyle w:val="Heading11"/>
      <w:lvlText w:val="%1."/>
      <w:lvlJc w:val="left"/>
      <w:pPr>
        <w:tabs>
          <w:tab w:val="num" w:pos="851"/>
        </w:tabs>
        <w:ind w:left="851" w:hanging="851"/>
      </w:pPr>
      <w:rPr>
        <w:rFonts w:hint="default"/>
      </w:rPr>
    </w:lvl>
    <w:lvl w:ilvl="1">
      <w:start w:val="1"/>
      <w:numFmt w:val="decimal"/>
      <w:pStyle w:val="Heading21"/>
      <w:lvlText w:val="%1.%2"/>
      <w:lvlJc w:val="left"/>
      <w:pPr>
        <w:tabs>
          <w:tab w:val="num" w:pos="851"/>
        </w:tabs>
        <w:ind w:left="851" w:hanging="851"/>
      </w:pPr>
      <w:rPr>
        <w:rFonts w:hint="default"/>
      </w:rPr>
    </w:lvl>
    <w:lvl w:ilvl="2">
      <w:start w:val="1"/>
      <w:numFmt w:val="decimal"/>
      <w:pStyle w:val="Heading31"/>
      <w:lvlText w:val="%1.%2.%3"/>
      <w:lvlJc w:val="left"/>
      <w:pPr>
        <w:tabs>
          <w:tab w:val="num" w:pos="851"/>
        </w:tabs>
        <w:ind w:left="851" w:hanging="851"/>
      </w:pPr>
      <w:rPr>
        <w:rFonts w:hint="default"/>
      </w:rPr>
    </w:lvl>
    <w:lvl w:ilvl="3">
      <w:start w:val="1"/>
      <w:numFmt w:val="decimal"/>
      <w:pStyle w:val="Heading41"/>
      <w:lvlText w:val="%1.%2.%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0895FE3"/>
    <w:multiLevelType w:val="multilevel"/>
    <w:tmpl w:val="9F32AB4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pStyle w:val="Style1"/>
      <w:lvlText w:val="%9."/>
      <w:lvlJc w:val="right"/>
      <w:pPr>
        <w:tabs>
          <w:tab w:val="num" w:pos="1584"/>
        </w:tabs>
        <w:ind w:left="1584" w:hanging="144"/>
      </w:pPr>
      <w:rPr>
        <w:rFonts w:hint="default"/>
      </w:rPr>
    </w:lvl>
  </w:abstractNum>
  <w:abstractNum w:abstractNumId="22">
    <w:nsid w:val="559B5A4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E1495A"/>
    <w:multiLevelType w:val="multilevel"/>
    <w:tmpl w:val="D802712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B8431C7"/>
    <w:multiLevelType w:val="multilevel"/>
    <w:tmpl w:val="C8B8D77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tabs>
          <w:tab w:val="num" w:pos="0"/>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2BF0570"/>
    <w:multiLevelType w:val="hybridMultilevel"/>
    <w:tmpl w:val="93BC27F8"/>
    <w:lvl w:ilvl="0" w:tplc="E0FC9D82">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6">
    <w:nsid w:val="6B9805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5C322C"/>
    <w:multiLevelType w:val="hybridMultilevel"/>
    <w:tmpl w:val="01348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AD4570"/>
    <w:multiLevelType w:val="hybridMultilevel"/>
    <w:tmpl w:val="7F86B348"/>
    <w:lvl w:ilvl="0" w:tplc="93DAA1D8">
      <w:start w:val="1"/>
      <w:numFmt w:val="bullet"/>
      <w:lvlText w:val="-"/>
      <w:lvlJc w:val="left"/>
      <w:pPr>
        <w:ind w:left="2520" w:hanging="360"/>
      </w:pPr>
      <w:rPr>
        <w:rFonts w:ascii="Times New Roman" w:eastAsia="Times New Roman" w:hAnsi="Times New Roman" w:cs="Times New Roman"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29">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6"/>
  </w:num>
  <w:num w:numId="4">
    <w:abstractNumId w:val="8"/>
  </w:num>
  <w:num w:numId="5">
    <w:abstractNumId w:val="6"/>
  </w:num>
  <w:num w:numId="6">
    <w:abstractNumId w:val="3"/>
  </w:num>
  <w:num w:numId="7">
    <w:abstractNumId w:val="29"/>
  </w:num>
  <w:num w:numId="8">
    <w:abstractNumId w:val="15"/>
  </w:num>
  <w:num w:numId="9">
    <w:abstractNumId w:val="14"/>
  </w:num>
  <w:num w:numId="10">
    <w:abstractNumId w:val="25"/>
  </w:num>
  <w:num w:numId="11">
    <w:abstractNumId w:val="18"/>
  </w:num>
  <w:num w:numId="12">
    <w:abstractNumId w:val="0"/>
  </w:num>
  <w:num w:numId="13">
    <w:abstractNumId w:val="23"/>
  </w:num>
  <w:num w:numId="14">
    <w:abstractNumId w:val="19"/>
  </w:num>
  <w:num w:numId="15">
    <w:abstractNumId w:val="22"/>
  </w:num>
  <w:num w:numId="16">
    <w:abstractNumId w:val="21"/>
  </w:num>
  <w:num w:numId="17">
    <w:abstractNumId w:val="12"/>
  </w:num>
  <w:num w:numId="18">
    <w:abstractNumId w:val="13"/>
  </w:num>
  <w:num w:numId="19">
    <w:abstractNumId w:val="20"/>
  </w:num>
  <w:num w:numId="20">
    <w:abstractNumId w:val="24"/>
  </w:num>
  <w:num w:numId="21">
    <w:abstractNumId w:val="26"/>
  </w:num>
  <w:num w:numId="22">
    <w:abstractNumId w:val="9"/>
  </w:num>
  <w:num w:numId="23">
    <w:abstractNumId w:val="11"/>
  </w:num>
  <w:num w:numId="24">
    <w:abstractNumId w:val="17"/>
  </w:num>
  <w:num w:numId="25">
    <w:abstractNumId w:val="10"/>
  </w:num>
  <w:num w:numId="26">
    <w:abstractNumId w:val="27"/>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51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3396\D13 157659  RoLR public exercise conduct report - 21 October 2013(2).DOCX"/>
  </w:docVars>
  <w:rsids>
    <w:rsidRoot w:val="00C07C2D"/>
    <w:rsid w:val="0000445B"/>
    <w:rsid w:val="000141DA"/>
    <w:rsid w:val="000417BC"/>
    <w:rsid w:val="00051993"/>
    <w:rsid w:val="000C607F"/>
    <w:rsid w:val="000E19B3"/>
    <w:rsid w:val="000F7B1A"/>
    <w:rsid w:val="001225F7"/>
    <w:rsid w:val="00127383"/>
    <w:rsid w:val="00132900"/>
    <w:rsid w:val="00147E3A"/>
    <w:rsid w:val="00183B05"/>
    <w:rsid w:val="00194AA9"/>
    <w:rsid w:val="00195CCB"/>
    <w:rsid w:val="001B1AD1"/>
    <w:rsid w:val="001B5749"/>
    <w:rsid w:val="001C32BC"/>
    <w:rsid w:val="001D066C"/>
    <w:rsid w:val="001D4DF8"/>
    <w:rsid w:val="001D7B25"/>
    <w:rsid w:val="001F4156"/>
    <w:rsid w:val="00202DC0"/>
    <w:rsid w:val="002517E5"/>
    <w:rsid w:val="002618C8"/>
    <w:rsid w:val="002A7571"/>
    <w:rsid w:val="002E30D4"/>
    <w:rsid w:val="003876F3"/>
    <w:rsid w:val="0039274C"/>
    <w:rsid w:val="003E72EE"/>
    <w:rsid w:val="004249E6"/>
    <w:rsid w:val="00436F03"/>
    <w:rsid w:val="004728C5"/>
    <w:rsid w:val="004A60C7"/>
    <w:rsid w:val="004B4E29"/>
    <w:rsid w:val="004C294E"/>
    <w:rsid w:val="004C2EBA"/>
    <w:rsid w:val="004C422E"/>
    <w:rsid w:val="004F7A01"/>
    <w:rsid w:val="00525C82"/>
    <w:rsid w:val="005327E9"/>
    <w:rsid w:val="00545516"/>
    <w:rsid w:val="00567DCF"/>
    <w:rsid w:val="00594011"/>
    <w:rsid w:val="005B15F0"/>
    <w:rsid w:val="005B62CC"/>
    <w:rsid w:val="005D10C3"/>
    <w:rsid w:val="005E362B"/>
    <w:rsid w:val="00614368"/>
    <w:rsid w:val="00620C3E"/>
    <w:rsid w:val="00633E0F"/>
    <w:rsid w:val="00681D90"/>
    <w:rsid w:val="00684532"/>
    <w:rsid w:val="0069422A"/>
    <w:rsid w:val="00697425"/>
    <w:rsid w:val="006E0019"/>
    <w:rsid w:val="00755BC3"/>
    <w:rsid w:val="00764BFC"/>
    <w:rsid w:val="00787429"/>
    <w:rsid w:val="00790705"/>
    <w:rsid w:val="007F4AD8"/>
    <w:rsid w:val="00831B72"/>
    <w:rsid w:val="00837861"/>
    <w:rsid w:val="008635EA"/>
    <w:rsid w:val="00884F15"/>
    <w:rsid w:val="0089506F"/>
    <w:rsid w:val="008D77C0"/>
    <w:rsid w:val="00904632"/>
    <w:rsid w:val="00906090"/>
    <w:rsid w:val="00906B41"/>
    <w:rsid w:val="009350F1"/>
    <w:rsid w:val="00962BB0"/>
    <w:rsid w:val="00990B09"/>
    <w:rsid w:val="00993923"/>
    <w:rsid w:val="009A01DF"/>
    <w:rsid w:val="009D29E9"/>
    <w:rsid w:val="00A12C71"/>
    <w:rsid w:val="00A51358"/>
    <w:rsid w:val="00A555F1"/>
    <w:rsid w:val="00A64F19"/>
    <w:rsid w:val="00A72923"/>
    <w:rsid w:val="00A81280"/>
    <w:rsid w:val="00AA033F"/>
    <w:rsid w:val="00AB4862"/>
    <w:rsid w:val="00AB5F62"/>
    <w:rsid w:val="00AE2B01"/>
    <w:rsid w:val="00B02FAB"/>
    <w:rsid w:val="00B1755B"/>
    <w:rsid w:val="00B2017C"/>
    <w:rsid w:val="00B27945"/>
    <w:rsid w:val="00B31F32"/>
    <w:rsid w:val="00B9489F"/>
    <w:rsid w:val="00BC67A3"/>
    <w:rsid w:val="00BC6C8E"/>
    <w:rsid w:val="00BD0FA8"/>
    <w:rsid w:val="00BD29DD"/>
    <w:rsid w:val="00BE3BEC"/>
    <w:rsid w:val="00C07C2D"/>
    <w:rsid w:val="00C20559"/>
    <w:rsid w:val="00C61387"/>
    <w:rsid w:val="00C7042B"/>
    <w:rsid w:val="00C93BE1"/>
    <w:rsid w:val="00CB1DC3"/>
    <w:rsid w:val="00D05B16"/>
    <w:rsid w:val="00D46DB7"/>
    <w:rsid w:val="00D62F5B"/>
    <w:rsid w:val="00D64CBB"/>
    <w:rsid w:val="00D87932"/>
    <w:rsid w:val="00DB0887"/>
    <w:rsid w:val="00DC26C4"/>
    <w:rsid w:val="00DC351B"/>
    <w:rsid w:val="00DC7A3A"/>
    <w:rsid w:val="00E264BA"/>
    <w:rsid w:val="00E44B8E"/>
    <w:rsid w:val="00E5679E"/>
    <w:rsid w:val="00E5776A"/>
    <w:rsid w:val="00E626C6"/>
    <w:rsid w:val="00EB4879"/>
    <w:rsid w:val="00EC501A"/>
    <w:rsid w:val="00ED68B7"/>
    <w:rsid w:val="00EF61C3"/>
    <w:rsid w:val="00F047BC"/>
    <w:rsid w:val="00F3679B"/>
    <w:rsid w:val="00F50DB2"/>
    <w:rsid w:val="00F67DA4"/>
    <w:rsid w:val="00F76563"/>
    <w:rsid w:val="00FC2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AER Heading 1"/>
    <w:basedOn w:val="Normal"/>
    <w:next w:val="AERbodytext"/>
    <w:link w:val="Heading1Char"/>
    <w:autoRedefine/>
    <w:qFormat/>
    <w:rsid w:val="002A7571"/>
    <w:pPr>
      <w:keepNext/>
      <w:pageBreakBefore/>
      <w:numPr>
        <w:numId w:val="16"/>
      </w:numPr>
      <w:spacing w:before="240" w:after="120"/>
      <w:outlineLvl w:val="0"/>
    </w:pPr>
    <w:rPr>
      <w:rFonts w:ascii="Arial" w:hAnsi="Arial" w:cs="Arial"/>
      <w:b/>
      <w:bCs/>
      <w:kern w:val="32"/>
      <w:sz w:val="36"/>
      <w:szCs w:val="32"/>
    </w:rPr>
  </w:style>
  <w:style w:type="paragraph" w:styleId="Heading2">
    <w:name w:val="heading 2"/>
    <w:aliases w:val="AER Heading 2"/>
    <w:basedOn w:val="Normal"/>
    <w:next w:val="AERbodytext"/>
    <w:qFormat/>
    <w:rsid w:val="00B2017C"/>
    <w:pPr>
      <w:keepNext/>
      <w:numPr>
        <w:ilvl w:val="1"/>
        <w:numId w:val="16"/>
      </w:numPr>
      <w:spacing w:before="240" w:after="120"/>
      <w:outlineLvl w:val="1"/>
    </w:pPr>
    <w:rPr>
      <w:rFonts w:ascii="Arial" w:hAnsi="Arial" w:cs="Arial"/>
      <w:b/>
      <w:bCs/>
      <w:iCs/>
      <w:sz w:val="30"/>
      <w:szCs w:val="28"/>
    </w:rPr>
  </w:style>
  <w:style w:type="paragraph" w:styleId="Heading3">
    <w:name w:val="heading 3"/>
    <w:aliases w:val="AER Heading 3"/>
    <w:basedOn w:val="Normal"/>
    <w:next w:val="AERbodytext"/>
    <w:qFormat/>
    <w:rsid w:val="00B2017C"/>
    <w:pPr>
      <w:keepNext/>
      <w:numPr>
        <w:ilvl w:val="2"/>
        <w:numId w:val="16"/>
      </w:numPr>
      <w:spacing w:before="240" w:after="120"/>
      <w:outlineLvl w:val="2"/>
    </w:pPr>
    <w:rPr>
      <w:rFonts w:ascii="Arial Bold" w:hAnsi="Arial Bold" w:cs="Arial"/>
      <w:b/>
      <w:bCs/>
    </w:rPr>
  </w:style>
  <w:style w:type="paragraph" w:styleId="Heading4">
    <w:name w:val="heading 4"/>
    <w:aliases w:val="AER Heading 4"/>
    <w:basedOn w:val="Normal"/>
    <w:next w:val="AERbodytext"/>
    <w:qFormat/>
    <w:rsid w:val="00B2017C"/>
    <w:pPr>
      <w:keepNext/>
      <w:numPr>
        <w:ilvl w:val="3"/>
        <w:numId w:val="16"/>
      </w:numPr>
      <w:spacing w:before="240" w:after="120"/>
      <w:outlineLvl w:val="3"/>
    </w:pPr>
    <w:rPr>
      <w:b/>
      <w:bCs/>
      <w:sz w:val="22"/>
      <w:szCs w:val="28"/>
    </w:rPr>
  </w:style>
  <w:style w:type="paragraph" w:styleId="Heading5">
    <w:name w:val="heading 5"/>
    <w:basedOn w:val="Normal"/>
    <w:next w:val="Normal"/>
    <w:qFormat/>
    <w:locked/>
    <w:rsid w:val="00B2017C"/>
    <w:pPr>
      <w:numPr>
        <w:ilvl w:val="4"/>
        <w:numId w:val="16"/>
      </w:numPr>
      <w:spacing w:before="240" w:after="60"/>
      <w:outlineLvl w:val="4"/>
    </w:pPr>
    <w:rPr>
      <w:b/>
      <w:bCs/>
      <w:i/>
      <w:iCs/>
      <w:sz w:val="26"/>
      <w:szCs w:val="26"/>
    </w:rPr>
  </w:style>
  <w:style w:type="paragraph" w:styleId="Heading6">
    <w:name w:val="heading 6"/>
    <w:basedOn w:val="Normal"/>
    <w:next w:val="Normal"/>
    <w:qFormat/>
    <w:locked/>
    <w:rsid w:val="00B2017C"/>
    <w:pPr>
      <w:numPr>
        <w:ilvl w:val="5"/>
        <w:numId w:val="16"/>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pPr>
      <w:spacing w:after="240"/>
    </w:pPr>
    <w:rPr>
      <w:sz w:val="24"/>
      <w:szCs w:val="24"/>
      <w:lang w:eastAsia="en-US"/>
    </w:rPr>
  </w:style>
  <w:style w:type="character" w:customStyle="1" w:styleId="Heading1Char">
    <w:name w:val="Heading 1 Char"/>
    <w:aliases w:val="AER Heading 1 Char"/>
    <w:basedOn w:val="DefaultParagraphFont"/>
    <w:link w:val="Heading1"/>
    <w:rsid w:val="002A7571"/>
    <w:rPr>
      <w:rFonts w:ascii="Arial" w:hAnsi="Arial" w:cs="Arial"/>
      <w:b/>
      <w:bCs/>
      <w:kern w:val="32"/>
      <w:sz w:val="36"/>
      <w:szCs w:val="32"/>
      <w:lang w:val="en-AU" w:eastAsia="en-US" w:bidi="ar-SA"/>
    </w:rPr>
  </w:style>
  <w:style w:type="paragraph" w:customStyle="1" w:styleId="AER1indentalphalista">
    <w:name w:val="AER (1) indent alpha list (a)"/>
    <w:basedOn w:val="Normal"/>
    <w:next w:val="Normal"/>
    <w:pPr>
      <w:widowControl w:val="0"/>
      <w:tabs>
        <w:tab w:val="left" w:pos="1260"/>
      </w:tabs>
      <w:spacing w:after="240"/>
      <w:ind w:left="1259" w:hanging="539"/>
    </w:pPr>
  </w:style>
  <w:style w:type="paragraph" w:customStyle="1" w:styleId="AERAindentcapalphalista1">
    <w:name w:val="AER (A.)  indent cap alpha list (a)(1)"/>
    <w:basedOn w:val="Normal"/>
    <w:next w:val="Normal"/>
    <w:pPr>
      <w:tabs>
        <w:tab w:val="left" w:pos="1800"/>
      </w:tabs>
      <w:spacing w:after="240"/>
      <w:ind w:left="1798" w:hanging="539"/>
    </w:pPr>
  </w:style>
  <w:style w:type="paragraph" w:customStyle="1" w:styleId="AERalphalist1">
    <w:name w:val="AER alpha list (1)"/>
    <w:basedOn w:val="AERbodytext"/>
    <w:autoRedefine/>
    <w:rsid w:val="00D46DB7"/>
    <w:pPr>
      <w:widowControl w:val="0"/>
      <w:tabs>
        <w:tab w:val="left" w:pos="1260"/>
      </w:tabs>
      <w:ind w:left="1797" w:hanging="1077"/>
    </w:pPr>
  </w:style>
  <w:style w:type="paragraph" w:customStyle="1" w:styleId="AERalphalista">
    <w:name w:val="AER alpha list (a)"/>
    <w:basedOn w:val="AERbodytext"/>
    <w:autoRedefine/>
    <w:rsid w:val="00D46DB7"/>
    <w:pPr>
      <w:ind w:left="720" w:hanging="720"/>
    </w:pPr>
  </w:style>
  <w:style w:type="character" w:customStyle="1" w:styleId="AERbodytextbold">
    <w:name w:val="AER body text bold"/>
    <w:basedOn w:val="DefaultParagraphFont"/>
    <w:rPr>
      <w:rFonts w:ascii="Times New Roman" w:hAnsi="Times New Roman"/>
      <w:b/>
      <w:sz w:val="24"/>
    </w:rPr>
  </w:style>
  <w:style w:type="character" w:customStyle="1" w:styleId="AERbodytextitals">
    <w:name w:val="AER body text itals"/>
    <w:rPr>
      <w:rFonts w:ascii="Times New Roman" w:hAnsi="Times New Roman"/>
      <w:i/>
      <w:sz w:val="24"/>
    </w:rPr>
  </w:style>
  <w:style w:type="paragraph" w:customStyle="1" w:styleId="AERbulletlistfirststyle">
    <w:name w:val="AER bullet list (first style)"/>
    <w:basedOn w:val="Normal"/>
    <w:qFormat/>
    <w:rsid w:val="00C61387"/>
    <w:pPr>
      <w:numPr>
        <w:numId w:val="7"/>
      </w:numPr>
      <w:tabs>
        <w:tab w:val="left" w:pos="567"/>
      </w:tabs>
      <w:spacing w:after="240" w:line="240" w:lineRule="atLeast"/>
    </w:pPr>
  </w:style>
  <w:style w:type="paragraph" w:customStyle="1" w:styleId="AERbulletlistsecondstyle">
    <w:name w:val="AER bullet list (second style)"/>
    <w:basedOn w:val="AERbodytext"/>
    <w:rsid w:val="009A01DF"/>
    <w:pPr>
      <w:numPr>
        <w:numId w:val="6"/>
      </w:numPr>
      <w:tabs>
        <w:tab w:val="left" w:pos="851"/>
      </w:tabs>
    </w:pPr>
  </w:style>
  <w:style w:type="paragraph" w:customStyle="1" w:styleId="AERbulletlistthirdstyle">
    <w:name w:val="AER bullet list (third style)"/>
    <w:basedOn w:val="Normal"/>
    <w:rsid w:val="00E264BA"/>
    <w:pPr>
      <w:numPr>
        <w:numId w:val="10"/>
      </w:numPr>
      <w:tabs>
        <w:tab w:val="clear" w:pos="870"/>
        <w:tab w:val="num" w:pos="1080"/>
      </w:tabs>
      <w:spacing w:before="120" w:after="120"/>
      <w:ind w:left="1080"/>
    </w:pPr>
  </w:style>
  <w:style w:type="paragraph" w:customStyle="1" w:styleId="AERcopyrighttext">
    <w:name w:val="AER copyright text"/>
    <w:basedOn w:val="Normal"/>
    <w:pPr>
      <w:spacing w:before="240" w:after="240"/>
    </w:pPr>
    <w:rPr>
      <w:sz w:val="20"/>
    </w:rPr>
  </w:style>
  <w:style w:type="paragraph" w:customStyle="1" w:styleId="AERdraftfinalminortitle">
    <w:name w:val="AER 'draft/final' minor title"/>
    <w:next w:val="Title"/>
    <w:pPr>
      <w:spacing w:before="3600" w:after="600"/>
      <w:jc w:val="center"/>
      <w:outlineLvl w:val="1"/>
    </w:pPr>
    <w:rPr>
      <w:rFonts w:ascii="Arial" w:hAnsi="Arial"/>
      <w:sz w:val="32"/>
      <w:lang w:eastAsia="en-US"/>
    </w:rPr>
  </w:style>
  <w:style w:type="paragraph" w:styleId="Title">
    <w:name w:val="Title"/>
    <w:next w:val="Subtitle"/>
    <w:link w:val="TitleChar"/>
    <w:qFormat/>
    <w:locked/>
    <w:pPr>
      <w:spacing w:before="2400" w:after="1920"/>
      <w:jc w:val="center"/>
    </w:pPr>
    <w:rPr>
      <w:rFonts w:ascii="Arial" w:hAnsi="Arial" w:cs="Arial"/>
      <w:b/>
      <w:bCs/>
      <w:kern w:val="28"/>
      <w:sz w:val="36"/>
      <w:szCs w:val="32"/>
      <w:lang w:eastAsia="en-US"/>
    </w:rPr>
  </w:style>
  <w:style w:type="paragraph" w:styleId="Subtitle">
    <w:name w:val="Subtitle"/>
    <w:qFormat/>
    <w:pPr>
      <w:spacing w:after="60"/>
      <w:jc w:val="center"/>
      <w:outlineLvl w:val="1"/>
    </w:pPr>
    <w:rPr>
      <w:rFonts w:ascii="Arial" w:hAnsi="Arial" w:cs="Arial"/>
      <w:sz w:val="28"/>
      <w:szCs w:val="24"/>
      <w:lang w:eastAsia="en-US"/>
    </w:rPr>
  </w:style>
  <w:style w:type="paragraph" w:customStyle="1" w:styleId="AERFinalminortitle">
    <w:name w:val="AER 'Final' minor title"/>
    <w:next w:val="Title"/>
    <w:pPr>
      <w:spacing w:before="3600" w:after="600"/>
      <w:jc w:val="center"/>
    </w:pPr>
    <w:rPr>
      <w:rFonts w:ascii="Arial" w:hAnsi="Arial" w:cs="Arial"/>
      <w:sz w:val="32"/>
      <w:szCs w:val="24"/>
      <w:lang w:eastAsia="en-US"/>
    </w:rPr>
  </w:style>
  <w:style w:type="paragraph" w:styleId="FootnoteText">
    <w:name w:val="footnote text"/>
    <w:basedOn w:val="Normal"/>
    <w:semiHidden/>
    <w:rsid w:val="00A555F1"/>
    <w:pPr>
      <w:ind w:left="340" w:hanging="340"/>
    </w:pPr>
    <w:rPr>
      <w:sz w:val="20"/>
      <w:szCs w:val="20"/>
    </w:rPr>
  </w:style>
  <w:style w:type="paragraph" w:customStyle="1" w:styleId="AERmaintitle">
    <w:name w:val="AER main title"/>
    <w:next w:val="AERdraftfinalminortitle"/>
    <w:pPr>
      <w:spacing w:before="2400" w:after="2000"/>
    </w:pPr>
    <w:rPr>
      <w:rFonts w:ascii="Arial" w:hAnsi="Arial" w:cs="Arial"/>
      <w:b/>
      <w:bCs/>
      <w:kern w:val="28"/>
      <w:sz w:val="32"/>
      <w:szCs w:val="32"/>
      <w:lang w:eastAsia="en-US"/>
    </w:rPr>
  </w:style>
  <w:style w:type="paragraph" w:customStyle="1" w:styleId="AERnumberedlistfirststyle">
    <w:name w:val="AER numbered list (first style)"/>
    <w:next w:val="AERbodytext"/>
    <w:pPr>
      <w:numPr>
        <w:numId w:val="3"/>
      </w:numPr>
      <w:spacing w:before="120" w:after="120" w:line="240" w:lineRule="atLeast"/>
    </w:pPr>
    <w:rPr>
      <w:sz w:val="24"/>
      <w:szCs w:val="24"/>
      <w:lang w:eastAsia="en-US"/>
    </w:rPr>
  </w:style>
  <w:style w:type="paragraph" w:customStyle="1" w:styleId="AERnumberedlistsecondstyle">
    <w:name w:val="AER numbered list (second style)"/>
    <w:basedOn w:val="AERnumberedlistfirststyle"/>
    <w:pPr>
      <w:numPr>
        <w:numId w:val="4"/>
      </w:numPr>
    </w:pPr>
  </w:style>
  <w:style w:type="paragraph" w:customStyle="1" w:styleId="AERnumberedlistthirdstyle">
    <w:name w:val="AER numbered list (third style)"/>
    <w:basedOn w:val="AERnumberedlistsecondstyle"/>
    <w:next w:val="AERbodytext"/>
    <w:pPr>
      <w:numPr>
        <w:numId w:val="5"/>
      </w:numPr>
      <w:tabs>
        <w:tab w:val="left" w:pos="1814"/>
      </w:tabs>
    </w:pPr>
  </w:style>
  <w:style w:type="paragraph" w:customStyle="1" w:styleId="AERquote">
    <w:name w:val="AER quote"/>
    <w:basedOn w:val="Normal"/>
    <w:next w:val="AERbodytext"/>
    <w:rsid w:val="001D7B25"/>
    <w:pPr>
      <w:spacing w:after="240"/>
      <w:ind w:left="1021" w:right="1021"/>
    </w:pPr>
    <w:rPr>
      <w:color w:val="000000"/>
      <w:sz w:val="20"/>
    </w:rPr>
  </w:style>
  <w:style w:type="table" w:customStyle="1" w:styleId="AERtable">
    <w:name w:val="AER table"/>
    <w:basedOn w:val="TableNormal"/>
    <w:rsid w:val="00787429"/>
    <w:pPr>
      <w:keepNext/>
      <w:spacing w:before="40" w:after="40"/>
      <w:jc w:val="right"/>
    </w:pPr>
    <w:rPr>
      <w:sz w:val="22"/>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vAlign w:val="cente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AERtablesource">
    <w:name w:val="AER table source"/>
    <w:next w:val="AERbodytext"/>
    <w:pPr>
      <w:tabs>
        <w:tab w:val="left" w:pos="1361"/>
      </w:tabs>
      <w:spacing w:before="40" w:after="240"/>
      <w:ind w:left="794" w:right="1077" w:hanging="794"/>
      <w:contextualSpacing/>
    </w:pPr>
    <w:rPr>
      <w:szCs w:val="24"/>
      <w:lang w:eastAsia="en-US"/>
    </w:rPr>
  </w:style>
  <w:style w:type="paragraph" w:customStyle="1" w:styleId="AERtabletext">
    <w:name w:val="AER table text"/>
    <w:basedOn w:val="Normal"/>
    <w:pPr>
      <w:widowControl w:val="0"/>
      <w:spacing w:before="120" w:after="120"/>
    </w:pPr>
    <w:rPr>
      <w:sz w:val="20"/>
    </w:rPr>
  </w:style>
  <w:style w:type="paragraph" w:customStyle="1" w:styleId="AERtabletextheading">
    <w:name w:val="AER table text heading"/>
    <w:basedOn w:val="AERtabletext"/>
    <w:rPr>
      <w:b/>
    </w:rPr>
  </w:style>
  <w:style w:type="paragraph" w:customStyle="1" w:styleId="AERunnumberedheading1">
    <w:name w:val="AER unnumbered heading 1"/>
    <w:basedOn w:val="Normal"/>
    <w:next w:val="AERbodytext"/>
    <w:link w:val="AERunnumberedheading1Char"/>
    <w:rsid w:val="00B2017C"/>
    <w:pPr>
      <w:pageBreakBefore/>
      <w:widowControl w:val="0"/>
      <w:tabs>
        <w:tab w:val="left" w:pos="851"/>
      </w:tabs>
      <w:spacing w:before="240" w:after="120"/>
      <w:outlineLvl w:val="0"/>
    </w:pPr>
    <w:rPr>
      <w:rFonts w:ascii="Arial Bold" w:hAnsi="Arial Bold"/>
      <w:b/>
      <w:bCs/>
      <w:spacing w:val="5"/>
      <w:kern w:val="36"/>
      <w:sz w:val="36"/>
      <w:szCs w:val="27"/>
    </w:rPr>
  </w:style>
  <w:style w:type="character" w:customStyle="1" w:styleId="AERunnumberedheading1Char">
    <w:name w:val="AER unnumbered heading 1 Char"/>
    <w:basedOn w:val="DefaultParagraphFont"/>
    <w:link w:val="AERunnumberedheading1"/>
    <w:rsid w:val="00B2017C"/>
    <w:rPr>
      <w:rFonts w:ascii="Arial Bold" w:hAnsi="Arial Bold" w:cs="Arial"/>
      <w:b/>
      <w:bCs/>
      <w:spacing w:val="5"/>
      <w:kern w:val="36"/>
      <w:sz w:val="36"/>
      <w:szCs w:val="27"/>
      <w:lang w:val="en-AU" w:eastAsia="en-US" w:bidi="ar-SA"/>
    </w:rPr>
  </w:style>
  <w:style w:type="paragraph" w:customStyle="1" w:styleId="AERunnumberedheading2">
    <w:name w:val="AER unnumbered heading 2"/>
    <w:basedOn w:val="Normal"/>
    <w:next w:val="AERbodytext"/>
    <w:rsid w:val="00B2017C"/>
    <w:pPr>
      <w:keepNext/>
      <w:tabs>
        <w:tab w:val="left" w:pos="851"/>
      </w:tabs>
      <w:spacing w:before="240" w:after="120"/>
    </w:pPr>
    <w:rPr>
      <w:rFonts w:ascii="Arial Bold" w:hAnsi="Arial Bold"/>
      <w:sz w:val="30"/>
    </w:rPr>
  </w:style>
  <w:style w:type="paragraph" w:customStyle="1" w:styleId="AERunnumberedheading3">
    <w:name w:val="AER unnumbered heading 3"/>
    <w:basedOn w:val="Normal"/>
    <w:next w:val="AERbodytext"/>
    <w:rsid w:val="00B2017C"/>
    <w:pPr>
      <w:keepNext/>
      <w:tabs>
        <w:tab w:val="left" w:pos="851"/>
      </w:tabs>
      <w:spacing w:before="240" w:after="120"/>
    </w:pPr>
    <w:rPr>
      <w:rFonts w:ascii="Arial Bold" w:hAnsi="Arial Bold"/>
    </w:rPr>
  </w:style>
  <w:style w:type="paragraph" w:customStyle="1" w:styleId="AERunnumberedheading4">
    <w:name w:val="AER unnumbered heading 4"/>
    <w:basedOn w:val="Normal"/>
    <w:next w:val="AERbodytext"/>
    <w:rsid w:val="00B2017C"/>
    <w:pPr>
      <w:keepNext/>
      <w:tabs>
        <w:tab w:val="left" w:pos="851"/>
        <w:tab w:val="left" w:pos="1080"/>
      </w:tabs>
      <w:spacing w:before="240" w:after="120"/>
      <w:outlineLvl w:val="3"/>
    </w:pPr>
    <w:rPr>
      <w:b/>
      <w:sz w:val="22"/>
    </w:rPr>
  </w:style>
  <w:style w:type="paragraph" w:customStyle="1" w:styleId="AERunnumberedheading5">
    <w:name w:val="AER unnumbered heading 5"/>
    <w:basedOn w:val="Heading5"/>
    <w:next w:val="AERbodytext"/>
    <w:rsid w:val="00884F15"/>
    <w:pPr>
      <w:keepNext/>
      <w:numPr>
        <w:ilvl w:val="0"/>
        <w:numId w:val="0"/>
      </w:numPr>
      <w:spacing w:line="240" w:lineRule="atLeast"/>
    </w:pPr>
    <w:rPr>
      <w:sz w:val="22"/>
      <w:lang w:eastAsia="en-AU"/>
    </w:rPr>
  </w:style>
  <w:style w:type="paragraph" w:customStyle="1" w:styleId="AERunnumberedheading6">
    <w:name w:val="AER unnumbered heading 6"/>
    <w:basedOn w:val="Heading6"/>
    <w:next w:val="AERbodytext"/>
    <w:rsid w:val="00884F15"/>
    <w:pPr>
      <w:numPr>
        <w:ilvl w:val="0"/>
        <w:numId w:val="0"/>
      </w:numPr>
      <w:spacing w:before="120" w:after="0"/>
    </w:pPr>
    <w:rPr>
      <w:b w:val="0"/>
      <w:i/>
    </w:rPr>
  </w:style>
  <w:style w:type="paragraph" w:customStyle="1" w:styleId="AERalphalistA0">
    <w:name w:val="AERalpha list (A.)"/>
    <w:basedOn w:val="AERalphalist1"/>
    <w:next w:val="AERbodytext"/>
    <w:pPr>
      <w:tabs>
        <w:tab w:val="clear" w:pos="1260"/>
        <w:tab w:val="left" w:pos="1814"/>
      </w:tabs>
      <w:ind w:left="1826" w:hanging="567"/>
    </w:pPr>
  </w:style>
  <w:style w:type="paragraph" w:styleId="TOC1">
    <w:name w:val="toc 1"/>
    <w:basedOn w:val="Normal"/>
    <w:next w:val="Normal"/>
    <w:uiPriority w:val="39"/>
    <w:pPr>
      <w:tabs>
        <w:tab w:val="left" w:pos="567"/>
        <w:tab w:val="right" w:leader="dot" w:pos="8454"/>
      </w:tabs>
      <w:spacing w:before="120" w:after="120"/>
    </w:pPr>
    <w:rPr>
      <w:b/>
      <w:noProof/>
    </w:rPr>
  </w:style>
  <w:style w:type="paragraph" w:styleId="TOC2">
    <w:name w:val="toc 2"/>
    <w:basedOn w:val="Normal"/>
    <w:next w:val="Normal"/>
    <w:uiPriority w:val="39"/>
    <w:pPr>
      <w:tabs>
        <w:tab w:val="left" w:pos="1080"/>
        <w:tab w:val="right" w:leader="dot" w:pos="8454"/>
      </w:tabs>
      <w:ind w:left="1080" w:hanging="540"/>
    </w:pPr>
    <w:rPr>
      <w:noProof/>
    </w:rPr>
  </w:style>
  <w:style w:type="paragraph" w:styleId="TOC3">
    <w:name w:val="toc 3"/>
    <w:basedOn w:val="Normal"/>
    <w:next w:val="Normal"/>
    <w:uiPriority w:val="39"/>
    <w:pPr>
      <w:tabs>
        <w:tab w:val="left" w:pos="1980"/>
        <w:tab w:val="right" w:leader="dot" w:pos="8454"/>
      </w:tabs>
      <w:ind w:left="1980" w:hanging="900"/>
    </w:pPr>
  </w:style>
  <w:style w:type="paragraph" w:customStyle="1" w:styleId="StyleAER1indentalphalista">
    <w:name w:val="Style AER (1) indent alpha list (a)"/>
    <w:basedOn w:val="AER1indentalphalista"/>
    <w:pPr>
      <w:ind w:left="1798"/>
    </w:pPr>
    <w:rPr>
      <w:szCs w:val="20"/>
    </w:rPr>
  </w:style>
  <w:style w:type="character" w:styleId="FootnoteReference">
    <w:name w:val="footnote reference"/>
    <w:basedOn w:val="DefaultParagraphFont"/>
    <w:semiHidden/>
    <w:rPr>
      <w:vertAlign w:val="superscript"/>
    </w:rPr>
  </w:style>
  <w:style w:type="paragraph" w:customStyle="1" w:styleId="Heading11">
    <w:name w:val="Heading 11"/>
    <w:aliases w:val="AER Appendix 1"/>
    <w:basedOn w:val="Normal"/>
    <w:next w:val="AERbodytext"/>
    <w:link w:val="heading1Char0"/>
    <w:rsid w:val="002618C8"/>
    <w:pPr>
      <w:keepNext/>
      <w:pageBreakBefore/>
      <w:widowControl w:val="0"/>
      <w:numPr>
        <w:numId w:val="19"/>
      </w:numPr>
      <w:spacing w:before="240" w:after="120"/>
      <w:jc w:val="both"/>
      <w:outlineLvl w:val="0"/>
    </w:pPr>
    <w:rPr>
      <w:rFonts w:ascii="Arial Bold" w:hAnsi="Arial Bold"/>
      <w:b/>
      <w:bCs/>
      <w:spacing w:val="5"/>
      <w:kern w:val="36"/>
      <w:sz w:val="36"/>
      <w:szCs w:val="27"/>
    </w:rPr>
  </w:style>
  <w:style w:type="character" w:customStyle="1" w:styleId="heading1Char0">
    <w:name w:val="heading 1 Char"/>
    <w:aliases w:val="AER Appendix 1 Char Char"/>
    <w:basedOn w:val="AERunnumberedheading1Char"/>
    <w:link w:val="Heading11"/>
    <w:rsid w:val="002618C8"/>
    <w:rPr>
      <w:rFonts w:ascii="Arial Bold" w:hAnsi="Arial Bold" w:cs="Arial"/>
      <w:b/>
      <w:bCs/>
      <w:spacing w:val="5"/>
      <w:kern w:val="36"/>
      <w:sz w:val="36"/>
      <w:szCs w:val="27"/>
      <w:lang w:val="en-AU" w:eastAsia="en-US" w:bidi="ar-SA"/>
    </w:rPr>
  </w:style>
  <w:style w:type="paragraph" w:customStyle="1" w:styleId="AERDecisionBox">
    <w:name w:val="AER Decision Box"/>
    <w:basedOn w:val="AERbodytext"/>
    <w:rsid w:val="00DC26C4"/>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Heading21">
    <w:name w:val="Heading 21"/>
    <w:aliases w:val="AER Appendix 2"/>
    <w:basedOn w:val="Heading11"/>
    <w:next w:val="AERbodytext"/>
    <w:link w:val="heading2Char"/>
    <w:rsid w:val="002618C8"/>
    <w:pPr>
      <w:pageBreakBefore w:val="0"/>
      <w:numPr>
        <w:ilvl w:val="1"/>
      </w:numPr>
    </w:pPr>
    <w:rPr>
      <w:sz w:val="30"/>
    </w:rPr>
  </w:style>
  <w:style w:type="character" w:customStyle="1" w:styleId="heading2Char">
    <w:name w:val="heading 2 Char"/>
    <w:aliases w:val="AER Appendix 2 Char Char"/>
    <w:basedOn w:val="heading1Char0"/>
    <w:link w:val="Heading21"/>
    <w:rsid w:val="002618C8"/>
    <w:rPr>
      <w:rFonts w:ascii="Arial Bold" w:hAnsi="Arial Bold" w:cs="Arial"/>
      <w:b/>
      <w:bCs/>
      <w:spacing w:val="5"/>
      <w:kern w:val="36"/>
      <w:sz w:val="30"/>
      <w:szCs w:val="27"/>
      <w:lang w:val="en-AU" w:eastAsia="en-US" w:bidi="ar-SA"/>
    </w:rPr>
  </w:style>
  <w:style w:type="paragraph" w:customStyle="1" w:styleId="Heading31">
    <w:name w:val="Heading 31"/>
    <w:aliases w:val="AER Appendix 3"/>
    <w:basedOn w:val="Heading21"/>
    <w:next w:val="AERbodytext"/>
    <w:rsid w:val="00B02FAB"/>
    <w:pPr>
      <w:numPr>
        <w:ilvl w:val="2"/>
      </w:numPr>
    </w:pPr>
    <w:rPr>
      <w:sz w:val="24"/>
    </w:rPr>
  </w:style>
  <w:style w:type="paragraph" w:customStyle="1" w:styleId="Heading41">
    <w:name w:val="Heading 41"/>
    <w:aliases w:val="AER Appendix 4"/>
    <w:basedOn w:val="Heading31"/>
    <w:next w:val="AERbodytext"/>
    <w:rsid w:val="002618C8"/>
    <w:pPr>
      <w:numPr>
        <w:ilvl w:val="3"/>
      </w:numPr>
    </w:pPr>
    <w:rPr>
      <w:rFonts w:ascii="Times New Roman" w:hAnsi="Times New Roman"/>
      <w:sz w:val="22"/>
    </w:rPr>
  </w:style>
  <w:style w:type="paragraph" w:styleId="Caption">
    <w:name w:val="caption"/>
    <w:basedOn w:val="Normal"/>
    <w:next w:val="Normal"/>
    <w:qFormat/>
    <w:rsid w:val="005D10C3"/>
    <w:pPr>
      <w:spacing w:before="240" w:after="120"/>
      <w:ind w:left="1418" w:hanging="1418"/>
    </w:pPr>
    <w:rPr>
      <w:b/>
      <w:bCs/>
      <w:sz w:val="22"/>
      <w:szCs w:val="20"/>
    </w:rPr>
  </w:style>
  <w:style w:type="paragraph" w:customStyle="1" w:styleId="Style1">
    <w:name w:val="Style1"/>
    <w:basedOn w:val="StyleAER1indentalphalista"/>
    <w:autoRedefine/>
    <w:rsid w:val="00D46DB7"/>
    <w:pPr>
      <w:numPr>
        <w:ilvl w:val="8"/>
        <w:numId w:val="16"/>
      </w:numPr>
      <w:ind w:left="1361" w:hanging="284"/>
    </w:pPr>
    <w:rPr>
      <w:color w:val="0000FF"/>
    </w:rPr>
  </w:style>
  <w:style w:type="character" w:styleId="Hyperlink">
    <w:name w:val="Hyperlink"/>
    <w:basedOn w:val="DefaultParagraphFont"/>
    <w:uiPriority w:val="99"/>
    <w:locked/>
    <w:rsid w:val="00147E3A"/>
    <w:rPr>
      <w:color w:val="0000FF"/>
      <w:u w:val="single"/>
    </w:rPr>
  </w:style>
  <w:style w:type="table" w:styleId="TableGrid">
    <w:name w:val="Table Grid"/>
    <w:basedOn w:val="TableNormal"/>
    <w:locked/>
    <w:rsid w:val="0047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locked/>
    <w:rsid w:val="001B5749"/>
    <w:rPr>
      <w:sz w:val="16"/>
      <w:szCs w:val="16"/>
    </w:rPr>
  </w:style>
  <w:style w:type="character" w:customStyle="1" w:styleId="TitleChar">
    <w:name w:val="Title Char"/>
    <w:basedOn w:val="DefaultParagraphFont"/>
    <w:link w:val="Title"/>
    <w:rsid w:val="001B5749"/>
    <w:rPr>
      <w:rFonts w:ascii="Arial" w:hAnsi="Arial" w:cs="Arial"/>
      <w:b/>
      <w:bCs/>
      <w:kern w:val="28"/>
      <w:sz w:val="36"/>
      <w:szCs w:val="32"/>
      <w:lang w:eastAsia="en-US"/>
    </w:rPr>
  </w:style>
  <w:style w:type="paragraph" w:styleId="NormalWeb">
    <w:name w:val="Normal (Web)"/>
    <w:basedOn w:val="Normal"/>
    <w:uiPriority w:val="99"/>
    <w:unhideWhenUsed/>
    <w:locked/>
    <w:rsid w:val="00195CCB"/>
    <w:pPr>
      <w:spacing w:after="240"/>
    </w:pPr>
    <w:rPr>
      <w:lang w:eastAsia="en-AU"/>
    </w:rPr>
  </w:style>
  <w:style w:type="paragraph" w:customStyle="1" w:styleId="Default">
    <w:name w:val="Default"/>
    <w:basedOn w:val="Normal"/>
    <w:rsid w:val="00195CCB"/>
    <w:pPr>
      <w:autoSpaceDE w:val="0"/>
      <w:autoSpaceDN w:val="0"/>
    </w:pPr>
    <w:rPr>
      <w:rFonts w:ascii="Arial" w:eastAsia="Calibri" w:hAnsi="Arial" w:cs="Arial"/>
      <w:color w:val="000000"/>
      <w:lang w:eastAsia="en-AU"/>
    </w:rPr>
  </w:style>
  <w:style w:type="paragraph" w:styleId="ListParagraph">
    <w:name w:val="List Paragraph"/>
    <w:basedOn w:val="Normal"/>
    <w:uiPriority w:val="34"/>
    <w:qFormat/>
    <w:rsid w:val="00195CC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locked/>
    <w:rsid w:val="00202DC0"/>
    <w:rPr>
      <w:rFonts w:ascii="Tahoma" w:hAnsi="Tahoma" w:cs="Tahoma"/>
      <w:sz w:val="16"/>
      <w:szCs w:val="16"/>
    </w:rPr>
  </w:style>
  <w:style w:type="character" w:customStyle="1" w:styleId="BalloonTextChar">
    <w:name w:val="Balloon Text Char"/>
    <w:basedOn w:val="DefaultParagraphFont"/>
    <w:link w:val="BalloonText"/>
    <w:rsid w:val="00202D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0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r.gov.au/node/1189" TargetMode="External"/><Relationship Id="rId18" Type="http://schemas.openxmlformats.org/officeDocument/2006/relationships/hyperlink" Target="mailto:AERRoLR@aer.gov.a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er.gov.au/glossary" TargetMode="External"/><Relationship Id="rId17" Type="http://schemas.openxmlformats.org/officeDocument/2006/relationships/hyperlink" Target="http://www.aer.gov.au/node/1189" TargetMode="External"/><Relationship Id="rId2" Type="http://schemas.openxmlformats.org/officeDocument/2006/relationships/styles" Target="styles.xml"/><Relationship Id="rId16" Type="http://schemas.openxmlformats.org/officeDocument/2006/relationships/hyperlink" Target="http://www.legislation.sa.gov.au/LZ/C/A/NATIONAL%20ENERGY%20RETAIL%20LAW%20(SOUTH%20AUSTRALIA)%20ACT%202011.aspx" TargetMode="External"/><Relationship Id="rId20" Type="http://schemas.openxmlformats.org/officeDocument/2006/relationships/hyperlink" Target="http://www.aemo.com.au/Gas/Policies-and-Procedur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er.gov.au/node/6352"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aemo.com.au/Electricity/Policies-and-Procedures/B2B/NEM-RoLR-Proces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er.gov.au/node/118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_Melb\AER%20-%2007%20-%20Final%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AER - 07 - Final report.dot</Template>
  <TotalTime>0</TotalTime>
  <Pages>13</Pages>
  <Words>2546</Words>
  <Characters>15289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17800</CharactersWithSpaces>
  <SharedDoc>false</SharedDoc>
  <HLinks>
    <vt:vector size="96" baseType="variant">
      <vt:variant>
        <vt:i4>1114172</vt:i4>
      </vt:variant>
      <vt:variant>
        <vt:i4>92</vt:i4>
      </vt:variant>
      <vt:variant>
        <vt:i4>0</vt:i4>
      </vt:variant>
      <vt:variant>
        <vt:i4>5</vt:i4>
      </vt:variant>
      <vt:variant>
        <vt:lpwstr/>
      </vt:variant>
      <vt:variant>
        <vt:lpwstr>_Toc234121853</vt:lpwstr>
      </vt:variant>
      <vt:variant>
        <vt:i4>1114172</vt:i4>
      </vt:variant>
      <vt:variant>
        <vt:i4>86</vt:i4>
      </vt:variant>
      <vt:variant>
        <vt:i4>0</vt:i4>
      </vt:variant>
      <vt:variant>
        <vt:i4>5</vt:i4>
      </vt:variant>
      <vt:variant>
        <vt:lpwstr/>
      </vt:variant>
      <vt:variant>
        <vt:lpwstr>_Toc234121852</vt:lpwstr>
      </vt:variant>
      <vt:variant>
        <vt:i4>1114172</vt:i4>
      </vt:variant>
      <vt:variant>
        <vt:i4>80</vt:i4>
      </vt:variant>
      <vt:variant>
        <vt:i4>0</vt:i4>
      </vt:variant>
      <vt:variant>
        <vt:i4>5</vt:i4>
      </vt:variant>
      <vt:variant>
        <vt:lpwstr/>
      </vt:variant>
      <vt:variant>
        <vt:lpwstr>_Toc234121851</vt:lpwstr>
      </vt:variant>
      <vt:variant>
        <vt:i4>1114172</vt:i4>
      </vt:variant>
      <vt:variant>
        <vt:i4>74</vt:i4>
      </vt:variant>
      <vt:variant>
        <vt:i4>0</vt:i4>
      </vt:variant>
      <vt:variant>
        <vt:i4>5</vt:i4>
      </vt:variant>
      <vt:variant>
        <vt:lpwstr/>
      </vt:variant>
      <vt:variant>
        <vt:lpwstr>_Toc234121850</vt:lpwstr>
      </vt:variant>
      <vt:variant>
        <vt:i4>1048636</vt:i4>
      </vt:variant>
      <vt:variant>
        <vt:i4>68</vt:i4>
      </vt:variant>
      <vt:variant>
        <vt:i4>0</vt:i4>
      </vt:variant>
      <vt:variant>
        <vt:i4>5</vt:i4>
      </vt:variant>
      <vt:variant>
        <vt:lpwstr/>
      </vt:variant>
      <vt:variant>
        <vt:lpwstr>_Toc234121849</vt:lpwstr>
      </vt:variant>
      <vt:variant>
        <vt:i4>1048636</vt:i4>
      </vt:variant>
      <vt:variant>
        <vt:i4>62</vt:i4>
      </vt:variant>
      <vt:variant>
        <vt:i4>0</vt:i4>
      </vt:variant>
      <vt:variant>
        <vt:i4>5</vt:i4>
      </vt:variant>
      <vt:variant>
        <vt:lpwstr/>
      </vt:variant>
      <vt:variant>
        <vt:lpwstr>_Toc234121848</vt:lpwstr>
      </vt:variant>
      <vt:variant>
        <vt:i4>1048636</vt:i4>
      </vt:variant>
      <vt:variant>
        <vt:i4>56</vt:i4>
      </vt:variant>
      <vt:variant>
        <vt:i4>0</vt:i4>
      </vt:variant>
      <vt:variant>
        <vt:i4>5</vt:i4>
      </vt:variant>
      <vt:variant>
        <vt:lpwstr/>
      </vt:variant>
      <vt:variant>
        <vt:lpwstr>_Toc234121847</vt:lpwstr>
      </vt:variant>
      <vt:variant>
        <vt:i4>1048636</vt:i4>
      </vt:variant>
      <vt:variant>
        <vt:i4>50</vt:i4>
      </vt:variant>
      <vt:variant>
        <vt:i4>0</vt:i4>
      </vt:variant>
      <vt:variant>
        <vt:i4>5</vt:i4>
      </vt:variant>
      <vt:variant>
        <vt:lpwstr/>
      </vt:variant>
      <vt:variant>
        <vt:lpwstr>_Toc234121846</vt:lpwstr>
      </vt:variant>
      <vt:variant>
        <vt:i4>1048636</vt:i4>
      </vt:variant>
      <vt:variant>
        <vt:i4>44</vt:i4>
      </vt:variant>
      <vt:variant>
        <vt:i4>0</vt:i4>
      </vt:variant>
      <vt:variant>
        <vt:i4>5</vt:i4>
      </vt:variant>
      <vt:variant>
        <vt:lpwstr/>
      </vt:variant>
      <vt:variant>
        <vt:lpwstr>_Toc234121845</vt:lpwstr>
      </vt:variant>
      <vt:variant>
        <vt:i4>1048636</vt:i4>
      </vt:variant>
      <vt:variant>
        <vt:i4>38</vt:i4>
      </vt:variant>
      <vt:variant>
        <vt:i4>0</vt:i4>
      </vt:variant>
      <vt:variant>
        <vt:i4>5</vt:i4>
      </vt:variant>
      <vt:variant>
        <vt:lpwstr/>
      </vt:variant>
      <vt:variant>
        <vt:lpwstr>_Toc234121844</vt:lpwstr>
      </vt:variant>
      <vt:variant>
        <vt:i4>1048636</vt:i4>
      </vt:variant>
      <vt:variant>
        <vt:i4>32</vt:i4>
      </vt:variant>
      <vt:variant>
        <vt:i4>0</vt:i4>
      </vt:variant>
      <vt:variant>
        <vt:i4>5</vt:i4>
      </vt:variant>
      <vt:variant>
        <vt:lpwstr/>
      </vt:variant>
      <vt:variant>
        <vt:lpwstr>_Toc234121843</vt:lpwstr>
      </vt:variant>
      <vt:variant>
        <vt:i4>1048636</vt:i4>
      </vt:variant>
      <vt:variant>
        <vt:i4>26</vt:i4>
      </vt:variant>
      <vt:variant>
        <vt:i4>0</vt:i4>
      </vt:variant>
      <vt:variant>
        <vt:i4>5</vt:i4>
      </vt:variant>
      <vt:variant>
        <vt:lpwstr/>
      </vt:variant>
      <vt:variant>
        <vt:lpwstr>_Toc234121842</vt:lpwstr>
      </vt:variant>
      <vt:variant>
        <vt:i4>1048636</vt:i4>
      </vt:variant>
      <vt:variant>
        <vt:i4>20</vt:i4>
      </vt:variant>
      <vt:variant>
        <vt:i4>0</vt:i4>
      </vt:variant>
      <vt:variant>
        <vt:i4>5</vt:i4>
      </vt:variant>
      <vt:variant>
        <vt:lpwstr/>
      </vt:variant>
      <vt:variant>
        <vt:lpwstr>_Toc234121841</vt:lpwstr>
      </vt:variant>
      <vt:variant>
        <vt:i4>1048636</vt:i4>
      </vt:variant>
      <vt:variant>
        <vt:i4>14</vt:i4>
      </vt:variant>
      <vt:variant>
        <vt:i4>0</vt:i4>
      </vt:variant>
      <vt:variant>
        <vt:i4>5</vt:i4>
      </vt:variant>
      <vt:variant>
        <vt:lpwstr/>
      </vt:variant>
      <vt:variant>
        <vt:lpwstr>_Toc234121840</vt:lpwstr>
      </vt:variant>
      <vt:variant>
        <vt:i4>1507388</vt:i4>
      </vt:variant>
      <vt:variant>
        <vt:i4>8</vt:i4>
      </vt:variant>
      <vt:variant>
        <vt:i4>0</vt:i4>
      </vt:variant>
      <vt:variant>
        <vt:i4>5</vt:i4>
      </vt:variant>
      <vt:variant>
        <vt:lpwstr/>
      </vt:variant>
      <vt:variant>
        <vt:lpwstr>_Toc234121839</vt:lpwstr>
      </vt:variant>
      <vt:variant>
        <vt:i4>1507388</vt:i4>
      </vt:variant>
      <vt:variant>
        <vt:i4>2</vt:i4>
      </vt:variant>
      <vt:variant>
        <vt:i4>0</vt:i4>
      </vt:variant>
      <vt:variant>
        <vt:i4>5</vt:i4>
      </vt:variant>
      <vt:variant>
        <vt:lpwstr/>
      </vt:variant>
      <vt:variant>
        <vt:lpwstr>_Toc234121838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RoLR public exercise conduct report - 21 October 2013</dc:title>
  <dc:subject>RoLR public exercise conduct report - 21 October 2013</dc:subject>
  <dc:creator>AER</dc:creator>
  <cp:keywords/>
  <dc:description/>
  <cp:lastModifiedBy>Dianne McGrath</cp:lastModifiedBy>
  <cp:revision>2</cp:revision>
  <cp:lastPrinted>2013-10-31T23:11:00Z</cp:lastPrinted>
  <dcterms:created xsi:type="dcterms:W3CDTF">2013-11-18T03:09:00Z</dcterms:created>
  <dcterms:modified xsi:type="dcterms:W3CDTF">2013-11-18T03:09:00Z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H:\TRIMDATA\TRIM\TEMP\HPTRIM.3396\D13 157659  RoLR public exercise conduct report - 21 October 2013(2).DOCX</vt:lpwstr>
  </property>
</Properties>
</file>