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9828159"/>
        <w:docPartObj>
          <w:docPartGallery w:val="Cover Pages"/>
          <w:docPartUnique/>
        </w:docPartObj>
      </w:sdtPr>
      <w:sdtEndPr/>
      <w:sdtContent>
        <w:p w:rsidR="00661D4F" w:rsidRPr="008A005F" w:rsidRDefault="00661D4F" w:rsidP="00393E4F">
          <w:r>
            <w:rPr>
              <w:noProof/>
              <w:lang w:val="en-US"/>
            </w:rPr>
            <w:drawing>
              <wp:anchor distT="0" distB="0" distL="114300" distR="114300" simplePos="0" relativeHeight="251660288" behindDoc="1" locked="0" layoutInCell="1" allowOverlap="1">
                <wp:simplePos x="0" y="0"/>
                <wp:positionH relativeFrom="column">
                  <wp:posOffset>-1080135</wp:posOffset>
                </wp:positionH>
                <wp:positionV relativeFrom="paragraph">
                  <wp:posOffset>-913130</wp:posOffset>
                </wp:positionV>
                <wp:extent cx="7732309" cy="10706100"/>
                <wp:effectExtent l="19050" t="0" r="1991"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image_backgroun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32696" cy="10706636"/>
                        </a:xfrm>
                        <a:prstGeom prst="rect">
                          <a:avLst/>
                        </a:prstGeom>
                      </pic:spPr>
                    </pic:pic>
                  </a:graphicData>
                </a:graphic>
              </wp:anchor>
            </w:drawing>
          </w:r>
        </w:p>
        <w:p w:rsidR="00661D4F" w:rsidRDefault="00924A8F">
          <w:r>
            <w:rPr>
              <w:noProof/>
            </w:rPr>
            <w:pict>
              <v:group id="Group 7" o:spid="_x0000_s1026" style="position:absolute;margin-left:-7.5pt;margin-top:477pt;width:503.5pt;height:213.7pt;z-index:251661312" coordorigin="1300,11242" coordsize="8238,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">
                <v:shapetype id="_x0000_t202" coordsize="21600,21600" o:spt="202" path="m,l,21600r21600,l21600,xe">
                  <v:stroke joinstyle="miter"/>
                  <v:path gradientshapeok="t" o:connecttype="rect"/>
                </v:shapetype>
                <v:shape id="Text Box 3" o:spid="_x0000_s1027" type="#_x0000_t202" style="position:absolute;left:1300;top:14612;width:372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A81AFE" w:rsidRPr="008A005F" w:rsidRDefault="00A81AFE" w:rsidP="00393E4F">
                        <w:pPr>
                          <w:spacing w:line="240" w:lineRule="auto"/>
                          <w:rPr>
                            <w:b/>
                            <w:color w:val="FFFFFF" w:themeColor="background2"/>
                            <w:sz w:val="38"/>
                            <w:szCs w:val="38"/>
                          </w:rPr>
                        </w:pPr>
                        <w:r>
                          <w:rPr>
                            <w:b/>
                            <w:color w:val="FFFFFF" w:themeColor="background2"/>
                            <w:sz w:val="38"/>
                            <w:szCs w:val="38"/>
                          </w:rPr>
                          <w:t>SA Power Networks</w:t>
                        </w:r>
                      </w:p>
                    </w:txbxContent>
                  </v:textbox>
                </v:shape>
                <v:shape id="Text Box 4" o:spid="_x0000_s1028" type="#_x0000_t202" style="position:absolute;left:1300;top:11242;width:8238;height:166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sdt>
                        <w:sdtPr>
                          <w:alias w:val="Title"/>
                          <w:tag w:val="Title"/>
                          <w:id w:val="2115008159"/>
                          <w:dataBinding w:prefixMappings="xmlns:ns0='http://purl.org/dc/elements/1.1/' xmlns:ns1='http://schemas.openxmlformats.org/package/2006/metadata/core-properties' " w:xpath="/ns1:coreProperties[1]/ns0:title[1]" w:storeItemID="{6C3C8BC8-F283-45AE-878A-BAB7291924A1}"/>
                          <w:text w:multiLine="1"/>
                        </w:sdtPr>
                        <w:sdtEndPr/>
                        <w:sdtContent>
                          <w:p w:rsidR="00A81AFE" w:rsidRPr="00DB5105" w:rsidRDefault="00A81AFE" w:rsidP="00393E4F">
                            <w:pPr>
                              <w:pStyle w:val="Title"/>
                            </w:pPr>
                            <w:r>
                              <w:t>SA Power Networks</w:t>
                            </w:r>
                            <w:r>
                              <w:br/>
                              <w:t>Annual Pricing Proposal 2015/2016</w:t>
                            </w:r>
                          </w:p>
                        </w:sdtContent>
                      </w:sdt>
                    </w:txbxContent>
                  </v:textbox>
                </v:shape>
                <v:shape id="Text Box 5" o:spid="_x0000_s1029" type="#_x0000_t202" style="position:absolute;left:1300;top:15063;width:328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81AFE" w:rsidRPr="008A005F" w:rsidRDefault="00A81AFE" w:rsidP="00393E4F">
                        <w:pPr>
                          <w:rPr>
                            <w:b/>
                            <w:color w:val="FA820F" w:themeColor="text2"/>
                          </w:rPr>
                        </w:pPr>
                        <w:r w:rsidRPr="008A005F">
                          <w:rPr>
                            <w:b/>
                            <w:color w:val="FA820F" w:themeColor="text2"/>
                          </w:rPr>
                          <w:t>www.sapowernetworks.com.au</w:t>
                        </w:r>
                      </w:p>
                    </w:txbxContent>
                  </v:textbox>
                </v:shape>
                <v:shape id="Text Box 6" o:spid="_x0000_s1030" type="#_x0000_t202" style="position:absolute;left:1300;top:12907;width:823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sdt>
                        <w:sdtPr>
                          <w:rPr>
                            <w:color w:val="FFFFFF" w:themeColor="background2"/>
                          </w:rPr>
                          <w:alias w:val="Subject"/>
                          <w:tag w:val=""/>
                          <w:id w:val="-78531919"/>
                          <w:showingPlcHdr/>
                          <w:dataBinding w:prefixMappings="xmlns:ns0='http://purl.org/dc/elements/1.1/' xmlns:ns1='http://schemas.openxmlformats.org/package/2006/metadata/core-properties' " w:xpath="/ns1:coreProperties[1]/ns0:subject[1]" w:storeItemID="{6C3C8BC8-F283-45AE-878A-BAB7291924A1}"/>
                          <w:text w:multiLine="1"/>
                        </w:sdtPr>
                        <w:sdtEndPr/>
                        <w:sdtContent>
                          <w:p w:rsidR="00A81AFE" w:rsidRPr="008A005F" w:rsidRDefault="00A81AFE" w:rsidP="00393E4F">
                            <w:pPr>
                              <w:pStyle w:val="Subtitle"/>
                              <w:rPr>
                                <w:color w:val="FFFFFF" w:themeColor="background2"/>
                              </w:rPr>
                            </w:pPr>
                            <w:r>
                              <w:rPr>
                                <w:color w:val="FFFFFF" w:themeColor="background2"/>
                              </w:rPr>
                              <w:t xml:space="preserve">     </w:t>
                            </w:r>
                          </w:p>
                        </w:sdtContent>
                      </w:sdt>
                      <w:p w:rsidR="00A81AFE" w:rsidRPr="008A005F" w:rsidRDefault="00A81AFE" w:rsidP="00393E4F">
                        <w:pPr>
                          <w:spacing w:line="320" w:lineRule="exact"/>
                          <w:rPr>
                            <w:color w:val="FFFFFF" w:themeColor="background2"/>
                            <w:sz w:val="30"/>
                            <w:szCs w:val="30"/>
                          </w:rPr>
                        </w:pPr>
                      </w:p>
                      <w:p w:rsidR="00A81AFE" w:rsidRPr="008A005F" w:rsidRDefault="00A81AFE" w:rsidP="00393E4F">
                        <w:pPr>
                          <w:spacing w:line="320" w:lineRule="exact"/>
                          <w:rPr>
                            <w:color w:val="FFFFFF" w:themeColor="background2"/>
                            <w:sz w:val="30"/>
                            <w:szCs w:val="30"/>
                          </w:rPr>
                        </w:pPr>
                        <w:r w:rsidRPr="008A005F">
                          <w:rPr>
                            <w:color w:val="FFFFFF" w:themeColor="background2"/>
                            <w:sz w:val="30"/>
                            <w:szCs w:val="30"/>
                          </w:rPr>
                          <w:fldChar w:fldCharType="begin"/>
                        </w:r>
                        <w:r w:rsidRPr="008A005F">
                          <w:rPr>
                            <w:color w:val="FFFFFF" w:themeColor="background2"/>
                            <w:sz w:val="30"/>
                            <w:szCs w:val="30"/>
                          </w:rPr>
                          <w:instrText xml:space="preserve"> DATE  \@ "d MMMM yyyy"  \* MERGEFORMAT </w:instrText>
                        </w:r>
                        <w:r w:rsidRPr="008A005F">
                          <w:rPr>
                            <w:color w:val="FFFFFF" w:themeColor="background2"/>
                            <w:sz w:val="30"/>
                            <w:szCs w:val="30"/>
                          </w:rPr>
                          <w:fldChar w:fldCharType="separate"/>
                        </w:r>
                        <w:r w:rsidR="00924A8F">
                          <w:rPr>
                            <w:noProof/>
                            <w:color w:val="FFFFFF" w:themeColor="background2"/>
                            <w:sz w:val="30"/>
                            <w:szCs w:val="30"/>
                          </w:rPr>
                          <w:t>26 May 2015</w:t>
                        </w:r>
                        <w:r w:rsidRPr="008A005F">
                          <w:rPr>
                            <w:color w:val="FFFFFF" w:themeColor="background2"/>
                            <w:sz w:val="30"/>
                            <w:szCs w:val="30"/>
                          </w:rPr>
                          <w:fldChar w:fldCharType="end"/>
                        </w:r>
                      </w:p>
                    </w:txbxContent>
                  </v:textbox>
                </v:shape>
              </v:group>
            </w:pict>
          </w:r>
          <w:r w:rsidR="00661D4F">
            <w:br w:type="page"/>
          </w:r>
        </w:p>
      </w:sdtContent>
    </w:sdt>
    <w:p w:rsidR="0044594F" w:rsidRDefault="0044594F" w:rsidP="0044594F">
      <w:pPr>
        <w:pStyle w:val="Heading1"/>
        <w:sectPr w:rsidR="0044594F" w:rsidSect="0044594F">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134" w:left="1701" w:header="709" w:footer="709" w:gutter="0"/>
          <w:pgNumType w:fmt="lowerRoman" w:start="1"/>
          <w:cols w:space="708"/>
          <w:titlePg/>
          <w:docGrid w:linePitch="360"/>
        </w:sectPr>
      </w:pPr>
    </w:p>
    <w:p w:rsidR="0044594F" w:rsidRDefault="0044594F" w:rsidP="0044594F">
      <w:pPr>
        <w:pStyle w:val="Heading1"/>
      </w:pPr>
      <w:bookmarkStart w:id="1" w:name="_Toc420009807"/>
      <w:r>
        <w:lastRenderedPageBreak/>
        <w:t>Executive Summary</w:t>
      </w:r>
      <w:bookmarkEnd w:id="1"/>
    </w:p>
    <w:p w:rsidR="0044594F" w:rsidRDefault="0044594F" w:rsidP="0044594F"/>
    <w:p w:rsidR="00926F06" w:rsidRDefault="00926F06" w:rsidP="00926F06">
      <w:r>
        <w:t xml:space="preserve">This Network Pricing Proposal has been prepared by </w:t>
      </w:r>
      <w:r w:rsidR="00EA36E3">
        <w:t>SA Power Networks</w:t>
      </w:r>
      <w:r>
        <w:t xml:space="preserve"> to comply with the requirements of the National Electricity Rules.  It provides details of our pricing strategy, proposed network prices for </w:t>
      </w:r>
      <w:r w:rsidR="00970806">
        <w:t>2015/16</w:t>
      </w:r>
      <w:r>
        <w:t>, and comprehensive information on the price changes for each type and size of customer.</w:t>
      </w:r>
    </w:p>
    <w:p w:rsidR="00926F06" w:rsidRDefault="00926F06" w:rsidP="00926F06"/>
    <w:p w:rsidR="00926F06" w:rsidRPr="00215C30" w:rsidRDefault="00926F06" w:rsidP="00926F06">
      <w:pPr>
        <w:keepNext/>
        <w:spacing w:after="120"/>
      </w:pPr>
      <w:r>
        <w:t xml:space="preserve">Each electricity customer’s retail bill comprises the following components, the first four of which are </w:t>
      </w:r>
      <w:r w:rsidRPr="00215C30">
        <w:t>included in this Network Pricing Proposal:</w:t>
      </w:r>
    </w:p>
    <w:p w:rsidR="00926F06" w:rsidRPr="00215C30" w:rsidRDefault="00EA36E3" w:rsidP="003C07A2">
      <w:pPr>
        <w:numPr>
          <w:ilvl w:val="0"/>
          <w:numId w:val="31"/>
        </w:numPr>
        <w:spacing w:after="120" w:line="240" w:lineRule="auto"/>
      </w:pPr>
      <w:r>
        <w:t>SA Power Networks</w:t>
      </w:r>
      <w:r w:rsidR="00926F06" w:rsidRPr="00215C30">
        <w:t>’ distribution network charges;</w:t>
      </w:r>
    </w:p>
    <w:p w:rsidR="00926F06" w:rsidRPr="00215C30" w:rsidRDefault="00926F06" w:rsidP="003C07A2">
      <w:pPr>
        <w:numPr>
          <w:ilvl w:val="0"/>
          <w:numId w:val="31"/>
        </w:numPr>
        <w:spacing w:after="120" w:line="240" w:lineRule="auto"/>
      </w:pPr>
      <w:r w:rsidRPr="00215C30">
        <w:t>Transmission network charges, by ElectraNet and MurrayLink;</w:t>
      </w:r>
    </w:p>
    <w:p w:rsidR="007030FD" w:rsidRPr="00215C30" w:rsidRDefault="00926F06" w:rsidP="003C07A2">
      <w:pPr>
        <w:numPr>
          <w:ilvl w:val="0"/>
          <w:numId w:val="31"/>
        </w:numPr>
        <w:spacing w:after="120" w:line="240" w:lineRule="auto"/>
      </w:pPr>
      <w:r w:rsidRPr="00215C30">
        <w:t xml:space="preserve">Jurisdictional Scheme Amount charges, required to fund the South Australian Government’s Feed-in Tariff </w:t>
      </w:r>
      <w:r w:rsidR="005755F1">
        <w:t xml:space="preserve">(FiT) </w:t>
      </w:r>
      <w:r w:rsidRPr="00215C30">
        <w:t xml:space="preserve">credits to the owners of qualifying solar photo-voltaic (PV) electricity generators; </w:t>
      </w:r>
    </w:p>
    <w:p w:rsidR="007030FD" w:rsidRPr="00215C30" w:rsidRDefault="007030FD" w:rsidP="003C07A2">
      <w:pPr>
        <w:numPr>
          <w:ilvl w:val="0"/>
          <w:numId w:val="31"/>
        </w:numPr>
        <w:spacing w:after="120" w:line="240" w:lineRule="auto"/>
      </w:pPr>
      <w:r w:rsidRPr="00215C30">
        <w:t xml:space="preserve">Metering charges (by </w:t>
      </w:r>
      <w:r w:rsidR="00EA36E3">
        <w:t>SA Power Networks</w:t>
      </w:r>
      <w:r w:rsidRPr="00215C30">
        <w:t xml:space="preserve"> or another metering provider); and</w:t>
      </w:r>
    </w:p>
    <w:p w:rsidR="00926F06" w:rsidRPr="00215C30" w:rsidRDefault="00926F06" w:rsidP="003C07A2">
      <w:pPr>
        <w:numPr>
          <w:ilvl w:val="0"/>
          <w:numId w:val="31"/>
        </w:numPr>
        <w:spacing w:after="240" w:line="240" w:lineRule="auto"/>
      </w:pPr>
      <w:r w:rsidRPr="00215C30">
        <w:t>Retail charges, including the cost of energy generation.</w:t>
      </w:r>
    </w:p>
    <w:p w:rsidR="00926F06" w:rsidRPr="00215C30" w:rsidRDefault="00926F06" w:rsidP="00926F06">
      <w:r w:rsidRPr="00215C30">
        <w:t>GST is applicable to these items.</w:t>
      </w:r>
    </w:p>
    <w:p w:rsidR="007030FD" w:rsidRPr="00215C30" w:rsidRDefault="007030FD" w:rsidP="00926F06"/>
    <w:p w:rsidR="007030FD" w:rsidRPr="00215C30" w:rsidRDefault="007030FD" w:rsidP="00926F06">
      <w:r w:rsidRPr="00215C30">
        <w:t xml:space="preserve">Qualifying customers may also receive </w:t>
      </w:r>
      <w:r w:rsidR="005755F1">
        <w:t>FiT</w:t>
      </w:r>
      <w:r w:rsidRPr="00215C30">
        <w:t xml:space="preserve"> Credits under the PV Scheme, at the SA Government legislated prices.</w:t>
      </w:r>
    </w:p>
    <w:p w:rsidR="00926F06" w:rsidRPr="00215C30" w:rsidRDefault="00926F06" w:rsidP="00926F06">
      <w:pPr>
        <w:spacing w:before="100" w:beforeAutospacing="1" w:after="100" w:afterAutospacing="1" w:line="240" w:lineRule="auto"/>
        <w:rPr>
          <w:rFonts w:cstheme="minorHAnsi"/>
        </w:rPr>
      </w:pPr>
      <w:r w:rsidRPr="00215C30">
        <w:t xml:space="preserve">For the purpose of comparison and information to the reader, the price changes for small customers in this Pricing Proposal are compared to the AGL transitional small customer retail price applicable in </w:t>
      </w:r>
      <w:r w:rsidR="00970806" w:rsidRPr="00215C30">
        <w:t>2014/15</w:t>
      </w:r>
      <w:r w:rsidRPr="00215C30">
        <w:t>.  They represent a publicly available discounted retail price which is used by a significant proportion of SA residential customers.</w:t>
      </w:r>
    </w:p>
    <w:p w:rsidR="00926F06" w:rsidRPr="00215C30" w:rsidRDefault="00926F06" w:rsidP="00926F06">
      <w:r w:rsidRPr="00215C30">
        <w:t xml:space="preserve">Over the last 15 years, </w:t>
      </w:r>
      <w:r w:rsidR="00EA36E3">
        <w:t>SA Power Networks</w:t>
      </w:r>
      <w:r w:rsidRPr="00215C30">
        <w:t xml:space="preserve"> has used a residential customer consuming 5,000 kWh per annum as a typical, average customer.  For consistency with previous years, </w:t>
      </w:r>
      <w:r w:rsidR="00EA36E3">
        <w:t>SA Power Networks</w:t>
      </w:r>
      <w:r w:rsidRPr="00215C30">
        <w:t xml:space="preserve"> </w:t>
      </w:r>
      <w:r w:rsidR="007030FD" w:rsidRPr="00215C30">
        <w:t>continues to</w:t>
      </w:r>
      <w:r w:rsidRPr="00215C30">
        <w:t xml:space="preserve"> use 5,000 kWh as a typical average customer, </w:t>
      </w:r>
      <w:r w:rsidR="007030FD" w:rsidRPr="00215C30">
        <w:t>although</w:t>
      </w:r>
      <w:r w:rsidRPr="00215C30">
        <w:t xml:space="preserve"> the median customer</w:t>
      </w:r>
      <w:r w:rsidR="007030FD" w:rsidRPr="00215C30">
        <w:t xml:space="preserve"> today would be closer to 4,000 kWh because of energy </w:t>
      </w:r>
      <w:r w:rsidR="00215C30" w:rsidRPr="00215C30">
        <w:t>efficiency</w:t>
      </w:r>
      <w:r w:rsidR="007030FD" w:rsidRPr="00215C30">
        <w:t xml:space="preserve"> and use of </w:t>
      </w:r>
      <w:r w:rsidR="005755F1">
        <w:t xml:space="preserve">their own </w:t>
      </w:r>
      <w:r w:rsidR="007030FD" w:rsidRPr="00215C30">
        <w:t xml:space="preserve">PV </w:t>
      </w:r>
      <w:r w:rsidR="005755F1">
        <w:t xml:space="preserve">energy </w:t>
      </w:r>
      <w:r w:rsidR="007030FD" w:rsidRPr="00215C30">
        <w:t>in-house</w:t>
      </w:r>
      <w:r w:rsidRPr="00215C30">
        <w:t>.</w:t>
      </w:r>
    </w:p>
    <w:p w:rsidR="00926F06" w:rsidRPr="00215C30" w:rsidRDefault="00926F06" w:rsidP="00926F06"/>
    <w:p w:rsidR="00926F06" w:rsidRPr="00215C30" w:rsidRDefault="00926F06" w:rsidP="00926F06">
      <w:r w:rsidRPr="00215C30">
        <w:t xml:space="preserve">The cost of electricity distribution services from </w:t>
      </w:r>
      <w:r w:rsidR="00EA36E3">
        <w:t>SA Power Networks</w:t>
      </w:r>
      <w:r w:rsidRPr="00215C30">
        <w:t xml:space="preserve"> will </w:t>
      </w:r>
      <w:r w:rsidR="005755F1">
        <w:t xml:space="preserve">reduce </w:t>
      </w:r>
      <w:r w:rsidRPr="00215C30">
        <w:t xml:space="preserve">the average residential bill by </w:t>
      </w:r>
      <w:r w:rsidR="00215C30" w:rsidRPr="00215C30">
        <w:t>-</w:t>
      </w:r>
      <w:r w:rsidR="007030FD" w:rsidRPr="00215C30">
        <w:t>8</w:t>
      </w:r>
      <w:r w:rsidRPr="00215C30">
        <w:t>.9% (</w:t>
      </w:r>
      <w:r w:rsidR="00215C30">
        <w:t>-</w:t>
      </w:r>
      <w:r w:rsidRPr="00215C30">
        <w:t>$</w:t>
      </w:r>
      <w:r w:rsidR="00215C30" w:rsidRPr="00215C30">
        <w:t>163</w:t>
      </w:r>
      <w:r w:rsidRPr="00215C30">
        <w:t xml:space="preserve">).  The distribution charges reflect </w:t>
      </w:r>
      <w:r w:rsidR="00215C30" w:rsidRPr="00215C30">
        <w:t xml:space="preserve">the AER’s </w:t>
      </w:r>
      <w:r w:rsidR="00477C39">
        <w:t>Preliminary Decision</w:t>
      </w:r>
      <w:r w:rsidR="00215C30" w:rsidRPr="00215C30">
        <w:t xml:space="preserve"> for </w:t>
      </w:r>
      <w:r w:rsidR="005755F1">
        <w:t>2015-20</w:t>
      </w:r>
      <w:r w:rsidR="00215C30" w:rsidRPr="00215C30">
        <w:t xml:space="preserve"> announced in April 201</w:t>
      </w:r>
      <w:r w:rsidR="005755F1">
        <w:t>5</w:t>
      </w:r>
      <w:r w:rsidRPr="00215C30">
        <w:t>.</w:t>
      </w:r>
      <w:r w:rsidR="00215C30" w:rsidRPr="00215C30">
        <w:t xml:space="preserve">  The Final Determination for 2015-20 wi</w:t>
      </w:r>
      <w:r w:rsidR="005755F1">
        <w:t>ll be announced in October 2015, with any adjustments reflected in future pricing proposals eg 2016/17.</w:t>
      </w:r>
    </w:p>
    <w:p w:rsidR="00926F06" w:rsidRPr="00215C30" w:rsidRDefault="00926F06" w:rsidP="00926F06"/>
    <w:p w:rsidR="00926F06" w:rsidRDefault="00926F06" w:rsidP="00926F06">
      <w:r w:rsidRPr="00215C30">
        <w:t xml:space="preserve">In addition to </w:t>
      </w:r>
      <w:r w:rsidR="00EA36E3">
        <w:t>SA Power Networks</w:t>
      </w:r>
      <w:r w:rsidRPr="00215C30">
        <w:t xml:space="preserve">’ distribution charges, </w:t>
      </w:r>
      <w:r w:rsidR="00EA36E3">
        <w:t>SA Power Networks</w:t>
      </w:r>
      <w:r w:rsidRPr="00215C30">
        <w:t xml:space="preserve"> pays ElectraNet the transmission charge and recovers this charge from customers.   </w:t>
      </w:r>
      <w:r w:rsidR="00215C30" w:rsidRPr="00215C30">
        <w:t>We have used the recently released</w:t>
      </w:r>
      <w:r w:rsidRPr="00215C30">
        <w:t xml:space="preserve"> ElectraNet final prices</w:t>
      </w:r>
      <w:r w:rsidR="00215C30" w:rsidRPr="00215C30">
        <w:t xml:space="preserve"> for 2015/16 and have applied their pricing </w:t>
      </w:r>
      <w:r w:rsidR="005755F1">
        <w:t>explicitly</w:t>
      </w:r>
      <w:r w:rsidR="00215C30" w:rsidRPr="00215C30">
        <w:t xml:space="preserve"> to individual customer segments this year</w:t>
      </w:r>
      <w:r w:rsidRPr="00215C30">
        <w:t xml:space="preserve">.  </w:t>
      </w:r>
      <w:r w:rsidR="00215C30" w:rsidRPr="00215C30">
        <w:t>Whilst total payments to ElectraNet are largely unchanged this year, the amount recovered from residential customers</w:t>
      </w:r>
      <w:r w:rsidRPr="00215C30">
        <w:t xml:space="preserve"> account for a separate </w:t>
      </w:r>
      <w:r w:rsidR="00215C30" w:rsidRPr="00215C30">
        <w:t>+1.2%</w:t>
      </w:r>
      <w:r w:rsidRPr="00215C30">
        <w:t xml:space="preserve"> increase</w:t>
      </w:r>
      <w:r w:rsidR="005755F1">
        <w:t xml:space="preserve"> in the retail bill</w:t>
      </w:r>
      <w:r w:rsidR="00215C30" w:rsidRPr="00215C30">
        <w:t xml:space="preserve"> (</w:t>
      </w:r>
      <w:r w:rsidR="00215C30">
        <w:t>+</w:t>
      </w:r>
      <w:r w:rsidR="00215C30" w:rsidRPr="00215C30">
        <w:t>$22)</w:t>
      </w:r>
      <w:r w:rsidRPr="00215C30">
        <w:t>.</w:t>
      </w:r>
    </w:p>
    <w:p w:rsidR="00926F06" w:rsidRDefault="00926F06" w:rsidP="00926F06"/>
    <w:p w:rsidR="00926F06" w:rsidRDefault="00926F06" w:rsidP="00926F06">
      <w:r>
        <w:t xml:space="preserve">Also, </w:t>
      </w:r>
      <w:r w:rsidR="00EA36E3">
        <w:t>SA Power Networks</w:t>
      </w:r>
      <w:r>
        <w:t xml:space="preserve"> is obliged to pay qualifying</w:t>
      </w:r>
      <w:r w:rsidR="005755F1">
        <w:t xml:space="preserve"> solar</w:t>
      </w:r>
      <w:r>
        <w:t xml:space="preserve"> PV generators a legislated </w:t>
      </w:r>
      <w:r w:rsidR="005755F1">
        <w:t xml:space="preserve">credit </w:t>
      </w:r>
      <w:r>
        <w:t xml:space="preserve">price for the energy they export, and recover this </w:t>
      </w:r>
      <w:r w:rsidR="005755F1">
        <w:t xml:space="preserve">via </w:t>
      </w:r>
      <w:r>
        <w:t>charge</w:t>
      </w:r>
      <w:r w:rsidR="005755F1">
        <w:t>s</w:t>
      </w:r>
      <w:r>
        <w:t xml:space="preserve"> from all customers.  Both of these items (ie transmission charges and </w:t>
      </w:r>
      <w:r w:rsidR="005755F1">
        <w:t xml:space="preserve">solar </w:t>
      </w:r>
      <w:r>
        <w:t xml:space="preserve">PV </w:t>
      </w:r>
      <w:r w:rsidR="005755F1">
        <w:t>FiT</w:t>
      </w:r>
      <w:r>
        <w:t xml:space="preserve"> credits) are ‘passed through’ by </w:t>
      </w:r>
      <w:r w:rsidR="00EA36E3">
        <w:t>SA Power Networks</w:t>
      </w:r>
      <w:r>
        <w:t xml:space="preserve"> </w:t>
      </w:r>
      <w:r w:rsidR="005755F1">
        <w:t>-</w:t>
      </w:r>
      <w:r>
        <w:t xml:space="preserve"> the amounts required to be paid are </w:t>
      </w:r>
      <w:r w:rsidR="005755F1">
        <w:t xml:space="preserve">fully </w:t>
      </w:r>
      <w:r>
        <w:t xml:space="preserve">recovered from </w:t>
      </w:r>
      <w:r w:rsidR="00EA36E3">
        <w:t>SA Power Networks</w:t>
      </w:r>
      <w:r>
        <w:t xml:space="preserve">’ customers.  </w:t>
      </w:r>
      <w:r w:rsidR="00215C30">
        <w:t>Prices for 2015/16 are closer to that required for ongoing payments under the scheme</w:t>
      </w:r>
      <w:r w:rsidR="005755F1">
        <w:t xml:space="preserve"> than they were in 2014/15</w:t>
      </w:r>
      <w:r w:rsidR="00215C30">
        <w:t>, so the amount recovered from typical residential customers will account for a separate -1.9</w:t>
      </w:r>
      <w:r w:rsidR="005755F1">
        <w:t>%</w:t>
      </w:r>
      <w:r w:rsidR="00215C30">
        <w:t xml:space="preserve"> decrease </w:t>
      </w:r>
      <w:r w:rsidR="005755F1">
        <w:t xml:space="preserve">in the retail bill </w:t>
      </w:r>
      <w:r w:rsidR="00215C30">
        <w:t>(-$34)</w:t>
      </w:r>
      <w:r>
        <w:t>.</w:t>
      </w:r>
    </w:p>
    <w:p w:rsidR="00926F06" w:rsidRDefault="00926F06" w:rsidP="00926F06"/>
    <w:p w:rsidR="00DC096B" w:rsidRDefault="00DC096B" w:rsidP="00926F06">
      <w:r>
        <w:t xml:space="preserve">The AER has also announced new arrangements for metering charges.  </w:t>
      </w:r>
      <w:r w:rsidR="001054B4">
        <w:t xml:space="preserve">The arrangements are more complex than applied in 2014/15, and are detailed later in this </w:t>
      </w:r>
      <w:r w:rsidR="00BD7786">
        <w:t>Pricing P</w:t>
      </w:r>
      <w:r w:rsidR="001054B4">
        <w:t xml:space="preserve">roposal.  </w:t>
      </w:r>
      <w:r w:rsidR="005755F1">
        <w:t>For t</w:t>
      </w:r>
      <w:r w:rsidR="001054B4">
        <w:t>he vast majority of residential customers</w:t>
      </w:r>
      <w:r w:rsidR="005755F1">
        <w:t>, their new</w:t>
      </w:r>
      <w:r w:rsidR="001054B4">
        <w:t xml:space="preserve"> metering price will reduce the retail </w:t>
      </w:r>
      <w:r w:rsidR="00BD7786">
        <w:t>bill</w:t>
      </w:r>
      <w:r w:rsidR="001054B4">
        <w:t xml:space="preserve"> by -0.7% (-$13).</w:t>
      </w:r>
    </w:p>
    <w:p w:rsidR="00DC096B" w:rsidRDefault="00DC096B" w:rsidP="00926F06"/>
    <w:p w:rsidR="001054B4" w:rsidRDefault="00926F06" w:rsidP="00926F06">
      <w:r>
        <w:t xml:space="preserve">The following Table provides a comparison of the annual cost for the average residential customer (5,000 kWh).  The retail prices for </w:t>
      </w:r>
      <w:r w:rsidR="00970806">
        <w:t>2015/16</w:t>
      </w:r>
      <w:r>
        <w:t xml:space="preserve"> have not been announced, so those values are blank.</w:t>
      </w:r>
      <w:r w:rsidR="001054B4">
        <w:t xml:space="preserve">  These changes should lower the typical residential customer’s retail bill by -10.3% (-$188)</w:t>
      </w:r>
      <w:r w:rsidR="005755F1">
        <w:t xml:space="preserve"> relative to 2014/15 retail prices.</w:t>
      </w:r>
    </w:p>
    <w:p w:rsidR="00926F06" w:rsidRDefault="00926F06" w:rsidP="00926F06">
      <w: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417"/>
        <w:gridCol w:w="1418"/>
        <w:gridCol w:w="1417"/>
        <w:gridCol w:w="1134"/>
      </w:tblGrid>
      <w:tr w:rsidR="00926F06" w:rsidTr="00C41877">
        <w:tc>
          <w:tcPr>
            <w:tcW w:w="3686" w:type="dxa"/>
            <w:vMerge w:val="restart"/>
            <w:shd w:val="clear" w:color="auto" w:fill="FAB585" w:themeFill="accent3"/>
          </w:tcPr>
          <w:p w:rsidR="00926F06" w:rsidRDefault="00926F06" w:rsidP="00C41877">
            <w:pPr>
              <w:keepNext/>
              <w:spacing w:before="40" w:after="40"/>
              <w:rPr>
                <w:b/>
              </w:rPr>
            </w:pPr>
            <w:r w:rsidRPr="000A5E01">
              <w:rPr>
                <w:b/>
              </w:rPr>
              <w:t>Component of price (a)</w:t>
            </w:r>
          </w:p>
          <w:p w:rsidR="00926F06" w:rsidRDefault="00926F06" w:rsidP="00C41877">
            <w:pPr>
              <w:keepNext/>
              <w:spacing w:before="40" w:after="40"/>
              <w:rPr>
                <w:b/>
              </w:rPr>
            </w:pPr>
            <w:r>
              <w:rPr>
                <w:b/>
              </w:rPr>
              <w:t>Average Residential Customer</w:t>
            </w:r>
          </w:p>
          <w:p w:rsidR="00926F06" w:rsidRPr="000A5E01" w:rsidRDefault="00926F06" w:rsidP="00C41877">
            <w:pPr>
              <w:keepNext/>
              <w:spacing w:before="40" w:after="40"/>
              <w:rPr>
                <w:b/>
              </w:rPr>
            </w:pPr>
            <w:r>
              <w:rPr>
                <w:b/>
              </w:rPr>
              <w:t>Using 5,000 kWh pa</w:t>
            </w:r>
          </w:p>
        </w:tc>
        <w:tc>
          <w:tcPr>
            <w:tcW w:w="1417" w:type="dxa"/>
            <w:tcBorders>
              <w:bottom w:val="nil"/>
            </w:tcBorders>
            <w:shd w:val="clear" w:color="auto" w:fill="FAB585" w:themeFill="accent3"/>
          </w:tcPr>
          <w:p w:rsidR="00926F06" w:rsidRPr="000A5E01" w:rsidRDefault="00970806" w:rsidP="00DC096B">
            <w:pPr>
              <w:keepNext/>
              <w:spacing w:before="40" w:after="40"/>
              <w:jc w:val="center"/>
              <w:rPr>
                <w:b/>
              </w:rPr>
            </w:pPr>
            <w:r>
              <w:rPr>
                <w:b/>
              </w:rPr>
              <w:t>201</w:t>
            </w:r>
            <w:r w:rsidR="00DC096B">
              <w:rPr>
                <w:b/>
              </w:rPr>
              <w:t>4</w:t>
            </w:r>
            <w:r>
              <w:rPr>
                <w:b/>
              </w:rPr>
              <w:t>/15</w:t>
            </w:r>
          </w:p>
        </w:tc>
        <w:tc>
          <w:tcPr>
            <w:tcW w:w="1418" w:type="dxa"/>
            <w:tcBorders>
              <w:bottom w:val="nil"/>
            </w:tcBorders>
            <w:shd w:val="clear" w:color="auto" w:fill="FAB585" w:themeFill="accent3"/>
          </w:tcPr>
          <w:p w:rsidR="00926F06" w:rsidRPr="000A5E01" w:rsidRDefault="00970806" w:rsidP="00C41877">
            <w:pPr>
              <w:keepNext/>
              <w:spacing w:before="40" w:after="40"/>
              <w:jc w:val="center"/>
              <w:rPr>
                <w:b/>
              </w:rPr>
            </w:pPr>
            <w:r>
              <w:rPr>
                <w:b/>
              </w:rPr>
              <w:t>2015/16</w:t>
            </w:r>
          </w:p>
        </w:tc>
        <w:tc>
          <w:tcPr>
            <w:tcW w:w="1417" w:type="dxa"/>
            <w:tcBorders>
              <w:bottom w:val="nil"/>
            </w:tcBorders>
            <w:shd w:val="clear" w:color="auto" w:fill="FAB585" w:themeFill="accent3"/>
          </w:tcPr>
          <w:p w:rsidR="00926F06" w:rsidRPr="000A5E01" w:rsidRDefault="005755F1" w:rsidP="00C41877">
            <w:pPr>
              <w:keepNext/>
              <w:spacing w:before="40" w:after="40"/>
              <w:jc w:val="center"/>
              <w:rPr>
                <w:b/>
              </w:rPr>
            </w:pPr>
            <w:r>
              <w:rPr>
                <w:b/>
              </w:rPr>
              <w:t xml:space="preserve">(Decrease) / </w:t>
            </w:r>
            <w:r w:rsidR="00926F06" w:rsidRPr="000A5E01">
              <w:rPr>
                <w:b/>
              </w:rPr>
              <w:t>Increase</w:t>
            </w:r>
          </w:p>
        </w:tc>
        <w:tc>
          <w:tcPr>
            <w:tcW w:w="1134" w:type="dxa"/>
            <w:vMerge w:val="restart"/>
            <w:shd w:val="clear" w:color="auto" w:fill="FAB585" w:themeFill="accent3"/>
          </w:tcPr>
          <w:p w:rsidR="00926F06" w:rsidRPr="000A5E01" w:rsidRDefault="00926F06" w:rsidP="00C41877">
            <w:pPr>
              <w:keepNext/>
              <w:spacing w:before="40" w:after="40"/>
              <w:jc w:val="center"/>
              <w:rPr>
                <w:b/>
              </w:rPr>
            </w:pPr>
            <w:r w:rsidRPr="000A5E01">
              <w:rPr>
                <w:b/>
              </w:rPr>
              <w:t>Impact on retail bill</w:t>
            </w:r>
          </w:p>
        </w:tc>
      </w:tr>
      <w:tr w:rsidR="00926F06" w:rsidTr="00C41877">
        <w:tc>
          <w:tcPr>
            <w:tcW w:w="3686" w:type="dxa"/>
            <w:vMerge/>
            <w:shd w:val="clear" w:color="auto" w:fill="C6D9F1"/>
          </w:tcPr>
          <w:p w:rsidR="00926F06" w:rsidRDefault="00926F06" w:rsidP="00C41877">
            <w:pPr>
              <w:keepNext/>
              <w:spacing w:before="40" w:after="40"/>
              <w:ind w:left="34"/>
            </w:pPr>
          </w:p>
        </w:tc>
        <w:tc>
          <w:tcPr>
            <w:tcW w:w="1417" w:type="dxa"/>
            <w:tcBorders>
              <w:top w:val="nil"/>
            </w:tcBorders>
            <w:shd w:val="clear" w:color="auto" w:fill="FAB585" w:themeFill="accent3"/>
          </w:tcPr>
          <w:p w:rsidR="00926F06" w:rsidRPr="000A5E01" w:rsidRDefault="00926F06" w:rsidP="00C41877">
            <w:pPr>
              <w:keepNext/>
              <w:spacing w:before="40" w:after="40"/>
              <w:jc w:val="center"/>
            </w:pPr>
            <w:r w:rsidRPr="000A5E01">
              <w:t>$ per annum</w:t>
            </w:r>
          </w:p>
        </w:tc>
        <w:tc>
          <w:tcPr>
            <w:tcW w:w="1418" w:type="dxa"/>
            <w:tcBorders>
              <w:top w:val="nil"/>
            </w:tcBorders>
            <w:shd w:val="clear" w:color="auto" w:fill="FAB585" w:themeFill="accent3"/>
          </w:tcPr>
          <w:p w:rsidR="00926F06" w:rsidRPr="000A5E01" w:rsidRDefault="00926F06" w:rsidP="00C41877">
            <w:pPr>
              <w:keepNext/>
              <w:spacing w:before="40" w:after="40"/>
              <w:jc w:val="center"/>
              <w:rPr>
                <w:highlight w:val="yellow"/>
              </w:rPr>
            </w:pPr>
            <w:r w:rsidRPr="000A5E01">
              <w:t>$ per annum</w:t>
            </w:r>
          </w:p>
        </w:tc>
        <w:tc>
          <w:tcPr>
            <w:tcW w:w="1417" w:type="dxa"/>
            <w:tcBorders>
              <w:top w:val="nil"/>
              <w:right w:val="nil"/>
            </w:tcBorders>
            <w:shd w:val="clear" w:color="auto" w:fill="FAB585" w:themeFill="accent3"/>
          </w:tcPr>
          <w:p w:rsidR="00926F06" w:rsidRPr="000A5E01" w:rsidRDefault="00926F06" w:rsidP="00C41877">
            <w:pPr>
              <w:keepNext/>
              <w:spacing w:before="40" w:after="40"/>
              <w:jc w:val="center"/>
              <w:rPr>
                <w:highlight w:val="yellow"/>
              </w:rPr>
            </w:pPr>
            <w:r w:rsidRPr="000A5E01">
              <w:t>$ per annum</w:t>
            </w:r>
          </w:p>
        </w:tc>
        <w:tc>
          <w:tcPr>
            <w:tcW w:w="1134" w:type="dxa"/>
            <w:vMerge/>
            <w:shd w:val="clear" w:color="auto" w:fill="FAB585" w:themeFill="accent3"/>
          </w:tcPr>
          <w:p w:rsidR="00926F06" w:rsidRPr="000D73D8" w:rsidRDefault="00926F06" w:rsidP="00C41877">
            <w:pPr>
              <w:keepNext/>
              <w:tabs>
                <w:tab w:val="decimal" w:pos="601"/>
              </w:tabs>
              <w:spacing w:before="40" w:after="40"/>
              <w:jc w:val="center"/>
            </w:pPr>
          </w:p>
        </w:tc>
      </w:tr>
      <w:tr w:rsidR="00926F06" w:rsidRPr="002559C5" w:rsidTr="00C41877">
        <w:tc>
          <w:tcPr>
            <w:tcW w:w="3686" w:type="dxa"/>
          </w:tcPr>
          <w:p w:rsidR="00926F06" w:rsidRPr="002559C5" w:rsidRDefault="00EA36E3" w:rsidP="003C07A2">
            <w:pPr>
              <w:keepNext/>
              <w:numPr>
                <w:ilvl w:val="0"/>
                <w:numId w:val="32"/>
              </w:numPr>
              <w:spacing w:before="40" w:after="40" w:line="240" w:lineRule="auto"/>
              <w:ind w:left="318" w:hanging="318"/>
            </w:pPr>
            <w:r>
              <w:t>SA Power Networks</w:t>
            </w:r>
            <w:r w:rsidR="00215C30">
              <w:t xml:space="preserve"> </w:t>
            </w:r>
            <w:r w:rsidR="00926F06" w:rsidRPr="002559C5">
              <w:t>D</w:t>
            </w:r>
            <w:r w:rsidR="00215C30">
              <w:t>UoS</w:t>
            </w:r>
            <w:r w:rsidR="00926F06" w:rsidRPr="002559C5">
              <w:t xml:space="preserve"> charge</w:t>
            </w:r>
          </w:p>
        </w:tc>
        <w:tc>
          <w:tcPr>
            <w:tcW w:w="1417" w:type="dxa"/>
          </w:tcPr>
          <w:p w:rsidR="00926F06" w:rsidRPr="00DC096B" w:rsidRDefault="00AE7F22" w:rsidP="00DC096B">
            <w:pPr>
              <w:keepNext/>
              <w:tabs>
                <w:tab w:val="decimal" w:pos="885"/>
              </w:tabs>
              <w:spacing w:before="40" w:after="40"/>
              <w:jc w:val="center"/>
            </w:pPr>
            <w:r w:rsidRPr="00DC096B">
              <w:t xml:space="preserve">$ </w:t>
            </w:r>
            <w:r w:rsidR="00DC096B" w:rsidRPr="00DC096B">
              <w:t>703</w:t>
            </w:r>
          </w:p>
        </w:tc>
        <w:tc>
          <w:tcPr>
            <w:tcW w:w="1418" w:type="dxa"/>
          </w:tcPr>
          <w:p w:rsidR="00926F06" w:rsidRPr="00DC096B" w:rsidRDefault="00AE7F22" w:rsidP="00DC096B">
            <w:pPr>
              <w:keepNext/>
              <w:tabs>
                <w:tab w:val="decimal" w:pos="885"/>
              </w:tabs>
              <w:spacing w:before="40" w:after="40"/>
              <w:jc w:val="center"/>
            </w:pPr>
            <w:r w:rsidRPr="00DC096B">
              <w:t xml:space="preserve">$ </w:t>
            </w:r>
            <w:r w:rsidR="00DC096B" w:rsidRPr="00DC096B">
              <w:t>540</w:t>
            </w:r>
          </w:p>
        </w:tc>
        <w:tc>
          <w:tcPr>
            <w:tcW w:w="1417" w:type="dxa"/>
            <w:tcBorders>
              <w:right w:val="nil"/>
            </w:tcBorders>
          </w:tcPr>
          <w:p w:rsidR="00926F06" w:rsidRPr="00DC096B" w:rsidRDefault="00AE7F22" w:rsidP="00C41877">
            <w:pPr>
              <w:keepNext/>
              <w:tabs>
                <w:tab w:val="decimal" w:pos="884"/>
              </w:tabs>
              <w:spacing w:before="40" w:after="40"/>
              <w:jc w:val="center"/>
            </w:pPr>
            <w:r w:rsidRPr="00DC096B">
              <w:t>-$ 163</w:t>
            </w:r>
          </w:p>
        </w:tc>
        <w:tc>
          <w:tcPr>
            <w:tcW w:w="1134" w:type="dxa"/>
          </w:tcPr>
          <w:p w:rsidR="00926F06" w:rsidRPr="00DC096B" w:rsidRDefault="00AE7F22" w:rsidP="00C41877">
            <w:pPr>
              <w:keepNext/>
              <w:tabs>
                <w:tab w:val="decimal" w:pos="600"/>
              </w:tabs>
              <w:spacing w:before="40" w:after="40"/>
            </w:pPr>
            <w:r w:rsidRPr="00DC096B">
              <w:t>-8.9</w:t>
            </w:r>
            <w:r w:rsidR="00926F06" w:rsidRPr="00DC096B">
              <w:t>%</w:t>
            </w:r>
          </w:p>
        </w:tc>
      </w:tr>
      <w:tr w:rsidR="00926F06" w:rsidRPr="002559C5" w:rsidTr="00C41877">
        <w:tc>
          <w:tcPr>
            <w:tcW w:w="3686" w:type="dxa"/>
          </w:tcPr>
          <w:p w:rsidR="00926F06" w:rsidRPr="002559C5" w:rsidRDefault="00926F06" w:rsidP="003C07A2">
            <w:pPr>
              <w:keepNext/>
              <w:numPr>
                <w:ilvl w:val="0"/>
                <w:numId w:val="32"/>
              </w:numPr>
              <w:spacing w:before="40" w:after="40" w:line="240" w:lineRule="auto"/>
              <w:ind w:left="318" w:hanging="318"/>
            </w:pPr>
            <w:r w:rsidRPr="002559C5">
              <w:t>Transmission charge(c )</w:t>
            </w:r>
          </w:p>
        </w:tc>
        <w:tc>
          <w:tcPr>
            <w:tcW w:w="1417" w:type="dxa"/>
          </w:tcPr>
          <w:p w:rsidR="00926F06" w:rsidRPr="00DC096B" w:rsidRDefault="00AE7F22" w:rsidP="00C41877">
            <w:pPr>
              <w:keepNext/>
              <w:tabs>
                <w:tab w:val="decimal" w:pos="885"/>
              </w:tabs>
              <w:spacing w:before="40" w:after="40"/>
              <w:jc w:val="center"/>
            </w:pPr>
            <w:r w:rsidRPr="00DC096B">
              <w:t xml:space="preserve">$ </w:t>
            </w:r>
            <w:r w:rsidR="00970806" w:rsidRPr="00DC096B">
              <w:t>150</w:t>
            </w:r>
          </w:p>
        </w:tc>
        <w:tc>
          <w:tcPr>
            <w:tcW w:w="1418" w:type="dxa"/>
          </w:tcPr>
          <w:p w:rsidR="00926F06" w:rsidRPr="00DC096B" w:rsidRDefault="00AE7F22" w:rsidP="00DC096B">
            <w:pPr>
              <w:keepNext/>
              <w:tabs>
                <w:tab w:val="decimal" w:pos="885"/>
              </w:tabs>
              <w:spacing w:before="40" w:after="40"/>
              <w:jc w:val="center"/>
            </w:pPr>
            <w:r w:rsidRPr="00DC096B">
              <w:t>$ 1</w:t>
            </w:r>
            <w:r w:rsidR="00DC096B" w:rsidRPr="00DC096B">
              <w:t>72</w:t>
            </w:r>
          </w:p>
        </w:tc>
        <w:tc>
          <w:tcPr>
            <w:tcW w:w="1417" w:type="dxa"/>
            <w:tcBorders>
              <w:right w:val="nil"/>
            </w:tcBorders>
          </w:tcPr>
          <w:p w:rsidR="00926F06" w:rsidRPr="00DC096B" w:rsidRDefault="00AE7F22" w:rsidP="00DC096B">
            <w:pPr>
              <w:keepNext/>
              <w:tabs>
                <w:tab w:val="decimal" w:pos="884"/>
              </w:tabs>
              <w:spacing w:before="40" w:after="40"/>
              <w:jc w:val="center"/>
            </w:pPr>
            <w:r w:rsidRPr="00DC096B">
              <w:t xml:space="preserve">+$ </w:t>
            </w:r>
            <w:r w:rsidR="00DC096B" w:rsidRPr="00DC096B">
              <w:t>22</w:t>
            </w:r>
          </w:p>
        </w:tc>
        <w:tc>
          <w:tcPr>
            <w:tcW w:w="1134" w:type="dxa"/>
          </w:tcPr>
          <w:p w:rsidR="00926F06" w:rsidRPr="00DC096B" w:rsidRDefault="00AE7F22" w:rsidP="00465FFF">
            <w:pPr>
              <w:keepNext/>
              <w:tabs>
                <w:tab w:val="decimal" w:pos="600"/>
              </w:tabs>
              <w:spacing w:before="40" w:after="40"/>
            </w:pPr>
            <w:r w:rsidRPr="00DC096B">
              <w:t>+1.2</w:t>
            </w:r>
            <w:r w:rsidR="00926F06" w:rsidRPr="00DC096B">
              <w:t>%</w:t>
            </w:r>
          </w:p>
        </w:tc>
      </w:tr>
      <w:tr w:rsidR="00926F06" w:rsidRPr="002559C5" w:rsidTr="00C41877">
        <w:tc>
          <w:tcPr>
            <w:tcW w:w="3686" w:type="dxa"/>
          </w:tcPr>
          <w:p w:rsidR="00926F06" w:rsidRPr="002559C5" w:rsidRDefault="00926F06" w:rsidP="003C07A2">
            <w:pPr>
              <w:keepNext/>
              <w:numPr>
                <w:ilvl w:val="0"/>
                <w:numId w:val="32"/>
              </w:numPr>
              <w:spacing w:before="40" w:after="40" w:line="240" w:lineRule="auto"/>
              <w:ind w:left="318" w:hanging="318"/>
            </w:pPr>
            <w:r w:rsidRPr="002559C5">
              <w:t>Jurisdictional Scheme Amount (PV)</w:t>
            </w:r>
          </w:p>
        </w:tc>
        <w:tc>
          <w:tcPr>
            <w:tcW w:w="1417" w:type="dxa"/>
          </w:tcPr>
          <w:p w:rsidR="00926F06" w:rsidRPr="00DC096B" w:rsidRDefault="00AE7F22" w:rsidP="00C41877">
            <w:pPr>
              <w:keepNext/>
              <w:tabs>
                <w:tab w:val="decimal" w:pos="885"/>
              </w:tabs>
              <w:spacing w:before="40" w:after="40"/>
              <w:jc w:val="center"/>
            </w:pPr>
            <w:r w:rsidRPr="00DC096B">
              <w:t xml:space="preserve">$ </w:t>
            </w:r>
            <w:r w:rsidR="00970806" w:rsidRPr="00DC096B">
              <w:t>128</w:t>
            </w:r>
          </w:p>
        </w:tc>
        <w:tc>
          <w:tcPr>
            <w:tcW w:w="1418" w:type="dxa"/>
          </w:tcPr>
          <w:p w:rsidR="00926F06" w:rsidRPr="00DC096B" w:rsidRDefault="00AE7F22" w:rsidP="00DC096B">
            <w:pPr>
              <w:keepNext/>
              <w:tabs>
                <w:tab w:val="decimal" w:pos="885"/>
              </w:tabs>
              <w:spacing w:before="40" w:after="40"/>
              <w:jc w:val="center"/>
            </w:pPr>
            <w:r w:rsidRPr="00DC096B">
              <w:t xml:space="preserve">$ </w:t>
            </w:r>
            <w:r w:rsidR="00DC096B" w:rsidRPr="00DC096B">
              <w:t>94</w:t>
            </w:r>
          </w:p>
        </w:tc>
        <w:tc>
          <w:tcPr>
            <w:tcW w:w="1417" w:type="dxa"/>
            <w:tcBorders>
              <w:right w:val="nil"/>
            </w:tcBorders>
          </w:tcPr>
          <w:p w:rsidR="00926F06" w:rsidRPr="00DC096B" w:rsidRDefault="00AE7F22" w:rsidP="00DC096B">
            <w:pPr>
              <w:keepNext/>
              <w:tabs>
                <w:tab w:val="decimal" w:pos="884"/>
              </w:tabs>
              <w:spacing w:before="40" w:after="40"/>
              <w:jc w:val="center"/>
            </w:pPr>
            <w:r w:rsidRPr="00DC096B">
              <w:t xml:space="preserve">-$ </w:t>
            </w:r>
            <w:r w:rsidR="00465FFF" w:rsidRPr="00DC096B">
              <w:t>3</w:t>
            </w:r>
            <w:r w:rsidR="00DC096B" w:rsidRPr="00DC096B">
              <w:t>4</w:t>
            </w:r>
          </w:p>
        </w:tc>
        <w:tc>
          <w:tcPr>
            <w:tcW w:w="1134" w:type="dxa"/>
          </w:tcPr>
          <w:p w:rsidR="00926F06" w:rsidRPr="00DC096B" w:rsidRDefault="00AE7F22" w:rsidP="00C41877">
            <w:pPr>
              <w:keepNext/>
              <w:tabs>
                <w:tab w:val="decimal" w:pos="600"/>
              </w:tabs>
              <w:spacing w:before="40" w:after="40"/>
            </w:pPr>
            <w:r w:rsidRPr="00DC096B">
              <w:t>-1.9</w:t>
            </w:r>
            <w:r w:rsidR="00926F06" w:rsidRPr="00DC096B">
              <w:t>%</w:t>
            </w:r>
          </w:p>
        </w:tc>
      </w:tr>
      <w:tr w:rsidR="00926F06" w:rsidRPr="002559C5" w:rsidTr="00DC096B">
        <w:tc>
          <w:tcPr>
            <w:tcW w:w="3686" w:type="dxa"/>
          </w:tcPr>
          <w:p w:rsidR="00926F06" w:rsidRPr="002559C5" w:rsidRDefault="00926F06" w:rsidP="00C41877">
            <w:pPr>
              <w:keepNext/>
              <w:spacing w:before="40" w:after="40"/>
              <w:ind w:left="318" w:hanging="318"/>
              <w:rPr>
                <w:b/>
                <w:i/>
              </w:rPr>
            </w:pPr>
            <w:r w:rsidRPr="002559C5">
              <w:rPr>
                <w:b/>
                <w:i/>
              </w:rPr>
              <w:t>Total Networks charges</w:t>
            </w:r>
          </w:p>
        </w:tc>
        <w:tc>
          <w:tcPr>
            <w:tcW w:w="1417" w:type="dxa"/>
          </w:tcPr>
          <w:p w:rsidR="00926F06" w:rsidRPr="00DC096B" w:rsidRDefault="00AE7F22" w:rsidP="00DC096B">
            <w:pPr>
              <w:keepNext/>
              <w:tabs>
                <w:tab w:val="decimal" w:pos="885"/>
              </w:tabs>
              <w:spacing w:before="40" w:after="40"/>
              <w:jc w:val="center"/>
              <w:rPr>
                <w:b/>
                <w:i/>
              </w:rPr>
            </w:pPr>
            <w:r w:rsidRPr="00DC096B">
              <w:rPr>
                <w:b/>
                <w:i/>
              </w:rPr>
              <w:t xml:space="preserve">$ </w:t>
            </w:r>
            <w:r w:rsidR="00DC096B" w:rsidRPr="00DC096B">
              <w:rPr>
                <w:b/>
                <w:i/>
              </w:rPr>
              <w:t>981</w:t>
            </w:r>
          </w:p>
        </w:tc>
        <w:tc>
          <w:tcPr>
            <w:tcW w:w="1418" w:type="dxa"/>
            <w:tcBorders>
              <w:bottom w:val="single" w:sz="4" w:space="0" w:color="000000"/>
            </w:tcBorders>
          </w:tcPr>
          <w:p w:rsidR="00926F06" w:rsidRPr="00DC096B" w:rsidRDefault="00AE7F22" w:rsidP="00DC096B">
            <w:pPr>
              <w:keepNext/>
              <w:tabs>
                <w:tab w:val="decimal" w:pos="885"/>
              </w:tabs>
              <w:spacing w:before="40" w:after="40"/>
              <w:jc w:val="center"/>
              <w:rPr>
                <w:b/>
                <w:i/>
              </w:rPr>
            </w:pPr>
            <w:r w:rsidRPr="00DC096B">
              <w:rPr>
                <w:b/>
                <w:i/>
              </w:rPr>
              <w:t xml:space="preserve">$ </w:t>
            </w:r>
            <w:r w:rsidR="00DC096B" w:rsidRPr="00DC096B">
              <w:rPr>
                <w:b/>
                <w:i/>
              </w:rPr>
              <w:t>806</w:t>
            </w:r>
          </w:p>
        </w:tc>
        <w:tc>
          <w:tcPr>
            <w:tcW w:w="1417" w:type="dxa"/>
            <w:tcBorders>
              <w:bottom w:val="single" w:sz="4" w:space="0" w:color="000000"/>
              <w:right w:val="nil"/>
            </w:tcBorders>
          </w:tcPr>
          <w:p w:rsidR="00926F06" w:rsidRPr="00DC096B" w:rsidRDefault="00AE7F22" w:rsidP="00DC096B">
            <w:pPr>
              <w:keepNext/>
              <w:tabs>
                <w:tab w:val="decimal" w:pos="885"/>
              </w:tabs>
              <w:spacing w:before="40" w:after="40"/>
              <w:jc w:val="center"/>
              <w:rPr>
                <w:b/>
                <w:i/>
              </w:rPr>
            </w:pPr>
            <w:r w:rsidRPr="00DC096B">
              <w:rPr>
                <w:b/>
                <w:i/>
              </w:rPr>
              <w:t xml:space="preserve">-$ </w:t>
            </w:r>
            <w:r w:rsidR="00DC096B" w:rsidRPr="00DC096B">
              <w:rPr>
                <w:b/>
                <w:i/>
              </w:rPr>
              <w:t>175</w:t>
            </w:r>
          </w:p>
        </w:tc>
        <w:tc>
          <w:tcPr>
            <w:tcW w:w="1134" w:type="dxa"/>
            <w:tcBorders>
              <w:bottom w:val="single" w:sz="4" w:space="0" w:color="000000"/>
            </w:tcBorders>
          </w:tcPr>
          <w:p w:rsidR="00926F06" w:rsidRPr="00DC096B" w:rsidRDefault="00AE7F22" w:rsidP="00C41877">
            <w:pPr>
              <w:keepNext/>
              <w:tabs>
                <w:tab w:val="decimal" w:pos="885"/>
              </w:tabs>
              <w:spacing w:before="40" w:after="40"/>
              <w:jc w:val="center"/>
              <w:rPr>
                <w:b/>
                <w:i/>
              </w:rPr>
            </w:pPr>
            <w:r w:rsidRPr="00DC096B">
              <w:rPr>
                <w:b/>
                <w:i/>
              </w:rPr>
              <w:t>-9.6</w:t>
            </w:r>
            <w:r w:rsidR="00926F06" w:rsidRPr="00DC096B">
              <w:rPr>
                <w:b/>
                <w:i/>
              </w:rPr>
              <w:t>%</w:t>
            </w:r>
          </w:p>
        </w:tc>
      </w:tr>
      <w:tr w:rsidR="00DC096B" w:rsidRPr="002559C5" w:rsidTr="00DC096B">
        <w:tc>
          <w:tcPr>
            <w:tcW w:w="3686" w:type="dxa"/>
          </w:tcPr>
          <w:p w:rsidR="00DC096B" w:rsidRPr="002559C5" w:rsidRDefault="00DC096B" w:rsidP="003C07A2">
            <w:pPr>
              <w:keepNext/>
              <w:numPr>
                <w:ilvl w:val="0"/>
                <w:numId w:val="32"/>
              </w:numPr>
              <w:spacing w:before="40" w:after="40" w:line="240" w:lineRule="auto"/>
              <w:ind w:left="318" w:hanging="318"/>
            </w:pPr>
            <w:r>
              <w:t>Metering (</w:t>
            </w:r>
            <w:r w:rsidR="001B6579">
              <w:t>Alternative control</w:t>
            </w:r>
            <w:r>
              <w:t>)</w:t>
            </w:r>
          </w:p>
        </w:tc>
        <w:tc>
          <w:tcPr>
            <w:tcW w:w="1417" w:type="dxa"/>
          </w:tcPr>
          <w:p w:rsidR="00DC096B" w:rsidRPr="00DC096B" w:rsidRDefault="00DC096B" w:rsidP="00DC096B">
            <w:pPr>
              <w:keepNext/>
              <w:tabs>
                <w:tab w:val="decimal" w:pos="885"/>
              </w:tabs>
              <w:spacing w:before="40" w:after="40"/>
              <w:jc w:val="center"/>
            </w:pPr>
            <w:r w:rsidRPr="00DC096B">
              <w:t>$ 36</w:t>
            </w:r>
          </w:p>
        </w:tc>
        <w:tc>
          <w:tcPr>
            <w:tcW w:w="1418" w:type="dxa"/>
            <w:tcBorders>
              <w:bottom w:val="single" w:sz="4" w:space="0" w:color="000000"/>
              <w:right w:val="single" w:sz="4" w:space="0" w:color="000000"/>
            </w:tcBorders>
          </w:tcPr>
          <w:p w:rsidR="00DC096B" w:rsidRPr="00DC096B" w:rsidRDefault="00DC096B" w:rsidP="00DC096B">
            <w:pPr>
              <w:keepNext/>
              <w:tabs>
                <w:tab w:val="decimal" w:pos="885"/>
              </w:tabs>
              <w:spacing w:before="40" w:after="40"/>
              <w:jc w:val="center"/>
            </w:pPr>
            <w:r w:rsidRPr="00DC096B">
              <w:t>$ 23</w:t>
            </w:r>
          </w:p>
        </w:tc>
        <w:tc>
          <w:tcPr>
            <w:tcW w:w="1417" w:type="dxa"/>
            <w:tcBorders>
              <w:left w:val="single" w:sz="4" w:space="0" w:color="000000"/>
              <w:bottom w:val="single" w:sz="4" w:space="0" w:color="000000"/>
              <w:right w:val="single" w:sz="4" w:space="0" w:color="000000"/>
            </w:tcBorders>
          </w:tcPr>
          <w:p w:rsidR="00DC096B" w:rsidRPr="00DC096B" w:rsidRDefault="00DC096B" w:rsidP="00DC096B">
            <w:pPr>
              <w:keepNext/>
              <w:tabs>
                <w:tab w:val="decimal" w:pos="884"/>
              </w:tabs>
              <w:spacing w:before="40" w:after="40"/>
              <w:jc w:val="center"/>
            </w:pPr>
            <w:r w:rsidRPr="00DC096B">
              <w:t>-$ 13</w:t>
            </w:r>
          </w:p>
        </w:tc>
        <w:tc>
          <w:tcPr>
            <w:tcW w:w="1134" w:type="dxa"/>
            <w:tcBorders>
              <w:left w:val="single" w:sz="4" w:space="0" w:color="000000"/>
              <w:bottom w:val="single" w:sz="4" w:space="0" w:color="000000"/>
            </w:tcBorders>
          </w:tcPr>
          <w:p w:rsidR="00DC096B" w:rsidRPr="00DC096B" w:rsidRDefault="00DC096B" w:rsidP="00DC096B">
            <w:pPr>
              <w:keepNext/>
              <w:tabs>
                <w:tab w:val="decimal" w:pos="600"/>
              </w:tabs>
              <w:spacing w:before="40" w:after="40"/>
              <w:jc w:val="center"/>
            </w:pPr>
            <w:r w:rsidRPr="00DC096B">
              <w:t>-0.7%</w:t>
            </w:r>
          </w:p>
        </w:tc>
      </w:tr>
      <w:tr w:rsidR="00DC096B" w:rsidRPr="00DC096B" w:rsidTr="00DC096B">
        <w:tc>
          <w:tcPr>
            <w:tcW w:w="3686" w:type="dxa"/>
          </w:tcPr>
          <w:p w:rsidR="00DC096B" w:rsidRPr="00DC096B" w:rsidRDefault="00DC096B" w:rsidP="00DC096B">
            <w:pPr>
              <w:keepNext/>
              <w:spacing w:before="40" w:after="40"/>
              <w:ind w:left="318" w:hanging="318"/>
              <w:rPr>
                <w:b/>
                <w:i/>
              </w:rPr>
            </w:pPr>
            <w:r w:rsidRPr="00DC096B">
              <w:rPr>
                <w:b/>
                <w:i/>
              </w:rPr>
              <w:t>Total Regulated charges</w:t>
            </w:r>
          </w:p>
        </w:tc>
        <w:tc>
          <w:tcPr>
            <w:tcW w:w="1417" w:type="dxa"/>
          </w:tcPr>
          <w:p w:rsidR="00DC096B" w:rsidRPr="00DC096B" w:rsidRDefault="00DC096B" w:rsidP="00DC096B">
            <w:pPr>
              <w:keepNext/>
              <w:tabs>
                <w:tab w:val="decimal" w:pos="885"/>
              </w:tabs>
              <w:spacing w:before="40" w:after="40"/>
              <w:jc w:val="center"/>
              <w:rPr>
                <w:b/>
                <w:i/>
              </w:rPr>
            </w:pPr>
            <w:r w:rsidRPr="00DC096B">
              <w:rPr>
                <w:b/>
                <w:i/>
              </w:rPr>
              <w:t>$ 1,017</w:t>
            </w:r>
          </w:p>
        </w:tc>
        <w:tc>
          <w:tcPr>
            <w:tcW w:w="1418" w:type="dxa"/>
            <w:tcBorders>
              <w:bottom w:val="single" w:sz="4" w:space="0" w:color="000000"/>
              <w:right w:val="single" w:sz="4" w:space="0" w:color="000000"/>
            </w:tcBorders>
          </w:tcPr>
          <w:p w:rsidR="00DC096B" w:rsidRPr="00DC096B" w:rsidRDefault="00DC096B" w:rsidP="00DC096B">
            <w:pPr>
              <w:keepNext/>
              <w:tabs>
                <w:tab w:val="decimal" w:pos="885"/>
              </w:tabs>
              <w:spacing w:before="40" w:after="40"/>
              <w:jc w:val="center"/>
              <w:rPr>
                <w:b/>
                <w:i/>
              </w:rPr>
            </w:pPr>
            <w:r w:rsidRPr="00DC096B">
              <w:rPr>
                <w:b/>
                <w:i/>
              </w:rPr>
              <w:t>$ 829</w:t>
            </w:r>
          </w:p>
        </w:tc>
        <w:tc>
          <w:tcPr>
            <w:tcW w:w="1417" w:type="dxa"/>
            <w:tcBorders>
              <w:left w:val="single" w:sz="4" w:space="0" w:color="000000"/>
              <w:bottom w:val="single" w:sz="4" w:space="0" w:color="000000"/>
              <w:right w:val="single" w:sz="4" w:space="0" w:color="000000"/>
            </w:tcBorders>
          </w:tcPr>
          <w:p w:rsidR="00DC096B" w:rsidRPr="00DC096B" w:rsidRDefault="00DC096B" w:rsidP="00DC096B">
            <w:pPr>
              <w:keepNext/>
              <w:tabs>
                <w:tab w:val="decimal" w:pos="885"/>
              </w:tabs>
              <w:spacing w:before="40" w:after="40"/>
              <w:jc w:val="center"/>
              <w:rPr>
                <w:b/>
                <w:i/>
              </w:rPr>
            </w:pPr>
            <w:r w:rsidRPr="00DC096B">
              <w:rPr>
                <w:b/>
                <w:i/>
              </w:rPr>
              <w:t>-$ 188</w:t>
            </w:r>
          </w:p>
        </w:tc>
        <w:tc>
          <w:tcPr>
            <w:tcW w:w="1134" w:type="dxa"/>
            <w:tcBorders>
              <w:left w:val="single" w:sz="4" w:space="0" w:color="000000"/>
              <w:bottom w:val="single" w:sz="4" w:space="0" w:color="000000"/>
            </w:tcBorders>
          </w:tcPr>
          <w:p w:rsidR="00DC096B" w:rsidRPr="00DC096B" w:rsidRDefault="00DC096B" w:rsidP="00DC096B">
            <w:pPr>
              <w:keepNext/>
              <w:tabs>
                <w:tab w:val="decimal" w:pos="885"/>
              </w:tabs>
              <w:spacing w:before="40" w:after="40"/>
              <w:jc w:val="center"/>
              <w:rPr>
                <w:b/>
                <w:i/>
              </w:rPr>
            </w:pPr>
            <w:r w:rsidRPr="00DC096B">
              <w:rPr>
                <w:b/>
                <w:i/>
              </w:rPr>
              <w:t>-10.3%</w:t>
            </w:r>
          </w:p>
        </w:tc>
      </w:tr>
      <w:tr w:rsidR="00926F06" w:rsidRPr="002559C5" w:rsidTr="00DC096B">
        <w:tc>
          <w:tcPr>
            <w:tcW w:w="3686" w:type="dxa"/>
          </w:tcPr>
          <w:p w:rsidR="00926F06" w:rsidRPr="002559C5" w:rsidRDefault="00926F06" w:rsidP="003C07A2">
            <w:pPr>
              <w:keepNext/>
              <w:numPr>
                <w:ilvl w:val="0"/>
                <w:numId w:val="32"/>
              </w:numPr>
              <w:spacing w:before="40" w:after="40" w:line="240" w:lineRule="auto"/>
              <w:ind w:left="318" w:hanging="318"/>
            </w:pPr>
            <w:r w:rsidRPr="002559C5">
              <w:t>Retail (b)</w:t>
            </w:r>
          </w:p>
        </w:tc>
        <w:tc>
          <w:tcPr>
            <w:tcW w:w="1417" w:type="dxa"/>
          </w:tcPr>
          <w:p w:rsidR="00926F06" w:rsidRPr="00DC096B" w:rsidRDefault="00AE7F22" w:rsidP="00DC096B">
            <w:pPr>
              <w:keepNext/>
              <w:tabs>
                <w:tab w:val="decimal" w:pos="885"/>
              </w:tabs>
              <w:spacing w:before="40" w:after="40"/>
              <w:jc w:val="center"/>
            </w:pPr>
            <w:r w:rsidRPr="00DC096B">
              <w:t xml:space="preserve">$ </w:t>
            </w:r>
            <w:r w:rsidR="00DC096B" w:rsidRPr="00DC096B">
              <w:t>813</w:t>
            </w:r>
          </w:p>
        </w:tc>
        <w:tc>
          <w:tcPr>
            <w:tcW w:w="1418" w:type="dxa"/>
            <w:tcBorders>
              <w:top w:val="single" w:sz="4" w:space="0" w:color="000000"/>
              <w:bottom w:val="nil"/>
              <w:right w:val="nil"/>
            </w:tcBorders>
          </w:tcPr>
          <w:p w:rsidR="00926F06" w:rsidRPr="00DC096B" w:rsidRDefault="00926F06" w:rsidP="00C41877">
            <w:pPr>
              <w:keepNext/>
              <w:tabs>
                <w:tab w:val="decimal" w:pos="885"/>
              </w:tabs>
              <w:spacing w:before="40" w:after="40"/>
              <w:jc w:val="center"/>
            </w:pPr>
          </w:p>
        </w:tc>
        <w:tc>
          <w:tcPr>
            <w:tcW w:w="1417" w:type="dxa"/>
            <w:tcBorders>
              <w:top w:val="single" w:sz="4" w:space="0" w:color="000000"/>
              <w:left w:val="nil"/>
              <w:bottom w:val="nil"/>
              <w:right w:val="nil"/>
            </w:tcBorders>
          </w:tcPr>
          <w:p w:rsidR="00926F06" w:rsidRPr="00DC096B" w:rsidRDefault="00926F06" w:rsidP="00C41877">
            <w:pPr>
              <w:keepNext/>
              <w:tabs>
                <w:tab w:val="decimal" w:pos="884"/>
              </w:tabs>
              <w:spacing w:before="40" w:after="40"/>
            </w:pPr>
          </w:p>
        </w:tc>
        <w:tc>
          <w:tcPr>
            <w:tcW w:w="1134" w:type="dxa"/>
            <w:tcBorders>
              <w:top w:val="single" w:sz="4" w:space="0" w:color="000000"/>
              <w:left w:val="nil"/>
              <w:bottom w:val="nil"/>
            </w:tcBorders>
          </w:tcPr>
          <w:p w:rsidR="00926F06" w:rsidRPr="00DC096B" w:rsidRDefault="00926F06" w:rsidP="00C41877">
            <w:pPr>
              <w:keepNext/>
              <w:tabs>
                <w:tab w:val="decimal" w:pos="600"/>
              </w:tabs>
              <w:spacing w:before="40" w:after="40"/>
              <w:jc w:val="center"/>
            </w:pPr>
          </w:p>
        </w:tc>
      </w:tr>
      <w:tr w:rsidR="00926F06" w:rsidRPr="002559C5" w:rsidTr="00C41877">
        <w:tc>
          <w:tcPr>
            <w:tcW w:w="3686" w:type="dxa"/>
          </w:tcPr>
          <w:p w:rsidR="00926F06" w:rsidRPr="002559C5" w:rsidRDefault="00926F06" w:rsidP="00C41877">
            <w:pPr>
              <w:keepNext/>
              <w:spacing w:before="40" w:after="40"/>
              <w:ind w:left="318" w:hanging="318"/>
              <w:rPr>
                <w:b/>
                <w:i/>
              </w:rPr>
            </w:pPr>
            <w:r w:rsidRPr="002559C5">
              <w:rPr>
                <w:b/>
                <w:i/>
              </w:rPr>
              <w:t>Total Retail Bill</w:t>
            </w:r>
            <w:r>
              <w:rPr>
                <w:b/>
                <w:i/>
              </w:rPr>
              <w:t xml:space="preserve"> includes GST</w:t>
            </w:r>
          </w:p>
        </w:tc>
        <w:tc>
          <w:tcPr>
            <w:tcW w:w="1417" w:type="dxa"/>
          </w:tcPr>
          <w:p w:rsidR="00926F06" w:rsidRPr="00DC096B" w:rsidRDefault="00AE7F22" w:rsidP="00DC096B">
            <w:pPr>
              <w:keepNext/>
              <w:tabs>
                <w:tab w:val="decimal" w:pos="885"/>
              </w:tabs>
              <w:spacing w:before="40" w:after="40"/>
              <w:jc w:val="center"/>
              <w:rPr>
                <w:b/>
                <w:i/>
              </w:rPr>
            </w:pPr>
            <w:r w:rsidRPr="00DC096B">
              <w:rPr>
                <w:b/>
                <w:i/>
              </w:rPr>
              <w:t xml:space="preserve">$ </w:t>
            </w:r>
            <w:r w:rsidR="00926F06" w:rsidRPr="00DC096B">
              <w:rPr>
                <w:b/>
                <w:i/>
              </w:rPr>
              <w:t>1,8</w:t>
            </w:r>
            <w:r w:rsidR="00DC096B" w:rsidRPr="00DC096B">
              <w:rPr>
                <w:b/>
                <w:i/>
              </w:rPr>
              <w:t>30</w:t>
            </w:r>
          </w:p>
        </w:tc>
        <w:tc>
          <w:tcPr>
            <w:tcW w:w="1418" w:type="dxa"/>
            <w:tcBorders>
              <w:top w:val="nil"/>
              <w:right w:val="nil"/>
            </w:tcBorders>
          </w:tcPr>
          <w:p w:rsidR="00926F06" w:rsidRPr="00DC096B" w:rsidRDefault="00926F06" w:rsidP="00C41877">
            <w:pPr>
              <w:keepNext/>
              <w:tabs>
                <w:tab w:val="decimal" w:pos="885"/>
              </w:tabs>
              <w:spacing w:before="40" w:after="40"/>
              <w:jc w:val="center"/>
              <w:rPr>
                <w:b/>
                <w:i/>
              </w:rPr>
            </w:pPr>
          </w:p>
        </w:tc>
        <w:tc>
          <w:tcPr>
            <w:tcW w:w="1417" w:type="dxa"/>
            <w:tcBorders>
              <w:top w:val="nil"/>
              <w:left w:val="nil"/>
              <w:right w:val="nil"/>
            </w:tcBorders>
          </w:tcPr>
          <w:p w:rsidR="00926F06" w:rsidRPr="00DC096B" w:rsidRDefault="00926F06" w:rsidP="00C41877">
            <w:pPr>
              <w:keepNext/>
              <w:tabs>
                <w:tab w:val="decimal" w:pos="885"/>
              </w:tabs>
              <w:spacing w:before="40" w:after="40"/>
              <w:jc w:val="center"/>
              <w:rPr>
                <w:b/>
                <w:i/>
              </w:rPr>
            </w:pPr>
          </w:p>
        </w:tc>
        <w:tc>
          <w:tcPr>
            <w:tcW w:w="1134" w:type="dxa"/>
            <w:tcBorders>
              <w:top w:val="nil"/>
              <w:left w:val="nil"/>
            </w:tcBorders>
          </w:tcPr>
          <w:p w:rsidR="00926F06" w:rsidRPr="00DC096B" w:rsidRDefault="00926F06" w:rsidP="00C41877">
            <w:pPr>
              <w:keepNext/>
              <w:tabs>
                <w:tab w:val="decimal" w:pos="885"/>
              </w:tabs>
              <w:spacing w:before="40" w:after="40"/>
              <w:jc w:val="center"/>
              <w:rPr>
                <w:b/>
                <w:i/>
              </w:rPr>
            </w:pPr>
          </w:p>
        </w:tc>
      </w:tr>
      <w:tr w:rsidR="00926F06" w:rsidRPr="00142B7D" w:rsidTr="00C41877">
        <w:tc>
          <w:tcPr>
            <w:tcW w:w="9072" w:type="dxa"/>
            <w:gridSpan w:val="5"/>
          </w:tcPr>
          <w:p w:rsidR="00926F06" w:rsidRPr="000A5E01" w:rsidRDefault="00926F06" w:rsidP="00C41877">
            <w:pPr>
              <w:keepNext/>
              <w:spacing w:before="40" w:after="40"/>
              <w:rPr>
                <w:sz w:val="20"/>
                <w:szCs w:val="20"/>
              </w:rPr>
            </w:pPr>
            <w:r w:rsidRPr="000A5E01">
              <w:rPr>
                <w:sz w:val="20"/>
                <w:szCs w:val="20"/>
              </w:rPr>
              <w:t>Notes:</w:t>
            </w:r>
          </w:p>
          <w:p w:rsidR="00926F06" w:rsidRPr="000A5E01" w:rsidRDefault="00926F06" w:rsidP="003C07A2">
            <w:pPr>
              <w:keepNext/>
              <w:numPr>
                <w:ilvl w:val="0"/>
                <w:numId w:val="33"/>
              </w:numPr>
              <w:spacing w:before="40" w:after="40" w:line="240" w:lineRule="auto"/>
              <w:ind w:left="459" w:hanging="425"/>
              <w:rPr>
                <w:sz w:val="20"/>
                <w:szCs w:val="20"/>
              </w:rPr>
            </w:pPr>
            <w:r w:rsidRPr="000A5E01">
              <w:rPr>
                <w:b/>
                <w:sz w:val="20"/>
                <w:szCs w:val="20"/>
              </w:rPr>
              <w:t xml:space="preserve">All amounts </w:t>
            </w:r>
            <w:r w:rsidR="001054B4">
              <w:rPr>
                <w:b/>
                <w:sz w:val="20"/>
                <w:szCs w:val="20"/>
              </w:rPr>
              <w:t xml:space="preserve">are nominal and </w:t>
            </w:r>
            <w:r w:rsidRPr="000A5E01">
              <w:rPr>
                <w:b/>
                <w:sz w:val="20"/>
                <w:szCs w:val="20"/>
              </w:rPr>
              <w:t>contain GST</w:t>
            </w:r>
            <w:r w:rsidRPr="000A5E01">
              <w:rPr>
                <w:sz w:val="20"/>
                <w:szCs w:val="20"/>
              </w:rPr>
              <w:t>.</w:t>
            </w:r>
          </w:p>
          <w:p w:rsidR="00926F06" w:rsidRPr="000A5E01" w:rsidRDefault="00926F06" w:rsidP="003C07A2">
            <w:pPr>
              <w:keepNext/>
              <w:numPr>
                <w:ilvl w:val="0"/>
                <w:numId w:val="33"/>
              </w:numPr>
              <w:spacing w:before="40" w:after="40" w:line="240" w:lineRule="auto"/>
              <w:ind w:left="459" w:hanging="425"/>
              <w:rPr>
                <w:sz w:val="20"/>
                <w:szCs w:val="20"/>
              </w:rPr>
            </w:pPr>
            <w:r w:rsidRPr="000A5E01">
              <w:rPr>
                <w:sz w:val="20"/>
                <w:szCs w:val="20"/>
              </w:rPr>
              <w:t xml:space="preserve">Using </w:t>
            </w:r>
            <w:r>
              <w:rPr>
                <w:sz w:val="20"/>
                <w:szCs w:val="20"/>
              </w:rPr>
              <w:t>AGL</w:t>
            </w:r>
            <w:r w:rsidRPr="000A5E01">
              <w:rPr>
                <w:sz w:val="20"/>
                <w:szCs w:val="20"/>
              </w:rPr>
              <w:t xml:space="preserve"> </w:t>
            </w:r>
            <w:r>
              <w:rPr>
                <w:sz w:val="20"/>
                <w:szCs w:val="20"/>
              </w:rPr>
              <w:t>transitional</w:t>
            </w:r>
            <w:r w:rsidRPr="000A5E01">
              <w:rPr>
                <w:sz w:val="20"/>
                <w:szCs w:val="20"/>
              </w:rPr>
              <w:t xml:space="preserve"> contract retail price for </w:t>
            </w:r>
            <w:r>
              <w:rPr>
                <w:sz w:val="20"/>
                <w:szCs w:val="20"/>
              </w:rPr>
              <w:t>August 20</w:t>
            </w:r>
            <w:r w:rsidR="00970806">
              <w:rPr>
                <w:sz w:val="20"/>
                <w:szCs w:val="20"/>
              </w:rPr>
              <w:t>14</w:t>
            </w:r>
            <w:r w:rsidRPr="000A5E01">
              <w:rPr>
                <w:sz w:val="20"/>
                <w:szCs w:val="20"/>
              </w:rPr>
              <w:t>.</w:t>
            </w:r>
          </w:p>
          <w:p w:rsidR="00926F06" w:rsidRPr="000A5E01" w:rsidRDefault="00926F06" w:rsidP="003C07A2">
            <w:pPr>
              <w:keepNext/>
              <w:numPr>
                <w:ilvl w:val="0"/>
                <w:numId w:val="33"/>
              </w:numPr>
              <w:spacing w:before="40" w:after="40" w:line="240" w:lineRule="auto"/>
              <w:ind w:left="459" w:hanging="425"/>
              <w:rPr>
                <w:sz w:val="20"/>
                <w:szCs w:val="20"/>
              </w:rPr>
            </w:pPr>
            <w:r w:rsidRPr="000A5E01">
              <w:rPr>
                <w:sz w:val="20"/>
                <w:szCs w:val="20"/>
              </w:rPr>
              <w:t xml:space="preserve">Using ElectraNet </w:t>
            </w:r>
            <w:r w:rsidR="00465FFF">
              <w:rPr>
                <w:sz w:val="20"/>
                <w:szCs w:val="20"/>
              </w:rPr>
              <w:t>May</w:t>
            </w:r>
            <w:r>
              <w:rPr>
                <w:sz w:val="20"/>
                <w:szCs w:val="20"/>
              </w:rPr>
              <w:t xml:space="preserve"> 20</w:t>
            </w:r>
            <w:r w:rsidR="00970806">
              <w:rPr>
                <w:sz w:val="20"/>
                <w:szCs w:val="20"/>
              </w:rPr>
              <w:t>15</w:t>
            </w:r>
            <w:r w:rsidRPr="000A5E01">
              <w:rPr>
                <w:sz w:val="20"/>
                <w:szCs w:val="20"/>
              </w:rPr>
              <w:t xml:space="preserve"> advice of </w:t>
            </w:r>
            <w:r w:rsidR="00970806">
              <w:rPr>
                <w:sz w:val="20"/>
                <w:szCs w:val="20"/>
              </w:rPr>
              <w:t>2015/16</w:t>
            </w:r>
            <w:r w:rsidRPr="000A5E01">
              <w:rPr>
                <w:sz w:val="20"/>
                <w:szCs w:val="20"/>
              </w:rPr>
              <w:t xml:space="preserve"> </w:t>
            </w:r>
            <w:r w:rsidR="00465FFF">
              <w:rPr>
                <w:sz w:val="20"/>
                <w:szCs w:val="20"/>
              </w:rPr>
              <w:t>p</w:t>
            </w:r>
            <w:r w:rsidRPr="000A5E01">
              <w:rPr>
                <w:sz w:val="20"/>
                <w:szCs w:val="20"/>
              </w:rPr>
              <w:t>rices.</w:t>
            </w:r>
            <w:r>
              <w:rPr>
                <w:sz w:val="20"/>
                <w:szCs w:val="20"/>
              </w:rPr>
              <w:t xml:space="preserve"> </w:t>
            </w:r>
          </w:p>
        </w:tc>
      </w:tr>
    </w:tbl>
    <w:p w:rsidR="00926F06" w:rsidRPr="00142B7D" w:rsidRDefault="00926F06" w:rsidP="00926F06">
      <w:pPr>
        <w:rPr>
          <w:sz w:val="20"/>
          <w:szCs w:val="20"/>
        </w:rPr>
      </w:pPr>
    </w:p>
    <w:p w:rsidR="00926F06" w:rsidRDefault="001054B4" w:rsidP="00926F06">
      <w:r>
        <w:t>New residential tariffs are proposed to apply to those customers with</w:t>
      </w:r>
      <w:r w:rsidR="005755F1">
        <w:t xml:space="preserve"> solar</w:t>
      </w:r>
      <w:r w:rsidR="00BD7786">
        <w:t xml:space="preserve"> PV (</w:t>
      </w:r>
      <w:r w:rsidR="00217741">
        <w:t>residential Solar tariff</w:t>
      </w:r>
      <w:r>
        <w:t>), and for customers on hardship programs with retailers (</w:t>
      </w:r>
      <w:r w:rsidR="00217741">
        <w:t>residential Social tariff</w:t>
      </w:r>
      <w:r>
        <w:t>)</w:t>
      </w:r>
      <w:r w:rsidR="00926F06">
        <w:t>.</w:t>
      </w:r>
    </w:p>
    <w:p w:rsidR="00926F06" w:rsidRDefault="00926F06" w:rsidP="00926F06"/>
    <w:p w:rsidR="001054B4" w:rsidRDefault="005755F1" w:rsidP="00926F06">
      <w:r>
        <w:t>A</w:t>
      </w:r>
      <w:r w:rsidR="001054B4">
        <w:t>nalysis of resi</w:t>
      </w:r>
      <w:r>
        <w:t xml:space="preserve">dential customer load profiles has shown </w:t>
      </w:r>
      <w:r w:rsidR="001054B4">
        <w:t xml:space="preserve">that customers with solar have a different load profile </w:t>
      </w:r>
      <w:r>
        <w:t xml:space="preserve">to other residential customers, </w:t>
      </w:r>
      <w:r w:rsidR="001054B4">
        <w:t xml:space="preserve">with an average load factor over 20% less favourable than customers without solar. This is </w:t>
      </w:r>
      <w:r w:rsidR="00C64B50">
        <w:t xml:space="preserve">primarily </w:t>
      </w:r>
      <w:r w:rsidR="001054B4">
        <w:t>caused by lower usage during the day</w:t>
      </w:r>
      <w:r w:rsidR="00C64B50">
        <w:t xml:space="preserve"> when the sun is shining</w:t>
      </w:r>
      <w:r w:rsidR="001054B4">
        <w:t xml:space="preserve">.  The new </w:t>
      </w:r>
      <w:r w:rsidR="00217741">
        <w:t>residential Solar tariff</w:t>
      </w:r>
      <w:r w:rsidR="001054B4">
        <w:t xml:space="preserve"> ensure</w:t>
      </w:r>
      <w:r w:rsidR="00BD7786">
        <w:t>s</w:t>
      </w:r>
      <w:r w:rsidR="001054B4">
        <w:t xml:space="preserve"> that these customers pay a fair price for the capacity they require whilst recognising the benefit to the network of less </w:t>
      </w:r>
      <w:r w:rsidR="00C64B50">
        <w:t xml:space="preserve">energy </w:t>
      </w:r>
      <w:r w:rsidR="001054B4">
        <w:t>throughput on extreme summer days</w:t>
      </w:r>
      <w:r w:rsidR="0043046B">
        <w:t xml:space="preserve"> when the sun is shining.  The new tariff </w:t>
      </w:r>
      <w:r w:rsidR="008E277B">
        <w:t>gives residential Solar customers a saving of $88 in their annual retail bill</w:t>
      </w:r>
      <w:r w:rsidR="00C64B50">
        <w:t>.</w:t>
      </w:r>
      <w:r w:rsidR="008E277B">
        <w:t xml:space="preserve">  This is in addition to any other savings they have made through the use of solar PV to date.</w:t>
      </w:r>
    </w:p>
    <w:p w:rsidR="0043046B" w:rsidRDefault="0043046B" w:rsidP="00926F06"/>
    <w:p w:rsidR="0043046B" w:rsidRDefault="00C64B50" w:rsidP="00926F06">
      <w:r>
        <w:t xml:space="preserve">Over </w:t>
      </w:r>
      <w:r w:rsidR="0043046B">
        <w:t xml:space="preserve">the </w:t>
      </w:r>
      <w:r>
        <w:t xml:space="preserve">last year of the </w:t>
      </w:r>
      <w:r w:rsidR="0043046B">
        <w:t>2015-20 Price Reset consult</w:t>
      </w:r>
      <w:r w:rsidR="00BD7786">
        <w:t>ation, the concept of a Social t</w:t>
      </w:r>
      <w:r w:rsidR="0043046B">
        <w:t xml:space="preserve">ariff </w:t>
      </w:r>
      <w:r>
        <w:t>h</w:t>
      </w:r>
      <w:r w:rsidR="0043046B">
        <w:t xml:space="preserve">as </w:t>
      </w:r>
      <w:r>
        <w:t xml:space="preserve">been </w:t>
      </w:r>
      <w:r w:rsidR="0043046B">
        <w:t>discussed</w:t>
      </w:r>
      <w:r>
        <w:t xml:space="preserve"> with some key stakeholders and was included in our Regulatory Proposal</w:t>
      </w:r>
      <w:r w:rsidR="0043046B">
        <w:t xml:space="preserve">.  </w:t>
      </w:r>
      <w:r>
        <w:t xml:space="preserve">Following feedback from stakeholders (positive and negative) we have revised the concept. </w:t>
      </w:r>
      <w:r w:rsidR="0043046B">
        <w:t xml:space="preserve">This </w:t>
      </w:r>
      <w:r>
        <w:t>resulted in</w:t>
      </w:r>
      <w:r w:rsidR="0043046B">
        <w:t xml:space="preserve"> identifying residential hardship programs as a possible beneficiary of a </w:t>
      </w:r>
      <w:r w:rsidR="00217741">
        <w:t>residential Social tariff</w:t>
      </w:r>
      <w:r>
        <w:t xml:space="preserve">, to be financed from other residential tariff reform (eg the </w:t>
      </w:r>
      <w:r w:rsidR="00217741">
        <w:t>residential Solar tariff</w:t>
      </w:r>
      <w:r>
        <w:t>)</w:t>
      </w:r>
      <w:r w:rsidR="0043046B">
        <w:t xml:space="preserve">.  There are 10,000 customers currently on such programs with retailers.  The Social </w:t>
      </w:r>
      <w:r>
        <w:t>t</w:t>
      </w:r>
      <w:r w:rsidR="0043046B">
        <w:t xml:space="preserve">ariff </w:t>
      </w:r>
      <w:r>
        <w:t>excludes any charge for</w:t>
      </w:r>
      <w:r w:rsidR="0043046B">
        <w:t xml:space="preserve"> PV FiT recovery and the distribution supply charge.  It was considered inequitable that hardship customers should be required to contribute to </w:t>
      </w:r>
      <w:r w:rsidR="00DA1EB3">
        <w:t>PV FiT</w:t>
      </w:r>
      <w:r w:rsidR="0043046B">
        <w:t xml:space="preserve"> cost-recoveries.  It was also felt that requiring such customers to contribute at average levels to costs in excess of long run marginal cost may have economic repercussions for such vulnerable customers, resulting in the deletion of the supply charge </w:t>
      </w:r>
      <w:r w:rsidR="0043046B">
        <w:lastRenderedPageBreak/>
        <w:t>for these customers.  For a typical 5 MWh residential customer, the</w:t>
      </w:r>
      <w:r w:rsidR="00DA1EB3">
        <w:t xml:space="preserve"> </w:t>
      </w:r>
      <w:r w:rsidR="00217741">
        <w:t>residential Social tariff</w:t>
      </w:r>
      <w:r w:rsidR="0043046B">
        <w:t xml:space="preserve"> will provide a further -$19</w:t>
      </w:r>
      <w:r w:rsidR="008E277B">
        <w:t>8</w:t>
      </w:r>
      <w:r w:rsidR="0043046B">
        <w:t xml:space="preserve"> saving.</w:t>
      </w:r>
    </w:p>
    <w:p w:rsidR="00926F06" w:rsidRDefault="00926F06" w:rsidP="00926F06"/>
    <w:p w:rsidR="00926F06" w:rsidRDefault="0043046B" w:rsidP="00926F06">
      <w:r>
        <w:t>A comparison of the three residential tariffs for 2015/16 is set out below.</w:t>
      </w:r>
    </w:p>
    <w:p w:rsidR="00926F06" w:rsidRDefault="00926F06" w:rsidP="00926F06"/>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346"/>
        <w:gridCol w:w="1347"/>
        <w:gridCol w:w="1346"/>
        <w:gridCol w:w="1347"/>
      </w:tblGrid>
      <w:tr w:rsidR="00C743FC" w:rsidTr="00C743FC">
        <w:tc>
          <w:tcPr>
            <w:tcW w:w="3686" w:type="dxa"/>
            <w:vMerge w:val="restart"/>
            <w:shd w:val="clear" w:color="auto" w:fill="FAB585" w:themeFill="accent3"/>
          </w:tcPr>
          <w:p w:rsidR="00C743FC" w:rsidRDefault="00C743FC" w:rsidP="00C743FC">
            <w:pPr>
              <w:keepNext/>
              <w:spacing w:before="40" w:after="40"/>
              <w:rPr>
                <w:b/>
              </w:rPr>
            </w:pPr>
            <w:r w:rsidRPr="000A5E01">
              <w:rPr>
                <w:b/>
              </w:rPr>
              <w:t xml:space="preserve">Component of price </w:t>
            </w:r>
          </w:p>
          <w:p w:rsidR="00C743FC" w:rsidRDefault="00C743FC" w:rsidP="00C743FC">
            <w:pPr>
              <w:keepNext/>
              <w:spacing w:before="40" w:after="40"/>
              <w:rPr>
                <w:b/>
              </w:rPr>
            </w:pPr>
            <w:r>
              <w:rPr>
                <w:b/>
              </w:rPr>
              <w:t>Average Residential Customer</w:t>
            </w:r>
          </w:p>
          <w:p w:rsidR="00C743FC" w:rsidRPr="000A5E01" w:rsidRDefault="00C743FC" w:rsidP="00C743FC">
            <w:pPr>
              <w:keepNext/>
              <w:spacing w:before="40" w:after="40"/>
              <w:rPr>
                <w:b/>
              </w:rPr>
            </w:pPr>
            <w:r>
              <w:rPr>
                <w:b/>
              </w:rPr>
              <w:t>Using 5,000 kWh pa</w:t>
            </w:r>
          </w:p>
        </w:tc>
        <w:tc>
          <w:tcPr>
            <w:tcW w:w="1346" w:type="dxa"/>
            <w:tcBorders>
              <w:bottom w:val="nil"/>
            </w:tcBorders>
            <w:shd w:val="clear" w:color="auto" w:fill="FAB585" w:themeFill="accent3"/>
          </w:tcPr>
          <w:p w:rsidR="00C743FC" w:rsidRPr="000A5E01" w:rsidRDefault="00C743FC" w:rsidP="00C743FC">
            <w:pPr>
              <w:keepNext/>
              <w:spacing w:before="40" w:after="40"/>
              <w:jc w:val="center"/>
              <w:rPr>
                <w:b/>
              </w:rPr>
            </w:pPr>
            <w:r>
              <w:rPr>
                <w:b/>
              </w:rPr>
              <w:t>2014/15 Residential</w:t>
            </w:r>
          </w:p>
        </w:tc>
        <w:tc>
          <w:tcPr>
            <w:tcW w:w="1347" w:type="dxa"/>
            <w:tcBorders>
              <w:bottom w:val="nil"/>
            </w:tcBorders>
            <w:shd w:val="clear" w:color="auto" w:fill="FAB585" w:themeFill="accent3"/>
          </w:tcPr>
          <w:p w:rsidR="00C743FC" w:rsidRPr="000A5E01" w:rsidRDefault="00C743FC" w:rsidP="00C743FC">
            <w:pPr>
              <w:keepNext/>
              <w:spacing w:before="40" w:after="40"/>
              <w:jc w:val="center"/>
              <w:rPr>
                <w:b/>
              </w:rPr>
            </w:pPr>
            <w:r>
              <w:rPr>
                <w:b/>
              </w:rPr>
              <w:t>2015/16 Residential</w:t>
            </w:r>
          </w:p>
        </w:tc>
        <w:tc>
          <w:tcPr>
            <w:tcW w:w="1346" w:type="dxa"/>
            <w:tcBorders>
              <w:bottom w:val="nil"/>
            </w:tcBorders>
            <w:shd w:val="clear" w:color="auto" w:fill="FAB585" w:themeFill="accent3"/>
          </w:tcPr>
          <w:p w:rsidR="00C743FC" w:rsidRPr="000A5E01" w:rsidRDefault="00C743FC" w:rsidP="00C743FC">
            <w:pPr>
              <w:keepNext/>
              <w:spacing w:before="40" w:after="40"/>
              <w:jc w:val="center"/>
              <w:rPr>
                <w:b/>
              </w:rPr>
            </w:pPr>
            <w:r>
              <w:rPr>
                <w:b/>
              </w:rPr>
              <w:t>2015/16 Residential with Solar</w:t>
            </w:r>
          </w:p>
        </w:tc>
        <w:tc>
          <w:tcPr>
            <w:tcW w:w="1347" w:type="dxa"/>
            <w:vMerge w:val="restart"/>
            <w:shd w:val="clear" w:color="auto" w:fill="FAB585" w:themeFill="accent3"/>
          </w:tcPr>
          <w:p w:rsidR="00C743FC" w:rsidRPr="000A5E01" w:rsidRDefault="00C743FC" w:rsidP="00C743FC">
            <w:pPr>
              <w:keepNext/>
              <w:spacing w:before="40" w:after="40"/>
              <w:jc w:val="center"/>
              <w:rPr>
                <w:b/>
              </w:rPr>
            </w:pPr>
            <w:r>
              <w:rPr>
                <w:b/>
              </w:rPr>
              <w:t xml:space="preserve">2015/16 </w:t>
            </w:r>
            <w:r w:rsidR="00217741">
              <w:rPr>
                <w:b/>
              </w:rPr>
              <w:t>Residential Social tariff</w:t>
            </w:r>
          </w:p>
          <w:p w:rsidR="00C743FC" w:rsidRPr="000A5E01" w:rsidRDefault="00C743FC" w:rsidP="00C743FC">
            <w:pPr>
              <w:keepNext/>
              <w:spacing w:before="40" w:after="40"/>
              <w:jc w:val="center"/>
              <w:rPr>
                <w:b/>
              </w:rPr>
            </w:pPr>
            <w:r w:rsidRPr="000A5E01">
              <w:t>$ per annum</w:t>
            </w:r>
          </w:p>
        </w:tc>
      </w:tr>
      <w:tr w:rsidR="00C743FC" w:rsidTr="00C743FC">
        <w:tc>
          <w:tcPr>
            <w:tcW w:w="3686" w:type="dxa"/>
            <w:vMerge/>
            <w:shd w:val="clear" w:color="auto" w:fill="C6D9F1"/>
          </w:tcPr>
          <w:p w:rsidR="00C743FC" w:rsidRDefault="00C743FC" w:rsidP="00C743FC">
            <w:pPr>
              <w:keepNext/>
              <w:spacing w:before="40" w:after="40"/>
              <w:ind w:left="34"/>
            </w:pPr>
          </w:p>
        </w:tc>
        <w:tc>
          <w:tcPr>
            <w:tcW w:w="1346" w:type="dxa"/>
            <w:tcBorders>
              <w:top w:val="nil"/>
            </w:tcBorders>
            <w:shd w:val="clear" w:color="auto" w:fill="FAB585" w:themeFill="accent3"/>
          </w:tcPr>
          <w:p w:rsidR="00C743FC" w:rsidRPr="000A5E01" w:rsidRDefault="00C743FC" w:rsidP="00C743FC">
            <w:pPr>
              <w:keepNext/>
              <w:spacing w:before="40" w:after="40"/>
              <w:jc w:val="center"/>
            </w:pPr>
            <w:r w:rsidRPr="000A5E01">
              <w:t>$ per annum</w:t>
            </w:r>
          </w:p>
        </w:tc>
        <w:tc>
          <w:tcPr>
            <w:tcW w:w="1347" w:type="dxa"/>
            <w:tcBorders>
              <w:top w:val="nil"/>
            </w:tcBorders>
            <w:shd w:val="clear" w:color="auto" w:fill="FAB585" w:themeFill="accent3"/>
          </w:tcPr>
          <w:p w:rsidR="00C743FC" w:rsidRPr="000A5E01" w:rsidRDefault="00C743FC" w:rsidP="00C743FC">
            <w:pPr>
              <w:keepNext/>
              <w:spacing w:before="40" w:after="40"/>
              <w:jc w:val="center"/>
              <w:rPr>
                <w:highlight w:val="yellow"/>
              </w:rPr>
            </w:pPr>
            <w:r w:rsidRPr="000A5E01">
              <w:t>$ per annum</w:t>
            </w:r>
          </w:p>
        </w:tc>
        <w:tc>
          <w:tcPr>
            <w:tcW w:w="1346" w:type="dxa"/>
            <w:tcBorders>
              <w:top w:val="nil"/>
              <w:right w:val="nil"/>
            </w:tcBorders>
            <w:shd w:val="clear" w:color="auto" w:fill="FAB585" w:themeFill="accent3"/>
          </w:tcPr>
          <w:p w:rsidR="00C743FC" w:rsidRPr="000A5E01" w:rsidRDefault="00C743FC" w:rsidP="00C743FC">
            <w:pPr>
              <w:keepNext/>
              <w:spacing w:before="40" w:after="40"/>
              <w:jc w:val="center"/>
              <w:rPr>
                <w:highlight w:val="yellow"/>
              </w:rPr>
            </w:pPr>
            <w:r w:rsidRPr="000A5E01">
              <w:t>$ per annum</w:t>
            </w:r>
          </w:p>
        </w:tc>
        <w:tc>
          <w:tcPr>
            <w:tcW w:w="1347" w:type="dxa"/>
            <w:vMerge/>
            <w:shd w:val="clear" w:color="auto" w:fill="FAB585" w:themeFill="accent3"/>
          </w:tcPr>
          <w:p w:rsidR="00C743FC" w:rsidRPr="000D73D8" w:rsidRDefault="00C743FC" w:rsidP="00C743FC">
            <w:pPr>
              <w:keepNext/>
              <w:tabs>
                <w:tab w:val="decimal" w:pos="601"/>
              </w:tabs>
              <w:spacing w:before="40" w:after="40"/>
              <w:jc w:val="center"/>
            </w:pPr>
          </w:p>
        </w:tc>
      </w:tr>
      <w:tr w:rsidR="00D95F85" w:rsidRPr="002559C5" w:rsidTr="00C743FC">
        <w:tc>
          <w:tcPr>
            <w:tcW w:w="3686" w:type="dxa"/>
          </w:tcPr>
          <w:p w:rsidR="00D95F85" w:rsidRPr="002559C5" w:rsidRDefault="00EA36E3" w:rsidP="003C07A2">
            <w:pPr>
              <w:keepNext/>
              <w:numPr>
                <w:ilvl w:val="0"/>
                <w:numId w:val="38"/>
              </w:numPr>
              <w:spacing w:before="40" w:after="40" w:line="240" w:lineRule="auto"/>
              <w:ind w:left="318" w:hanging="318"/>
            </w:pPr>
            <w:r>
              <w:t>SA Power Networks</w:t>
            </w:r>
            <w:r w:rsidR="00D95F85">
              <w:t xml:space="preserve"> </w:t>
            </w:r>
            <w:r w:rsidR="00D95F85" w:rsidRPr="002559C5">
              <w:t>D</w:t>
            </w:r>
            <w:r w:rsidR="00D95F85">
              <w:t>UoS</w:t>
            </w:r>
            <w:r w:rsidR="00D95F85" w:rsidRPr="002559C5">
              <w:t xml:space="preserve"> charge</w:t>
            </w:r>
          </w:p>
        </w:tc>
        <w:tc>
          <w:tcPr>
            <w:tcW w:w="1346" w:type="dxa"/>
          </w:tcPr>
          <w:p w:rsidR="00D95F85" w:rsidRPr="00DC096B" w:rsidRDefault="00D95F85" w:rsidP="00C743FC">
            <w:pPr>
              <w:keepNext/>
              <w:tabs>
                <w:tab w:val="decimal" w:pos="885"/>
              </w:tabs>
              <w:spacing w:before="40" w:after="40"/>
              <w:jc w:val="center"/>
            </w:pPr>
            <w:r w:rsidRPr="00DC096B">
              <w:t>$ 703</w:t>
            </w:r>
          </w:p>
        </w:tc>
        <w:tc>
          <w:tcPr>
            <w:tcW w:w="1347" w:type="dxa"/>
          </w:tcPr>
          <w:p w:rsidR="00D95F85" w:rsidRPr="00DC096B" w:rsidRDefault="00D95F85" w:rsidP="00C743FC">
            <w:pPr>
              <w:keepNext/>
              <w:tabs>
                <w:tab w:val="decimal" w:pos="885"/>
              </w:tabs>
              <w:spacing w:before="40" w:after="40"/>
              <w:jc w:val="center"/>
            </w:pPr>
            <w:r w:rsidRPr="00DC096B">
              <w:t>$ 540</w:t>
            </w:r>
          </w:p>
        </w:tc>
        <w:tc>
          <w:tcPr>
            <w:tcW w:w="1346" w:type="dxa"/>
            <w:tcBorders>
              <w:right w:val="nil"/>
            </w:tcBorders>
          </w:tcPr>
          <w:p w:rsidR="00D95F85" w:rsidRPr="00DC096B" w:rsidRDefault="00D95F85" w:rsidP="00D95F85">
            <w:pPr>
              <w:keepNext/>
              <w:tabs>
                <w:tab w:val="decimal" w:pos="884"/>
              </w:tabs>
              <w:spacing w:before="40" w:after="40"/>
              <w:jc w:val="center"/>
            </w:pPr>
            <w:r w:rsidRPr="00DC096B">
              <w:t xml:space="preserve">$ </w:t>
            </w:r>
            <w:r>
              <w:t>604</w:t>
            </w:r>
          </w:p>
        </w:tc>
        <w:tc>
          <w:tcPr>
            <w:tcW w:w="1347" w:type="dxa"/>
          </w:tcPr>
          <w:p w:rsidR="00D95F85" w:rsidRPr="00DC096B" w:rsidRDefault="00D95F85" w:rsidP="00D95F85">
            <w:pPr>
              <w:keepNext/>
              <w:tabs>
                <w:tab w:val="decimal" w:pos="884"/>
              </w:tabs>
              <w:spacing w:before="40" w:after="40"/>
              <w:jc w:val="center"/>
            </w:pPr>
            <w:r w:rsidRPr="00DC096B">
              <w:t xml:space="preserve">$ </w:t>
            </w:r>
            <w:r>
              <w:t>437</w:t>
            </w:r>
          </w:p>
        </w:tc>
      </w:tr>
      <w:tr w:rsidR="00D95F85" w:rsidRPr="002559C5" w:rsidTr="00C743FC">
        <w:tc>
          <w:tcPr>
            <w:tcW w:w="3686" w:type="dxa"/>
          </w:tcPr>
          <w:p w:rsidR="00D95F85" w:rsidRPr="002559C5" w:rsidRDefault="00D95F85" w:rsidP="00BD7786">
            <w:pPr>
              <w:keepNext/>
              <w:numPr>
                <w:ilvl w:val="0"/>
                <w:numId w:val="38"/>
              </w:numPr>
              <w:spacing w:before="40" w:after="40" w:line="240" w:lineRule="auto"/>
              <w:ind w:left="318" w:hanging="318"/>
            </w:pPr>
            <w:r w:rsidRPr="002559C5">
              <w:t>Transmission charge</w:t>
            </w:r>
          </w:p>
        </w:tc>
        <w:tc>
          <w:tcPr>
            <w:tcW w:w="1346" w:type="dxa"/>
          </w:tcPr>
          <w:p w:rsidR="00D95F85" w:rsidRPr="00DC096B" w:rsidRDefault="00D95F85" w:rsidP="00C743FC">
            <w:pPr>
              <w:keepNext/>
              <w:tabs>
                <w:tab w:val="decimal" w:pos="885"/>
              </w:tabs>
              <w:spacing w:before="40" w:after="40"/>
              <w:jc w:val="center"/>
            </w:pPr>
            <w:r w:rsidRPr="00DC096B">
              <w:t>$ 150</w:t>
            </w:r>
          </w:p>
        </w:tc>
        <w:tc>
          <w:tcPr>
            <w:tcW w:w="1347" w:type="dxa"/>
          </w:tcPr>
          <w:p w:rsidR="00D95F85" w:rsidRPr="00DC096B" w:rsidRDefault="00D95F85" w:rsidP="00C743FC">
            <w:pPr>
              <w:keepNext/>
              <w:tabs>
                <w:tab w:val="decimal" w:pos="885"/>
              </w:tabs>
              <w:spacing w:before="40" w:after="40"/>
              <w:jc w:val="center"/>
            </w:pPr>
            <w:r w:rsidRPr="00DC096B">
              <w:t>$ 172</w:t>
            </w:r>
          </w:p>
        </w:tc>
        <w:tc>
          <w:tcPr>
            <w:tcW w:w="1346" w:type="dxa"/>
            <w:tcBorders>
              <w:right w:val="nil"/>
            </w:tcBorders>
          </w:tcPr>
          <w:p w:rsidR="00D95F85" w:rsidRPr="00DC096B" w:rsidRDefault="00D95F85" w:rsidP="00D95F85">
            <w:pPr>
              <w:keepNext/>
              <w:tabs>
                <w:tab w:val="decimal" w:pos="884"/>
              </w:tabs>
              <w:spacing w:before="40" w:after="40"/>
              <w:jc w:val="center"/>
            </w:pPr>
            <w:r w:rsidRPr="00DC096B">
              <w:t xml:space="preserve">$ </w:t>
            </w:r>
            <w:r>
              <w:t>197</w:t>
            </w:r>
          </w:p>
        </w:tc>
        <w:tc>
          <w:tcPr>
            <w:tcW w:w="1347" w:type="dxa"/>
          </w:tcPr>
          <w:p w:rsidR="00D95F85" w:rsidRPr="00DC096B" w:rsidRDefault="00D95F85" w:rsidP="00D95F85">
            <w:pPr>
              <w:keepNext/>
              <w:tabs>
                <w:tab w:val="decimal" w:pos="884"/>
              </w:tabs>
              <w:spacing w:before="40" w:after="40"/>
              <w:jc w:val="center"/>
            </w:pPr>
            <w:r w:rsidRPr="00DC096B">
              <w:t xml:space="preserve">$ </w:t>
            </w:r>
            <w:r>
              <w:t>172</w:t>
            </w:r>
          </w:p>
        </w:tc>
      </w:tr>
      <w:tr w:rsidR="00D95F85" w:rsidRPr="002559C5" w:rsidTr="00C743FC">
        <w:tc>
          <w:tcPr>
            <w:tcW w:w="3686" w:type="dxa"/>
          </w:tcPr>
          <w:p w:rsidR="00D95F85" w:rsidRPr="002559C5" w:rsidRDefault="00D95F85" w:rsidP="003C07A2">
            <w:pPr>
              <w:keepNext/>
              <w:numPr>
                <w:ilvl w:val="0"/>
                <w:numId w:val="38"/>
              </w:numPr>
              <w:spacing w:before="40" w:after="40" w:line="240" w:lineRule="auto"/>
              <w:ind w:left="318" w:hanging="318"/>
            </w:pPr>
            <w:r w:rsidRPr="002559C5">
              <w:t>Jurisdictional Scheme Amount (PV)</w:t>
            </w:r>
          </w:p>
        </w:tc>
        <w:tc>
          <w:tcPr>
            <w:tcW w:w="1346" w:type="dxa"/>
          </w:tcPr>
          <w:p w:rsidR="00D95F85" w:rsidRPr="00DC096B" w:rsidRDefault="00D95F85" w:rsidP="00C743FC">
            <w:pPr>
              <w:keepNext/>
              <w:tabs>
                <w:tab w:val="decimal" w:pos="885"/>
              </w:tabs>
              <w:spacing w:before="40" w:after="40"/>
              <w:jc w:val="center"/>
            </w:pPr>
            <w:r w:rsidRPr="00DC096B">
              <w:t>$ 128</w:t>
            </w:r>
          </w:p>
        </w:tc>
        <w:tc>
          <w:tcPr>
            <w:tcW w:w="1347" w:type="dxa"/>
          </w:tcPr>
          <w:p w:rsidR="00D95F85" w:rsidRPr="00DC096B" w:rsidRDefault="00D95F85" w:rsidP="00C743FC">
            <w:pPr>
              <w:keepNext/>
              <w:tabs>
                <w:tab w:val="decimal" w:pos="885"/>
              </w:tabs>
              <w:spacing w:before="40" w:after="40"/>
              <w:jc w:val="center"/>
            </w:pPr>
            <w:r w:rsidRPr="00DC096B">
              <w:t>$ 94</w:t>
            </w:r>
          </w:p>
        </w:tc>
        <w:tc>
          <w:tcPr>
            <w:tcW w:w="1346" w:type="dxa"/>
            <w:tcBorders>
              <w:right w:val="nil"/>
            </w:tcBorders>
          </w:tcPr>
          <w:p w:rsidR="00D95F85" w:rsidRPr="00DC096B" w:rsidRDefault="00D95F85" w:rsidP="00D95F85">
            <w:pPr>
              <w:keepNext/>
              <w:tabs>
                <w:tab w:val="decimal" w:pos="884"/>
              </w:tabs>
              <w:spacing w:before="40" w:after="40"/>
              <w:jc w:val="center"/>
            </w:pPr>
            <w:r w:rsidRPr="00DC096B">
              <w:t xml:space="preserve">$ </w:t>
            </w:r>
            <w:r>
              <w:t>105</w:t>
            </w:r>
          </w:p>
        </w:tc>
        <w:tc>
          <w:tcPr>
            <w:tcW w:w="1347" w:type="dxa"/>
          </w:tcPr>
          <w:p w:rsidR="00D95F85" w:rsidRPr="00DC096B" w:rsidRDefault="00D95F85" w:rsidP="00D95F85">
            <w:pPr>
              <w:keepNext/>
              <w:tabs>
                <w:tab w:val="decimal" w:pos="884"/>
              </w:tabs>
              <w:spacing w:before="40" w:after="40"/>
              <w:jc w:val="center"/>
            </w:pPr>
            <w:r w:rsidRPr="00DC096B">
              <w:t xml:space="preserve">$ </w:t>
            </w:r>
            <w:r>
              <w:t>0</w:t>
            </w:r>
          </w:p>
        </w:tc>
      </w:tr>
      <w:tr w:rsidR="00D95F85" w:rsidRPr="002559C5" w:rsidTr="00C743FC">
        <w:tc>
          <w:tcPr>
            <w:tcW w:w="3686" w:type="dxa"/>
          </w:tcPr>
          <w:p w:rsidR="00D95F85" w:rsidRPr="002559C5" w:rsidRDefault="00D95F85" w:rsidP="00C743FC">
            <w:pPr>
              <w:keepNext/>
              <w:spacing w:before="40" w:after="40"/>
              <w:ind w:left="318" w:hanging="318"/>
              <w:rPr>
                <w:b/>
                <w:i/>
              </w:rPr>
            </w:pPr>
            <w:r w:rsidRPr="002559C5">
              <w:rPr>
                <w:b/>
                <w:i/>
              </w:rPr>
              <w:t>Total Networks charges</w:t>
            </w:r>
          </w:p>
        </w:tc>
        <w:tc>
          <w:tcPr>
            <w:tcW w:w="1346" w:type="dxa"/>
          </w:tcPr>
          <w:p w:rsidR="00D95F85" w:rsidRPr="00DC096B" w:rsidRDefault="00D95F85" w:rsidP="00C743FC">
            <w:pPr>
              <w:keepNext/>
              <w:tabs>
                <w:tab w:val="decimal" w:pos="885"/>
              </w:tabs>
              <w:spacing w:before="40" w:after="40"/>
              <w:jc w:val="center"/>
              <w:rPr>
                <w:b/>
                <w:i/>
              </w:rPr>
            </w:pPr>
            <w:r w:rsidRPr="00DC096B">
              <w:rPr>
                <w:b/>
                <w:i/>
              </w:rPr>
              <w:t>$ 981</w:t>
            </w:r>
          </w:p>
        </w:tc>
        <w:tc>
          <w:tcPr>
            <w:tcW w:w="1347" w:type="dxa"/>
            <w:tcBorders>
              <w:bottom w:val="single" w:sz="4" w:space="0" w:color="000000"/>
            </w:tcBorders>
          </w:tcPr>
          <w:p w:rsidR="00D95F85" w:rsidRPr="00DC096B" w:rsidRDefault="00D95F85" w:rsidP="00C743FC">
            <w:pPr>
              <w:keepNext/>
              <w:tabs>
                <w:tab w:val="decimal" w:pos="885"/>
              </w:tabs>
              <w:spacing w:before="40" w:after="40"/>
              <w:jc w:val="center"/>
              <w:rPr>
                <w:b/>
                <w:i/>
              </w:rPr>
            </w:pPr>
            <w:r w:rsidRPr="00DC096B">
              <w:rPr>
                <w:b/>
                <w:i/>
              </w:rPr>
              <w:t>$ 806</w:t>
            </w:r>
          </w:p>
        </w:tc>
        <w:tc>
          <w:tcPr>
            <w:tcW w:w="1346" w:type="dxa"/>
            <w:tcBorders>
              <w:bottom w:val="single" w:sz="4" w:space="0" w:color="000000"/>
              <w:right w:val="nil"/>
            </w:tcBorders>
          </w:tcPr>
          <w:p w:rsidR="00D95F85" w:rsidRPr="00DC096B" w:rsidRDefault="00D95F85" w:rsidP="00D95F85">
            <w:pPr>
              <w:keepNext/>
              <w:tabs>
                <w:tab w:val="decimal" w:pos="885"/>
              </w:tabs>
              <w:spacing w:before="40" w:after="40"/>
              <w:jc w:val="center"/>
              <w:rPr>
                <w:b/>
                <w:i/>
              </w:rPr>
            </w:pPr>
            <w:r w:rsidRPr="00DC096B">
              <w:rPr>
                <w:b/>
                <w:i/>
              </w:rPr>
              <w:t xml:space="preserve">$ </w:t>
            </w:r>
            <w:r>
              <w:rPr>
                <w:b/>
                <w:i/>
              </w:rPr>
              <w:t>906</w:t>
            </w:r>
          </w:p>
        </w:tc>
        <w:tc>
          <w:tcPr>
            <w:tcW w:w="1347" w:type="dxa"/>
            <w:tcBorders>
              <w:bottom w:val="single" w:sz="4" w:space="0" w:color="000000"/>
            </w:tcBorders>
          </w:tcPr>
          <w:p w:rsidR="00D95F85" w:rsidRPr="00DC096B" w:rsidRDefault="00D95F85" w:rsidP="00D95F85">
            <w:pPr>
              <w:keepNext/>
              <w:tabs>
                <w:tab w:val="decimal" w:pos="885"/>
              </w:tabs>
              <w:spacing w:before="40" w:after="40"/>
              <w:jc w:val="center"/>
              <w:rPr>
                <w:b/>
                <w:i/>
              </w:rPr>
            </w:pPr>
            <w:r w:rsidRPr="00DC096B">
              <w:rPr>
                <w:b/>
                <w:i/>
              </w:rPr>
              <w:t xml:space="preserve">$ </w:t>
            </w:r>
            <w:r>
              <w:rPr>
                <w:b/>
                <w:i/>
              </w:rPr>
              <w:t>608</w:t>
            </w:r>
          </w:p>
        </w:tc>
      </w:tr>
      <w:tr w:rsidR="00D95F85" w:rsidRPr="002559C5" w:rsidTr="00C743FC">
        <w:tc>
          <w:tcPr>
            <w:tcW w:w="3686" w:type="dxa"/>
          </w:tcPr>
          <w:p w:rsidR="00D95F85" w:rsidRPr="002559C5" w:rsidRDefault="00D95F85" w:rsidP="003C07A2">
            <w:pPr>
              <w:keepNext/>
              <w:numPr>
                <w:ilvl w:val="0"/>
                <w:numId w:val="38"/>
              </w:numPr>
              <w:spacing w:before="40" w:after="40" w:line="240" w:lineRule="auto"/>
              <w:ind w:left="318" w:hanging="318"/>
            </w:pPr>
            <w:r>
              <w:t>Metering (</w:t>
            </w:r>
            <w:r w:rsidR="001B6579">
              <w:t>Alternative control</w:t>
            </w:r>
            <w:r>
              <w:t>)</w:t>
            </w:r>
          </w:p>
        </w:tc>
        <w:tc>
          <w:tcPr>
            <w:tcW w:w="1346" w:type="dxa"/>
          </w:tcPr>
          <w:p w:rsidR="00D95F85" w:rsidRPr="00DC096B" w:rsidRDefault="00D95F85" w:rsidP="00C743FC">
            <w:pPr>
              <w:keepNext/>
              <w:tabs>
                <w:tab w:val="decimal" w:pos="885"/>
              </w:tabs>
              <w:spacing w:before="40" w:after="40"/>
              <w:jc w:val="center"/>
            </w:pPr>
            <w:r w:rsidRPr="00DC096B">
              <w:t>$ 36</w:t>
            </w:r>
          </w:p>
        </w:tc>
        <w:tc>
          <w:tcPr>
            <w:tcW w:w="1347" w:type="dxa"/>
            <w:tcBorders>
              <w:bottom w:val="single" w:sz="4" w:space="0" w:color="000000"/>
              <w:right w:val="single" w:sz="4" w:space="0" w:color="000000"/>
            </w:tcBorders>
          </w:tcPr>
          <w:p w:rsidR="00D95F85" w:rsidRPr="00DC096B" w:rsidRDefault="00D95F85" w:rsidP="00C743FC">
            <w:pPr>
              <w:keepNext/>
              <w:tabs>
                <w:tab w:val="decimal" w:pos="885"/>
              </w:tabs>
              <w:spacing w:before="40" w:after="40"/>
              <w:jc w:val="center"/>
            </w:pPr>
            <w:r w:rsidRPr="00DC096B">
              <w:t>$ 23</w:t>
            </w:r>
          </w:p>
        </w:tc>
        <w:tc>
          <w:tcPr>
            <w:tcW w:w="1346" w:type="dxa"/>
            <w:tcBorders>
              <w:left w:val="single" w:sz="4" w:space="0" w:color="000000"/>
              <w:bottom w:val="single" w:sz="4" w:space="0" w:color="000000"/>
              <w:right w:val="single" w:sz="4" w:space="0" w:color="000000"/>
            </w:tcBorders>
          </w:tcPr>
          <w:p w:rsidR="00D95F85" w:rsidRPr="00DC096B" w:rsidRDefault="00D95F85" w:rsidP="00D95F85">
            <w:pPr>
              <w:keepNext/>
              <w:tabs>
                <w:tab w:val="decimal" w:pos="884"/>
              </w:tabs>
              <w:spacing w:before="40" w:after="40"/>
              <w:jc w:val="center"/>
            </w:pPr>
            <w:r w:rsidRPr="00DC096B">
              <w:t xml:space="preserve">$ </w:t>
            </w:r>
            <w:r>
              <w:t>2</w:t>
            </w:r>
            <w:r w:rsidRPr="00DC096B">
              <w:t>3</w:t>
            </w:r>
          </w:p>
        </w:tc>
        <w:tc>
          <w:tcPr>
            <w:tcW w:w="1347" w:type="dxa"/>
            <w:tcBorders>
              <w:left w:val="single" w:sz="4" w:space="0" w:color="000000"/>
              <w:bottom w:val="single" w:sz="4" w:space="0" w:color="000000"/>
            </w:tcBorders>
          </w:tcPr>
          <w:p w:rsidR="00D95F85" w:rsidRPr="00DC096B" w:rsidRDefault="00D95F85" w:rsidP="00726F15">
            <w:pPr>
              <w:keepNext/>
              <w:tabs>
                <w:tab w:val="decimal" w:pos="884"/>
              </w:tabs>
              <w:spacing w:before="40" w:after="40"/>
              <w:jc w:val="center"/>
            </w:pPr>
            <w:r w:rsidRPr="00DC096B">
              <w:t xml:space="preserve">$ </w:t>
            </w:r>
            <w:r>
              <w:t>2</w:t>
            </w:r>
            <w:r w:rsidRPr="00DC096B">
              <w:t>3</w:t>
            </w:r>
          </w:p>
        </w:tc>
      </w:tr>
      <w:tr w:rsidR="00D95F85" w:rsidRPr="00DC096B" w:rsidTr="00C743FC">
        <w:tc>
          <w:tcPr>
            <w:tcW w:w="3686" w:type="dxa"/>
          </w:tcPr>
          <w:p w:rsidR="00D95F85" w:rsidRPr="00DC096B" w:rsidRDefault="00D95F85" w:rsidP="00C743FC">
            <w:pPr>
              <w:keepNext/>
              <w:spacing w:before="40" w:after="40"/>
              <w:ind w:left="318" w:hanging="318"/>
              <w:rPr>
                <w:b/>
                <w:i/>
              </w:rPr>
            </w:pPr>
            <w:r w:rsidRPr="00DC096B">
              <w:rPr>
                <w:b/>
                <w:i/>
              </w:rPr>
              <w:t>Total Regulated charges</w:t>
            </w:r>
          </w:p>
        </w:tc>
        <w:tc>
          <w:tcPr>
            <w:tcW w:w="1346" w:type="dxa"/>
          </w:tcPr>
          <w:p w:rsidR="00D95F85" w:rsidRPr="00DC096B" w:rsidRDefault="00D95F85" w:rsidP="00C743FC">
            <w:pPr>
              <w:keepNext/>
              <w:tabs>
                <w:tab w:val="decimal" w:pos="885"/>
              </w:tabs>
              <w:spacing w:before="40" w:after="40"/>
              <w:jc w:val="center"/>
              <w:rPr>
                <w:b/>
                <w:i/>
              </w:rPr>
            </w:pPr>
            <w:r w:rsidRPr="00DC096B">
              <w:rPr>
                <w:b/>
                <w:i/>
              </w:rPr>
              <w:t>$ 1,017</w:t>
            </w:r>
          </w:p>
        </w:tc>
        <w:tc>
          <w:tcPr>
            <w:tcW w:w="1347" w:type="dxa"/>
            <w:tcBorders>
              <w:bottom w:val="single" w:sz="4" w:space="0" w:color="000000"/>
              <w:right w:val="single" w:sz="4" w:space="0" w:color="000000"/>
            </w:tcBorders>
          </w:tcPr>
          <w:p w:rsidR="00D95F85" w:rsidRPr="00DC096B" w:rsidRDefault="00D95F85" w:rsidP="00C743FC">
            <w:pPr>
              <w:keepNext/>
              <w:tabs>
                <w:tab w:val="decimal" w:pos="885"/>
              </w:tabs>
              <w:spacing w:before="40" w:after="40"/>
              <w:jc w:val="center"/>
              <w:rPr>
                <w:b/>
                <w:i/>
              </w:rPr>
            </w:pPr>
            <w:r w:rsidRPr="00DC096B">
              <w:rPr>
                <w:b/>
                <w:i/>
              </w:rPr>
              <w:t>$ 829</w:t>
            </w:r>
          </w:p>
        </w:tc>
        <w:tc>
          <w:tcPr>
            <w:tcW w:w="1346" w:type="dxa"/>
            <w:tcBorders>
              <w:left w:val="single" w:sz="4" w:space="0" w:color="000000"/>
              <w:bottom w:val="single" w:sz="4" w:space="0" w:color="000000"/>
              <w:right w:val="single" w:sz="4" w:space="0" w:color="000000"/>
            </w:tcBorders>
          </w:tcPr>
          <w:p w:rsidR="00D95F85" w:rsidRPr="00DC096B" w:rsidRDefault="00D95F85" w:rsidP="00D95F85">
            <w:pPr>
              <w:keepNext/>
              <w:tabs>
                <w:tab w:val="decimal" w:pos="885"/>
              </w:tabs>
              <w:spacing w:before="40" w:after="40"/>
              <w:jc w:val="center"/>
              <w:rPr>
                <w:b/>
                <w:i/>
              </w:rPr>
            </w:pPr>
            <w:r w:rsidRPr="00DC096B">
              <w:rPr>
                <w:b/>
                <w:i/>
              </w:rPr>
              <w:t xml:space="preserve">$ </w:t>
            </w:r>
            <w:r>
              <w:rPr>
                <w:b/>
                <w:i/>
              </w:rPr>
              <w:t>929</w:t>
            </w:r>
          </w:p>
        </w:tc>
        <w:tc>
          <w:tcPr>
            <w:tcW w:w="1347" w:type="dxa"/>
            <w:tcBorders>
              <w:left w:val="single" w:sz="4" w:space="0" w:color="000000"/>
              <w:bottom w:val="single" w:sz="4" w:space="0" w:color="000000"/>
            </w:tcBorders>
          </w:tcPr>
          <w:p w:rsidR="00D95F85" w:rsidRPr="00DC096B" w:rsidRDefault="00D95F85" w:rsidP="00D95F85">
            <w:pPr>
              <w:keepNext/>
              <w:tabs>
                <w:tab w:val="decimal" w:pos="885"/>
              </w:tabs>
              <w:spacing w:before="40" w:after="40"/>
              <w:jc w:val="center"/>
              <w:rPr>
                <w:b/>
                <w:i/>
              </w:rPr>
            </w:pPr>
            <w:r w:rsidRPr="00DC096B">
              <w:rPr>
                <w:b/>
                <w:i/>
              </w:rPr>
              <w:t xml:space="preserve">$ </w:t>
            </w:r>
            <w:r>
              <w:rPr>
                <w:b/>
                <w:i/>
              </w:rPr>
              <w:t>631</w:t>
            </w:r>
          </w:p>
        </w:tc>
      </w:tr>
      <w:tr w:rsidR="00C743FC" w:rsidRPr="002559C5" w:rsidTr="00C743FC">
        <w:tc>
          <w:tcPr>
            <w:tcW w:w="3686" w:type="dxa"/>
          </w:tcPr>
          <w:p w:rsidR="00C743FC" w:rsidRPr="002559C5" w:rsidRDefault="00C743FC" w:rsidP="00DA1EB3">
            <w:pPr>
              <w:keepNext/>
              <w:numPr>
                <w:ilvl w:val="0"/>
                <w:numId w:val="38"/>
              </w:numPr>
              <w:spacing w:before="40" w:after="40" w:line="240" w:lineRule="auto"/>
              <w:ind w:left="318" w:hanging="318"/>
            </w:pPr>
            <w:r w:rsidRPr="002559C5">
              <w:t xml:space="preserve">Retail </w:t>
            </w:r>
          </w:p>
        </w:tc>
        <w:tc>
          <w:tcPr>
            <w:tcW w:w="1346" w:type="dxa"/>
          </w:tcPr>
          <w:p w:rsidR="00C743FC" w:rsidRPr="00DC096B" w:rsidRDefault="00C743FC" w:rsidP="00C743FC">
            <w:pPr>
              <w:keepNext/>
              <w:tabs>
                <w:tab w:val="decimal" w:pos="885"/>
              </w:tabs>
              <w:spacing w:before="40" w:after="40"/>
              <w:jc w:val="center"/>
            </w:pPr>
            <w:r w:rsidRPr="00DC096B">
              <w:t>$ 813</w:t>
            </w:r>
          </w:p>
        </w:tc>
        <w:tc>
          <w:tcPr>
            <w:tcW w:w="1347" w:type="dxa"/>
            <w:tcBorders>
              <w:top w:val="single" w:sz="4" w:space="0" w:color="000000"/>
              <w:bottom w:val="nil"/>
              <w:right w:val="nil"/>
            </w:tcBorders>
          </w:tcPr>
          <w:p w:rsidR="00C743FC" w:rsidRPr="00DC096B" w:rsidRDefault="00C743FC" w:rsidP="00C743FC">
            <w:pPr>
              <w:keepNext/>
              <w:tabs>
                <w:tab w:val="decimal" w:pos="885"/>
              </w:tabs>
              <w:spacing w:before="40" w:after="40"/>
              <w:jc w:val="center"/>
            </w:pPr>
          </w:p>
        </w:tc>
        <w:tc>
          <w:tcPr>
            <w:tcW w:w="1346" w:type="dxa"/>
            <w:tcBorders>
              <w:top w:val="single" w:sz="4" w:space="0" w:color="000000"/>
              <w:left w:val="nil"/>
              <w:bottom w:val="nil"/>
              <w:right w:val="nil"/>
            </w:tcBorders>
          </w:tcPr>
          <w:p w:rsidR="00C743FC" w:rsidRPr="00DC096B" w:rsidRDefault="00C743FC" w:rsidP="00C743FC">
            <w:pPr>
              <w:keepNext/>
              <w:tabs>
                <w:tab w:val="decimal" w:pos="884"/>
              </w:tabs>
              <w:spacing w:before="40" w:after="40"/>
            </w:pPr>
          </w:p>
        </w:tc>
        <w:tc>
          <w:tcPr>
            <w:tcW w:w="1347" w:type="dxa"/>
            <w:tcBorders>
              <w:top w:val="single" w:sz="4" w:space="0" w:color="000000"/>
              <w:left w:val="nil"/>
              <w:bottom w:val="nil"/>
            </w:tcBorders>
          </w:tcPr>
          <w:p w:rsidR="00C743FC" w:rsidRPr="00DC096B" w:rsidRDefault="00C743FC" w:rsidP="00C743FC">
            <w:pPr>
              <w:keepNext/>
              <w:tabs>
                <w:tab w:val="decimal" w:pos="600"/>
              </w:tabs>
              <w:spacing w:before="40" w:after="40"/>
              <w:jc w:val="center"/>
            </w:pPr>
          </w:p>
        </w:tc>
      </w:tr>
      <w:tr w:rsidR="00C743FC" w:rsidRPr="002559C5" w:rsidTr="00C743FC">
        <w:tc>
          <w:tcPr>
            <w:tcW w:w="3686" w:type="dxa"/>
          </w:tcPr>
          <w:p w:rsidR="00C743FC" w:rsidRPr="002559C5" w:rsidRDefault="00C743FC" w:rsidP="00C743FC">
            <w:pPr>
              <w:keepNext/>
              <w:spacing w:before="40" w:after="40"/>
              <w:ind w:left="318" w:hanging="318"/>
              <w:rPr>
                <w:b/>
                <w:i/>
              </w:rPr>
            </w:pPr>
            <w:r w:rsidRPr="002559C5">
              <w:rPr>
                <w:b/>
                <w:i/>
              </w:rPr>
              <w:t>Total Retail Bill</w:t>
            </w:r>
            <w:r>
              <w:rPr>
                <w:b/>
                <w:i/>
              </w:rPr>
              <w:t xml:space="preserve"> includes GST</w:t>
            </w:r>
          </w:p>
        </w:tc>
        <w:tc>
          <w:tcPr>
            <w:tcW w:w="1346" w:type="dxa"/>
          </w:tcPr>
          <w:p w:rsidR="00C743FC" w:rsidRPr="00DC096B" w:rsidRDefault="00C743FC" w:rsidP="00C743FC">
            <w:pPr>
              <w:keepNext/>
              <w:tabs>
                <w:tab w:val="decimal" w:pos="885"/>
              </w:tabs>
              <w:spacing w:before="40" w:after="40"/>
              <w:jc w:val="center"/>
              <w:rPr>
                <w:b/>
                <w:i/>
              </w:rPr>
            </w:pPr>
            <w:r w:rsidRPr="00DC096B">
              <w:rPr>
                <w:b/>
                <w:i/>
              </w:rPr>
              <w:t>$ 1,830</w:t>
            </w:r>
          </w:p>
        </w:tc>
        <w:tc>
          <w:tcPr>
            <w:tcW w:w="1347" w:type="dxa"/>
            <w:tcBorders>
              <w:top w:val="nil"/>
              <w:right w:val="nil"/>
            </w:tcBorders>
          </w:tcPr>
          <w:p w:rsidR="00C743FC" w:rsidRPr="00DC096B" w:rsidRDefault="00C743FC" w:rsidP="00C743FC">
            <w:pPr>
              <w:keepNext/>
              <w:tabs>
                <w:tab w:val="decimal" w:pos="885"/>
              </w:tabs>
              <w:spacing w:before="40" w:after="40"/>
              <w:jc w:val="center"/>
              <w:rPr>
                <w:b/>
                <w:i/>
              </w:rPr>
            </w:pPr>
          </w:p>
        </w:tc>
        <w:tc>
          <w:tcPr>
            <w:tcW w:w="1346" w:type="dxa"/>
            <w:tcBorders>
              <w:top w:val="nil"/>
              <w:left w:val="nil"/>
              <w:right w:val="nil"/>
            </w:tcBorders>
          </w:tcPr>
          <w:p w:rsidR="00C743FC" w:rsidRPr="00DC096B" w:rsidRDefault="00C743FC" w:rsidP="00C743FC">
            <w:pPr>
              <w:keepNext/>
              <w:tabs>
                <w:tab w:val="decimal" w:pos="885"/>
              </w:tabs>
              <w:spacing w:before="40" w:after="40"/>
              <w:jc w:val="center"/>
              <w:rPr>
                <w:b/>
                <w:i/>
              </w:rPr>
            </w:pPr>
          </w:p>
        </w:tc>
        <w:tc>
          <w:tcPr>
            <w:tcW w:w="1347" w:type="dxa"/>
            <w:tcBorders>
              <w:top w:val="nil"/>
              <w:left w:val="nil"/>
            </w:tcBorders>
          </w:tcPr>
          <w:p w:rsidR="00C743FC" w:rsidRPr="00DC096B" w:rsidRDefault="00C743FC" w:rsidP="00C743FC">
            <w:pPr>
              <w:keepNext/>
              <w:tabs>
                <w:tab w:val="decimal" w:pos="885"/>
              </w:tabs>
              <w:spacing w:before="40" w:after="40"/>
              <w:jc w:val="center"/>
              <w:rPr>
                <w:b/>
                <w:i/>
              </w:rPr>
            </w:pPr>
          </w:p>
        </w:tc>
      </w:tr>
    </w:tbl>
    <w:p w:rsidR="00926F06" w:rsidRDefault="00926F06" w:rsidP="00926F06"/>
    <w:p w:rsidR="0044594F" w:rsidRDefault="00DA1EB3" w:rsidP="0044594F">
      <w:r>
        <w:t xml:space="preserve">Note that where a typical residential customer </w:t>
      </w:r>
      <w:r w:rsidR="008E277B">
        <w:t xml:space="preserve">previously </w:t>
      </w:r>
      <w:r>
        <w:t xml:space="preserve">using 5 MWh pa has installed solar PV, their annual usage will have dropped by </w:t>
      </w:r>
      <w:r w:rsidR="00BD7786">
        <w:t xml:space="preserve">about </w:t>
      </w:r>
      <w:r>
        <w:t>20% to 4 MWh although they will still require the same network capacity for their peak summer evening demand.  A 4 MWh solar PV</w:t>
      </w:r>
      <w:r w:rsidR="00F723C9">
        <w:t xml:space="preserve"> customer’s annual network bill</w:t>
      </w:r>
      <w:r>
        <w:t xml:space="preserve"> is $729, which is 10% lower than the typical 5 MWh residential customer’s bill that uses the same capacity.</w:t>
      </w:r>
    </w:p>
    <w:p w:rsidR="00DA1EB3" w:rsidRDefault="00DA1EB3" w:rsidP="0044594F"/>
    <w:p w:rsidR="00DA1EB3" w:rsidRDefault="00BD7786" w:rsidP="0044594F">
      <w:r>
        <w:t>The AER has used a 10 MWh</w:t>
      </w:r>
      <w:r w:rsidR="00DA1EB3">
        <w:t xml:space="preserve"> small Business </w:t>
      </w:r>
      <w:r>
        <w:t xml:space="preserve">single-rate </w:t>
      </w:r>
      <w:r w:rsidR="00DA1EB3">
        <w:t xml:space="preserve">customer </w:t>
      </w:r>
      <w:r>
        <w:t xml:space="preserve">to illustrate typical small customer </w:t>
      </w:r>
      <w:r w:rsidR="00DA1EB3">
        <w:t>outcome</w:t>
      </w:r>
      <w:r>
        <w:t>s</w:t>
      </w:r>
      <w:r w:rsidR="00DA1EB3">
        <w:t>,.  The outcomes are shown below, and result in a 10% reduction to the retail bill.</w:t>
      </w:r>
    </w:p>
    <w:p w:rsidR="00DA1EB3" w:rsidRDefault="00DA1EB3" w:rsidP="0044594F"/>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417"/>
        <w:gridCol w:w="1418"/>
        <w:gridCol w:w="1417"/>
        <w:gridCol w:w="1134"/>
      </w:tblGrid>
      <w:tr w:rsidR="007C2E7C" w:rsidTr="0069779A">
        <w:tc>
          <w:tcPr>
            <w:tcW w:w="3686" w:type="dxa"/>
            <w:vMerge w:val="restart"/>
            <w:shd w:val="clear" w:color="auto" w:fill="FAB585" w:themeFill="accent3"/>
          </w:tcPr>
          <w:p w:rsidR="007C2E7C" w:rsidRDefault="007C2E7C" w:rsidP="0069779A">
            <w:pPr>
              <w:keepNext/>
              <w:spacing w:before="40" w:after="40"/>
              <w:rPr>
                <w:b/>
              </w:rPr>
            </w:pPr>
            <w:r w:rsidRPr="000A5E01">
              <w:rPr>
                <w:b/>
              </w:rPr>
              <w:t>Component of price (a)</w:t>
            </w:r>
          </w:p>
          <w:p w:rsidR="007C2E7C" w:rsidRDefault="007C2E7C" w:rsidP="0069779A">
            <w:pPr>
              <w:keepNext/>
              <w:spacing w:before="40" w:after="40"/>
              <w:rPr>
                <w:b/>
              </w:rPr>
            </w:pPr>
            <w:r>
              <w:rPr>
                <w:b/>
              </w:rPr>
              <w:t>Average Business Customer</w:t>
            </w:r>
          </w:p>
          <w:p w:rsidR="007C2E7C" w:rsidRPr="000A5E01" w:rsidRDefault="007C2E7C" w:rsidP="007C2E7C">
            <w:pPr>
              <w:keepNext/>
              <w:spacing w:before="40" w:after="40"/>
              <w:rPr>
                <w:b/>
              </w:rPr>
            </w:pPr>
            <w:r>
              <w:rPr>
                <w:b/>
              </w:rPr>
              <w:t>Using 10,000 kWh pa</w:t>
            </w:r>
          </w:p>
        </w:tc>
        <w:tc>
          <w:tcPr>
            <w:tcW w:w="1417" w:type="dxa"/>
            <w:tcBorders>
              <w:bottom w:val="nil"/>
            </w:tcBorders>
            <w:shd w:val="clear" w:color="auto" w:fill="FAB585" w:themeFill="accent3"/>
          </w:tcPr>
          <w:p w:rsidR="007C2E7C" w:rsidRPr="000A5E01" w:rsidRDefault="007C2E7C" w:rsidP="0069779A">
            <w:pPr>
              <w:keepNext/>
              <w:spacing w:before="40" w:after="40"/>
              <w:jc w:val="center"/>
              <w:rPr>
                <w:b/>
              </w:rPr>
            </w:pPr>
            <w:r>
              <w:rPr>
                <w:b/>
              </w:rPr>
              <w:t>2014/15</w:t>
            </w:r>
          </w:p>
        </w:tc>
        <w:tc>
          <w:tcPr>
            <w:tcW w:w="1418" w:type="dxa"/>
            <w:tcBorders>
              <w:bottom w:val="nil"/>
            </w:tcBorders>
            <w:shd w:val="clear" w:color="auto" w:fill="FAB585" w:themeFill="accent3"/>
          </w:tcPr>
          <w:p w:rsidR="007C2E7C" w:rsidRPr="000A5E01" w:rsidRDefault="007C2E7C" w:rsidP="0069779A">
            <w:pPr>
              <w:keepNext/>
              <w:spacing w:before="40" w:after="40"/>
              <w:jc w:val="center"/>
              <w:rPr>
                <w:b/>
              </w:rPr>
            </w:pPr>
            <w:r>
              <w:rPr>
                <w:b/>
              </w:rPr>
              <w:t>2015/16</w:t>
            </w:r>
          </w:p>
        </w:tc>
        <w:tc>
          <w:tcPr>
            <w:tcW w:w="1417" w:type="dxa"/>
            <w:tcBorders>
              <w:bottom w:val="nil"/>
            </w:tcBorders>
            <w:shd w:val="clear" w:color="auto" w:fill="FAB585" w:themeFill="accent3"/>
          </w:tcPr>
          <w:p w:rsidR="007C2E7C" w:rsidRPr="000A5E01" w:rsidRDefault="007C2E7C" w:rsidP="0069779A">
            <w:pPr>
              <w:keepNext/>
              <w:spacing w:before="40" w:after="40"/>
              <w:jc w:val="center"/>
              <w:rPr>
                <w:b/>
              </w:rPr>
            </w:pPr>
            <w:r>
              <w:rPr>
                <w:b/>
              </w:rPr>
              <w:t xml:space="preserve">(Decrease) / </w:t>
            </w:r>
            <w:r w:rsidRPr="000A5E01">
              <w:rPr>
                <w:b/>
              </w:rPr>
              <w:t>Increase</w:t>
            </w:r>
          </w:p>
        </w:tc>
        <w:tc>
          <w:tcPr>
            <w:tcW w:w="1134" w:type="dxa"/>
            <w:vMerge w:val="restart"/>
            <w:shd w:val="clear" w:color="auto" w:fill="FAB585" w:themeFill="accent3"/>
          </w:tcPr>
          <w:p w:rsidR="007C2E7C" w:rsidRPr="000A5E01" w:rsidRDefault="007C2E7C" w:rsidP="0069779A">
            <w:pPr>
              <w:keepNext/>
              <w:spacing w:before="40" w:after="40"/>
              <w:jc w:val="center"/>
              <w:rPr>
                <w:b/>
              </w:rPr>
            </w:pPr>
            <w:r w:rsidRPr="000A5E01">
              <w:rPr>
                <w:b/>
              </w:rPr>
              <w:t>Impact on retail bill</w:t>
            </w:r>
          </w:p>
        </w:tc>
      </w:tr>
      <w:tr w:rsidR="007C2E7C" w:rsidTr="0069779A">
        <w:tc>
          <w:tcPr>
            <w:tcW w:w="3686" w:type="dxa"/>
            <w:vMerge/>
            <w:shd w:val="clear" w:color="auto" w:fill="C6D9F1"/>
          </w:tcPr>
          <w:p w:rsidR="007C2E7C" w:rsidRDefault="007C2E7C" w:rsidP="0069779A">
            <w:pPr>
              <w:keepNext/>
              <w:spacing w:before="40" w:after="40"/>
              <w:ind w:left="34"/>
            </w:pPr>
          </w:p>
        </w:tc>
        <w:tc>
          <w:tcPr>
            <w:tcW w:w="1417" w:type="dxa"/>
            <w:tcBorders>
              <w:top w:val="nil"/>
            </w:tcBorders>
            <w:shd w:val="clear" w:color="auto" w:fill="FAB585" w:themeFill="accent3"/>
          </w:tcPr>
          <w:p w:rsidR="007C2E7C" w:rsidRPr="000A5E01" w:rsidRDefault="007C2E7C" w:rsidP="0069779A">
            <w:pPr>
              <w:keepNext/>
              <w:spacing w:before="40" w:after="40"/>
              <w:jc w:val="center"/>
            </w:pPr>
            <w:r w:rsidRPr="000A5E01">
              <w:t>$ per annum</w:t>
            </w:r>
          </w:p>
        </w:tc>
        <w:tc>
          <w:tcPr>
            <w:tcW w:w="1418" w:type="dxa"/>
            <w:tcBorders>
              <w:top w:val="nil"/>
            </w:tcBorders>
            <w:shd w:val="clear" w:color="auto" w:fill="FAB585" w:themeFill="accent3"/>
          </w:tcPr>
          <w:p w:rsidR="007C2E7C" w:rsidRPr="000A5E01" w:rsidRDefault="007C2E7C" w:rsidP="0069779A">
            <w:pPr>
              <w:keepNext/>
              <w:spacing w:before="40" w:after="40"/>
              <w:jc w:val="center"/>
              <w:rPr>
                <w:highlight w:val="yellow"/>
              </w:rPr>
            </w:pPr>
            <w:r w:rsidRPr="000A5E01">
              <w:t>$ per annum</w:t>
            </w:r>
          </w:p>
        </w:tc>
        <w:tc>
          <w:tcPr>
            <w:tcW w:w="1417" w:type="dxa"/>
            <w:tcBorders>
              <w:top w:val="nil"/>
              <w:right w:val="nil"/>
            </w:tcBorders>
            <w:shd w:val="clear" w:color="auto" w:fill="FAB585" w:themeFill="accent3"/>
          </w:tcPr>
          <w:p w:rsidR="007C2E7C" w:rsidRPr="000A5E01" w:rsidRDefault="007C2E7C" w:rsidP="0069779A">
            <w:pPr>
              <w:keepNext/>
              <w:spacing w:before="40" w:after="40"/>
              <w:jc w:val="center"/>
              <w:rPr>
                <w:highlight w:val="yellow"/>
              </w:rPr>
            </w:pPr>
            <w:r w:rsidRPr="000A5E01">
              <w:t>$ per annum</w:t>
            </w:r>
          </w:p>
        </w:tc>
        <w:tc>
          <w:tcPr>
            <w:tcW w:w="1134" w:type="dxa"/>
            <w:vMerge/>
            <w:shd w:val="clear" w:color="auto" w:fill="FAB585" w:themeFill="accent3"/>
          </w:tcPr>
          <w:p w:rsidR="007C2E7C" w:rsidRPr="000D73D8" w:rsidRDefault="007C2E7C" w:rsidP="0069779A">
            <w:pPr>
              <w:keepNext/>
              <w:tabs>
                <w:tab w:val="decimal" w:pos="601"/>
              </w:tabs>
              <w:spacing w:before="40" w:after="40"/>
              <w:jc w:val="center"/>
            </w:pPr>
          </w:p>
        </w:tc>
      </w:tr>
      <w:tr w:rsidR="007C2E7C" w:rsidRPr="002559C5" w:rsidTr="0069779A">
        <w:tc>
          <w:tcPr>
            <w:tcW w:w="3686" w:type="dxa"/>
          </w:tcPr>
          <w:p w:rsidR="007C2E7C" w:rsidRPr="002559C5" w:rsidRDefault="00EA36E3" w:rsidP="007C2E7C">
            <w:pPr>
              <w:keepNext/>
              <w:numPr>
                <w:ilvl w:val="0"/>
                <w:numId w:val="44"/>
              </w:numPr>
              <w:spacing w:before="40" w:after="40" w:line="240" w:lineRule="auto"/>
              <w:ind w:left="318" w:hanging="318"/>
            </w:pPr>
            <w:r>
              <w:t>SA Power Networks</w:t>
            </w:r>
            <w:r w:rsidR="007C2E7C">
              <w:t xml:space="preserve"> </w:t>
            </w:r>
            <w:r w:rsidR="007C2E7C" w:rsidRPr="002559C5">
              <w:t>D</w:t>
            </w:r>
            <w:r w:rsidR="007C2E7C">
              <w:t>UoS</w:t>
            </w:r>
            <w:r w:rsidR="007C2E7C" w:rsidRPr="002559C5">
              <w:t xml:space="preserve"> charge</w:t>
            </w:r>
          </w:p>
        </w:tc>
        <w:tc>
          <w:tcPr>
            <w:tcW w:w="1417" w:type="dxa"/>
          </w:tcPr>
          <w:p w:rsidR="007C2E7C" w:rsidRPr="00DC096B" w:rsidRDefault="007C2E7C" w:rsidP="007C2E7C">
            <w:pPr>
              <w:keepNext/>
              <w:tabs>
                <w:tab w:val="decimal" w:pos="885"/>
              </w:tabs>
              <w:spacing w:before="40" w:after="40"/>
              <w:jc w:val="center"/>
            </w:pPr>
            <w:r w:rsidRPr="00DC096B">
              <w:t xml:space="preserve">$ </w:t>
            </w:r>
            <w:r>
              <w:t>1,362</w:t>
            </w:r>
          </w:p>
        </w:tc>
        <w:tc>
          <w:tcPr>
            <w:tcW w:w="1418" w:type="dxa"/>
          </w:tcPr>
          <w:p w:rsidR="007C2E7C" w:rsidRPr="00DC096B" w:rsidRDefault="007C2E7C" w:rsidP="007C2E7C">
            <w:pPr>
              <w:keepNext/>
              <w:tabs>
                <w:tab w:val="decimal" w:pos="885"/>
              </w:tabs>
              <w:spacing w:before="40" w:after="40"/>
              <w:jc w:val="center"/>
            </w:pPr>
            <w:r w:rsidRPr="00DC096B">
              <w:t xml:space="preserve">$ </w:t>
            </w:r>
            <w:r>
              <w:t>1,082</w:t>
            </w:r>
          </w:p>
        </w:tc>
        <w:tc>
          <w:tcPr>
            <w:tcW w:w="1417" w:type="dxa"/>
            <w:tcBorders>
              <w:right w:val="nil"/>
            </w:tcBorders>
          </w:tcPr>
          <w:p w:rsidR="007C2E7C" w:rsidRPr="00DC096B" w:rsidRDefault="007C2E7C" w:rsidP="007C2E7C">
            <w:pPr>
              <w:keepNext/>
              <w:tabs>
                <w:tab w:val="decimal" w:pos="884"/>
              </w:tabs>
              <w:spacing w:before="40" w:after="40"/>
              <w:jc w:val="center"/>
            </w:pPr>
            <w:r w:rsidRPr="00DC096B">
              <w:t xml:space="preserve">-$ </w:t>
            </w:r>
            <w:r>
              <w:t>279</w:t>
            </w:r>
          </w:p>
        </w:tc>
        <w:tc>
          <w:tcPr>
            <w:tcW w:w="1134" w:type="dxa"/>
          </w:tcPr>
          <w:p w:rsidR="007C2E7C" w:rsidRPr="00DC096B" w:rsidRDefault="007C2E7C" w:rsidP="007C2E7C">
            <w:pPr>
              <w:keepNext/>
              <w:tabs>
                <w:tab w:val="decimal" w:pos="600"/>
              </w:tabs>
              <w:spacing w:before="40" w:after="40"/>
            </w:pPr>
            <w:r w:rsidRPr="00DC096B">
              <w:t>-</w:t>
            </w:r>
            <w:r>
              <w:t>7</w:t>
            </w:r>
            <w:r w:rsidRPr="00DC096B">
              <w:t>.</w:t>
            </w:r>
            <w:r>
              <w:t>6</w:t>
            </w:r>
            <w:r w:rsidRPr="00DC096B">
              <w:t>%</w:t>
            </w:r>
          </w:p>
        </w:tc>
      </w:tr>
      <w:tr w:rsidR="007C2E7C" w:rsidRPr="002559C5" w:rsidTr="0069779A">
        <w:tc>
          <w:tcPr>
            <w:tcW w:w="3686" w:type="dxa"/>
          </w:tcPr>
          <w:p w:rsidR="007C2E7C" w:rsidRPr="002559C5" w:rsidRDefault="007C2E7C" w:rsidP="007C2E7C">
            <w:pPr>
              <w:keepNext/>
              <w:numPr>
                <w:ilvl w:val="0"/>
                <w:numId w:val="44"/>
              </w:numPr>
              <w:spacing w:before="40" w:after="40" w:line="240" w:lineRule="auto"/>
              <w:ind w:left="318" w:hanging="318"/>
            </w:pPr>
            <w:r w:rsidRPr="002559C5">
              <w:t>Transmission charge(c )</w:t>
            </w:r>
          </w:p>
        </w:tc>
        <w:tc>
          <w:tcPr>
            <w:tcW w:w="1417" w:type="dxa"/>
          </w:tcPr>
          <w:p w:rsidR="007C2E7C" w:rsidRPr="00DC096B" w:rsidRDefault="007C2E7C" w:rsidP="007C2E7C">
            <w:pPr>
              <w:keepNext/>
              <w:tabs>
                <w:tab w:val="decimal" w:pos="885"/>
              </w:tabs>
              <w:spacing w:before="40" w:after="40"/>
              <w:jc w:val="center"/>
            </w:pPr>
            <w:r w:rsidRPr="00DC096B">
              <w:t xml:space="preserve">$ </w:t>
            </w:r>
            <w:r>
              <w:t>34</w:t>
            </w:r>
            <w:r w:rsidRPr="00DC096B">
              <w:t>0</w:t>
            </w:r>
          </w:p>
        </w:tc>
        <w:tc>
          <w:tcPr>
            <w:tcW w:w="1418" w:type="dxa"/>
          </w:tcPr>
          <w:p w:rsidR="007C2E7C" w:rsidRPr="00DC096B" w:rsidRDefault="007C2E7C" w:rsidP="007C2E7C">
            <w:pPr>
              <w:keepNext/>
              <w:tabs>
                <w:tab w:val="decimal" w:pos="885"/>
              </w:tabs>
              <w:spacing w:before="40" w:after="40"/>
              <w:jc w:val="center"/>
            </w:pPr>
            <w:r w:rsidRPr="00DC096B">
              <w:t xml:space="preserve">$ </w:t>
            </w:r>
            <w:r>
              <w:t>330</w:t>
            </w:r>
          </w:p>
        </w:tc>
        <w:tc>
          <w:tcPr>
            <w:tcW w:w="1417" w:type="dxa"/>
            <w:tcBorders>
              <w:right w:val="nil"/>
            </w:tcBorders>
          </w:tcPr>
          <w:p w:rsidR="007C2E7C" w:rsidRPr="00DC096B" w:rsidRDefault="007C2E7C" w:rsidP="007C2E7C">
            <w:pPr>
              <w:keepNext/>
              <w:tabs>
                <w:tab w:val="decimal" w:pos="884"/>
              </w:tabs>
              <w:spacing w:before="40" w:after="40"/>
              <w:jc w:val="center"/>
            </w:pPr>
            <w:r>
              <w:t>-</w:t>
            </w:r>
            <w:r w:rsidRPr="00DC096B">
              <w:t xml:space="preserve">$ </w:t>
            </w:r>
            <w:r>
              <w:t>10</w:t>
            </w:r>
          </w:p>
        </w:tc>
        <w:tc>
          <w:tcPr>
            <w:tcW w:w="1134" w:type="dxa"/>
          </w:tcPr>
          <w:p w:rsidR="007C2E7C" w:rsidRPr="00DC096B" w:rsidRDefault="007C2E7C" w:rsidP="0069779A">
            <w:pPr>
              <w:keepNext/>
              <w:tabs>
                <w:tab w:val="decimal" w:pos="600"/>
              </w:tabs>
              <w:spacing w:before="40" w:after="40"/>
            </w:pPr>
            <w:r>
              <w:t>-0.3</w:t>
            </w:r>
            <w:r w:rsidRPr="00DC096B">
              <w:t>%</w:t>
            </w:r>
          </w:p>
        </w:tc>
      </w:tr>
      <w:tr w:rsidR="007C2E7C" w:rsidRPr="002559C5" w:rsidTr="0069779A">
        <w:tc>
          <w:tcPr>
            <w:tcW w:w="3686" w:type="dxa"/>
          </w:tcPr>
          <w:p w:rsidR="007C2E7C" w:rsidRPr="002559C5" w:rsidRDefault="007C2E7C" w:rsidP="007C2E7C">
            <w:pPr>
              <w:keepNext/>
              <w:numPr>
                <w:ilvl w:val="0"/>
                <w:numId w:val="44"/>
              </w:numPr>
              <w:spacing w:before="40" w:after="40" w:line="240" w:lineRule="auto"/>
              <w:ind w:left="318" w:hanging="318"/>
            </w:pPr>
            <w:r w:rsidRPr="002559C5">
              <w:t>Jurisdictional Scheme Amount (PV)</w:t>
            </w:r>
          </w:p>
        </w:tc>
        <w:tc>
          <w:tcPr>
            <w:tcW w:w="1417" w:type="dxa"/>
          </w:tcPr>
          <w:p w:rsidR="007C2E7C" w:rsidRPr="00DC096B" w:rsidRDefault="007C2E7C" w:rsidP="007C2E7C">
            <w:pPr>
              <w:keepNext/>
              <w:tabs>
                <w:tab w:val="decimal" w:pos="885"/>
              </w:tabs>
              <w:spacing w:before="40" w:after="40"/>
              <w:jc w:val="center"/>
            </w:pPr>
            <w:r w:rsidRPr="00DC096B">
              <w:t xml:space="preserve">$ </w:t>
            </w:r>
            <w:r>
              <w:t>24</w:t>
            </w:r>
            <w:r w:rsidRPr="00DC096B">
              <w:t>8</w:t>
            </w:r>
          </w:p>
        </w:tc>
        <w:tc>
          <w:tcPr>
            <w:tcW w:w="1418" w:type="dxa"/>
          </w:tcPr>
          <w:p w:rsidR="007C2E7C" w:rsidRPr="00DC096B" w:rsidRDefault="007C2E7C" w:rsidP="007C2E7C">
            <w:pPr>
              <w:keepNext/>
              <w:tabs>
                <w:tab w:val="decimal" w:pos="885"/>
              </w:tabs>
              <w:spacing w:before="40" w:after="40"/>
              <w:jc w:val="center"/>
            </w:pPr>
            <w:r w:rsidRPr="00DC096B">
              <w:t xml:space="preserve">$ </w:t>
            </w:r>
            <w:r>
              <w:t>186</w:t>
            </w:r>
          </w:p>
        </w:tc>
        <w:tc>
          <w:tcPr>
            <w:tcW w:w="1417" w:type="dxa"/>
            <w:tcBorders>
              <w:right w:val="nil"/>
            </w:tcBorders>
          </w:tcPr>
          <w:p w:rsidR="007C2E7C" w:rsidRPr="00DC096B" w:rsidRDefault="007C2E7C" w:rsidP="007C2E7C">
            <w:pPr>
              <w:keepNext/>
              <w:tabs>
                <w:tab w:val="decimal" w:pos="884"/>
              </w:tabs>
              <w:spacing w:before="40" w:after="40"/>
              <w:jc w:val="center"/>
            </w:pPr>
            <w:r w:rsidRPr="00DC096B">
              <w:t xml:space="preserve">-$ </w:t>
            </w:r>
            <w:r>
              <w:t>61</w:t>
            </w:r>
          </w:p>
        </w:tc>
        <w:tc>
          <w:tcPr>
            <w:tcW w:w="1134" w:type="dxa"/>
          </w:tcPr>
          <w:p w:rsidR="007C2E7C" w:rsidRPr="00DC096B" w:rsidRDefault="007C2E7C" w:rsidP="007C2E7C">
            <w:pPr>
              <w:keepNext/>
              <w:tabs>
                <w:tab w:val="decimal" w:pos="600"/>
              </w:tabs>
              <w:spacing w:before="40" w:after="40"/>
            </w:pPr>
            <w:r w:rsidRPr="00DC096B">
              <w:t>-1.</w:t>
            </w:r>
            <w:r>
              <w:t>7</w:t>
            </w:r>
            <w:r w:rsidRPr="00DC096B">
              <w:t>%</w:t>
            </w:r>
          </w:p>
        </w:tc>
      </w:tr>
      <w:tr w:rsidR="007C2E7C" w:rsidRPr="002559C5" w:rsidTr="0069779A">
        <w:tc>
          <w:tcPr>
            <w:tcW w:w="3686" w:type="dxa"/>
          </w:tcPr>
          <w:p w:rsidR="007C2E7C" w:rsidRPr="002559C5" w:rsidRDefault="007C2E7C" w:rsidP="0069779A">
            <w:pPr>
              <w:keepNext/>
              <w:spacing w:before="40" w:after="40"/>
              <w:ind w:left="318" w:hanging="318"/>
              <w:rPr>
                <w:b/>
                <w:i/>
              </w:rPr>
            </w:pPr>
            <w:r w:rsidRPr="002559C5">
              <w:rPr>
                <w:b/>
                <w:i/>
              </w:rPr>
              <w:t>Total Networks charges</w:t>
            </w:r>
          </w:p>
        </w:tc>
        <w:tc>
          <w:tcPr>
            <w:tcW w:w="1417" w:type="dxa"/>
          </w:tcPr>
          <w:p w:rsidR="007C2E7C" w:rsidRPr="00DC096B" w:rsidRDefault="007C2E7C" w:rsidP="007C2E7C">
            <w:pPr>
              <w:keepNext/>
              <w:tabs>
                <w:tab w:val="decimal" w:pos="885"/>
              </w:tabs>
              <w:spacing w:before="40" w:after="40"/>
              <w:jc w:val="center"/>
              <w:rPr>
                <w:b/>
                <w:i/>
              </w:rPr>
            </w:pPr>
            <w:r w:rsidRPr="00DC096B">
              <w:rPr>
                <w:b/>
                <w:i/>
              </w:rPr>
              <w:t xml:space="preserve">$ </w:t>
            </w:r>
            <w:r>
              <w:rPr>
                <w:b/>
                <w:i/>
              </w:rPr>
              <w:t>1,949</w:t>
            </w:r>
          </w:p>
        </w:tc>
        <w:tc>
          <w:tcPr>
            <w:tcW w:w="1418" w:type="dxa"/>
            <w:tcBorders>
              <w:bottom w:val="single" w:sz="4" w:space="0" w:color="000000"/>
            </w:tcBorders>
          </w:tcPr>
          <w:p w:rsidR="007C2E7C" w:rsidRPr="00DC096B" w:rsidRDefault="007C2E7C" w:rsidP="007C2E7C">
            <w:pPr>
              <w:keepNext/>
              <w:tabs>
                <w:tab w:val="decimal" w:pos="885"/>
              </w:tabs>
              <w:spacing w:before="40" w:after="40"/>
              <w:jc w:val="center"/>
              <w:rPr>
                <w:b/>
                <w:i/>
              </w:rPr>
            </w:pPr>
            <w:r w:rsidRPr="00DC096B">
              <w:rPr>
                <w:b/>
                <w:i/>
              </w:rPr>
              <w:t xml:space="preserve">$ </w:t>
            </w:r>
            <w:r>
              <w:rPr>
                <w:b/>
                <w:i/>
              </w:rPr>
              <w:t>1,598</w:t>
            </w:r>
          </w:p>
        </w:tc>
        <w:tc>
          <w:tcPr>
            <w:tcW w:w="1417" w:type="dxa"/>
            <w:tcBorders>
              <w:bottom w:val="single" w:sz="4" w:space="0" w:color="000000"/>
              <w:right w:val="nil"/>
            </w:tcBorders>
          </w:tcPr>
          <w:p w:rsidR="007C2E7C" w:rsidRPr="00DC096B" w:rsidRDefault="007C2E7C" w:rsidP="007C2E7C">
            <w:pPr>
              <w:keepNext/>
              <w:tabs>
                <w:tab w:val="decimal" w:pos="885"/>
              </w:tabs>
              <w:spacing w:before="40" w:after="40"/>
              <w:jc w:val="center"/>
              <w:rPr>
                <w:b/>
                <w:i/>
              </w:rPr>
            </w:pPr>
            <w:r w:rsidRPr="00DC096B">
              <w:rPr>
                <w:b/>
                <w:i/>
              </w:rPr>
              <w:t xml:space="preserve">-$ </w:t>
            </w:r>
            <w:r>
              <w:rPr>
                <w:b/>
                <w:i/>
              </w:rPr>
              <w:t>351</w:t>
            </w:r>
          </w:p>
        </w:tc>
        <w:tc>
          <w:tcPr>
            <w:tcW w:w="1134" w:type="dxa"/>
            <w:tcBorders>
              <w:bottom w:val="single" w:sz="4" w:space="0" w:color="000000"/>
            </w:tcBorders>
          </w:tcPr>
          <w:p w:rsidR="007C2E7C" w:rsidRPr="00DC096B" w:rsidRDefault="007C2E7C" w:rsidP="0069779A">
            <w:pPr>
              <w:keepNext/>
              <w:tabs>
                <w:tab w:val="decimal" w:pos="885"/>
              </w:tabs>
              <w:spacing w:before="40" w:after="40"/>
              <w:jc w:val="center"/>
              <w:rPr>
                <w:b/>
                <w:i/>
              </w:rPr>
            </w:pPr>
            <w:r w:rsidRPr="00DC096B">
              <w:rPr>
                <w:b/>
                <w:i/>
              </w:rPr>
              <w:t>-9.6%</w:t>
            </w:r>
          </w:p>
        </w:tc>
      </w:tr>
      <w:tr w:rsidR="007C2E7C" w:rsidRPr="002559C5" w:rsidTr="0069779A">
        <w:tc>
          <w:tcPr>
            <w:tcW w:w="3686" w:type="dxa"/>
          </w:tcPr>
          <w:p w:rsidR="007C2E7C" w:rsidRPr="002559C5" w:rsidRDefault="007C2E7C" w:rsidP="007C2E7C">
            <w:pPr>
              <w:keepNext/>
              <w:numPr>
                <w:ilvl w:val="0"/>
                <w:numId w:val="44"/>
              </w:numPr>
              <w:spacing w:before="40" w:after="40" w:line="240" w:lineRule="auto"/>
              <w:ind w:left="318" w:hanging="318"/>
            </w:pPr>
            <w:r>
              <w:t>Metering (</w:t>
            </w:r>
            <w:r w:rsidR="001B6579">
              <w:t>Alternative control</w:t>
            </w:r>
            <w:r>
              <w:t>)</w:t>
            </w:r>
          </w:p>
        </w:tc>
        <w:tc>
          <w:tcPr>
            <w:tcW w:w="1417" w:type="dxa"/>
          </w:tcPr>
          <w:p w:rsidR="007C2E7C" w:rsidRPr="00DC096B" w:rsidRDefault="007C2E7C" w:rsidP="0069779A">
            <w:pPr>
              <w:keepNext/>
              <w:tabs>
                <w:tab w:val="decimal" w:pos="885"/>
              </w:tabs>
              <w:spacing w:before="40" w:after="40"/>
              <w:jc w:val="center"/>
            </w:pPr>
            <w:r w:rsidRPr="00DC096B">
              <w:t>$ 36</w:t>
            </w:r>
          </w:p>
        </w:tc>
        <w:tc>
          <w:tcPr>
            <w:tcW w:w="1418" w:type="dxa"/>
            <w:tcBorders>
              <w:bottom w:val="single" w:sz="4" w:space="0" w:color="000000"/>
              <w:right w:val="single" w:sz="4" w:space="0" w:color="000000"/>
            </w:tcBorders>
          </w:tcPr>
          <w:p w:rsidR="007C2E7C" w:rsidRPr="00DC096B" w:rsidRDefault="007C2E7C" w:rsidP="0069779A">
            <w:pPr>
              <w:keepNext/>
              <w:tabs>
                <w:tab w:val="decimal" w:pos="885"/>
              </w:tabs>
              <w:spacing w:before="40" w:after="40"/>
              <w:jc w:val="center"/>
            </w:pPr>
            <w:r w:rsidRPr="00DC096B">
              <w:t>$ 23</w:t>
            </w:r>
          </w:p>
        </w:tc>
        <w:tc>
          <w:tcPr>
            <w:tcW w:w="1417" w:type="dxa"/>
            <w:tcBorders>
              <w:left w:val="single" w:sz="4" w:space="0" w:color="000000"/>
              <w:bottom w:val="single" w:sz="4" w:space="0" w:color="000000"/>
              <w:right w:val="single" w:sz="4" w:space="0" w:color="000000"/>
            </w:tcBorders>
          </w:tcPr>
          <w:p w:rsidR="007C2E7C" w:rsidRPr="00DC096B" w:rsidRDefault="007C2E7C" w:rsidP="0069779A">
            <w:pPr>
              <w:keepNext/>
              <w:tabs>
                <w:tab w:val="decimal" w:pos="884"/>
              </w:tabs>
              <w:spacing w:before="40" w:after="40"/>
              <w:jc w:val="center"/>
            </w:pPr>
            <w:r w:rsidRPr="00DC096B">
              <w:t>-$ 13</w:t>
            </w:r>
          </w:p>
        </w:tc>
        <w:tc>
          <w:tcPr>
            <w:tcW w:w="1134" w:type="dxa"/>
            <w:tcBorders>
              <w:left w:val="single" w:sz="4" w:space="0" w:color="000000"/>
              <w:bottom w:val="single" w:sz="4" w:space="0" w:color="000000"/>
            </w:tcBorders>
          </w:tcPr>
          <w:p w:rsidR="007C2E7C" w:rsidRPr="00DC096B" w:rsidRDefault="007C2E7C" w:rsidP="007C2E7C">
            <w:pPr>
              <w:keepNext/>
              <w:tabs>
                <w:tab w:val="decimal" w:pos="600"/>
              </w:tabs>
              <w:spacing w:before="40" w:after="40"/>
              <w:jc w:val="center"/>
            </w:pPr>
            <w:r w:rsidRPr="00DC096B">
              <w:t>-0.</w:t>
            </w:r>
            <w:r>
              <w:t>4</w:t>
            </w:r>
            <w:r w:rsidRPr="00DC096B">
              <w:t>%</w:t>
            </w:r>
          </w:p>
        </w:tc>
      </w:tr>
      <w:tr w:rsidR="007C2E7C" w:rsidRPr="00DC096B" w:rsidTr="0069779A">
        <w:tc>
          <w:tcPr>
            <w:tcW w:w="3686" w:type="dxa"/>
          </w:tcPr>
          <w:p w:rsidR="007C2E7C" w:rsidRPr="00DC096B" w:rsidRDefault="007C2E7C" w:rsidP="0069779A">
            <w:pPr>
              <w:keepNext/>
              <w:spacing w:before="40" w:after="40"/>
              <w:ind w:left="318" w:hanging="318"/>
              <w:rPr>
                <w:b/>
                <w:i/>
              </w:rPr>
            </w:pPr>
            <w:r w:rsidRPr="00DC096B">
              <w:rPr>
                <w:b/>
                <w:i/>
              </w:rPr>
              <w:t>Total Regulated charges</w:t>
            </w:r>
          </w:p>
        </w:tc>
        <w:tc>
          <w:tcPr>
            <w:tcW w:w="1417" w:type="dxa"/>
          </w:tcPr>
          <w:p w:rsidR="007C2E7C" w:rsidRPr="00DC096B" w:rsidRDefault="007C2E7C" w:rsidP="007C2E7C">
            <w:pPr>
              <w:keepNext/>
              <w:tabs>
                <w:tab w:val="decimal" w:pos="885"/>
              </w:tabs>
              <w:spacing w:before="40" w:after="40"/>
              <w:jc w:val="center"/>
              <w:rPr>
                <w:b/>
                <w:i/>
              </w:rPr>
            </w:pPr>
            <w:r w:rsidRPr="00DC096B">
              <w:rPr>
                <w:b/>
                <w:i/>
              </w:rPr>
              <w:t>$ 1,</w:t>
            </w:r>
            <w:r>
              <w:rPr>
                <w:b/>
                <w:i/>
              </w:rPr>
              <w:t>985</w:t>
            </w:r>
          </w:p>
        </w:tc>
        <w:tc>
          <w:tcPr>
            <w:tcW w:w="1418" w:type="dxa"/>
            <w:tcBorders>
              <w:bottom w:val="single" w:sz="4" w:space="0" w:color="000000"/>
              <w:right w:val="single" w:sz="4" w:space="0" w:color="000000"/>
            </w:tcBorders>
          </w:tcPr>
          <w:p w:rsidR="007C2E7C" w:rsidRPr="00DC096B" w:rsidRDefault="007C2E7C" w:rsidP="007C2E7C">
            <w:pPr>
              <w:keepNext/>
              <w:tabs>
                <w:tab w:val="decimal" w:pos="885"/>
              </w:tabs>
              <w:spacing w:before="40" w:after="40"/>
              <w:jc w:val="center"/>
              <w:rPr>
                <w:b/>
                <w:i/>
              </w:rPr>
            </w:pPr>
            <w:r w:rsidRPr="00DC096B">
              <w:rPr>
                <w:b/>
                <w:i/>
              </w:rPr>
              <w:t xml:space="preserve">$ </w:t>
            </w:r>
            <w:r>
              <w:rPr>
                <w:b/>
                <w:i/>
              </w:rPr>
              <w:t>1,621</w:t>
            </w:r>
          </w:p>
        </w:tc>
        <w:tc>
          <w:tcPr>
            <w:tcW w:w="1417" w:type="dxa"/>
            <w:tcBorders>
              <w:left w:val="single" w:sz="4" w:space="0" w:color="000000"/>
              <w:bottom w:val="single" w:sz="4" w:space="0" w:color="000000"/>
              <w:right w:val="single" w:sz="4" w:space="0" w:color="000000"/>
            </w:tcBorders>
          </w:tcPr>
          <w:p w:rsidR="007C2E7C" w:rsidRPr="00DC096B" w:rsidRDefault="007C2E7C" w:rsidP="007C2E7C">
            <w:pPr>
              <w:keepNext/>
              <w:tabs>
                <w:tab w:val="decimal" w:pos="885"/>
              </w:tabs>
              <w:spacing w:before="40" w:after="40"/>
              <w:jc w:val="center"/>
              <w:rPr>
                <w:b/>
                <w:i/>
              </w:rPr>
            </w:pPr>
            <w:r w:rsidRPr="00DC096B">
              <w:rPr>
                <w:b/>
                <w:i/>
              </w:rPr>
              <w:t xml:space="preserve">-$ </w:t>
            </w:r>
            <w:r>
              <w:rPr>
                <w:b/>
                <w:i/>
              </w:rPr>
              <w:t>364</w:t>
            </w:r>
          </w:p>
        </w:tc>
        <w:tc>
          <w:tcPr>
            <w:tcW w:w="1134" w:type="dxa"/>
            <w:tcBorders>
              <w:left w:val="single" w:sz="4" w:space="0" w:color="000000"/>
              <w:bottom w:val="single" w:sz="4" w:space="0" w:color="000000"/>
            </w:tcBorders>
          </w:tcPr>
          <w:p w:rsidR="007C2E7C" w:rsidRPr="00DC096B" w:rsidRDefault="007C2E7C" w:rsidP="007C2E7C">
            <w:pPr>
              <w:keepNext/>
              <w:tabs>
                <w:tab w:val="decimal" w:pos="885"/>
              </w:tabs>
              <w:spacing w:before="40" w:after="40"/>
              <w:jc w:val="center"/>
              <w:rPr>
                <w:b/>
                <w:i/>
              </w:rPr>
            </w:pPr>
            <w:r w:rsidRPr="00DC096B">
              <w:rPr>
                <w:b/>
                <w:i/>
              </w:rPr>
              <w:t>-</w:t>
            </w:r>
            <w:r>
              <w:rPr>
                <w:b/>
                <w:i/>
              </w:rPr>
              <w:t>9.9</w:t>
            </w:r>
            <w:r w:rsidRPr="00DC096B">
              <w:rPr>
                <w:b/>
                <w:i/>
              </w:rPr>
              <w:t>%</w:t>
            </w:r>
          </w:p>
        </w:tc>
      </w:tr>
      <w:tr w:rsidR="007C2E7C" w:rsidRPr="002559C5" w:rsidTr="0069779A">
        <w:tc>
          <w:tcPr>
            <w:tcW w:w="3686" w:type="dxa"/>
          </w:tcPr>
          <w:p w:rsidR="007C2E7C" w:rsidRPr="002559C5" w:rsidRDefault="007C2E7C" w:rsidP="007C2E7C">
            <w:pPr>
              <w:keepNext/>
              <w:numPr>
                <w:ilvl w:val="0"/>
                <w:numId w:val="44"/>
              </w:numPr>
              <w:spacing w:before="40" w:after="40" w:line="240" w:lineRule="auto"/>
              <w:ind w:left="318" w:hanging="318"/>
            </w:pPr>
            <w:r w:rsidRPr="002559C5">
              <w:t>Retail (b)</w:t>
            </w:r>
          </w:p>
        </w:tc>
        <w:tc>
          <w:tcPr>
            <w:tcW w:w="1417" w:type="dxa"/>
          </w:tcPr>
          <w:p w:rsidR="007C2E7C" w:rsidRPr="00DC096B" w:rsidRDefault="007C2E7C" w:rsidP="007C2E7C">
            <w:pPr>
              <w:keepNext/>
              <w:tabs>
                <w:tab w:val="decimal" w:pos="885"/>
              </w:tabs>
              <w:spacing w:before="40" w:after="40"/>
              <w:jc w:val="center"/>
            </w:pPr>
            <w:r w:rsidRPr="00DC096B">
              <w:t xml:space="preserve">$ </w:t>
            </w:r>
            <w:r>
              <w:t>1,678</w:t>
            </w:r>
          </w:p>
        </w:tc>
        <w:tc>
          <w:tcPr>
            <w:tcW w:w="1418" w:type="dxa"/>
            <w:tcBorders>
              <w:top w:val="single" w:sz="4" w:space="0" w:color="000000"/>
              <w:bottom w:val="nil"/>
              <w:right w:val="nil"/>
            </w:tcBorders>
          </w:tcPr>
          <w:p w:rsidR="007C2E7C" w:rsidRPr="00DC096B" w:rsidRDefault="007C2E7C" w:rsidP="0069779A">
            <w:pPr>
              <w:keepNext/>
              <w:tabs>
                <w:tab w:val="decimal" w:pos="885"/>
              </w:tabs>
              <w:spacing w:before="40" w:after="40"/>
              <w:jc w:val="center"/>
            </w:pPr>
          </w:p>
        </w:tc>
        <w:tc>
          <w:tcPr>
            <w:tcW w:w="1417" w:type="dxa"/>
            <w:tcBorders>
              <w:top w:val="single" w:sz="4" w:space="0" w:color="000000"/>
              <w:left w:val="nil"/>
              <w:bottom w:val="nil"/>
              <w:right w:val="nil"/>
            </w:tcBorders>
          </w:tcPr>
          <w:p w:rsidR="007C2E7C" w:rsidRPr="00DC096B" w:rsidRDefault="007C2E7C" w:rsidP="0069779A">
            <w:pPr>
              <w:keepNext/>
              <w:tabs>
                <w:tab w:val="decimal" w:pos="884"/>
              </w:tabs>
              <w:spacing w:before="40" w:after="40"/>
            </w:pPr>
          </w:p>
        </w:tc>
        <w:tc>
          <w:tcPr>
            <w:tcW w:w="1134" w:type="dxa"/>
            <w:tcBorders>
              <w:top w:val="single" w:sz="4" w:space="0" w:color="000000"/>
              <w:left w:val="nil"/>
              <w:bottom w:val="nil"/>
            </w:tcBorders>
          </w:tcPr>
          <w:p w:rsidR="007C2E7C" w:rsidRPr="00DC096B" w:rsidRDefault="007C2E7C" w:rsidP="0069779A">
            <w:pPr>
              <w:keepNext/>
              <w:tabs>
                <w:tab w:val="decimal" w:pos="600"/>
              </w:tabs>
              <w:spacing w:before="40" w:after="40"/>
              <w:jc w:val="center"/>
            </w:pPr>
          </w:p>
        </w:tc>
      </w:tr>
      <w:tr w:rsidR="007C2E7C" w:rsidRPr="002559C5" w:rsidTr="0069779A">
        <w:tc>
          <w:tcPr>
            <w:tcW w:w="3686" w:type="dxa"/>
          </w:tcPr>
          <w:p w:rsidR="007C2E7C" w:rsidRPr="002559C5" w:rsidRDefault="007C2E7C" w:rsidP="0069779A">
            <w:pPr>
              <w:keepNext/>
              <w:spacing w:before="40" w:after="40"/>
              <w:ind w:left="318" w:hanging="318"/>
              <w:rPr>
                <w:b/>
                <w:i/>
              </w:rPr>
            </w:pPr>
            <w:r w:rsidRPr="002559C5">
              <w:rPr>
                <w:b/>
                <w:i/>
              </w:rPr>
              <w:t>Total Retail Bill</w:t>
            </w:r>
            <w:r>
              <w:rPr>
                <w:b/>
                <w:i/>
              </w:rPr>
              <w:t xml:space="preserve"> includes GST</w:t>
            </w:r>
          </w:p>
        </w:tc>
        <w:tc>
          <w:tcPr>
            <w:tcW w:w="1417" w:type="dxa"/>
          </w:tcPr>
          <w:p w:rsidR="007C2E7C" w:rsidRPr="00DC096B" w:rsidRDefault="007C2E7C" w:rsidP="007C2E7C">
            <w:pPr>
              <w:keepNext/>
              <w:tabs>
                <w:tab w:val="decimal" w:pos="885"/>
              </w:tabs>
              <w:spacing w:before="40" w:after="40"/>
              <w:jc w:val="center"/>
              <w:rPr>
                <w:b/>
                <w:i/>
              </w:rPr>
            </w:pPr>
            <w:r w:rsidRPr="00DC096B">
              <w:rPr>
                <w:b/>
                <w:i/>
              </w:rPr>
              <w:t xml:space="preserve">$ </w:t>
            </w:r>
            <w:r>
              <w:rPr>
                <w:b/>
                <w:i/>
              </w:rPr>
              <w:t>3,663</w:t>
            </w:r>
          </w:p>
        </w:tc>
        <w:tc>
          <w:tcPr>
            <w:tcW w:w="1418" w:type="dxa"/>
            <w:tcBorders>
              <w:top w:val="nil"/>
              <w:right w:val="nil"/>
            </w:tcBorders>
          </w:tcPr>
          <w:p w:rsidR="007C2E7C" w:rsidRPr="00DC096B" w:rsidRDefault="007C2E7C" w:rsidP="0069779A">
            <w:pPr>
              <w:keepNext/>
              <w:tabs>
                <w:tab w:val="decimal" w:pos="885"/>
              </w:tabs>
              <w:spacing w:before="40" w:after="40"/>
              <w:jc w:val="center"/>
              <w:rPr>
                <w:b/>
                <w:i/>
              </w:rPr>
            </w:pPr>
          </w:p>
        </w:tc>
        <w:tc>
          <w:tcPr>
            <w:tcW w:w="1417" w:type="dxa"/>
            <w:tcBorders>
              <w:top w:val="nil"/>
              <w:left w:val="nil"/>
              <w:right w:val="nil"/>
            </w:tcBorders>
          </w:tcPr>
          <w:p w:rsidR="007C2E7C" w:rsidRPr="00DC096B" w:rsidRDefault="007C2E7C" w:rsidP="0069779A">
            <w:pPr>
              <w:keepNext/>
              <w:tabs>
                <w:tab w:val="decimal" w:pos="885"/>
              </w:tabs>
              <w:spacing w:before="40" w:after="40"/>
              <w:jc w:val="center"/>
              <w:rPr>
                <w:b/>
                <w:i/>
              </w:rPr>
            </w:pPr>
          </w:p>
        </w:tc>
        <w:tc>
          <w:tcPr>
            <w:tcW w:w="1134" w:type="dxa"/>
            <w:tcBorders>
              <w:top w:val="nil"/>
              <w:left w:val="nil"/>
            </w:tcBorders>
          </w:tcPr>
          <w:p w:rsidR="007C2E7C" w:rsidRPr="00DC096B" w:rsidRDefault="007C2E7C" w:rsidP="0069779A">
            <w:pPr>
              <w:keepNext/>
              <w:tabs>
                <w:tab w:val="decimal" w:pos="885"/>
              </w:tabs>
              <w:spacing w:before="40" w:after="40"/>
              <w:jc w:val="center"/>
              <w:rPr>
                <w:b/>
                <w:i/>
              </w:rPr>
            </w:pPr>
          </w:p>
        </w:tc>
      </w:tr>
      <w:tr w:rsidR="007C2E7C" w:rsidRPr="00142B7D" w:rsidTr="0069779A">
        <w:tc>
          <w:tcPr>
            <w:tcW w:w="9072" w:type="dxa"/>
            <w:gridSpan w:val="5"/>
          </w:tcPr>
          <w:p w:rsidR="007C2E7C" w:rsidRPr="000A5E01" w:rsidRDefault="007C2E7C" w:rsidP="0069779A">
            <w:pPr>
              <w:keepNext/>
              <w:spacing w:before="40" w:after="40"/>
              <w:rPr>
                <w:sz w:val="20"/>
                <w:szCs w:val="20"/>
              </w:rPr>
            </w:pPr>
            <w:r w:rsidRPr="000A5E01">
              <w:rPr>
                <w:sz w:val="20"/>
                <w:szCs w:val="20"/>
              </w:rPr>
              <w:t>Notes:</w:t>
            </w:r>
          </w:p>
          <w:p w:rsidR="007C2E7C" w:rsidRPr="000A5E01" w:rsidRDefault="007C2E7C" w:rsidP="00BD7786">
            <w:pPr>
              <w:keepNext/>
              <w:numPr>
                <w:ilvl w:val="0"/>
                <w:numId w:val="47"/>
              </w:numPr>
              <w:spacing w:before="40" w:after="40" w:line="240" w:lineRule="auto"/>
              <w:rPr>
                <w:sz w:val="20"/>
                <w:szCs w:val="20"/>
              </w:rPr>
            </w:pPr>
            <w:r w:rsidRPr="000A5E01">
              <w:rPr>
                <w:b/>
                <w:sz w:val="20"/>
                <w:szCs w:val="20"/>
              </w:rPr>
              <w:t xml:space="preserve">All amounts </w:t>
            </w:r>
            <w:r>
              <w:rPr>
                <w:b/>
                <w:sz w:val="20"/>
                <w:szCs w:val="20"/>
              </w:rPr>
              <w:t xml:space="preserve">are nominal and </w:t>
            </w:r>
            <w:r w:rsidRPr="000A5E01">
              <w:rPr>
                <w:b/>
                <w:sz w:val="20"/>
                <w:szCs w:val="20"/>
              </w:rPr>
              <w:t>contain GST</w:t>
            </w:r>
            <w:r w:rsidRPr="000A5E01">
              <w:rPr>
                <w:sz w:val="20"/>
                <w:szCs w:val="20"/>
              </w:rPr>
              <w:t>.</w:t>
            </w:r>
          </w:p>
          <w:p w:rsidR="007C2E7C" w:rsidRPr="000A5E01" w:rsidRDefault="007C2E7C" w:rsidP="00BD7786">
            <w:pPr>
              <w:keepNext/>
              <w:numPr>
                <w:ilvl w:val="0"/>
                <w:numId w:val="47"/>
              </w:numPr>
              <w:spacing w:before="40" w:after="40" w:line="240" w:lineRule="auto"/>
              <w:ind w:left="459" w:hanging="425"/>
              <w:rPr>
                <w:sz w:val="20"/>
                <w:szCs w:val="20"/>
              </w:rPr>
            </w:pPr>
            <w:r w:rsidRPr="000A5E01">
              <w:rPr>
                <w:sz w:val="20"/>
                <w:szCs w:val="20"/>
              </w:rPr>
              <w:t xml:space="preserve">Using </w:t>
            </w:r>
            <w:r>
              <w:rPr>
                <w:sz w:val="20"/>
                <w:szCs w:val="20"/>
              </w:rPr>
              <w:t>AGL</w:t>
            </w:r>
            <w:r w:rsidRPr="000A5E01">
              <w:rPr>
                <w:sz w:val="20"/>
                <w:szCs w:val="20"/>
              </w:rPr>
              <w:t xml:space="preserve"> </w:t>
            </w:r>
            <w:r>
              <w:rPr>
                <w:sz w:val="20"/>
                <w:szCs w:val="20"/>
              </w:rPr>
              <w:t>transitional</w:t>
            </w:r>
            <w:r w:rsidRPr="000A5E01">
              <w:rPr>
                <w:sz w:val="20"/>
                <w:szCs w:val="20"/>
              </w:rPr>
              <w:t xml:space="preserve"> contract retail price for </w:t>
            </w:r>
            <w:r>
              <w:rPr>
                <w:sz w:val="20"/>
                <w:szCs w:val="20"/>
              </w:rPr>
              <w:t>August 2014</w:t>
            </w:r>
            <w:r w:rsidRPr="000A5E01">
              <w:rPr>
                <w:sz w:val="20"/>
                <w:szCs w:val="20"/>
              </w:rPr>
              <w:t>.</w:t>
            </w:r>
          </w:p>
          <w:p w:rsidR="007C2E7C" w:rsidRPr="000A5E01" w:rsidRDefault="007C2E7C" w:rsidP="00BD7786">
            <w:pPr>
              <w:keepNext/>
              <w:numPr>
                <w:ilvl w:val="0"/>
                <w:numId w:val="47"/>
              </w:numPr>
              <w:spacing w:before="40" w:after="40" w:line="240" w:lineRule="auto"/>
              <w:ind w:left="459" w:hanging="425"/>
              <w:rPr>
                <w:sz w:val="20"/>
                <w:szCs w:val="20"/>
              </w:rPr>
            </w:pPr>
            <w:r w:rsidRPr="000A5E01">
              <w:rPr>
                <w:sz w:val="20"/>
                <w:szCs w:val="20"/>
              </w:rPr>
              <w:t xml:space="preserve">Using ElectraNet </w:t>
            </w:r>
            <w:r>
              <w:rPr>
                <w:sz w:val="20"/>
                <w:szCs w:val="20"/>
              </w:rPr>
              <w:t>May 2015</w:t>
            </w:r>
            <w:r w:rsidRPr="000A5E01">
              <w:rPr>
                <w:sz w:val="20"/>
                <w:szCs w:val="20"/>
              </w:rPr>
              <w:t xml:space="preserve"> advice of </w:t>
            </w:r>
            <w:r>
              <w:rPr>
                <w:sz w:val="20"/>
                <w:szCs w:val="20"/>
              </w:rPr>
              <w:t>2015/16</w:t>
            </w:r>
            <w:r w:rsidRPr="000A5E01">
              <w:rPr>
                <w:sz w:val="20"/>
                <w:szCs w:val="20"/>
              </w:rPr>
              <w:t xml:space="preserve"> </w:t>
            </w:r>
            <w:r>
              <w:rPr>
                <w:sz w:val="20"/>
                <w:szCs w:val="20"/>
              </w:rPr>
              <w:t>p</w:t>
            </w:r>
            <w:r w:rsidRPr="000A5E01">
              <w:rPr>
                <w:sz w:val="20"/>
                <w:szCs w:val="20"/>
              </w:rPr>
              <w:t>rices.</w:t>
            </w:r>
            <w:r>
              <w:rPr>
                <w:sz w:val="20"/>
                <w:szCs w:val="20"/>
              </w:rPr>
              <w:t xml:space="preserve"> </w:t>
            </w:r>
          </w:p>
        </w:tc>
      </w:tr>
    </w:tbl>
    <w:p w:rsidR="00DA1EB3" w:rsidRDefault="00DA1EB3" w:rsidP="0044594F"/>
    <w:p w:rsidR="00DA1EB3" w:rsidRDefault="007C2E7C" w:rsidP="0044594F">
      <w:r>
        <w:t>For large business, we are concluding a period of tariff reform that has operated over the last 15 years.  We currently have nearly 4,500 large business customers (&gt;160 MWh pa) on cost-reflective demand tariffs.  We propose to reassign the last 1,000 of such customers to cost-reflective tariffs from July 2015.  To enable this to happen as smoothly as possible, we have:</w:t>
      </w:r>
    </w:p>
    <w:p w:rsidR="007C2E7C" w:rsidRDefault="007C2E7C" w:rsidP="007C2E7C">
      <w:pPr>
        <w:pStyle w:val="ListParagraph"/>
        <w:numPr>
          <w:ilvl w:val="0"/>
          <w:numId w:val="45"/>
        </w:numPr>
      </w:pPr>
      <w:r>
        <w:t>Reviewed the individual circumstances of the 5,500 customers and determined their most appropriate tariff;</w:t>
      </w:r>
    </w:p>
    <w:p w:rsidR="007C2E7C" w:rsidRDefault="007C2E7C" w:rsidP="007C2E7C">
      <w:pPr>
        <w:pStyle w:val="ListParagraph"/>
        <w:numPr>
          <w:ilvl w:val="0"/>
          <w:numId w:val="45"/>
        </w:numPr>
      </w:pPr>
      <w:r>
        <w:t>Reviewed the demand history of those customers who would continue to utilise agreed demand tariffs to see if the agreed demand should be reduced;</w:t>
      </w:r>
    </w:p>
    <w:p w:rsidR="007C2E7C" w:rsidRDefault="007C2E7C" w:rsidP="007C2E7C">
      <w:pPr>
        <w:pStyle w:val="ListParagraph"/>
        <w:numPr>
          <w:ilvl w:val="0"/>
          <w:numId w:val="45"/>
        </w:numPr>
      </w:pPr>
      <w:r>
        <w:t xml:space="preserve">Created a new actual demand </w:t>
      </w:r>
      <w:r w:rsidR="00BD7786">
        <w:t xml:space="preserve">tariff </w:t>
      </w:r>
      <w:r>
        <w:t xml:space="preserve">for business which will be suitable for those businesses with seasonal load and/or load which </w:t>
      </w:r>
      <w:r w:rsidR="00774320">
        <w:t>is flexible during the afternoon/evening</w:t>
      </w:r>
      <w:r w:rsidR="0088370E">
        <w:t>.  The demand would typically be measured and billed monthly</w:t>
      </w:r>
      <w:r w:rsidR="00774320">
        <w:t>; and</w:t>
      </w:r>
    </w:p>
    <w:p w:rsidR="00774320" w:rsidRDefault="00774320" w:rsidP="007C2E7C">
      <w:pPr>
        <w:pStyle w:val="ListParagraph"/>
        <w:numPr>
          <w:ilvl w:val="0"/>
          <w:numId w:val="45"/>
        </w:numPr>
      </w:pPr>
      <w:r>
        <w:t xml:space="preserve">Created transition arrangements whereby customers who might otherwise face a price increase from these tariffs have a 5 year transition period where the tariff changes progressively from 2014/15 arrangements to </w:t>
      </w:r>
      <w:r w:rsidR="0088370E">
        <w:t xml:space="preserve">fully </w:t>
      </w:r>
      <w:r>
        <w:t>cost-reflective arrangements by July 2020.  In 2015/16 the tariff is 30% cost-reflective and will apply to about 100 customers.  All other customers can migrate to the cost-reflective tariffs in July 2015 without price increases.</w:t>
      </w:r>
    </w:p>
    <w:p w:rsidR="00DA1EB3" w:rsidRDefault="00DA1EB3" w:rsidP="0044594F"/>
    <w:p w:rsidR="00A02244" w:rsidRDefault="00A02244">
      <w:r>
        <w:br w:type="page"/>
      </w:r>
    </w:p>
    <w:p w:rsidR="0044594F" w:rsidRPr="00927302" w:rsidRDefault="0044594F" w:rsidP="0044594F">
      <w:pPr>
        <w:pStyle w:val="Heading1"/>
      </w:pPr>
      <w:bookmarkStart w:id="2" w:name="_Ref133751034"/>
      <w:bookmarkStart w:id="3" w:name="_Toc420009808"/>
      <w:r w:rsidRPr="00927302">
        <w:t>Shortened forms</w:t>
      </w:r>
      <w:bookmarkEnd w:id="2"/>
      <w:bookmarkEnd w:id="3"/>
    </w:p>
    <w:tbl>
      <w:tblPr>
        <w:tblW w:w="0" w:type="auto"/>
        <w:tblLook w:val="04A0" w:firstRow="1" w:lastRow="0" w:firstColumn="1" w:lastColumn="0" w:noHBand="0" w:noVBand="1"/>
      </w:tblPr>
      <w:tblGrid>
        <w:gridCol w:w="1951"/>
        <w:gridCol w:w="7336"/>
      </w:tblGrid>
      <w:tr w:rsidR="0044594F" w:rsidRPr="00927302" w:rsidTr="00393E4F">
        <w:trPr>
          <w:tblHeader/>
        </w:trPr>
        <w:tc>
          <w:tcPr>
            <w:tcW w:w="1951" w:type="dxa"/>
          </w:tcPr>
          <w:p w:rsidR="0044594F" w:rsidRPr="00927302" w:rsidRDefault="0044594F" w:rsidP="00924A8F">
            <w:pPr>
              <w:spacing w:beforeLines="20" w:before="48" w:afterLines="20" w:after="48"/>
              <w:rPr>
                <w:b/>
              </w:rPr>
            </w:pPr>
            <w:r w:rsidRPr="00927302">
              <w:rPr>
                <w:b/>
              </w:rPr>
              <w:t>Abbreviation</w:t>
            </w:r>
          </w:p>
        </w:tc>
        <w:tc>
          <w:tcPr>
            <w:tcW w:w="7336" w:type="dxa"/>
          </w:tcPr>
          <w:p w:rsidR="00FB52A5" w:rsidRDefault="0044594F" w:rsidP="00924A8F">
            <w:pPr>
              <w:spacing w:beforeLines="20" w:before="48" w:afterLines="20" w:after="48"/>
              <w:rPr>
                <w:b/>
              </w:rPr>
            </w:pPr>
            <w:r w:rsidRPr="00927302">
              <w:rPr>
                <w:b/>
              </w:rPr>
              <w:t>Definition or description</w:t>
            </w:r>
          </w:p>
        </w:tc>
      </w:tr>
      <w:tr w:rsidR="0044594F" w:rsidRPr="00927302" w:rsidTr="00393E4F">
        <w:tc>
          <w:tcPr>
            <w:tcW w:w="1951" w:type="dxa"/>
          </w:tcPr>
          <w:p w:rsidR="0044594F" w:rsidRPr="00927302" w:rsidRDefault="0044594F" w:rsidP="00924A8F">
            <w:pPr>
              <w:spacing w:beforeLines="20" w:before="48" w:afterLines="20" w:after="48"/>
            </w:pPr>
            <w:r w:rsidRPr="00927302">
              <w:t>AER</w:t>
            </w:r>
          </w:p>
        </w:tc>
        <w:tc>
          <w:tcPr>
            <w:tcW w:w="7336" w:type="dxa"/>
          </w:tcPr>
          <w:p w:rsidR="00FB52A5" w:rsidRDefault="0044594F" w:rsidP="00924A8F">
            <w:pPr>
              <w:spacing w:beforeLines="20" w:before="48" w:afterLines="20" w:after="48"/>
            </w:pPr>
            <w:r w:rsidRPr="00927302">
              <w:t>Australian Energy Regulator.</w:t>
            </w:r>
          </w:p>
        </w:tc>
      </w:tr>
      <w:tr w:rsidR="0044594F" w:rsidRPr="00927302" w:rsidTr="00393E4F">
        <w:tc>
          <w:tcPr>
            <w:tcW w:w="1951" w:type="dxa"/>
          </w:tcPr>
          <w:p w:rsidR="0044594F" w:rsidRPr="00927302" w:rsidRDefault="0044594F" w:rsidP="00924A8F">
            <w:pPr>
              <w:spacing w:beforeLines="20" w:before="48" w:afterLines="20" w:after="48"/>
            </w:pPr>
            <w:r w:rsidRPr="00927302">
              <w:t>Augmentation</w:t>
            </w:r>
          </w:p>
        </w:tc>
        <w:tc>
          <w:tcPr>
            <w:tcW w:w="7336" w:type="dxa"/>
          </w:tcPr>
          <w:p w:rsidR="00FB52A5" w:rsidRDefault="0044594F" w:rsidP="00924A8F">
            <w:pPr>
              <w:spacing w:beforeLines="20" w:before="48" w:afterLines="20" w:after="48"/>
            </w:pPr>
            <w:r w:rsidRPr="00927302">
              <w:t>Investment in new network assets to meet increased demand.</w:t>
            </w:r>
          </w:p>
        </w:tc>
      </w:tr>
      <w:tr w:rsidR="0044594F" w:rsidRPr="00927302" w:rsidTr="00393E4F">
        <w:tc>
          <w:tcPr>
            <w:tcW w:w="1951" w:type="dxa"/>
          </w:tcPr>
          <w:p w:rsidR="0044594F" w:rsidRPr="00927302" w:rsidRDefault="0044594F" w:rsidP="00924A8F">
            <w:pPr>
              <w:spacing w:beforeLines="20" w:before="48" w:afterLines="20" w:after="48"/>
            </w:pPr>
            <w:r w:rsidRPr="00927302">
              <w:t>Capacity, capability</w:t>
            </w:r>
          </w:p>
        </w:tc>
        <w:tc>
          <w:tcPr>
            <w:tcW w:w="7336" w:type="dxa"/>
          </w:tcPr>
          <w:p w:rsidR="00FB52A5" w:rsidRDefault="0044594F" w:rsidP="00924A8F">
            <w:pPr>
              <w:spacing w:beforeLines="20" w:before="48" w:afterLines="20" w:after="48"/>
            </w:pPr>
            <w:r w:rsidRPr="00927302">
              <w:t>The amount of energy that a part of the network is able to carry.</w:t>
            </w:r>
          </w:p>
        </w:tc>
      </w:tr>
      <w:tr w:rsidR="0044594F" w:rsidRPr="00927302" w:rsidTr="00393E4F">
        <w:tc>
          <w:tcPr>
            <w:tcW w:w="1951" w:type="dxa"/>
          </w:tcPr>
          <w:p w:rsidR="0044594F" w:rsidRPr="00927302" w:rsidRDefault="0044594F" w:rsidP="00924A8F">
            <w:pPr>
              <w:spacing w:beforeLines="20" w:before="48" w:afterLines="20" w:after="48"/>
            </w:pPr>
            <w:r w:rsidRPr="00927302">
              <w:t>Capital Contributed Works</w:t>
            </w:r>
          </w:p>
        </w:tc>
        <w:tc>
          <w:tcPr>
            <w:tcW w:w="7336" w:type="dxa"/>
          </w:tcPr>
          <w:p w:rsidR="00FB52A5" w:rsidRDefault="0044594F" w:rsidP="00924A8F">
            <w:pPr>
              <w:spacing w:beforeLines="20" w:before="48" w:afterLines="20" w:after="48"/>
            </w:pPr>
            <w:r w:rsidRPr="00927302">
              <w:t>Works for which the customer(s) contribute towards the cost of supplying assets, typically because they are the sole users.</w:t>
            </w:r>
          </w:p>
        </w:tc>
      </w:tr>
      <w:tr w:rsidR="0044594F" w:rsidRPr="00927302" w:rsidTr="00393E4F">
        <w:tc>
          <w:tcPr>
            <w:tcW w:w="1951" w:type="dxa"/>
          </w:tcPr>
          <w:p w:rsidR="0044594F" w:rsidRPr="00927302" w:rsidRDefault="0044594F" w:rsidP="00924A8F">
            <w:pPr>
              <w:spacing w:beforeLines="20" w:before="48" w:afterLines="20" w:after="48"/>
            </w:pPr>
            <w:r w:rsidRPr="00927302">
              <w:t>COAG</w:t>
            </w:r>
          </w:p>
        </w:tc>
        <w:tc>
          <w:tcPr>
            <w:tcW w:w="7336" w:type="dxa"/>
          </w:tcPr>
          <w:p w:rsidR="00FB52A5" w:rsidRDefault="0044594F" w:rsidP="00924A8F">
            <w:pPr>
              <w:spacing w:beforeLines="20" w:before="48" w:afterLines="20" w:after="48"/>
            </w:pPr>
            <w:r w:rsidRPr="00927302">
              <w:t>Council of Australian Governments.</w:t>
            </w:r>
          </w:p>
        </w:tc>
      </w:tr>
      <w:tr w:rsidR="0044594F" w:rsidRPr="00927302" w:rsidTr="00393E4F">
        <w:tc>
          <w:tcPr>
            <w:tcW w:w="1951" w:type="dxa"/>
          </w:tcPr>
          <w:p w:rsidR="0044594F" w:rsidRPr="00927302" w:rsidRDefault="0044594F" w:rsidP="00924A8F">
            <w:pPr>
              <w:spacing w:beforeLines="20" w:before="48" w:afterLines="20" w:after="48"/>
            </w:pPr>
            <w:r w:rsidRPr="00927302">
              <w:t>Contestability</w:t>
            </w:r>
          </w:p>
        </w:tc>
        <w:tc>
          <w:tcPr>
            <w:tcW w:w="7336" w:type="dxa"/>
          </w:tcPr>
          <w:p w:rsidR="00FB52A5" w:rsidRDefault="0044594F" w:rsidP="00924A8F">
            <w:pPr>
              <w:spacing w:beforeLines="20" w:before="48" w:afterLines="20" w:after="48"/>
            </w:pPr>
            <w:r w:rsidRPr="00927302">
              <w:t>Customer choice of electricity supplier.</w:t>
            </w:r>
          </w:p>
        </w:tc>
      </w:tr>
      <w:tr w:rsidR="0044594F" w:rsidRPr="00927302" w:rsidTr="00393E4F">
        <w:tc>
          <w:tcPr>
            <w:tcW w:w="1951" w:type="dxa"/>
          </w:tcPr>
          <w:p w:rsidR="0044594F" w:rsidRPr="00927302" w:rsidRDefault="0044594F" w:rsidP="00924A8F">
            <w:pPr>
              <w:spacing w:beforeLines="20" w:before="48" w:afterLines="20" w:after="48"/>
            </w:pPr>
            <w:r w:rsidRPr="00927302">
              <w:t>Controlled Load</w:t>
            </w:r>
          </w:p>
        </w:tc>
        <w:tc>
          <w:tcPr>
            <w:tcW w:w="7336" w:type="dxa"/>
          </w:tcPr>
          <w:p w:rsidR="00FB52A5" w:rsidRDefault="0044594F" w:rsidP="00924A8F">
            <w:pPr>
              <w:spacing w:beforeLines="20" w:before="48" w:afterLines="20" w:after="48"/>
            </w:pPr>
            <w:r w:rsidRPr="00927302">
              <w:t>The DNSP controls the hours in which the supply is made available.</w:t>
            </w:r>
          </w:p>
        </w:tc>
      </w:tr>
      <w:tr w:rsidR="0044594F" w:rsidRPr="00927302" w:rsidTr="00393E4F">
        <w:tc>
          <w:tcPr>
            <w:tcW w:w="1951" w:type="dxa"/>
          </w:tcPr>
          <w:p w:rsidR="0044594F" w:rsidRPr="00927302" w:rsidRDefault="0044594F" w:rsidP="00924A8F">
            <w:pPr>
              <w:spacing w:beforeLines="20" w:before="48" w:afterLines="20" w:after="48"/>
            </w:pPr>
            <w:r w:rsidRPr="00927302">
              <w:t>Cost of Supply Model</w:t>
            </w:r>
          </w:p>
        </w:tc>
        <w:tc>
          <w:tcPr>
            <w:tcW w:w="7336" w:type="dxa"/>
          </w:tcPr>
          <w:p w:rsidR="00FB52A5" w:rsidRDefault="0044594F" w:rsidP="00924A8F">
            <w:pPr>
              <w:spacing w:beforeLines="20" w:before="48" w:afterLines="20" w:after="48"/>
            </w:pPr>
            <w:r w:rsidRPr="00927302">
              <w:t>Theoretical and algorithmic model used to calculate prices, which conform to the pricing goals.</w:t>
            </w:r>
          </w:p>
        </w:tc>
      </w:tr>
      <w:tr w:rsidR="0044594F" w:rsidRPr="00927302" w:rsidTr="00393E4F">
        <w:tc>
          <w:tcPr>
            <w:tcW w:w="1951" w:type="dxa"/>
          </w:tcPr>
          <w:p w:rsidR="0044594F" w:rsidRPr="00927302" w:rsidRDefault="0044594F" w:rsidP="00924A8F">
            <w:pPr>
              <w:spacing w:beforeLines="20" w:before="48" w:afterLines="20" w:after="48"/>
            </w:pPr>
            <w:r w:rsidRPr="00927302">
              <w:t>Cross subsidy</w:t>
            </w:r>
          </w:p>
        </w:tc>
        <w:tc>
          <w:tcPr>
            <w:tcW w:w="7336" w:type="dxa"/>
          </w:tcPr>
          <w:p w:rsidR="00FB52A5" w:rsidRDefault="0044594F" w:rsidP="00924A8F">
            <w:pPr>
              <w:spacing w:beforeLines="20" w:before="48" w:afterLines="20" w:after="48"/>
            </w:pPr>
            <w:r w:rsidRPr="00927302">
              <w:t>Where the price to a tariff class falls outside the range between the avoidable incremental cost of supply and the cost of stand-alone supply, an economic cross subsidy from or to other customers is said to exist.</w:t>
            </w:r>
          </w:p>
        </w:tc>
      </w:tr>
      <w:tr w:rsidR="0044594F" w:rsidRPr="00927302" w:rsidTr="00393E4F">
        <w:tc>
          <w:tcPr>
            <w:tcW w:w="1951" w:type="dxa"/>
          </w:tcPr>
          <w:p w:rsidR="0044594F" w:rsidRPr="00927302" w:rsidRDefault="0044594F" w:rsidP="00924A8F">
            <w:pPr>
              <w:spacing w:beforeLines="20" w:before="48" w:afterLines="20" w:after="48"/>
            </w:pPr>
            <w:r w:rsidRPr="00927302">
              <w:t>Decision</w:t>
            </w:r>
          </w:p>
        </w:tc>
        <w:tc>
          <w:tcPr>
            <w:tcW w:w="7336" w:type="dxa"/>
          </w:tcPr>
          <w:p w:rsidR="00FB52A5" w:rsidRDefault="0044594F" w:rsidP="00924A8F">
            <w:pPr>
              <w:spacing w:beforeLines="20" w:before="48" w:afterLines="20" w:after="48"/>
            </w:pPr>
            <w:r w:rsidRPr="00927302">
              <w:t xml:space="preserve">The Australian Energy Regulator’s </w:t>
            </w:r>
            <w:r w:rsidR="00477C39">
              <w:t>Preliminary Decision</w:t>
            </w:r>
            <w:r w:rsidRPr="00927302">
              <w:t xml:space="preserve"> on South Australia -distribution determination 20</w:t>
            </w:r>
            <w:r w:rsidR="00D95F85">
              <w:t>15</w:t>
            </w:r>
            <w:r w:rsidRPr="00927302">
              <w:t>–</w:t>
            </w:r>
            <w:r w:rsidR="00D95F85">
              <w:t>16</w:t>
            </w:r>
            <w:r w:rsidRPr="00927302">
              <w:t xml:space="preserve"> to 20</w:t>
            </w:r>
            <w:r w:rsidR="00D95F85">
              <w:t>19</w:t>
            </w:r>
            <w:r w:rsidRPr="00927302">
              <w:t>–</w:t>
            </w:r>
            <w:r w:rsidR="00D95F85">
              <w:t>20</w:t>
            </w:r>
            <w:r w:rsidRPr="00927302">
              <w:t xml:space="preserve">, </w:t>
            </w:r>
            <w:r w:rsidR="00D95F85">
              <w:t>April</w:t>
            </w:r>
            <w:r w:rsidRPr="00927302">
              <w:t xml:space="preserve"> 201</w:t>
            </w:r>
            <w:r w:rsidR="00D95F85">
              <w:t>5</w:t>
            </w:r>
          </w:p>
        </w:tc>
      </w:tr>
      <w:tr w:rsidR="0044594F" w:rsidRPr="00927302" w:rsidTr="00393E4F">
        <w:tc>
          <w:tcPr>
            <w:tcW w:w="1951" w:type="dxa"/>
          </w:tcPr>
          <w:p w:rsidR="0044594F" w:rsidRPr="00927302" w:rsidRDefault="0044594F" w:rsidP="00924A8F">
            <w:pPr>
              <w:spacing w:beforeLines="20" w:before="48" w:afterLines="20" w:after="48"/>
            </w:pPr>
            <w:r w:rsidRPr="00927302">
              <w:t>Demand</w:t>
            </w:r>
          </w:p>
        </w:tc>
        <w:tc>
          <w:tcPr>
            <w:tcW w:w="7336" w:type="dxa"/>
          </w:tcPr>
          <w:p w:rsidR="00FB52A5" w:rsidRDefault="0044594F" w:rsidP="00924A8F">
            <w:pPr>
              <w:spacing w:beforeLines="20" w:before="48" w:afterLines="20" w:after="48"/>
            </w:pPr>
            <w:r w:rsidRPr="00927302">
              <w:t>Energy consumption at a point in time.</w:t>
            </w:r>
          </w:p>
        </w:tc>
      </w:tr>
      <w:tr w:rsidR="0044594F" w:rsidRPr="00927302" w:rsidTr="00393E4F">
        <w:tc>
          <w:tcPr>
            <w:tcW w:w="1951" w:type="dxa"/>
          </w:tcPr>
          <w:p w:rsidR="0044594F" w:rsidRPr="00927302" w:rsidRDefault="0044594F" w:rsidP="00924A8F">
            <w:pPr>
              <w:spacing w:beforeLines="20" w:before="48" w:afterLines="20" w:after="48"/>
            </w:pPr>
            <w:r w:rsidRPr="00927302">
              <w:t>Demand Management</w:t>
            </w:r>
          </w:p>
        </w:tc>
        <w:tc>
          <w:tcPr>
            <w:tcW w:w="7336" w:type="dxa"/>
          </w:tcPr>
          <w:p w:rsidR="00FB52A5" w:rsidRDefault="0044594F" w:rsidP="00924A8F">
            <w:pPr>
              <w:spacing w:beforeLines="20" w:before="48" w:afterLines="20" w:after="48"/>
            </w:pPr>
            <w:r w:rsidRPr="00927302">
              <w:t>Attempt to modify demand behaviour so as to constrain demand at critical times.</w:t>
            </w:r>
          </w:p>
        </w:tc>
      </w:tr>
      <w:tr w:rsidR="0044594F" w:rsidRPr="00927302" w:rsidTr="00393E4F">
        <w:tc>
          <w:tcPr>
            <w:tcW w:w="1951" w:type="dxa"/>
          </w:tcPr>
          <w:p w:rsidR="0044594F" w:rsidRPr="00927302" w:rsidRDefault="0044594F" w:rsidP="00924A8F">
            <w:pPr>
              <w:spacing w:beforeLines="20" w:before="48" w:afterLines="20" w:after="48"/>
            </w:pPr>
            <w:r w:rsidRPr="00927302">
              <w:t>Distribution Network</w:t>
            </w:r>
          </w:p>
        </w:tc>
        <w:tc>
          <w:tcPr>
            <w:tcW w:w="7336" w:type="dxa"/>
          </w:tcPr>
          <w:p w:rsidR="00FB52A5" w:rsidRDefault="0044594F" w:rsidP="00924A8F">
            <w:pPr>
              <w:spacing w:beforeLines="20" w:before="48" w:afterLines="20" w:after="48"/>
            </w:pPr>
            <w:r w:rsidRPr="00927302">
              <w:t>The assets and service which links energy customers to the transmission network.</w:t>
            </w:r>
          </w:p>
        </w:tc>
      </w:tr>
      <w:tr w:rsidR="0044594F" w:rsidRPr="00927302" w:rsidTr="00393E4F">
        <w:tc>
          <w:tcPr>
            <w:tcW w:w="1951" w:type="dxa"/>
          </w:tcPr>
          <w:p w:rsidR="0044594F" w:rsidRPr="00927302" w:rsidRDefault="0044594F" w:rsidP="00924A8F">
            <w:pPr>
              <w:spacing w:beforeLines="20" w:before="48" w:afterLines="20" w:after="48"/>
            </w:pPr>
            <w:r w:rsidRPr="00927302">
              <w:t>Distributor, DNSP</w:t>
            </w:r>
          </w:p>
        </w:tc>
        <w:tc>
          <w:tcPr>
            <w:tcW w:w="7336" w:type="dxa"/>
          </w:tcPr>
          <w:p w:rsidR="00FB52A5" w:rsidRDefault="0044594F" w:rsidP="00924A8F">
            <w:pPr>
              <w:spacing w:beforeLines="20" w:before="48" w:afterLines="20" w:after="48"/>
            </w:pPr>
            <w:r w:rsidRPr="00927302">
              <w:t>Distribution Network Service Provider.</w:t>
            </w:r>
          </w:p>
        </w:tc>
      </w:tr>
      <w:tr w:rsidR="0044594F" w:rsidRPr="00927302" w:rsidTr="00393E4F">
        <w:tc>
          <w:tcPr>
            <w:tcW w:w="1951" w:type="dxa"/>
          </w:tcPr>
          <w:p w:rsidR="0044594F" w:rsidRPr="00927302" w:rsidRDefault="0044594F" w:rsidP="00924A8F">
            <w:pPr>
              <w:spacing w:beforeLines="20" w:before="48" w:afterLines="20" w:after="48"/>
            </w:pPr>
            <w:r w:rsidRPr="00927302">
              <w:t>DUoS</w:t>
            </w:r>
          </w:p>
        </w:tc>
        <w:tc>
          <w:tcPr>
            <w:tcW w:w="7336" w:type="dxa"/>
          </w:tcPr>
          <w:p w:rsidR="00FB52A5" w:rsidRDefault="0044594F" w:rsidP="00924A8F">
            <w:pPr>
              <w:spacing w:beforeLines="20" w:before="48" w:afterLines="20" w:after="48"/>
            </w:pPr>
            <w:r w:rsidRPr="00927302">
              <w:t>Distribution Use of System.  The utilisation of the distribution network in the provision of electricity to consumers (a component of NUoS).  .</w:t>
            </w:r>
          </w:p>
        </w:tc>
      </w:tr>
      <w:tr w:rsidR="0044594F" w:rsidRPr="00927302" w:rsidTr="00393E4F">
        <w:tc>
          <w:tcPr>
            <w:tcW w:w="1951" w:type="dxa"/>
          </w:tcPr>
          <w:p w:rsidR="0044594F" w:rsidRPr="00927302" w:rsidRDefault="0044594F" w:rsidP="00924A8F">
            <w:pPr>
              <w:spacing w:beforeLines="20" w:before="48" w:afterLines="20" w:after="48"/>
            </w:pPr>
            <w:r w:rsidRPr="00927302">
              <w:t>EDPD</w:t>
            </w:r>
          </w:p>
        </w:tc>
        <w:tc>
          <w:tcPr>
            <w:tcW w:w="7336" w:type="dxa"/>
          </w:tcPr>
          <w:p w:rsidR="00FB52A5" w:rsidRDefault="0044594F" w:rsidP="00924A8F">
            <w:pPr>
              <w:spacing w:beforeLines="20" w:before="48" w:afterLines="20" w:after="48"/>
            </w:pPr>
            <w:r w:rsidRPr="00927302">
              <w:t>Electricity Distribution Price Determination (South Australian).</w:t>
            </w:r>
          </w:p>
        </w:tc>
      </w:tr>
      <w:tr w:rsidR="0044594F" w:rsidRPr="00927302" w:rsidTr="00393E4F">
        <w:trPr>
          <w:trHeight w:val="70"/>
        </w:trPr>
        <w:tc>
          <w:tcPr>
            <w:tcW w:w="1951" w:type="dxa"/>
          </w:tcPr>
          <w:p w:rsidR="0044594F" w:rsidRPr="00927302" w:rsidRDefault="0044594F" w:rsidP="00924A8F">
            <w:pPr>
              <w:spacing w:beforeLines="20" w:before="48" w:afterLines="20" w:after="48"/>
            </w:pPr>
            <w:r w:rsidRPr="00927302">
              <w:t>ESCoSA</w:t>
            </w:r>
          </w:p>
        </w:tc>
        <w:tc>
          <w:tcPr>
            <w:tcW w:w="7336" w:type="dxa"/>
          </w:tcPr>
          <w:p w:rsidR="00FB52A5" w:rsidRDefault="0044594F" w:rsidP="00924A8F">
            <w:pPr>
              <w:spacing w:beforeLines="20" w:before="48" w:afterLines="20" w:after="48"/>
            </w:pPr>
            <w:r w:rsidRPr="00927302">
              <w:t>Essential Services Commission of South Australia, the South Australian Regulator of energy and other infrastructure.</w:t>
            </w:r>
          </w:p>
        </w:tc>
      </w:tr>
      <w:tr w:rsidR="0044594F" w:rsidRPr="00927302" w:rsidTr="00393E4F">
        <w:tc>
          <w:tcPr>
            <w:tcW w:w="1951" w:type="dxa"/>
          </w:tcPr>
          <w:p w:rsidR="0044594F" w:rsidRPr="00927302" w:rsidRDefault="0044594F" w:rsidP="00924A8F">
            <w:pPr>
              <w:spacing w:beforeLines="20" w:before="48" w:afterLines="20" w:after="48"/>
            </w:pPr>
            <w:r>
              <w:t>FiT</w:t>
            </w:r>
          </w:p>
        </w:tc>
        <w:tc>
          <w:tcPr>
            <w:tcW w:w="7336" w:type="dxa"/>
          </w:tcPr>
          <w:p w:rsidR="00FB52A5" w:rsidRDefault="0044594F" w:rsidP="00924A8F">
            <w:pPr>
              <w:spacing w:beforeLines="20" w:before="48" w:afterLines="20" w:after="48"/>
            </w:pPr>
            <w:r>
              <w:t>Feed-in Tariff, paid to customers that have solar PV generators.</w:t>
            </w:r>
          </w:p>
        </w:tc>
      </w:tr>
      <w:tr w:rsidR="0044594F" w:rsidRPr="00927302" w:rsidTr="00393E4F">
        <w:tc>
          <w:tcPr>
            <w:tcW w:w="1951" w:type="dxa"/>
          </w:tcPr>
          <w:p w:rsidR="0044594F" w:rsidRPr="00927302" w:rsidRDefault="0044594F" w:rsidP="00924A8F">
            <w:pPr>
              <w:spacing w:beforeLines="20" w:before="48" w:afterLines="20" w:after="48"/>
            </w:pPr>
            <w:r w:rsidRPr="00927302">
              <w:t>FRC</w:t>
            </w:r>
          </w:p>
        </w:tc>
        <w:tc>
          <w:tcPr>
            <w:tcW w:w="7336" w:type="dxa"/>
          </w:tcPr>
          <w:p w:rsidR="00FB52A5" w:rsidRDefault="0044594F" w:rsidP="00924A8F">
            <w:pPr>
              <w:spacing w:beforeLines="20" w:before="48" w:afterLines="20" w:after="48"/>
            </w:pPr>
            <w:r w:rsidRPr="00927302">
              <w:t>Full Retail Competition (sometimes called Full Retail Contestability).</w:t>
            </w:r>
          </w:p>
        </w:tc>
      </w:tr>
      <w:tr w:rsidR="0044594F" w:rsidRPr="00927302" w:rsidTr="00393E4F">
        <w:tc>
          <w:tcPr>
            <w:tcW w:w="1951" w:type="dxa"/>
          </w:tcPr>
          <w:p w:rsidR="0044594F" w:rsidRPr="00927302" w:rsidRDefault="0044594F" w:rsidP="00924A8F">
            <w:pPr>
              <w:spacing w:beforeLines="20" w:before="48" w:afterLines="20" w:after="48"/>
            </w:pPr>
            <w:r w:rsidRPr="00927302">
              <w:t>High Voltage</w:t>
            </w:r>
          </w:p>
        </w:tc>
        <w:tc>
          <w:tcPr>
            <w:tcW w:w="7336" w:type="dxa"/>
          </w:tcPr>
          <w:p w:rsidR="00FB52A5" w:rsidRDefault="0044594F" w:rsidP="00924A8F">
            <w:pPr>
              <w:spacing w:beforeLines="20" w:before="48" w:afterLines="20" w:after="48"/>
            </w:pPr>
            <w:r w:rsidRPr="00927302">
              <w:t>Equipment or supplies at voltages of 22 or 11 kV.</w:t>
            </w:r>
          </w:p>
        </w:tc>
      </w:tr>
      <w:tr w:rsidR="0044594F" w:rsidRPr="00927302" w:rsidTr="00393E4F">
        <w:tc>
          <w:tcPr>
            <w:tcW w:w="1951" w:type="dxa"/>
          </w:tcPr>
          <w:p w:rsidR="0044594F" w:rsidRPr="00927302" w:rsidRDefault="0044594F" w:rsidP="00924A8F">
            <w:pPr>
              <w:spacing w:beforeLines="20" w:before="48" w:afterLines="20" w:after="48"/>
            </w:pPr>
            <w:r w:rsidRPr="00927302">
              <w:t>IBT, Inclining Block Tariff</w:t>
            </w:r>
          </w:p>
        </w:tc>
        <w:tc>
          <w:tcPr>
            <w:tcW w:w="7336" w:type="dxa"/>
          </w:tcPr>
          <w:p w:rsidR="00FB52A5" w:rsidRDefault="0044594F" w:rsidP="00924A8F">
            <w:pPr>
              <w:spacing w:beforeLines="20" w:before="48" w:afterLines="20" w:after="48"/>
            </w:pPr>
            <w:r w:rsidRPr="00927302">
              <w:t>A network tariff energy rate in which the rate increases above specific consumption thresholds.</w:t>
            </w:r>
          </w:p>
        </w:tc>
      </w:tr>
      <w:tr w:rsidR="0044594F" w:rsidRPr="00927302" w:rsidTr="00393E4F">
        <w:tc>
          <w:tcPr>
            <w:tcW w:w="1951" w:type="dxa"/>
          </w:tcPr>
          <w:p w:rsidR="0044594F" w:rsidRPr="00927302" w:rsidRDefault="0044594F" w:rsidP="00924A8F">
            <w:pPr>
              <w:spacing w:beforeLines="20" w:before="48" w:afterLines="20" w:after="48"/>
            </w:pPr>
            <w:r>
              <w:t>JSA</w:t>
            </w:r>
          </w:p>
        </w:tc>
        <w:tc>
          <w:tcPr>
            <w:tcW w:w="7336" w:type="dxa"/>
          </w:tcPr>
          <w:p w:rsidR="00FB52A5" w:rsidRDefault="0044594F" w:rsidP="00924A8F">
            <w:pPr>
              <w:spacing w:beforeLines="20" w:before="48" w:afterLines="20" w:after="48"/>
            </w:pPr>
            <w:r>
              <w:t>Jurisdictional Scheme Amount, a component of the Network Use of System charge to fund Feed-in Tariff payments to customers that have solar PV generators.</w:t>
            </w:r>
          </w:p>
        </w:tc>
      </w:tr>
      <w:tr w:rsidR="0044594F" w:rsidRPr="00927302" w:rsidTr="00393E4F">
        <w:tc>
          <w:tcPr>
            <w:tcW w:w="1951" w:type="dxa"/>
          </w:tcPr>
          <w:p w:rsidR="0044594F" w:rsidRPr="00927302" w:rsidRDefault="0044594F" w:rsidP="00924A8F">
            <w:pPr>
              <w:spacing w:beforeLines="20" w:before="48" w:afterLines="20" w:after="48"/>
            </w:pPr>
            <w:r w:rsidRPr="00927302">
              <w:t>kVA, MVA</w:t>
            </w:r>
          </w:p>
        </w:tc>
        <w:tc>
          <w:tcPr>
            <w:tcW w:w="7336" w:type="dxa"/>
          </w:tcPr>
          <w:p w:rsidR="00FB52A5" w:rsidRDefault="0044594F" w:rsidP="00924A8F">
            <w:pPr>
              <w:spacing w:beforeLines="20" w:before="48" w:afterLines="20" w:after="48"/>
            </w:pPr>
            <w:r w:rsidRPr="00927302">
              <w:t>Kilo-volt amps and Mega-volt amps, units of instantaneous total electrical power demand.  Usually the peak demand is referenced.  See also PF for the relationship between power demand quantities.</w:t>
            </w:r>
          </w:p>
        </w:tc>
      </w:tr>
      <w:tr w:rsidR="0044594F" w:rsidRPr="00927302" w:rsidTr="00393E4F">
        <w:tc>
          <w:tcPr>
            <w:tcW w:w="1951" w:type="dxa"/>
          </w:tcPr>
          <w:p w:rsidR="0044594F" w:rsidRPr="00927302" w:rsidRDefault="0044594F" w:rsidP="00924A8F">
            <w:pPr>
              <w:spacing w:beforeLines="20" w:before="48" w:afterLines="20" w:after="48"/>
            </w:pPr>
            <w:r w:rsidRPr="00927302">
              <w:t>kVAr, MVAr</w:t>
            </w:r>
          </w:p>
        </w:tc>
        <w:tc>
          <w:tcPr>
            <w:tcW w:w="7336" w:type="dxa"/>
          </w:tcPr>
          <w:p w:rsidR="00FB52A5" w:rsidRDefault="0044594F" w:rsidP="00924A8F">
            <w:pPr>
              <w:spacing w:beforeLines="20" w:before="48" w:afterLines="20" w:after="48"/>
            </w:pPr>
            <w:r w:rsidRPr="00927302">
              <w:t>Kilo-volt amps (reactive) and Mega-volt amps (reactive) units of instantaneous reactive electrical power demand.  Usually the peak demand is referenced.  See also PF for the relationship between power demand quantities.</w:t>
            </w:r>
          </w:p>
        </w:tc>
      </w:tr>
      <w:tr w:rsidR="0044594F" w:rsidRPr="00927302" w:rsidTr="00393E4F">
        <w:tc>
          <w:tcPr>
            <w:tcW w:w="1951" w:type="dxa"/>
          </w:tcPr>
          <w:p w:rsidR="00393E4F" w:rsidRDefault="00393E4F" w:rsidP="00924A8F">
            <w:pPr>
              <w:spacing w:beforeLines="20" w:before="48" w:afterLines="20" w:after="48"/>
            </w:pPr>
          </w:p>
          <w:p w:rsidR="00FB52A5" w:rsidRDefault="0044594F" w:rsidP="00924A8F">
            <w:pPr>
              <w:spacing w:beforeLines="20" w:before="48" w:afterLines="20" w:after="48"/>
            </w:pPr>
            <w:r w:rsidRPr="00927302">
              <w:t>kW, MW</w:t>
            </w:r>
          </w:p>
        </w:tc>
        <w:tc>
          <w:tcPr>
            <w:tcW w:w="7336" w:type="dxa"/>
          </w:tcPr>
          <w:p w:rsidR="00FB52A5" w:rsidRDefault="00FB52A5" w:rsidP="00924A8F">
            <w:pPr>
              <w:spacing w:beforeLines="20" w:before="48" w:afterLines="20" w:after="48"/>
            </w:pPr>
          </w:p>
          <w:p w:rsidR="00FB52A5" w:rsidRDefault="0044594F" w:rsidP="00924A8F">
            <w:pPr>
              <w:spacing w:beforeLines="20" w:before="48" w:afterLines="20" w:after="48"/>
            </w:pPr>
            <w:r w:rsidRPr="00927302">
              <w:t>Kilo-watts and Mega-watts, units of instantaneous real electrical power demand.  Usually the peak demand is referenced.  See also PF for the relationship between power demand quantities.</w:t>
            </w:r>
          </w:p>
        </w:tc>
      </w:tr>
      <w:tr w:rsidR="0044594F" w:rsidRPr="00927302" w:rsidTr="00393E4F">
        <w:tc>
          <w:tcPr>
            <w:tcW w:w="1951" w:type="dxa"/>
          </w:tcPr>
          <w:p w:rsidR="0044594F" w:rsidRPr="00927302" w:rsidRDefault="0044594F" w:rsidP="00924A8F">
            <w:pPr>
              <w:spacing w:beforeLines="20" w:before="48" w:afterLines="20" w:after="48"/>
            </w:pPr>
            <w:r w:rsidRPr="00927302">
              <w:t>kWh, MWh</w:t>
            </w:r>
          </w:p>
        </w:tc>
        <w:tc>
          <w:tcPr>
            <w:tcW w:w="7336" w:type="dxa"/>
          </w:tcPr>
          <w:p w:rsidR="00FB52A5" w:rsidRDefault="0044594F" w:rsidP="00924A8F">
            <w:pPr>
              <w:spacing w:beforeLines="20" w:before="48" w:afterLines="20" w:after="48"/>
            </w:pPr>
            <w:r w:rsidRPr="00927302">
              <w:t>Kilo-watt hours and Mega-watt hours, units of electrical energy consumption.</w:t>
            </w:r>
          </w:p>
        </w:tc>
      </w:tr>
      <w:tr w:rsidR="0044594F" w:rsidRPr="00927302" w:rsidTr="00393E4F">
        <w:tc>
          <w:tcPr>
            <w:tcW w:w="1951" w:type="dxa"/>
          </w:tcPr>
          <w:p w:rsidR="0044594F" w:rsidRPr="00927302" w:rsidRDefault="0044594F" w:rsidP="00924A8F">
            <w:pPr>
              <w:spacing w:beforeLines="20" w:before="48" w:afterLines="20" w:after="48"/>
            </w:pPr>
            <w:r w:rsidRPr="00927302">
              <w:t>Low Voltage</w:t>
            </w:r>
          </w:p>
        </w:tc>
        <w:tc>
          <w:tcPr>
            <w:tcW w:w="7336" w:type="dxa"/>
          </w:tcPr>
          <w:p w:rsidR="00FB52A5" w:rsidRDefault="0044594F" w:rsidP="00924A8F">
            <w:pPr>
              <w:spacing w:beforeLines="20" w:before="48" w:afterLines="20" w:after="48"/>
            </w:pPr>
            <w:r w:rsidRPr="00927302">
              <w:t>Equipment or supply at a voltage of 2</w:t>
            </w:r>
            <w:r w:rsidR="00EB6BED">
              <w:t>3</w:t>
            </w:r>
            <w:r w:rsidRPr="00927302">
              <w:t xml:space="preserve">0 V single phase or </w:t>
            </w:r>
            <w:r w:rsidR="00EB6BED">
              <w:t>415</w:t>
            </w:r>
            <w:r w:rsidRPr="00927302">
              <w:t> V, three phase.</w:t>
            </w:r>
          </w:p>
        </w:tc>
      </w:tr>
      <w:tr w:rsidR="0044594F" w:rsidRPr="00927302" w:rsidTr="00393E4F">
        <w:tc>
          <w:tcPr>
            <w:tcW w:w="1951" w:type="dxa"/>
          </w:tcPr>
          <w:p w:rsidR="0044594F" w:rsidRPr="00927302" w:rsidRDefault="0044594F" w:rsidP="00924A8F">
            <w:pPr>
              <w:spacing w:beforeLines="20" w:before="48" w:afterLines="20" w:after="48"/>
            </w:pPr>
            <w:r w:rsidRPr="00927302">
              <w:t>Marginal Cost</w:t>
            </w:r>
          </w:p>
        </w:tc>
        <w:tc>
          <w:tcPr>
            <w:tcW w:w="7336" w:type="dxa"/>
          </w:tcPr>
          <w:p w:rsidR="00FB52A5" w:rsidRDefault="0044594F" w:rsidP="00924A8F">
            <w:pPr>
              <w:spacing w:beforeLines="20" w:before="48" w:afterLines="20" w:after="48"/>
            </w:pPr>
            <w:r w:rsidRPr="00927302">
              <w:t>The cost of providing a small increment of service.  The Long Run Marginal Cost (LRMC) includes future investment, Short Run Marginal Cost (SRMC) considers only the costs involved without extra investment.</w:t>
            </w:r>
          </w:p>
        </w:tc>
      </w:tr>
      <w:tr w:rsidR="0044594F" w:rsidRPr="00927302" w:rsidTr="00393E4F">
        <w:tc>
          <w:tcPr>
            <w:tcW w:w="1951" w:type="dxa"/>
          </w:tcPr>
          <w:p w:rsidR="0044594F" w:rsidRPr="00927302" w:rsidRDefault="0044594F" w:rsidP="00924A8F">
            <w:pPr>
              <w:spacing w:beforeLines="20" w:before="48" w:afterLines="20" w:after="48"/>
            </w:pPr>
            <w:r w:rsidRPr="00927302">
              <w:t>Market Participant</w:t>
            </w:r>
          </w:p>
        </w:tc>
        <w:tc>
          <w:tcPr>
            <w:tcW w:w="7336" w:type="dxa"/>
          </w:tcPr>
          <w:p w:rsidR="00FB52A5" w:rsidRDefault="0044594F" w:rsidP="00924A8F">
            <w:pPr>
              <w:spacing w:beforeLines="20" w:before="48" w:afterLines="20" w:after="48"/>
            </w:pPr>
            <w:r w:rsidRPr="00927302">
              <w:t>Businesses involved in the electricity industry are referred to as Market or Code Participants.</w:t>
            </w:r>
          </w:p>
        </w:tc>
      </w:tr>
      <w:tr w:rsidR="0044594F" w:rsidRPr="00927302" w:rsidTr="00393E4F">
        <w:tc>
          <w:tcPr>
            <w:tcW w:w="1951" w:type="dxa"/>
          </w:tcPr>
          <w:p w:rsidR="0044594F" w:rsidRPr="00927302" w:rsidRDefault="0044594F" w:rsidP="00924A8F">
            <w:pPr>
              <w:spacing w:beforeLines="20" w:before="48" w:afterLines="20" w:after="48"/>
            </w:pPr>
            <w:r w:rsidRPr="00927302">
              <w:t>Supply Rate</w:t>
            </w:r>
          </w:p>
        </w:tc>
        <w:tc>
          <w:tcPr>
            <w:tcW w:w="7336" w:type="dxa"/>
          </w:tcPr>
          <w:p w:rsidR="00FB52A5" w:rsidRDefault="0044594F" w:rsidP="00924A8F">
            <w:pPr>
              <w:spacing w:beforeLines="20" w:before="48" w:afterLines="20" w:after="48"/>
            </w:pPr>
            <w:r w:rsidRPr="00927302">
              <w:t>The fixed daily cost component of a Network price.</w:t>
            </w:r>
          </w:p>
        </w:tc>
      </w:tr>
      <w:tr w:rsidR="0044594F" w:rsidRPr="00927302" w:rsidTr="00393E4F">
        <w:tc>
          <w:tcPr>
            <w:tcW w:w="1951" w:type="dxa"/>
          </w:tcPr>
          <w:p w:rsidR="0044594F" w:rsidRPr="00927302" w:rsidRDefault="0044594F" w:rsidP="00924A8F">
            <w:pPr>
              <w:spacing w:beforeLines="20" w:before="48" w:afterLines="20" w:after="48"/>
            </w:pPr>
            <w:r w:rsidRPr="00927302">
              <w:t>NEL</w:t>
            </w:r>
          </w:p>
        </w:tc>
        <w:tc>
          <w:tcPr>
            <w:tcW w:w="7336" w:type="dxa"/>
          </w:tcPr>
          <w:p w:rsidR="00FB52A5" w:rsidRDefault="0044594F" w:rsidP="00924A8F">
            <w:pPr>
              <w:spacing w:beforeLines="20" w:before="48" w:afterLines="20" w:after="48"/>
            </w:pPr>
            <w:r w:rsidRPr="00927302">
              <w:t>National Electricity Law.</w:t>
            </w:r>
          </w:p>
        </w:tc>
      </w:tr>
      <w:tr w:rsidR="0044594F" w:rsidRPr="00927302" w:rsidTr="00393E4F">
        <w:tc>
          <w:tcPr>
            <w:tcW w:w="1951" w:type="dxa"/>
          </w:tcPr>
          <w:p w:rsidR="0044594F" w:rsidRPr="00927302" w:rsidRDefault="0044594F" w:rsidP="00924A8F">
            <w:pPr>
              <w:spacing w:beforeLines="20" w:before="48" w:afterLines="20" w:after="48"/>
            </w:pPr>
            <w:r w:rsidRPr="00927302">
              <w:t>NEM</w:t>
            </w:r>
          </w:p>
        </w:tc>
        <w:tc>
          <w:tcPr>
            <w:tcW w:w="7336" w:type="dxa"/>
          </w:tcPr>
          <w:p w:rsidR="00FB52A5" w:rsidRDefault="0044594F" w:rsidP="00924A8F">
            <w:pPr>
              <w:spacing w:beforeLines="20" w:before="48" w:afterLines="20" w:after="48"/>
            </w:pPr>
            <w:r w:rsidRPr="00927302">
              <w:t>National Electricity Market.</w:t>
            </w:r>
          </w:p>
        </w:tc>
      </w:tr>
      <w:tr w:rsidR="0044594F" w:rsidRPr="00927302" w:rsidTr="00393E4F">
        <w:tc>
          <w:tcPr>
            <w:tcW w:w="1951" w:type="dxa"/>
          </w:tcPr>
          <w:p w:rsidR="0044594F" w:rsidRPr="00927302" w:rsidRDefault="0044594F" w:rsidP="00924A8F">
            <w:pPr>
              <w:spacing w:beforeLines="20" w:before="48" w:afterLines="20" w:after="48"/>
            </w:pPr>
            <w:r w:rsidRPr="00927302">
              <w:t>NUoS</w:t>
            </w:r>
          </w:p>
        </w:tc>
        <w:tc>
          <w:tcPr>
            <w:tcW w:w="7336" w:type="dxa"/>
          </w:tcPr>
          <w:p w:rsidR="00FB52A5" w:rsidRDefault="0044594F" w:rsidP="00924A8F">
            <w:pPr>
              <w:spacing w:beforeLines="20" w:before="48" w:afterLines="20" w:after="48"/>
            </w:pPr>
            <w:r w:rsidRPr="00927302">
              <w:t xml:space="preserve">Network Use of System. The utilisation of the total electricity network in the provision of electricity to consumers (NUoS = DUoS + TUoS).  </w:t>
            </w:r>
          </w:p>
        </w:tc>
      </w:tr>
      <w:tr w:rsidR="0044594F" w:rsidRPr="00927302" w:rsidTr="00393E4F">
        <w:tc>
          <w:tcPr>
            <w:tcW w:w="1951" w:type="dxa"/>
          </w:tcPr>
          <w:p w:rsidR="0044594F" w:rsidRPr="00927302" w:rsidRDefault="0044594F" w:rsidP="00924A8F">
            <w:pPr>
              <w:spacing w:beforeLines="20" w:before="48" w:afterLines="20" w:after="48"/>
            </w:pPr>
            <w:r>
              <w:t>PV</w:t>
            </w:r>
          </w:p>
        </w:tc>
        <w:tc>
          <w:tcPr>
            <w:tcW w:w="7336" w:type="dxa"/>
          </w:tcPr>
          <w:p w:rsidR="00FB52A5" w:rsidRDefault="0044594F" w:rsidP="00924A8F">
            <w:pPr>
              <w:spacing w:beforeLines="20" w:before="48" w:afterLines="20" w:after="48"/>
            </w:pPr>
            <w:r>
              <w:t>Photo-Voltaic</w:t>
            </w:r>
          </w:p>
        </w:tc>
      </w:tr>
      <w:tr w:rsidR="0044594F" w:rsidRPr="00927302" w:rsidTr="00393E4F">
        <w:tc>
          <w:tcPr>
            <w:tcW w:w="1951" w:type="dxa"/>
          </w:tcPr>
          <w:p w:rsidR="0044594F" w:rsidRPr="00927302" w:rsidRDefault="0044594F" w:rsidP="00924A8F">
            <w:pPr>
              <w:spacing w:beforeLines="20" w:before="48" w:afterLines="20" w:after="48"/>
            </w:pPr>
            <w:r w:rsidRPr="00927302">
              <w:t>PF</w:t>
            </w:r>
          </w:p>
        </w:tc>
        <w:tc>
          <w:tcPr>
            <w:tcW w:w="7336" w:type="dxa"/>
          </w:tcPr>
          <w:p w:rsidR="00FB52A5" w:rsidRDefault="0044594F" w:rsidP="00924A8F">
            <w:pPr>
              <w:spacing w:beforeLines="20" w:before="48" w:afterLines="20" w:after="48"/>
            </w:pPr>
            <w:r w:rsidRPr="00927302">
              <w:t>Power Factor, a measure of the ratio of real power to total power of a load.  The relationship between real, reactive and total power is as follows:</w:t>
            </w:r>
          </w:p>
          <w:p w:rsidR="00FB52A5" w:rsidRDefault="0044594F" w:rsidP="00924A8F">
            <w:pPr>
              <w:spacing w:beforeLines="20" w:before="48" w:afterLines="20" w:after="48"/>
            </w:pPr>
            <w:r>
              <w:rPr>
                <w:noProof/>
                <w:position w:val="-44"/>
                <w:lang w:val="en-US"/>
              </w:rPr>
              <w:drawing>
                <wp:inline distT="0" distB="0" distL="0" distR="0">
                  <wp:extent cx="4229100" cy="647700"/>
                  <wp:effectExtent l="1905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229100" cy="647700"/>
                          </a:xfrm>
                          <a:prstGeom prst="rect">
                            <a:avLst/>
                          </a:prstGeom>
                          <a:noFill/>
                          <a:ln w="9525">
                            <a:noFill/>
                            <a:miter lim="800000"/>
                            <a:headEnd/>
                            <a:tailEnd/>
                          </a:ln>
                        </pic:spPr>
                      </pic:pic>
                    </a:graphicData>
                  </a:graphic>
                </wp:inline>
              </w:drawing>
            </w:r>
          </w:p>
        </w:tc>
      </w:tr>
      <w:tr w:rsidR="0044594F" w:rsidRPr="00927302" w:rsidTr="00393E4F">
        <w:tc>
          <w:tcPr>
            <w:tcW w:w="1951" w:type="dxa"/>
          </w:tcPr>
          <w:p w:rsidR="0044594F" w:rsidRPr="00927302" w:rsidRDefault="0044594F" w:rsidP="00924A8F">
            <w:pPr>
              <w:spacing w:beforeLines="20" w:before="48" w:afterLines="20" w:after="48"/>
            </w:pPr>
            <w:r w:rsidRPr="00927302">
              <w:t>Price Signal</w:t>
            </w:r>
          </w:p>
        </w:tc>
        <w:tc>
          <w:tcPr>
            <w:tcW w:w="7336" w:type="dxa"/>
          </w:tcPr>
          <w:p w:rsidR="00FB52A5" w:rsidRDefault="0044594F" w:rsidP="00924A8F">
            <w:pPr>
              <w:spacing w:beforeLines="20" w:before="48" w:afterLines="20" w:after="48"/>
            </w:pPr>
            <w:r w:rsidRPr="00927302">
              <w:t>Prices set to convey a desired behaviour because of the costs associated with supplying the service.</w:t>
            </w:r>
          </w:p>
        </w:tc>
      </w:tr>
      <w:tr w:rsidR="0044594F" w:rsidRPr="00927302" w:rsidTr="00393E4F">
        <w:tc>
          <w:tcPr>
            <w:tcW w:w="1951" w:type="dxa"/>
          </w:tcPr>
          <w:p w:rsidR="0044594F" w:rsidRPr="00927302" w:rsidRDefault="0044594F" w:rsidP="00924A8F">
            <w:pPr>
              <w:spacing w:beforeLines="20" w:before="48" w:afterLines="20" w:after="48"/>
            </w:pPr>
            <w:r w:rsidRPr="00927302">
              <w:t>Price Structure</w:t>
            </w:r>
          </w:p>
        </w:tc>
        <w:tc>
          <w:tcPr>
            <w:tcW w:w="7336" w:type="dxa"/>
          </w:tcPr>
          <w:p w:rsidR="00FB52A5" w:rsidRDefault="0044594F" w:rsidP="00924A8F">
            <w:pPr>
              <w:spacing w:beforeLines="20" w:before="48" w:afterLines="20" w:after="48"/>
            </w:pPr>
            <w:r w:rsidRPr="00927302">
              <w:t>The components that make up a Price available to customers.</w:t>
            </w:r>
          </w:p>
        </w:tc>
      </w:tr>
      <w:tr w:rsidR="0044594F" w:rsidRPr="00927302" w:rsidTr="00393E4F">
        <w:tc>
          <w:tcPr>
            <w:tcW w:w="1951" w:type="dxa"/>
          </w:tcPr>
          <w:p w:rsidR="0044594F" w:rsidRPr="00927302" w:rsidRDefault="0044594F" w:rsidP="00924A8F">
            <w:pPr>
              <w:spacing w:beforeLines="20" w:before="48" w:afterLines="20" w:after="48"/>
            </w:pPr>
            <w:r w:rsidRPr="00927302">
              <w:t>Proposal</w:t>
            </w:r>
          </w:p>
        </w:tc>
        <w:tc>
          <w:tcPr>
            <w:tcW w:w="7336" w:type="dxa"/>
          </w:tcPr>
          <w:p w:rsidR="00FB52A5" w:rsidRDefault="00EA36E3" w:rsidP="00924A8F">
            <w:pPr>
              <w:spacing w:beforeLines="20" w:before="48" w:afterLines="20" w:after="48"/>
            </w:pPr>
            <w:r>
              <w:t>SA Power Networks</w:t>
            </w:r>
            <w:r w:rsidR="0044594F" w:rsidRPr="00927302">
              <w:t>’ Initial Pricing Proposal, submitted in accordance with the Rules (this document).</w:t>
            </w:r>
          </w:p>
        </w:tc>
      </w:tr>
      <w:tr w:rsidR="0044594F" w:rsidRPr="00927302" w:rsidTr="00393E4F">
        <w:tc>
          <w:tcPr>
            <w:tcW w:w="1951" w:type="dxa"/>
          </w:tcPr>
          <w:p w:rsidR="0044594F" w:rsidRPr="00927302" w:rsidRDefault="0044594F" w:rsidP="00924A8F">
            <w:pPr>
              <w:spacing w:beforeLines="20" w:before="48" w:afterLines="20" w:after="48"/>
            </w:pPr>
            <w:r w:rsidRPr="00927302">
              <w:t>Retailer</w:t>
            </w:r>
          </w:p>
        </w:tc>
        <w:tc>
          <w:tcPr>
            <w:tcW w:w="7336" w:type="dxa"/>
          </w:tcPr>
          <w:p w:rsidR="00FB52A5" w:rsidRDefault="0044594F" w:rsidP="00924A8F">
            <w:pPr>
              <w:spacing w:beforeLines="20" w:before="48" w:afterLines="20" w:after="48"/>
            </w:pPr>
            <w:r w:rsidRPr="00927302">
              <w:t>An FRC market participant (business) supplying electricity to customers.</w:t>
            </w:r>
          </w:p>
        </w:tc>
      </w:tr>
      <w:tr w:rsidR="0044594F" w:rsidRPr="00927302" w:rsidTr="00393E4F">
        <w:tc>
          <w:tcPr>
            <w:tcW w:w="1951" w:type="dxa"/>
          </w:tcPr>
          <w:p w:rsidR="0044594F" w:rsidRPr="00927302" w:rsidRDefault="0044594F" w:rsidP="00924A8F">
            <w:pPr>
              <w:spacing w:beforeLines="20" w:before="48" w:afterLines="20" w:after="48"/>
            </w:pPr>
            <w:r w:rsidRPr="00927302">
              <w:t>Rules</w:t>
            </w:r>
          </w:p>
        </w:tc>
        <w:tc>
          <w:tcPr>
            <w:tcW w:w="7336" w:type="dxa"/>
          </w:tcPr>
          <w:p w:rsidR="00FB52A5" w:rsidRDefault="0044594F" w:rsidP="00924A8F">
            <w:pPr>
              <w:spacing w:beforeLines="20" w:before="48" w:afterLines="20" w:after="48"/>
            </w:pPr>
            <w:r w:rsidRPr="00927302">
              <w:t>National Electricity Rules.</w:t>
            </w:r>
          </w:p>
        </w:tc>
      </w:tr>
      <w:tr w:rsidR="0044594F" w:rsidRPr="00927302" w:rsidTr="00393E4F">
        <w:tc>
          <w:tcPr>
            <w:tcW w:w="1951" w:type="dxa"/>
          </w:tcPr>
          <w:p w:rsidR="0044594F" w:rsidRPr="00927302" w:rsidRDefault="0044594F" w:rsidP="00924A8F">
            <w:pPr>
              <w:spacing w:beforeLines="20" w:before="48" w:afterLines="20" w:after="48"/>
            </w:pPr>
            <w:r w:rsidRPr="00927302">
              <w:t>Subtransmission</w:t>
            </w:r>
          </w:p>
        </w:tc>
        <w:tc>
          <w:tcPr>
            <w:tcW w:w="7336" w:type="dxa"/>
          </w:tcPr>
          <w:p w:rsidR="00FB52A5" w:rsidRDefault="0044594F" w:rsidP="00924A8F">
            <w:pPr>
              <w:spacing w:beforeLines="20" w:before="48" w:afterLines="20" w:after="48"/>
            </w:pPr>
            <w:r w:rsidRPr="00927302">
              <w:t>Equipment or supplies at voltage levels of</w:t>
            </w:r>
            <w:r w:rsidR="00EB6BED">
              <w:t xml:space="preserve"> </w:t>
            </w:r>
            <w:r w:rsidRPr="00927302">
              <w:t>66 or 33 kV.</w:t>
            </w:r>
          </w:p>
        </w:tc>
      </w:tr>
      <w:tr w:rsidR="0044594F" w:rsidRPr="00927302" w:rsidTr="00393E4F">
        <w:tc>
          <w:tcPr>
            <w:tcW w:w="1951" w:type="dxa"/>
          </w:tcPr>
          <w:p w:rsidR="0044594F" w:rsidRPr="00927302" w:rsidRDefault="0044594F" w:rsidP="00924A8F">
            <w:pPr>
              <w:spacing w:beforeLines="20" w:before="48" w:afterLines="20" w:after="48"/>
            </w:pPr>
            <w:r w:rsidRPr="00927302">
              <w:t>Tariff</w:t>
            </w:r>
          </w:p>
        </w:tc>
        <w:tc>
          <w:tcPr>
            <w:tcW w:w="7336" w:type="dxa"/>
          </w:tcPr>
          <w:p w:rsidR="00FB52A5" w:rsidRDefault="0044594F" w:rsidP="00924A8F">
            <w:pPr>
              <w:spacing w:beforeLines="20" w:before="48" w:afterLines="20" w:after="48"/>
            </w:pPr>
            <w:r w:rsidRPr="00927302">
              <w:t>A grouping of customers who are subject to the same network price components and conditions of supply.</w:t>
            </w:r>
          </w:p>
        </w:tc>
      </w:tr>
      <w:tr w:rsidR="0044594F" w:rsidRPr="00927302" w:rsidTr="00393E4F">
        <w:tc>
          <w:tcPr>
            <w:tcW w:w="1951" w:type="dxa"/>
          </w:tcPr>
          <w:p w:rsidR="0044594F" w:rsidRPr="00927302" w:rsidRDefault="0044594F" w:rsidP="00924A8F">
            <w:pPr>
              <w:spacing w:beforeLines="20" w:before="48" w:afterLines="20" w:after="48"/>
            </w:pPr>
            <w:r w:rsidRPr="00927302">
              <w:t>Tariff class</w:t>
            </w:r>
          </w:p>
        </w:tc>
        <w:tc>
          <w:tcPr>
            <w:tcW w:w="7336" w:type="dxa"/>
          </w:tcPr>
          <w:p w:rsidR="00FB52A5" w:rsidRDefault="0044594F" w:rsidP="00924A8F">
            <w:pPr>
              <w:spacing w:beforeLines="20" w:before="48" w:afterLines="20" w:after="48"/>
            </w:pPr>
            <w:r w:rsidRPr="00927302">
              <w:t>A class of customers for one or more direct control services who are subject to a particular tariff or particular tariffs.</w:t>
            </w:r>
          </w:p>
        </w:tc>
      </w:tr>
      <w:tr w:rsidR="0044594F" w:rsidRPr="00927302" w:rsidTr="00393E4F">
        <w:tc>
          <w:tcPr>
            <w:tcW w:w="1951" w:type="dxa"/>
          </w:tcPr>
          <w:p w:rsidR="0044594F" w:rsidRPr="00927302" w:rsidRDefault="0044594F" w:rsidP="00924A8F">
            <w:pPr>
              <w:spacing w:beforeLines="20" w:before="48" w:afterLines="20" w:after="48"/>
            </w:pPr>
            <w:r w:rsidRPr="00927302">
              <w:t>ToU</w:t>
            </w:r>
          </w:p>
        </w:tc>
        <w:tc>
          <w:tcPr>
            <w:tcW w:w="7336" w:type="dxa"/>
          </w:tcPr>
          <w:p w:rsidR="00FB52A5" w:rsidRDefault="0044594F" w:rsidP="00924A8F">
            <w:pPr>
              <w:spacing w:beforeLines="20" w:before="48" w:afterLines="20" w:after="48"/>
            </w:pPr>
            <w:r w:rsidRPr="00927302">
              <w:t>Time of Use, a system of pricing where energy or demand charges are higher in periods of peak utilisation of the network.</w:t>
            </w:r>
          </w:p>
        </w:tc>
      </w:tr>
      <w:tr w:rsidR="0044594F" w:rsidRPr="00927302" w:rsidTr="00393E4F">
        <w:tc>
          <w:tcPr>
            <w:tcW w:w="1951" w:type="dxa"/>
          </w:tcPr>
          <w:p w:rsidR="0044594F" w:rsidRPr="00927302" w:rsidRDefault="0044594F" w:rsidP="00924A8F">
            <w:pPr>
              <w:spacing w:beforeLines="20" w:before="48" w:afterLines="20" w:after="48"/>
            </w:pPr>
            <w:r w:rsidRPr="00927302">
              <w:t>Transmission Network</w:t>
            </w:r>
          </w:p>
        </w:tc>
        <w:tc>
          <w:tcPr>
            <w:tcW w:w="7336" w:type="dxa"/>
          </w:tcPr>
          <w:p w:rsidR="00FB52A5" w:rsidRDefault="0044594F" w:rsidP="00924A8F">
            <w:pPr>
              <w:spacing w:beforeLines="20" w:before="48" w:afterLines="20" w:after="48"/>
            </w:pPr>
            <w:r w:rsidRPr="00927302">
              <w:t>The assets and service that enable generators to transmit their electrical energy to population centres.  Opera</w:t>
            </w:r>
            <w:r>
              <w:t>ting voltage of equipment is 275</w:t>
            </w:r>
            <w:r w:rsidR="00EB6BED">
              <w:t xml:space="preserve"> and 132 kV with some at</w:t>
            </w:r>
            <w:r w:rsidRPr="00927302">
              <w:t xml:space="preserve"> 66 kV.</w:t>
            </w:r>
          </w:p>
        </w:tc>
      </w:tr>
      <w:tr w:rsidR="0044594F" w:rsidRPr="00927302" w:rsidTr="00393E4F">
        <w:tc>
          <w:tcPr>
            <w:tcW w:w="1951" w:type="dxa"/>
          </w:tcPr>
          <w:p w:rsidR="0044594F" w:rsidRPr="00927302" w:rsidRDefault="0044594F" w:rsidP="00924A8F">
            <w:pPr>
              <w:spacing w:beforeLines="20" w:before="48" w:afterLines="20" w:after="48"/>
            </w:pPr>
            <w:r w:rsidRPr="00927302">
              <w:t>TUoS</w:t>
            </w:r>
          </w:p>
        </w:tc>
        <w:tc>
          <w:tcPr>
            <w:tcW w:w="7336" w:type="dxa"/>
          </w:tcPr>
          <w:p w:rsidR="00FB52A5" w:rsidRDefault="0044594F" w:rsidP="00924A8F">
            <w:pPr>
              <w:spacing w:beforeLines="20" w:before="48" w:afterLines="20" w:after="48"/>
            </w:pPr>
            <w:r w:rsidRPr="00927302">
              <w:t>Transmission Use of System charges for the utilisation of the transmission network.</w:t>
            </w:r>
          </w:p>
        </w:tc>
      </w:tr>
      <w:tr w:rsidR="0044594F" w:rsidRPr="00927302" w:rsidTr="00393E4F">
        <w:tc>
          <w:tcPr>
            <w:tcW w:w="1951" w:type="dxa"/>
          </w:tcPr>
          <w:p w:rsidR="00393E4F" w:rsidRDefault="00393E4F" w:rsidP="00924A8F">
            <w:pPr>
              <w:spacing w:beforeLines="20" w:before="48" w:afterLines="20" w:after="48"/>
            </w:pPr>
          </w:p>
          <w:p w:rsidR="00FB52A5" w:rsidRDefault="00FB52A5" w:rsidP="00924A8F">
            <w:pPr>
              <w:spacing w:beforeLines="20" w:before="48" w:afterLines="20" w:after="48"/>
            </w:pPr>
          </w:p>
          <w:p w:rsidR="00FB52A5" w:rsidRDefault="0044594F" w:rsidP="00924A8F">
            <w:pPr>
              <w:spacing w:beforeLines="20" w:before="48" w:afterLines="20" w:after="48"/>
            </w:pPr>
            <w:r w:rsidRPr="00927302">
              <w:t>Unmetered supply</w:t>
            </w:r>
          </w:p>
        </w:tc>
        <w:tc>
          <w:tcPr>
            <w:tcW w:w="7336" w:type="dxa"/>
          </w:tcPr>
          <w:p w:rsidR="00FB52A5" w:rsidRDefault="00FB52A5" w:rsidP="00924A8F">
            <w:pPr>
              <w:spacing w:beforeLines="20" w:before="48" w:afterLines="20" w:after="48"/>
            </w:pPr>
          </w:p>
          <w:p w:rsidR="00FB52A5" w:rsidRDefault="00FB52A5" w:rsidP="00924A8F">
            <w:pPr>
              <w:spacing w:beforeLines="20" w:before="48" w:afterLines="20" w:after="48"/>
            </w:pPr>
          </w:p>
          <w:p w:rsidR="00FB52A5" w:rsidRDefault="0044594F" w:rsidP="00924A8F">
            <w:pPr>
              <w:spacing w:beforeLines="20" w:before="48" w:afterLines="20" w:after="48"/>
            </w:pPr>
            <w:r w:rsidRPr="00927302">
              <w:t>A connection to the distribution system which is not equipped with a meter and has estimated consumption.  Connections to public lights, phone boxes, traffic lights and the like are not normally metered.</w:t>
            </w:r>
          </w:p>
        </w:tc>
      </w:tr>
      <w:tr w:rsidR="0044594F" w:rsidRPr="00927302" w:rsidTr="00393E4F">
        <w:tc>
          <w:tcPr>
            <w:tcW w:w="1951" w:type="dxa"/>
          </w:tcPr>
          <w:p w:rsidR="0044594F" w:rsidRPr="00927302" w:rsidRDefault="0044594F" w:rsidP="00924A8F">
            <w:pPr>
              <w:spacing w:beforeLines="20" w:before="48" w:afterLines="20" w:after="48"/>
            </w:pPr>
            <w:r w:rsidRPr="00927302">
              <w:t xml:space="preserve">WAPC </w:t>
            </w:r>
          </w:p>
        </w:tc>
        <w:tc>
          <w:tcPr>
            <w:tcW w:w="7336" w:type="dxa"/>
          </w:tcPr>
          <w:p w:rsidR="00FB52A5" w:rsidRDefault="0044594F" w:rsidP="00924A8F">
            <w:pPr>
              <w:spacing w:beforeLines="20" w:before="48" w:afterLines="20" w:after="48"/>
            </w:pPr>
            <w:r w:rsidRPr="00927302">
              <w:t>Weighted Average Price Cap, a form of regulatory price control, where the allowable price change is based on the weighted historic consumption of each price.</w:t>
            </w:r>
          </w:p>
        </w:tc>
      </w:tr>
      <w:tr w:rsidR="0044594F" w:rsidRPr="00927302" w:rsidTr="00393E4F">
        <w:tc>
          <w:tcPr>
            <w:tcW w:w="1951" w:type="dxa"/>
          </w:tcPr>
          <w:p w:rsidR="0044594F" w:rsidRPr="00927302" w:rsidRDefault="0044594F" w:rsidP="00924A8F">
            <w:pPr>
              <w:spacing w:beforeLines="20" w:before="48" w:afterLines="20" w:after="48"/>
            </w:pPr>
          </w:p>
        </w:tc>
        <w:tc>
          <w:tcPr>
            <w:tcW w:w="7336" w:type="dxa"/>
          </w:tcPr>
          <w:p w:rsidR="00FB52A5" w:rsidRDefault="00FB52A5" w:rsidP="00924A8F">
            <w:pPr>
              <w:spacing w:beforeLines="20" w:before="48" w:afterLines="20" w:after="48"/>
            </w:pPr>
          </w:p>
        </w:tc>
      </w:tr>
    </w:tbl>
    <w:p w:rsidR="0044594F" w:rsidRDefault="0044594F" w:rsidP="0044594F">
      <w:pPr>
        <w:sectPr w:rsidR="0044594F" w:rsidSect="00393E4F">
          <w:type w:val="oddPage"/>
          <w:pgSz w:w="11906" w:h="16838" w:code="9"/>
          <w:pgMar w:top="1418" w:right="1134" w:bottom="1134" w:left="1701" w:header="709" w:footer="709" w:gutter="0"/>
          <w:pgNumType w:fmt="lowerRoman"/>
          <w:cols w:space="708"/>
          <w:titlePg/>
          <w:docGrid w:linePitch="360"/>
        </w:sectPr>
      </w:pPr>
    </w:p>
    <w:p w:rsidR="0044594F" w:rsidRPr="00927302" w:rsidRDefault="0044594F" w:rsidP="0044594F">
      <w:pPr>
        <w:pStyle w:val="TOCHeading"/>
      </w:pPr>
      <w:r w:rsidRPr="00927302">
        <w:t>Contents</w:t>
      </w:r>
    </w:p>
    <w:p w:rsidR="00477C39" w:rsidRDefault="00575C9A">
      <w:pPr>
        <w:pStyle w:val="TOC1"/>
        <w:tabs>
          <w:tab w:val="right" w:leader="dot" w:pos="9061"/>
        </w:tabs>
        <w:rPr>
          <w:rFonts w:eastAsiaTheme="minorEastAsia" w:cstheme="minorBidi"/>
          <w:noProof/>
          <w:lang w:eastAsia="en-AU"/>
        </w:rPr>
      </w:pPr>
      <w:r w:rsidRPr="000B1906">
        <w:rPr>
          <w:rFonts w:cs="Times New Roman"/>
          <w:noProof/>
          <w:lang w:bidi="en-US"/>
        </w:rPr>
        <w:fldChar w:fldCharType="begin"/>
      </w:r>
      <w:r w:rsidR="0044594F" w:rsidRPr="000B1906">
        <w:rPr>
          <w:rFonts w:cs="Times New Roman"/>
          <w:noProof/>
          <w:lang w:bidi="en-US"/>
        </w:rPr>
        <w:instrText xml:space="preserve"> TOC \o "1-2" </w:instrText>
      </w:r>
      <w:r w:rsidRPr="000B1906">
        <w:rPr>
          <w:rFonts w:cs="Times New Roman"/>
          <w:noProof/>
          <w:lang w:bidi="en-US"/>
        </w:rPr>
        <w:fldChar w:fldCharType="separate"/>
      </w:r>
      <w:r w:rsidR="00477C39">
        <w:rPr>
          <w:noProof/>
          <w:lang w:bidi="en-US"/>
        </w:rPr>
        <w:t>Executive Summary</w:t>
      </w:r>
      <w:r w:rsidR="00477C39">
        <w:rPr>
          <w:noProof/>
        </w:rPr>
        <w:tab/>
      </w:r>
      <w:r>
        <w:rPr>
          <w:noProof/>
        </w:rPr>
        <w:fldChar w:fldCharType="begin"/>
      </w:r>
      <w:r w:rsidR="00477C39">
        <w:rPr>
          <w:noProof/>
        </w:rPr>
        <w:instrText xml:space="preserve"> PAGEREF _Toc420009807 \h </w:instrText>
      </w:r>
      <w:r>
        <w:rPr>
          <w:noProof/>
        </w:rPr>
      </w:r>
      <w:r>
        <w:rPr>
          <w:noProof/>
        </w:rPr>
        <w:fldChar w:fldCharType="separate"/>
      </w:r>
      <w:r w:rsidR="00A81AFE">
        <w:rPr>
          <w:noProof/>
        </w:rPr>
        <w:t>iii</w:t>
      </w:r>
      <w:r>
        <w:rPr>
          <w:noProof/>
        </w:rPr>
        <w:fldChar w:fldCharType="end"/>
      </w:r>
    </w:p>
    <w:p w:rsidR="00477C39" w:rsidRDefault="00477C39">
      <w:pPr>
        <w:pStyle w:val="TOC1"/>
        <w:tabs>
          <w:tab w:val="right" w:leader="dot" w:pos="9061"/>
        </w:tabs>
        <w:rPr>
          <w:rFonts w:eastAsiaTheme="minorEastAsia" w:cstheme="minorBidi"/>
          <w:noProof/>
          <w:lang w:eastAsia="en-AU"/>
        </w:rPr>
      </w:pPr>
      <w:r>
        <w:rPr>
          <w:noProof/>
          <w:lang w:bidi="en-US"/>
        </w:rPr>
        <w:t>Shortened forms</w:t>
      </w:r>
      <w:r>
        <w:rPr>
          <w:noProof/>
        </w:rPr>
        <w:tab/>
      </w:r>
      <w:r w:rsidR="00575C9A">
        <w:rPr>
          <w:noProof/>
        </w:rPr>
        <w:fldChar w:fldCharType="begin"/>
      </w:r>
      <w:r>
        <w:rPr>
          <w:noProof/>
        </w:rPr>
        <w:instrText xml:space="preserve"> PAGEREF _Toc420009808 \h </w:instrText>
      </w:r>
      <w:r w:rsidR="00575C9A">
        <w:rPr>
          <w:noProof/>
        </w:rPr>
      </w:r>
      <w:r w:rsidR="00575C9A">
        <w:rPr>
          <w:noProof/>
        </w:rPr>
        <w:fldChar w:fldCharType="separate"/>
      </w:r>
      <w:r w:rsidR="00A81AFE">
        <w:rPr>
          <w:noProof/>
        </w:rPr>
        <w:t>vii</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1</w:t>
      </w:r>
      <w:r>
        <w:rPr>
          <w:rFonts w:eastAsiaTheme="minorEastAsia" w:cstheme="minorBidi"/>
          <w:noProof/>
          <w:lang w:eastAsia="en-AU"/>
        </w:rPr>
        <w:tab/>
      </w:r>
      <w:r>
        <w:rPr>
          <w:noProof/>
          <w:lang w:bidi="en-US"/>
        </w:rPr>
        <w:t>Introduction</w:t>
      </w:r>
      <w:r>
        <w:rPr>
          <w:noProof/>
        </w:rPr>
        <w:tab/>
      </w:r>
      <w:r w:rsidR="00575C9A">
        <w:rPr>
          <w:noProof/>
        </w:rPr>
        <w:fldChar w:fldCharType="begin"/>
      </w:r>
      <w:r>
        <w:rPr>
          <w:noProof/>
        </w:rPr>
        <w:instrText xml:space="preserve"> PAGEREF _Toc420009809 \h </w:instrText>
      </w:r>
      <w:r w:rsidR="00575C9A">
        <w:rPr>
          <w:noProof/>
        </w:rPr>
      </w:r>
      <w:r w:rsidR="00575C9A">
        <w:rPr>
          <w:noProof/>
        </w:rPr>
        <w:fldChar w:fldCharType="separate"/>
      </w:r>
      <w:r w:rsidR="00A81AFE">
        <w:rPr>
          <w:noProof/>
        </w:rPr>
        <w:t>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1.1</w:t>
      </w:r>
      <w:r>
        <w:rPr>
          <w:rFonts w:eastAsiaTheme="minorEastAsia" w:cstheme="minorBidi"/>
          <w:noProof/>
          <w:lang w:eastAsia="en-AU"/>
        </w:rPr>
        <w:tab/>
      </w:r>
      <w:r>
        <w:rPr>
          <w:noProof/>
          <w:lang w:bidi="en-US"/>
        </w:rPr>
        <w:t>National Electricity Rules</w:t>
      </w:r>
      <w:r>
        <w:rPr>
          <w:noProof/>
        </w:rPr>
        <w:tab/>
      </w:r>
      <w:r w:rsidR="00575C9A">
        <w:rPr>
          <w:noProof/>
        </w:rPr>
        <w:fldChar w:fldCharType="begin"/>
      </w:r>
      <w:r>
        <w:rPr>
          <w:noProof/>
        </w:rPr>
        <w:instrText xml:space="preserve"> PAGEREF _Toc420009810 \h </w:instrText>
      </w:r>
      <w:r w:rsidR="00575C9A">
        <w:rPr>
          <w:noProof/>
        </w:rPr>
      </w:r>
      <w:r w:rsidR="00575C9A">
        <w:rPr>
          <w:noProof/>
        </w:rPr>
        <w:fldChar w:fldCharType="separate"/>
      </w:r>
      <w:r w:rsidR="00A81AFE">
        <w:rPr>
          <w:noProof/>
        </w:rPr>
        <w:t>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1.2</w:t>
      </w:r>
      <w:r>
        <w:rPr>
          <w:rFonts w:eastAsiaTheme="minorEastAsia" w:cstheme="minorBidi"/>
          <w:noProof/>
          <w:lang w:eastAsia="en-AU"/>
        </w:rPr>
        <w:tab/>
      </w:r>
      <w:r>
        <w:rPr>
          <w:noProof/>
          <w:lang w:bidi="en-US"/>
        </w:rPr>
        <w:t xml:space="preserve">Scope of </w:t>
      </w:r>
      <w:r w:rsidR="00EA36E3">
        <w:rPr>
          <w:noProof/>
          <w:lang w:bidi="en-US"/>
        </w:rPr>
        <w:t>SA Power Networks</w:t>
      </w:r>
      <w:r>
        <w:rPr>
          <w:noProof/>
          <w:lang w:bidi="en-US"/>
        </w:rPr>
        <w:t>’ Pricing Proposal</w:t>
      </w:r>
      <w:r>
        <w:rPr>
          <w:noProof/>
        </w:rPr>
        <w:tab/>
      </w:r>
      <w:r w:rsidR="00575C9A">
        <w:rPr>
          <w:noProof/>
        </w:rPr>
        <w:fldChar w:fldCharType="begin"/>
      </w:r>
      <w:r>
        <w:rPr>
          <w:noProof/>
        </w:rPr>
        <w:instrText xml:space="preserve"> PAGEREF _Toc420009811 \h </w:instrText>
      </w:r>
      <w:r w:rsidR="00575C9A">
        <w:rPr>
          <w:noProof/>
        </w:rPr>
      </w:r>
      <w:r w:rsidR="00575C9A">
        <w:rPr>
          <w:noProof/>
        </w:rPr>
        <w:fldChar w:fldCharType="separate"/>
      </w:r>
      <w:r w:rsidR="00A81AFE">
        <w:rPr>
          <w:noProof/>
        </w:rPr>
        <w:t>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1.3</w:t>
      </w:r>
      <w:r>
        <w:rPr>
          <w:rFonts w:eastAsiaTheme="minorEastAsia" w:cstheme="minorBidi"/>
          <w:noProof/>
          <w:lang w:eastAsia="en-AU"/>
        </w:rPr>
        <w:tab/>
      </w:r>
      <w:r>
        <w:rPr>
          <w:noProof/>
          <w:lang w:bidi="en-US"/>
        </w:rPr>
        <w:t xml:space="preserve">Structure of </w:t>
      </w:r>
      <w:r w:rsidR="00EA36E3">
        <w:rPr>
          <w:noProof/>
          <w:lang w:bidi="en-US"/>
        </w:rPr>
        <w:t>SA Power Networks</w:t>
      </w:r>
      <w:r>
        <w:rPr>
          <w:noProof/>
          <w:lang w:bidi="en-US"/>
        </w:rPr>
        <w:t>’ Pricing Proposal</w:t>
      </w:r>
      <w:r>
        <w:rPr>
          <w:noProof/>
        </w:rPr>
        <w:tab/>
      </w:r>
      <w:r w:rsidR="00575C9A">
        <w:rPr>
          <w:noProof/>
        </w:rPr>
        <w:fldChar w:fldCharType="begin"/>
      </w:r>
      <w:r>
        <w:rPr>
          <w:noProof/>
        </w:rPr>
        <w:instrText xml:space="preserve"> PAGEREF _Toc420009812 \h </w:instrText>
      </w:r>
      <w:r w:rsidR="00575C9A">
        <w:rPr>
          <w:noProof/>
        </w:rPr>
      </w:r>
      <w:r w:rsidR="00575C9A">
        <w:rPr>
          <w:noProof/>
        </w:rPr>
        <w:fldChar w:fldCharType="separate"/>
      </w:r>
      <w:r w:rsidR="00A81AFE">
        <w:rPr>
          <w:noProof/>
        </w:rPr>
        <w:t>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1.4</w:t>
      </w:r>
      <w:r>
        <w:rPr>
          <w:rFonts w:eastAsiaTheme="minorEastAsia" w:cstheme="minorBidi"/>
          <w:noProof/>
          <w:lang w:eastAsia="en-AU"/>
        </w:rPr>
        <w:tab/>
      </w:r>
      <w:r>
        <w:rPr>
          <w:noProof/>
          <w:lang w:bidi="en-US"/>
        </w:rPr>
        <w:t>Confidential information</w:t>
      </w:r>
      <w:r>
        <w:rPr>
          <w:noProof/>
        </w:rPr>
        <w:tab/>
      </w:r>
      <w:r w:rsidR="00575C9A">
        <w:rPr>
          <w:noProof/>
        </w:rPr>
        <w:fldChar w:fldCharType="begin"/>
      </w:r>
      <w:r>
        <w:rPr>
          <w:noProof/>
        </w:rPr>
        <w:instrText xml:space="preserve"> PAGEREF _Toc420009813 \h </w:instrText>
      </w:r>
      <w:r w:rsidR="00575C9A">
        <w:rPr>
          <w:noProof/>
        </w:rPr>
      </w:r>
      <w:r w:rsidR="00575C9A">
        <w:rPr>
          <w:noProof/>
        </w:rPr>
        <w:fldChar w:fldCharType="separate"/>
      </w:r>
      <w:r w:rsidR="00A81AFE">
        <w:rPr>
          <w:noProof/>
        </w:rPr>
        <w:t>4</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2</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_Toc420009814 \h </w:instrText>
      </w:r>
      <w:r w:rsidR="00575C9A">
        <w:rPr>
          <w:noProof/>
        </w:rPr>
      </w:r>
      <w:r w:rsidR="00575C9A">
        <w:rPr>
          <w:noProof/>
        </w:rPr>
        <w:fldChar w:fldCharType="separate"/>
      </w:r>
      <w:r w:rsidR="00A81AFE">
        <w:rPr>
          <w:noProof/>
        </w:rPr>
        <w:t>5</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2.1</w:t>
      </w:r>
      <w:r>
        <w:rPr>
          <w:rFonts w:eastAsiaTheme="minorEastAsia" w:cstheme="minorBidi"/>
          <w:noProof/>
          <w:lang w:eastAsia="en-AU"/>
        </w:rPr>
        <w:tab/>
      </w:r>
      <w:r>
        <w:rPr>
          <w:noProof/>
          <w:lang w:bidi="en-US"/>
        </w:rPr>
        <w:t>Rules requirements</w:t>
      </w:r>
      <w:r>
        <w:rPr>
          <w:noProof/>
        </w:rPr>
        <w:tab/>
      </w:r>
      <w:r w:rsidR="00575C9A">
        <w:rPr>
          <w:noProof/>
        </w:rPr>
        <w:fldChar w:fldCharType="begin"/>
      </w:r>
      <w:r>
        <w:rPr>
          <w:noProof/>
        </w:rPr>
        <w:instrText xml:space="preserve"> PAGEREF _Toc420009815 \h </w:instrText>
      </w:r>
      <w:r w:rsidR="00575C9A">
        <w:rPr>
          <w:noProof/>
        </w:rPr>
      </w:r>
      <w:r w:rsidR="00575C9A">
        <w:rPr>
          <w:noProof/>
        </w:rPr>
        <w:fldChar w:fldCharType="separate"/>
      </w:r>
      <w:r w:rsidR="00A81AFE">
        <w:rPr>
          <w:noProof/>
        </w:rPr>
        <w:t>5</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2.2</w:t>
      </w:r>
      <w:r>
        <w:rPr>
          <w:rFonts w:eastAsiaTheme="minorEastAsia" w:cstheme="minorBidi"/>
          <w:noProof/>
          <w:lang w:eastAsia="en-AU"/>
        </w:rPr>
        <w:tab/>
      </w:r>
      <w:r>
        <w:rPr>
          <w:noProof/>
          <w:lang w:bidi="en-US"/>
        </w:rPr>
        <w:t>Requirements of the AER’s 2015 Preliminary Decision</w:t>
      </w:r>
      <w:r>
        <w:rPr>
          <w:noProof/>
        </w:rPr>
        <w:tab/>
      </w:r>
      <w:r w:rsidR="00575C9A">
        <w:rPr>
          <w:noProof/>
        </w:rPr>
        <w:fldChar w:fldCharType="begin"/>
      </w:r>
      <w:r>
        <w:rPr>
          <w:noProof/>
        </w:rPr>
        <w:instrText xml:space="preserve"> PAGEREF _Toc420009816 \h </w:instrText>
      </w:r>
      <w:r w:rsidR="00575C9A">
        <w:rPr>
          <w:noProof/>
        </w:rPr>
      </w:r>
      <w:r w:rsidR="00575C9A">
        <w:rPr>
          <w:noProof/>
        </w:rPr>
        <w:fldChar w:fldCharType="separate"/>
      </w:r>
      <w:r w:rsidR="00A81AFE">
        <w:rPr>
          <w:noProof/>
        </w:rPr>
        <w:t>6</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2.3</w:t>
      </w:r>
      <w:r>
        <w:rPr>
          <w:rFonts w:eastAsiaTheme="minorEastAsia" w:cstheme="minorBidi"/>
          <w:noProof/>
          <w:lang w:eastAsia="en-AU"/>
        </w:rPr>
        <w:tab/>
      </w:r>
      <w:r>
        <w:rPr>
          <w:noProof/>
          <w:lang w:bidi="en-US"/>
        </w:rPr>
        <w:t>Principal elements of the AER’s 2015 Preliminary Decision</w:t>
      </w:r>
      <w:r>
        <w:rPr>
          <w:noProof/>
        </w:rPr>
        <w:tab/>
      </w:r>
      <w:r w:rsidR="00575C9A">
        <w:rPr>
          <w:noProof/>
        </w:rPr>
        <w:fldChar w:fldCharType="begin"/>
      </w:r>
      <w:r>
        <w:rPr>
          <w:noProof/>
        </w:rPr>
        <w:instrText xml:space="preserve"> PAGEREF _Toc420009817 \h </w:instrText>
      </w:r>
      <w:r w:rsidR="00575C9A">
        <w:rPr>
          <w:noProof/>
        </w:rPr>
      </w:r>
      <w:r w:rsidR="00575C9A">
        <w:rPr>
          <w:noProof/>
        </w:rPr>
        <w:fldChar w:fldCharType="separate"/>
      </w:r>
      <w:r w:rsidR="00A81AFE">
        <w:rPr>
          <w:noProof/>
        </w:rPr>
        <w:t>6</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2.4</w:t>
      </w:r>
      <w:r>
        <w:rPr>
          <w:rFonts w:eastAsiaTheme="minorEastAsia" w:cstheme="minorBidi"/>
          <w:noProof/>
          <w:lang w:eastAsia="en-AU"/>
        </w:rPr>
        <w:tab/>
      </w:r>
      <w:r>
        <w:rPr>
          <w:noProof/>
          <w:lang w:bidi="en-US"/>
        </w:rPr>
        <w:t>Publication of information about tariffs and tariff classes</w:t>
      </w:r>
      <w:r>
        <w:rPr>
          <w:noProof/>
        </w:rPr>
        <w:tab/>
      </w:r>
      <w:r w:rsidR="00575C9A">
        <w:rPr>
          <w:noProof/>
        </w:rPr>
        <w:fldChar w:fldCharType="begin"/>
      </w:r>
      <w:r>
        <w:rPr>
          <w:noProof/>
        </w:rPr>
        <w:instrText xml:space="preserve"> PAGEREF _Toc420009818 \h </w:instrText>
      </w:r>
      <w:r w:rsidR="00575C9A">
        <w:rPr>
          <w:noProof/>
        </w:rPr>
      </w:r>
      <w:r w:rsidR="00575C9A">
        <w:rPr>
          <w:noProof/>
        </w:rPr>
        <w:fldChar w:fldCharType="separate"/>
      </w:r>
      <w:r w:rsidR="00A81AFE">
        <w:rPr>
          <w:noProof/>
        </w:rPr>
        <w:t>10</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3</w:t>
      </w:r>
      <w:r>
        <w:rPr>
          <w:rFonts w:eastAsiaTheme="minorEastAsia" w:cstheme="minorBidi"/>
          <w:noProof/>
          <w:lang w:eastAsia="en-AU"/>
        </w:rPr>
        <w:tab/>
      </w:r>
      <w:r>
        <w:rPr>
          <w:noProof/>
          <w:lang w:bidi="en-US"/>
        </w:rPr>
        <w:t>Business overview</w:t>
      </w:r>
      <w:r>
        <w:rPr>
          <w:noProof/>
        </w:rPr>
        <w:tab/>
      </w:r>
      <w:r w:rsidR="00575C9A">
        <w:rPr>
          <w:noProof/>
        </w:rPr>
        <w:fldChar w:fldCharType="begin"/>
      </w:r>
      <w:r>
        <w:rPr>
          <w:noProof/>
        </w:rPr>
        <w:instrText xml:space="preserve"> PAGEREF _Toc420009819 \h </w:instrText>
      </w:r>
      <w:r w:rsidR="00575C9A">
        <w:rPr>
          <w:noProof/>
        </w:rPr>
      </w:r>
      <w:r w:rsidR="00575C9A">
        <w:rPr>
          <w:noProof/>
        </w:rPr>
        <w:fldChar w:fldCharType="separate"/>
      </w:r>
      <w:r w:rsidR="00A81AFE">
        <w:rPr>
          <w:noProof/>
        </w:rPr>
        <w:t>11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3.1</w:t>
      </w:r>
      <w:r>
        <w:rPr>
          <w:rFonts w:eastAsiaTheme="minorEastAsia" w:cstheme="minorBidi"/>
          <w:noProof/>
          <w:lang w:eastAsia="en-AU"/>
        </w:rPr>
        <w:tab/>
      </w:r>
      <w:r w:rsidR="00EA36E3">
        <w:rPr>
          <w:noProof/>
          <w:lang w:bidi="en-US"/>
        </w:rPr>
        <w:t>SA Power Networks</w:t>
      </w:r>
      <w:r>
        <w:rPr>
          <w:noProof/>
          <w:lang w:bidi="en-US"/>
        </w:rPr>
        <w:t>’ business</w:t>
      </w:r>
      <w:r>
        <w:rPr>
          <w:noProof/>
        </w:rPr>
        <w:tab/>
      </w:r>
      <w:r w:rsidR="00575C9A">
        <w:rPr>
          <w:noProof/>
        </w:rPr>
        <w:fldChar w:fldCharType="begin"/>
      </w:r>
      <w:r>
        <w:rPr>
          <w:noProof/>
        </w:rPr>
        <w:instrText xml:space="preserve"> PAGEREF _Toc420009820 \h </w:instrText>
      </w:r>
      <w:r w:rsidR="00575C9A">
        <w:rPr>
          <w:noProof/>
        </w:rPr>
      </w:r>
      <w:r w:rsidR="00575C9A">
        <w:rPr>
          <w:noProof/>
        </w:rPr>
        <w:fldChar w:fldCharType="separate"/>
      </w:r>
      <w:r w:rsidR="00A81AFE">
        <w:rPr>
          <w:noProof/>
        </w:rPr>
        <w:t>11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3.2</w:t>
      </w:r>
      <w:r>
        <w:rPr>
          <w:rFonts w:eastAsiaTheme="minorEastAsia" w:cstheme="minorBidi"/>
          <w:noProof/>
          <w:lang w:eastAsia="en-AU"/>
        </w:rPr>
        <w:tab/>
      </w:r>
      <w:r>
        <w:rPr>
          <w:noProof/>
          <w:lang w:bidi="en-US"/>
        </w:rPr>
        <w:t>State-wide pricing</w:t>
      </w:r>
      <w:r>
        <w:rPr>
          <w:noProof/>
        </w:rPr>
        <w:tab/>
      </w:r>
      <w:r w:rsidR="00575C9A">
        <w:rPr>
          <w:noProof/>
        </w:rPr>
        <w:fldChar w:fldCharType="begin"/>
      </w:r>
      <w:r>
        <w:rPr>
          <w:noProof/>
        </w:rPr>
        <w:instrText xml:space="preserve"> PAGEREF _Toc420009821 \h </w:instrText>
      </w:r>
      <w:r w:rsidR="00575C9A">
        <w:rPr>
          <w:noProof/>
        </w:rPr>
      </w:r>
      <w:r w:rsidR="00575C9A">
        <w:rPr>
          <w:noProof/>
        </w:rPr>
        <w:fldChar w:fldCharType="separate"/>
      </w:r>
      <w:r w:rsidR="00A81AFE">
        <w:rPr>
          <w:noProof/>
        </w:rPr>
        <w:t>11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3.3</w:t>
      </w:r>
      <w:r>
        <w:rPr>
          <w:rFonts w:eastAsiaTheme="minorEastAsia" w:cstheme="minorBidi"/>
          <w:noProof/>
          <w:lang w:eastAsia="en-AU"/>
        </w:rPr>
        <w:tab/>
      </w:r>
      <w:r>
        <w:rPr>
          <w:noProof/>
          <w:lang w:bidi="en-US"/>
        </w:rPr>
        <w:t>Characteristics of the region</w:t>
      </w:r>
      <w:r>
        <w:rPr>
          <w:noProof/>
        </w:rPr>
        <w:tab/>
      </w:r>
      <w:r w:rsidR="00575C9A">
        <w:rPr>
          <w:noProof/>
        </w:rPr>
        <w:fldChar w:fldCharType="begin"/>
      </w:r>
      <w:r>
        <w:rPr>
          <w:noProof/>
        </w:rPr>
        <w:instrText xml:space="preserve"> PAGEREF _Toc420009822 \h </w:instrText>
      </w:r>
      <w:r w:rsidR="00575C9A">
        <w:rPr>
          <w:noProof/>
        </w:rPr>
      </w:r>
      <w:r w:rsidR="00575C9A">
        <w:rPr>
          <w:noProof/>
        </w:rPr>
        <w:fldChar w:fldCharType="separate"/>
      </w:r>
      <w:r w:rsidR="00A81AFE">
        <w:rPr>
          <w:noProof/>
        </w:rPr>
        <w:t>12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3.4</w:t>
      </w:r>
      <w:r>
        <w:rPr>
          <w:rFonts w:eastAsiaTheme="minorEastAsia" w:cstheme="minorBidi"/>
          <w:noProof/>
          <w:lang w:eastAsia="en-AU"/>
        </w:rPr>
        <w:tab/>
      </w:r>
      <w:r>
        <w:rPr>
          <w:noProof/>
          <w:lang w:bidi="en-US"/>
        </w:rPr>
        <w:t>Climatic conditions</w:t>
      </w:r>
      <w:r>
        <w:rPr>
          <w:noProof/>
        </w:rPr>
        <w:tab/>
      </w:r>
      <w:r w:rsidR="00575C9A">
        <w:rPr>
          <w:noProof/>
        </w:rPr>
        <w:fldChar w:fldCharType="begin"/>
      </w:r>
      <w:r>
        <w:rPr>
          <w:noProof/>
        </w:rPr>
        <w:instrText xml:space="preserve"> PAGEREF _Toc420009823 \h </w:instrText>
      </w:r>
      <w:r w:rsidR="00575C9A">
        <w:rPr>
          <w:noProof/>
        </w:rPr>
      </w:r>
      <w:r w:rsidR="00575C9A">
        <w:rPr>
          <w:noProof/>
        </w:rPr>
        <w:fldChar w:fldCharType="separate"/>
      </w:r>
      <w:r w:rsidR="00A81AFE">
        <w:rPr>
          <w:noProof/>
        </w:rPr>
        <w:t>13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3.5</w:t>
      </w:r>
      <w:r>
        <w:rPr>
          <w:rFonts w:eastAsiaTheme="minorEastAsia" w:cstheme="minorBidi"/>
          <w:noProof/>
          <w:lang w:eastAsia="en-AU"/>
        </w:rPr>
        <w:tab/>
      </w:r>
      <w:r w:rsidR="00EA36E3">
        <w:rPr>
          <w:noProof/>
          <w:lang w:bidi="en-US"/>
        </w:rPr>
        <w:t>SA Power Networks</w:t>
      </w:r>
      <w:r>
        <w:rPr>
          <w:noProof/>
          <w:lang w:bidi="en-US"/>
        </w:rPr>
        <w:t>’ customer and demand profile</w:t>
      </w:r>
      <w:r>
        <w:rPr>
          <w:noProof/>
        </w:rPr>
        <w:tab/>
      </w:r>
      <w:r w:rsidR="00575C9A">
        <w:rPr>
          <w:noProof/>
        </w:rPr>
        <w:fldChar w:fldCharType="begin"/>
      </w:r>
      <w:r>
        <w:rPr>
          <w:noProof/>
        </w:rPr>
        <w:instrText xml:space="preserve"> PAGEREF _Toc420009824 \h </w:instrText>
      </w:r>
      <w:r w:rsidR="00575C9A">
        <w:rPr>
          <w:noProof/>
        </w:rPr>
      </w:r>
      <w:r w:rsidR="00575C9A">
        <w:rPr>
          <w:noProof/>
        </w:rPr>
        <w:fldChar w:fldCharType="separate"/>
      </w:r>
      <w:r w:rsidR="00A81AFE">
        <w:rPr>
          <w:noProof/>
        </w:rPr>
        <w:t>13</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4</w:t>
      </w:r>
      <w:r>
        <w:rPr>
          <w:rFonts w:eastAsiaTheme="minorEastAsia" w:cstheme="minorBidi"/>
          <w:noProof/>
          <w:lang w:eastAsia="en-AU"/>
        </w:rPr>
        <w:tab/>
      </w:r>
      <w:r>
        <w:rPr>
          <w:noProof/>
          <w:lang w:bidi="en-US"/>
        </w:rPr>
        <w:t>Tariff Classes</w:t>
      </w:r>
      <w:r>
        <w:rPr>
          <w:noProof/>
        </w:rPr>
        <w:tab/>
      </w:r>
      <w:r w:rsidR="00575C9A">
        <w:rPr>
          <w:noProof/>
        </w:rPr>
        <w:fldChar w:fldCharType="begin"/>
      </w:r>
      <w:r>
        <w:rPr>
          <w:noProof/>
        </w:rPr>
        <w:instrText xml:space="preserve"> PAGEREF _Toc420009825 \h </w:instrText>
      </w:r>
      <w:r w:rsidR="00575C9A">
        <w:rPr>
          <w:noProof/>
        </w:rPr>
      </w:r>
      <w:r w:rsidR="00575C9A">
        <w:rPr>
          <w:noProof/>
        </w:rPr>
        <w:fldChar w:fldCharType="separate"/>
      </w:r>
      <w:r w:rsidR="00A81AFE">
        <w:rPr>
          <w:noProof/>
        </w:rPr>
        <w:t>14</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4.1</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_Toc420009826 \h </w:instrText>
      </w:r>
      <w:r w:rsidR="00575C9A">
        <w:rPr>
          <w:noProof/>
        </w:rPr>
      </w:r>
      <w:r w:rsidR="00575C9A">
        <w:rPr>
          <w:noProof/>
        </w:rPr>
        <w:fldChar w:fldCharType="separate"/>
      </w:r>
      <w:r w:rsidR="00A81AFE">
        <w:rPr>
          <w:noProof/>
        </w:rPr>
        <w:t>15</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4.2</w:t>
      </w:r>
      <w:r>
        <w:rPr>
          <w:rFonts w:eastAsiaTheme="minorEastAsia" w:cstheme="minorBidi"/>
          <w:noProof/>
          <w:lang w:eastAsia="en-AU"/>
        </w:rPr>
        <w:tab/>
      </w:r>
      <w:r>
        <w:rPr>
          <w:noProof/>
          <w:lang w:bidi="en-US"/>
        </w:rPr>
        <w:t>Standard control service tariffs and tariff classes</w:t>
      </w:r>
      <w:r>
        <w:rPr>
          <w:noProof/>
        </w:rPr>
        <w:tab/>
      </w:r>
      <w:r w:rsidR="00575C9A">
        <w:rPr>
          <w:noProof/>
        </w:rPr>
        <w:fldChar w:fldCharType="begin"/>
      </w:r>
      <w:r>
        <w:rPr>
          <w:noProof/>
        </w:rPr>
        <w:instrText xml:space="preserve"> PAGEREF _Toc420009827 \h </w:instrText>
      </w:r>
      <w:r w:rsidR="00575C9A">
        <w:rPr>
          <w:noProof/>
        </w:rPr>
      </w:r>
      <w:r w:rsidR="00575C9A">
        <w:rPr>
          <w:noProof/>
        </w:rPr>
        <w:fldChar w:fldCharType="separate"/>
      </w:r>
      <w:r w:rsidR="00A81AFE">
        <w:rPr>
          <w:noProof/>
        </w:rPr>
        <w:t>16</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4.3</w:t>
      </w:r>
      <w:r>
        <w:rPr>
          <w:rFonts w:eastAsiaTheme="minorEastAsia" w:cstheme="minorBidi"/>
          <w:noProof/>
          <w:lang w:eastAsia="en-AU"/>
        </w:rPr>
        <w:tab/>
      </w:r>
      <w:r>
        <w:rPr>
          <w:noProof/>
          <w:lang w:bidi="en-US"/>
        </w:rPr>
        <w:t>Low voltage residential tariff class</w:t>
      </w:r>
      <w:r>
        <w:rPr>
          <w:noProof/>
        </w:rPr>
        <w:tab/>
      </w:r>
      <w:r w:rsidR="00575C9A">
        <w:rPr>
          <w:noProof/>
        </w:rPr>
        <w:fldChar w:fldCharType="begin"/>
      </w:r>
      <w:r>
        <w:rPr>
          <w:noProof/>
        </w:rPr>
        <w:instrText xml:space="preserve"> PAGEREF _Toc420009828 \h </w:instrText>
      </w:r>
      <w:r w:rsidR="00575C9A">
        <w:rPr>
          <w:noProof/>
        </w:rPr>
      </w:r>
      <w:r w:rsidR="00575C9A">
        <w:rPr>
          <w:noProof/>
        </w:rPr>
        <w:fldChar w:fldCharType="separate"/>
      </w:r>
      <w:r w:rsidR="00A81AFE">
        <w:rPr>
          <w:noProof/>
        </w:rPr>
        <w:t>19</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4.4</w:t>
      </w:r>
      <w:r>
        <w:rPr>
          <w:rFonts w:eastAsiaTheme="minorEastAsia" w:cstheme="minorBidi"/>
          <w:noProof/>
          <w:lang w:eastAsia="en-AU"/>
        </w:rPr>
        <w:tab/>
      </w:r>
      <w:r>
        <w:rPr>
          <w:noProof/>
          <w:lang w:bidi="en-US"/>
        </w:rPr>
        <w:t>Low voltage business tariff class</w:t>
      </w:r>
      <w:r>
        <w:rPr>
          <w:noProof/>
        </w:rPr>
        <w:tab/>
      </w:r>
      <w:r w:rsidR="00575C9A">
        <w:rPr>
          <w:noProof/>
        </w:rPr>
        <w:fldChar w:fldCharType="begin"/>
      </w:r>
      <w:r>
        <w:rPr>
          <w:noProof/>
        </w:rPr>
        <w:instrText xml:space="preserve"> PAGEREF _Toc420009829 \h </w:instrText>
      </w:r>
      <w:r w:rsidR="00575C9A">
        <w:rPr>
          <w:noProof/>
        </w:rPr>
      </w:r>
      <w:r w:rsidR="00575C9A">
        <w:rPr>
          <w:noProof/>
        </w:rPr>
        <w:fldChar w:fldCharType="separate"/>
      </w:r>
      <w:r w:rsidR="00A81AFE">
        <w:rPr>
          <w:noProof/>
        </w:rPr>
        <w:t>22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4.5</w:t>
      </w:r>
      <w:r>
        <w:rPr>
          <w:rFonts w:eastAsiaTheme="minorEastAsia" w:cstheme="minorBidi"/>
          <w:noProof/>
          <w:lang w:eastAsia="en-AU"/>
        </w:rPr>
        <w:tab/>
      </w:r>
      <w:r>
        <w:rPr>
          <w:noProof/>
          <w:lang w:bidi="en-US"/>
        </w:rPr>
        <w:t>High Voltage Business tariff class</w:t>
      </w:r>
      <w:r>
        <w:rPr>
          <w:noProof/>
        </w:rPr>
        <w:tab/>
      </w:r>
      <w:r w:rsidR="00575C9A">
        <w:rPr>
          <w:noProof/>
        </w:rPr>
        <w:fldChar w:fldCharType="begin"/>
      </w:r>
      <w:r>
        <w:rPr>
          <w:noProof/>
        </w:rPr>
        <w:instrText xml:space="preserve"> PAGEREF _Toc420009830 \h </w:instrText>
      </w:r>
      <w:r w:rsidR="00575C9A">
        <w:rPr>
          <w:noProof/>
        </w:rPr>
      </w:r>
      <w:r w:rsidR="00575C9A">
        <w:rPr>
          <w:noProof/>
        </w:rPr>
        <w:fldChar w:fldCharType="separate"/>
      </w:r>
      <w:r w:rsidR="00A81AFE">
        <w:rPr>
          <w:noProof/>
        </w:rPr>
        <w:t>27</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4.6</w:t>
      </w:r>
      <w:r>
        <w:rPr>
          <w:rFonts w:eastAsiaTheme="minorEastAsia" w:cstheme="minorBidi"/>
          <w:noProof/>
          <w:lang w:eastAsia="en-AU"/>
        </w:rPr>
        <w:tab/>
      </w:r>
      <w:r>
        <w:rPr>
          <w:noProof/>
          <w:lang w:bidi="en-US"/>
        </w:rPr>
        <w:t>Major Business tariff class</w:t>
      </w:r>
      <w:r>
        <w:rPr>
          <w:noProof/>
        </w:rPr>
        <w:tab/>
      </w:r>
      <w:r w:rsidR="00575C9A">
        <w:rPr>
          <w:noProof/>
        </w:rPr>
        <w:fldChar w:fldCharType="begin"/>
      </w:r>
      <w:r>
        <w:rPr>
          <w:noProof/>
        </w:rPr>
        <w:instrText xml:space="preserve"> PAGEREF _Toc420009831 \h </w:instrText>
      </w:r>
      <w:r w:rsidR="00575C9A">
        <w:rPr>
          <w:noProof/>
        </w:rPr>
      </w:r>
      <w:r w:rsidR="00575C9A">
        <w:rPr>
          <w:noProof/>
        </w:rPr>
        <w:fldChar w:fldCharType="separate"/>
      </w:r>
      <w:r w:rsidR="00A81AFE">
        <w:rPr>
          <w:noProof/>
        </w:rPr>
        <w:t>28</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5</w:t>
      </w:r>
      <w:r>
        <w:rPr>
          <w:rFonts w:eastAsiaTheme="minorEastAsia" w:cstheme="minorBidi"/>
          <w:noProof/>
          <w:lang w:eastAsia="en-AU"/>
        </w:rPr>
        <w:tab/>
      </w:r>
      <w:r>
        <w:rPr>
          <w:noProof/>
          <w:lang w:bidi="en-US"/>
        </w:rPr>
        <w:t>Network tariff strategy</w:t>
      </w:r>
      <w:r>
        <w:rPr>
          <w:noProof/>
        </w:rPr>
        <w:tab/>
      </w:r>
      <w:r w:rsidR="00575C9A">
        <w:rPr>
          <w:noProof/>
        </w:rPr>
        <w:fldChar w:fldCharType="begin"/>
      </w:r>
      <w:r>
        <w:rPr>
          <w:noProof/>
        </w:rPr>
        <w:instrText xml:space="preserve"> PAGEREF _Toc420009832 \h </w:instrText>
      </w:r>
      <w:r w:rsidR="00575C9A">
        <w:rPr>
          <w:noProof/>
        </w:rPr>
      </w:r>
      <w:r w:rsidR="00575C9A">
        <w:rPr>
          <w:noProof/>
        </w:rPr>
        <w:fldChar w:fldCharType="separate"/>
      </w:r>
      <w:r w:rsidR="00A81AFE">
        <w:rPr>
          <w:noProof/>
        </w:rPr>
        <w:t>32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5.1</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_Toc420009833 \h </w:instrText>
      </w:r>
      <w:r w:rsidR="00575C9A">
        <w:rPr>
          <w:noProof/>
        </w:rPr>
      </w:r>
      <w:r w:rsidR="00575C9A">
        <w:rPr>
          <w:noProof/>
        </w:rPr>
        <w:fldChar w:fldCharType="separate"/>
      </w:r>
      <w:r w:rsidR="00A81AFE">
        <w:rPr>
          <w:noProof/>
        </w:rPr>
        <w:t>32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5.2</w:t>
      </w:r>
      <w:r>
        <w:rPr>
          <w:rFonts w:eastAsiaTheme="minorEastAsia" w:cstheme="minorBidi"/>
          <w:noProof/>
          <w:lang w:eastAsia="en-AU"/>
        </w:rPr>
        <w:tab/>
      </w:r>
      <w:r>
        <w:rPr>
          <w:noProof/>
          <w:lang w:bidi="en-US"/>
        </w:rPr>
        <w:t>Network tariff objectives</w:t>
      </w:r>
      <w:r>
        <w:rPr>
          <w:noProof/>
        </w:rPr>
        <w:tab/>
      </w:r>
      <w:r w:rsidR="00575C9A">
        <w:rPr>
          <w:noProof/>
        </w:rPr>
        <w:fldChar w:fldCharType="begin"/>
      </w:r>
      <w:r>
        <w:rPr>
          <w:noProof/>
        </w:rPr>
        <w:instrText xml:space="preserve"> PAGEREF _Toc420009834 \h </w:instrText>
      </w:r>
      <w:r w:rsidR="00575C9A">
        <w:rPr>
          <w:noProof/>
        </w:rPr>
      </w:r>
      <w:r w:rsidR="00575C9A">
        <w:rPr>
          <w:noProof/>
        </w:rPr>
        <w:fldChar w:fldCharType="separate"/>
      </w:r>
      <w:r w:rsidR="00A81AFE">
        <w:rPr>
          <w:noProof/>
        </w:rPr>
        <w:t>32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5.3</w:t>
      </w:r>
      <w:r>
        <w:rPr>
          <w:rFonts w:eastAsiaTheme="minorEastAsia" w:cstheme="minorBidi"/>
          <w:noProof/>
          <w:lang w:eastAsia="en-AU"/>
        </w:rPr>
        <w:tab/>
      </w:r>
      <w:r>
        <w:rPr>
          <w:noProof/>
          <w:lang w:bidi="en-US"/>
        </w:rPr>
        <w:t>The need for tariff reform</w:t>
      </w:r>
      <w:r>
        <w:rPr>
          <w:noProof/>
        </w:rPr>
        <w:tab/>
      </w:r>
      <w:r w:rsidR="00575C9A">
        <w:rPr>
          <w:noProof/>
        </w:rPr>
        <w:fldChar w:fldCharType="begin"/>
      </w:r>
      <w:r>
        <w:rPr>
          <w:noProof/>
        </w:rPr>
        <w:instrText xml:space="preserve"> PAGEREF _Toc420009835 \h </w:instrText>
      </w:r>
      <w:r w:rsidR="00575C9A">
        <w:rPr>
          <w:noProof/>
        </w:rPr>
      </w:r>
      <w:r w:rsidR="00575C9A">
        <w:rPr>
          <w:noProof/>
        </w:rPr>
        <w:fldChar w:fldCharType="separate"/>
      </w:r>
      <w:r w:rsidR="00A81AFE">
        <w:rPr>
          <w:noProof/>
        </w:rPr>
        <w:t>32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5.4</w:t>
      </w:r>
      <w:r>
        <w:rPr>
          <w:rFonts w:eastAsiaTheme="minorEastAsia" w:cstheme="minorBidi"/>
          <w:noProof/>
          <w:lang w:eastAsia="en-AU"/>
        </w:rPr>
        <w:tab/>
      </w:r>
      <w:r>
        <w:rPr>
          <w:noProof/>
          <w:lang w:bidi="en-US"/>
        </w:rPr>
        <w:t>Network tariff strategy</w:t>
      </w:r>
      <w:r>
        <w:rPr>
          <w:noProof/>
        </w:rPr>
        <w:tab/>
      </w:r>
      <w:r w:rsidR="00575C9A">
        <w:rPr>
          <w:noProof/>
        </w:rPr>
        <w:fldChar w:fldCharType="begin"/>
      </w:r>
      <w:r>
        <w:rPr>
          <w:noProof/>
        </w:rPr>
        <w:instrText xml:space="preserve"> PAGEREF _Toc420009836 \h </w:instrText>
      </w:r>
      <w:r w:rsidR="00575C9A">
        <w:rPr>
          <w:noProof/>
        </w:rPr>
      </w:r>
      <w:r w:rsidR="00575C9A">
        <w:rPr>
          <w:noProof/>
        </w:rPr>
        <w:fldChar w:fldCharType="separate"/>
      </w:r>
      <w:r w:rsidR="00A81AFE">
        <w:rPr>
          <w:noProof/>
        </w:rPr>
        <w:t>33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5.5</w:t>
      </w:r>
      <w:r>
        <w:rPr>
          <w:rFonts w:eastAsiaTheme="minorEastAsia" w:cstheme="minorBidi"/>
          <w:noProof/>
          <w:lang w:eastAsia="en-AU"/>
        </w:rPr>
        <w:tab/>
      </w:r>
      <w:r>
        <w:rPr>
          <w:noProof/>
          <w:lang w:bidi="en-US"/>
        </w:rPr>
        <w:t>Tariff reform 2005 to 2015</w:t>
      </w:r>
      <w:r>
        <w:rPr>
          <w:noProof/>
        </w:rPr>
        <w:tab/>
      </w:r>
      <w:r w:rsidR="00575C9A">
        <w:rPr>
          <w:noProof/>
        </w:rPr>
        <w:fldChar w:fldCharType="begin"/>
      </w:r>
      <w:r>
        <w:rPr>
          <w:noProof/>
        </w:rPr>
        <w:instrText xml:space="preserve"> PAGEREF _Toc420009837 \h </w:instrText>
      </w:r>
      <w:r w:rsidR="00575C9A">
        <w:rPr>
          <w:noProof/>
        </w:rPr>
      </w:r>
      <w:r w:rsidR="00575C9A">
        <w:rPr>
          <w:noProof/>
        </w:rPr>
        <w:fldChar w:fldCharType="separate"/>
      </w:r>
      <w:r w:rsidR="00A81AFE">
        <w:rPr>
          <w:noProof/>
        </w:rPr>
        <w:t>33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5.6</w:t>
      </w:r>
      <w:r>
        <w:rPr>
          <w:rFonts w:eastAsiaTheme="minorEastAsia" w:cstheme="minorBidi"/>
          <w:noProof/>
          <w:lang w:eastAsia="en-AU"/>
        </w:rPr>
        <w:tab/>
      </w:r>
      <w:r>
        <w:rPr>
          <w:noProof/>
          <w:lang w:bidi="en-US"/>
        </w:rPr>
        <w:t>Cost-Reflective Tariffs for large businesses July 2015</w:t>
      </w:r>
      <w:r>
        <w:rPr>
          <w:noProof/>
        </w:rPr>
        <w:tab/>
      </w:r>
      <w:r w:rsidR="00575C9A">
        <w:rPr>
          <w:noProof/>
        </w:rPr>
        <w:fldChar w:fldCharType="begin"/>
      </w:r>
      <w:r>
        <w:rPr>
          <w:noProof/>
        </w:rPr>
        <w:instrText xml:space="preserve"> PAGEREF _Toc420009838 \h </w:instrText>
      </w:r>
      <w:r w:rsidR="00575C9A">
        <w:rPr>
          <w:noProof/>
        </w:rPr>
      </w:r>
      <w:r w:rsidR="00575C9A">
        <w:rPr>
          <w:noProof/>
        </w:rPr>
        <w:fldChar w:fldCharType="separate"/>
      </w:r>
      <w:r w:rsidR="00A81AFE">
        <w:rPr>
          <w:noProof/>
        </w:rPr>
        <w:t>34</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5.7</w:t>
      </w:r>
      <w:r>
        <w:rPr>
          <w:rFonts w:eastAsiaTheme="minorEastAsia" w:cstheme="minorBidi"/>
          <w:noProof/>
          <w:lang w:eastAsia="en-AU"/>
        </w:rPr>
        <w:tab/>
      </w:r>
      <w:r>
        <w:rPr>
          <w:noProof/>
          <w:lang w:bidi="en-US"/>
        </w:rPr>
        <w:t>New Residential tariffs for 2015/16</w:t>
      </w:r>
      <w:r>
        <w:rPr>
          <w:noProof/>
        </w:rPr>
        <w:tab/>
      </w:r>
      <w:r w:rsidR="00575C9A">
        <w:rPr>
          <w:noProof/>
        </w:rPr>
        <w:fldChar w:fldCharType="begin"/>
      </w:r>
      <w:r>
        <w:rPr>
          <w:noProof/>
        </w:rPr>
        <w:instrText xml:space="preserve"> PAGEREF _Toc420009839 \h </w:instrText>
      </w:r>
      <w:r w:rsidR="00575C9A">
        <w:rPr>
          <w:noProof/>
        </w:rPr>
      </w:r>
      <w:r w:rsidR="00575C9A">
        <w:rPr>
          <w:noProof/>
        </w:rPr>
        <w:fldChar w:fldCharType="separate"/>
      </w:r>
      <w:r w:rsidR="00A81AFE">
        <w:rPr>
          <w:noProof/>
        </w:rPr>
        <w:t>37</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5.8</w:t>
      </w:r>
      <w:r>
        <w:rPr>
          <w:rFonts w:eastAsiaTheme="minorEastAsia" w:cstheme="minorBidi"/>
          <w:noProof/>
          <w:lang w:eastAsia="en-AU"/>
        </w:rPr>
        <w:tab/>
      </w:r>
      <w:r>
        <w:rPr>
          <w:noProof/>
          <w:lang w:bidi="en-US"/>
        </w:rPr>
        <w:t>Future tariff reform options</w:t>
      </w:r>
      <w:r>
        <w:rPr>
          <w:noProof/>
        </w:rPr>
        <w:tab/>
      </w:r>
      <w:r w:rsidR="00575C9A">
        <w:rPr>
          <w:noProof/>
        </w:rPr>
        <w:fldChar w:fldCharType="begin"/>
      </w:r>
      <w:r>
        <w:rPr>
          <w:noProof/>
        </w:rPr>
        <w:instrText xml:space="preserve"> PAGEREF _Toc420009840 \h </w:instrText>
      </w:r>
      <w:r w:rsidR="00575C9A">
        <w:rPr>
          <w:noProof/>
        </w:rPr>
      </w:r>
      <w:r w:rsidR="00575C9A">
        <w:rPr>
          <w:noProof/>
        </w:rPr>
        <w:fldChar w:fldCharType="separate"/>
      </w:r>
      <w:r w:rsidR="00A81AFE">
        <w:rPr>
          <w:noProof/>
        </w:rPr>
        <w:t>41</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6</w:t>
      </w:r>
      <w:r>
        <w:rPr>
          <w:rFonts w:eastAsiaTheme="minorEastAsia" w:cstheme="minorBidi"/>
          <w:noProof/>
          <w:lang w:eastAsia="en-AU"/>
        </w:rPr>
        <w:tab/>
      </w:r>
      <w:r>
        <w:rPr>
          <w:noProof/>
          <w:lang w:bidi="en-US"/>
        </w:rPr>
        <w:t>Standard control services tariffs</w:t>
      </w:r>
      <w:r>
        <w:rPr>
          <w:noProof/>
        </w:rPr>
        <w:tab/>
      </w:r>
      <w:r w:rsidR="00575C9A">
        <w:rPr>
          <w:noProof/>
        </w:rPr>
        <w:fldChar w:fldCharType="begin"/>
      </w:r>
      <w:r>
        <w:rPr>
          <w:noProof/>
        </w:rPr>
        <w:instrText xml:space="preserve"> PAGEREF _Toc420009841 \h </w:instrText>
      </w:r>
      <w:r w:rsidR="00575C9A">
        <w:rPr>
          <w:noProof/>
        </w:rPr>
      </w:r>
      <w:r w:rsidR="00575C9A">
        <w:rPr>
          <w:noProof/>
        </w:rPr>
        <w:fldChar w:fldCharType="separate"/>
      </w:r>
      <w:r w:rsidR="00A81AFE">
        <w:rPr>
          <w:noProof/>
        </w:rPr>
        <w:t>43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6.1</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_Toc420009842 \h </w:instrText>
      </w:r>
      <w:r w:rsidR="00575C9A">
        <w:rPr>
          <w:noProof/>
        </w:rPr>
      </w:r>
      <w:r w:rsidR="00575C9A">
        <w:rPr>
          <w:noProof/>
        </w:rPr>
        <w:fldChar w:fldCharType="separate"/>
      </w:r>
      <w:r w:rsidR="00A81AFE">
        <w:rPr>
          <w:noProof/>
        </w:rPr>
        <w:t>43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6.2</w:t>
      </w:r>
      <w:r>
        <w:rPr>
          <w:rFonts w:eastAsiaTheme="minorEastAsia" w:cstheme="minorBidi"/>
          <w:noProof/>
          <w:lang w:eastAsia="en-AU"/>
        </w:rPr>
        <w:tab/>
      </w:r>
      <w:r>
        <w:rPr>
          <w:noProof/>
          <w:lang w:bidi="en-US"/>
        </w:rPr>
        <w:t>Tariff changes in 2015/16</w:t>
      </w:r>
      <w:r>
        <w:rPr>
          <w:noProof/>
        </w:rPr>
        <w:tab/>
      </w:r>
      <w:r w:rsidR="00575C9A">
        <w:rPr>
          <w:noProof/>
        </w:rPr>
        <w:fldChar w:fldCharType="begin"/>
      </w:r>
      <w:r>
        <w:rPr>
          <w:noProof/>
        </w:rPr>
        <w:instrText xml:space="preserve"> PAGEREF _Toc420009843 \h </w:instrText>
      </w:r>
      <w:r w:rsidR="00575C9A">
        <w:rPr>
          <w:noProof/>
        </w:rPr>
      </w:r>
      <w:r w:rsidR="00575C9A">
        <w:rPr>
          <w:noProof/>
        </w:rPr>
        <w:fldChar w:fldCharType="separate"/>
      </w:r>
      <w:r w:rsidR="00A81AFE">
        <w:rPr>
          <w:noProof/>
        </w:rPr>
        <w:t>43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6.3</w:t>
      </w:r>
      <w:r>
        <w:rPr>
          <w:rFonts w:eastAsiaTheme="minorEastAsia" w:cstheme="minorBidi"/>
          <w:noProof/>
          <w:lang w:eastAsia="en-AU"/>
        </w:rPr>
        <w:tab/>
      </w:r>
      <w:r>
        <w:rPr>
          <w:noProof/>
          <w:lang w:bidi="en-US"/>
        </w:rPr>
        <w:t>Calculation of network use of system tariffs</w:t>
      </w:r>
      <w:r>
        <w:rPr>
          <w:noProof/>
        </w:rPr>
        <w:tab/>
      </w:r>
      <w:r w:rsidR="00575C9A">
        <w:rPr>
          <w:noProof/>
        </w:rPr>
        <w:fldChar w:fldCharType="begin"/>
      </w:r>
      <w:r>
        <w:rPr>
          <w:noProof/>
        </w:rPr>
        <w:instrText xml:space="preserve"> PAGEREF _Toc420009844 \h </w:instrText>
      </w:r>
      <w:r w:rsidR="00575C9A">
        <w:rPr>
          <w:noProof/>
        </w:rPr>
      </w:r>
      <w:r w:rsidR="00575C9A">
        <w:rPr>
          <w:noProof/>
        </w:rPr>
        <w:fldChar w:fldCharType="separate"/>
      </w:r>
      <w:r w:rsidR="00A81AFE">
        <w:rPr>
          <w:noProof/>
        </w:rPr>
        <w:t>44</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6.4</w:t>
      </w:r>
      <w:r>
        <w:rPr>
          <w:rFonts w:eastAsiaTheme="minorEastAsia" w:cstheme="minorBidi"/>
          <w:noProof/>
          <w:lang w:eastAsia="en-AU"/>
        </w:rPr>
        <w:tab/>
      </w:r>
      <w:r>
        <w:rPr>
          <w:noProof/>
          <w:lang w:bidi="en-US"/>
        </w:rPr>
        <w:t>Low Voltage Residential tariff class</w:t>
      </w:r>
      <w:r>
        <w:rPr>
          <w:noProof/>
        </w:rPr>
        <w:tab/>
      </w:r>
      <w:r w:rsidR="00575C9A">
        <w:rPr>
          <w:noProof/>
        </w:rPr>
        <w:fldChar w:fldCharType="begin"/>
      </w:r>
      <w:r>
        <w:rPr>
          <w:noProof/>
        </w:rPr>
        <w:instrText xml:space="preserve"> PAGEREF _Toc420009845 \h </w:instrText>
      </w:r>
      <w:r w:rsidR="00575C9A">
        <w:rPr>
          <w:noProof/>
        </w:rPr>
      </w:r>
      <w:r w:rsidR="00575C9A">
        <w:rPr>
          <w:noProof/>
        </w:rPr>
        <w:fldChar w:fldCharType="separate"/>
      </w:r>
      <w:r w:rsidR="00A81AFE">
        <w:rPr>
          <w:noProof/>
        </w:rPr>
        <w:t>44</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6.5</w:t>
      </w:r>
      <w:r>
        <w:rPr>
          <w:rFonts w:eastAsiaTheme="minorEastAsia" w:cstheme="minorBidi"/>
          <w:noProof/>
          <w:lang w:eastAsia="en-AU"/>
        </w:rPr>
        <w:tab/>
      </w:r>
      <w:r>
        <w:rPr>
          <w:noProof/>
          <w:lang w:bidi="en-US"/>
        </w:rPr>
        <w:t>Low Voltage Business tariff class</w:t>
      </w:r>
      <w:r>
        <w:rPr>
          <w:noProof/>
        </w:rPr>
        <w:tab/>
      </w:r>
      <w:r w:rsidR="00575C9A">
        <w:rPr>
          <w:noProof/>
        </w:rPr>
        <w:fldChar w:fldCharType="begin"/>
      </w:r>
      <w:r>
        <w:rPr>
          <w:noProof/>
        </w:rPr>
        <w:instrText xml:space="preserve"> PAGEREF _Toc420009846 \h </w:instrText>
      </w:r>
      <w:r w:rsidR="00575C9A">
        <w:rPr>
          <w:noProof/>
        </w:rPr>
      </w:r>
      <w:r w:rsidR="00575C9A">
        <w:rPr>
          <w:noProof/>
        </w:rPr>
        <w:fldChar w:fldCharType="separate"/>
      </w:r>
      <w:r w:rsidR="00A81AFE">
        <w:rPr>
          <w:noProof/>
        </w:rPr>
        <w:t>46</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6.6</w:t>
      </w:r>
      <w:r>
        <w:rPr>
          <w:rFonts w:eastAsiaTheme="minorEastAsia" w:cstheme="minorBidi"/>
          <w:noProof/>
          <w:lang w:eastAsia="en-AU"/>
        </w:rPr>
        <w:tab/>
      </w:r>
      <w:r>
        <w:rPr>
          <w:noProof/>
          <w:lang w:bidi="en-US"/>
        </w:rPr>
        <w:t>High Voltage Business tariff class</w:t>
      </w:r>
      <w:r>
        <w:rPr>
          <w:noProof/>
        </w:rPr>
        <w:tab/>
      </w:r>
      <w:r w:rsidR="00575C9A">
        <w:rPr>
          <w:noProof/>
        </w:rPr>
        <w:fldChar w:fldCharType="begin"/>
      </w:r>
      <w:r>
        <w:rPr>
          <w:noProof/>
        </w:rPr>
        <w:instrText xml:space="preserve"> PAGEREF _Toc420009847 \h </w:instrText>
      </w:r>
      <w:r w:rsidR="00575C9A">
        <w:rPr>
          <w:noProof/>
        </w:rPr>
      </w:r>
      <w:r w:rsidR="00575C9A">
        <w:rPr>
          <w:noProof/>
        </w:rPr>
        <w:fldChar w:fldCharType="separate"/>
      </w:r>
      <w:r w:rsidR="00A81AFE">
        <w:rPr>
          <w:noProof/>
        </w:rPr>
        <w:t>48</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6.7</w:t>
      </w:r>
      <w:r>
        <w:rPr>
          <w:rFonts w:eastAsiaTheme="minorEastAsia" w:cstheme="minorBidi"/>
          <w:noProof/>
          <w:lang w:eastAsia="en-AU"/>
        </w:rPr>
        <w:tab/>
      </w:r>
      <w:r>
        <w:rPr>
          <w:noProof/>
          <w:lang w:bidi="en-US"/>
        </w:rPr>
        <w:t>Major Business tariff class</w:t>
      </w:r>
      <w:r>
        <w:rPr>
          <w:noProof/>
        </w:rPr>
        <w:tab/>
      </w:r>
      <w:r w:rsidR="00575C9A">
        <w:rPr>
          <w:noProof/>
        </w:rPr>
        <w:fldChar w:fldCharType="begin"/>
      </w:r>
      <w:r>
        <w:rPr>
          <w:noProof/>
        </w:rPr>
        <w:instrText xml:space="preserve"> PAGEREF _Toc420009848 \h </w:instrText>
      </w:r>
      <w:r w:rsidR="00575C9A">
        <w:rPr>
          <w:noProof/>
        </w:rPr>
      </w:r>
      <w:r w:rsidR="00575C9A">
        <w:rPr>
          <w:noProof/>
        </w:rPr>
        <w:fldChar w:fldCharType="separate"/>
      </w:r>
      <w:r w:rsidR="00A81AFE">
        <w:rPr>
          <w:noProof/>
        </w:rPr>
        <w:t>49</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7</w:t>
      </w:r>
      <w:r>
        <w:rPr>
          <w:rFonts w:eastAsiaTheme="minorEastAsia" w:cstheme="minorBidi"/>
          <w:noProof/>
          <w:lang w:eastAsia="en-AU"/>
        </w:rPr>
        <w:tab/>
      </w:r>
      <w:r>
        <w:rPr>
          <w:noProof/>
          <w:lang w:bidi="en-US"/>
        </w:rPr>
        <w:t>Customer Impacts</w:t>
      </w:r>
      <w:r>
        <w:rPr>
          <w:noProof/>
        </w:rPr>
        <w:tab/>
      </w:r>
      <w:r w:rsidR="00575C9A">
        <w:rPr>
          <w:noProof/>
        </w:rPr>
        <w:fldChar w:fldCharType="begin"/>
      </w:r>
      <w:r>
        <w:rPr>
          <w:noProof/>
        </w:rPr>
        <w:instrText xml:space="preserve"> PAGEREF _Toc420009849 \h </w:instrText>
      </w:r>
      <w:r w:rsidR="00575C9A">
        <w:rPr>
          <w:noProof/>
        </w:rPr>
      </w:r>
      <w:r w:rsidR="00575C9A">
        <w:rPr>
          <w:noProof/>
        </w:rPr>
        <w:fldChar w:fldCharType="separate"/>
      </w:r>
      <w:r w:rsidR="00A81AFE">
        <w:rPr>
          <w:noProof/>
        </w:rPr>
        <w:t>51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7.1</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_Toc420009850 \h </w:instrText>
      </w:r>
      <w:r w:rsidR="00575C9A">
        <w:rPr>
          <w:noProof/>
        </w:rPr>
      </w:r>
      <w:r w:rsidR="00575C9A">
        <w:rPr>
          <w:noProof/>
        </w:rPr>
        <w:fldChar w:fldCharType="separate"/>
      </w:r>
      <w:r w:rsidR="00A81AFE">
        <w:rPr>
          <w:noProof/>
        </w:rPr>
        <w:t>51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7.2</w:t>
      </w:r>
      <w:r>
        <w:rPr>
          <w:rFonts w:eastAsiaTheme="minorEastAsia" w:cstheme="minorBidi"/>
          <w:noProof/>
          <w:lang w:eastAsia="en-AU"/>
        </w:rPr>
        <w:tab/>
      </w:r>
      <w:r>
        <w:rPr>
          <w:noProof/>
          <w:lang w:bidi="en-US"/>
        </w:rPr>
        <w:t>Overall price trends during the 2010</w:t>
      </w:r>
      <w:r>
        <w:rPr>
          <w:noProof/>
          <w:lang w:bidi="en-US"/>
        </w:rPr>
        <w:noBreakHyphen/>
        <w:t>15 regulatory control period</w:t>
      </w:r>
      <w:r>
        <w:rPr>
          <w:noProof/>
        </w:rPr>
        <w:tab/>
      </w:r>
      <w:r w:rsidR="00575C9A">
        <w:rPr>
          <w:noProof/>
        </w:rPr>
        <w:fldChar w:fldCharType="begin"/>
      </w:r>
      <w:r>
        <w:rPr>
          <w:noProof/>
        </w:rPr>
        <w:instrText xml:space="preserve"> PAGEREF _Toc420009851 \h </w:instrText>
      </w:r>
      <w:r w:rsidR="00575C9A">
        <w:rPr>
          <w:noProof/>
        </w:rPr>
      </w:r>
      <w:r w:rsidR="00575C9A">
        <w:rPr>
          <w:noProof/>
        </w:rPr>
        <w:fldChar w:fldCharType="separate"/>
      </w:r>
      <w:r w:rsidR="00A81AFE">
        <w:rPr>
          <w:noProof/>
        </w:rPr>
        <w:t>52</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7.3</w:t>
      </w:r>
      <w:r>
        <w:rPr>
          <w:rFonts w:eastAsiaTheme="minorEastAsia" w:cstheme="minorBidi"/>
          <w:noProof/>
          <w:lang w:eastAsia="en-AU"/>
        </w:rPr>
        <w:tab/>
      </w:r>
      <w:r>
        <w:rPr>
          <w:noProof/>
          <w:lang w:bidi="en-US"/>
        </w:rPr>
        <w:t>Variations to prices</w:t>
      </w:r>
      <w:r>
        <w:rPr>
          <w:noProof/>
        </w:rPr>
        <w:tab/>
      </w:r>
      <w:r w:rsidR="00575C9A">
        <w:rPr>
          <w:noProof/>
        </w:rPr>
        <w:fldChar w:fldCharType="begin"/>
      </w:r>
      <w:r>
        <w:rPr>
          <w:noProof/>
        </w:rPr>
        <w:instrText xml:space="preserve"> PAGEREF _Toc420009852 \h </w:instrText>
      </w:r>
      <w:r w:rsidR="00575C9A">
        <w:rPr>
          <w:noProof/>
        </w:rPr>
      </w:r>
      <w:r w:rsidR="00575C9A">
        <w:rPr>
          <w:noProof/>
        </w:rPr>
        <w:fldChar w:fldCharType="separate"/>
      </w:r>
      <w:r w:rsidR="00A81AFE">
        <w:rPr>
          <w:noProof/>
        </w:rPr>
        <w:t>53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7.4</w:t>
      </w:r>
      <w:r>
        <w:rPr>
          <w:rFonts w:eastAsiaTheme="minorEastAsia" w:cstheme="minorBidi"/>
          <w:noProof/>
          <w:lang w:eastAsia="en-AU"/>
        </w:rPr>
        <w:tab/>
      </w:r>
      <w:r>
        <w:rPr>
          <w:noProof/>
          <w:lang w:bidi="en-US"/>
        </w:rPr>
        <w:t>Low Voltage Residential tariff class</w:t>
      </w:r>
      <w:r>
        <w:rPr>
          <w:noProof/>
        </w:rPr>
        <w:tab/>
      </w:r>
      <w:r w:rsidR="00575C9A">
        <w:rPr>
          <w:noProof/>
        </w:rPr>
        <w:fldChar w:fldCharType="begin"/>
      </w:r>
      <w:r>
        <w:rPr>
          <w:noProof/>
        </w:rPr>
        <w:instrText xml:space="preserve"> PAGEREF _Toc420009853 \h </w:instrText>
      </w:r>
      <w:r w:rsidR="00575C9A">
        <w:rPr>
          <w:noProof/>
        </w:rPr>
      </w:r>
      <w:r w:rsidR="00575C9A">
        <w:rPr>
          <w:noProof/>
        </w:rPr>
        <w:fldChar w:fldCharType="separate"/>
      </w:r>
      <w:r w:rsidR="00A81AFE">
        <w:rPr>
          <w:noProof/>
        </w:rPr>
        <w:t>53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7.5</w:t>
      </w:r>
      <w:r>
        <w:rPr>
          <w:rFonts w:eastAsiaTheme="minorEastAsia" w:cstheme="minorBidi"/>
          <w:noProof/>
          <w:lang w:eastAsia="en-AU"/>
        </w:rPr>
        <w:tab/>
      </w:r>
      <w:r>
        <w:rPr>
          <w:noProof/>
          <w:lang w:bidi="en-US"/>
        </w:rPr>
        <w:t>Low Voltage Business tariff class</w:t>
      </w:r>
      <w:r>
        <w:rPr>
          <w:noProof/>
        </w:rPr>
        <w:tab/>
      </w:r>
      <w:r w:rsidR="00575C9A">
        <w:rPr>
          <w:noProof/>
        </w:rPr>
        <w:fldChar w:fldCharType="begin"/>
      </w:r>
      <w:r>
        <w:rPr>
          <w:noProof/>
        </w:rPr>
        <w:instrText xml:space="preserve"> PAGEREF _Toc420009854 \h </w:instrText>
      </w:r>
      <w:r w:rsidR="00575C9A">
        <w:rPr>
          <w:noProof/>
        </w:rPr>
      </w:r>
      <w:r w:rsidR="00575C9A">
        <w:rPr>
          <w:noProof/>
        </w:rPr>
        <w:fldChar w:fldCharType="separate"/>
      </w:r>
      <w:r w:rsidR="00A81AFE">
        <w:rPr>
          <w:noProof/>
        </w:rPr>
        <w:t>57</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7.6</w:t>
      </w:r>
      <w:r>
        <w:rPr>
          <w:rFonts w:eastAsiaTheme="minorEastAsia" w:cstheme="minorBidi"/>
          <w:noProof/>
          <w:lang w:eastAsia="en-AU"/>
        </w:rPr>
        <w:tab/>
      </w:r>
      <w:r>
        <w:rPr>
          <w:noProof/>
          <w:lang w:bidi="en-US"/>
        </w:rPr>
        <w:t>High Voltage Business tariff class</w:t>
      </w:r>
      <w:r>
        <w:rPr>
          <w:noProof/>
        </w:rPr>
        <w:tab/>
      </w:r>
      <w:r w:rsidR="00575C9A">
        <w:rPr>
          <w:noProof/>
        </w:rPr>
        <w:fldChar w:fldCharType="begin"/>
      </w:r>
      <w:r>
        <w:rPr>
          <w:noProof/>
        </w:rPr>
        <w:instrText xml:space="preserve"> PAGEREF _Toc420009855 \h </w:instrText>
      </w:r>
      <w:r w:rsidR="00575C9A">
        <w:rPr>
          <w:noProof/>
        </w:rPr>
      </w:r>
      <w:r w:rsidR="00575C9A">
        <w:rPr>
          <w:noProof/>
        </w:rPr>
        <w:fldChar w:fldCharType="separate"/>
      </w:r>
      <w:r w:rsidR="00A81AFE">
        <w:rPr>
          <w:noProof/>
        </w:rPr>
        <w:t>63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7.7</w:t>
      </w:r>
      <w:r>
        <w:rPr>
          <w:rFonts w:eastAsiaTheme="minorEastAsia" w:cstheme="minorBidi"/>
          <w:noProof/>
          <w:lang w:eastAsia="en-AU"/>
        </w:rPr>
        <w:tab/>
      </w:r>
      <w:r>
        <w:rPr>
          <w:noProof/>
          <w:lang w:bidi="en-US"/>
        </w:rPr>
        <w:t>Major Business tariff class</w:t>
      </w:r>
      <w:r>
        <w:rPr>
          <w:noProof/>
        </w:rPr>
        <w:tab/>
      </w:r>
      <w:r w:rsidR="00575C9A">
        <w:rPr>
          <w:noProof/>
        </w:rPr>
        <w:fldChar w:fldCharType="begin"/>
      </w:r>
      <w:r>
        <w:rPr>
          <w:noProof/>
        </w:rPr>
        <w:instrText xml:space="preserve"> PAGEREF _Toc420009856 \h </w:instrText>
      </w:r>
      <w:r w:rsidR="00575C9A">
        <w:rPr>
          <w:noProof/>
        </w:rPr>
      </w:r>
      <w:r w:rsidR="00575C9A">
        <w:rPr>
          <w:noProof/>
        </w:rPr>
        <w:fldChar w:fldCharType="separate"/>
      </w:r>
      <w:r w:rsidR="00A81AFE">
        <w:rPr>
          <w:noProof/>
        </w:rPr>
        <w:t>64</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8</w:t>
      </w:r>
      <w:r>
        <w:rPr>
          <w:rFonts w:eastAsiaTheme="minorEastAsia" w:cstheme="minorBidi"/>
          <w:noProof/>
          <w:lang w:eastAsia="en-AU"/>
        </w:rPr>
        <w:tab/>
      </w:r>
      <w:r>
        <w:rPr>
          <w:noProof/>
          <w:lang w:bidi="en-US"/>
        </w:rPr>
        <w:t>Pricing of standard control services</w:t>
      </w:r>
      <w:r>
        <w:rPr>
          <w:noProof/>
        </w:rPr>
        <w:tab/>
      </w:r>
      <w:r w:rsidR="00575C9A">
        <w:rPr>
          <w:noProof/>
        </w:rPr>
        <w:fldChar w:fldCharType="begin"/>
      </w:r>
      <w:r>
        <w:rPr>
          <w:noProof/>
        </w:rPr>
        <w:instrText xml:space="preserve"> PAGEREF _Toc420009857 \h </w:instrText>
      </w:r>
      <w:r w:rsidR="00575C9A">
        <w:rPr>
          <w:noProof/>
        </w:rPr>
      </w:r>
      <w:r w:rsidR="00575C9A">
        <w:rPr>
          <w:noProof/>
        </w:rPr>
        <w:fldChar w:fldCharType="separate"/>
      </w:r>
      <w:r w:rsidR="00A81AFE">
        <w:rPr>
          <w:noProof/>
        </w:rPr>
        <w:t>65</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8.1</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_Toc420009858 \h </w:instrText>
      </w:r>
      <w:r w:rsidR="00575C9A">
        <w:rPr>
          <w:noProof/>
        </w:rPr>
      </w:r>
      <w:r w:rsidR="00575C9A">
        <w:rPr>
          <w:noProof/>
        </w:rPr>
        <w:fldChar w:fldCharType="separate"/>
      </w:r>
      <w:r w:rsidR="00A81AFE">
        <w:rPr>
          <w:noProof/>
        </w:rPr>
        <w:t>65</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8.2</w:t>
      </w:r>
      <w:r>
        <w:rPr>
          <w:rFonts w:eastAsiaTheme="minorEastAsia" w:cstheme="minorBidi"/>
          <w:noProof/>
          <w:lang w:eastAsia="en-AU"/>
        </w:rPr>
        <w:tab/>
      </w:r>
      <w:r>
        <w:rPr>
          <w:noProof/>
          <w:lang w:bidi="en-US"/>
        </w:rPr>
        <w:t>2015/16 prices for standard control services</w:t>
      </w:r>
      <w:r>
        <w:rPr>
          <w:noProof/>
        </w:rPr>
        <w:tab/>
      </w:r>
      <w:r w:rsidR="00575C9A">
        <w:rPr>
          <w:noProof/>
        </w:rPr>
        <w:fldChar w:fldCharType="begin"/>
      </w:r>
      <w:r>
        <w:rPr>
          <w:noProof/>
        </w:rPr>
        <w:instrText xml:space="preserve"> PAGEREF _Toc420009859 \h </w:instrText>
      </w:r>
      <w:r w:rsidR="00575C9A">
        <w:rPr>
          <w:noProof/>
        </w:rPr>
      </w:r>
      <w:r w:rsidR="00575C9A">
        <w:rPr>
          <w:noProof/>
        </w:rPr>
        <w:fldChar w:fldCharType="separate"/>
      </w:r>
      <w:r w:rsidR="00A81AFE">
        <w:rPr>
          <w:noProof/>
        </w:rPr>
        <w:t>67</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8.3</w:t>
      </w:r>
      <w:r>
        <w:rPr>
          <w:rFonts w:eastAsiaTheme="minorEastAsia" w:cstheme="minorBidi"/>
          <w:noProof/>
          <w:lang w:eastAsia="en-AU"/>
        </w:rPr>
        <w:tab/>
      </w:r>
      <w:r>
        <w:rPr>
          <w:noProof/>
          <w:lang w:bidi="en-US"/>
        </w:rPr>
        <w:t>Compliance with the Revenue Cap</w:t>
      </w:r>
      <w:r>
        <w:rPr>
          <w:noProof/>
        </w:rPr>
        <w:tab/>
      </w:r>
      <w:r w:rsidR="00575C9A">
        <w:rPr>
          <w:noProof/>
        </w:rPr>
        <w:fldChar w:fldCharType="begin"/>
      </w:r>
      <w:r>
        <w:rPr>
          <w:noProof/>
        </w:rPr>
        <w:instrText xml:space="preserve"> PAGEREF _Toc420009860 \h </w:instrText>
      </w:r>
      <w:r w:rsidR="00575C9A">
        <w:rPr>
          <w:noProof/>
        </w:rPr>
      </w:r>
      <w:r w:rsidR="00575C9A">
        <w:rPr>
          <w:noProof/>
        </w:rPr>
        <w:fldChar w:fldCharType="separate"/>
      </w:r>
      <w:r w:rsidR="00A81AFE">
        <w:rPr>
          <w:noProof/>
        </w:rPr>
        <w:t>67</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8.4</w:t>
      </w:r>
      <w:r>
        <w:rPr>
          <w:rFonts w:eastAsiaTheme="minorEastAsia" w:cstheme="minorBidi"/>
          <w:noProof/>
          <w:lang w:eastAsia="en-AU"/>
        </w:rPr>
        <w:tab/>
      </w:r>
      <w:r>
        <w:rPr>
          <w:noProof/>
          <w:lang w:bidi="en-US"/>
        </w:rPr>
        <w:t>Tariff class side constraints</w:t>
      </w:r>
      <w:r>
        <w:rPr>
          <w:noProof/>
        </w:rPr>
        <w:tab/>
      </w:r>
      <w:r w:rsidR="00575C9A">
        <w:rPr>
          <w:noProof/>
        </w:rPr>
        <w:fldChar w:fldCharType="begin"/>
      </w:r>
      <w:r>
        <w:rPr>
          <w:noProof/>
        </w:rPr>
        <w:instrText xml:space="preserve"> PAGEREF _Toc420009861 \h </w:instrText>
      </w:r>
      <w:r w:rsidR="00575C9A">
        <w:rPr>
          <w:noProof/>
        </w:rPr>
      </w:r>
      <w:r w:rsidR="00575C9A">
        <w:rPr>
          <w:noProof/>
        </w:rPr>
        <w:fldChar w:fldCharType="separate"/>
      </w:r>
      <w:r w:rsidR="00A81AFE">
        <w:rPr>
          <w:noProof/>
        </w:rPr>
        <w:t>68</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8.5</w:t>
      </w:r>
      <w:r>
        <w:rPr>
          <w:rFonts w:eastAsiaTheme="minorEastAsia" w:cstheme="minorBidi"/>
          <w:noProof/>
          <w:lang w:eastAsia="en-AU"/>
        </w:rPr>
        <w:tab/>
      </w:r>
      <w:r>
        <w:rPr>
          <w:noProof/>
          <w:lang w:bidi="en-US"/>
        </w:rPr>
        <w:t>Compliance with pricing principles</w:t>
      </w:r>
      <w:r>
        <w:rPr>
          <w:noProof/>
        </w:rPr>
        <w:tab/>
      </w:r>
      <w:r w:rsidR="00575C9A">
        <w:rPr>
          <w:noProof/>
        </w:rPr>
        <w:fldChar w:fldCharType="begin"/>
      </w:r>
      <w:r>
        <w:rPr>
          <w:noProof/>
        </w:rPr>
        <w:instrText xml:space="preserve"> PAGEREF _Toc420009862 \h </w:instrText>
      </w:r>
      <w:r w:rsidR="00575C9A">
        <w:rPr>
          <w:noProof/>
        </w:rPr>
      </w:r>
      <w:r w:rsidR="00575C9A">
        <w:rPr>
          <w:noProof/>
        </w:rPr>
        <w:fldChar w:fldCharType="separate"/>
      </w:r>
      <w:r w:rsidR="00A81AFE">
        <w:rPr>
          <w:noProof/>
        </w:rPr>
        <w:t>68</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8.6</w:t>
      </w:r>
      <w:r>
        <w:rPr>
          <w:rFonts w:eastAsiaTheme="minorEastAsia" w:cstheme="minorBidi"/>
          <w:noProof/>
          <w:lang w:eastAsia="en-AU"/>
        </w:rPr>
        <w:tab/>
      </w:r>
      <w:r>
        <w:rPr>
          <w:noProof/>
          <w:lang w:bidi="en-US"/>
        </w:rPr>
        <w:t>Stand-alone costs</w:t>
      </w:r>
      <w:r>
        <w:rPr>
          <w:noProof/>
        </w:rPr>
        <w:tab/>
      </w:r>
      <w:r w:rsidR="00575C9A">
        <w:rPr>
          <w:noProof/>
        </w:rPr>
        <w:fldChar w:fldCharType="begin"/>
      </w:r>
      <w:r>
        <w:rPr>
          <w:noProof/>
        </w:rPr>
        <w:instrText xml:space="preserve"> PAGEREF _Toc420009863 \h </w:instrText>
      </w:r>
      <w:r w:rsidR="00575C9A">
        <w:rPr>
          <w:noProof/>
        </w:rPr>
      </w:r>
      <w:r w:rsidR="00575C9A">
        <w:rPr>
          <w:noProof/>
        </w:rPr>
        <w:fldChar w:fldCharType="separate"/>
      </w:r>
      <w:r w:rsidR="00A81AFE">
        <w:rPr>
          <w:noProof/>
        </w:rPr>
        <w:t>70</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8.7</w:t>
      </w:r>
      <w:r>
        <w:rPr>
          <w:rFonts w:eastAsiaTheme="minorEastAsia" w:cstheme="minorBidi"/>
          <w:noProof/>
          <w:lang w:eastAsia="en-AU"/>
        </w:rPr>
        <w:tab/>
      </w:r>
      <w:r>
        <w:rPr>
          <w:noProof/>
          <w:lang w:bidi="en-US"/>
        </w:rPr>
        <w:t>Avoidable costs</w:t>
      </w:r>
      <w:r>
        <w:rPr>
          <w:noProof/>
        </w:rPr>
        <w:tab/>
      </w:r>
      <w:r w:rsidR="00575C9A">
        <w:rPr>
          <w:noProof/>
        </w:rPr>
        <w:fldChar w:fldCharType="begin"/>
      </w:r>
      <w:r>
        <w:rPr>
          <w:noProof/>
        </w:rPr>
        <w:instrText xml:space="preserve"> PAGEREF _Toc420009864 \h </w:instrText>
      </w:r>
      <w:r w:rsidR="00575C9A">
        <w:rPr>
          <w:noProof/>
        </w:rPr>
      </w:r>
      <w:r w:rsidR="00575C9A">
        <w:rPr>
          <w:noProof/>
        </w:rPr>
        <w:fldChar w:fldCharType="separate"/>
      </w:r>
      <w:r w:rsidR="00A81AFE">
        <w:rPr>
          <w:noProof/>
        </w:rPr>
        <w:t>70</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8.8</w:t>
      </w:r>
      <w:r>
        <w:rPr>
          <w:rFonts w:eastAsiaTheme="minorEastAsia" w:cstheme="minorBidi"/>
          <w:noProof/>
          <w:lang w:eastAsia="en-AU"/>
        </w:rPr>
        <w:tab/>
      </w:r>
      <w:r>
        <w:rPr>
          <w:noProof/>
          <w:lang w:bidi="en-US"/>
        </w:rPr>
        <w:t>Compliance with Rules clause 6.18.5(a)</w:t>
      </w:r>
      <w:r>
        <w:rPr>
          <w:noProof/>
        </w:rPr>
        <w:tab/>
      </w:r>
      <w:r w:rsidR="00575C9A">
        <w:rPr>
          <w:noProof/>
        </w:rPr>
        <w:fldChar w:fldCharType="begin"/>
      </w:r>
      <w:r>
        <w:rPr>
          <w:noProof/>
        </w:rPr>
        <w:instrText xml:space="preserve"> PAGEREF _Toc420009865 \h </w:instrText>
      </w:r>
      <w:r w:rsidR="00575C9A">
        <w:rPr>
          <w:noProof/>
        </w:rPr>
      </w:r>
      <w:r w:rsidR="00575C9A">
        <w:rPr>
          <w:noProof/>
        </w:rPr>
        <w:fldChar w:fldCharType="separate"/>
      </w:r>
      <w:r w:rsidR="00A81AFE">
        <w:rPr>
          <w:noProof/>
        </w:rPr>
        <w:t>70</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8.9</w:t>
      </w:r>
      <w:r>
        <w:rPr>
          <w:rFonts w:eastAsiaTheme="minorEastAsia" w:cstheme="minorBidi"/>
          <w:noProof/>
          <w:lang w:eastAsia="en-AU"/>
        </w:rPr>
        <w:tab/>
      </w:r>
      <w:r>
        <w:rPr>
          <w:noProof/>
          <w:lang w:bidi="en-US"/>
        </w:rPr>
        <w:t>Long Run Marginal Costs</w:t>
      </w:r>
      <w:r>
        <w:rPr>
          <w:noProof/>
        </w:rPr>
        <w:tab/>
      </w:r>
      <w:r w:rsidR="00575C9A">
        <w:rPr>
          <w:noProof/>
        </w:rPr>
        <w:fldChar w:fldCharType="begin"/>
      </w:r>
      <w:r>
        <w:rPr>
          <w:noProof/>
        </w:rPr>
        <w:instrText xml:space="preserve"> PAGEREF _Toc420009866 \h </w:instrText>
      </w:r>
      <w:r w:rsidR="00575C9A">
        <w:rPr>
          <w:noProof/>
        </w:rPr>
      </w:r>
      <w:r w:rsidR="00575C9A">
        <w:rPr>
          <w:noProof/>
        </w:rPr>
        <w:fldChar w:fldCharType="separate"/>
      </w:r>
      <w:r w:rsidR="00A81AFE">
        <w:rPr>
          <w:noProof/>
        </w:rPr>
        <w:t>70</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8.10</w:t>
      </w:r>
      <w:r>
        <w:rPr>
          <w:rFonts w:eastAsiaTheme="minorEastAsia" w:cstheme="minorBidi"/>
          <w:noProof/>
          <w:lang w:eastAsia="en-AU"/>
        </w:rPr>
        <w:tab/>
      </w:r>
      <w:r>
        <w:rPr>
          <w:noProof/>
          <w:lang w:bidi="en-US"/>
        </w:rPr>
        <w:t>Transaction costs</w:t>
      </w:r>
      <w:r>
        <w:rPr>
          <w:noProof/>
        </w:rPr>
        <w:tab/>
      </w:r>
      <w:r w:rsidR="00575C9A">
        <w:rPr>
          <w:noProof/>
        </w:rPr>
        <w:fldChar w:fldCharType="begin"/>
      </w:r>
      <w:r>
        <w:rPr>
          <w:noProof/>
        </w:rPr>
        <w:instrText xml:space="preserve"> PAGEREF _Toc420009867 \h </w:instrText>
      </w:r>
      <w:r w:rsidR="00575C9A">
        <w:rPr>
          <w:noProof/>
        </w:rPr>
      </w:r>
      <w:r w:rsidR="00575C9A">
        <w:rPr>
          <w:noProof/>
        </w:rPr>
        <w:fldChar w:fldCharType="separate"/>
      </w:r>
      <w:r w:rsidR="00A81AFE">
        <w:rPr>
          <w:noProof/>
        </w:rPr>
        <w:t>74</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8.11</w:t>
      </w:r>
      <w:r>
        <w:rPr>
          <w:rFonts w:eastAsiaTheme="minorEastAsia" w:cstheme="minorBidi"/>
          <w:noProof/>
          <w:lang w:eastAsia="en-AU"/>
        </w:rPr>
        <w:tab/>
      </w:r>
      <w:r>
        <w:rPr>
          <w:noProof/>
          <w:lang w:bidi="en-US"/>
        </w:rPr>
        <w:t>Customer response to price signals</w:t>
      </w:r>
      <w:r>
        <w:rPr>
          <w:noProof/>
        </w:rPr>
        <w:tab/>
      </w:r>
      <w:r w:rsidR="00575C9A">
        <w:rPr>
          <w:noProof/>
        </w:rPr>
        <w:fldChar w:fldCharType="begin"/>
      </w:r>
      <w:r>
        <w:rPr>
          <w:noProof/>
        </w:rPr>
        <w:instrText xml:space="preserve"> PAGEREF _Toc420009868 \h </w:instrText>
      </w:r>
      <w:r w:rsidR="00575C9A">
        <w:rPr>
          <w:noProof/>
        </w:rPr>
      </w:r>
      <w:r w:rsidR="00575C9A">
        <w:rPr>
          <w:noProof/>
        </w:rPr>
        <w:fldChar w:fldCharType="separate"/>
      </w:r>
      <w:r w:rsidR="00A81AFE">
        <w:rPr>
          <w:noProof/>
        </w:rPr>
        <w:t>75</w:t>
      </w:r>
      <w:r w:rsidR="00575C9A">
        <w:rPr>
          <w:noProof/>
        </w:rPr>
        <w:fldChar w:fldCharType="end"/>
      </w:r>
    </w:p>
    <w:p w:rsidR="00477C39" w:rsidRDefault="00477C39">
      <w:pPr>
        <w:pStyle w:val="TOC1"/>
        <w:tabs>
          <w:tab w:val="left" w:pos="440"/>
          <w:tab w:val="right" w:leader="dot" w:pos="9061"/>
        </w:tabs>
        <w:rPr>
          <w:rFonts w:eastAsiaTheme="minorEastAsia" w:cstheme="minorBidi"/>
          <w:noProof/>
          <w:lang w:eastAsia="en-AU"/>
        </w:rPr>
      </w:pPr>
      <w:r w:rsidRPr="005549A7">
        <w:rPr>
          <w:rFonts w:cs="Times New Roman"/>
          <w:noProof/>
          <w:lang w:bidi="en-US"/>
        </w:rPr>
        <w:t>9</w:t>
      </w:r>
      <w:r>
        <w:rPr>
          <w:rFonts w:eastAsiaTheme="minorEastAsia" w:cstheme="minorBidi"/>
          <w:noProof/>
          <w:lang w:eastAsia="en-AU"/>
        </w:rPr>
        <w:tab/>
      </w:r>
      <w:r>
        <w:rPr>
          <w:noProof/>
          <w:lang w:bidi="en-US"/>
        </w:rPr>
        <w:t>Transmission cost recovery tariffs</w:t>
      </w:r>
      <w:r>
        <w:rPr>
          <w:noProof/>
        </w:rPr>
        <w:tab/>
      </w:r>
      <w:r w:rsidR="00575C9A">
        <w:rPr>
          <w:noProof/>
        </w:rPr>
        <w:fldChar w:fldCharType="begin"/>
      </w:r>
      <w:r>
        <w:rPr>
          <w:noProof/>
        </w:rPr>
        <w:instrText xml:space="preserve"> PAGEREF _Toc420009869 \h </w:instrText>
      </w:r>
      <w:r w:rsidR="00575C9A">
        <w:rPr>
          <w:noProof/>
        </w:rPr>
      </w:r>
      <w:r w:rsidR="00575C9A">
        <w:rPr>
          <w:noProof/>
        </w:rPr>
        <w:fldChar w:fldCharType="separate"/>
      </w:r>
      <w:r w:rsidR="00A81AFE">
        <w:rPr>
          <w:noProof/>
        </w:rPr>
        <w:t>76</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9.1</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_Toc420009870 \h </w:instrText>
      </w:r>
      <w:r w:rsidR="00575C9A">
        <w:rPr>
          <w:noProof/>
        </w:rPr>
      </w:r>
      <w:r w:rsidR="00575C9A">
        <w:rPr>
          <w:noProof/>
        </w:rPr>
        <w:fldChar w:fldCharType="separate"/>
      </w:r>
      <w:r w:rsidR="00A81AFE">
        <w:rPr>
          <w:noProof/>
        </w:rPr>
        <w:t>76</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9.2</w:t>
      </w:r>
      <w:r>
        <w:rPr>
          <w:rFonts w:eastAsiaTheme="minorEastAsia" w:cstheme="minorBidi"/>
          <w:noProof/>
          <w:lang w:eastAsia="en-AU"/>
        </w:rPr>
        <w:tab/>
      </w:r>
      <w:r>
        <w:rPr>
          <w:noProof/>
          <w:lang w:bidi="en-US"/>
        </w:rPr>
        <w:t>Transmission cost recovery tariff methodology</w:t>
      </w:r>
      <w:r>
        <w:rPr>
          <w:noProof/>
        </w:rPr>
        <w:tab/>
      </w:r>
      <w:r w:rsidR="00575C9A">
        <w:rPr>
          <w:noProof/>
        </w:rPr>
        <w:fldChar w:fldCharType="begin"/>
      </w:r>
      <w:r>
        <w:rPr>
          <w:noProof/>
        </w:rPr>
        <w:instrText xml:space="preserve"> PAGEREF _Toc420009871 \h </w:instrText>
      </w:r>
      <w:r w:rsidR="00575C9A">
        <w:rPr>
          <w:noProof/>
        </w:rPr>
      </w:r>
      <w:r w:rsidR="00575C9A">
        <w:rPr>
          <w:noProof/>
        </w:rPr>
        <w:fldChar w:fldCharType="separate"/>
      </w:r>
      <w:r w:rsidR="00A81AFE">
        <w:rPr>
          <w:noProof/>
        </w:rPr>
        <w:t>77</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9.3</w:t>
      </w:r>
      <w:r>
        <w:rPr>
          <w:rFonts w:eastAsiaTheme="minorEastAsia" w:cstheme="minorBidi"/>
          <w:noProof/>
          <w:lang w:eastAsia="en-AU"/>
        </w:rPr>
        <w:tab/>
      </w:r>
      <w:r>
        <w:rPr>
          <w:noProof/>
          <w:lang w:bidi="en-US"/>
        </w:rPr>
        <w:t>Transmission use of system overs and unders account balance</w:t>
      </w:r>
      <w:r>
        <w:rPr>
          <w:noProof/>
        </w:rPr>
        <w:tab/>
      </w:r>
      <w:r w:rsidR="00575C9A">
        <w:rPr>
          <w:noProof/>
        </w:rPr>
        <w:fldChar w:fldCharType="begin"/>
      </w:r>
      <w:r>
        <w:rPr>
          <w:noProof/>
        </w:rPr>
        <w:instrText xml:space="preserve"> PAGEREF _Toc420009872 \h </w:instrText>
      </w:r>
      <w:r w:rsidR="00575C9A">
        <w:rPr>
          <w:noProof/>
        </w:rPr>
      </w:r>
      <w:r w:rsidR="00575C9A">
        <w:rPr>
          <w:noProof/>
        </w:rPr>
        <w:fldChar w:fldCharType="separate"/>
      </w:r>
      <w:r w:rsidR="00A81AFE">
        <w:rPr>
          <w:noProof/>
        </w:rPr>
        <w:t>78</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9.4</w:t>
      </w:r>
      <w:r>
        <w:rPr>
          <w:rFonts w:eastAsiaTheme="minorEastAsia" w:cstheme="minorBidi"/>
          <w:noProof/>
          <w:lang w:eastAsia="en-AU"/>
        </w:rPr>
        <w:tab/>
      </w:r>
      <w:r>
        <w:rPr>
          <w:noProof/>
          <w:lang w:bidi="en-US"/>
        </w:rPr>
        <w:t>Charging parameters for transmission recovery tariffs</w:t>
      </w:r>
      <w:r>
        <w:rPr>
          <w:noProof/>
        </w:rPr>
        <w:tab/>
      </w:r>
      <w:r w:rsidR="00575C9A">
        <w:rPr>
          <w:noProof/>
        </w:rPr>
        <w:fldChar w:fldCharType="begin"/>
      </w:r>
      <w:r>
        <w:rPr>
          <w:noProof/>
        </w:rPr>
        <w:instrText xml:space="preserve"> PAGEREF _Toc420009873 \h </w:instrText>
      </w:r>
      <w:r w:rsidR="00575C9A">
        <w:rPr>
          <w:noProof/>
        </w:rPr>
      </w:r>
      <w:r w:rsidR="00575C9A">
        <w:rPr>
          <w:noProof/>
        </w:rPr>
        <w:fldChar w:fldCharType="separate"/>
      </w:r>
      <w:r w:rsidR="00A81AFE">
        <w:rPr>
          <w:noProof/>
        </w:rPr>
        <w:t>78</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9.5</w:t>
      </w:r>
      <w:r>
        <w:rPr>
          <w:rFonts w:eastAsiaTheme="minorEastAsia" w:cstheme="minorBidi"/>
          <w:noProof/>
          <w:lang w:eastAsia="en-AU"/>
        </w:rPr>
        <w:tab/>
      </w:r>
      <w:r>
        <w:rPr>
          <w:noProof/>
          <w:lang w:bidi="en-US"/>
        </w:rPr>
        <w:t>Transmission recovery tariffs for 2015/16</w:t>
      </w:r>
      <w:r>
        <w:rPr>
          <w:noProof/>
        </w:rPr>
        <w:tab/>
      </w:r>
      <w:r w:rsidR="00575C9A">
        <w:rPr>
          <w:noProof/>
        </w:rPr>
        <w:fldChar w:fldCharType="begin"/>
      </w:r>
      <w:r>
        <w:rPr>
          <w:noProof/>
        </w:rPr>
        <w:instrText xml:space="preserve"> PAGEREF _Toc420009874 \h </w:instrText>
      </w:r>
      <w:r w:rsidR="00575C9A">
        <w:rPr>
          <w:noProof/>
        </w:rPr>
      </w:r>
      <w:r w:rsidR="00575C9A">
        <w:rPr>
          <w:noProof/>
        </w:rPr>
        <w:fldChar w:fldCharType="separate"/>
      </w:r>
      <w:r w:rsidR="00A81AFE">
        <w:rPr>
          <w:noProof/>
        </w:rPr>
        <w:t>79</w:t>
      </w:r>
      <w:r w:rsidR="00575C9A">
        <w:rPr>
          <w:noProof/>
        </w:rPr>
        <w:fldChar w:fldCharType="end"/>
      </w:r>
    </w:p>
    <w:p w:rsidR="00477C39" w:rsidRDefault="00477C39">
      <w:pPr>
        <w:pStyle w:val="TOC1"/>
        <w:tabs>
          <w:tab w:val="left" w:pos="660"/>
          <w:tab w:val="right" w:leader="dot" w:pos="9061"/>
        </w:tabs>
        <w:rPr>
          <w:rFonts w:eastAsiaTheme="minorEastAsia" w:cstheme="minorBidi"/>
          <w:noProof/>
          <w:lang w:eastAsia="en-AU"/>
        </w:rPr>
      </w:pPr>
      <w:r w:rsidRPr="005549A7">
        <w:rPr>
          <w:rFonts w:cs="Times New Roman"/>
          <w:noProof/>
          <w:lang w:bidi="en-US"/>
        </w:rPr>
        <w:t>10</w:t>
      </w:r>
      <w:r>
        <w:rPr>
          <w:rFonts w:eastAsiaTheme="minorEastAsia" w:cstheme="minorBidi"/>
          <w:noProof/>
          <w:lang w:eastAsia="en-AU"/>
        </w:rPr>
        <w:tab/>
      </w:r>
      <w:r>
        <w:rPr>
          <w:noProof/>
          <w:lang w:bidi="en-US"/>
        </w:rPr>
        <w:t>Recovery of the PV Jurisdictional Scheme Amount</w:t>
      </w:r>
      <w:r>
        <w:rPr>
          <w:noProof/>
        </w:rPr>
        <w:tab/>
      </w:r>
      <w:r w:rsidR="00575C9A">
        <w:rPr>
          <w:noProof/>
        </w:rPr>
        <w:fldChar w:fldCharType="begin"/>
      </w:r>
      <w:r>
        <w:rPr>
          <w:noProof/>
        </w:rPr>
        <w:instrText xml:space="preserve"> PAGEREF _Toc420009875 \h </w:instrText>
      </w:r>
      <w:r w:rsidR="00575C9A">
        <w:rPr>
          <w:noProof/>
        </w:rPr>
      </w:r>
      <w:r w:rsidR="00575C9A">
        <w:rPr>
          <w:noProof/>
        </w:rPr>
        <w:fldChar w:fldCharType="separate"/>
      </w:r>
      <w:r w:rsidR="00A81AFE">
        <w:rPr>
          <w:noProof/>
        </w:rPr>
        <w:t>80</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10.1</w:t>
      </w:r>
      <w:r>
        <w:rPr>
          <w:rFonts w:eastAsiaTheme="minorEastAsia" w:cstheme="minorBidi"/>
          <w:noProof/>
          <w:lang w:eastAsia="en-AU"/>
        </w:rPr>
        <w:tab/>
      </w:r>
      <w:r>
        <w:rPr>
          <w:noProof/>
          <w:lang w:bidi="en-US"/>
        </w:rPr>
        <w:t>PV Jurisdictional Scheme Amount overs and unders account balance</w:t>
      </w:r>
      <w:r>
        <w:rPr>
          <w:noProof/>
        </w:rPr>
        <w:tab/>
      </w:r>
      <w:r w:rsidR="00575C9A">
        <w:rPr>
          <w:noProof/>
        </w:rPr>
        <w:fldChar w:fldCharType="begin"/>
      </w:r>
      <w:r>
        <w:rPr>
          <w:noProof/>
        </w:rPr>
        <w:instrText xml:space="preserve"> PAGEREF _Toc420009876 \h </w:instrText>
      </w:r>
      <w:r w:rsidR="00575C9A">
        <w:rPr>
          <w:noProof/>
        </w:rPr>
      </w:r>
      <w:r w:rsidR="00575C9A">
        <w:rPr>
          <w:noProof/>
        </w:rPr>
        <w:fldChar w:fldCharType="separate"/>
      </w:r>
      <w:r w:rsidR="00A81AFE">
        <w:rPr>
          <w:noProof/>
        </w:rPr>
        <w:t>80</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10.2</w:t>
      </w:r>
      <w:r>
        <w:rPr>
          <w:rFonts w:eastAsiaTheme="minorEastAsia" w:cstheme="minorBidi"/>
          <w:noProof/>
          <w:lang w:eastAsia="en-AU"/>
        </w:rPr>
        <w:tab/>
      </w:r>
      <w:r>
        <w:rPr>
          <w:noProof/>
          <w:lang w:bidi="en-US"/>
        </w:rPr>
        <w:t>Charging parameters for PV JSA cost recovery tariffs</w:t>
      </w:r>
      <w:r>
        <w:rPr>
          <w:noProof/>
        </w:rPr>
        <w:tab/>
      </w:r>
      <w:r w:rsidR="00575C9A">
        <w:rPr>
          <w:noProof/>
        </w:rPr>
        <w:fldChar w:fldCharType="begin"/>
      </w:r>
      <w:r>
        <w:rPr>
          <w:noProof/>
        </w:rPr>
        <w:instrText xml:space="preserve"> PAGEREF _Toc420009877 \h </w:instrText>
      </w:r>
      <w:r w:rsidR="00575C9A">
        <w:rPr>
          <w:noProof/>
        </w:rPr>
      </w:r>
      <w:r w:rsidR="00575C9A">
        <w:rPr>
          <w:noProof/>
        </w:rPr>
        <w:fldChar w:fldCharType="separate"/>
      </w:r>
      <w:r w:rsidR="00A81AFE">
        <w:rPr>
          <w:noProof/>
        </w:rPr>
        <w:t>81</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10.3</w:t>
      </w:r>
      <w:r>
        <w:rPr>
          <w:rFonts w:eastAsiaTheme="minorEastAsia" w:cstheme="minorBidi"/>
          <w:noProof/>
          <w:lang w:eastAsia="en-AU"/>
        </w:rPr>
        <w:tab/>
      </w:r>
      <w:r>
        <w:rPr>
          <w:noProof/>
          <w:lang w:bidi="en-US"/>
        </w:rPr>
        <w:t>PV JSA cost recovery tariffs for 2015/16</w:t>
      </w:r>
      <w:r>
        <w:rPr>
          <w:noProof/>
        </w:rPr>
        <w:tab/>
      </w:r>
      <w:r w:rsidR="00575C9A">
        <w:rPr>
          <w:noProof/>
        </w:rPr>
        <w:fldChar w:fldCharType="begin"/>
      </w:r>
      <w:r>
        <w:rPr>
          <w:noProof/>
        </w:rPr>
        <w:instrText xml:space="preserve"> PAGEREF _Toc420009878 \h </w:instrText>
      </w:r>
      <w:r w:rsidR="00575C9A">
        <w:rPr>
          <w:noProof/>
        </w:rPr>
      </w:r>
      <w:r w:rsidR="00575C9A">
        <w:rPr>
          <w:noProof/>
        </w:rPr>
        <w:fldChar w:fldCharType="separate"/>
      </w:r>
      <w:r w:rsidR="00A81AFE">
        <w:rPr>
          <w:noProof/>
        </w:rPr>
        <w:t>81</w:t>
      </w:r>
      <w:r w:rsidR="00575C9A">
        <w:rPr>
          <w:noProof/>
        </w:rPr>
        <w:fldChar w:fldCharType="end"/>
      </w:r>
    </w:p>
    <w:p w:rsidR="00477C39" w:rsidRDefault="00477C39">
      <w:pPr>
        <w:pStyle w:val="TOC1"/>
        <w:tabs>
          <w:tab w:val="left" w:pos="660"/>
          <w:tab w:val="right" w:leader="dot" w:pos="9061"/>
        </w:tabs>
        <w:rPr>
          <w:rFonts w:eastAsiaTheme="minorEastAsia" w:cstheme="minorBidi"/>
          <w:noProof/>
          <w:lang w:eastAsia="en-AU"/>
        </w:rPr>
      </w:pPr>
      <w:r w:rsidRPr="005549A7">
        <w:rPr>
          <w:rFonts w:cs="Times New Roman"/>
          <w:noProof/>
          <w:lang w:bidi="en-US"/>
        </w:rPr>
        <w:t>11</w:t>
      </w:r>
      <w:r>
        <w:rPr>
          <w:rFonts w:eastAsiaTheme="minorEastAsia" w:cstheme="minorBidi"/>
          <w:noProof/>
          <w:lang w:eastAsia="en-AU"/>
        </w:rPr>
        <w:tab/>
      </w:r>
      <w:r>
        <w:rPr>
          <w:noProof/>
          <w:lang w:bidi="en-US"/>
        </w:rPr>
        <w:t>Customer tariff class assignment and reassignment</w:t>
      </w:r>
      <w:r>
        <w:rPr>
          <w:noProof/>
        </w:rPr>
        <w:tab/>
      </w:r>
      <w:r w:rsidR="00575C9A">
        <w:rPr>
          <w:noProof/>
        </w:rPr>
        <w:fldChar w:fldCharType="begin"/>
      </w:r>
      <w:r>
        <w:rPr>
          <w:noProof/>
        </w:rPr>
        <w:instrText xml:space="preserve"> PAGEREF _Toc420009879 \h </w:instrText>
      </w:r>
      <w:r w:rsidR="00575C9A">
        <w:rPr>
          <w:noProof/>
        </w:rPr>
      </w:r>
      <w:r w:rsidR="00575C9A">
        <w:rPr>
          <w:noProof/>
        </w:rPr>
        <w:fldChar w:fldCharType="separate"/>
      </w:r>
      <w:r w:rsidR="00A81AFE">
        <w:rPr>
          <w:noProof/>
        </w:rPr>
        <w:t>83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11.1</w:t>
      </w:r>
      <w:r>
        <w:rPr>
          <w:rFonts w:eastAsiaTheme="minorEastAsia" w:cstheme="minorBidi"/>
          <w:noProof/>
          <w:lang w:eastAsia="en-AU"/>
        </w:rPr>
        <w:tab/>
      </w:r>
      <w:r>
        <w:rPr>
          <w:noProof/>
          <w:lang w:bidi="en-US"/>
        </w:rPr>
        <w:t>Regulatory Requirements</w:t>
      </w:r>
      <w:r>
        <w:rPr>
          <w:noProof/>
        </w:rPr>
        <w:tab/>
      </w:r>
      <w:r w:rsidR="00575C9A">
        <w:rPr>
          <w:noProof/>
        </w:rPr>
        <w:fldChar w:fldCharType="begin"/>
      </w:r>
      <w:r>
        <w:rPr>
          <w:noProof/>
        </w:rPr>
        <w:instrText xml:space="preserve"> PAGEREF _Toc420009880 \h </w:instrText>
      </w:r>
      <w:r w:rsidR="00575C9A">
        <w:rPr>
          <w:noProof/>
        </w:rPr>
      </w:r>
      <w:r w:rsidR="00575C9A">
        <w:rPr>
          <w:noProof/>
        </w:rPr>
        <w:fldChar w:fldCharType="separate"/>
      </w:r>
      <w:r w:rsidR="00A81AFE">
        <w:rPr>
          <w:noProof/>
        </w:rPr>
        <w:t>83</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11.2</w:t>
      </w:r>
      <w:r>
        <w:rPr>
          <w:rFonts w:eastAsiaTheme="minorEastAsia" w:cstheme="minorBidi"/>
          <w:noProof/>
          <w:lang w:eastAsia="en-AU"/>
        </w:rPr>
        <w:tab/>
      </w:r>
      <w:r>
        <w:rPr>
          <w:noProof/>
          <w:lang w:bidi="en-US"/>
        </w:rPr>
        <w:t>Assignment of new customers to a tariff class during the next regulatory control period</w:t>
      </w:r>
      <w:r>
        <w:rPr>
          <w:noProof/>
        </w:rPr>
        <w:tab/>
      </w:r>
      <w:r w:rsidR="00575C9A">
        <w:rPr>
          <w:noProof/>
        </w:rPr>
        <w:fldChar w:fldCharType="begin"/>
      </w:r>
      <w:r>
        <w:rPr>
          <w:noProof/>
        </w:rPr>
        <w:instrText xml:space="preserve"> PAGEREF _Toc420009881 \h </w:instrText>
      </w:r>
      <w:r w:rsidR="00575C9A">
        <w:rPr>
          <w:noProof/>
        </w:rPr>
      </w:r>
      <w:r w:rsidR="00575C9A">
        <w:rPr>
          <w:noProof/>
        </w:rPr>
        <w:fldChar w:fldCharType="separate"/>
      </w:r>
      <w:r w:rsidR="00A81AFE">
        <w:rPr>
          <w:noProof/>
        </w:rPr>
        <w:t>85</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11.3</w:t>
      </w:r>
      <w:r>
        <w:rPr>
          <w:rFonts w:eastAsiaTheme="minorEastAsia" w:cstheme="minorBidi"/>
          <w:noProof/>
          <w:lang w:eastAsia="en-AU"/>
        </w:rPr>
        <w:tab/>
      </w:r>
      <w:r>
        <w:rPr>
          <w:noProof/>
          <w:lang w:bidi="en-US"/>
        </w:rPr>
        <w:t>Reassignment of existing customers to another existing or a new tariff during the next regulatory control period</w:t>
      </w:r>
      <w:r>
        <w:rPr>
          <w:noProof/>
        </w:rPr>
        <w:tab/>
      </w:r>
      <w:r w:rsidR="00575C9A">
        <w:rPr>
          <w:noProof/>
        </w:rPr>
        <w:fldChar w:fldCharType="begin"/>
      </w:r>
      <w:r>
        <w:rPr>
          <w:noProof/>
        </w:rPr>
        <w:instrText xml:space="preserve"> PAGEREF _Toc420009882 \h </w:instrText>
      </w:r>
      <w:r w:rsidR="00575C9A">
        <w:rPr>
          <w:noProof/>
        </w:rPr>
      </w:r>
      <w:r w:rsidR="00575C9A">
        <w:rPr>
          <w:noProof/>
        </w:rPr>
        <w:fldChar w:fldCharType="separate"/>
      </w:r>
      <w:r w:rsidR="00A81AFE">
        <w:rPr>
          <w:noProof/>
        </w:rPr>
        <w:t>87</w:t>
      </w:r>
      <w:r w:rsidR="00575C9A">
        <w:rPr>
          <w:noProof/>
        </w:rPr>
        <w:fldChar w:fldCharType="end"/>
      </w:r>
    </w:p>
    <w:p w:rsidR="00477C39" w:rsidRDefault="00477C39">
      <w:pPr>
        <w:pStyle w:val="TOC2"/>
        <w:tabs>
          <w:tab w:val="left" w:pos="880"/>
          <w:tab w:val="right" w:leader="dot" w:pos="9061"/>
        </w:tabs>
        <w:rPr>
          <w:rFonts w:eastAsiaTheme="minorEastAsia" w:cstheme="minorBidi"/>
          <w:noProof/>
          <w:lang w:eastAsia="en-AU"/>
        </w:rPr>
      </w:pPr>
      <w:r w:rsidRPr="005549A7">
        <w:rPr>
          <w:rFonts w:cs="Times New Roman"/>
          <w:noProof/>
          <w:lang w:bidi="en-US"/>
        </w:rPr>
        <w:t>11.4</w:t>
      </w:r>
      <w:r>
        <w:rPr>
          <w:rFonts w:eastAsiaTheme="minorEastAsia" w:cstheme="minorBidi"/>
          <w:noProof/>
          <w:lang w:eastAsia="en-AU"/>
        </w:rPr>
        <w:tab/>
      </w:r>
      <w:r>
        <w:rPr>
          <w:noProof/>
          <w:lang w:bidi="en-US"/>
        </w:rPr>
        <w:t>Objections to proposed assignments and reassignments</w:t>
      </w:r>
      <w:r>
        <w:rPr>
          <w:noProof/>
        </w:rPr>
        <w:tab/>
      </w:r>
      <w:r w:rsidR="00575C9A">
        <w:rPr>
          <w:noProof/>
        </w:rPr>
        <w:fldChar w:fldCharType="begin"/>
      </w:r>
      <w:r>
        <w:rPr>
          <w:noProof/>
        </w:rPr>
        <w:instrText xml:space="preserve"> PAGEREF _Toc420009883 \h </w:instrText>
      </w:r>
      <w:r w:rsidR="00575C9A">
        <w:rPr>
          <w:noProof/>
        </w:rPr>
      </w:r>
      <w:r w:rsidR="00575C9A">
        <w:rPr>
          <w:noProof/>
        </w:rPr>
        <w:fldChar w:fldCharType="separate"/>
      </w:r>
      <w:r w:rsidR="00A81AFE">
        <w:rPr>
          <w:noProof/>
        </w:rPr>
        <w:t>87</w:t>
      </w:r>
      <w:r w:rsidR="00575C9A">
        <w:rPr>
          <w:noProof/>
        </w:rPr>
        <w:fldChar w:fldCharType="end"/>
      </w:r>
    </w:p>
    <w:p w:rsidR="00477C39" w:rsidRDefault="00477C39">
      <w:pPr>
        <w:pStyle w:val="TOC1"/>
        <w:tabs>
          <w:tab w:val="left" w:pos="660"/>
          <w:tab w:val="right" w:leader="dot" w:pos="9061"/>
        </w:tabs>
        <w:rPr>
          <w:rFonts w:eastAsiaTheme="minorEastAsia" w:cstheme="minorBidi"/>
          <w:noProof/>
          <w:lang w:eastAsia="en-AU"/>
        </w:rPr>
      </w:pPr>
      <w:r w:rsidRPr="005549A7">
        <w:rPr>
          <w:rFonts w:cs="Times New Roman"/>
          <w:noProof/>
          <w:lang w:bidi="en-US"/>
        </w:rPr>
        <w:t>12</w:t>
      </w:r>
      <w:r>
        <w:rPr>
          <w:rFonts w:eastAsiaTheme="minorEastAsia" w:cstheme="minorBidi"/>
          <w:noProof/>
          <w:lang w:eastAsia="en-AU"/>
        </w:rPr>
        <w:tab/>
      </w:r>
      <w:r>
        <w:rPr>
          <w:noProof/>
          <w:lang w:bidi="en-US"/>
        </w:rPr>
        <w:t>Alternative Control Services – metering services</w:t>
      </w:r>
      <w:r>
        <w:rPr>
          <w:noProof/>
        </w:rPr>
        <w:tab/>
      </w:r>
      <w:r w:rsidR="00575C9A">
        <w:rPr>
          <w:noProof/>
        </w:rPr>
        <w:fldChar w:fldCharType="begin"/>
      </w:r>
      <w:r>
        <w:rPr>
          <w:noProof/>
        </w:rPr>
        <w:instrText xml:space="preserve"> PAGEREF _Toc420009884 \h </w:instrText>
      </w:r>
      <w:r w:rsidR="00575C9A">
        <w:rPr>
          <w:noProof/>
        </w:rPr>
      </w:r>
      <w:r w:rsidR="00575C9A">
        <w:rPr>
          <w:noProof/>
        </w:rPr>
        <w:fldChar w:fldCharType="separate"/>
      </w:r>
      <w:r w:rsidR="00A81AFE">
        <w:rPr>
          <w:noProof/>
        </w:rPr>
        <w:t>88</w:t>
      </w:r>
      <w:r w:rsidR="00575C9A">
        <w:rPr>
          <w:noProof/>
        </w:rPr>
        <w:fldChar w:fldCharType="end"/>
      </w:r>
    </w:p>
    <w:p w:rsidR="00477C39" w:rsidRDefault="00477C39">
      <w:pPr>
        <w:pStyle w:val="TOC1"/>
        <w:tabs>
          <w:tab w:val="right" w:leader="dot" w:pos="9061"/>
        </w:tabs>
        <w:rPr>
          <w:rFonts w:eastAsiaTheme="minorEastAsia" w:cstheme="minorBidi"/>
          <w:noProof/>
          <w:lang w:eastAsia="en-AU"/>
        </w:rPr>
      </w:pPr>
      <w:r>
        <w:rPr>
          <w:noProof/>
          <w:lang w:bidi="en-US"/>
        </w:rPr>
        <w:t>Appendices</w:t>
      </w:r>
      <w:r>
        <w:rPr>
          <w:noProof/>
        </w:rPr>
        <w:tab/>
      </w:r>
      <w:r w:rsidR="00575C9A">
        <w:rPr>
          <w:noProof/>
        </w:rPr>
        <w:fldChar w:fldCharType="begin"/>
      </w:r>
      <w:r>
        <w:rPr>
          <w:noProof/>
        </w:rPr>
        <w:instrText xml:space="preserve"> PAGEREF _Toc420009885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A.</w:t>
      </w:r>
      <w:r>
        <w:rPr>
          <w:rFonts w:eastAsiaTheme="minorEastAsia" w:cstheme="minorBidi"/>
          <w:noProof/>
          <w:lang w:eastAsia="en-AU"/>
        </w:rPr>
        <w:tab/>
      </w:r>
      <w:r w:rsidRPr="005549A7">
        <w:rPr>
          <w:noProof/>
          <w:lang w:bidi="en-US"/>
        </w:rPr>
        <w:t>Network Use of System Tariffs and explanatory notes</w:t>
      </w:r>
      <w:r>
        <w:rPr>
          <w:noProof/>
        </w:rPr>
        <w:tab/>
      </w:r>
      <w:r w:rsidR="00575C9A">
        <w:rPr>
          <w:noProof/>
        </w:rPr>
        <w:fldChar w:fldCharType="begin"/>
      </w:r>
      <w:r>
        <w:rPr>
          <w:noProof/>
        </w:rPr>
        <w:instrText xml:space="preserve"> PAGEREF _Toc420009886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B.</w:t>
      </w:r>
      <w:r>
        <w:rPr>
          <w:rFonts w:eastAsiaTheme="minorEastAsia" w:cstheme="minorBidi"/>
          <w:noProof/>
          <w:lang w:eastAsia="en-AU"/>
        </w:rPr>
        <w:tab/>
      </w:r>
      <w:r w:rsidRPr="005549A7">
        <w:rPr>
          <w:noProof/>
          <w:lang w:bidi="en-US"/>
        </w:rPr>
        <w:t>CONFIDENTIAL – Audit of 2013/14 quantities</w:t>
      </w:r>
      <w:r>
        <w:rPr>
          <w:noProof/>
        </w:rPr>
        <w:tab/>
      </w:r>
      <w:r w:rsidR="00575C9A">
        <w:rPr>
          <w:noProof/>
        </w:rPr>
        <w:fldChar w:fldCharType="begin"/>
      </w:r>
      <w:r>
        <w:rPr>
          <w:noProof/>
        </w:rPr>
        <w:instrText xml:space="preserve"> PAGEREF _Toc420009887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C.</w:t>
      </w:r>
      <w:r>
        <w:rPr>
          <w:rFonts w:eastAsiaTheme="minorEastAsia" w:cstheme="minorBidi"/>
          <w:noProof/>
          <w:lang w:eastAsia="en-AU"/>
        </w:rPr>
        <w:tab/>
      </w:r>
      <w:r w:rsidRPr="005549A7">
        <w:rPr>
          <w:noProof/>
          <w:lang w:bidi="en-US"/>
        </w:rPr>
        <w:t>CONFIDENTIAL STPIS Approval Advice from the AER –  2013/14 for 2015/16 tariffs</w:t>
      </w:r>
      <w:r>
        <w:rPr>
          <w:noProof/>
        </w:rPr>
        <w:tab/>
      </w:r>
      <w:r w:rsidR="00575C9A">
        <w:rPr>
          <w:noProof/>
        </w:rPr>
        <w:fldChar w:fldCharType="begin"/>
      </w:r>
      <w:r>
        <w:rPr>
          <w:noProof/>
        </w:rPr>
        <w:instrText xml:space="preserve"> PAGEREF _Toc420009888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D.</w:t>
      </w:r>
      <w:r>
        <w:rPr>
          <w:rFonts w:eastAsiaTheme="minorEastAsia" w:cstheme="minorBidi"/>
          <w:noProof/>
          <w:lang w:eastAsia="en-AU"/>
        </w:rPr>
        <w:tab/>
      </w:r>
      <w:r w:rsidRPr="005549A7">
        <w:rPr>
          <w:noProof/>
          <w:lang w:bidi="en-US"/>
        </w:rPr>
        <w:t>Transmission Prices from ElectraNet – 2015/16 TUoS prices</w:t>
      </w:r>
      <w:r>
        <w:rPr>
          <w:noProof/>
        </w:rPr>
        <w:tab/>
      </w:r>
      <w:r w:rsidR="00575C9A">
        <w:rPr>
          <w:noProof/>
        </w:rPr>
        <w:fldChar w:fldCharType="begin"/>
      </w:r>
      <w:r>
        <w:rPr>
          <w:noProof/>
        </w:rPr>
        <w:instrText xml:space="preserve"> PAGEREF _Toc420009889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E.</w:t>
      </w:r>
      <w:r>
        <w:rPr>
          <w:rFonts w:eastAsiaTheme="minorEastAsia" w:cstheme="minorBidi"/>
          <w:noProof/>
          <w:lang w:eastAsia="en-AU"/>
        </w:rPr>
        <w:tab/>
      </w:r>
      <w:r w:rsidRPr="005549A7">
        <w:rPr>
          <w:noProof/>
          <w:lang w:bidi="en-US"/>
        </w:rPr>
        <w:t>Long Run Marginal Cost Methodology</w:t>
      </w:r>
      <w:r>
        <w:rPr>
          <w:noProof/>
        </w:rPr>
        <w:tab/>
      </w:r>
      <w:r w:rsidR="00575C9A">
        <w:rPr>
          <w:noProof/>
        </w:rPr>
        <w:fldChar w:fldCharType="begin"/>
      </w:r>
      <w:r>
        <w:rPr>
          <w:noProof/>
        </w:rPr>
        <w:instrText xml:space="preserve"> PAGEREF _Toc420009890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F.</w:t>
      </w:r>
      <w:r>
        <w:rPr>
          <w:rFonts w:eastAsiaTheme="minorEastAsia" w:cstheme="minorBidi"/>
          <w:noProof/>
          <w:lang w:eastAsia="en-AU"/>
        </w:rPr>
        <w:tab/>
      </w:r>
      <w:r w:rsidRPr="005549A7">
        <w:rPr>
          <w:noProof/>
          <w:lang w:bidi="en-US"/>
        </w:rPr>
        <w:t>Stand-alone and Avoided Cost Methodologies</w:t>
      </w:r>
      <w:r>
        <w:rPr>
          <w:noProof/>
        </w:rPr>
        <w:tab/>
      </w:r>
      <w:r w:rsidR="00575C9A">
        <w:rPr>
          <w:noProof/>
        </w:rPr>
        <w:fldChar w:fldCharType="begin"/>
      </w:r>
      <w:r>
        <w:rPr>
          <w:noProof/>
        </w:rPr>
        <w:instrText xml:space="preserve"> PAGEREF _Toc420009891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G.</w:t>
      </w:r>
      <w:r>
        <w:rPr>
          <w:rFonts w:eastAsiaTheme="minorEastAsia" w:cstheme="minorBidi"/>
          <w:noProof/>
          <w:lang w:eastAsia="en-AU"/>
        </w:rPr>
        <w:tab/>
      </w:r>
      <w:r w:rsidRPr="005549A7">
        <w:rPr>
          <w:noProof/>
          <w:lang w:bidi="en-US"/>
        </w:rPr>
        <w:t>CONFIDENTIAL – Revenue and Price Compliance Model (standard control)</w:t>
      </w:r>
      <w:r>
        <w:rPr>
          <w:noProof/>
        </w:rPr>
        <w:tab/>
      </w:r>
      <w:r w:rsidR="00575C9A">
        <w:rPr>
          <w:noProof/>
        </w:rPr>
        <w:fldChar w:fldCharType="begin"/>
      </w:r>
      <w:r>
        <w:rPr>
          <w:noProof/>
        </w:rPr>
        <w:instrText xml:space="preserve"> PAGEREF _Toc420009892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H.</w:t>
      </w:r>
      <w:r>
        <w:rPr>
          <w:rFonts w:eastAsiaTheme="minorEastAsia" w:cstheme="minorBidi"/>
          <w:noProof/>
          <w:lang w:eastAsia="en-AU"/>
        </w:rPr>
        <w:tab/>
      </w:r>
      <w:r w:rsidRPr="005549A7">
        <w:rPr>
          <w:noProof/>
          <w:lang w:bidi="en-US"/>
        </w:rPr>
        <w:t>Not used</w:t>
      </w:r>
      <w:r>
        <w:rPr>
          <w:noProof/>
        </w:rPr>
        <w:tab/>
      </w:r>
      <w:r w:rsidR="00575C9A">
        <w:rPr>
          <w:noProof/>
        </w:rPr>
        <w:fldChar w:fldCharType="begin"/>
      </w:r>
      <w:r>
        <w:rPr>
          <w:noProof/>
        </w:rPr>
        <w:instrText xml:space="preserve"> PAGEREF _Toc420009893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I.</w:t>
      </w:r>
      <w:r>
        <w:rPr>
          <w:rFonts w:eastAsiaTheme="minorEastAsia" w:cstheme="minorBidi"/>
          <w:noProof/>
          <w:lang w:eastAsia="en-AU"/>
        </w:rPr>
        <w:tab/>
      </w:r>
      <w:r w:rsidRPr="005549A7">
        <w:rPr>
          <w:noProof/>
          <w:lang w:bidi="en-US"/>
        </w:rPr>
        <w:t>Not used</w:t>
      </w:r>
      <w:r>
        <w:rPr>
          <w:noProof/>
        </w:rPr>
        <w:tab/>
      </w:r>
      <w:r w:rsidR="00575C9A">
        <w:rPr>
          <w:noProof/>
        </w:rPr>
        <w:fldChar w:fldCharType="begin"/>
      </w:r>
      <w:r>
        <w:rPr>
          <w:noProof/>
        </w:rPr>
        <w:instrText xml:space="preserve"> PAGEREF _Toc420009894 \h </w:instrText>
      </w:r>
      <w:r w:rsidR="00575C9A">
        <w:rPr>
          <w:noProof/>
        </w:rPr>
      </w:r>
      <w:r w:rsidR="00575C9A">
        <w:rPr>
          <w:noProof/>
        </w:rPr>
        <w:fldChar w:fldCharType="separate"/>
      </w:r>
      <w:r w:rsidR="00A81AFE">
        <w:rPr>
          <w:noProof/>
        </w:rPr>
        <w:t>91</w:t>
      </w:r>
      <w:r w:rsidR="00575C9A">
        <w:rPr>
          <w:noProof/>
        </w:rPr>
        <w:fldChar w:fldCharType="end"/>
      </w:r>
    </w:p>
    <w:p w:rsidR="00477C39" w:rsidRDefault="00477C39">
      <w:pPr>
        <w:pStyle w:val="TOC2"/>
        <w:tabs>
          <w:tab w:val="left" w:pos="1540"/>
          <w:tab w:val="right" w:leader="dot" w:pos="9061"/>
        </w:tabs>
        <w:rPr>
          <w:rFonts w:eastAsiaTheme="minorEastAsia" w:cstheme="minorBidi"/>
          <w:noProof/>
          <w:lang w:eastAsia="en-AU"/>
        </w:rPr>
      </w:pPr>
      <w:r w:rsidRPr="005549A7">
        <w:rPr>
          <w:rFonts w:cs="Times New Roman"/>
          <w:noProof/>
          <w:lang w:bidi="en-US"/>
        </w:rPr>
        <w:t>Appendix J.</w:t>
      </w:r>
      <w:r>
        <w:rPr>
          <w:rFonts w:eastAsiaTheme="minorEastAsia" w:cstheme="minorBidi"/>
          <w:noProof/>
          <w:lang w:eastAsia="en-AU"/>
        </w:rPr>
        <w:tab/>
      </w:r>
      <w:r w:rsidR="00EA36E3">
        <w:rPr>
          <w:noProof/>
          <w:lang w:bidi="en-US"/>
        </w:rPr>
        <w:t>SA Power Networks</w:t>
      </w:r>
      <w:r w:rsidRPr="005549A7">
        <w:rPr>
          <w:noProof/>
          <w:lang w:bidi="en-US"/>
        </w:rPr>
        <w:t xml:space="preserve"> procedure for assigning and reassigning customers to tariff classes (Tariff Manual)</w:t>
      </w:r>
      <w:r>
        <w:rPr>
          <w:noProof/>
        </w:rPr>
        <w:tab/>
      </w:r>
      <w:r w:rsidR="00575C9A">
        <w:rPr>
          <w:noProof/>
        </w:rPr>
        <w:fldChar w:fldCharType="begin"/>
      </w:r>
      <w:r>
        <w:rPr>
          <w:noProof/>
        </w:rPr>
        <w:instrText xml:space="preserve"> PAGEREF _Toc420009895 \h </w:instrText>
      </w:r>
      <w:r w:rsidR="00575C9A">
        <w:rPr>
          <w:noProof/>
        </w:rPr>
      </w:r>
      <w:r w:rsidR="00575C9A">
        <w:rPr>
          <w:noProof/>
        </w:rPr>
        <w:fldChar w:fldCharType="separate"/>
      </w:r>
      <w:r w:rsidR="00A81AFE">
        <w:rPr>
          <w:noProof/>
        </w:rPr>
        <w:t>91</w:t>
      </w:r>
      <w:r w:rsidR="00575C9A">
        <w:rPr>
          <w:noProof/>
        </w:rPr>
        <w:fldChar w:fldCharType="end"/>
      </w:r>
    </w:p>
    <w:p w:rsidR="0044594F" w:rsidRPr="00927302" w:rsidRDefault="00575C9A" w:rsidP="000B1906">
      <w:pPr>
        <w:pStyle w:val="TOC2"/>
        <w:tabs>
          <w:tab w:val="left" w:pos="1540"/>
          <w:tab w:val="right" w:leader="dot" w:pos="9061"/>
        </w:tabs>
      </w:pPr>
      <w:r w:rsidRPr="000B1906">
        <w:rPr>
          <w:rFonts w:cs="Times New Roman"/>
          <w:noProof/>
          <w:lang w:bidi="en-US"/>
        </w:rPr>
        <w:fldChar w:fldCharType="end"/>
      </w:r>
    </w:p>
    <w:p w:rsidR="0044594F" w:rsidRPr="00927302" w:rsidRDefault="0044594F" w:rsidP="0044594F">
      <w:pPr>
        <w:sectPr w:rsidR="0044594F" w:rsidRPr="00927302" w:rsidSect="00393E4F">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134" w:left="1701" w:header="709" w:footer="709" w:gutter="0"/>
          <w:pgNumType w:fmt="lowerRoman" w:start="1"/>
          <w:cols w:space="708"/>
          <w:titlePg/>
          <w:docGrid w:linePitch="360"/>
        </w:sectPr>
      </w:pPr>
    </w:p>
    <w:p w:rsidR="0044594F" w:rsidRPr="00927302" w:rsidRDefault="0044594F" w:rsidP="0044594F">
      <w:pPr>
        <w:pStyle w:val="Heading1"/>
        <w:numPr>
          <w:ilvl w:val="0"/>
          <w:numId w:val="16"/>
        </w:numPr>
        <w:tabs>
          <w:tab w:val="left" w:pos="851"/>
        </w:tabs>
        <w:spacing w:after="240" w:line="240" w:lineRule="auto"/>
      </w:pPr>
      <w:bookmarkStart w:id="4" w:name="_Toc420009809"/>
      <w:r w:rsidRPr="00927302">
        <w:t>Introduction</w:t>
      </w:r>
      <w:bookmarkEnd w:id="4"/>
    </w:p>
    <w:p w:rsidR="0044594F" w:rsidRDefault="00EA36E3" w:rsidP="0044594F">
      <w:r>
        <w:t>SA Power Networks</w:t>
      </w:r>
      <w:r w:rsidR="0044594F" w:rsidRPr="00927302">
        <w:t xml:space="preserve"> is submitting this </w:t>
      </w:r>
      <w:r w:rsidR="0044594F">
        <w:t>annual</w:t>
      </w:r>
      <w:r w:rsidR="0044594F" w:rsidRPr="00927302">
        <w:t xml:space="preserve"> Pricing Proposal (Pricing Proposal) </w:t>
      </w:r>
      <w:r w:rsidR="0044594F">
        <w:t xml:space="preserve">for </w:t>
      </w:r>
      <w:r w:rsidR="00F45DD1">
        <w:t>2015/16</w:t>
      </w:r>
      <w:r w:rsidR="0044594F">
        <w:t xml:space="preserve"> </w:t>
      </w:r>
      <w:r w:rsidR="0044594F" w:rsidRPr="00927302">
        <w:t>to the Australian Energy Regulator (AER)</w:t>
      </w:r>
      <w:r w:rsidR="0044594F">
        <w:t xml:space="preserve">.  The proposal has been prepared </w:t>
      </w:r>
      <w:r w:rsidR="0044594F" w:rsidRPr="00927302">
        <w:t xml:space="preserve">in accordance with the </w:t>
      </w:r>
      <w:r w:rsidR="0044594F" w:rsidRPr="007003C4">
        <w:t>requirements of the National Electricity Rules (Rules)</w:t>
      </w:r>
      <w:r w:rsidR="007003C4" w:rsidRPr="007003C4">
        <w:t xml:space="preserve"> and</w:t>
      </w:r>
      <w:r w:rsidR="0044594F" w:rsidRPr="007003C4">
        <w:t xml:space="preserve"> the AER’s 201</w:t>
      </w:r>
      <w:r w:rsidR="007003C4" w:rsidRPr="007003C4">
        <w:t xml:space="preserve">5-20 </w:t>
      </w:r>
      <w:r w:rsidR="00477C39">
        <w:t>Preliminary Decision</w:t>
      </w:r>
      <w:r w:rsidR="007003C4" w:rsidRPr="007003C4">
        <w:t xml:space="preserve"> made</w:t>
      </w:r>
      <w:r w:rsidR="007003C4">
        <w:t xml:space="preserve"> in April 2015</w:t>
      </w:r>
      <w:r w:rsidR="001D0612">
        <w:t>.</w:t>
      </w:r>
    </w:p>
    <w:p w:rsidR="009A26B4" w:rsidRPr="00927302" w:rsidRDefault="009A26B4" w:rsidP="0044594F"/>
    <w:p w:rsidR="0044594F" w:rsidRDefault="0044594F" w:rsidP="0044594F">
      <w:r w:rsidRPr="00927302">
        <w:t xml:space="preserve">The Pricing Proposal covers all of </w:t>
      </w:r>
      <w:r w:rsidR="00EA36E3">
        <w:t>SA Power Networks</w:t>
      </w:r>
      <w:r w:rsidRPr="00927302">
        <w:t xml:space="preserve">’ </w:t>
      </w:r>
      <w:r w:rsidR="007003C4">
        <w:t xml:space="preserve">standard </w:t>
      </w:r>
      <w:r w:rsidRPr="00927302">
        <w:t>control services</w:t>
      </w:r>
      <w:r w:rsidR="007003C4">
        <w:t xml:space="preserve"> (DUoS) and </w:t>
      </w:r>
      <w:r w:rsidR="001B6579">
        <w:t>alternative control</w:t>
      </w:r>
      <w:r w:rsidR="007003C4">
        <w:t xml:space="preserve"> services (metering)</w:t>
      </w:r>
      <w:r w:rsidRPr="00927302">
        <w:t xml:space="preserve">.  </w:t>
      </w:r>
      <w:r w:rsidR="00477C39">
        <w:t>In its April 2015 Preliminary Decision</w:t>
      </w:r>
      <w:r w:rsidR="007003C4">
        <w:t>, the AER confirmed a change in regulatory control</w:t>
      </w:r>
      <w:r w:rsidR="00EA36E3">
        <w:t xml:space="preserve"> mechanism</w:t>
      </w:r>
      <w:r w:rsidR="007003C4">
        <w:t xml:space="preserve"> for </w:t>
      </w:r>
      <w:r w:rsidR="00EA36E3">
        <w:t>SA Power Networks</w:t>
      </w:r>
      <w:r w:rsidR="007003C4">
        <w:t xml:space="preserve"> for 2015-20, with a revenue cap replacing the previous </w:t>
      </w:r>
      <w:r w:rsidR="00EA36E3">
        <w:t>weighted average price cap (</w:t>
      </w:r>
      <w:r w:rsidR="007003C4">
        <w:t>WAPC</w:t>
      </w:r>
      <w:r w:rsidR="00EA36E3">
        <w:t>)</w:t>
      </w:r>
      <w:r w:rsidR="007003C4">
        <w:t xml:space="preserve"> for standard control services and a price cap replacing the </w:t>
      </w:r>
      <w:r w:rsidR="001B6579">
        <w:t>alternative control</w:t>
      </w:r>
      <w:r w:rsidR="007003C4">
        <w:t xml:space="preserve"> services’ WAPC.</w:t>
      </w:r>
    </w:p>
    <w:p w:rsidR="009A26B4" w:rsidRPr="00927302" w:rsidRDefault="009A26B4" w:rsidP="0044594F"/>
    <w:p w:rsidR="0044594F" w:rsidRPr="00927302" w:rsidRDefault="0044594F" w:rsidP="0044594F">
      <w:pPr>
        <w:pStyle w:val="Heading2"/>
        <w:keepLines w:val="0"/>
        <w:numPr>
          <w:ilvl w:val="1"/>
          <w:numId w:val="16"/>
        </w:numPr>
        <w:tabs>
          <w:tab w:val="left" w:pos="851"/>
        </w:tabs>
        <w:spacing w:after="240" w:line="240" w:lineRule="auto"/>
      </w:pPr>
      <w:bookmarkStart w:id="5" w:name="_Toc420009810"/>
      <w:r w:rsidRPr="00927302">
        <w:t>National Electricity Rules</w:t>
      </w:r>
      <w:bookmarkEnd w:id="5"/>
    </w:p>
    <w:p w:rsidR="0044594F" w:rsidRDefault="0044594F" w:rsidP="0044594F">
      <w:r w:rsidRPr="00927302">
        <w:t>Clause 6.1.1 of the Rules confers responsibility on the AER for the economic regulation of distribution services provided by means of, or in connection with, distribution systems that form part of the national grid.</w:t>
      </w:r>
    </w:p>
    <w:p w:rsidR="009A26B4" w:rsidRPr="00927302" w:rsidRDefault="009A26B4" w:rsidP="0044594F"/>
    <w:p w:rsidR="0044594F" w:rsidRPr="009A26B4" w:rsidRDefault="0044594F" w:rsidP="009A26B4">
      <w:pPr>
        <w:pStyle w:val="Heading3"/>
      </w:pPr>
      <w:r w:rsidRPr="009A26B4">
        <w:t>Classification of distribution services</w:t>
      </w:r>
    </w:p>
    <w:p w:rsidR="0044594F" w:rsidRPr="00927302" w:rsidRDefault="0044594F" w:rsidP="0044594F">
      <w:pPr>
        <w:keepNext/>
        <w:spacing w:after="120"/>
      </w:pPr>
      <w:r w:rsidRPr="00927302">
        <w:t xml:space="preserve">In accordance with clause 6.2.1 and 6.2.2 of the Rules, the AER has classified </w:t>
      </w:r>
      <w:r w:rsidR="00EA36E3">
        <w:t>SA Power Networks</w:t>
      </w:r>
      <w:r w:rsidRPr="00927302">
        <w:t>’ distribution services into the following three classes:</w:t>
      </w:r>
    </w:p>
    <w:p w:rsidR="0044594F" w:rsidRPr="00927302" w:rsidRDefault="0044594F" w:rsidP="0044594F">
      <w:pPr>
        <w:pStyle w:val="ListParagraph"/>
        <w:numPr>
          <w:ilvl w:val="0"/>
          <w:numId w:val="25"/>
        </w:numPr>
        <w:spacing w:after="120" w:line="240" w:lineRule="auto"/>
        <w:ind w:left="714" w:hanging="357"/>
        <w:contextualSpacing w:val="0"/>
      </w:pPr>
      <w:r w:rsidRPr="00927302">
        <w:t>Direct control services;</w:t>
      </w:r>
    </w:p>
    <w:p w:rsidR="0044594F" w:rsidRPr="00927302" w:rsidRDefault="0044594F" w:rsidP="0044594F">
      <w:pPr>
        <w:pStyle w:val="ListParagraph"/>
        <w:numPr>
          <w:ilvl w:val="0"/>
          <w:numId w:val="25"/>
        </w:numPr>
        <w:spacing w:after="120" w:line="240" w:lineRule="auto"/>
        <w:ind w:left="714" w:hanging="357"/>
        <w:contextualSpacing w:val="0"/>
      </w:pPr>
      <w:r w:rsidRPr="00927302">
        <w:t>Negotiated distribution services;</w:t>
      </w:r>
      <w:r w:rsidR="00EA36E3">
        <w:t xml:space="preserve"> and</w:t>
      </w:r>
    </w:p>
    <w:p w:rsidR="0044594F" w:rsidRPr="00927302" w:rsidRDefault="0044594F" w:rsidP="0044594F">
      <w:pPr>
        <w:pStyle w:val="ListParagraph"/>
        <w:numPr>
          <w:ilvl w:val="0"/>
          <w:numId w:val="25"/>
        </w:numPr>
        <w:spacing w:after="240" w:line="240" w:lineRule="auto"/>
        <w:ind w:left="714" w:hanging="357"/>
        <w:contextualSpacing w:val="0"/>
      </w:pPr>
      <w:r w:rsidRPr="00927302">
        <w:t>Unregulated distribution services.</w:t>
      </w:r>
    </w:p>
    <w:p w:rsidR="0044594F" w:rsidRPr="00927302" w:rsidRDefault="0044594F" w:rsidP="0044594F">
      <w:pPr>
        <w:keepNext/>
        <w:spacing w:after="120"/>
      </w:pPr>
      <w:r w:rsidRPr="00927302">
        <w:t>Direct control services have been further divided into the following two subclasses:</w:t>
      </w:r>
    </w:p>
    <w:p w:rsidR="0044594F" w:rsidRPr="00927302" w:rsidRDefault="0044594F" w:rsidP="0044594F">
      <w:pPr>
        <w:pStyle w:val="ListParagraph"/>
        <w:numPr>
          <w:ilvl w:val="0"/>
          <w:numId w:val="26"/>
        </w:numPr>
        <w:spacing w:after="120" w:line="240" w:lineRule="auto"/>
        <w:contextualSpacing w:val="0"/>
      </w:pPr>
      <w:r w:rsidRPr="00927302">
        <w:t>Standard control services; and</w:t>
      </w:r>
    </w:p>
    <w:p w:rsidR="0044594F" w:rsidRPr="00927302" w:rsidRDefault="0044594F" w:rsidP="0044594F">
      <w:pPr>
        <w:pStyle w:val="ListParagraph"/>
        <w:numPr>
          <w:ilvl w:val="0"/>
          <w:numId w:val="26"/>
        </w:numPr>
        <w:spacing w:after="240" w:line="240" w:lineRule="auto"/>
        <w:contextualSpacing w:val="0"/>
      </w:pPr>
      <w:r w:rsidRPr="00927302">
        <w:t>Alternative control services.</w:t>
      </w:r>
    </w:p>
    <w:p w:rsidR="0044594F" w:rsidRDefault="0044594F" w:rsidP="0044594F">
      <w:r>
        <w:t>This Pricing Proposal applies</w:t>
      </w:r>
      <w:r w:rsidRPr="00927302">
        <w:t xml:space="preserve"> to all of the direct control services provided by </w:t>
      </w:r>
      <w:r w:rsidR="00EA36E3">
        <w:t>SA Power Networks</w:t>
      </w:r>
      <w:r w:rsidRPr="00927302">
        <w:t>.</w:t>
      </w:r>
    </w:p>
    <w:p w:rsidR="009A26B4" w:rsidRPr="00927302" w:rsidRDefault="009A26B4" w:rsidP="0044594F"/>
    <w:p w:rsidR="0044594F" w:rsidRPr="00927302" w:rsidRDefault="0044594F" w:rsidP="0044594F">
      <w:pPr>
        <w:pStyle w:val="Heading2"/>
        <w:keepLines w:val="0"/>
        <w:numPr>
          <w:ilvl w:val="1"/>
          <w:numId w:val="16"/>
        </w:numPr>
        <w:tabs>
          <w:tab w:val="left" w:pos="851"/>
        </w:tabs>
        <w:spacing w:after="240" w:line="240" w:lineRule="auto"/>
      </w:pPr>
      <w:bookmarkStart w:id="6" w:name="_Toc420009811"/>
      <w:r w:rsidRPr="00927302">
        <w:t xml:space="preserve">Scope of </w:t>
      </w:r>
      <w:r w:rsidR="00EA36E3">
        <w:t>SA Power Networks</w:t>
      </w:r>
      <w:r w:rsidRPr="00927302">
        <w:t>’ Pricing Proposal</w:t>
      </w:r>
      <w:bookmarkEnd w:id="6"/>
    </w:p>
    <w:p w:rsidR="0044594F" w:rsidRPr="00927302" w:rsidRDefault="00EA36E3" w:rsidP="0044594F">
      <w:r>
        <w:t>SA Power Networks</w:t>
      </w:r>
      <w:r w:rsidR="0044594F" w:rsidRPr="00927302">
        <w:t xml:space="preserve">’ Pricing Proposal sets out the proposed prices required to </w:t>
      </w:r>
      <w:r w:rsidR="0044594F">
        <w:t xml:space="preserve">comply with the </w:t>
      </w:r>
      <w:r>
        <w:t>r</w:t>
      </w:r>
      <w:r w:rsidR="007003C4">
        <w:t>evenue</w:t>
      </w:r>
      <w:r w:rsidR="0044594F">
        <w:t xml:space="preserve"> </w:t>
      </w:r>
      <w:r>
        <w:t>c</w:t>
      </w:r>
      <w:r w:rsidR="0044594F">
        <w:t xml:space="preserve">ap </w:t>
      </w:r>
      <w:r w:rsidR="007003C4">
        <w:t xml:space="preserve">(direct control) and </w:t>
      </w:r>
      <w:r>
        <w:t>p</w:t>
      </w:r>
      <w:r w:rsidR="007003C4">
        <w:t>rice cap (</w:t>
      </w:r>
      <w:r w:rsidR="001B6579">
        <w:t>alternative control</w:t>
      </w:r>
      <w:r w:rsidR="007003C4">
        <w:t xml:space="preserve">) </w:t>
      </w:r>
      <w:r w:rsidR="0044594F" w:rsidRPr="00927302">
        <w:t>approved by the AER</w:t>
      </w:r>
      <w:r w:rsidR="0044594F">
        <w:t>.</w:t>
      </w:r>
    </w:p>
    <w:p w:rsidR="0044594F" w:rsidRPr="00927302" w:rsidRDefault="0044594F" w:rsidP="0044594F">
      <w:pPr>
        <w:keepNext/>
        <w:spacing w:after="120"/>
      </w:pPr>
      <w:r>
        <w:br w:type="page"/>
      </w:r>
      <w:r w:rsidRPr="00927302">
        <w:t>This Pricing Proposal is submitted in accordance with, and complies with, the requirements of:</w:t>
      </w:r>
    </w:p>
    <w:p w:rsidR="0044594F" w:rsidRPr="00927302" w:rsidRDefault="0044594F" w:rsidP="0044594F">
      <w:pPr>
        <w:pStyle w:val="ListParagraph"/>
        <w:numPr>
          <w:ilvl w:val="0"/>
          <w:numId w:val="27"/>
        </w:numPr>
        <w:spacing w:after="120" w:line="240" w:lineRule="auto"/>
        <w:contextualSpacing w:val="0"/>
      </w:pPr>
      <w:r w:rsidRPr="00927302">
        <w:t>The National Electricity Law;</w:t>
      </w:r>
    </w:p>
    <w:p w:rsidR="0044594F" w:rsidRPr="00927302" w:rsidRDefault="0044594F" w:rsidP="0044594F">
      <w:pPr>
        <w:pStyle w:val="ListParagraph"/>
        <w:numPr>
          <w:ilvl w:val="0"/>
          <w:numId w:val="27"/>
        </w:numPr>
        <w:spacing w:after="120" w:line="240" w:lineRule="auto"/>
        <w:contextualSpacing w:val="0"/>
      </w:pPr>
      <w:r w:rsidRPr="00927302">
        <w:t>The National Electricity Rules</w:t>
      </w:r>
      <w:r>
        <w:t>,</w:t>
      </w:r>
      <w:r w:rsidRPr="00927302">
        <w:t xml:space="preserve"> including the Transitiona</w:t>
      </w:r>
      <w:r>
        <w:t>l Rules for South Australia;</w:t>
      </w:r>
    </w:p>
    <w:p w:rsidR="0044594F" w:rsidRPr="007003C4" w:rsidRDefault="0044594F" w:rsidP="0044594F">
      <w:pPr>
        <w:pStyle w:val="ListParagraph"/>
        <w:numPr>
          <w:ilvl w:val="0"/>
          <w:numId w:val="27"/>
        </w:numPr>
        <w:spacing w:after="120" w:line="240" w:lineRule="auto"/>
        <w:contextualSpacing w:val="0"/>
      </w:pPr>
      <w:r w:rsidRPr="007003C4">
        <w:t>The AER’s 201</w:t>
      </w:r>
      <w:r w:rsidR="007003C4" w:rsidRPr="007003C4">
        <w:t>5</w:t>
      </w:r>
      <w:r w:rsidR="00EA36E3">
        <w:t>-</w:t>
      </w:r>
      <w:r w:rsidR="007003C4" w:rsidRPr="007003C4">
        <w:t>20</w:t>
      </w:r>
      <w:r w:rsidRPr="007003C4">
        <w:t xml:space="preserve"> </w:t>
      </w:r>
      <w:r w:rsidR="00EA36E3">
        <w:t>SA Power Networks Preliminary D</w:t>
      </w:r>
      <w:r w:rsidRPr="007003C4">
        <w:t xml:space="preserve">etermination, including the AER’s </w:t>
      </w:r>
      <w:r w:rsidR="007003C4" w:rsidRPr="007003C4">
        <w:t xml:space="preserve">Preliminary </w:t>
      </w:r>
      <w:r w:rsidRPr="007003C4">
        <w:t xml:space="preserve"> Decisions on the control mechanisms and </w:t>
      </w:r>
      <w:r w:rsidR="007003C4" w:rsidRPr="007003C4">
        <w:t>revenue/</w:t>
      </w:r>
      <w:r w:rsidRPr="007003C4">
        <w:t xml:space="preserve">pricing </w:t>
      </w:r>
      <w:r w:rsidRPr="007003C4">
        <w:rPr>
          <w:i/>
        </w:rPr>
        <w:t>X</w:t>
      </w:r>
      <w:r w:rsidRPr="007003C4">
        <w:t xml:space="preserve"> factors for standard control services and alternative control services;</w:t>
      </w:r>
    </w:p>
    <w:p w:rsidR="0044594F" w:rsidRPr="00927302" w:rsidRDefault="0044594F" w:rsidP="009A26B4">
      <w:pPr>
        <w:pStyle w:val="Heading2"/>
        <w:keepLines w:val="0"/>
        <w:numPr>
          <w:ilvl w:val="1"/>
          <w:numId w:val="16"/>
        </w:numPr>
        <w:tabs>
          <w:tab w:val="clear" w:pos="851"/>
          <w:tab w:val="left" w:pos="709"/>
        </w:tabs>
        <w:spacing w:after="240" w:line="240" w:lineRule="auto"/>
      </w:pPr>
      <w:bookmarkStart w:id="7" w:name="_Toc420009812"/>
      <w:r w:rsidRPr="00927302">
        <w:t xml:space="preserve">Structure of </w:t>
      </w:r>
      <w:r w:rsidR="00EA36E3">
        <w:t>SA Power Networks</w:t>
      </w:r>
      <w:r w:rsidRPr="00927302">
        <w:t>’ Pricing Proposal</w:t>
      </w:r>
      <w:bookmarkEnd w:id="7"/>
    </w:p>
    <w:p w:rsidR="0044594F" w:rsidRPr="00927302" w:rsidRDefault="0044594F" w:rsidP="0044594F">
      <w:pPr>
        <w:keepNext/>
        <w:spacing w:after="120"/>
      </w:pPr>
      <w:r w:rsidRPr="00927302">
        <w:t>In Part I of the Rules, clause 6.18 sets out the requirements concerning Distribution Pricing.  These requirements include:</w:t>
      </w:r>
    </w:p>
    <w:p w:rsidR="0044594F" w:rsidRPr="00927302" w:rsidRDefault="0044594F" w:rsidP="0044594F">
      <w:pPr>
        <w:pStyle w:val="ListParagraph"/>
        <w:numPr>
          <w:ilvl w:val="0"/>
          <w:numId w:val="21"/>
        </w:numPr>
        <w:spacing w:after="120" w:line="240" w:lineRule="auto"/>
        <w:ind w:left="765" w:hanging="357"/>
        <w:contextualSpacing w:val="0"/>
      </w:pPr>
      <w:r w:rsidRPr="00927302">
        <w:t xml:space="preserve">The Pricing Principles which must be followed; </w:t>
      </w:r>
    </w:p>
    <w:p w:rsidR="0044594F" w:rsidRPr="00927302" w:rsidRDefault="0044594F" w:rsidP="0044594F">
      <w:pPr>
        <w:pStyle w:val="ListParagraph"/>
        <w:numPr>
          <w:ilvl w:val="0"/>
          <w:numId w:val="21"/>
        </w:numPr>
        <w:spacing w:after="120" w:line="240" w:lineRule="auto"/>
        <w:ind w:left="765" w:hanging="357"/>
        <w:contextualSpacing w:val="0"/>
      </w:pPr>
      <w:r w:rsidRPr="00927302">
        <w:t>The requirement for this Pricing Proposal; and</w:t>
      </w:r>
    </w:p>
    <w:p w:rsidR="0044594F" w:rsidRPr="00927302" w:rsidRDefault="0044594F" w:rsidP="0044594F">
      <w:pPr>
        <w:pStyle w:val="ListParagraph"/>
        <w:numPr>
          <w:ilvl w:val="0"/>
          <w:numId w:val="21"/>
        </w:numPr>
        <w:spacing w:after="240" w:line="240" w:lineRule="auto"/>
        <w:ind w:left="765" w:hanging="357"/>
        <w:contextualSpacing w:val="0"/>
      </w:pPr>
      <w:r w:rsidRPr="00927302">
        <w:t xml:space="preserve">The matters that the Pricing Proposal must address.  </w:t>
      </w:r>
    </w:p>
    <w:p w:rsidR="0044594F" w:rsidRDefault="0044594F" w:rsidP="0044594F">
      <w:pPr>
        <w:keepNext/>
        <w:spacing w:after="120"/>
      </w:pPr>
      <w:r>
        <w:t xml:space="preserve">The AER’s </w:t>
      </w:r>
      <w:r w:rsidR="00477C39">
        <w:t>Preliminary Decision</w:t>
      </w:r>
      <w:r>
        <w:t xml:space="preserve"> has been made pursuant to clause 6.11.1 of the Rules.  Several aspects of that determination impose requirements concerning distribution pricing, including:</w:t>
      </w:r>
    </w:p>
    <w:p w:rsidR="0044594F" w:rsidRDefault="0044594F" w:rsidP="0044594F">
      <w:pPr>
        <w:pStyle w:val="ListParagraph"/>
        <w:numPr>
          <w:ilvl w:val="0"/>
          <w:numId w:val="21"/>
        </w:numPr>
        <w:spacing w:after="120" w:line="240" w:lineRule="auto"/>
        <w:ind w:left="765" w:hanging="357"/>
        <w:contextualSpacing w:val="0"/>
      </w:pPr>
      <w:r>
        <w:t>Classification of services;</w:t>
      </w:r>
    </w:p>
    <w:p w:rsidR="0044594F" w:rsidRDefault="0044594F" w:rsidP="0044594F">
      <w:pPr>
        <w:pStyle w:val="ListParagraph"/>
        <w:numPr>
          <w:ilvl w:val="0"/>
          <w:numId w:val="21"/>
        </w:numPr>
        <w:spacing w:after="120" w:line="240" w:lineRule="auto"/>
        <w:ind w:left="765" w:hanging="357"/>
        <w:contextualSpacing w:val="0"/>
      </w:pPr>
      <w:r>
        <w:t xml:space="preserve">The pricing control mechanism(s), </w:t>
      </w:r>
      <w:r w:rsidRPr="008A58FE">
        <w:rPr>
          <w:i/>
        </w:rPr>
        <w:t>X</w:t>
      </w:r>
      <w:r>
        <w:t xml:space="preserve"> factors and side constraints;</w:t>
      </w:r>
    </w:p>
    <w:p w:rsidR="0044594F" w:rsidRDefault="0044594F" w:rsidP="0044594F">
      <w:pPr>
        <w:pStyle w:val="ListParagraph"/>
        <w:numPr>
          <w:ilvl w:val="0"/>
          <w:numId w:val="21"/>
        </w:numPr>
        <w:spacing w:after="120" w:line="240" w:lineRule="auto"/>
        <w:ind w:left="765" w:hanging="357"/>
        <w:contextualSpacing w:val="0"/>
      </w:pPr>
      <w:r>
        <w:t xml:space="preserve">Assigning and reassigning customers to tariff classes; </w:t>
      </w:r>
    </w:p>
    <w:p w:rsidR="0044594F" w:rsidRDefault="0044594F" w:rsidP="0044594F">
      <w:pPr>
        <w:pStyle w:val="ListParagraph"/>
        <w:numPr>
          <w:ilvl w:val="0"/>
          <w:numId w:val="21"/>
        </w:numPr>
        <w:spacing w:after="120" w:line="240" w:lineRule="auto"/>
        <w:ind w:left="765" w:hanging="357"/>
        <w:contextualSpacing w:val="0"/>
      </w:pPr>
      <w:r>
        <w:t>Recovery of transmission charges;</w:t>
      </w:r>
      <w:r w:rsidRPr="001B6B35">
        <w:t xml:space="preserve"> </w:t>
      </w:r>
      <w:r>
        <w:t>and</w:t>
      </w:r>
    </w:p>
    <w:p w:rsidR="0044594F" w:rsidRDefault="0044594F" w:rsidP="0044594F">
      <w:pPr>
        <w:pStyle w:val="ListParagraph"/>
        <w:numPr>
          <w:ilvl w:val="0"/>
          <w:numId w:val="21"/>
        </w:numPr>
        <w:spacing w:after="240" w:line="240" w:lineRule="auto"/>
        <w:ind w:left="765" w:hanging="357"/>
        <w:contextualSpacing w:val="0"/>
      </w:pPr>
      <w:r w:rsidRPr="001B6B35">
        <w:t>The passthrough of cost</w:t>
      </w:r>
      <w:r>
        <w:t>s, in specified circumstances.  This includes the PV Jurisdictional Scheme Amount.</w:t>
      </w:r>
    </w:p>
    <w:p w:rsidR="0044594F" w:rsidRPr="00927302" w:rsidRDefault="0044594F" w:rsidP="0044594F">
      <w:pPr>
        <w:keepNext/>
      </w:pPr>
      <w:r w:rsidRPr="00927302">
        <w:t xml:space="preserve">This Pricing Proposal has been structured so as to allow compliance with the specific requirements of the Rules </w:t>
      </w:r>
      <w:r w:rsidR="00477C39">
        <w:t>and the AER’s Preliminary Decision</w:t>
      </w:r>
      <w:r>
        <w:t xml:space="preserve"> </w:t>
      </w:r>
      <w:r w:rsidRPr="00927302">
        <w:t xml:space="preserve">to be readily ascertained.  The substantive </w:t>
      </w:r>
      <w:r w:rsidR="000B7F94">
        <w:t>Section</w:t>
      </w:r>
      <w:r w:rsidRPr="00927302">
        <w:t xml:space="preserve">s of this Pricing Proposal are set out in </w:t>
      </w:r>
      <w:r w:rsidR="00924A8F">
        <w:fldChar w:fldCharType="begin"/>
      </w:r>
      <w:r w:rsidR="00924A8F">
        <w:instrText xml:space="preserve"> REF _Ref226961601 </w:instrText>
      </w:r>
      <w:r w:rsidR="00924A8F">
        <w:fldChar w:fldCharType="separate"/>
      </w:r>
      <w:r w:rsidR="00A81AFE" w:rsidRPr="00927302">
        <w:t xml:space="preserve">Table </w:t>
      </w:r>
      <w:r w:rsidR="00A81AFE">
        <w:rPr>
          <w:noProof/>
        </w:rPr>
        <w:t>1</w:t>
      </w:r>
      <w:r w:rsidR="00924A8F">
        <w:rPr>
          <w:noProof/>
        </w:rPr>
        <w:fldChar w:fldCharType="end"/>
      </w:r>
      <w:r w:rsidRPr="00927302">
        <w:t>.</w:t>
      </w:r>
    </w:p>
    <w:p w:rsidR="0044594F" w:rsidRPr="00927302" w:rsidRDefault="0044594F" w:rsidP="0044594F">
      <w:pPr>
        <w:pStyle w:val="Caption"/>
        <w:keepNext/>
        <w:pageBreakBefore/>
      </w:pPr>
      <w:bookmarkStart w:id="8" w:name="_Ref226961601"/>
      <w:r w:rsidRPr="00927302">
        <w:t xml:space="preserve">Table </w:t>
      </w:r>
      <w:r w:rsidR="00924A8F">
        <w:fldChar w:fldCharType="begin"/>
      </w:r>
      <w:r w:rsidR="00924A8F">
        <w:instrText xml:space="preserve"> SEQ Table \* ARABIC </w:instrText>
      </w:r>
      <w:r w:rsidR="00924A8F">
        <w:fldChar w:fldCharType="separate"/>
      </w:r>
      <w:r w:rsidR="00A81AFE">
        <w:rPr>
          <w:noProof/>
        </w:rPr>
        <w:t>1</w:t>
      </w:r>
      <w:r w:rsidR="00924A8F">
        <w:rPr>
          <w:noProof/>
        </w:rPr>
        <w:fldChar w:fldCharType="end"/>
      </w:r>
      <w:bookmarkEnd w:id="8"/>
      <w:r w:rsidRPr="00927302">
        <w:t xml:space="preserve"> - Structure of </w:t>
      </w:r>
      <w:r w:rsidR="00EA36E3">
        <w:t>SA Power Networks</w:t>
      </w:r>
      <w:r w:rsidRPr="00927302">
        <w:t>’ Pricing Proposal</w:t>
      </w:r>
    </w:p>
    <w:tbl>
      <w:tblPr>
        <w:tblW w:w="90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1"/>
        <w:gridCol w:w="2316"/>
        <w:gridCol w:w="6223"/>
      </w:tblGrid>
      <w:tr w:rsidR="0044594F" w:rsidRPr="00927302" w:rsidTr="005C5ACB">
        <w:trPr>
          <w:tblHeader/>
        </w:trPr>
        <w:tc>
          <w:tcPr>
            <w:tcW w:w="2867" w:type="dxa"/>
            <w:gridSpan w:val="2"/>
            <w:shd w:val="solid" w:color="FAB585" w:themeColor="accent3" w:fill="auto"/>
          </w:tcPr>
          <w:p w:rsidR="0044594F" w:rsidRPr="00927302" w:rsidRDefault="000B7F94" w:rsidP="00393E4F">
            <w:pPr>
              <w:keepNext/>
              <w:spacing w:before="40" w:after="40"/>
              <w:rPr>
                <w:b/>
              </w:rPr>
            </w:pPr>
            <w:r>
              <w:rPr>
                <w:b/>
              </w:rPr>
              <w:t>Section</w:t>
            </w:r>
          </w:p>
        </w:tc>
        <w:tc>
          <w:tcPr>
            <w:tcW w:w="6223" w:type="dxa"/>
            <w:shd w:val="solid" w:color="FAB585" w:themeColor="accent3" w:fill="auto"/>
          </w:tcPr>
          <w:p w:rsidR="0044594F" w:rsidRPr="00927302" w:rsidRDefault="0044594F" w:rsidP="00393E4F">
            <w:pPr>
              <w:spacing w:before="40" w:after="40"/>
              <w:rPr>
                <w:b/>
              </w:rPr>
            </w:pPr>
            <w:r w:rsidRPr="00927302">
              <w:rPr>
                <w:b/>
              </w:rPr>
              <w:t>Purpose</w:t>
            </w:r>
          </w:p>
        </w:tc>
      </w:tr>
      <w:tr w:rsidR="0044594F" w:rsidRPr="00927302" w:rsidTr="005C5ACB">
        <w:tc>
          <w:tcPr>
            <w:tcW w:w="551" w:type="dxa"/>
            <w:tcBorders>
              <w:right w:val="nil"/>
            </w:tcBorders>
          </w:tcPr>
          <w:p w:rsidR="0044594F" w:rsidRPr="000F3D60" w:rsidRDefault="00575C9A" w:rsidP="00393E4F">
            <w:pPr>
              <w:spacing w:before="40" w:after="40"/>
            </w:pPr>
            <w:r>
              <w:fldChar w:fldCharType="begin"/>
            </w:r>
            <w:r w:rsidR="0044594F">
              <w:instrText xml:space="preserve"> REF _Ref165616177 \r \h </w:instrText>
            </w:r>
            <w:r>
              <w:fldChar w:fldCharType="separate"/>
            </w:r>
            <w:r w:rsidR="00A81AFE">
              <w:t>2</w:t>
            </w:r>
            <w:r>
              <w:fldChar w:fldCharType="end"/>
            </w:r>
          </w:p>
        </w:tc>
        <w:tc>
          <w:tcPr>
            <w:tcW w:w="2316" w:type="dxa"/>
            <w:tcBorders>
              <w:left w:val="nil"/>
            </w:tcBorders>
          </w:tcPr>
          <w:p w:rsidR="0044594F" w:rsidRPr="000F3D60" w:rsidRDefault="0044594F" w:rsidP="00393E4F">
            <w:pPr>
              <w:keepNext/>
              <w:spacing w:before="40" w:after="40"/>
            </w:pPr>
            <w:r w:rsidRPr="000F3D60">
              <w:t>Regulatory Requirements</w:t>
            </w:r>
          </w:p>
        </w:tc>
        <w:tc>
          <w:tcPr>
            <w:tcW w:w="6223" w:type="dxa"/>
          </w:tcPr>
          <w:p w:rsidR="0044594F" w:rsidRPr="000F3D60" w:rsidRDefault="0044594F" w:rsidP="007003C4">
            <w:pPr>
              <w:spacing w:before="40" w:after="40"/>
            </w:pPr>
            <w:r w:rsidRPr="000F3D60">
              <w:t xml:space="preserve">Summarises the regulatory requirements as they relate to </w:t>
            </w:r>
            <w:r w:rsidR="00EA36E3">
              <w:t>SA Power Networks</w:t>
            </w:r>
            <w:r w:rsidRPr="000F3D60">
              <w:t xml:space="preserve">’ Pricing Proposal including the relevant </w:t>
            </w:r>
            <w:r w:rsidRPr="007003C4">
              <w:t>requirements of the Rules and the AER’s 201</w:t>
            </w:r>
            <w:r w:rsidR="007003C4" w:rsidRPr="007003C4">
              <w:t>5</w:t>
            </w:r>
            <w:r w:rsidRPr="007003C4">
              <w:t xml:space="preserve"> </w:t>
            </w:r>
            <w:r w:rsidR="00477C39">
              <w:t>Preliminary Decision</w:t>
            </w:r>
            <w:r w:rsidRPr="007003C4">
              <w:t>.</w:t>
            </w:r>
            <w:r>
              <w:t xml:space="preserve">  It also describes the requirements concerning the recovery of the Jurisdictional Scheme Amount, to fund Feed-in Tariff payments made to customers with solar PV generators.</w:t>
            </w:r>
          </w:p>
        </w:tc>
      </w:tr>
      <w:tr w:rsidR="0044594F" w:rsidRPr="00927302" w:rsidTr="005C5ACB">
        <w:tc>
          <w:tcPr>
            <w:tcW w:w="551" w:type="dxa"/>
            <w:tcBorders>
              <w:right w:val="nil"/>
            </w:tcBorders>
          </w:tcPr>
          <w:p w:rsidR="0044594F" w:rsidRPr="000F3D60" w:rsidRDefault="00575C9A" w:rsidP="00393E4F">
            <w:pPr>
              <w:spacing w:before="40" w:after="40"/>
            </w:pPr>
            <w:r>
              <w:fldChar w:fldCharType="begin"/>
            </w:r>
            <w:r w:rsidR="0044594F">
              <w:instrText xml:space="preserve"> REF _Ref165619819 \r \h </w:instrText>
            </w:r>
            <w:r>
              <w:fldChar w:fldCharType="separate"/>
            </w:r>
            <w:r w:rsidR="00A81AFE">
              <w:t>3</w:t>
            </w:r>
            <w:r>
              <w:fldChar w:fldCharType="end"/>
            </w:r>
          </w:p>
        </w:tc>
        <w:tc>
          <w:tcPr>
            <w:tcW w:w="2316" w:type="dxa"/>
            <w:tcBorders>
              <w:left w:val="nil"/>
            </w:tcBorders>
          </w:tcPr>
          <w:p w:rsidR="0044594F" w:rsidRPr="000F3D60" w:rsidRDefault="0044594F" w:rsidP="00393E4F">
            <w:pPr>
              <w:keepNext/>
              <w:spacing w:before="40" w:after="40"/>
            </w:pPr>
            <w:r w:rsidRPr="000F3D60">
              <w:t>Business Overview</w:t>
            </w:r>
          </w:p>
        </w:tc>
        <w:tc>
          <w:tcPr>
            <w:tcW w:w="6223" w:type="dxa"/>
          </w:tcPr>
          <w:p w:rsidR="0044594F" w:rsidRPr="000F3D60" w:rsidRDefault="0044594F" w:rsidP="00393E4F">
            <w:pPr>
              <w:spacing w:before="40" w:after="40"/>
            </w:pPr>
            <w:r w:rsidRPr="000F3D60">
              <w:t xml:space="preserve">Summarises the characteristics of </w:t>
            </w:r>
            <w:r w:rsidR="00EA36E3">
              <w:t>SA Power Networks</w:t>
            </w:r>
            <w:r w:rsidRPr="000F3D60">
              <w:t xml:space="preserve">’ network that provide the context for </w:t>
            </w:r>
            <w:r w:rsidR="00EA36E3">
              <w:t>SA Power Networks</w:t>
            </w:r>
            <w:r w:rsidRPr="000F3D60">
              <w:t>’ network tariff strategy.</w:t>
            </w:r>
          </w:p>
        </w:tc>
      </w:tr>
      <w:tr w:rsidR="0044594F" w:rsidRPr="00927302" w:rsidTr="005C5ACB">
        <w:tc>
          <w:tcPr>
            <w:tcW w:w="551" w:type="dxa"/>
            <w:tcBorders>
              <w:right w:val="nil"/>
            </w:tcBorders>
          </w:tcPr>
          <w:p w:rsidR="0044594F" w:rsidRPr="000F3D60" w:rsidRDefault="00575C9A" w:rsidP="00393E4F">
            <w:pPr>
              <w:spacing w:before="40" w:after="40"/>
            </w:pPr>
            <w:r>
              <w:fldChar w:fldCharType="begin"/>
            </w:r>
            <w:r w:rsidR="0044594F">
              <w:instrText xml:space="preserve"> REF _Ref131848147 \r \h </w:instrText>
            </w:r>
            <w:r>
              <w:fldChar w:fldCharType="separate"/>
            </w:r>
            <w:r w:rsidR="00A81AFE">
              <w:t>4</w:t>
            </w:r>
            <w:r>
              <w:fldChar w:fldCharType="end"/>
            </w:r>
          </w:p>
        </w:tc>
        <w:tc>
          <w:tcPr>
            <w:tcW w:w="2316" w:type="dxa"/>
            <w:tcBorders>
              <w:left w:val="nil"/>
            </w:tcBorders>
          </w:tcPr>
          <w:p w:rsidR="0044594F" w:rsidRPr="000F3D60" w:rsidRDefault="0044594F" w:rsidP="00393E4F">
            <w:pPr>
              <w:keepNext/>
              <w:spacing w:before="40" w:after="40"/>
            </w:pPr>
            <w:r w:rsidRPr="000F3D60">
              <w:t>Tariff Classes</w:t>
            </w:r>
          </w:p>
        </w:tc>
        <w:tc>
          <w:tcPr>
            <w:tcW w:w="6223" w:type="dxa"/>
          </w:tcPr>
          <w:p w:rsidR="0044594F" w:rsidRPr="000F3D60" w:rsidRDefault="0044594F" w:rsidP="00393E4F">
            <w:pPr>
              <w:spacing w:before="40" w:after="40"/>
            </w:pPr>
            <w:r w:rsidRPr="000F3D60">
              <w:t xml:space="preserve">Defines the tariffs and tariff classes into which </w:t>
            </w:r>
            <w:r w:rsidR="00EA36E3">
              <w:t>SA Power Networks</w:t>
            </w:r>
            <w:r w:rsidRPr="000F3D60">
              <w:t>’ customers for direct control services are divided and their charging parameters.</w:t>
            </w:r>
          </w:p>
        </w:tc>
      </w:tr>
      <w:tr w:rsidR="0044594F" w:rsidRPr="00927302" w:rsidTr="005C5ACB">
        <w:tc>
          <w:tcPr>
            <w:tcW w:w="551" w:type="dxa"/>
            <w:tcBorders>
              <w:right w:val="nil"/>
            </w:tcBorders>
          </w:tcPr>
          <w:p w:rsidR="0044594F" w:rsidRPr="000F3D60" w:rsidRDefault="00575C9A" w:rsidP="00393E4F">
            <w:pPr>
              <w:spacing w:before="40" w:after="40"/>
            </w:pPr>
            <w:r>
              <w:fldChar w:fldCharType="begin"/>
            </w:r>
            <w:r w:rsidR="0044594F">
              <w:instrText xml:space="preserve"> REF _Ref134069703 \r \h </w:instrText>
            </w:r>
            <w:r>
              <w:fldChar w:fldCharType="separate"/>
            </w:r>
            <w:r w:rsidR="00A81AFE">
              <w:t>5</w:t>
            </w:r>
            <w:r>
              <w:fldChar w:fldCharType="end"/>
            </w:r>
          </w:p>
        </w:tc>
        <w:tc>
          <w:tcPr>
            <w:tcW w:w="2316" w:type="dxa"/>
            <w:tcBorders>
              <w:left w:val="nil"/>
            </w:tcBorders>
          </w:tcPr>
          <w:p w:rsidR="0044594F" w:rsidRPr="000F3D60" w:rsidRDefault="0044594F" w:rsidP="00393E4F">
            <w:pPr>
              <w:keepNext/>
              <w:spacing w:before="40" w:after="40"/>
            </w:pPr>
            <w:r w:rsidRPr="000F3D60">
              <w:t>Network Tariff Strategy</w:t>
            </w:r>
          </w:p>
        </w:tc>
        <w:tc>
          <w:tcPr>
            <w:tcW w:w="6223" w:type="dxa"/>
          </w:tcPr>
          <w:p w:rsidR="0044594F" w:rsidRPr="000F3D60" w:rsidRDefault="0044594F" w:rsidP="00393E4F">
            <w:pPr>
              <w:spacing w:before="40" w:after="40"/>
            </w:pPr>
            <w:r w:rsidRPr="000F3D60">
              <w:t xml:space="preserve">Outlines </w:t>
            </w:r>
            <w:r w:rsidR="00EA36E3">
              <w:t>SA Power Networks</w:t>
            </w:r>
            <w:r w:rsidRPr="000F3D60">
              <w:t>’ Network Tariff Strategy and indicates how tariff charging parameters are expected to vary.</w:t>
            </w:r>
          </w:p>
        </w:tc>
      </w:tr>
      <w:tr w:rsidR="0044594F" w:rsidRPr="00927302" w:rsidTr="005C5ACB">
        <w:tc>
          <w:tcPr>
            <w:tcW w:w="551" w:type="dxa"/>
            <w:tcBorders>
              <w:right w:val="nil"/>
            </w:tcBorders>
          </w:tcPr>
          <w:p w:rsidR="0044594F" w:rsidRPr="000F3D60" w:rsidRDefault="00575C9A" w:rsidP="00393E4F">
            <w:pPr>
              <w:spacing w:before="40" w:after="40"/>
            </w:pPr>
            <w:r>
              <w:fldChar w:fldCharType="begin"/>
            </w:r>
            <w:r w:rsidR="0044594F">
              <w:instrText xml:space="preserve"> REF _Ref165619835 \r \h </w:instrText>
            </w:r>
            <w:r>
              <w:fldChar w:fldCharType="separate"/>
            </w:r>
            <w:r w:rsidR="00A81AFE">
              <w:t>6</w:t>
            </w:r>
            <w:r>
              <w:fldChar w:fldCharType="end"/>
            </w:r>
          </w:p>
        </w:tc>
        <w:tc>
          <w:tcPr>
            <w:tcW w:w="2316" w:type="dxa"/>
            <w:tcBorders>
              <w:left w:val="nil"/>
            </w:tcBorders>
          </w:tcPr>
          <w:p w:rsidR="0044594F" w:rsidRPr="000F3D60" w:rsidRDefault="0044594F" w:rsidP="00393E4F">
            <w:pPr>
              <w:keepNext/>
              <w:spacing w:before="40" w:after="40"/>
            </w:pPr>
            <w:r w:rsidRPr="000F3D60">
              <w:t>Standard Control Services Tariffs</w:t>
            </w:r>
          </w:p>
        </w:tc>
        <w:tc>
          <w:tcPr>
            <w:tcW w:w="6223" w:type="dxa"/>
          </w:tcPr>
          <w:p w:rsidR="0044594F" w:rsidRPr="000F3D60" w:rsidRDefault="0044594F" w:rsidP="00A61DA2">
            <w:pPr>
              <w:spacing w:before="40" w:after="40"/>
            </w:pPr>
            <w:r w:rsidRPr="000F3D60">
              <w:t xml:space="preserve">Describes the nature and extent of the change in </w:t>
            </w:r>
            <w:r w:rsidR="00EA36E3">
              <w:t>SA Power Networks</w:t>
            </w:r>
            <w:r w:rsidRPr="000F3D60">
              <w:t xml:space="preserve">’ DUoS tariffs between </w:t>
            </w:r>
            <w:r w:rsidR="00A61DA2">
              <w:t>2014/15</w:t>
            </w:r>
            <w:r w:rsidRPr="000F3D60">
              <w:t xml:space="preserve"> and </w:t>
            </w:r>
            <w:r w:rsidR="00A61DA2">
              <w:t>2015/16</w:t>
            </w:r>
            <w:r w:rsidRPr="000F3D60">
              <w:t>.</w:t>
            </w:r>
          </w:p>
        </w:tc>
      </w:tr>
      <w:tr w:rsidR="0044594F" w:rsidRPr="00927302" w:rsidTr="005C5ACB">
        <w:tc>
          <w:tcPr>
            <w:tcW w:w="551" w:type="dxa"/>
            <w:tcBorders>
              <w:right w:val="nil"/>
            </w:tcBorders>
          </w:tcPr>
          <w:p w:rsidR="0044594F" w:rsidRPr="000F3D60" w:rsidRDefault="0093085E" w:rsidP="00393E4F">
            <w:pPr>
              <w:spacing w:before="40" w:after="40"/>
            </w:pPr>
            <w:r>
              <w:t>7</w:t>
            </w:r>
          </w:p>
        </w:tc>
        <w:tc>
          <w:tcPr>
            <w:tcW w:w="2316" w:type="dxa"/>
            <w:tcBorders>
              <w:left w:val="nil"/>
            </w:tcBorders>
          </w:tcPr>
          <w:p w:rsidR="0044594F" w:rsidRPr="000F3D60" w:rsidRDefault="0044594F" w:rsidP="00393E4F">
            <w:pPr>
              <w:keepNext/>
              <w:spacing w:before="40" w:after="40"/>
            </w:pPr>
            <w:r w:rsidRPr="000F3D60">
              <w:t>Customer Impacts</w:t>
            </w:r>
          </w:p>
        </w:tc>
        <w:tc>
          <w:tcPr>
            <w:tcW w:w="6223" w:type="dxa"/>
          </w:tcPr>
          <w:p w:rsidR="0044594F" w:rsidRPr="000F3D60" w:rsidRDefault="0044594F" w:rsidP="00A61DA2">
            <w:pPr>
              <w:spacing w:before="40" w:after="40"/>
            </w:pPr>
            <w:r w:rsidRPr="000F3D60">
              <w:t xml:space="preserve">Outlines the expected customer impacts of </w:t>
            </w:r>
            <w:r>
              <w:t>Network Use of System</w:t>
            </w:r>
            <w:r w:rsidRPr="000F3D60">
              <w:t xml:space="preserve"> </w:t>
            </w:r>
            <w:r>
              <w:t>(</w:t>
            </w:r>
            <w:r w:rsidRPr="000F3D60">
              <w:t>NUoS</w:t>
            </w:r>
            <w:r>
              <w:t>)</w:t>
            </w:r>
            <w:r w:rsidRPr="000F3D60">
              <w:t xml:space="preserve"> prices in </w:t>
            </w:r>
            <w:r w:rsidR="00A61DA2">
              <w:t xml:space="preserve">2015/16 and </w:t>
            </w:r>
            <w:r w:rsidRPr="000F3D60">
              <w:t xml:space="preserve">the system of reviewing those impacts throughout the regulatory control period. </w:t>
            </w:r>
          </w:p>
        </w:tc>
      </w:tr>
      <w:tr w:rsidR="0044594F" w:rsidRPr="00927302" w:rsidTr="005C5ACB">
        <w:tc>
          <w:tcPr>
            <w:tcW w:w="551" w:type="dxa"/>
            <w:tcBorders>
              <w:right w:val="nil"/>
            </w:tcBorders>
          </w:tcPr>
          <w:p w:rsidR="0044594F" w:rsidRPr="000F3D60" w:rsidRDefault="00575C9A" w:rsidP="00393E4F">
            <w:pPr>
              <w:spacing w:before="40" w:after="40"/>
            </w:pPr>
            <w:r>
              <w:fldChar w:fldCharType="begin"/>
            </w:r>
            <w:r w:rsidR="0044594F">
              <w:instrText xml:space="preserve"> REF _Ref133920111 \r \h </w:instrText>
            </w:r>
            <w:r>
              <w:fldChar w:fldCharType="separate"/>
            </w:r>
            <w:r w:rsidR="00A81AFE">
              <w:t>8</w:t>
            </w:r>
            <w:r>
              <w:fldChar w:fldCharType="end"/>
            </w:r>
          </w:p>
        </w:tc>
        <w:tc>
          <w:tcPr>
            <w:tcW w:w="2316" w:type="dxa"/>
            <w:tcBorders>
              <w:left w:val="nil"/>
            </w:tcBorders>
          </w:tcPr>
          <w:p w:rsidR="0044594F" w:rsidRPr="000F3D60" w:rsidRDefault="00EA36E3" w:rsidP="00393E4F">
            <w:pPr>
              <w:keepNext/>
              <w:spacing w:before="40" w:after="40"/>
            </w:pPr>
            <w:r>
              <w:t>Pricing of Standard Control S</w:t>
            </w:r>
            <w:r w:rsidR="0044594F" w:rsidRPr="000F3D60">
              <w:t>ervices</w:t>
            </w:r>
          </w:p>
        </w:tc>
        <w:tc>
          <w:tcPr>
            <w:tcW w:w="6223" w:type="dxa"/>
          </w:tcPr>
          <w:p w:rsidR="0044594F" w:rsidRPr="000F3D60" w:rsidRDefault="0044594F" w:rsidP="00EA36E3">
            <w:pPr>
              <w:spacing w:before="40" w:after="40"/>
            </w:pPr>
            <w:r w:rsidRPr="000F3D60">
              <w:t xml:space="preserve">Demonstrates that </w:t>
            </w:r>
            <w:r w:rsidR="00EA36E3">
              <w:t>SA Power Networks</w:t>
            </w:r>
            <w:r w:rsidRPr="000F3D60">
              <w:t xml:space="preserve">’ </w:t>
            </w:r>
            <w:r w:rsidR="00A61DA2">
              <w:t>2015/16</w:t>
            </w:r>
            <w:r w:rsidR="00C9650E">
              <w:t xml:space="preserve"> </w:t>
            </w:r>
            <w:r w:rsidRPr="000F3D60">
              <w:t xml:space="preserve">prices comply with the </w:t>
            </w:r>
            <w:r w:rsidR="007003C4">
              <w:t>revenue</w:t>
            </w:r>
            <w:r w:rsidRPr="000F3D60">
              <w:t xml:space="preserve"> X factors, side constraints and the NER </w:t>
            </w:r>
            <w:r w:rsidR="00EA36E3">
              <w:t>Pricing P</w:t>
            </w:r>
            <w:r w:rsidRPr="000F3D60">
              <w:t xml:space="preserve">rinciples. </w:t>
            </w:r>
          </w:p>
        </w:tc>
      </w:tr>
      <w:tr w:rsidR="0044594F" w:rsidRPr="00927302" w:rsidTr="005C5ACB">
        <w:tc>
          <w:tcPr>
            <w:tcW w:w="551" w:type="dxa"/>
            <w:tcBorders>
              <w:right w:val="nil"/>
            </w:tcBorders>
          </w:tcPr>
          <w:p w:rsidR="0044594F" w:rsidRPr="000F3D60" w:rsidRDefault="00575C9A" w:rsidP="00393E4F">
            <w:pPr>
              <w:spacing w:before="40" w:after="40"/>
            </w:pPr>
            <w:r>
              <w:fldChar w:fldCharType="begin"/>
            </w:r>
            <w:r w:rsidR="0044594F">
              <w:instrText xml:space="preserve"> REF _Ref133826788 \r \h </w:instrText>
            </w:r>
            <w:r>
              <w:fldChar w:fldCharType="separate"/>
            </w:r>
            <w:r w:rsidR="00A81AFE">
              <w:t>9</w:t>
            </w:r>
            <w:r>
              <w:fldChar w:fldCharType="end"/>
            </w:r>
          </w:p>
        </w:tc>
        <w:tc>
          <w:tcPr>
            <w:tcW w:w="2316" w:type="dxa"/>
            <w:tcBorders>
              <w:left w:val="nil"/>
            </w:tcBorders>
          </w:tcPr>
          <w:p w:rsidR="0044594F" w:rsidRPr="000F3D60" w:rsidRDefault="0044594F" w:rsidP="00393E4F">
            <w:pPr>
              <w:keepNext/>
              <w:spacing w:before="40" w:after="40"/>
            </w:pPr>
            <w:r w:rsidRPr="000F3D60">
              <w:t>Transmission Cost Recovery Tariffs</w:t>
            </w:r>
          </w:p>
        </w:tc>
        <w:tc>
          <w:tcPr>
            <w:tcW w:w="6223" w:type="dxa"/>
          </w:tcPr>
          <w:p w:rsidR="0044594F" w:rsidRPr="000F3D60" w:rsidRDefault="0044594F" w:rsidP="005C5ACB">
            <w:pPr>
              <w:spacing w:before="40" w:after="40"/>
            </w:pPr>
            <w:r w:rsidRPr="000F3D60">
              <w:t xml:space="preserve">Sets out </w:t>
            </w:r>
            <w:r w:rsidR="00EA36E3">
              <w:t>SA Power Networks</w:t>
            </w:r>
            <w:r w:rsidRPr="000F3D60">
              <w:t>’ Transmission cost recovery tariff setting methodology and demonstrates adjustments made to the ta</w:t>
            </w:r>
            <w:r w:rsidR="005C5ACB">
              <w:t xml:space="preserve">riffs resulting from the actual, </w:t>
            </w:r>
            <w:r w:rsidRPr="000F3D60">
              <w:t>estimat</w:t>
            </w:r>
            <w:r w:rsidR="00A61DA2">
              <w:t xml:space="preserve">ed </w:t>
            </w:r>
            <w:r w:rsidR="005C5ACB">
              <w:t xml:space="preserve">and forecast </w:t>
            </w:r>
            <w:r w:rsidR="00A61DA2">
              <w:t>recovery of these charges in</w:t>
            </w:r>
            <w:r>
              <w:t xml:space="preserve"> </w:t>
            </w:r>
            <w:r w:rsidR="005C5ACB">
              <w:t xml:space="preserve">2013/14, </w:t>
            </w:r>
            <w:r w:rsidR="00CB5ADF">
              <w:t>2014/15</w:t>
            </w:r>
            <w:r w:rsidR="00A61DA2">
              <w:t xml:space="preserve"> and 2015/16</w:t>
            </w:r>
            <w:r w:rsidRPr="000F3D60">
              <w:t>.</w:t>
            </w:r>
          </w:p>
        </w:tc>
      </w:tr>
      <w:tr w:rsidR="0044594F" w:rsidRPr="00927302" w:rsidTr="005C5ACB">
        <w:tc>
          <w:tcPr>
            <w:tcW w:w="551" w:type="dxa"/>
            <w:tcBorders>
              <w:right w:val="nil"/>
            </w:tcBorders>
          </w:tcPr>
          <w:p w:rsidR="0044594F" w:rsidRDefault="00575C9A" w:rsidP="00393E4F">
            <w:pPr>
              <w:spacing w:before="40" w:after="40"/>
            </w:pPr>
            <w:r>
              <w:fldChar w:fldCharType="begin"/>
            </w:r>
            <w:r w:rsidR="0044594F">
              <w:instrText xml:space="preserve"> REF _Ref323292278 \r \h </w:instrText>
            </w:r>
            <w:r>
              <w:fldChar w:fldCharType="separate"/>
            </w:r>
            <w:r w:rsidR="00A81AFE">
              <w:t>10</w:t>
            </w:r>
            <w:r>
              <w:fldChar w:fldCharType="end"/>
            </w:r>
          </w:p>
        </w:tc>
        <w:tc>
          <w:tcPr>
            <w:tcW w:w="2316" w:type="dxa"/>
            <w:tcBorders>
              <w:left w:val="nil"/>
            </w:tcBorders>
          </w:tcPr>
          <w:p w:rsidR="0044594F" w:rsidRPr="000F3D60" w:rsidRDefault="003D7390" w:rsidP="00393E4F">
            <w:pPr>
              <w:keepNext/>
              <w:pageBreakBefore/>
              <w:spacing w:before="40" w:after="40"/>
            </w:pPr>
            <w:r>
              <w:t xml:space="preserve">Recovery of the </w:t>
            </w:r>
            <w:r w:rsidR="0044594F">
              <w:t>PV Jurisdictional Scheme Amount</w:t>
            </w:r>
          </w:p>
        </w:tc>
        <w:tc>
          <w:tcPr>
            <w:tcW w:w="6223" w:type="dxa"/>
          </w:tcPr>
          <w:p w:rsidR="0044594F" w:rsidRPr="000F3D60" w:rsidRDefault="0044594F" w:rsidP="00393E4F">
            <w:pPr>
              <w:spacing w:before="40" w:after="40"/>
            </w:pPr>
            <w:r>
              <w:t xml:space="preserve">Sets out </w:t>
            </w:r>
            <w:r w:rsidR="00EA36E3">
              <w:t>SA Power Networks</w:t>
            </w:r>
            <w:r>
              <w:t xml:space="preserve">’ approach to the recovery of the Jurisdictional Scheme Amount for the recovery of SA Government Feed-in Tariff payments made by </w:t>
            </w:r>
            <w:r w:rsidR="00EA36E3">
              <w:t>SA Power Networks</w:t>
            </w:r>
            <w:r>
              <w:t xml:space="preserve"> to customers with qualifying solar PV generators.</w:t>
            </w:r>
          </w:p>
        </w:tc>
      </w:tr>
      <w:tr w:rsidR="0044594F" w:rsidRPr="00927302" w:rsidTr="005C5ACB">
        <w:tc>
          <w:tcPr>
            <w:tcW w:w="551" w:type="dxa"/>
            <w:tcBorders>
              <w:right w:val="nil"/>
            </w:tcBorders>
          </w:tcPr>
          <w:p w:rsidR="0044594F" w:rsidRPr="000F3D60" w:rsidRDefault="007B624A" w:rsidP="005C5ACB">
            <w:pPr>
              <w:spacing w:before="40" w:after="40"/>
            </w:pPr>
            <w:r>
              <w:t>1</w:t>
            </w:r>
            <w:r w:rsidR="005C5ACB">
              <w:t>1</w:t>
            </w:r>
          </w:p>
        </w:tc>
        <w:tc>
          <w:tcPr>
            <w:tcW w:w="2316" w:type="dxa"/>
            <w:tcBorders>
              <w:left w:val="nil"/>
            </w:tcBorders>
          </w:tcPr>
          <w:p w:rsidR="0044594F" w:rsidRPr="000F3D60" w:rsidRDefault="0044594F" w:rsidP="00393E4F">
            <w:pPr>
              <w:keepNext/>
              <w:pageBreakBefore/>
              <w:spacing w:before="40" w:after="40"/>
            </w:pPr>
            <w:r w:rsidRPr="000F3D60">
              <w:t>Customer Assignment and Reassignment</w:t>
            </w:r>
          </w:p>
        </w:tc>
        <w:tc>
          <w:tcPr>
            <w:tcW w:w="6223" w:type="dxa"/>
          </w:tcPr>
          <w:p w:rsidR="0044594F" w:rsidRPr="000F3D60" w:rsidRDefault="0044594F" w:rsidP="005C5ACB">
            <w:pPr>
              <w:spacing w:before="40" w:after="40"/>
            </w:pPr>
            <w:r w:rsidRPr="000F3D60">
              <w:t xml:space="preserve">Sets out </w:t>
            </w:r>
            <w:r w:rsidR="00EA36E3">
              <w:t>SA Power Networks</w:t>
            </w:r>
            <w:r w:rsidRPr="000F3D60">
              <w:t>’ tariff assignment and reassignment strategy</w:t>
            </w:r>
            <w:r w:rsidR="005C5ACB">
              <w:t xml:space="preserve">, in line with the AER’s requirements from the </w:t>
            </w:r>
            <w:r w:rsidR="00477C39">
              <w:t>Preliminary Decision</w:t>
            </w:r>
            <w:r w:rsidR="005C5ACB">
              <w:t xml:space="preserve"> (Attachment 14)</w:t>
            </w:r>
            <w:r w:rsidRPr="000F3D60">
              <w:t>.</w:t>
            </w:r>
          </w:p>
        </w:tc>
      </w:tr>
      <w:tr w:rsidR="0044594F" w:rsidRPr="00927302" w:rsidTr="005C5ACB">
        <w:tc>
          <w:tcPr>
            <w:tcW w:w="551" w:type="dxa"/>
            <w:tcBorders>
              <w:right w:val="nil"/>
            </w:tcBorders>
          </w:tcPr>
          <w:p w:rsidR="0044594F" w:rsidRPr="000F3D60" w:rsidRDefault="00575C9A" w:rsidP="0093085E">
            <w:pPr>
              <w:spacing w:before="40" w:after="40"/>
            </w:pPr>
            <w:r>
              <w:fldChar w:fldCharType="begin"/>
            </w:r>
            <w:r w:rsidR="0044594F">
              <w:instrText xml:space="preserve"> REF _Ref133659116 \r \h </w:instrText>
            </w:r>
            <w:r>
              <w:fldChar w:fldCharType="separate"/>
            </w:r>
            <w:r w:rsidR="00A81AFE">
              <w:t>12</w:t>
            </w:r>
            <w:r>
              <w:fldChar w:fldCharType="end"/>
            </w:r>
          </w:p>
        </w:tc>
        <w:tc>
          <w:tcPr>
            <w:tcW w:w="2316" w:type="dxa"/>
            <w:tcBorders>
              <w:left w:val="nil"/>
            </w:tcBorders>
          </w:tcPr>
          <w:p w:rsidR="0044594F" w:rsidRPr="000F3D60" w:rsidRDefault="00EA36E3" w:rsidP="00393E4F">
            <w:pPr>
              <w:keepNext/>
              <w:spacing w:before="40" w:after="40"/>
            </w:pPr>
            <w:r>
              <w:t>Alternative Control S</w:t>
            </w:r>
            <w:r w:rsidR="0044594F" w:rsidRPr="000F3D60">
              <w:t>ervices</w:t>
            </w:r>
          </w:p>
        </w:tc>
        <w:tc>
          <w:tcPr>
            <w:tcW w:w="6223" w:type="dxa"/>
          </w:tcPr>
          <w:p w:rsidR="0044594F" w:rsidRPr="000F3D60" w:rsidRDefault="0044594F" w:rsidP="00393E4F">
            <w:pPr>
              <w:spacing w:before="40" w:after="40"/>
            </w:pPr>
            <w:r w:rsidRPr="000F3D60">
              <w:t xml:space="preserve">Sets out </w:t>
            </w:r>
            <w:r w:rsidR="00EA36E3">
              <w:t>SA Power Networks</w:t>
            </w:r>
            <w:r w:rsidRPr="000F3D60">
              <w:t>’ tariffs for alternative control metering services.</w:t>
            </w:r>
          </w:p>
        </w:tc>
      </w:tr>
      <w:tr w:rsidR="0044594F" w:rsidRPr="00927302" w:rsidTr="005C5ACB">
        <w:tc>
          <w:tcPr>
            <w:tcW w:w="2867" w:type="dxa"/>
            <w:gridSpan w:val="2"/>
          </w:tcPr>
          <w:p w:rsidR="0044594F" w:rsidRPr="000F3D60" w:rsidRDefault="0044594F" w:rsidP="00393E4F">
            <w:pPr>
              <w:keepNext/>
              <w:spacing w:before="40" w:after="40"/>
            </w:pPr>
            <w:r w:rsidRPr="000F3D60">
              <w:t>Appendices</w:t>
            </w:r>
          </w:p>
        </w:tc>
        <w:tc>
          <w:tcPr>
            <w:tcW w:w="6223" w:type="dxa"/>
          </w:tcPr>
          <w:p w:rsidR="0044594F" w:rsidRPr="000F3D60" w:rsidRDefault="0044594F" w:rsidP="00393E4F">
            <w:pPr>
              <w:spacing w:before="40" w:after="40"/>
            </w:pPr>
            <w:r w:rsidRPr="000F3D60">
              <w:t>Separately provided.</w:t>
            </w:r>
          </w:p>
        </w:tc>
      </w:tr>
    </w:tbl>
    <w:p w:rsidR="00E45DEB" w:rsidRDefault="00E45DEB" w:rsidP="0044594F"/>
    <w:p w:rsidR="00E45DEB" w:rsidRDefault="00E45DEB">
      <w:r>
        <w:br w:type="page"/>
      </w:r>
    </w:p>
    <w:p w:rsidR="0044594F" w:rsidRPr="00927302" w:rsidRDefault="0044594F" w:rsidP="0044594F"/>
    <w:p w:rsidR="0044594F" w:rsidRPr="00927302" w:rsidRDefault="0044594F" w:rsidP="0044594F">
      <w:pPr>
        <w:pStyle w:val="Heading2"/>
        <w:keepLines w:val="0"/>
        <w:numPr>
          <w:ilvl w:val="1"/>
          <w:numId w:val="16"/>
        </w:numPr>
        <w:tabs>
          <w:tab w:val="left" w:pos="851"/>
        </w:tabs>
        <w:spacing w:after="240" w:line="240" w:lineRule="auto"/>
      </w:pPr>
      <w:bookmarkStart w:id="9" w:name="_Toc420009813"/>
      <w:r w:rsidRPr="00927302">
        <w:t>Confidential information</w:t>
      </w:r>
      <w:bookmarkEnd w:id="9"/>
    </w:p>
    <w:p w:rsidR="0044594F" w:rsidRDefault="0044594F" w:rsidP="0044594F">
      <w:r w:rsidRPr="00927302">
        <w:t xml:space="preserve">Clause 6.19.2 of the Rules classifies as confidential all network pricing information about a Distribution Network User used by a DNSP for the purposes of network pricing.  </w:t>
      </w:r>
      <w:r w:rsidR="00EA36E3">
        <w:t>SA Power Networks</w:t>
      </w:r>
      <w:r w:rsidRPr="00927302">
        <w:t xml:space="preserve"> has nominated </w:t>
      </w:r>
      <w:r w:rsidRPr="00CF0EDA">
        <w:t xml:space="preserve">Attachments B, </w:t>
      </w:r>
      <w:r w:rsidR="00CF0EDA" w:rsidRPr="00CF0EDA">
        <w:t xml:space="preserve">D, </w:t>
      </w:r>
      <w:r w:rsidRPr="00CF0EDA">
        <w:t>G</w:t>
      </w:r>
      <w:r w:rsidR="00CF0EDA" w:rsidRPr="00CF0EDA">
        <w:t>, H</w:t>
      </w:r>
      <w:r w:rsidRPr="00CF0EDA">
        <w:t xml:space="preserve"> and </w:t>
      </w:r>
      <w:r w:rsidR="00CF0EDA" w:rsidRPr="00CF0EDA">
        <w:t>I</w:t>
      </w:r>
      <w:r>
        <w:t>, which constitute part</w:t>
      </w:r>
      <w:r w:rsidRPr="00927302">
        <w:t xml:space="preserve"> of this Pricing Proposal</w:t>
      </w:r>
      <w:r>
        <w:t>,</w:t>
      </w:r>
      <w:r w:rsidRPr="00927302">
        <w:t xml:space="preserve"> as confidential. </w:t>
      </w:r>
    </w:p>
    <w:p w:rsidR="009A26B4" w:rsidRPr="00927302" w:rsidRDefault="009A26B4" w:rsidP="0044594F"/>
    <w:p w:rsidR="0044594F" w:rsidRPr="00927302" w:rsidRDefault="00EA36E3" w:rsidP="0044594F">
      <w:r>
        <w:t>SA Power Networks</w:t>
      </w:r>
      <w:r w:rsidR="0044594F" w:rsidRPr="00927302">
        <w:t xml:space="preserve"> requests that the AER does not disclose the information contained in these confidential attachments to any person outside of the AER.</w:t>
      </w:r>
    </w:p>
    <w:p w:rsidR="0044594F" w:rsidRPr="00927302" w:rsidRDefault="0044594F" w:rsidP="0044594F">
      <w:pPr>
        <w:pStyle w:val="Heading1"/>
        <w:pageBreakBefore/>
        <w:numPr>
          <w:ilvl w:val="0"/>
          <w:numId w:val="16"/>
        </w:numPr>
        <w:tabs>
          <w:tab w:val="left" w:pos="851"/>
        </w:tabs>
        <w:spacing w:after="240" w:line="240" w:lineRule="auto"/>
      </w:pPr>
      <w:bookmarkStart w:id="10" w:name="_Ref165616177"/>
      <w:bookmarkStart w:id="11" w:name="_Ref165619816"/>
      <w:bookmarkStart w:id="12" w:name="_Toc420009814"/>
      <w:r w:rsidRPr="00927302">
        <w:t>Regulatory requirements</w:t>
      </w:r>
      <w:bookmarkEnd w:id="10"/>
      <w:bookmarkEnd w:id="11"/>
      <w:bookmarkEnd w:id="12"/>
    </w:p>
    <w:p w:rsidR="0044594F" w:rsidRDefault="0044594F" w:rsidP="0044594F">
      <w:r w:rsidRPr="00927302">
        <w:t xml:space="preserve">This </w:t>
      </w:r>
      <w:r w:rsidR="000B7F94">
        <w:t>Section</w:t>
      </w:r>
      <w:r w:rsidRPr="00927302">
        <w:t xml:space="preserve"> summarises the regulatory requirements pertaining to </w:t>
      </w:r>
      <w:r w:rsidR="00EA36E3">
        <w:t>SA Power Networks</w:t>
      </w:r>
      <w:r w:rsidRPr="00927302">
        <w:t xml:space="preserve">’ Pricing Proposal, including the relevant requirements of the Rules and those </w:t>
      </w:r>
      <w:r w:rsidRPr="003925CE">
        <w:t>of the AER’s 201</w:t>
      </w:r>
      <w:r w:rsidR="005C5ACB" w:rsidRPr="003925CE">
        <w:t>5-20</w:t>
      </w:r>
      <w:r w:rsidRPr="003925CE">
        <w:t xml:space="preserve"> </w:t>
      </w:r>
      <w:r w:rsidR="00477C39">
        <w:t>Preliminary Decision</w:t>
      </w:r>
      <w:r w:rsidRPr="00927302">
        <w:t>.</w:t>
      </w:r>
    </w:p>
    <w:p w:rsidR="009A26B4" w:rsidRPr="00927302" w:rsidRDefault="009A26B4" w:rsidP="0044594F"/>
    <w:p w:rsidR="0044594F" w:rsidRPr="00927302" w:rsidRDefault="0044594F" w:rsidP="0044594F">
      <w:pPr>
        <w:pStyle w:val="Heading2"/>
        <w:keepLines w:val="0"/>
        <w:numPr>
          <w:ilvl w:val="1"/>
          <w:numId w:val="16"/>
        </w:numPr>
        <w:tabs>
          <w:tab w:val="left" w:pos="851"/>
        </w:tabs>
        <w:spacing w:after="240" w:line="240" w:lineRule="auto"/>
      </w:pPr>
      <w:bookmarkStart w:id="13" w:name="_Toc420009815"/>
      <w:r w:rsidRPr="00927302">
        <w:t>Rules requirements</w:t>
      </w:r>
      <w:bookmarkEnd w:id="13"/>
    </w:p>
    <w:p w:rsidR="0044594F" w:rsidRPr="00927302" w:rsidRDefault="0044594F" w:rsidP="009A26B4">
      <w:pPr>
        <w:pStyle w:val="Heading3"/>
      </w:pPr>
      <w:r w:rsidRPr="00927302">
        <w:t>Required elements of a Pricing Proposal</w:t>
      </w:r>
    </w:p>
    <w:p w:rsidR="0044594F" w:rsidRDefault="0044594F" w:rsidP="0044594F">
      <w:r w:rsidRPr="00927302">
        <w:t xml:space="preserve">To comply with clause 6.18.2 of the Rules, </w:t>
      </w:r>
      <w:r w:rsidR="00EA36E3">
        <w:t>SA Power Networks</w:t>
      </w:r>
      <w:r w:rsidRPr="00927302">
        <w:t xml:space="preserve">’ </w:t>
      </w:r>
      <w:r>
        <w:t>20</w:t>
      </w:r>
      <w:r w:rsidR="00A61DA2">
        <w:t>15</w:t>
      </w:r>
      <w:r w:rsidR="005C5ACB">
        <w:t>/16</w:t>
      </w:r>
      <w:r>
        <w:t xml:space="preserve"> </w:t>
      </w:r>
      <w:r w:rsidRPr="00927302">
        <w:t>Pricing Proposal must include the elements below</w:t>
      </w:r>
      <w:r w:rsidRPr="00927302">
        <w:rPr>
          <w:rStyle w:val="FootnoteReference"/>
        </w:rPr>
        <w:footnoteReference w:id="1"/>
      </w:r>
      <w:r w:rsidRPr="00927302">
        <w:t>:</w:t>
      </w:r>
    </w:p>
    <w:p w:rsidR="009A26B4" w:rsidRPr="00927302" w:rsidRDefault="009A26B4" w:rsidP="0044594F"/>
    <w:p w:rsidR="0044594F" w:rsidRPr="00927302" w:rsidRDefault="0044594F" w:rsidP="0044594F">
      <w:pPr>
        <w:keepNext/>
        <w:tabs>
          <w:tab w:val="left" w:pos="852"/>
        </w:tabs>
        <w:spacing w:after="120"/>
        <w:ind w:left="852" w:hanging="852"/>
        <w:rPr>
          <w:b/>
        </w:rPr>
      </w:pPr>
      <w:r w:rsidRPr="00927302">
        <w:rPr>
          <w:b/>
        </w:rPr>
        <w:t>6.18.2</w:t>
      </w:r>
      <w:r w:rsidRPr="00927302">
        <w:rPr>
          <w:b/>
        </w:rPr>
        <w:tab/>
      </w:r>
      <w:r w:rsidRPr="00927302">
        <w:rPr>
          <w:rFonts w:cs="Arial-BoldMT"/>
          <w:b/>
          <w:bCs/>
          <w:szCs w:val="23"/>
        </w:rPr>
        <w:t>Pricing</w:t>
      </w:r>
      <w:r w:rsidRPr="00927302">
        <w:rPr>
          <w:b/>
        </w:rPr>
        <w:t xml:space="preserve"> proposals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(a)</w:t>
      </w:r>
      <w:r w:rsidRPr="00927302">
        <w:rPr>
          <w:rFonts w:cs="Arial-BoldMT"/>
          <w:szCs w:val="23"/>
        </w:rPr>
        <w:tab/>
        <w:t xml:space="preserve">A </w:t>
      </w:r>
      <w:r w:rsidRPr="00927302">
        <w:rPr>
          <w:rFonts w:cs="Arial-BoldMT"/>
          <w:i/>
          <w:iCs/>
          <w:szCs w:val="23"/>
        </w:rPr>
        <w:t xml:space="preserve">Distribution Network Service Provider </w:t>
      </w:r>
      <w:r w:rsidRPr="00927302">
        <w:rPr>
          <w:rFonts w:cs="Arial-BoldMT"/>
          <w:szCs w:val="23"/>
        </w:rPr>
        <w:t>must:</w:t>
      </w:r>
    </w:p>
    <w:p w:rsidR="00791F09" w:rsidRPr="00791F09" w:rsidRDefault="00791F09" w:rsidP="00791F09">
      <w:pPr>
        <w:tabs>
          <w:tab w:val="left" w:pos="1136"/>
        </w:tabs>
        <w:spacing w:after="120"/>
        <w:ind w:left="1136" w:hanging="568"/>
        <w:rPr>
          <w:rFonts w:cs="Arial-BoldMT"/>
          <w:szCs w:val="23"/>
        </w:rPr>
      </w:pPr>
      <w:r w:rsidRPr="00791F09">
        <w:rPr>
          <w:rFonts w:cs="Arial-BoldMT"/>
          <w:szCs w:val="23"/>
        </w:rPr>
        <w:t xml:space="preserve">(1) </w:t>
      </w:r>
      <w:r w:rsidRPr="00791F09">
        <w:rPr>
          <w:rFonts w:cs="Arial-BoldMT"/>
          <w:szCs w:val="23"/>
        </w:rPr>
        <w:tab/>
        <w:t xml:space="preserve">submit to the </w:t>
      </w:r>
      <w:r w:rsidRPr="00791F09">
        <w:rPr>
          <w:rFonts w:cs="Arial-BoldMT"/>
          <w:i/>
          <w:szCs w:val="23"/>
        </w:rPr>
        <w:t>AER</w:t>
      </w:r>
      <w:r w:rsidRPr="00791F09">
        <w:rPr>
          <w:rFonts w:cs="Arial-BoldMT"/>
          <w:szCs w:val="23"/>
        </w:rPr>
        <w:t xml:space="preserve">, as soon as practicable, and in any case within 15 </w:t>
      </w:r>
      <w:r w:rsidRPr="00791F09">
        <w:rPr>
          <w:rFonts w:cs="Arial-BoldMT"/>
          <w:i/>
          <w:szCs w:val="23"/>
        </w:rPr>
        <w:t>business days</w:t>
      </w:r>
      <w:r w:rsidRPr="00791F09">
        <w:rPr>
          <w:rFonts w:cs="Arial-BoldMT"/>
          <w:szCs w:val="23"/>
        </w:rPr>
        <w:t xml:space="preserve">, after </w:t>
      </w:r>
      <w:r w:rsidRPr="00791F09">
        <w:rPr>
          <w:rFonts w:cs="Arial-BoldMT"/>
          <w:i/>
          <w:szCs w:val="23"/>
        </w:rPr>
        <w:t>publication</w:t>
      </w:r>
      <w:r w:rsidRPr="00791F09">
        <w:rPr>
          <w:rFonts w:cs="Arial-BoldMT"/>
          <w:szCs w:val="23"/>
        </w:rPr>
        <w:t xml:space="preserve"> of the distribution determination, a </w:t>
      </w:r>
      <w:r w:rsidRPr="00791F09">
        <w:rPr>
          <w:rFonts w:cs="Arial-BoldMT"/>
          <w:i/>
          <w:szCs w:val="23"/>
        </w:rPr>
        <w:t>pricing proposal</w:t>
      </w:r>
      <w:r w:rsidRPr="00791F09">
        <w:rPr>
          <w:rFonts w:cs="Arial-BoldMT"/>
          <w:szCs w:val="23"/>
        </w:rPr>
        <w:t xml:space="preserve"> (the initial </w:t>
      </w:r>
      <w:r w:rsidRPr="00791F09">
        <w:rPr>
          <w:rFonts w:cs="Arial-BoldMT"/>
          <w:i/>
          <w:szCs w:val="23"/>
        </w:rPr>
        <w:t>pricing proposal</w:t>
      </w:r>
      <w:r w:rsidRPr="00791F09">
        <w:rPr>
          <w:rFonts w:cs="Arial-BoldMT"/>
          <w:szCs w:val="23"/>
        </w:rPr>
        <w:t xml:space="preserve">) for the first </w:t>
      </w:r>
      <w:r w:rsidRPr="00791F09">
        <w:rPr>
          <w:rFonts w:cs="Arial-BoldMT"/>
          <w:i/>
          <w:szCs w:val="23"/>
        </w:rPr>
        <w:t xml:space="preserve">regulatory year </w:t>
      </w:r>
      <w:r w:rsidRPr="00791F09">
        <w:rPr>
          <w:rFonts w:cs="Arial-BoldMT"/>
          <w:szCs w:val="23"/>
        </w:rPr>
        <w:t xml:space="preserve">of the </w:t>
      </w:r>
      <w:r w:rsidRPr="00791F09">
        <w:rPr>
          <w:rFonts w:cs="Arial-BoldMT"/>
          <w:i/>
          <w:szCs w:val="23"/>
        </w:rPr>
        <w:t>regulatory control period</w:t>
      </w:r>
      <w:r w:rsidRPr="00791F09">
        <w:rPr>
          <w:rFonts w:cs="Arial-BoldMT"/>
          <w:szCs w:val="23"/>
        </w:rPr>
        <w:t>; and</w:t>
      </w:r>
    </w:p>
    <w:p w:rsidR="00791F09" w:rsidRPr="00927302" w:rsidRDefault="00791F09" w:rsidP="00791F09">
      <w:pPr>
        <w:tabs>
          <w:tab w:val="left" w:pos="1136"/>
        </w:tabs>
        <w:spacing w:after="120"/>
        <w:ind w:left="1136" w:hanging="568"/>
        <w:rPr>
          <w:rFonts w:cs="Arial-BoldMT"/>
          <w:szCs w:val="23"/>
        </w:rPr>
      </w:pPr>
      <w:r w:rsidRPr="00791F09">
        <w:rPr>
          <w:rFonts w:cs="Arial-BoldMT"/>
          <w:szCs w:val="23"/>
        </w:rPr>
        <w:t>(2)</w:t>
      </w:r>
      <w:r w:rsidRPr="00791F09">
        <w:rPr>
          <w:rFonts w:cs="Arial-BoldMT"/>
          <w:szCs w:val="23"/>
        </w:rPr>
        <w:tab/>
        <w:t xml:space="preserve">submit to the </w:t>
      </w:r>
      <w:r w:rsidRPr="00791F09">
        <w:rPr>
          <w:rFonts w:cs="Arial-BoldMT"/>
          <w:i/>
          <w:iCs/>
          <w:szCs w:val="23"/>
        </w:rPr>
        <w:t>AER</w:t>
      </w:r>
      <w:r w:rsidRPr="00791F09">
        <w:rPr>
          <w:rFonts w:cs="Arial-BoldMT"/>
          <w:szCs w:val="23"/>
        </w:rPr>
        <w:t xml:space="preserve">, at least 2 months before the commencement of the second and each subsequent </w:t>
      </w:r>
      <w:r w:rsidRPr="00791F09">
        <w:rPr>
          <w:rFonts w:cs="Arial-BoldMT"/>
          <w:i/>
          <w:iCs/>
          <w:szCs w:val="23"/>
        </w:rPr>
        <w:t xml:space="preserve">regulatory year </w:t>
      </w:r>
      <w:r w:rsidRPr="00791F09">
        <w:rPr>
          <w:rFonts w:cs="Arial-BoldMT"/>
          <w:szCs w:val="23"/>
        </w:rPr>
        <w:t xml:space="preserve">of the </w:t>
      </w:r>
      <w:r w:rsidRPr="00791F09">
        <w:rPr>
          <w:rFonts w:cs="Arial-BoldMT"/>
          <w:i/>
          <w:iCs/>
          <w:szCs w:val="23"/>
        </w:rPr>
        <w:t>regulatory control period</w:t>
      </w:r>
      <w:r w:rsidRPr="00791F09">
        <w:rPr>
          <w:rFonts w:cs="Arial-BoldMT"/>
          <w:szCs w:val="23"/>
        </w:rPr>
        <w:t xml:space="preserve">, a further </w:t>
      </w:r>
      <w:r w:rsidRPr="00791F09">
        <w:rPr>
          <w:rFonts w:cs="Arial-BoldMT"/>
          <w:i/>
          <w:iCs/>
          <w:szCs w:val="23"/>
        </w:rPr>
        <w:t xml:space="preserve">pricing proposal </w:t>
      </w:r>
      <w:r w:rsidRPr="00791F09">
        <w:rPr>
          <w:rFonts w:cs="Arial-BoldMT"/>
          <w:szCs w:val="23"/>
        </w:rPr>
        <w:t xml:space="preserve">(an annual </w:t>
      </w:r>
      <w:r w:rsidRPr="00791F09">
        <w:rPr>
          <w:rFonts w:cs="Arial-BoldMT"/>
          <w:i/>
          <w:iCs/>
          <w:szCs w:val="23"/>
        </w:rPr>
        <w:t>pricing proposal</w:t>
      </w:r>
      <w:r w:rsidRPr="00791F09">
        <w:rPr>
          <w:rFonts w:cs="Arial-BoldMT"/>
          <w:szCs w:val="23"/>
        </w:rPr>
        <w:t xml:space="preserve">) for  the relevant </w:t>
      </w:r>
      <w:r w:rsidRPr="00791F09">
        <w:rPr>
          <w:rFonts w:cs="Arial-BoldMT"/>
          <w:i/>
          <w:iCs/>
          <w:szCs w:val="23"/>
        </w:rPr>
        <w:t>regulatory year</w:t>
      </w:r>
      <w:r w:rsidRPr="00791F09">
        <w:rPr>
          <w:rFonts w:cs="Arial-BoldMT"/>
          <w:szCs w:val="23"/>
        </w:rPr>
        <w:t>.</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 xml:space="preserve"> (b)</w:t>
      </w:r>
      <w:r w:rsidRPr="00927302">
        <w:rPr>
          <w:rFonts w:cs="Arial-BoldMT"/>
          <w:szCs w:val="23"/>
        </w:rPr>
        <w:tab/>
        <w:t xml:space="preserve">A </w:t>
      </w:r>
      <w:r w:rsidRPr="00927302">
        <w:rPr>
          <w:rFonts w:cs="Arial-BoldMT"/>
          <w:i/>
          <w:iCs/>
          <w:szCs w:val="23"/>
        </w:rPr>
        <w:t xml:space="preserve">pricing proposal </w:t>
      </w:r>
      <w:r w:rsidRPr="00927302">
        <w:rPr>
          <w:rFonts w:cs="Arial-BoldMT"/>
          <w:szCs w:val="23"/>
        </w:rPr>
        <w:t>must:</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 xml:space="preserve">set out the </w:t>
      </w:r>
      <w:r w:rsidRPr="00927302">
        <w:rPr>
          <w:rFonts w:cs="Arial-BoldMT"/>
          <w:i/>
          <w:iCs/>
          <w:szCs w:val="23"/>
        </w:rPr>
        <w:t xml:space="preserve">tariff classes </w:t>
      </w:r>
      <w:r w:rsidRPr="00927302">
        <w:rPr>
          <w:rFonts w:cs="Arial-BoldMT"/>
          <w:szCs w:val="23"/>
        </w:rPr>
        <w:t xml:space="preserve">that are to apply for the relevant </w:t>
      </w:r>
      <w:r w:rsidRPr="00927302">
        <w:rPr>
          <w:rFonts w:cs="Arial-BoldMT"/>
          <w:i/>
          <w:iCs/>
          <w:szCs w:val="23"/>
        </w:rPr>
        <w:t>regulatory year</w:t>
      </w:r>
      <w:r w:rsidRPr="00927302">
        <w:rPr>
          <w:rFonts w:cs="Arial-BoldMT"/>
          <w:szCs w:val="23"/>
        </w:rPr>
        <w:t>;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(2)</w:t>
      </w:r>
      <w:r w:rsidRPr="00927302">
        <w:rPr>
          <w:rFonts w:cs="Arial-BoldMT"/>
          <w:szCs w:val="23"/>
        </w:rPr>
        <w:tab/>
        <w:t xml:space="preserve">set out the proposed tariffs for each </w:t>
      </w:r>
      <w:r w:rsidRPr="00927302">
        <w:rPr>
          <w:rFonts w:cs="Arial-BoldMT"/>
          <w:i/>
          <w:iCs/>
          <w:szCs w:val="23"/>
        </w:rPr>
        <w:t>tariff class</w:t>
      </w:r>
      <w:r w:rsidRPr="00927302">
        <w:rPr>
          <w:rFonts w:cs="Arial-BoldMT"/>
          <w:szCs w:val="23"/>
        </w:rPr>
        <w:t>;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(3)</w:t>
      </w:r>
      <w:r w:rsidRPr="00927302">
        <w:rPr>
          <w:rFonts w:cs="Arial-BoldMT"/>
          <w:szCs w:val="23"/>
        </w:rPr>
        <w:tab/>
        <w:t xml:space="preserve">set out, for each proposed tariff, the </w:t>
      </w:r>
      <w:r w:rsidRPr="00927302">
        <w:rPr>
          <w:rFonts w:cs="Arial-BoldMT"/>
          <w:i/>
          <w:iCs/>
          <w:szCs w:val="23"/>
        </w:rPr>
        <w:t xml:space="preserve">charging parameters </w:t>
      </w:r>
      <w:r w:rsidRPr="00927302">
        <w:rPr>
          <w:rFonts w:cs="Arial-BoldMT"/>
          <w:szCs w:val="23"/>
        </w:rPr>
        <w:t xml:space="preserve">and the elements of service to which each </w:t>
      </w:r>
      <w:r w:rsidRPr="00927302">
        <w:rPr>
          <w:rFonts w:cs="Arial-BoldMT"/>
          <w:i/>
          <w:iCs/>
          <w:szCs w:val="23"/>
        </w:rPr>
        <w:t xml:space="preserve">charging parameter </w:t>
      </w:r>
      <w:r w:rsidRPr="00927302">
        <w:rPr>
          <w:rFonts w:cs="Arial-BoldMT"/>
          <w:szCs w:val="23"/>
        </w:rPr>
        <w:t>relates;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(4)</w:t>
      </w:r>
      <w:r w:rsidRPr="00927302">
        <w:rPr>
          <w:rFonts w:cs="Arial-BoldMT"/>
          <w:szCs w:val="23"/>
        </w:rPr>
        <w:tab/>
        <w:t xml:space="preserve">set out, for each </w:t>
      </w:r>
      <w:r w:rsidRPr="00927302">
        <w:rPr>
          <w:rFonts w:cs="Arial-BoldMT"/>
          <w:i/>
          <w:iCs/>
          <w:szCs w:val="23"/>
        </w:rPr>
        <w:t xml:space="preserve">tariff class </w:t>
      </w:r>
      <w:r w:rsidRPr="00927302">
        <w:rPr>
          <w:rFonts w:cs="Arial-BoldMT"/>
          <w:szCs w:val="23"/>
        </w:rPr>
        <w:t xml:space="preserve">related to </w:t>
      </w:r>
      <w:r w:rsidRPr="00927302">
        <w:rPr>
          <w:rFonts w:cs="Arial-BoldMT"/>
          <w:i/>
          <w:iCs/>
          <w:szCs w:val="23"/>
        </w:rPr>
        <w:t>standard control services</w:t>
      </w:r>
      <w:r w:rsidRPr="00927302">
        <w:rPr>
          <w:rFonts w:cs="Arial-BoldMT"/>
          <w:szCs w:val="23"/>
        </w:rPr>
        <w:t xml:space="preserve">, the expected weighted average revenue for the relevant </w:t>
      </w:r>
      <w:r w:rsidRPr="00927302">
        <w:rPr>
          <w:rFonts w:cs="Arial-BoldMT"/>
          <w:i/>
          <w:iCs/>
          <w:szCs w:val="23"/>
        </w:rPr>
        <w:t xml:space="preserve">regulatory year </w:t>
      </w:r>
      <w:r w:rsidRPr="00927302">
        <w:rPr>
          <w:rFonts w:cs="Arial-BoldMT"/>
          <w:szCs w:val="23"/>
        </w:rPr>
        <w:t xml:space="preserve">and also for the current </w:t>
      </w:r>
      <w:r w:rsidRPr="00927302">
        <w:rPr>
          <w:rFonts w:cs="Arial-BoldMT"/>
          <w:i/>
          <w:iCs/>
          <w:szCs w:val="23"/>
        </w:rPr>
        <w:t>regulatory year</w:t>
      </w:r>
      <w:r w:rsidRPr="00927302">
        <w:rPr>
          <w:rFonts w:cs="Arial-BoldMT"/>
          <w:szCs w:val="23"/>
        </w:rPr>
        <w:t>;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(5)</w:t>
      </w:r>
      <w:r w:rsidRPr="00927302">
        <w:rPr>
          <w:rFonts w:cs="Arial-BoldMT"/>
          <w:szCs w:val="23"/>
        </w:rPr>
        <w:tab/>
        <w:t xml:space="preserve">set out the nature of any variation or adjustment to the tariff that could occur during the course of the </w:t>
      </w:r>
      <w:r w:rsidRPr="00927302">
        <w:rPr>
          <w:rFonts w:cs="Arial-BoldMT"/>
          <w:i/>
          <w:iCs/>
          <w:szCs w:val="23"/>
        </w:rPr>
        <w:t xml:space="preserve">regulatory year </w:t>
      </w:r>
      <w:r w:rsidRPr="00927302">
        <w:rPr>
          <w:rFonts w:cs="Arial-BoldMT"/>
          <w:szCs w:val="23"/>
        </w:rPr>
        <w:t>and the basis on which it could occur;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(6)</w:t>
      </w:r>
      <w:r w:rsidRPr="00927302">
        <w:rPr>
          <w:rFonts w:cs="Arial-BoldMT"/>
          <w:szCs w:val="23"/>
        </w:rPr>
        <w:tab/>
        <w:t xml:space="preserve">set out how charges incurred by the </w:t>
      </w:r>
      <w:r w:rsidRPr="00927302">
        <w:rPr>
          <w:rFonts w:cs="Arial-BoldMT"/>
          <w:i/>
          <w:iCs/>
          <w:szCs w:val="23"/>
        </w:rPr>
        <w:t xml:space="preserve">Distribution Network Service Provider </w:t>
      </w:r>
      <w:r w:rsidRPr="00927302">
        <w:rPr>
          <w:rFonts w:cs="Arial-BoldMT"/>
          <w:szCs w:val="23"/>
        </w:rPr>
        <w:t xml:space="preserve">for </w:t>
      </w:r>
      <w:r w:rsidRPr="00927302">
        <w:rPr>
          <w:rFonts w:cs="Arial-BoldMT"/>
          <w:i/>
          <w:iCs/>
          <w:szCs w:val="23"/>
        </w:rPr>
        <w:t xml:space="preserve">transmission use of system services </w:t>
      </w:r>
      <w:r w:rsidRPr="00927302">
        <w:rPr>
          <w:rFonts w:cs="Arial-BoldMT"/>
          <w:szCs w:val="23"/>
        </w:rPr>
        <w:t xml:space="preserve">are to be passed on to customers and any adjustments to tariffs resulting from over or under recovery of those charges in the previous </w:t>
      </w:r>
      <w:r w:rsidRPr="00927302">
        <w:rPr>
          <w:rFonts w:cs="Arial-BoldMT"/>
          <w:i/>
          <w:iCs/>
          <w:szCs w:val="23"/>
        </w:rPr>
        <w:t>regulatory year</w:t>
      </w:r>
      <w:r w:rsidRPr="00927302">
        <w:rPr>
          <w:rFonts w:cs="Arial-BoldMT"/>
          <w:szCs w:val="23"/>
        </w:rPr>
        <w:t>;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(7)</w:t>
      </w:r>
      <w:r w:rsidRPr="00927302">
        <w:rPr>
          <w:rFonts w:cs="Arial-BoldMT"/>
          <w:szCs w:val="23"/>
        </w:rPr>
        <w:tab/>
        <w:t xml:space="preserve">demonstrate compliance with the </w:t>
      </w:r>
      <w:r w:rsidRPr="00927302">
        <w:rPr>
          <w:rFonts w:cs="Arial-BoldMT"/>
          <w:i/>
          <w:iCs/>
          <w:szCs w:val="23"/>
        </w:rPr>
        <w:t xml:space="preserve">Rules </w:t>
      </w:r>
      <w:r w:rsidRPr="00927302">
        <w:rPr>
          <w:rFonts w:cs="Arial-BoldMT"/>
          <w:szCs w:val="23"/>
        </w:rPr>
        <w:t>and any applicable distribution determination; and</w:t>
      </w:r>
    </w:p>
    <w:p w:rsidR="0044594F" w:rsidRPr="00927302" w:rsidRDefault="0044594F" w:rsidP="0044594F">
      <w:pPr>
        <w:tabs>
          <w:tab w:val="left" w:pos="1136"/>
        </w:tabs>
        <w:ind w:left="1134" w:hanging="567"/>
        <w:rPr>
          <w:rFonts w:cs="Arial-BoldMT"/>
          <w:szCs w:val="23"/>
        </w:rPr>
      </w:pPr>
      <w:r w:rsidRPr="00927302">
        <w:rPr>
          <w:rFonts w:cs="Arial-BoldMT"/>
          <w:szCs w:val="23"/>
        </w:rPr>
        <w:t>(8)</w:t>
      </w:r>
      <w:r w:rsidRPr="00927302">
        <w:rPr>
          <w:rFonts w:cs="Arial-BoldMT"/>
          <w:szCs w:val="23"/>
        </w:rPr>
        <w:tab/>
        <w:t xml:space="preserve">describe the nature and extent of change from the previous </w:t>
      </w:r>
      <w:r w:rsidRPr="00927302">
        <w:rPr>
          <w:rFonts w:cs="Arial-BoldMT"/>
          <w:i/>
          <w:iCs/>
          <w:szCs w:val="23"/>
        </w:rPr>
        <w:t xml:space="preserve">regulatory year </w:t>
      </w:r>
      <w:r w:rsidRPr="00927302">
        <w:rPr>
          <w:rFonts w:cs="Arial-BoldMT"/>
          <w:szCs w:val="23"/>
        </w:rPr>
        <w:t xml:space="preserve">and demonstrate that the changes comply with the </w:t>
      </w:r>
      <w:r w:rsidRPr="00927302">
        <w:rPr>
          <w:rFonts w:cs="Arial-BoldMT"/>
          <w:i/>
          <w:iCs/>
          <w:szCs w:val="23"/>
        </w:rPr>
        <w:t xml:space="preserve">Rules </w:t>
      </w:r>
      <w:r w:rsidRPr="00927302">
        <w:rPr>
          <w:rFonts w:cs="Arial-BoldMT"/>
          <w:szCs w:val="23"/>
        </w:rPr>
        <w:t>and any applicable distribution determination.</w:t>
      </w:r>
    </w:p>
    <w:p w:rsidR="009A26B4" w:rsidRDefault="009A26B4" w:rsidP="0044594F"/>
    <w:p w:rsidR="0044594F" w:rsidRDefault="0044594F" w:rsidP="0044594F">
      <w:r w:rsidRPr="00927302">
        <w:t xml:space="preserve">In accordance with clause 6.18.2(a) of the Rules, </w:t>
      </w:r>
      <w:r w:rsidR="00EA36E3">
        <w:t>SA Power Networks</w:t>
      </w:r>
      <w:r w:rsidRPr="005C5ACB">
        <w:t xml:space="preserve"> is submitting this Pricing Proposal for the </w:t>
      </w:r>
      <w:r w:rsidR="005C5ACB" w:rsidRPr="005C5ACB">
        <w:t>first</w:t>
      </w:r>
      <w:r w:rsidRPr="005C5ACB">
        <w:t xml:space="preserve"> year of the </w:t>
      </w:r>
      <w:r w:rsidR="005C5ACB" w:rsidRPr="005C5ACB">
        <w:t>2015-20</w:t>
      </w:r>
      <w:r w:rsidRPr="005C5ACB">
        <w:t xml:space="preserve"> regulatory control period to the AER within the required period after publication of the </w:t>
      </w:r>
      <w:r w:rsidR="00477C39">
        <w:t>Preliminary Decision</w:t>
      </w:r>
      <w:r w:rsidRPr="005C5ACB">
        <w:t>.</w:t>
      </w:r>
    </w:p>
    <w:p w:rsidR="009A26B4" w:rsidRPr="00927302" w:rsidRDefault="009A26B4" w:rsidP="0044594F"/>
    <w:p w:rsidR="0044594F" w:rsidRDefault="0044594F" w:rsidP="0044594F">
      <w:r w:rsidRPr="00927302">
        <w:t xml:space="preserve">This Pricing Proposal has been prepared by </w:t>
      </w:r>
      <w:r w:rsidR="00EA36E3">
        <w:t>SA Power Networks</w:t>
      </w:r>
      <w:r w:rsidRPr="00927302">
        <w:t xml:space="preserve"> in such a way as to demonstrate in a logical sequence that it complies with all of the requirements of clause 6.18.2(b) of the Rules above.</w:t>
      </w:r>
    </w:p>
    <w:p w:rsidR="009A26B4" w:rsidRPr="00927302" w:rsidRDefault="009A26B4" w:rsidP="0044594F"/>
    <w:p w:rsidR="0044594F" w:rsidRPr="00927302" w:rsidRDefault="0044594F" w:rsidP="0044594F">
      <w:pPr>
        <w:keepNext/>
        <w:spacing w:after="120"/>
      </w:pPr>
      <w:r w:rsidRPr="00927302">
        <w:t xml:space="preserve">The other relevant </w:t>
      </w:r>
      <w:r w:rsidR="000B7F94">
        <w:t>Section</w:t>
      </w:r>
      <w:r w:rsidRPr="00927302">
        <w:t>s of the Rules that have been addressed in formulating this Pricing Proposal are as follows:</w:t>
      </w:r>
    </w:p>
    <w:p w:rsidR="0044594F" w:rsidRPr="00927302" w:rsidRDefault="0044594F" w:rsidP="0044594F">
      <w:pPr>
        <w:tabs>
          <w:tab w:val="left" w:pos="1420"/>
        </w:tabs>
        <w:spacing w:after="120"/>
        <w:ind w:left="1420" w:hanging="852"/>
      </w:pPr>
      <w:r w:rsidRPr="00927302">
        <w:t>6.18.3</w:t>
      </w:r>
      <w:r w:rsidRPr="00927302">
        <w:tab/>
        <w:t>Tariff classes</w:t>
      </w:r>
    </w:p>
    <w:p w:rsidR="0044594F" w:rsidRPr="00927302" w:rsidRDefault="0044594F" w:rsidP="0044594F">
      <w:pPr>
        <w:tabs>
          <w:tab w:val="left" w:pos="1420"/>
        </w:tabs>
        <w:spacing w:after="120"/>
        <w:ind w:left="1420" w:hanging="852"/>
      </w:pPr>
      <w:r w:rsidRPr="00927302">
        <w:t xml:space="preserve">6.18.5 </w:t>
      </w:r>
      <w:r w:rsidRPr="00927302">
        <w:tab/>
        <w:t>Pricing principles</w:t>
      </w:r>
    </w:p>
    <w:p w:rsidR="0044594F" w:rsidRPr="00927302" w:rsidRDefault="0044594F" w:rsidP="0044594F">
      <w:pPr>
        <w:tabs>
          <w:tab w:val="left" w:pos="1420"/>
        </w:tabs>
        <w:spacing w:after="120"/>
        <w:ind w:left="1420" w:hanging="852"/>
      </w:pPr>
      <w:r w:rsidRPr="00927302">
        <w:t>6.18.6</w:t>
      </w:r>
      <w:r w:rsidRPr="00927302">
        <w:tab/>
        <w:t>Side constraints on tariffs for standard control services</w:t>
      </w:r>
    </w:p>
    <w:p w:rsidR="0044594F" w:rsidRPr="00927302" w:rsidRDefault="0044594F" w:rsidP="0044594F">
      <w:pPr>
        <w:tabs>
          <w:tab w:val="left" w:pos="1420"/>
        </w:tabs>
        <w:spacing w:after="120"/>
        <w:ind w:left="1420" w:hanging="852"/>
      </w:pPr>
      <w:r w:rsidRPr="00927302">
        <w:t xml:space="preserve">6.18.7 </w:t>
      </w:r>
      <w:r w:rsidRPr="00927302">
        <w:tab/>
        <w:t>Recovery of charges for transmission use of system services</w:t>
      </w:r>
    </w:p>
    <w:p w:rsidR="0044594F" w:rsidRPr="00927302" w:rsidRDefault="0044594F" w:rsidP="0044594F">
      <w:pPr>
        <w:tabs>
          <w:tab w:val="left" w:pos="1420"/>
        </w:tabs>
        <w:spacing w:after="120"/>
        <w:ind w:left="1420" w:hanging="852"/>
      </w:pPr>
      <w:r w:rsidRPr="00927302">
        <w:t>6.18.8</w:t>
      </w:r>
      <w:r w:rsidRPr="00927302">
        <w:tab/>
        <w:t>Approval of pricing proposal</w:t>
      </w:r>
    </w:p>
    <w:p w:rsidR="0044594F" w:rsidRPr="00927302" w:rsidRDefault="0044594F" w:rsidP="0044594F">
      <w:pPr>
        <w:tabs>
          <w:tab w:val="left" w:pos="1420"/>
        </w:tabs>
        <w:ind w:left="1418" w:hanging="851"/>
      </w:pPr>
      <w:r w:rsidRPr="00927302">
        <w:t xml:space="preserve">6.18.9 </w:t>
      </w:r>
      <w:r w:rsidRPr="00927302">
        <w:tab/>
        <w:t>Publication of information about tariffs and tariff classes</w:t>
      </w:r>
    </w:p>
    <w:p w:rsidR="009A26B4" w:rsidRDefault="009A26B4" w:rsidP="0044594F"/>
    <w:p w:rsidR="0044594F" w:rsidRDefault="0044594F" w:rsidP="0044594F">
      <w:r w:rsidRPr="00927302">
        <w:t xml:space="preserve">Reference to these clauses has been made in the appropriate </w:t>
      </w:r>
      <w:r w:rsidR="000B7F94">
        <w:t>Section</w:t>
      </w:r>
      <w:r w:rsidRPr="00927302">
        <w:t xml:space="preserve">s of this Pricing Proposal, to demonstrate how </w:t>
      </w:r>
      <w:r w:rsidR="00EA36E3">
        <w:t>SA Power Networks</w:t>
      </w:r>
      <w:r w:rsidRPr="00927302">
        <w:t xml:space="preserve"> has complied with each applicable Rules provision.</w:t>
      </w:r>
    </w:p>
    <w:p w:rsidR="009A26B4" w:rsidRPr="00927302" w:rsidRDefault="009A26B4" w:rsidP="0044594F"/>
    <w:p w:rsidR="0044594F" w:rsidRPr="00740796" w:rsidRDefault="0044594F" w:rsidP="0044594F">
      <w:pPr>
        <w:pStyle w:val="Heading2"/>
        <w:keepLines w:val="0"/>
        <w:numPr>
          <w:ilvl w:val="1"/>
          <w:numId w:val="16"/>
        </w:numPr>
        <w:tabs>
          <w:tab w:val="left" w:pos="851"/>
        </w:tabs>
        <w:spacing w:after="240" w:line="240" w:lineRule="auto"/>
      </w:pPr>
      <w:bookmarkStart w:id="14" w:name="_Toc420009816"/>
      <w:r w:rsidRPr="00927302">
        <w:t xml:space="preserve">Requirements of the </w:t>
      </w:r>
      <w:r w:rsidRPr="00740796">
        <w:t>AER’s 201</w:t>
      </w:r>
      <w:r w:rsidR="005C5ACB" w:rsidRPr="00740796">
        <w:t>5</w:t>
      </w:r>
      <w:r w:rsidRPr="00740796">
        <w:t xml:space="preserve"> </w:t>
      </w:r>
      <w:r w:rsidR="00477C39">
        <w:t>Preliminary Decision</w:t>
      </w:r>
      <w:bookmarkEnd w:id="14"/>
    </w:p>
    <w:p w:rsidR="0044594F" w:rsidRPr="00927302" w:rsidRDefault="0044594F" w:rsidP="0044594F">
      <w:pPr>
        <w:keepNext/>
        <w:tabs>
          <w:tab w:val="center" w:pos="4535"/>
        </w:tabs>
        <w:spacing w:after="120"/>
      </w:pPr>
      <w:r w:rsidRPr="00740796">
        <w:t xml:space="preserve">The AER’s </w:t>
      </w:r>
      <w:r w:rsidR="005C5ACB" w:rsidRPr="00740796">
        <w:t xml:space="preserve">April </w:t>
      </w:r>
      <w:r w:rsidRPr="00740796">
        <w:t>201</w:t>
      </w:r>
      <w:r w:rsidR="005C5ACB" w:rsidRPr="00740796">
        <w:t>5</w:t>
      </w:r>
      <w:r w:rsidRPr="00740796">
        <w:t xml:space="preserve"> </w:t>
      </w:r>
      <w:r w:rsidR="00477C39">
        <w:t>Preliminary Decision</w:t>
      </w:r>
      <w:r w:rsidRPr="00927302">
        <w:t xml:space="preserve"> for South Australia has been made pursuant to the provisions </w:t>
      </w:r>
      <w:r>
        <w:t xml:space="preserve">clause 6.11.1 </w:t>
      </w:r>
      <w:r w:rsidRPr="00927302">
        <w:t>of the Rules and imposes a number of requirements that are relevant to a Pricing Proposal. The relevant requirements are as follows:</w:t>
      </w:r>
    </w:p>
    <w:p w:rsidR="0044594F" w:rsidRPr="00927302" w:rsidRDefault="003642A0" w:rsidP="0044594F">
      <w:pPr>
        <w:pStyle w:val="ListParagraph"/>
        <w:tabs>
          <w:tab w:val="left" w:pos="1704"/>
        </w:tabs>
        <w:spacing w:after="120"/>
        <w:ind w:left="1704" w:hanging="1278"/>
        <w:contextualSpacing w:val="0"/>
      </w:pPr>
      <w:r>
        <w:t>Attachment 1</w:t>
      </w:r>
      <w:r w:rsidR="0044594F" w:rsidRPr="00927302">
        <w:tab/>
      </w:r>
      <w:r>
        <w:tab/>
        <w:t>Annual revenue requirement</w:t>
      </w:r>
    </w:p>
    <w:p w:rsidR="0044594F" w:rsidRPr="00927302" w:rsidRDefault="003642A0" w:rsidP="0044594F">
      <w:pPr>
        <w:pStyle w:val="ListParagraph"/>
        <w:tabs>
          <w:tab w:val="left" w:pos="1704"/>
        </w:tabs>
        <w:spacing w:after="120"/>
        <w:ind w:left="1704" w:hanging="1278"/>
        <w:contextualSpacing w:val="0"/>
      </w:pPr>
      <w:r>
        <w:t>Attachment 11</w:t>
      </w:r>
      <w:r>
        <w:tab/>
        <w:t>Service target performance incentive scheme</w:t>
      </w:r>
    </w:p>
    <w:p w:rsidR="0044594F" w:rsidRPr="00927302" w:rsidRDefault="003642A0" w:rsidP="0044594F">
      <w:pPr>
        <w:pStyle w:val="ListParagraph"/>
        <w:tabs>
          <w:tab w:val="left" w:pos="1704"/>
        </w:tabs>
        <w:spacing w:after="120"/>
        <w:ind w:left="1704" w:hanging="1278"/>
        <w:contextualSpacing w:val="0"/>
      </w:pPr>
      <w:r>
        <w:t>Attachment 12</w:t>
      </w:r>
      <w:r>
        <w:tab/>
        <w:t>DMIS arrangements</w:t>
      </w:r>
    </w:p>
    <w:p w:rsidR="0044594F" w:rsidRDefault="003642A0" w:rsidP="0044594F">
      <w:pPr>
        <w:pStyle w:val="ListParagraph"/>
        <w:tabs>
          <w:tab w:val="left" w:pos="1704"/>
        </w:tabs>
        <w:spacing w:after="120"/>
        <w:ind w:left="1704" w:hanging="1278"/>
        <w:contextualSpacing w:val="0"/>
      </w:pPr>
      <w:r>
        <w:t>Attachment 13</w:t>
      </w:r>
      <w:r w:rsidR="0044594F" w:rsidRPr="00927302">
        <w:tab/>
      </w:r>
      <w:r>
        <w:t>Classification of services</w:t>
      </w:r>
    </w:p>
    <w:p w:rsidR="003642A0" w:rsidRPr="00927302" w:rsidRDefault="003642A0" w:rsidP="003642A0">
      <w:pPr>
        <w:pStyle w:val="ListParagraph"/>
        <w:tabs>
          <w:tab w:val="left" w:pos="1704"/>
        </w:tabs>
        <w:spacing w:after="120"/>
        <w:ind w:left="1704" w:hanging="1278"/>
        <w:contextualSpacing w:val="0"/>
      </w:pPr>
      <w:r>
        <w:t>Attachment 14</w:t>
      </w:r>
      <w:r w:rsidRPr="00927302">
        <w:tab/>
      </w:r>
      <w:r>
        <w:t>Control mechanism</w:t>
      </w:r>
    </w:p>
    <w:p w:rsidR="003642A0" w:rsidRDefault="003642A0" w:rsidP="0044594F">
      <w:pPr>
        <w:pStyle w:val="ListParagraph"/>
        <w:tabs>
          <w:tab w:val="left" w:pos="1704"/>
        </w:tabs>
        <w:spacing w:after="120"/>
        <w:ind w:left="1704" w:hanging="1278"/>
        <w:contextualSpacing w:val="0"/>
      </w:pPr>
      <w:r>
        <w:tab/>
        <w:t>Application of the revenue cap, and under/over recovery mechanism for DUoS</w:t>
      </w:r>
    </w:p>
    <w:p w:rsidR="003642A0" w:rsidRDefault="003642A0" w:rsidP="0044594F">
      <w:pPr>
        <w:pStyle w:val="ListParagraph"/>
        <w:tabs>
          <w:tab w:val="left" w:pos="1704"/>
        </w:tabs>
        <w:spacing w:after="120"/>
        <w:ind w:left="1704" w:hanging="1278"/>
        <w:contextualSpacing w:val="0"/>
      </w:pPr>
      <w:r>
        <w:tab/>
        <w:t>Under/over recovery for transmission (TUoS)</w:t>
      </w:r>
    </w:p>
    <w:p w:rsidR="003642A0" w:rsidRDefault="003642A0" w:rsidP="0044594F">
      <w:pPr>
        <w:pStyle w:val="ListParagraph"/>
        <w:tabs>
          <w:tab w:val="left" w:pos="1704"/>
        </w:tabs>
        <w:spacing w:after="120"/>
        <w:ind w:left="1704" w:hanging="1278"/>
        <w:contextualSpacing w:val="0"/>
      </w:pPr>
      <w:r>
        <w:tab/>
        <w:t>Under/over-recovery of jurisdictional schemes (PV FiT)</w:t>
      </w:r>
    </w:p>
    <w:p w:rsidR="003642A0" w:rsidRDefault="003642A0" w:rsidP="0044594F">
      <w:pPr>
        <w:pStyle w:val="ListParagraph"/>
        <w:tabs>
          <w:tab w:val="left" w:pos="1704"/>
        </w:tabs>
        <w:spacing w:after="120"/>
        <w:ind w:left="1704" w:hanging="1278"/>
        <w:contextualSpacing w:val="0"/>
      </w:pPr>
      <w:r>
        <w:tab/>
        <w:t>Revenue control and Pricing side constraint formulae</w:t>
      </w:r>
    </w:p>
    <w:p w:rsidR="003642A0" w:rsidRDefault="003642A0" w:rsidP="0044594F">
      <w:pPr>
        <w:pStyle w:val="ListParagraph"/>
        <w:tabs>
          <w:tab w:val="left" w:pos="1704"/>
        </w:tabs>
        <w:spacing w:after="120"/>
        <w:ind w:left="1704" w:hanging="1278"/>
        <w:contextualSpacing w:val="0"/>
      </w:pPr>
      <w:r>
        <w:tab/>
        <w:t>Assigning retail customers to tariff classes</w:t>
      </w:r>
    </w:p>
    <w:p w:rsidR="0044594F" w:rsidRDefault="003642A0" w:rsidP="003642A0">
      <w:pPr>
        <w:pStyle w:val="ListParagraph"/>
        <w:tabs>
          <w:tab w:val="left" w:pos="1704"/>
        </w:tabs>
        <w:spacing w:after="120"/>
        <w:ind w:left="1704" w:hanging="1278"/>
        <w:contextualSpacing w:val="0"/>
      </w:pPr>
      <w:r>
        <w:t>Attachment 15</w:t>
      </w:r>
      <w:r w:rsidR="0044594F" w:rsidRPr="00927302">
        <w:tab/>
      </w:r>
      <w:r>
        <w:t>Pass through events</w:t>
      </w:r>
    </w:p>
    <w:p w:rsidR="003642A0" w:rsidRDefault="003642A0" w:rsidP="003642A0">
      <w:pPr>
        <w:pStyle w:val="ListParagraph"/>
        <w:tabs>
          <w:tab w:val="left" w:pos="1704"/>
        </w:tabs>
        <w:spacing w:after="120"/>
        <w:ind w:left="1704" w:hanging="1278"/>
        <w:contextualSpacing w:val="0"/>
      </w:pPr>
      <w:r>
        <w:t>Attachment 16</w:t>
      </w:r>
      <w:r>
        <w:tab/>
        <w:t>Alternative control services</w:t>
      </w:r>
    </w:p>
    <w:p w:rsidR="0044594F" w:rsidRDefault="0044594F" w:rsidP="0044594F">
      <w:r w:rsidRPr="00927302">
        <w:t xml:space="preserve">Where it is necessary to demonstrate that </w:t>
      </w:r>
      <w:r w:rsidR="00EA36E3">
        <w:t>SA Power Networks</w:t>
      </w:r>
      <w:r w:rsidRPr="00927302">
        <w:t xml:space="preserve"> has complied with a requirement of the AER’s Decision, reference to the relevant component of the Decision has been made in the appropriate </w:t>
      </w:r>
      <w:r w:rsidR="000B7F94">
        <w:t>Section</w:t>
      </w:r>
      <w:r w:rsidRPr="00927302">
        <w:t xml:space="preserve"> of this Pricing Proposal.  </w:t>
      </w:r>
    </w:p>
    <w:p w:rsidR="009A26B4" w:rsidRPr="00927302" w:rsidRDefault="009A26B4" w:rsidP="0044594F"/>
    <w:p w:rsidR="0044594F" w:rsidRPr="00927302" w:rsidRDefault="0044594F" w:rsidP="0044594F">
      <w:pPr>
        <w:pStyle w:val="Heading2"/>
        <w:keepLines w:val="0"/>
        <w:numPr>
          <w:ilvl w:val="1"/>
          <w:numId w:val="16"/>
        </w:numPr>
        <w:tabs>
          <w:tab w:val="left" w:pos="851"/>
        </w:tabs>
        <w:spacing w:after="240" w:line="240" w:lineRule="auto"/>
      </w:pPr>
      <w:bookmarkStart w:id="15" w:name="_Ref133821544"/>
      <w:bookmarkStart w:id="16" w:name="_Toc420009817"/>
      <w:r w:rsidRPr="00927302">
        <w:t xml:space="preserve">Principal elements of </w:t>
      </w:r>
      <w:r w:rsidRPr="00740796">
        <w:t>the AER’s 201</w:t>
      </w:r>
      <w:r w:rsidR="00740796" w:rsidRPr="00740796">
        <w:t>5</w:t>
      </w:r>
      <w:r w:rsidRPr="00740796">
        <w:t xml:space="preserve"> </w:t>
      </w:r>
      <w:r w:rsidR="00477C39">
        <w:t>Preliminary Decision</w:t>
      </w:r>
      <w:bookmarkEnd w:id="15"/>
      <w:bookmarkEnd w:id="16"/>
    </w:p>
    <w:p w:rsidR="0044594F" w:rsidRDefault="0044594F" w:rsidP="0044594F">
      <w:r w:rsidRPr="00927302">
        <w:t xml:space="preserve">The principal elements of the AER’s Decision pertaining to direct control services (comprising standard and alternative control services) are outlined in this </w:t>
      </w:r>
      <w:r w:rsidR="000B7F94">
        <w:t>Section</w:t>
      </w:r>
      <w:r w:rsidRPr="00927302">
        <w:t>.</w:t>
      </w:r>
    </w:p>
    <w:p w:rsidR="00791F09" w:rsidRPr="00927302" w:rsidRDefault="00791F09" w:rsidP="0044594F"/>
    <w:p w:rsidR="0044594F" w:rsidRPr="00927302" w:rsidRDefault="00EA36E3" w:rsidP="009A26B4">
      <w:pPr>
        <w:pStyle w:val="Heading3"/>
      </w:pPr>
      <w:bookmarkStart w:id="17" w:name="_Ref131233960"/>
      <w:r>
        <w:t>Revenue</w:t>
      </w:r>
      <w:r w:rsidR="0044594F" w:rsidRPr="00927302">
        <w:t xml:space="preserve"> Cap for standard control services</w:t>
      </w:r>
      <w:bookmarkEnd w:id="17"/>
    </w:p>
    <w:p w:rsidR="00791F09" w:rsidRPr="00791F09" w:rsidRDefault="00EA36E3" w:rsidP="003C07A2">
      <w:pPr>
        <w:numPr>
          <w:ilvl w:val="0"/>
          <w:numId w:val="40"/>
        </w:numPr>
        <w:spacing w:before="200" w:line="276" w:lineRule="auto"/>
        <w:rPr>
          <w:highlight w:val="magenta"/>
        </w:rPr>
      </w:pPr>
      <w:bookmarkStart w:id="18" w:name="_Ref131926716"/>
      <w:bookmarkStart w:id="19" w:name="_Ref165615941"/>
      <w:r>
        <w:t>SA Power Networks</w:t>
      </w:r>
      <w:r w:rsidR="00791F09" w:rsidRPr="00791F09">
        <w:t xml:space="preserve">’ </w:t>
      </w:r>
      <w:r>
        <w:t>P</w:t>
      </w:r>
      <w:r w:rsidR="00791F09" w:rsidRPr="00791F09">
        <w:t xml:space="preserve">ricing </w:t>
      </w:r>
      <w:r>
        <w:t>P</w:t>
      </w:r>
      <w:r w:rsidR="00791F09" w:rsidRPr="00791F09">
        <w:t xml:space="preserve">roposals must submit to the AER proposed tariffs and charging parameters. </w:t>
      </w:r>
      <w:r>
        <w:t>SA Power Networks</w:t>
      </w:r>
      <w:r w:rsidR="00791F09" w:rsidRPr="00791F09">
        <w:t>’ revenues must be consistent with the total annual revenue formula set out below plus any unders and overs adjustment needed to move the balance of its DUoS unders and overs account to zero</w:t>
      </w:r>
      <w:r w:rsidR="00791F09" w:rsidRPr="00791F09">
        <w:rPr>
          <w:rStyle w:val="FootnoteReference"/>
        </w:rPr>
        <w:footnoteReference w:id="2"/>
      </w:r>
      <w:r w:rsidR="00791F09" w:rsidRPr="00791F09">
        <w:t>.</w:t>
      </w:r>
    </w:p>
    <w:p w:rsidR="00791F09" w:rsidRPr="00791F09" w:rsidRDefault="00791F09" w:rsidP="00791F09">
      <w:pPr>
        <w:pStyle w:val="Caption"/>
        <w:rPr>
          <w:sz w:val="20"/>
          <w:highlight w:val="magenta"/>
        </w:rPr>
      </w:pPr>
      <w:bookmarkStart w:id="20" w:name="_Ref414103990"/>
    </w:p>
    <w:bookmarkEnd w:id="20"/>
    <w:p w:rsidR="00791F09" w:rsidRPr="00791F09" w:rsidRDefault="00791F09" w:rsidP="00791F09">
      <w:pPr>
        <w:pStyle w:val="Caption"/>
        <w:rPr>
          <w:sz w:val="22"/>
        </w:rPr>
      </w:pPr>
      <w:r w:rsidRPr="00791F09">
        <w:rPr>
          <w:sz w:val="22"/>
        </w:rPr>
        <w:t>Revenue cap formula</w:t>
      </w:r>
    </w:p>
    <w:p w:rsidR="00791F09" w:rsidRPr="00791F09" w:rsidRDefault="00924A8F" w:rsidP="00791F09">
      <w:pPr>
        <w:pStyle w:val="ListNumber"/>
        <w:spacing w:before="120" w:line="288" w:lineRule="auto"/>
        <w:ind w:left="340" w:hanging="340"/>
        <w:contextualSpacing w:val="0"/>
        <w:rPr>
          <w:sz w:val="24"/>
        </w:rPr>
      </w:pPr>
      <m:oMath>
        <m:sSub>
          <m:sSubPr>
            <m:ctrlPr>
              <w:rPr>
                <w:rFonts w:ascii="Cambria Math" w:hAnsi="Cambria Math"/>
                <w:sz w:val="24"/>
              </w:rPr>
            </m:ctrlPr>
          </m:sSubPr>
          <m:e>
            <m:r>
              <w:rPr>
                <w:rFonts w:ascii="Cambria Math" w:hAnsi="Cambria Math"/>
                <w:sz w:val="24"/>
              </w:rPr>
              <m:t>TAR</m:t>
            </m:r>
          </m:e>
          <m:sub>
            <m:r>
              <w:rPr>
                <w:rFonts w:ascii="Cambria Math" w:hAnsi="Cambria Math"/>
                <w:sz w:val="24"/>
              </w:rPr>
              <m:t>t</m:t>
            </m:r>
          </m:sub>
        </m:sSub>
        <m:r>
          <m:rPr>
            <m:sty m:val="p"/>
          </m:rPr>
          <w:rPr>
            <w:rFonts w:ascii="Cambria Math" w:hAnsi="Cambria Math"/>
            <w:sz w:val="24"/>
          </w:rPr>
          <m:t>≥</m:t>
        </m:r>
        <m:nary>
          <m:naryPr>
            <m:chr m:val="∑"/>
            <m:limLoc m:val="undOvr"/>
            <m:ctrlPr>
              <w:rPr>
                <w:rFonts w:ascii="Cambria Math" w:hAnsi="Cambria Math"/>
                <w:sz w:val="24"/>
              </w:rPr>
            </m:ctrlPr>
          </m:naryPr>
          <m:sub>
            <m:r>
              <w:rPr>
                <w:rFonts w:ascii="Cambria Math" w:hAnsi="Cambria Math"/>
                <w:sz w:val="24"/>
              </w:rPr>
              <m:t>i</m:t>
            </m:r>
            <m:r>
              <m:rPr>
                <m:sty m:val="p"/>
              </m:rPr>
              <w:rPr>
                <w:rFonts w:ascii="Cambria Math"/>
                <w:sz w:val="24"/>
              </w:rPr>
              <m:t>=1</m:t>
            </m:r>
          </m:sub>
          <m:sup>
            <m:r>
              <w:rPr>
                <w:rFonts w:ascii="Cambria Math" w:hAnsi="Cambria Math"/>
                <w:sz w:val="24"/>
              </w:rPr>
              <m:t>n</m:t>
            </m:r>
          </m:sup>
          <m:e>
            <m:nary>
              <m:naryPr>
                <m:chr m:val="∑"/>
                <m:limLoc m:val="undOvr"/>
                <m:ctrlPr>
                  <w:rPr>
                    <w:rFonts w:ascii="Cambria Math" w:hAnsi="Cambria Math"/>
                    <w:sz w:val="24"/>
                  </w:rPr>
                </m:ctrlPr>
              </m:naryPr>
              <m:sub>
                <m:r>
                  <w:rPr>
                    <w:rFonts w:ascii="Cambria Math" w:hAnsi="Cambria Math"/>
                    <w:sz w:val="24"/>
                  </w:rPr>
                  <m:t>j</m:t>
                </m:r>
                <m:r>
                  <m:rPr>
                    <m:sty m:val="p"/>
                  </m:rPr>
                  <w:rPr>
                    <w:rFonts w:ascii="Cambria Math"/>
                    <w:sz w:val="24"/>
                  </w:rPr>
                  <m:t>=1</m:t>
                </m:r>
              </m:sub>
              <m:sup>
                <m:r>
                  <w:rPr>
                    <w:rFonts w:ascii="Cambria Math" w:hAnsi="Cambria Math"/>
                    <w:sz w:val="24"/>
                  </w:rPr>
                  <m:t>m</m:t>
                </m:r>
              </m:sup>
              <m:e>
                <m:sSubSup>
                  <m:sSubSupPr>
                    <m:ctrlPr>
                      <w:rPr>
                        <w:rFonts w:ascii="Cambria Math" w:hAnsi="Cambria Math"/>
                        <w:sz w:val="24"/>
                      </w:rPr>
                    </m:ctrlPr>
                  </m:sSubSupPr>
                  <m:e>
                    <m:r>
                      <w:rPr>
                        <w:rFonts w:ascii="Cambria Math" w:hAnsi="Cambria Math"/>
                        <w:sz w:val="24"/>
                      </w:rPr>
                      <m:t>p</m:t>
                    </m:r>
                  </m:e>
                  <m:sub>
                    <m:r>
                      <w:rPr>
                        <w:rFonts w:ascii="Cambria Math" w:hAnsi="Cambria Math"/>
                        <w:sz w:val="24"/>
                      </w:rPr>
                      <m:t>t</m:t>
                    </m:r>
                  </m:sub>
                  <m:sup>
                    <m:r>
                      <w:rPr>
                        <w:rFonts w:ascii="Cambria Math" w:hAnsi="Cambria Math"/>
                        <w:sz w:val="24"/>
                      </w:rPr>
                      <m:t>ij</m:t>
                    </m:r>
                  </m:sup>
                </m:sSubSup>
              </m:e>
            </m:nary>
          </m:e>
        </m:nary>
        <m:sSubSup>
          <m:sSubSupPr>
            <m:ctrlPr>
              <w:rPr>
                <w:rFonts w:ascii="Cambria Math" w:hAnsi="Cambria Math"/>
                <w:sz w:val="24"/>
              </w:rPr>
            </m:ctrlPr>
          </m:sSubSupPr>
          <m:e>
            <m:r>
              <w:rPr>
                <w:rFonts w:ascii="Cambria Math" w:hAnsi="Cambria Math"/>
                <w:sz w:val="24"/>
              </w:rPr>
              <m:t>q</m:t>
            </m:r>
          </m:e>
          <m:sub>
            <m:r>
              <w:rPr>
                <w:rFonts w:ascii="Cambria Math" w:hAnsi="Cambria Math"/>
                <w:sz w:val="24"/>
              </w:rPr>
              <m:t>t</m:t>
            </m:r>
          </m:sub>
          <m:sup>
            <m:r>
              <w:rPr>
                <w:rFonts w:ascii="Cambria Math" w:hAnsi="Cambria Math"/>
                <w:sz w:val="24"/>
              </w:rPr>
              <m:t>ij</m:t>
            </m:r>
          </m:sup>
        </m:sSubSup>
      </m:oMath>
      <w:r w:rsidR="00791F09" w:rsidRPr="00791F09">
        <w:rPr>
          <w:sz w:val="24"/>
        </w:rPr>
        <w:tab/>
      </w:r>
      <w:r w:rsidR="00791F09" w:rsidRPr="00791F09">
        <w:rPr>
          <w:sz w:val="24"/>
        </w:rPr>
        <w:tab/>
      </w:r>
      <w:r w:rsidR="00791F09" w:rsidRPr="00791F09">
        <w:rPr>
          <w:sz w:val="24"/>
        </w:rPr>
        <w:tab/>
        <w:t>i=1,...,n and j=1,...,m</w:t>
      </w:r>
      <w:r w:rsidR="00791F09" w:rsidRPr="00791F09" w:rsidDel="00467655">
        <w:rPr>
          <w:sz w:val="24"/>
        </w:rPr>
        <w:t xml:space="preserve"> </w:t>
      </w:r>
      <w:r w:rsidR="00791F09" w:rsidRPr="00791F09">
        <w:rPr>
          <w:sz w:val="24"/>
        </w:rPr>
        <w:t>and t=1,...,5</w:t>
      </w:r>
    </w:p>
    <w:p w:rsidR="00791F09" w:rsidRPr="00791F09" w:rsidRDefault="00924A8F" w:rsidP="00791F09">
      <w:pPr>
        <w:pStyle w:val="ListNumber"/>
        <w:spacing w:before="120" w:line="288" w:lineRule="auto"/>
        <w:ind w:left="340" w:hanging="340"/>
        <w:contextualSpacing w:val="0"/>
        <w:rPr>
          <w:sz w:val="24"/>
        </w:rPr>
      </w:pPr>
      <m:oMath>
        <m:sSub>
          <m:sSubPr>
            <m:ctrlPr>
              <w:rPr>
                <w:rFonts w:ascii="Cambria Math" w:hAnsi="Cambria Math"/>
                <w:sz w:val="24"/>
              </w:rPr>
            </m:ctrlPr>
          </m:sSubPr>
          <m:e>
            <m:r>
              <w:rPr>
                <w:rFonts w:ascii="Cambria Math" w:hAnsi="Cambria Math"/>
                <w:sz w:val="24"/>
              </w:rPr>
              <m:t>TAR</m:t>
            </m:r>
          </m:e>
          <m:sub>
            <m:r>
              <w:rPr>
                <w:rFonts w:ascii="Cambria Math" w:hAnsi="Cambria Math"/>
                <w:sz w:val="24"/>
              </w:rPr>
              <m:t>t</m:t>
            </m:r>
          </m:sub>
        </m:sSub>
        <m:r>
          <m:rPr>
            <m:sty m:val="p"/>
          </m:rPr>
          <w:rPr>
            <w:rFonts w:ascii="Cambria Math"/>
            <w:sz w:val="24"/>
          </w:rPr>
          <m:t>=</m:t>
        </m:r>
        <m:sSub>
          <m:sSubPr>
            <m:ctrlPr>
              <w:rPr>
                <w:rFonts w:ascii="Cambria Math" w:hAnsi="Cambria Math"/>
                <w:sz w:val="24"/>
              </w:rPr>
            </m:ctrlPr>
          </m:sSubPr>
          <m:e>
            <m:r>
              <w:rPr>
                <w:rFonts w:ascii="Cambria Math" w:hAnsi="Cambria Math"/>
                <w:sz w:val="24"/>
              </w:rPr>
              <m:t>AR</m:t>
            </m:r>
          </m:e>
          <m:sub>
            <m:r>
              <w:rPr>
                <w:rFonts w:ascii="Cambria Math" w:hAnsi="Cambria Math"/>
                <w:sz w:val="24"/>
              </w:rPr>
              <m:t>t</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I</m:t>
            </m:r>
          </m:e>
          <m:sub>
            <m:r>
              <w:rPr>
                <w:rFonts w:ascii="Cambria Math" w:hAnsi="Cambria Math"/>
                <w:sz w:val="24"/>
              </w:rPr>
              <m:t>t</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C</m:t>
            </m:r>
          </m:e>
          <m:sub>
            <m:r>
              <w:rPr>
                <w:rFonts w:ascii="Cambria Math" w:hAnsi="Cambria Math"/>
                <w:sz w:val="24"/>
              </w:rPr>
              <m:t>t</m:t>
            </m:r>
          </m:sub>
        </m:sSub>
      </m:oMath>
      <w:r w:rsidR="00791F09" w:rsidRPr="00791F09">
        <w:rPr>
          <w:sz w:val="24"/>
        </w:rPr>
        <w:tab/>
      </w:r>
      <w:r w:rsidR="00791F09" w:rsidRPr="00791F09">
        <w:rPr>
          <w:sz w:val="24"/>
        </w:rPr>
        <w:tab/>
      </w:r>
    </w:p>
    <w:p w:rsidR="00791F09" w:rsidRPr="00791F09" w:rsidRDefault="00924A8F" w:rsidP="00791F09">
      <w:pPr>
        <w:pStyle w:val="ListNumber"/>
        <w:spacing w:before="120" w:line="288" w:lineRule="auto"/>
        <w:ind w:left="340" w:hanging="340"/>
        <w:contextualSpacing w:val="0"/>
        <w:rPr>
          <w:sz w:val="24"/>
        </w:rPr>
      </w:pPr>
      <m:oMath>
        <m:sSub>
          <m:sSubPr>
            <m:ctrlPr>
              <w:rPr>
                <w:rFonts w:ascii="Cambria Math" w:hAnsi="Cambria Math"/>
                <w:sz w:val="24"/>
              </w:rPr>
            </m:ctrlPr>
          </m:sSubPr>
          <m:e>
            <m:r>
              <w:rPr>
                <w:rFonts w:ascii="Cambria Math" w:hAnsi="Cambria Math"/>
                <w:sz w:val="24"/>
              </w:rPr>
              <m:t>AR</m:t>
            </m:r>
          </m:e>
          <m:sub>
            <m:r>
              <w:rPr>
                <w:rFonts w:ascii="Cambria Math" w:hAnsi="Cambria Math"/>
                <w:sz w:val="24"/>
              </w:rPr>
              <m:t>t</m:t>
            </m:r>
          </m:sub>
        </m:sSub>
        <m:r>
          <m:rPr>
            <m:sty m:val="p"/>
          </m:rPr>
          <w:rPr>
            <w:rFonts w:ascii="Cambria Math"/>
            <w:sz w:val="24"/>
          </w:rPr>
          <m:t>=</m:t>
        </m:r>
        <m:sSub>
          <m:sSubPr>
            <m:ctrlPr>
              <w:rPr>
                <w:rFonts w:ascii="Cambria Math" w:hAnsi="Cambria Math"/>
                <w:sz w:val="24"/>
              </w:rPr>
            </m:ctrlPr>
          </m:sSubPr>
          <m:e>
            <m:r>
              <w:rPr>
                <w:rFonts w:ascii="Cambria Math" w:hAnsi="Cambria Math"/>
                <w:sz w:val="24"/>
              </w:rPr>
              <m:t>AR</m:t>
            </m:r>
          </m:e>
          <m:sub>
            <m:r>
              <w:rPr>
                <w:rFonts w:ascii="Cambria Math" w:hAnsi="Cambria Math"/>
                <w:sz w:val="24"/>
              </w:rPr>
              <m:t>t</m:t>
            </m:r>
            <m:r>
              <m:rPr>
                <m:sty m:val="p"/>
              </m:rPr>
              <w:rPr>
                <w:rFonts w:ascii="Cambria Math" w:hAnsi="Cambria Math"/>
                <w:sz w:val="24"/>
              </w:rPr>
              <m:t>-</m:t>
            </m:r>
            <m:r>
              <m:rPr>
                <m:sty m:val="p"/>
              </m:rPr>
              <w:rPr>
                <w:rFonts w:ascii="Cambria Math"/>
                <w:sz w:val="24"/>
              </w:rPr>
              <m:t>1</m:t>
            </m:r>
          </m:sub>
        </m:sSub>
        <m:d>
          <m:dPr>
            <m:ctrlPr>
              <w:rPr>
                <w:rFonts w:ascii="Cambria Math" w:hAnsi="Cambria Math"/>
                <w:sz w:val="24"/>
              </w:rPr>
            </m:ctrlPr>
          </m:dPr>
          <m:e>
            <m:r>
              <m:rPr>
                <m:sty m:val="p"/>
              </m:rPr>
              <w:rPr>
                <w:rFonts w:ascii="Cambria Math"/>
                <w:sz w:val="24"/>
              </w:rPr>
              <m:t>1+</m:t>
            </m:r>
            <m:sSub>
              <m:sSubPr>
                <m:ctrlPr>
                  <w:rPr>
                    <w:rFonts w:ascii="Cambria Math" w:hAnsi="Cambria Math"/>
                    <w:sz w:val="24"/>
                  </w:rPr>
                </m:ctrlPr>
              </m:sSubPr>
              <m:e>
                <m:r>
                  <m:rPr>
                    <m:sty m:val="p"/>
                  </m:rPr>
                  <w:rPr>
                    <w:rFonts w:ascii="Cambria Math" w:hAnsi="Cambria Math"/>
                    <w:sz w:val="24"/>
                  </w:rPr>
                  <m:t>∆</m:t>
                </m:r>
                <m:r>
                  <w:rPr>
                    <w:rFonts w:ascii="Cambria Math" w:hAnsi="Cambria Math"/>
                    <w:sz w:val="24"/>
                  </w:rPr>
                  <m:t>CPI</m:t>
                </m:r>
              </m:e>
              <m:sub>
                <m:r>
                  <w:rPr>
                    <w:rFonts w:ascii="Cambria Math" w:hAnsi="Cambria Math"/>
                    <w:sz w:val="24"/>
                  </w:rPr>
                  <m:t>t</m:t>
                </m:r>
              </m:sub>
            </m:sSub>
          </m:e>
        </m:d>
        <m:d>
          <m:dPr>
            <m:ctrlPr>
              <w:rPr>
                <w:rFonts w:ascii="Cambria Math" w:hAnsi="Cambria Math"/>
                <w:sz w:val="24"/>
              </w:rPr>
            </m:ctrlPr>
          </m:dPr>
          <m:e>
            <m:r>
              <m:rPr>
                <m:sty m:val="p"/>
              </m:rPr>
              <w:rPr>
                <w:rFonts w:ascii="Cambria Math"/>
                <w:sz w:val="24"/>
              </w:rPr>
              <m:t>1</m:t>
            </m:r>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X</m:t>
                </m:r>
              </m:e>
              <m:sub>
                <m:r>
                  <w:rPr>
                    <w:rFonts w:ascii="Cambria Math" w:hAnsi="Cambria Math"/>
                    <w:sz w:val="24"/>
                  </w:rPr>
                  <m:t>t</m:t>
                </m:r>
              </m:sub>
            </m:sSub>
          </m:e>
        </m:d>
        <m:d>
          <m:dPr>
            <m:ctrlPr>
              <w:rPr>
                <w:rFonts w:ascii="Cambria Math" w:hAnsi="Cambria Math"/>
                <w:sz w:val="24"/>
              </w:rPr>
            </m:ctrlPr>
          </m:dPr>
          <m:e>
            <m:r>
              <m:rPr>
                <m:sty m:val="p"/>
              </m:rPr>
              <w:rPr>
                <w:rFonts w:ascii="Cambria Math"/>
                <w:sz w:val="24"/>
              </w:rPr>
              <m:t>1+</m:t>
            </m:r>
            <m:sSub>
              <m:sSubPr>
                <m:ctrlPr>
                  <w:rPr>
                    <w:rFonts w:ascii="Cambria Math" w:hAnsi="Cambria Math"/>
                    <w:sz w:val="24"/>
                  </w:rPr>
                </m:ctrlPr>
              </m:sSubPr>
              <m:e>
                <m:r>
                  <w:rPr>
                    <w:rFonts w:ascii="Cambria Math" w:hAnsi="Cambria Math"/>
                    <w:sz w:val="24"/>
                  </w:rPr>
                  <m:t>S</m:t>
                </m:r>
              </m:e>
              <m:sub>
                <m:r>
                  <w:rPr>
                    <w:rFonts w:ascii="Cambria Math" w:hAnsi="Cambria Math"/>
                    <w:sz w:val="24"/>
                  </w:rPr>
                  <m:t>t</m:t>
                </m:r>
              </m:sub>
            </m:sSub>
          </m:e>
        </m:d>
      </m:oMath>
    </w:p>
    <w:p w:rsidR="00791F09" w:rsidRPr="00791F09" w:rsidRDefault="00791F09" w:rsidP="003C07A2">
      <w:pPr>
        <w:numPr>
          <w:ilvl w:val="0"/>
          <w:numId w:val="41"/>
        </w:numPr>
        <w:spacing w:before="200" w:line="276" w:lineRule="auto"/>
      </w:pPr>
      <w:r w:rsidRPr="00791F09">
        <w:t>Where:</w:t>
      </w:r>
    </w:p>
    <w:p w:rsidR="00791F09" w:rsidRPr="00791F09" w:rsidRDefault="00924A8F" w:rsidP="003925CE">
      <w:pPr>
        <w:spacing w:before="120" w:line="276" w:lineRule="auto"/>
      </w:pPr>
      <m:oMath>
        <m:sSub>
          <m:sSubPr>
            <m:ctrlPr>
              <w:rPr>
                <w:rFonts w:ascii="Cambria Math" w:hAnsi="Cambria Math"/>
              </w:rPr>
            </m:ctrlPr>
          </m:sSubPr>
          <m:e>
            <m:r>
              <w:rPr>
                <w:rFonts w:ascii="Cambria Math" w:hAnsi="Cambria Math"/>
              </w:rPr>
              <m:t>TAR</m:t>
            </m:r>
          </m:e>
          <m:sub>
            <m:r>
              <w:rPr>
                <w:rFonts w:ascii="Cambria Math" w:hAnsi="Cambria Math"/>
              </w:rPr>
              <m:t>t</m:t>
            </m:r>
          </m:sub>
        </m:sSub>
      </m:oMath>
      <w:r w:rsidR="00791F09" w:rsidRPr="00791F09">
        <w:tab/>
      </w:r>
      <w:r w:rsidR="00791F09" w:rsidRPr="00791F09">
        <w:tab/>
        <w:t>is total annual revenue in year t.</w:t>
      </w:r>
    </w:p>
    <w:p w:rsidR="00791F09" w:rsidRPr="00791F09" w:rsidRDefault="00924A8F" w:rsidP="003925CE">
      <w:pPr>
        <w:spacing w:before="120" w:line="276" w:lineRule="auto"/>
      </w:pPr>
      <m:oMath>
        <m:sSubSup>
          <m:sSubSupPr>
            <m:ctrlPr>
              <w:rPr>
                <w:rFonts w:ascii="Cambria Math" w:hAnsi="Cambria Math"/>
              </w:rPr>
            </m:ctrlPr>
          </m:sSubSupPr>
          <m:e>
            <m:r>
              <w:rPr>
                <w:rFonts w:ascii="Cambria Math" w:hAnsi="Cambria Math"/>
              </w:rPr>
              <m:t>p</m:t>
            </m:r>
          </m:e>
          <m:sub>
            <m:r>
              <w:rPr>
                <w:rFonts w:ascii="Cambria Math" w:hAnsi="Cambria Math"/>
              </w:rPr>
              <m:t>t</m:t>
            </m:r>
          </m:sub>
          <m:sup>
            <m:r>
              <w:rPr>
                <w:rFonts w:ascii="Cambria Math" w:hAnsi="Cambria Math"/>
              </w:rPr>
              <m:t>ij</m:t>
            </m:r>
          </m:sup>
        </m:sSubSup>
      </m:oMath>
      <w:r w:rsidR="00791F09" w:rsidRPr="00791F09">
        <w:tab/>
      </w:r>
      <w:r w:rsidR="00791F09" w:rsidRPr="00791F09">
        <w:tab/>
        <w:t>is the price of component i of tariff j in year t.</w:t>
      </w:r>
    </w:p>
    <w:p w:rsidR="00791F09" w:rsidRPr="00791F09" w:rsidRDefault="00924A8F" w:rsidP="003925CE">
      <w:pPr>
        <w:spacing w:before="120" w:line="276" w:lineRule="auto"/>
      </w:pPr>
      <m:oMath>
        <m:sSubSup>
          <m:sSubSupPr>
            <m:ctrlPr>
              <w:rPr>
                <w:rFonts w:ascii="Cambria Math" w:hAnsi="Cambria Math"/>
              </w:rPr>
            </m:ctrlPr>
          </m:sSubSupPr>
          <m:e>
            <m:r>
              <w:rPr>
                <w:rFonts w:ascii="Cambria Math" w:hAnsi="Cambria Math"/>
              </w:rPr>
              <m:t>q</m:t>
            </m:r>
          </m:e>
          <m:sub>
            <m:r>
              <w:rPr>
                <w:rFonts w:ascii="Cambria Math" w:hAnsi="Cambria Math"/>
              </w:rPr>
              <m:t>t</m:t>
            </m:r>
          </m:sub>
          <m:sup>
            <m:r>
              <w:rPr>
                <w:rFonts w:ascii="Cambria Math" w:hAnsi="Cambria Math"/>
              </w:rPr>
              <m:t>ij</m:t>
            </m:r>
          </m:sup>
        </m:sSubSup>
      </m:oMath>
      <w:r w:rsidR="00791F09" w:rsidRPr="00791F09">
        <w:tab/>
      </w:r>
      <w:r w:rsidR="00791F09" w:rsidRPr="00791F09">
        <w:tab/>
        <w:t>is the forecast quantity of component i of tariff j in year t.</w:t>
      </w:r>
    </w:p>
    <w:p w:rsidR="00791F09" w:rsidRPr="00791F09" w:rsidRDefault="00924A8F" w:rsidP="003925CE">
      <w:pPr>
        <w:spacing w:before="120" w:line="276" w:lineRule="auto"/>
        <w:rPr>
          <w:rStyle w:val="AERbody"/>
          <w:rFonts w:asciiTheme="minorHAnsi" w:hAnsiTheme="minorHAnsi"/>
        </w:rPr>
      </w:pPr>
      <m:oMath>
        <m:sSub>
          <m:sSubPr>
            <m:ctrlPr>
              <w:rPr>
                <w:rFonts w:ascii="Cambria Math" w:hAnsi="Cambria Math"/>
              </w:rPr>
            </m:ctrlPr>
          </m:sSubPr>
          <m:e>
            <m:r>
              <w:rPr>
                <w:rFonts w:ascii="Cambria Math" w:hAnsi="Cambria Math"/>
              </w:rPr>
              <m:t>AR</m:t>
            </m:r>
          </m:e>
          <m:sub>
            <m:r>
              <w:rPr>
                <w:rFonts w:ascii="Cambria Math" w:hAnsi="Cambria Math"/>
              </w:rPr>
              <m:t>t</m:t>
            </m:r>
          </m:sub>
        </m:sSub>
      </m:oMath>
      <w:r w:rsidR="00791F09" w:rsidRPr="00791F09">
        <w:tab/>
      </w:r>
      <w:r w:rsidR="00791F09" w:rsidRPr="00791F09">
        <w:tab/>
        <w:t xml:space="preserve">is the annual smoothed expected revenue for year t. </w:t>
      </w:r>
      <w:r w:rsidR="00791F09" w:rsidRPr="00791F09">
        <w:rPr>
          <w:rStyle w:val="AERbody"/>
          <w:rFonts w:asciiTheme="minorHAnsi" w:hAnsiTheme="minorHAnsi"/>
        </w:rPr>
        <w:t xml:space="preserve">For the first year of the 2015–20 regulatory control period, this amount will be equal to the smoothed revenue requirement for 2015–16 set out in the PTRM. </w:t>
      </w:r>
    </w:p>
    <w:p w:rsidR="00791F09" w:rsidRPr="00791F09" w:rsidRDefault="00924A8F" w:rsidP="003925CE">
      <w:pPr>
        <w:spacing w:before="120" w:line="276" w:lineRule="auto"/>
      </w:pPr>
      <m:oMath>
        <m:sSub>
          <m:sSubPr>
            <m:ctrlPr>
              <w:rPr>
                <w:rFonts w:ascii="Cambria Math" w:hAnsi="Cambria Math"/>
              </w:rPr>
            </m:ctrlPr>
          </m:sSubPr>
          <m:e>
            <m:r>
              <w:rPr>
                <w:rFonts w:ascii="Cambria Math" w:hAnsi="Cambria Math"/>
              </w:rPr>
              <m:t>I</m:t>
            </m:r>
          </m:e>
          <m:sub>
            <m:r>
              <w:rPr>
                <w:rFonts w:ascii="Cambria Math" w:hAnsi="Cambria Math"/>
              </w:rPr>
              <m:t>t</m:t>
            </m:r>
          </m:sub>
        </m:sSub>
      </m:oMath>
      <w:r w:rsidR="00791F09" w:rsidRPr="00791F09">
        <w:rPr>
          <w:rStyle w:val="AERbody"/>
          <w:rFonts w:asciiTheme="minorHAnsi" w:hAnsiTheme="minorHAnsi"/>
        </w:rPr>
        <w:tab/>
      </w:r>
      <w:r w:rsidR="00791F09" w:rsidRPr="00791F09">
        <w:rPr>
          <w:rStyle w:val="AERbody"/>
          <w:rFonts w:asciiTheme="minorHAnsi" w:hAnsiTheme="minorHAnsi"/>
        </w:rPr>
        <w:tab/>
      </w:r>
      <w:r w:rsidR="00791F09" w:rsidRPr="00791F09">
        <w:t>is the final carryover amount from the application of the DMIS from the 2010–15 distribution determination. This amount will be deducted from/added to allowed revenue in the 2016-17 pricing proposal.</w:t>
      </w:r>
    </w:p>
    <w:p w:rsidR="00791F09" w:rsidRPr="00791F09" w:rsidRDefault="00924A8F" w:rsidP="003925CE">
      <w:pPr>
        <w:spacing w:before="120" w:line="276" w:lineRule="auto"/>
      </w:pPr>
      <m:oMath>
        <m:sSub>
          <m:sSubPr>
            <m:ctrlPr>
              <w:rPr>
                <w:rFonts w:ascii="Cambria Math" w:hAnsi="Cambria Math"/>
              </w:rPr>
            </m:ctrlPr>
          </m:sSubPr>
          <m:e>
            <m:r>
              <w:rPr>
                <w:rFonts w:ascii="Cambria Math" w:hAnsi="Cambria Math"/>
              </w:rPr>
              <m:t>C</m:t>
            </m:r>
          </m:e>
          <m:sub>
            <m:r>
              <w:rPr>
                <w:rFonts w:ascii="Cambria Math" w:hAnsi="Cambria Math"/>
              </w:rPr>
              <m:t>t</m:t>
            </m:r>
          </m:sub>
        </m:sSub>
      </m:oMath>
      <w:r w:rsidR="00791F09" w:rsidRPr="00791F09">
        <w:tab/>
      </w:r>
      <w:r w:rsidR="00791F09" w:rsidRPr="00791F09">
        <w:tab/>
        <w:t>is the approved pass through amounts (positive or negative) with respect to regulatory year t, as determined by the AER.</w:t>
      </w:r>
    </w:p>
    <w:p w:rsidR="00791F09" w:rsidRPr="00791F09" w:rsidRDefault="00791F09" w:rsidP="003925CE">
      <w:pPr>
        <w:spacing w:before="120" w:line="276" w:lineRule="auto"/>
      </w:pPr>
      <m:oMath>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t</m:t>
            </m:r>
          </m:sub>
        </m:sSub>
      </m:oMath>
      <w:r w:rsidRPr="00791F09">
        <w:tab/>
        <w:t>is the annual percentage change in the Australian Bureau of Statistics (ABS) Consumer Price Index All Groups, Weighted Average of Eight Capital Cities from December in year t–2 to December in year t–1. For example, for the 2015–16 year, t–2 is December 2013 and t–1 is December 2014 and in the 2016–17 year, t–2 is December 2014 and t–1 is December 2015 and so on.</w:t>
      </w:r>
    </w:p>
    <w:p w:rsidR="00791F09" w:rsidRDefault="00924A8F" w:rsidP="003925CE">
      <w:pPr>
        <w:spacing w:before="120" w:line="276" w:lineRule="auto"/>
      </w:pPr>
      <m:oMath>
        <m:sSub>
          <m:sSubPr>
            <m:ctrlPr>
              <w:rPr>
                <w:rFonts w:ascii="Cambria Math" w:hAnsi="Cambria Math"/>
              </w:rPr>
            </m:ctrlPr>
          </m:sSubPr>
          <m:e>
            <m:r>
              <w:rPr>
                <w:rFonts w:ascii="Cambria Math" w:hAnsi="Cambria Math"/>
              </w:rPr>
              <m:t>X</m:t>
            </m:r>
          </m:e>
          <m:sub>
            <m:r>
              <w:rPr>
                <w:rFonts w:ascii="Cambria Math" w:hAnsi="Cambria Math"/>
              </w:rPr>
              <m:t>t</m:t>
            </m:r>
          </m:sub>
        </m:sSub>
      </m:oMath>
      <w:r w:rsidR="00791F09" w:rsidRPr="00791F09">
        <w:tab/>
      </w:r>
      <w:r w:rsidR="00791F09" w:rsidRPr="00791F09">
        <w:tab/>
        <w:t>the smoothing factor determined in accordance with the PTRM as approved in the AER's final decision, and annually revised for the return on debt update in accordance with the formula specified in the return on debt appendix I calculated for the relevant year.</w:t>
      </w:r>
    </w:p>
    <w:p w:rsidR="00791F09" w:rsidRDefault="00924A8F" w:rsidP="003925CE">
      <w:pPr>
        <w:spacing w:before="120" w:line="276" w:lineRule="auto"/>
      </w:pPr>
      <m:oMath>
        <m:sSub>
          <m:sSubPr>
            <m:ctrlPr>
              <w:rPr>
                <w:rFonts w:ascii="Cambria Math" w:hAnsi="Cambria Math"/>
              </w:rPr>
            </m:ctrlPr>
          </m:sSubPr>
          <m:e>
            <m:r>
              <w:rPr>
                <w:rFonts w:ascii="Cambria Math" w:hAnsi="Cambria Math"/>
              </w:rPr>
              <m:t>S</m:t>
            </m:r>
          </m:e>
          <m:sub>
            <m:r>
              <w:rPr>
                <w:rFonts w:ascii="Cambria Math" w:hAnsi="Cambria Math"/>
              </w:rPr>
              <m:t>t</m:t>
            </m:r>
          </m:sub>
        </m:sSub>
      </m:oMath>
      <w:r w:rsidR="00791F09" w:rsidRPr="00791F09">
        <w:tab/>
      </w:r>
      <w:r w:rsidR="00791F09" w:rsidRPr="00791F09">
        <w:tab/>
        <w:t>is the STPIS factor sum of the raw s-factors for all reliability of supply and customer service parameters (as applicable) to be applied in year t.</w:t>
      </w:r>
      <w:r w:rsidR="00791F09" w:rsidRPr="00791F09">
        <w:rPr>
          <w:rStyle w:val="FootnoteReference"/>
        </w:rPr>
        <w:footnoteReference w:id="3"/>
      </w:r>
      <w:r w:rsidR="00791F09" w:rsidRPr="00791F09">
        <w:t xml:space="preserve"> </w:t>
      </w:r>
    </w:p>
    <w:p w:rsidR="00791F09" w:rsidRDefault="00791F09" w:rsidP="00791F09">
      <w:pPr>
        <w:spacing w:line="276" w:lineRule="auto"/>
      </w:pPr>
    </w:p>
    <w:p w:rsidR="00791F09" w:rsidRDefault="00791F09" w:rsidP="00791F09">
      <w:pPr>
        <w:spacing w:line="276" w:lineRule="auto"/>
      </w:pPr>
    </w:p>
    <w:p w:rsidR="00791F09" w:rsidRDefault="00791F09" w:rsidP="00791F09">
      <w:pPr>
        <w:spacing w:line="276" w:lineRule="auto"/>
      </w:pPr>
    </w:p>
    <w:p w:rsidR="00791F09" w:rsidRDefault="00791F09" w:rsidP="00791F09">
      <w:pPr>
        <w:spacing w:line="276" w:lineRule="auto"/>
      </w:pPr>
    </w:p>
    <w:p w:rsidR="00791F09" w:rsidRDefault="00791F09" w:rsidP="00791F09">
      <w:pPr>
        <w:spacing w:line="276" w:lineRule="auto"/>
      </w:pPr>
    </w:p>
    <w:p w:rsidR="00791F09" w:rsidRPr="00791F09" w:rsidRDefault="00791F09" w:rsidP="00791F09">
      <w:pPr>
        <w:spacing w:line="276" w:lineRule="auto"/>
      </w:pPr>
    </w:p>
    <w:p w:rsidR="0044594F" w:rsidRPr="00927302" w:rsidRDefault="0044594F" w:rsidP="009A26B4">
      <w:pPr>
        <w:pStyle w:val="Heading3"/>
      </w:pPr>
      <w:r w:rsidRPr="00927302">
        <w:t>Side constraint</w:t>
      </w:r>
      <w:bookmarkEnd w:id="18"/>
      <w:r w:rsidRPr="00927302">
        <w:t xml:space="preserve"> for standard control services</w:t>
      </w:r>
      <w:bookmarkEnd w:id="19"/>
    </w:p>
    <w:p w:rsidR="00791F09" w:rsidRPr="00791F09" w:rsidRDefault="00EA36E3" w:rsidP="00791F09">
      <w:r>
        <w:t>SA Power Networks</w:t>
      </w:r>
      <w:r w:rsidR="00791F09" w:rsidRPr="00791F09">
        <w:t xml:space="preserve"> must demonstrate in its pricing proposal that proposed DUoS prices for the next year (t) will meet the side constraints formula for each tariff class</w:t>
      </w:r>
      <w:r w:rsidR="00791F09" w:rsidRPr="00791F09">
        <w:rPr>
          <w:rStyle w:val="FootnoteReference"/>
        </w:rPr>
        <w:footnoteReference w:id="4"/>
      </w:r>
      <w:r w:rsidR="00791F09" w:rsidRPr="00791F09">
        <w:t>.</w:t>
      </w:r>
    </w:p>
    <w:p w:rsidR="00791F09" w:rsidRPr="00791F09" w:rsidRDefault="00791F09" w:rsidP="00791F09"/>
    <w:p w:rsidR="00791F09" w:rsidRDefault="00791F09" w:rsidP="00791F09">
      <w:pPr>
        <w:pStyle w:val="Caption"/>
        <w:rPr>
          <w:sz w:val="22"/>
        </w:rPr>
      </w:pPr>
      <w:r w:rsidRPr="00791F09">
        <w:rPr>
          <w:sz w:val="22"/>
        </w:rPr>
        <w:t>Side constraints</w:t>
      </w:r>
    </w:p>
    <w:p w:rsidR="00791F09" w:rsidRPr="00791F09" w:rsidRDefault="00791F09" w:rsidP="00791F09"/>
    <w:p w:rsidR="00791F09" w:rsidRPr="00791F09" w:rsidRDefault="00791F09" w:rsidP="00791F09">
      <w:r w:rsidRPr="00791F09">
        <w:object w:dxaOrig="628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2.45pt;height:67.25pt" o:ole="">
            <v:imagedata r:id="rId24" o:title=""/>
          </v:shape>
          <o:OLEObject Type="Embed" ProgID="Equation.3" ShapeID="_x0000_i1027" DrawAspect="Content" ObjectID="_1494142493" r:id="rId25"/>
        </w:object>
      </w:r>
    </w:p>
    <w:p w:rsidR="00791F09" w:rsidRPr="00791F09" w:rsidRDefault="00791F09" w:rsidP="003C07A2">
      <w:pPr>
        <w:numPr>
          <w:ilvl w:val="0"/>
          <w:numId w:val="41"/>
        </w:numPr>
        <w:spacing w:before="200" w:line="276" w:lineRule="auto"/>
      </w:pPr>
      <w:r w:rsidRPr="00791F09">
        <w:t>where each tariff class has up to ‘m’ components, and where:</w:t>
      </w:r>
    </w:p>
    <w:p w:rsidR="00791F09" w:rsidRPr="00791F09" w:rsidRDefault="00924A8F" w:rsidP="00791F09">
      <w:pPr>
        <w:spacing w:line="276" w:lineRule="auto"/>
      </w:pPr>
      <m:oMath>
        <m:sSubSup>
          <m:sSubSupPr>
            <m:ctrlPr>
              <w:rPr>
                <w:rStyle w:val="AERbody"/>
                <w:rFonts w:ascii="Cambria Math" w:hAnsiTheme="minorHAnsi"/>
                <w:i/>
              </w:rPr>
            </m:ctrlPr>
          </m:sSubSupPr>
          <m:e>
            <m:r>
              <w:rPr>
                <w:rStyle w:val="AERbody"/>
                <w:rFonts w:ascii="Cambria Math" w:hAnsi="Cambria Math"/>
              </w:rPr>
              <m:t>d</m:t>
            </m:r>
          </m:e>
          <m:sub>
            <m:r>
              <w:rPr>
                <w:rStyle w:val="AERbody"/>
                <w:rFonts w:ascii="Cambria Math" w:hAnsi="Cambria Math"/>
              </w:rPr>
              <m:t>t</m:t>
            </m:r>
          </m:sub>
          <m:sup>
            <m:r>
              <w:rPr>
                <w:rStyle w:val="AERbody"/>
                <w:rFonts w:ascii="Cambria Math" w:hAnsi="Cambria Math"/>
              </w:rPr>
              <m:t>j</m:t>
            </m:r>
          </m:sup>
        </m:sSubSup>
      </m:oMath>
      <w:r w:rsidR="00791F09" w:rsidRPr="00791F09">
        <w:t xml:space="preserve"> </w:t>
      </w:r>
      <w:r w:rsidR="00791F09" w:rsidRPr="00791F09">
        <w:tab/>
      </w:r>
      <w:r w:rsidR="00791F09" w:rsidRPr="00791F09">
        <w:tab/>
        <w:t>is the proposed price for component ‘j’ of the tariff class for year t</w:t>
      </w:r>
    </w:p>
    <w:p w:rsidR="00791F09" w:rsidRPr="00791F09" w:rsidRDefault="00924A8F" w:rsidP="00791F09">
      <w:pPr>
        <w:spacing w:line="276" w:lineRule="auto"/>
      </w:pPr>
      <m:oMath>
        <m:sSubSup>
          <m:sSubSupPr>
            <m:ctrlPr>
              <w:rPr>
                <w:rStyle w:val="AERbody"/>
                <w:rFonts w:ascii="Cambria Math" w:hAnsiTheme="minorHAnsi"/>
                <w:i/>
              </w:rPr>
            </m:ctrlPr>
          </m:sSubSupPr>
          <m:e>
            <m:r>
              <w:rPr>
                <w:rStyle w:val="AERbody"/>
                <w:rFonts w:ascii="Cambria Math" w:hAnsi="Cambria Math"/>
              </w:rPr>
              <m:t>d</m:t>
            </m:r>
          </m:e>
          <m:sub>
            <m:r>
              <w:rPr>
                <w:rStyle w:val="AERbody"/>
                <w:rFonts w:ascii="Cambria Math" w:hAnsi="Cambria Math"/>
              </w:rPr>
              <m:t>t</m:t>
            </m:r>
            <m:r>
              <w:rPr>
                <w:rStyle w:val="AERbody"/>
                <w:rFonts w:asciiTheme="minorHAnsi" w:hAnsiTheme="minorHAnsi"/>
              </w:rPr>
              <m:t>-</m:t>
            </m:r>
            <m:r>
              <w:rPr>
                <w:rStyle w:val="AERbody"/>
                <w:rFonts w:ascii="Cambria Math" w:hAnsiTheme="minorHAnsi"/>
              </w:rPr>
              <m:t>1</m:t>
            </m:r>
          </m:sub>
          <m:sup>
            <m:r>
              <w:rPr>
                <w:rStyle w:val="AERbody"/>
                <w:rFonts w:ascii="Cambria Math" w:hAnsi="Cambria Math"/>
              </w:rPr>
              <m:t>j</m:t>
            </m:r>
          </m:sup>
        </m:sSubSup>
      </m:oMath>
      <w:r w:rsidR="00791F09" w:rsidRPr="00791F09">
        <w:rPr>
          <w:rStyle w:val="AERbody"/>
          <w:rFonts w:asciiTheme="minorHAnsi" w:hAnsiTheme="minorHAnsi"/>
        </w:rPr>
        <w:tab/>
      </w:r>
      <w:r w:rsidR="00791F09" w:rsidRPr="00791F09">
        <w:rPr>
          <w:rStyle w:val="AERbody"/>
          <w:rFonts w:asciiTheme="minorHAnsi" w:hAnsiTheme="minorHAnsi"/>
        </w:rPr>
        <w:tab/>
      </w:r>
      <w:r w:rsidR="00791F09" w:rsidRPr="00791F09">
        <w:t xml:space="preserve">is the price charged by </w:t>
      </w:r>
      <w:r w:rsidR="00EA36E3">
        <w:t>SA Power Networks</w:t>
      </w:r>
      <w:r w:rsidR="00791F09" w:rsidRPr="00791F09">
        <w:t xml:space="preserve"> for component ‘</w:t>
      </w:r>
      <w:r w:rsidR="003925CE">
        <w:t xml:space="preserve">j’ of the tariff class in year </w:t>
      </w:r>
      <w:r w:rsidR="00791F09" w:rsidRPr="00791F09">
        <w:t>t–1</w:t>
      </w:r>
    </w:p>
    <w:p w:rsidR="00791F09" w:rsidRPr="00791F09" w:rsidRDefault="00924A8F" w:rsidP="00791F09">
      <w:pPr>
        <w:spacing w:line="276" w:lineRule="auto"/>
      </w:pPr>
      <m:oMath>
        <m:sSubSup>
          <m:sSubSupPr>
            <m:ctrlPr>
              <w:rPr>
                <w:rStyle w:val="AERbody"/>
                <w:rFonts w:ascii="Cambria Math" w:hAnsiTheme="minorHAnsi"/>
                <w:i/>
              </w:rPr>
            </m:ctrlPr>
          </m:sSubSupPr>
          <m:e>
            <m:r>
              <w:rPr>
                <w:rStyle w:val="AERbody"/>
                <w:rFonts w:ascii="Cambria Math" w:hAnsi="Cambria Math"/>
              </w:rPr>
              <m:t>q</m:t>
            </m:r>
          </m:e>
          <m:sub>
            <m:r>
              <w:rPr>
                <w:rStyle w:val="AERbody"/>
                <w:rFonts w:ascii="Cambria Math" w:hAnsi="Cambria Math"/>
              </w:rPr>
              <m:t>t</m:t>
            </m:r>
          </m:sub>
          <m:sup>
            <m:r>
              <w:rPr>
                <w:rStyle w:val="AERbody"/>
                <w:rFonts w:ascii="Cambria Math" w:hAnsi="Cambria Math"/>
              </w:rPr>
              <m:t>j</m:t>
            </m:r>
          </m:sup>
        </m:sSubSup>
      </m:oMath>
      <w:r w:rsidR="00791F09" w:rsidRPr="00791F09">
        <w:t xml:space="preserve"> </w:t>
      </w:r>
      <w:r w:rsidR="00791F09" w:rsidRPr="00791F09">
        <w:tab/>
      </w:r>
      <w:r w:rsidR="00791F09" w:rsidRPr="00791F09">
        <w:tab/>
        <w:t>is the forecast quantity of component ‘j’ of the tariff class in year t</w:t>
      </w:r>
    </w:p>
    <w:p w:rsidR="00791F09" w:rsidRPr="00791F09" w:rsidRDefault="00791F09" w:rsidP="00791F09">
      <w:pPr>
        <w:spacing w:line="276" w:lineRule="auto"/>
      </w:pPr>
      <m:oMath>
        <m:r>
          <w:rPr>
            <w:rFonts w:ascii="Cambria Math" w:hAnsi="Cambria Math"/>
          </w:rPr>
          <m:t>∆</m:t>
        </m:r>
        <m:sSub>
          <m:sSubPr>
            <m:ctrlPr>
              <w:rPr>
                <w:rFonts w:ascii="Cambria Math" w:hAnsi="Cambria Math"/>
              </w:rPr>
            </m:ctrlPr>
          </m:sSubPr>
          <m:e>
            <m:r>
              <w:rPr>
                <w:rFonts w:ascii="Cambria Math" w:hAnsi="Cambria Math"/>
              </w:rPr>
              <m:t>CPI</m:t>
            </m:r>
          </m:e>
          <m:sub>
            <m:r>
              <w:rPr>
                <w:rFonts w:ascii="Cambria Math" w:hAnsi="Cambria Math"/>
              </w:rPr>
              <m:t>t</m:t>
            </m:r>
          </m:sub>
        </m:sSub>
      </m:oMath>
      <w:r w:rsidRPr="00791F09">
        <w:tab/>
        <w:t>is the annual percentage change in the Australian Bureau of Statistics (ABS) CPI All Groups, Weighted Average of Eight Capital Cities from December in year t-2 to December in year t-1.</w:t>
      </w:r>
    </w:p>
    <w:p w:rsidR="00791F09" w:rsidRPr="00791F09" w:rsidRDefault="00924A8F" w:rsidP="00791F09">
      <w:pPr>
        <w:spacing w:line="276" w:lineRule="auto"/>
      </w:pPr>
      <m:oMath>
        <m:sSub>
          <m:sSubPr>
            <m:ctrlPr>
              <w:rPr>
                <w:rStyle w:val="AERbody"/>
                <w:rFonts w:ascii="Cambria Math" w:hAnsiTheme="minorHAnsi"/>
                <w:i/>
              </w:rPr>
            </m:ctrlPr>
          </m:sSubPr>
          <m:e>
            <m:r>
              <w:rPr>
                <w:rStyle w:val="AERbody"/>
                <w:rFonts w:ascii="Cambria Math" w:hAnsi="Cambria Math"/>
              </w:rPr>
              <m:t>X</m:t>
            </m:r>
          </m:e>
          <m:sub>
            <m:r>
              <w:rPr>
                <w:rStyle w:val="AERbody"/>
                <w:rFonts w:ascii="Cambria Math" w:hAnsi="Cambria Math"/>
              </w:rPr>
              <m:t>t</m:t>
            </m:r>
          </m:sub>
        </m:sSub>
      </m:oMath>
      <w:r w:rsidR="00791F09" w:rsidRPr="00791F09">
        <w:rPr>
          <w:rStyle w:val="AERbody"/>
          <w:rFonts w:asciiTheme="minorHAnsi" w:hAnsiTheme="minorHAnsi"/>
        </w:rPr>
        <w:t xml:space="preserve"> </w:t>
      </w:r>
      <w:r w:rsidR="00791F09" w:rsidRPr="00791F09">
        <w:rPr>
          <w:rStyle w:val="AERbody"/>
          <w:rFonts w:asciiTheme="minorHAnsi" w:hAnsiTheme="minorHAnsi"/>
        </w:rPr>
        <w:tab/>
      </w:r>
      <w:r w:rsidR="00791F09" w:rsidRPr="00791F09">
        <w:rPr>
          <w:rStyle w:val="AERbody"/>
          <w:rFonts w:asciiTheme="minorHAnsi" w:hAnsiTheme="minorHAnsi"/>
        </w:rPr>
        <w:tab/>
        <w:t xml:space="preserve">is </w:t>
      </w:r>
      <w:r w:rsidR="00791F09" w:rsidRPr="00791F09">
        <w:t>the smoothing factor determined in accordance with the PTRM as approved in the AER's final decision, and annually revised for the return on debt update in accordance with the formula specified in the return on debt appendix I calculated for the relevant year. If X&gt;0, then X will be set equal to zero for the purposes of the side constraint formula</w:t>
      </w:r>
    </w:p>
    <w:p w:rsidR="00791F09" w:rsidRDefault="00924A8F" w:rsidP="00791F09">
      <w:pPr>
        <w:spacing w:line="276" w:lineRule="auto"/>
        <w:rPr>
          <w:rStyle w:val="AERbody"/>
          <w:rFonts w:asciiTheme="minorHAnsi" w:hAnsiTheme="minorHAnsi"/>
        </w:rPr>
      </w:pPr>
      <m:oMath>
        <m:sSub>
          <m:sSubPr>
            <m:ctrlPr>
              <w:rPr>
                <w:rStyle w:val="AERbody"/>
                <w:rFonts w:ascii="Cambria Math" w:hAnsiTheme="minorHAnsi"/>
                <w:i/>
              </w:rPr>
            </m:ctrlPr>
          </m:sSubPr>
          <m:e>
            <m:r>
              <w:rPr>
                <w:rStyle w:val="AERbody"/>
                <w:rFonts w:ascii="Cambria Math" w:hAnsi="Cambria Math"/>
              </w:rPr>
              <m:t>S</m:t>
            </m:r>
          </m:e>
          <m:sub>
            <m:r>
              <w:rPr>
                <w:rStyle w:val="AERbody"/>
                <w:rFonts w:ascii="Cambria Math" w:hAnsi="Cambria Math"/>
              </w:rPr>
              <m:t>t</m:t>
            </m:r>
          </m:sub>
        </m:sSub>
      </m:oMath>
      <w:r w:rsidR="00791F09" w:rsidRPr="00791F09">
        <w:rPr>
          <w:rStyle w:val="AERbody"/>
          <w:rFonts w:asciiTheme="minorHAnsi" w:hAnsiTheme="minorHAnsi"/>
        </w:rPr>
        <w:tab/>
      </w:r>
      <w:r w:rsidR="00791F09" w:rsidRPr="00791F09">
        <w:rPr>
          <w:rStyle w:val="AERbody"/>
          <w:rFonts w:asciiTheme="minorHAnsi" w:hAnsiTheme="minorHAnsi"/>
        </w:rPr>
        <w:tab/>
        <w:t>is the STPIS factor sum of the raw s-factors for all reliability of supply and customer service parameters (as applicable) to be applied in year t.</w:t>
      </w:r>
      <w:r w:rsidR="00791F09" w:rsidRPr="00791F09">
        <w:rPr>
          <w:rStyle w:val="FootnoteReference"/>
        </w:rPr>
        <w:footnoteReference w:id="5"/>
      </w:r>
    </w:p>
    <w:p w:rsidR="00791F09" w:rsidRPr="00791F09" w:rsidRDefault="00791F09" w:rsidP="00791F09">
      <w:pPr>
        <w:spacing w:line="276" w:lineRule="auto"/>
        <w:rPr>
          <w:rStyle w:val="AERbody"/>
          <w:rFonts w:asciiTheme="minorHAnsi" w:hAnsiTheme="minorHAnsi"/>
        </w:rPr>
      </w:pPr>
      <w:r w:rsidRPr="00791F09">
        <w:rPr>
          <w:rStyle w:val="AERbody"/>
          <w:rFonts w:asciiTheme="minorHAnsi" w:hAnsiTheme="minorHAnsi"/>
        </w:rPr>
        <w:object w:dxaOrig="279" w:dyaOrig="380">
          <v:shape id="_x0000_i1028" type="#_x0000_t75" style="width:14.25pt;height:19.7pt" o:ole="">
            <v:imagedata r:id="rId26" o:title=""/>
          </v:shape>
          <o:OLEObject Type="Embed" ProgID="Equation.3" ShapeID="_x0000_i1028" DrawAspect="Content" ObjectID="_1494142494" r:id="rId27"/>
        </w:object>
      </w:r>
      <w:r w:rsidRPr="00791F09">
        <w:rPr>
          <w:rStyle w:val="AERbody"/>
          <w:rFonts w:asciiTheme="minorHAnsi" w:hAnsiTheme="minorHAnsi"/>
        </w:rPr>
        <w:tab/>
      </w:r>
      <w:r w:rsidRPr="00791F09">
        <w:rPr>
          <w:rStyle w:val="AERbody"/>
          <w:rFonts w:asciiTheme="minorHAnsi" w:hAnsiTheme="minorHAnsi"/>
        </w:rPr>
        <w:tab/>
      </w:r>
      <w:r w:rsidRPr="00791F09">
        <w:t>is the final carryover amount from the application of the DMIS from the 2010–15 distribution determination. This amount will be deducted from/added to allowed revenue in the 2016-17 pricing proposal.</w:t>
      </w:r>
    </w:p>
    <w:p w:rsidR="00791F09" w:rsidRPr="00791F09" w:rsidRDefault="00791F09" w:rsidP="00791F09">
      <w:pPr>
        <w:spacing w:line="276" w:lineRule="auto"/>
      </w:pPr>
      <w:r w:rsidRPr="00791F09">
        <w:rPr>
          <w:rStyle w:val="AERbody"/>
          <w:rFonts w:asciiTheme="minorHAnsi" w:hAnsiTheme="minorHAnsi"/>
        </w:rPr>
        <w:object w:dxaOrig="320" w:dyaOrig="380">
          <v:shape id="_x0000_i1029" type="#_x0000_t75" style="width:15.6pt;height:19.7pt" o:ole="">
            <v:imagedata r:id="rId28" o:title=""/>
          </v:shape>
          <o:OLEObject Type="Embed" ProgID="Equation.3" ShapeID="_x0000_i1029" DrawAspect="Content" ObjectID="_1494142495" r:id="rId29"/>
        </w:object>
      </w:r>
      <w:r w:rsidRPr="00791F09">
        <w:rPr>
          <w:rStyle w:val="AERbody"/>
          <w:rFonts w:asciiTheme="minorHAnsi" w:hAnsiTheme="minorHAnsi"/>
        </w:rPr>
        <w:tab/>
      </w:r>
      <w:r w:rsidRPr="00791F09">
        <w:rPr>
          <w:rStyle w:val="AERbody"/>
          <w:rFonts w:asciiTheme="minorHAnsi" w:hAnsiTheme="minorHAnsi"/>
        </w:rPr>
        <w:tab/>
      </w:r>
      <w:r w:rsidRPr="00791F09">
        <w:t>is the sum of adjustments relating to pass through events.</w:t>
      </w:r>
    </w:p>
    <w:p w:rsidR="00791F09" w:rsidRDefault="00924A8F" w:rsidP="00791F09">
      <w:pPr>
        <w:spacing w:line="276" w:lineRule="auto"/>
      </w:pPr>
      <m:oMath>
        <m:sSub>
          <m:sSubPr>
            <m:ctrlPr>
              <w:rPr>
                <w:rStyle w:val="AERbody"/>
                <w:rFonts w:ascii="Cambria Math" w:hAnsiTheme="minorHAnsi"/>
                <w:i/>
              </w:rPr>
            </m:ctrlPr>
          </m:sSubPr>
          <m:e>
            <m:r>
              <w:rPr>
                <w:rStyle w:val="AERbody"/>
                <w:rFonts w:ascii="Cambria Math" w:hAnsi="Cambria Math"/>
              </w:rPr>
              <m:t>DUoS</m:t>
            </m:r>
          </m:e>
          <m:sub>
            <m:r>
              <w:rPr>
                <w:rStyle w:val="AERbody"/>
                <w:rFonts w:ascii="Cambria Math" w:hAnsi="Cambria Math"/>
              </w:rPr>
              <m:t>t</m:t>
            </m:r>
          </m:sub>
        </m:sSub>
      </m:oMath>
      <w:r w:rsidR="00791F09" w:rsidRPr="00791F09">
        <w:rPr>
          <w:rStyle w:val="AERbody"/>
          <w:rFonts w:asciiTheme="minorHAnsi" w:hAnsiTheme="minorHAnsi"/>
        </w:rPr>
        <w:t xml:space="preserve"> </w:t>
      </w:r>
      <w:r w:rsidR="00791F09" w:rsidRPr="00791F09">
        <w:t>is an annual adjustment factor related to the balance of the DUoS unders and overs account with respect to regulatory year t</w:t>
      </w:r>
    </w:p>
    <w:p w:rsidR="00791F09" w:rsidRPr="00791F09" w:rsidRDefault="00791F09" w:rsidP="00791F09">
      <w:pPr>
        <w:spacing w:line="240" w:lineRule="auto"/>
      </w:pPr>
    </w:p>
    <w:p w:rsidR="00791F09" w:rsidRPr="00791F09" w:rsidRDefault="00791F09" w:rsidP="00791F09">
      <w:pPr>
        <w:spacing w:line="240" w:lineRule="auto"/>
      </w:pPr>
      <w:r w:rsidRPr="00791F09">
        <w:t>With the exception of the CPI and X factors, the percentage for each of the other factors above can be calculated by dividing the incremental revenues (as used in the total annual revenue formula) for each factor by the expected revenues for regulatory year t–1 (based on the prices in year t–1 multiplied by the forecast quantities for year t).</w:t>
      </w:r>
    </w:p>
    <w:p w:rsidR="009A26B4" w:rsidRPr="00927302" w:rsidRDefault="009A26B4" w:rsidP="0044594F"/>
    <w:p w:rsidR="0044594F" w:rsidRPr="00927302" w:rsidRDefault="0044594F" w:rsidP="009A26B4">
      <w:pPr>
        <w:pStyle w:val="Heading3"/>
      </w:pPr>
      <w:bookmarkStart w:id="21" w:name="_Ref167503289"/>
      <w:r w:rsidRPr="00927302">
        <w:t>Revenue requirement and pricing X factors for standard control services</w:t>
      </w:r>
      <w:bookmarkEnd w:id="21"/>
    </w:p>
    <w:p w:rsidR="0044594F" w:rsidRPr="00927302" w:rsidRDefault="00740796" w:rsidP="00740796">
      <w:pPr>
        <w:spacing w:after="120"/>
      </w:pPr>
      <w:r w:rsidRPr="00740796">
        <w:t>Attachment 1</w:t>
      </w:r>
      <w:r w:rsidR="0044594F" w:rsidRPr="00740796">
        <w:t xml:space="preserve"> of the Decision contain</w:t>
      </w:r>
      <w:r w:rsidRPr="00740796">
        <w:t>s</w:t>
      </w:r>
      <w:r w:rsidR="0044594F" w:rsidRPr="00927302">
        <w:t xml:space="preserve"> </w:t>
      </w:r>
      <w:r w:rsidR="00EA36E3">
        <w:t>SA Power Networks</w:t>
      </w:r>
      <w:r w:rsidR="0044594F" w:rsidRPr="00927302">
        <w:t>’</w:t>
      </w:r>
      <w:r w:rsidR="00C305C0">
        <w:t xml:space="preserve"> </w:t>
      </w:r>
      <w:r>
        <w:t xml:space="preserve">standard control service </w:t>
      </w:r>
      <w:r w:rsidR="00C305C0">
        <w:t xml:space="preserve">2015/16 smoothed </w:t>
      </w:r>
      <w:r w:rsidR="0044594F" w:rsidRPr="00927302">
        <w:t xml:space="preserve">revenue requirements </w:t>
      </w:r>
      <w:r>
        <w:t>of $</w:t>
      </w:r>
      <w:r w:rsidR="0093085E">
        <w:t>68</w:t>
      </w:r>
      <w:r>
        <w:t>2 M</w:t>
      </w:r>
      <w:r w:rsidR="00C305C0">
        <w:t xml:space="preserve"> and revenue X factors for subsequent years</w:t>
      </w:r>
      <w:r>
        <w:t xml:space="preserve">.  Attachment 16 contains </w:t>
      </w:r>
      <w:r w:rsidR="001B6579">
        <w:t>alternative control</w:t>
      </w:r>
      <w:r w:rsidR="00C305C0">
        <w:t xml:space="preserve"> metering services </w:t>
      </w:r>
      <w:r>
        <w:t>prices</w:t>
      </w:r>
      <w:r w:rsidR="00C305C0">
        <w:t xml:space="preserve"> for 2015/16</w:t>
      </w:r>
      <w:r>
        <w:t xml:space="preserve"> and</w:t>
      </w:r>
      <w:r w:rsidR="0044594F" w:rsidRPr="00927302">
        <w:t xml:space="preserve"> </w:t>
      </w:r>
      <w:r w:rsidR="00C305C0">
        <w:t xml:space="preserve">price </w:t>
      </w:r>
      <w:r w:rsidR="0044594F" w:rsidRPr="008A0D63">
        <w:rPr>
          <w:i/>
        </w:rPr>
        <w:t>X</w:t>
      </w:r>
      <w:r w:rsidR="0044594F" w:rsidRPr="00927302">
        <w:t xml:space="preserve"> factors for</w:t>
      </w:r>
      <w:r w:rsidR="00C305C0">
        <w:t xml:space="preserve"> subsequent years</w:t>
      </w:r>
      <w:r w:rsidR="0044594F" w:rsidRPr="00927302">
        <w:t xml:space="preserve">.  </w:t>
      </w:r>
      <w:r w:rsidR="00C305C0">
        <w:t>The AER’s October 2015 Final Decision will amend those X factors for subsequent years.</w:t>
      </w:r>
    </w:p>
    <w:p w:rsidR="009A26B4" w:rsidRPr="00927302" w:rsidRDefault="009A26B4" w:rsidP="009A26B4">
      <w:pPr>
        <w:spacing w:line="240" w:lineRule="auto"/>
      </w:pPr>
    </w:p>
    <w:p w:rsidR="0044594F" w:rsidRDefault="0044594F" w:rsidP="009A26B4">
      <w:pPr>
        <w:pStyle w:val="Heading3"/>
      </w:pPr>
      <w:bookmarkStart w:id="22" w:name="_Ref133744185"/>
      <w:bookmarkStart w:id="23" w:name="_Ref132083397"/>
      <w:r w:rsidRPr="00927302">
        <w:t>Price Cap for alternative control services</w:t>
      </w:r>
      <w:bookmarkEnd w:id="22"/>
    </w:p>
    <w:p w:rsidR="003925CE" w:rsidRDefault="003925CE" w:rsidP="00791F09">
      <w:pPr>
        <w:rPr>
          <w:lang w:bidi="en-US"/>
        </w:rPr>
      </w:pPr>
      <w:r>
        <w:rPr>
          <w:lang w:bidi="en-US"/>
        </w:rPr>
        <w:t xml:space="preserve">The AER’s </w:t>
      </w:r>
      <w:r w:rsidR="00477C39">
        <w:rPr>
          <w:lang w:bidi="en-US"/>
        </w:rPr>
        <w:t>Preliminary Decision</w:t>
      </w:r>
      <w:r>
        <w:rPr>
          <w:lang w:bidi="en-US"/>
        </w:rPr>
        <w:t xml:space="preserve"> has set the annual metering charges for 2015/16.  </w:t>
      </w:r>
    </w:p>
    <w:p w:rsidR="003925CE" w:rsidRDefault="003925CE" w:rsidP="003925CE">
      <w:pPr>
        <w:pStyle w:val="ListParagraph"/>
        <w:numPr>
          <w:ilvl w:val="0"/>
          <w:numId w:val="43"/>
        </w:numPr>
        <w:rPr>
          <w:lang w:bidi="en-US"/>
        </w:rPr>
      </w:pPr>
      <w:r>
        <w:rPr>
          <w:lang w:bidi="en-US"/>
        </w:rPr>
        <w:t xml:space="preserve">Most small customers will incur the non-capital and capital charges, typically for a type 5-6 WC manually read meter with quarterly readings.  There are other charges for CT meters and Exceptional meters supplied by </w:t>
      </w:r>
      <w:r w:rsidR="00EA36E3">
        <w:rPr>
          <w:lang w:bidi="en-US"/>
        </w:rPr>
        <w:t>SA Power Networks</w:t>
      </w:r>
      <w:r>
        <w:rPr>
          <w:lang w:bidi="en-US"/>
        </w:rPr>
        <w:t xml:space="preserve">.  </w:t>
      </w:r>
    </w:p>
    <w:p w:rsidR="003925CE" w:rsidRDefault="003925CE" w:rsidP="003925CE">
      <w:pPr>
        <w:pStyle w:val="ListParagraph"/>
        <w:numPr>
          <w:ilvl w:val="0"/>
          <w:numId w:val="42"/>
        </w:numPr>
        <w:rPr>
          <w:lang w:bidi="en-US"/>
        </w:rPr>
      </w:pPr>
      <w:r>
        <w:rPr>
          <w:lang w:bidi="en-US"/>
        </w:rPr>
        <w:t xml:space="preserve">Customers who do not use </w:t>
      </w:r>
      <w:r w:rsidR="00EA36E3">
        <w:rPr>
          <w:lang w:bidi="en-US"/>
        </w:rPr>
        <w:t>SA Power Networks</w:t>
      </w:r>
      <w:r>
        <w:rPr>
          <w:lang w:bidi="en-US"/>
        </w:rPr>
        <w:t xml:space="preserve">’ meters </w:t>
      </w:r>
      <w:r w:rsidR="0093085E">
        <w:rPr>
          <w:lang w:bidi="en-US"/>
        </w:rPr>
        <w:t>at June 2015 continue to</w:t>
      </w:r>
      <w:r>
        <w:rPr>
          <w:lang w:bidi="en-US"/>
        </w:rPr>
        <w:t xml:space="preserve"> not get a charge.  </w:t>
      </w:r>
    </w:p>
    <w:p w:rsidR="003925CE" w:rsidRDefault="003925CE" w:rsidP="003925CE">
      <w:pPr>
        <w:pStyle w:val="ListParagraph"/>
        <w:numPr>
          <w:ilvl w:val="0"/>
          <w:numId w:val="42"/>
        </w:numPr>
        <w:rPr>
          <w:lang w:bidi="en-US"/>
        </w:rPr>
      </w:pPr>
      <w:r>
        <w:rPr>
          <w:lang w:bidi="en-US"/>
        </w:rPr>
        <w:t xml:space="preserve">Customers who switch to another meter provider from July 2015 will still incur the capital-related charge.  </w:t>
      </w:r>
    </w:p>
    <w:p w:rsidR="00791F09" w:rsidRDefault="003925CE" w:rsidP="003925CE">
      <w:pPr>
        <w:pStyle w:val="ListParagraph"/>
        <w:numPr>
          <w:ilvl w:val="0"/>
          <w:numId w:val="42"/>
        </w:numPr>
        <w:rPr>
          <w:lang w:bidi="en-US"/>
        </w:rPr>
      </w:pPr>
      <w:r>
        <w:rPr>
          <w:lang w:bidi="en-US"/>
        </w:rPr>
        <w:t xml:space="preserve">New customers from July 2015 electing to use an </w:t>
      </w:r>
      <w:r w:rsidR="00EA36E3">
        <w:rPr>
          <w:lang w:bidi="en-US"/>
        </w:rPr>
        <w:t>SA Power Networks</w:t>
      </w:r>
      <w:r>
        <w:rPr>
          <w:lang w:bidi="en-US"/>
        </w:rPr>
        <w:t>’ meter will incur the upfront capital charge, as well as the ongoing non-capital charge.</w:t>
      </w:r>
    </w:p>
    <w:p w:rsidR="003925CE" w:rsidRDefault="003925CE" w:rsidP="003925CE">
      <w:pPr>
        <w:rPr>
          <w:lang w:bidi="en-US"/>
        </w:rPr>
      </w:pPr>
    </w:p>
    <w:p w:rsidR="003925CE" w:rsidRDefault="003925CE" w:rsidP="003925CE">
      <w:pPr>
        <w:rPr>
          <w:lang w:bidi="en-US"/>
        </w:rPr>
      </w:pPr>
      <w:r>
        <w:rPr>
          <w:lang w:bidi="en-US"/>
        </w:rPr>
        <w:t>Metering charges are discussed further later in this pricing proposal.</w:t>
      </w:r>
    </w:p>
    <w:p w:rsidR="003C07A2" w:rsidRPr="00791F09" w:rsidRDefault="003C07A2" w:rsidP="00791F09">
      <w:pPr>
        <w:rPr>
          <w:lang w:bidi="en-US"/>
        </w:rPr>
      </w:pPr>
    </w:p>
    <w:bookmarkEnd w:id="23"/>
    <w:p w:rsidR="00791F09" w:rsidRPr="00791F09" w:rsidRDefault="002229DE" w:rsidP="00791F09">
      <w:pPr>
        <w:pStyle w:val="Caption"/>
      </w:pPr>
      <w:r>
        <w:t>AER T</w:t>
      </w:r>
      <w:r w:rsidR="00791F09" w:rsidRPr="00791F09">
        <w:t xml:space="preserve">able </w:t>
      </w:r>
      <w:r w:rsidR="00924A8F">
        <w:fldChar w:fldCharType="begin"/>
      </w:r>
      <w:r w:rsidR="00924A8F">
        <w:instrText xml:space="preserve"> STYLEREF 1 \s </w:instrText>
      </w:r>
      <w:r w:rsidR="00924A8F">
        <w:fldChar w:fldCharType="separate"/>
      </w:r>
      <w:r w:rsidR="00A81AFE">
        <w:rPr>
          <w:noProof/>
        </w:rPr>
        <w:t>2</w:t>
      </w:r>
      <w:r w:rsidR="00924A8F">
        <w:rPr>
          <w:noProof/>
        </w:rPr>
        <w:fldChar w:fldCharType="end"/>
      </w:r>
      <w:r w:rsidR="00791F09" w:rsidRPr="00791F09">
        <w:t>.</w:t>
      </w:r>
      <w:r w:rsidR="00575C9A">
        <w:fldChar w:fldCharType="begin"/>
      </w:r>
      <w:r w:rsidR="00972847">
        <w:instrText xml:space="preserve"> SEQ Table \* ARABIC \s 1 </w:instrText>
      </w:r>
      <w:r w:rsidR="00575C9A">
        <w:fldChar w:fldCharType="separate"/>
      </w:r>
      <w:r w:rsidR="00A81AFE">
        <w:rPr>
          <w:noProof/>
        </w:rPr>
        <w:t>1</w:t>
      </w:r>
      <w:r w:rsidR="00575C9A">
        <w:fldChar w:fldCharType="end"/>
      </w:r>
      <w:r w:rsidR="00791F09" w:rsidRPr="00791F09">
        <w:tab/>
        <w:t xml:space="preserve">Annual metering charge – </w:t>
      </w:r>
      <w:r w:rsidR="00477C39">
        <w:t>Preliminary Decision</w:t>
      </w:r>
      <w:r w:rsidR="00791F09" w:rsidRPr="00791F09">
        <w:t xml:space="preserve"> ($ nominal)</w:t>
      </w:r>
      <w:r w:rsidR="00791F09" w:rsidRPr="00791F09">
        <w:rPr>
          <w:rStyle w:val="FootnoteReference"/>
        </w:rPr>
        <w:footnoteReference w:id="6"/>
      </w:r>
    </w:p>
    <w:tbl>
      <w:tblPr>
        <w:tblStyle w:val="AERtable-numbers"/>
        <w:tblW w:w="5000" w:type="pct"/>
        <w:tblLook w:val="04A0" w:firstRow="1" w:lastRow="0" w:firstColumn="1" w:lastColumn="0" w:noHBand="0" w:noVBand="1"/>
      </w:tblPr>
      <w:tblGrid>
        <w:gridCol w:w="1463"/>
        <w:gridCol w:w="1228"/>
        <w:gridCol w:w="1484"/>
        <w:gridCol w:w="1322"/>
        <w:gridCol w:w="1322"/>
        <w:gridCol w:w="1270"/>
        <w:gridCol w:w="1198"/>
      </w:tblGrid>
      <w:tr w:rsidR="00791F09" w:rsidRPr="00791F09" w:rsidTr="00791F0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7" w:type="pct"/>
          </w:tcPr>
          <w:p w:rsidR="00791F09" w:rsidRPr="00791F09" w:rsidRDefault="00791F09" w:rsidP="00791F09">
            <w:r w:rsidRPr="00791F09">
              <w:t>Tariff class</w:t>
            </w:r>
          </w:p>
        </w:tc>
        <w:tc>
          <w:tcPr>
            <w:tcW w:w="661" w:type="pct"/>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Costs</w:t>
            </w:r>
          </w:p>
        </w:tc>
        <w:tc>
          <w:tcPr>
            <w:tcW w:w="799" w:type="pct"/>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2015/16</w:t>
            </w:r>
          </w:p>
        </w:tc>
        <w:tc>
          <w:tcPr>
            <w:tcW w:w="712" w:type="pct"/>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2016/17</w:t>
            </w:r>
          </w:p>
        </w:tc>
        <w:tc>
          <w:tcPr>
            <w:tcW w:w="712" w:type="pct"/>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2017/18</w:t>
            </w:r>
          </w:p>
        </w:tc>
        <w:tc>
          <w:tcPr>
            <w:tcW w:w="684" w:type="pct"/>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2018/19</w:t>
            </w:r>
          </w:p>
        </w:tc>
        <w:tc>
          <w:tcPr>
            <w:tcW w:w="645" w:type="pct"/>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2019/20</w:t>
            </w:r>
          </w:p>
        </w:tc>
      </w:tr>
      <w:tr w:rsidR="00791F09" w:rsidRPr="00791F09" w:rsidTr="00791F09">
        <w:trPr>
          <w:trHeight w:val="424"/>
        </w:trPr>
        <w:tc>
          <w:tcPr>
            <w:cnfStyle w:val="001000000000" w:firstRow="0" w:lastRow="0" w:firstColumn="1" w:lastColumn="0" w:oddVBand="0" w:evenVBand="0" w:oddHBand="0" w:evenHBand="0" w:firstRowFirstColumn="0" w:firstRowLastColumn="0" w:lastRowFirstColumn="0" w:lastRowLastColumn="0"/>
            <w:tcW w:w="787" w:type="pct"/>
            <w:vMerge w:val="restart"/>
          </w:tcPr>
          <w:p w:rsidR="00791F09" w:rsidRPr="00791F09" w:rsidRDefault="00791F09" w:rsidP="00791F09">
            <w:r w:rsidRPr="00791F09">
              <w:t>Type 1–4 ‘Exceptional’ remotely read interval meter</w:t>
            </w:r>
          </w:p>
        </w:tc>
        <w:tc>
          <w:tcPr>
            <w:tcW w:w="661" w:type="pct"/>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Non–capital</w:t>
            </w:r>
          </w:p>
        </w:tc>
        <w:tc>
          <w:tcPr>
            <w:tcW w:w="799"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135.07</w:t>
            </w:r>
          </w:p>
        </w:tc>
        <w:tc>
          <w:tcPr>
            <w:tcW w:w="712"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138.51</w:t>
            </w:r>
          </w:p>
        </w:tc>
        <w:tc>
          <w:tcPr>
            <w:tcW w:w="712"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142.05</w:t>
            </w:r>
          </w:p>
        </w:tc>
        <w:tc>
          <w:tcPr>
            <w:tcW w:w="684"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145.67</w:t>
            </w:r>
          </w:p>
        </w:tc>
        <w:tc>
          <w:tcPr>
            <w:tcW w:w="645"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149.38</w:t>
            </w:r>
          </w:p>
        </w:tc>
      </w:tr>
      <w:tr w:rsidR="00791F09" w:rsidRPr="00791F09" w:rsidTr="00791F0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787" w:type="pct"/>
            <w:vMerge/>
          </w:tcPr>
          <w:p w:rsidR="00791F09" w:rsidRPr="00791F09" w:rsidRDefault="00791F09" w:rsidP="00791F09"/>
        </w:tc>
        <w:tc>
          <w:tcPr>
            <w:tcW w:w="661" w:type="pct"/>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Capital</w:t>
            </w:r>
          </w:p>
        </w:tc>
        <w:tc>
          <w:tcPr>
            <w:tcW w:w="799"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176.18</w:t>
            </w:r>
          </w:p>
        </w:tc>
        <w:tc>
          <w:tcPr>
            <w:tcW w:w="712"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180.67</w:t>
            </w:r>
          </w:p>
        </w:tc>
        <w:tc>
          <w:tcPr>
            <w:tcW w:w="712"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185.28</w:t>
            </w:r>
          </w:p>
        </w:tc>
        <w:tc>
          <w:tcPr>
            <w:tcW w:w="684"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190.00</w:t>
            </w:r>
          </w:p>
        </w:tc>
        <w:tc>
          <w:tcPr>
            <w:tcW w:w="645"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194.84</w:t>
            </w:r>
          </w:p>
        </w:tc>
      </w:tr>
      <w:tr w:rsidR="00791F09" w:rsidRPr="00791F09" w:rsidTr="00791F09">
        <w:trPr>
          <w:trHeight w:val="424"/>
        </w:trPr>
        <w:tc>
          <w:tcPr>
            <w:cnfStyle w:val="001000000000" w:firstRow="0" w:lastRow="0" w:firstColumn="1" w:lastColumn="0" w:oddVBand="0" w:evenVBand="0" w:oddHBand="0" w:evenHBand="0" w:firstRowFirstColumn="0" w:firstRowLastColumn="0" w:lastRowFirstColumn="0" w:lastRowLastColumn="0"/>
            <w:tcW w:w="787" w:type="pct"/>
            <w:vMerge w:val="restart"/>
          </w:tcPr>
          <w:p w:rsidR="00791F09" w:rsidRPr="00791F09" w:rsidRDefault="00791F09" w:rsidP="00791F09">
            <w:r w:rsidRPr="00791F09">
              <w:t>Type 5–6 CT connected manually read meter</w:t>
            </w:r>
          </w:p>
        </w:tc>
        <w:tc>
          <w:tcPr>
            <w:tcW w:w="661" w:type="pct"/>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Non–capital</w:t>
            </w:r>
          </w:p>
        </w:tc>
        <w:tc>
          <w:tcPr>
            <w:tcW w:w="799"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73.52</w:t>
            </w:r>
          </w:p>
        </w:tc>
        <w:tc>
          <w:tcPr>
            <w:tcW w:w="712"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75.40</w:t>
            </w:r>
          </w:p>
        </w:tc>
        <w:tc>
          <w:tcPr>
            <w:tcW w:w="712"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77.32</w:t>
            </w:r>
          </w:p>
        </w:tc>
        <w:tc>
          <w:tcPr>
            <w:tcW w:w="684"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79.29</w:t>
            </w:r>
          </w:p>
        </w:tc>
        <w:tc>
          <w:tcPr>
            <w:tcW w:w="645"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81.32</w:t>
            </w:r>
          </w:p>
        </w:tc>
      </w:tr>
      <w:tr w:rsidR="00791F09" w:rsidRPr="00791F09" w:rsidTr="00791F0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787" w:type="pct"/>
            <w:vMerge/>
          </w:tcPr>
          <w:p w:rsidR="00791F09" w:rsidRPr="00791F09" w:rsidRDefault="00791F09" w:rsidP="00791F09"/>
        </w:tc>
        <w:tc>
          <w:tcPr>
            <w:tcW w:w="661" w:type="pct"/>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Capital</w:t>
            </w:r>
          </w:p>
        </w:tc>
        <w:tc>
          <w:tcPr>
            <w:tcW w:w="799"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95.90</w:t>
            </w:r>
          </w:p>
        </w:tc>
        <w:tc>
          <w:tcPr>
            <w:tcW w:w="712"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98.35</w:t>
            </w:r>
          </w:p>
        </w:tc>
        <w:tc>
          <w:tcPr>
            <w:tcW w:w="712"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100.85</w:t>
            </w:r>
          </w:p>
        </w:tc>
        <w:tc>
          <w:tcPr>
            <w:tcW w:w="684"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103.42</w:t>
            </w:r>
          </w:p>
        </w:tc>
        <w:tc>
          <w:tcPr>
            <w:tcW w:w="645"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106.06</w:t>
            </w:r>
          </w:p>
        </w:tc>
      </w:tr>
      <w:tr w:rsidR="00791F09" w:rsidRPr="00791F09" w:rsidTr="00791F09">
        <w:trPr>
          <w:trHeight w:val="405"/>
        </w:trPr>
        <w:tc>
          <w:tcPr>
            <w:cnfStyle w:val="001000000000" w:firstRow="0" w:lastRow="0" w:firstColumn="1" w:lastColumn="0" w:oddVBand="0" w:evenVBand="0" w:oddHBand="0" w:evenHBand="0" w:firstRowFirstColumn="0" w:firstRowLastColumn="0" w:lastRowFirstColumn="0" w:lastRowLastColumn="0"/>
            <w:tcW w:w="787" w:type="pct"/>
            <w:vMerge w:val="restart"/>
          </w:tcPr>
          <w:p w:rsidR="00791F09" w:rsidRPr="00791F09" w:rsidRDefault="00791F09" w:rsidP="00791F09">
            <w:r w:rsidRPr="00791F09">
              <w:t>Type 5–6 WC manually read meter</w:t>
            </w:r>
          </w:p>
        </w:tc>
        <w:tc>
          <w:tcPr>
            <w:tcW w:w="661" w:type="pct"/>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Non–capital</w:t>
            </w:r>
          </w:p>
        </w:tc>
        <w:tc>
          <w:tcPr>
            <w:tcW w:w="799"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8.98</w:t>
            </w:r>
          </w:p>
        </w:tc>
        <w:tc>
          <w:tcPr>
            <w:tcW w:w="712"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9.21</w:t>
            </w:r>
          </w:p>
        </w:tc>
        <w:tc>
          <w:tcPr>
            <w:tcW w:w="712"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9.44</w:t>
            </w:r>
          </w:p>
        </w:tc>
        <w:tc>
          <w:tcPr>
            <w:tcW w:w="684"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9.68</w:t>
            </w:r>
          </w:p>
        </w:tc>
        <w:tc>
          <w:tcPr>
            <w:tcW w:w="645" w:type="pct"/>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9.93</w:t>
            </w:r>
          </w:p>
        </w:tc>
      </w:tr>
      <w:tr w:rsidR="00791F09" w:rsidRPr="00791F09" w:rsidTr="00791F0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787" w:type="pct"/>
            <w:vMerge/>
          </w:tcPr>
          <w:p w:rsidR="00791F09" w:rsidRPr="00791F09" w:rsidRDefault="00791F09" w:rsidP="00791F09"/>
        </w:tc>
        <w:tc>
          <w:tcPr>
            <w:tcW w:w="661" w:type="pct"/>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Capital</w:t>
            </w:r>
          </w:p>
        </w:tc>
        <w:tc>
          <w:tcPr>
            <w:tcW w:w="799"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11.71</w:t>
            </w:r>
          </w:p>
        </w:tc>
        <w:tc>
          <w:tcPr>
            <w:tcW w:w="712"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12.01</w:t>
            </w:r>
          </w:p>
        </w:tc>
        <w:tc>
          <w:tcPr>
            <w:tcW w:w="712"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12.32</w:t>
            </w:r>
          </w:p>
        </w:tc>
        <w:tc>
          <w:tcPr>
            <w:tcW w:w="684"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12.63</w:t>
            </w:r>
          </w:p>
        </w:tc>
        <w:tc>
          <w:tcPr>
            <w:tcW w:w="645" w:type="pct"/>
            <w:vAlign w:val="bottom"/>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12.95</w:t>
            </w:r>
          </w:p>
        </w:tc>
      </w:tr>
    </w:tbl>
    <w:p w:rsidR="00791F09" w:rsidRPr="00791F09" w:rsidRDefault="00791F09" w:rsidP="00791F09">
      <w:pPr>
        <w:pStyle w:val="Caption"/>
      </w:pPr>
    </w:p>
    <w:p w:rsidR="00791F09" w:rsidRPr="00791F09" w:rsidRDefault="002229DE" w:rsidP="00791F09">
      <w:pPr>
        <w:pStyle w:val="Caption"/>
      </w:pPr>
      <w:r>
        <w:t xml:space="preserve">AER </w:t>
      </w:r>
      <w:r w:rsidR="00791F09" w:rsidRPr="00791F09">
        <w:t xml:space="preserve">Table </w:t>
      </w:r>
      <w:r w:rsidR="00924A8F">
        <w:fldChar w:fldCharType="begin"/>
      </w:r>
      <w:r w:rsidR="00924A8F">
        <w:instrText xml:space="preserve"> STYLEREF 1 \s </w:instrText>
      </w:r>
      <w:r w:rsidR="00924A8F">
        <w:fldChar w:fldCharType="separate"/>
      </w:r>
      <w:r w:rsidR="00A81AFE">
        <w:rPr>
          <w:noProof/>
        </w:rPr>
        <w:t>2</w:t>
      </w:r>
      <w:r w:rsidR="00924A8F">
        <w:rPr>
          <w:noProof/>
        </w:rPr>
        <w:fldChar w:fldCharType="end"/>
      </w:r>
      <w:r w:rsidR="00791F09" w:rsidRPr="00791F09">
        <w:t>.</w:t>
      </w:r>
      <w:r w:rsidR="00575C9A">
        <w:fldChar w:fldCharType="begin"/>
      </w:r>
      <w:r w:rsidR="00972847">
        <w:instrText xml:space="preserve"> SEQ Table \* ARABIC \s 1 </w:instrText>
      </w:r>
      <w:r w:rsidR="00575C9A">
        <w:fldChar w:fldCharType="separate"/>
      </w:r>
      <w:r w:rsidR="00A81AFE">
        <w:rPr>
          <w:noProof/>
        </w:rPr>
        <w:t>2</w:t>
      </w:r>
      <w:r w:rsidR="00575C9A">
        <w:fldChar w:fldCharType="end"/>
      </w:r>
      <w:r w:rsidR="00791F09" w:rsidRPr="00791F09">
        <w:tab/>
        <w:t xml:space="preserve">AER </w:t>
      </w:r>
      <w:r w:rsidR="00477C39">
        <w:t>Preliminary Decision</w:t>
      </w:r>
      <w:r w:rsidR="00791F09" w:rsidRPr="00791F09">
        <w:t xml:space="preserve"> X factors for annual metering charges (per cent)</w:t>
      </w:r>
      <w:r w:rsidR="00791F09" w:rsidRPr="00791F09">
        <w:rPr>
          <w:rStyle w:val="FootnoteReference"/>
        </w:rPr>
        <w:t xml:space="preserve"> 6</w:t>
      </w:r>
    </w:p>
    <w:tbl>
      <w:tblPr>
        <w:tblStyle w:val="AERtable-numbers"/>
        <w:tblW w:w="0" w:type="auto"/>
        <w:tblLook w:val="04A0" w:firstRow="1" w:lastRow="0" w:firstColumn="1" w:lastColumn="0" w:noHBand="0" w:noVBand="1"/>
      </w:tblPr>
      <w:tblGrid>
        <w:gridCol w:w="1737"/>
        <w:gridCol w:w="1739"/>
        <w:gridCol w:w="1739"/>
        <w:gridCol w:w="1739"/>
        <w:gridCol w:w="1739"/>
      </w:tblGrid>
      <w:tr w:rsidR="00791F09" w:rsidRPr="00791F09" w:rsidTr="0079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Pr>
          <w:p w:rsidR="00791F09" w:rsidRPr="00791F09" w:rsidRDefault="00791F09" w:rsidP="00791F09"/>
        </w:tc>
        <w:tc>
          <w:tcPr>
            <w:tcW w:w="173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2016–17</w:t>
            </w:r>
          </w:p>
        </w:tc>
        <w:tc>
          <w:tcPr>
            <w:tcW w:w="173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2017–18</w:t>
            </w:r>
          </w:p>
        </w:tc>
        <w:tc>
          <w:tcPr>
            <w:tcW w:w="173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2018–19</w:t>
            </w:r>
          </w:p>
        </w:tc>
        <w:tc>
          <w:tcPr>
            <w:tcW w:w="173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2019–20</w:t>
            </w:r>
          </w:p>
        </w:tc>
      </w:tr>
      <w:tr w:rsidR="00791F09" w:rsidRPr="00791F09" w:rsidTr="00791F09">
        <w:tc>
          <w:tcPr>
            <w:cnfStyle w:val="001000000000" w:firstRow="0" w:lastRow="0" w:firstColumn="1" w:lastColumn="0" w:oddVBand="0" w:evenVBand="0" w:oddHBand="0" w:evenHBand="0" w:firstRowFirstColumn="0" w:firstRowLastColumn="0" w:lastRowFirstColumn="0" w:lastRowLastColumn="0"/>
            <w:tcW w:w="1737" w:type="dxa"/>
          </w:tcPr>
          <w:p w:rsidR="00791F09" w:rsidRPr="00791F09" w:rsidRDefault="00791F09" w:rsidP="00791F09">
            <w:r w:rsidRPr="00791F09">
              <w:t>X factor</w:t>
            </w:r>
          </w:p>
        </w:tc>
        <w:tc>
          <w:tcPr>
            <w:tcW w:w="1739" w:type="dxa"/>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w:t>
            </w:r>
          </w:p>
        </w:tc>
        <w:tc>
          <w:tcPr>
            <w:tcW w:w="1739" w:type="dxa"/>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w:t>
            </w:r>
          </w:p>
        </w:tc>
        <w:tc>
          <w:tcPr>
            <w:tcW w:w="1739" w:type="dxa"/>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w:t>
            </w:r>
          </w:p>
        </w:tc>
        <w:tc>
          <w:tcPr>
            <w:tcW w:w="1739" w:type="dxa"/>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w:t>
            </w:r>
          </w:p>
        </w:tc>
      </w:tr>
    </w:tbl>
    <w:p w:rsidR="00791F09" w:rsidRPr="00791F09" w:rsidRDefault="00791F09" w:rsidP="00791F09">
      <w:pPr>
        <w:pStyle w:val="Caption"/>
      </w:pPr>
    </w:p>
    <w:p w:rsidR="00791F09" w:rsidRPr="00791F09" w:rsidRDefault="002229DE" w:rsidP="00791F09">
      <w:pPr>
        <w:pStyle w:val="Caption"/>
      </w:pPr>
      <w:r>
        <w:t xml:space="preserve">AER </w:t>
      </w:r>
      <w:r w:rsidR="00791F09" w:rsidRPr="00791F09">
        <w:t xml:space="preserve">Table </w:t>
      </w:r>
      <w:r w:rsidR="00924A8F">
        <w:fldChar w:fldCharType="begin"/>
      </w:r>
      <w:r w:rsidR="00924A8F">
        <w:instrText xml:space="preserve"> STYLEREF 1 \s </w:instrText>
      </w:r>
      <w:r w:rsidR="00924A8F">
        <w:fldChar w:fldCharType="separate"/>
      </w:r>
      <w:r w:rsidR="00A81AFE">
        <w:rPr>
          <w:noProof/>
        </w:rPr>
        <w:t>2</w:t>
      </w:r>
      <w:r w:rsidR="00924A8F">
        <w:rPr>
          <w:noProof/>
        </w:rPr>
        <w:fldChar w:fldCharType="end"/>
      </w:r>
      <w:r w:rsidR="00791F09" w:rsidRPr="00791F09">
        <w:t>.</w:t>
      </w:r>
      <w:r w:rsidR="00575C9A">
        <w:fldChar w:fldCharType="begin"/>
      </w:r>
      <w:r w:rsidR="00972847">
        <w:instrText xml:space="preserve"> SEQ Table \* ARABIC \s 1 </w:instrText>
      </w:r>
      <w:r w:rsidR="00575C9A">
        <w:fldChar w:fldCharType="separate"/>
      </w:r>
      <w:r w:rsidR="00A81AFE">
        <w:rPr>
          <w:noProof/>
        </w:rPr>
        <w:t>3</w:t>
      </w:r>
      <w:r w:rsidR="00575C9A">
        <w:fldChar w:fldCharType="end"/>
      </w:r>
      <w:r w:rsidR="00791F09" w:rsidRPr="00791F09">
        <w:tab/>
        <w:t xml:space="preserve">Upfront capital charges – </w:t>
      </w:r>
      <w:r w:rsidR="00477C39">
        <w:t>Preliminary Decision</w:t>
      </w:r>
      <w:r w:rsidR="00791F09" w:rsidRPr="00791F09">
        <w:rPr>
          <w:rStyle w:val="FootnoteReference"/>
        </w:rPr>
        <w:t>6</w:t>
      </w:r>
    </w:p>
    <w:tbl>
      <w:tblPr>
        <w:tblStyle w:val="AERtable-numbers"/>
        <w:tblW w:w="0" w:type="auto"/>
        <w:tblLook w:val="04A0" w:firstRow="1" w:lastRow="0" w:firstColumn="1" w:lastColumn="0" w:noHBand="0" w:noVBand="1"/>
      </w:tblPr>
      <w:tblGrid>
        <w:gridCol w:w="4346"/>
        <w:gridCol w:w="4347"/>
      </w:tblGrid>
      <w:tr w:rsidR="00791F09" w:rsidRPr="00791F09" w:rsidTr="0079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Meter</w:t>
            </w:r>
          </w:p>
        </w:tc>
        <w:tc>
          <w:tcPr>
            <w:tcW w:w="4347"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Upfront charge ($ Dec 2014)</w:t>
            </w:r>
          </w:p>
        </w:tc>
      </w:tr>
      <w:tr w:rsidR="00791F09" w:rsidRPr="00791F09" w:rsidTr="00791F09">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Type 5</w:t>
            </w:r>
          </w:p>
        </w:tc>
        <w:tc>
          <w:tcPr>
            <w:tcW w:w="4347" w:type="dxa"/>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p>
        </w:tc>
      </w:tr>
      <w:tr w:rsidR="00791F09" w:rsidRPr="00791F09" w:rsidTr="0079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Single element</w:t>
            </w:r>
          </w:p>
        </w:tc>
        <w:tc>
          <w:tcPr>
            <w:tcW w:w="4347" w:type="dxa"/>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160.80</w:t>
            </w:r>
          </w:p>
        </w:tc>
      </w:tr>
      <w:tr w:rsidR="00791F09" w:rsidRPr="00791F09" w:rsidTr="00791F09">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Two element</w:t>
            </w:r>
          </w:p>
        </w:tc>
        <w:tc>
          <w:tcPr>
            <w:tcW w:w="4347" w:type="dxa"/>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230.54</w:t>
            </w:r>
          </w:p>
        </w:tc>
      </w:tr>
      <w:tr w:rsidR="00791F09" w:rsidRPr="00791F09" w:rsidTr="0079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Three phase</w:t>
            </w:r>
          </w:p>
        </w:tc>
        <w:tc>
          <w:tcPr>
            <w:tcW w:w="4347" w:type="dxa"/>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396.43</w:t>
            </w:r>
          </w:p>
        </w:tc>
      </w:tr>
      <w:tr w:rsidR="00791F09" w:rsidRPr="00791F09" w:rsidTr="00791F09">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Type 6</w:t>
            </w:r>
          </w:p>
        </w:tc>
        <w:tc>
          <w:tcPr>
            <w:tcW w:w="4347" w:type="dxa"/>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p>
        </w:tc>
      </w:tr>
      <w:tr w:rsidR="00791F09" w:rsidRPr="00791F09" w:rsidTr="0079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Single element</w:t>
            </w:r>
          </w:p>
        </w:tc>
        <w:tc>
          <w:tcPr>
            <w:tcW w:w="4347" w:type="dxa"/>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100.06</w:t>
            </w:r>
          </w:p>
        </w:tc>
      </w:tr>
      <w:tr w:rsidR="00791F09" w:rsidRPr="00791F09" w:rsidTr="00791F09">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Two element</w:t>
            </w:r>
          </w:p>
        </w:tc>
        <w:tc>
          <w:tcPr>
            <w:tcW w:w="4347" w:type="dxa"/>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254.50</w:t>
            </w:r>
          </w:p>
        </w:tc>
      </w:tr>
      <w:tr w:rsidR="00791F09" w:rsidRPr="00791F09" w:rsidTr="00791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dxa"/>
          </w:tcPr>
          <w:p w:rsidR="00791F09" w:rsidRPr="00791F09" w:rsidRDefault="00791F09" w:rsidP="00791F09">
            <w:r w:rsidRPr="00791F09">
              <w:t>Three phase</w:t>
            </w:r>
          </w:p>
        </w:tc>
        <w:tc>
          <w:tcPr>
            <w:tcW w:w="4347" w:type="dxa"/>
          </w:tcPr>
          <w:p w:rsidR="00791F09" w:rsidRPr="00791F09" w:rsidRDefault="00791F09" w:rsidP="00791F09">
            <w:pPr>
              <w:cnfStyle w:val="000000010000" w:firstRow="0" w:lastRow="0" w:firstColumn="0" w:lastColumn="0" w:oddVBand="0" w:evenVBand="0" w:oddHBand="0" w:evenHBand="1" w:firstRowFirstColumn="0" w:firstRowLastColumn="0" w:lastRowFirstColumn="0" w:lastRowLastColumn="0"/>
            </w:pPr>
            <w:r w:rsidRPr="00791F09">
              <w:t>298.40</w:t>
            </w:r>
          </w:p>
        </w:tc>
      </w:tr>
    </w:tbl>
    <w:p w:rsidR="00791F09" w:rsidRPr="00791F09" w:rsidRDefault="00791F09" w:rsidP="00791F09">
      <w:pPr>
        <w:pStyle w:val="Caption"/>
      </w:pPr>
    </w:p>
    <w:p w:rsidR="00791F09" w:rsidRPr="00791F09" w:rsidRDefault="002229DE" w:rsidP="00791F09">
      <w:pPr>
        <w:pStyle w:val="Caption"/>
      </w:pPr>
      <w:r>
        <w:t xml:space="preserve">AER </w:t>
      </w:r>
      <w:r w:rsidR="00791F09" w:rsidRPr="00791F09">
        <w:t xml:space="preserve">Table </w:t>
      </w:r>
      <w:r w:rsidR="00924A8F">
        <w:fldChar w:fldCharType="begin"/>
      </w:r>
      <w:r w:rsidR="00924A8F">
        <w:instrText xml:space="preserve"> STYLEREF 1 \s </w:instrText>
      </w:r>
      <w:r w:rsidR="00924A8F">
        <w:fldChar w:fldCharType="separate"/>
      </w:r>
      <w:r w:rsidR="00A81AFE">
        <w:rPr>
          <w:noProof/>
        </w:rPr>
        <w:t>2</w:t>
      </w:r>
      <w:r w:rsidR="00924A8F">
        <w:rPr>
          <w:noProof/>
        </w:rPr>
        <w:fldChar w:fldCharType="end"/>
      </w:r>
      <w:r w:rsidR="00791F09" w:rsidRPr="00791F09">
        <w:t>.</w:t>
      </w:r>
      <w:r w:rsidR="00575C9A">
        <w:fldChar w:fldCharType="begin"/>
      </w:r>
      <w:r w:rsidR="00972847">
        <w:instrText xml:space="preserve"> SEQ Table \* ARABIC \s 1 </w:instrText>
      </w:r>
      <w:r w:rsidR="00575C9A">
        <w:fldChar w:fldCharType="separate"/>
      </w:r>
      <w:r w:rsidR="00A81AFE">
        <w:rPr>
          <w:noProof/>
        </w:rPr>
        <w:t>4</w:t>
      </w:r>
      <w:r w:rsidR="00575C9A">
        <w:fldChar w:fldCharType="end"/>
      </w:r>
      <w:r w:rsidR="00791F09" w:rsidRPr="00791F09">
        <w:tab/>
        <w:t xml:space="preserve">AER </w:t>
      </w:r>
      <w:r w:rsidR="00477C39">
        <w:t>Preliminary Decision</w:t>
      </w:r>
      <w:r w:rsidR="00791F09" w:rsidRPr="00791F09">
        <w:t xml:space="preserve"> X factors for upfront capital charge (per cent)</w:t>
      </w:r>
      <w:r w:rsidR="00791F09" w:rsidRPr="00791F09">
        <w:rPr>
          <w:rStyle w:val="FootnoteReference"/>
        </w:rPr>
        <w:t xml:space="preserve"> 6</w:t>
      </w:r>
    </w:p>
    <w:tbl>
      <w:tblPr>
        <w:tblStyle w:val="AERtable-numbers"/>
        <w:tblW w:w="0" w:type="auto"/>
        <w:tblLook w:val="04A0" w:firstRow="1" w:lastRow="0" w:firstColumn="1" w:lastColumn="0" w:noHBand="0" w:noVBand="1"/>
      </w:tblPr>
      <w:tblGrid>
        <w:gridCol w:w="1458"/>
        <w:gridCol w:w="1469"/>
        <w:gridCol w:w="1469"/>
        <w:gridCol w:w="1469"/>
        <w:gridCol w:w="1469"/>
        <w:gridCol w:w="1359"/>
      </w:tblGrid>
      <w:tr w:rsidR="00791F09" w:rsidRPr="00791F09" w:rsidTr="0079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791F09" w:rsidRPr="00791F09" w:rsidRDefault="00791F09" w:rsidP="00791F09"/>
        </w:tc>
        <w:tc>
          <w:tcPr>
            <w:tcW w:w="146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2015–16</w:t>
            </w:r>
          </w:p>
        </w:tc>
        <w:tc>
          <w:tcPr>
            <w:tcW w:w="146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2016–17</w:t>
            </w:r>
          </w:p>
        </w:tc>
        <w:tc>
          <w:tcPr>
            <w:tcW w:w="146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2017–18</w:t>
            </w:r>
          </w:p>
        </w:tc>
        <w:tc>
          <w:tcPr>
            <w:tcW w:w="146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2018–19</w:t>
            </w:r>
          </w:p>
        </w:tc>
        <w:tc>
          <w:tcPr>
            <w:tcW w:w="1359" w:type="dxa"/>
          </w:tcPr>
          <w:p w:rsidR="00791F09" w:rsidRPr="00791F09" w:rsidRDefault="00791F09" w:rsidP="00791F09">
            <w:pPr>
              <w:cnfStyle w:val="100000000000" w:firstRow="1" w:lastRow="0" w:firstColumn="0" w:lastColumn="0" w:oddVBand="0" w:evenVBand="0" w:oddHBand="0" w:evenHBand="0" w:firstRowFirstColumn="0" w:firstRowLastColumn="0" w:lastRowFirstColumn="0" w:lastRowLastColumn="0"/>
            </w:pPr>
            <w:r w:rsidRPr="00791F09">
              <w:t>2019–20</w:t>
            </w:r>
          </w:p>
        </w:tc>
      </w:tr>
      <w:tr w:rsidR="00791F09" w:rsidRPr="003A5DE5" w:rsidTr="00791F09">
        <w:tc>
          <w:tcPr>
            <w:cnfStyle w:val="001000000000" w:firstRow="0" w:lastRow="0" w:firstColumn="1" w:lastColumn="0" w:oddVBand="0" w:evenVBand="0" w:oddHBand="0" w:evenHBand="0" w:firstRowFirstColumn="0" w:firstRowLastColumn="0" w:lastRowFirstColumn="0" w:lastRowLastColumn="0"/>
            <w:tcW w:w="1458" w:type="dxa"/>
          </w:tcPr>
          <w:p w:rsidR="00791F09" w:rsidRPr="00791F09" w:rsidRDefault="00791F09" w:rsidP="00791F09">
            <w:r w:rsidRPr="00791F09">
              <w:t>X factor</w:t>
            </w:r>
          </w:p>
        </w:tc>
        <w:tc>
          <w:tcPr>
            <w:tcW w:w="1469" w:type="dxa"/>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–0.22</w:t>
            </w:r>
          </w:p>
        </w:tc>
        <w:tc>
          <w:tcPr>
            <w:tcW w:w="1469" w:type="dxa"/>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–0.44</w:t>
            </w:r>
          </w:p>
        </w:tc>
        <w:tc>
          <w:tcPr>
            <w:tcW w:w="1469" w:type="dxa"/>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–0.43</w:t>
            </w:r>
          </w:p>
        </w:tc>
        <w:tc>
          <w:tcPr>
            <w:tcW w:w="1469" w:type="dxa"/>
            <w:vAlign w:val="bottom"/>
          </w:tcPr>
          <w:p w:rsidR="00791F09" w:rsidRP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–0.44</w:t>
            </w:r>
          </w:p>
        </w:tc>
        <w:tc>
          <w:tcPr>
            <w:tcW w:w="1359" w:type="dxa"/>
          </w:tcPr>
          <w:p w:rsidR="00791F09" w:rsidRDefault="00791F09" w:rsidP="00791F09">
            <w:pPr>
              <w:cnfStyle w:val="000000000000" w:firstRow="0" w:lastRow="0" w:firstColumn="0" w:lastColumn="0" w:oddVBand="0" w:evenVBand="0" w:oddHBand="0" w:evenHBand="0" w:firstRowFirstColumn="0" w:firstRowLastColumn="0" w:lastRowFirstColumn="0" w:lastRowLastColumn="0"/>
            </w:pPr>
            <w:r w:rsidRPr="00791F09">
              <w:t>–0.46</w:t>
            </w:r>
          </w:p>
        </w:tc>
      </w:tr>
    </w:tbl>
    <w:p w:rsidR="00791F09" w:rsidRPr="003A5DE5" w:rsidRDefault="00791F09" w:rsidP="00791F09"/>
    <w:p w:rsidR="0044594F" w:rsidRPr="00927302" w:rsidRDefault="0044594F" w:rsidP="0044594F">
      <w:pPr>
        <w:pStyle w:val="Heading2"/>
        <w:keepLines w:val="0"/>
        <w:numPr>
          <w:ilvl w:val="1"/>
          <w:numId w:val="16"/>
        </w:numPr>
        <w:tabs>
          <w:tab w:val="left" w:pos="851"/>
        </w:tabs>
        <w:spacing w:after="240" w:line="240" w:lineRule="auto"/>
      </w:pPr>
      <w:bookmarkStart w:id="24" w:name="_Toc420009818"/>
      <w:r w:rsidRPr="00927302">
        <w:t>Publication of information about tariffs and tariff classes</w:t>
      </w:r>
      <w:bookmarkEnd w:id="24"/>
    </w:p>
    <w:p w:rsidR="0044594F" w:rsidRPr="00927302" w:rsidRDefault="0044594F" w:rsidP="0044594F">
      <w:pPr>
        <w:keepNext/>
        <w:spacing w:after="120"/>
      </w:pPr>
      <w:r w:rsidRPr="00927302">
        <w:t xml:space="preserve">Clause 6.18.9 of the Rules requires </w:t>
      </w:r>
      <w:r w:rsidR="00EA36E3">
        <w:t>SA Power Networks</w:t>
      </w:r>
      <w:r w:rsidRPr="00927302">
        <w:t xml:space="preserve"> to publish the following information on its tariffs and tariff classes.</w:t>
      </w: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6.18.9 </w:t>
      </w:r>
      <w:r w:rsidRPr="00927302">
        <w:rPr>
          <w:rFonts w:cs="Arial-BoldMT"/>
          <w:b/>
          <w:bCs/>
          <w:szCs w:val="23"/>
        </w:rPr>
        <w:tab/>
        <w:t>Publication of information about tariffs and tariff classes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 xml:space="preserve">(a) </w:t>
      </w:r>
      <w:r w:rsidRPr="00927302">
        <w:rPr>
          <w:rFonts w:cs="Arial-BoldMT"/>
          <w:szCs w:val="23"/>
        </w:rPr>
        <w:tab/>
        <w:t xml:space="preserve">A </w:t>
      </w:r>
      <w:r w:rsidRPr="00927302">
        <w:rPr>
          <w:rFonts w:cs="Arial-BoldMT"/>
          <w:i/>
          <w:szCs w:val="23"/>
        </w:rPr>
        <w:t>Distribution Network Service Provider</w:t>
      </w:r>
      <w:r w:rsidRPr="00927302">
        <w:rPr>
          <w:rFonts w:cs="Arial-BoldMT"/>
          <w:szCs w:val="23"/>
        </w:rPr>
        <w:t xml:space="preserve"> must maintain on its website:</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 xml:space="preserve">(1) </w:t>
      </w:r>
      <w:r w:rsidRPr="00927302">
        <w:rPr>
          <w:rFonts w:cs="Arial-BoldMT"/>
          <w:szCs w:val="23"/>
        </w:rPr>
        <w:tab/>
        <w:t xml:space="preserve">a statement of the provider's </w:t>
      </w:r>
      <w:r w:rsidRPr="00927302">
        <w:rPr>
          <w:rFonts w:cs="Arial-BoldMT"/>
          <w:i/>
          <w:szCs w:val="23"/>
        </w:rPr>
        <w:t>tariff classes</w:t>
      </w:r>
      <w:r w:rsidRPr="00927302">
        <w:rPr>
          <w:rFonts w:cs="Arial-BoldMT"/>
          <w:szCs w:val="23"/>
        </w:rPr>
        <w:t xml:space="preserve"> and the tariffs applicable to each class; and</w:t>
      </w:r>
    </w:p>
    <w:p w:rsidR="0044594F" w:rsidRPr="00927302" w:rsidRDefault="0044594F" w:rsidP="0044594F">
      <w:pPr>
        <w:tabs>
          <w:tab w:val="left" w:pos="1136"/>
        </w:tabs>
        <w:spacing w:after="120"/>
        <w:ind w:left="1134" w:hanging="567"/>
        <w:rPr>
          <w:rFonts w:cs="Arial-BoldMT"/>
          <w:szCs w:val="23"/>
        </w:rPr>
      </w:pPr>
      <w:r w:rsidRPr="00927302">
        <w:rPr>
          <w:rFonts w:cs="Arial-BoldMT"/>
          <w:szCs w:val="23"/>
        </w:rPr>
        <w:t xml:space="preserve">(2) </w:t>
      </w:r>
      <w:r w:rsidRPr="00927302">
        <w:rPr>
          <w:rFonts w:cs="Arial-BoldMT"/>
          <w:szCs w:val="23"/>
        </w:rPr>
        <w:tab/>
        <w:t xml:space="preserve">for each tariff – the </w:t>
      </w:r>
      <w:r w:rsidRPr="00927302">
        <w:rPr>
          <w:rFonts w:cs="Arial-BoldMT"/>
          <w:i/>
          <w:szCs w:val="23"/>
        </w:rPr>
        <w:t>charging parameters</w:t>
      </w:r>
      <w:r w:rsidRPr="00927302">
        <w:rPr>
          <w:rFonts w:cs="Arial-BoldMT"/>
          <w:szCs w:val="23"/>
        </w:rPr>
        <w:t xml:space="preserve"> and the elements of the service to which each </w:t>
      </w:r>
      <w:r w:rsidRPr="00927302">
        <w:rPr>
          <w:rFonts w:cs="Arial-BoldMT"/>
          <w:i/>
          <w:szCs w:val="23"/>
        </w:rPr>
        <w:t>charging parameter</w:t>
      </w:r>
      <w:r w:rsidRPr="00927302">
        <w:rPr>
          <w:rFonts w:cs="Arial-BoldMT"/>
          <w:szCs w:val="23"/>
        </w:rPr>
        <w:t xml:space="preserve"> relates;</w:t>
      </w:r>
    </w:p>
    <w:p w:rsidR="0044594F" w:rsidRPr="00927302" w:rsidRDefault="0044594F" w:rsidP="0044594F">
      <w:pPr>
        <w:tabs>
          <w:tab w:val="left" w:pos="1136"/>
        </w:tabs>
        <w:spacing w:after="120"/>
        <w:ind w:left="1134" w:hanging="567"/>
        <w:rPr>
          <w:rFonts w:cs="font38"/>
          <w:szCs w:val="23"/>
          <w:lang w:val="en-US"/>
        </w:rPr>
      </w:pPr>
      <w:r w:rsidRPr="00927302">
        <w:rPr>
          <w:rFonts w:cs="font38"/>
          <w:szCs w:val="23"/>
          <w:lang w:val="en-US"/>
        </w:rPr>
        <w:t xml:space="preserve">(3) </w:t>
      </w:r>
      <w:r w:rsidRPr="00927302">
        <w:rPr>
          <w:rFonts w:cs="font38"/>
          <w:szCs w:val="23"/>
          <w:lang w:val="en-US"/>
        </w:rPr>
        <w:tab/>
        <w:t xml:space="preserve">a statement of expected price trends (to be updated for each </w:t>
      </w:r>
      <w:r w:rsidRPr="00927302">
        <w:rPr>
          <w:rFonts w:cs="font38"/>
          <w:i/>
          <w:iCs/>
          <w:szCs w:val="23"/>
          <w:lang w:val="en-US"/>
        </w:rPr>
        <w:t>regulatory year</w:t>
      </w:r>
      <w:r w:rsidRPr="00927302">
        <w:rPr>
          <w:rFonts w:cs="font38"/>
          <w:szCs w:val="23"/>
          <w:lang w:val="en-US"/>
        </w:rPr>
        <w:t xml:space="preserve">) giving an indication of how the </w:t>
      </w:r>
      <w:r w:rsidRPr="00927302">
        <w:rPr>
          <w:rFonts w:cs="font38"/>
          <w:i/>
          <w:iCs/>
          <w:szCs w:val="23"/>
          <w:lang w:val="en-US"/>
        </w:rPr>
        <w:t xml:space="preserve">Distribution Network Service Provider </w:t>
      </w:r>
      <w:r w:rsidRPr="00927302">
        <w:rPr>
          <w:rFonts w:cs="font38"/>
          <w:szCs w:val="23"/>
          <w:lang w:val="en-US"/>
        </w:rPr>
        <w:t xml:space="preserve">expects prices to change over the </w:t>
      </w:r>
      <w:r w:rsidRPr="00927302">
        <w:rPr>
          <w:rFonts w:cs="font38"/>
          <w:i/>
          <w:iCs/>
          <w:szCs w:val="23"/>
          <w:lang w:val="en-US"/>
        </w:rPr>
        <w:t xml:space="preserve">regulatory control period </w:t>
      </w:r>
      <w:r w:rsidRPr="00927302">
        <w:rPr>
          <w:rFonts w:cs="font38"/>
          <w:szCs w:val="23"/>
          <w:lang w:val="en-US"/>
        </w:rPr>
        <w:t>and the reasons for the expected changes.</w:t>
      </w:r>
    </w:p>
    <w:p w:rsidR="0044594F" w:rsidRDefault="0044594F" w:rsidP="0044594F">
      <w:pPr>
        <w:tabs>
          <w:tab w:val="left" w:pos="568"/>
        </w:tabs>
        <w:ind w:left="567" w:hanging="567"/>
        <w:rPr>
          <w:rFonts w:cs="font38"/>
          <w:szCs w:val="23"/>
          <w:lang w:val="en-US"/>
        </w:rPr>
      </w:pPr>
      <w:r w:rsidRPr="00927302">
        <w:rPr>
          <w:rFonts w:cs="font38"/>
          <w:szCs w:val="23"/>
          <w:lang w:val="en-US"/>
        </w:rPr>
        <w:t xml:space="preserve"> (b) </w:t>
      </w:r>
      <w:r w:rsidRPr="00927302">
        <w:rPr>
          <w:rFonts w:cs="font38"/>
          <w:szCs w:val="23"/>
          <w:lang w:val="en-US"/>
        </w:rPr>
        <w:tab/>
        <w:t xml:space="preserve">The information for a particular </w:t>
      </w:r>
      <w:r w:rsidRPr="00927302">
        <w:rPr>
          <w:rFonts w:cs="font38"/>
          <w:i/>
          <w:iCs/>
          <w:szCs w:val="23"/>
          <w:lang w:val="en-US"/>
        </w:rPr>
        <w:t xml:space="preserve">regulatory year </w:t>
      </w:r>
      <w:r w:rsidRPr="00927302">
        <w:rPr>
          <w:rFonts w:cs="font38"/>
          <w:szCs w:val="23"/>
          <w:lang w:val="en-US"/>
        </w:rPr>
        <w:t xml:space="preserve">must, if practicable, be posted on the website 20 </w:t>
      </w:r>
      <w:r w:rsidRPr="00927302">
        <w:rPr>
          <w:rFonts w:cs="font38"/>
          <w:i/>
          <w:iCs/>
          <w:szCs w:val="23"/>
          <w:lang w:val="en-US"/>
        </w:rPr>
        <w:t xml:space="preserve">business days </w:t>
      </w:r>
      <w:r w:rsidRPr="00927302">
        <w:rPr>
          <w:rFonts w:cs="font38"/>
          <w:szCs w:val="23"/>
          <w:lang w:val="en-US"/>
        </w:rPr>
        <w:t xml:space="preserve">before the commencement of the relevant </w:t>
      </w:r>
      <w:r w:rsidRPr="00927302">
        <w:rPr>
          <w:rFonts w:cs="font38"/>
          <w:i/>
          <w:iCs/>
          <w:szCs w:val="23"/>
          <w:lang w:val="en-US"/>
        </w:rPr>
        <w:t xml:space="preserve">regulatory year </w:t>
      </w:r>
      <w:r w:rsidRPr="00927302">
        <w:rPr>
          <w:rFonts w:cs="font38"/>
          <w:szCs w:val="23"/>
          <w:lang w:val="en-US"/>
        </w:rPr>
        <w:t>and, if that is not practicable, as soon as practicable thereafter.</w:t>
      </w:r>
    </w:p>
    <w:p w:rsidR="009A26B4" w:rsidRPr="00927302" w:rsidRDefault="009A26B4" w:rsidP="0044594F">
      <w:pPr>
        <w:tabs>
          <w:tab w:val="left" w:pos="568"/>
        </w:tabs>
        <w:ind w:left="567" w:hanging="567"/>
        <w:rPr>
          <w:rFonts w:cs="font38"/>
          <w:szCs w:val="23"/>
          <w:lang w:val="en-US"/>
        </w:rPr>
      </w:pPr>
    </w:p>
    <w:p w:rsidR="0044594F" w:rsidRPr="00927302" w:rsidRDefault="0044594F" w:rsidP="0044594F">
      <w:r w:rsidRPr="00927302">
        <w:t xml:space="preserve">The information on tariffs and tariff classes contained in the following </w:t>
      </w:r>
      <w:r w:rsidR="000B7F94">
        <w:t>Section</w:t>
      </w:r>
      <w:r w:rsidRPr="00927302">
        <w:t>s of this Pricing Proposal has been prepared and published in conformity with the requirements of this clause.</w:t>
      </w:r>
    </w:p>
    <w:p w:rsidR="0044594F" w:rsidRDefault="0044594F" w:rsidP="0044594F">
      <w:pPr>
        <w:pStyle w:val="Heading1"/>
        <w:keepLines w:val="0"/>
        <w:pageBreakBefore/>
        <w:numPr>
          <w:ilvl w:val="0"/>
          <w:numId w:val="16"/>
        </w:numPr>
        <w:tabs>
          <w:tab w:val="left" w:pos="851"/>
        </w:tabs>
        <w:spacing w:after="240" w:line="240" w:lineRule="auto"/>
      </w:pPr>
      <w:bookmarkStart w:id="25" w:name="_Ref165619819"/>
      <w:bookmarkStart w:id="26" w:name="_Toc420009819"/>
      <w:r w:rsidRPr="00927302">
        <w:t>Business overview</w:t>
      </w:r>
      <w:bookmarkEnd w:id="25"/>
      <w:bookmarkEnd w:id="26"/>
    </w:p>
    <w:p w:rsidR="0044594F" w:rsidRDefault="0044594F" w:rsidP="0044594F">
      <w:r>
        <w:t xml:space="preserve">This </w:t>
      </w:r>
      <w:r w:rsidR="000B7F94">
        <w:t>Section</w:t>
      </w:r>
      <w:r>
        <w:t xml:space="preserve"> of the Pricing Proposal provides contextual information on </w:t>
      </w:r>
      <w:r w:rsidR="00EA36E3">
        <w:t>SA Power Networks</w:t>
      </w:r>
      <w:r>
        <w:t xml:space="preserve">’ business circumstances.  This provides the backdrop both to </w:t>
      </w:r>
      <w:r w:rsidR="00EA36E3">
        <w:t>SA Power Networks</w:t>
      </w:r>
      <w:r>
        <w:t xml:space="preserve">’ existing network tariffs and the rationale for the changes to tariffs that are proposed during the </w:t>
      </w:r>
      <w:r w:rsidR="00D41894">
        <w:t>2015</w:t>
      </w:r>
      <w:r w:rsidR="00F663DB">
        <w:t>-20</w:t>
      </w:r>
      <w:r>
        <w:t xml:space="preserve"> regulatory control period.</w:t>
      </w:r>
    </w:p>
    <w:p w:rsidR="007E2D30" w:rsidRPr="00BA484A" w:rsidRDefault="007E2D30" w:rsidP="0044594F"/>
    <w:p w:rsidR="0044594F" w:rsidRPr="00927302" w:rsidRDefault="00EA36E3" w:rsidP="0044594F">
      <w:pPr>
        <w:pStyle w:val="Heading2"/>
        <w:keepLines w:val="0"/>
        <w:numPr>
          <w:ilvl w:val="1"/>
          <w:numId w:val="16"/>
        </w:numPr>
        <w:tabs>
          <w:tab w:val="left" w:pos="851"/>
        </w:tabs>
        <w:spacing w:after="240" w:line="240" w:lineRule="auto"/>
      </w:pPr>
      <w:bookmarkStart w:id="27" w:name="_Toc420009820"/>
      <w:r>
        <w:t>SA Power Networks</w:t>
      </w:r>
      <w:r w:rsidR="0044594F" w:rsidRPr="00927302">
        <w:t>’ business</w:t>
      </w:r>
      <w:bookmarkEnd w:id="27"/>
    </w:p>
    <w:p w:rsidR="0044594F" w:rsidRDefault="00EA36E3" w:rsidP="0044594F">
      <w:r>
        <w:t>SA Power Networks</w:t>
      </w:r>
      <w:r w:rsidR="0044594F" w:rsidRPr="00F64562">
        <w:t xml:space="preserve">’ distribution network covers the State of South Australia, a vast territory of about 178,200 square </w:t>
      </w:r>
      <w:r w:rsidR="003D7390">
        <w:t>kilometres (km)</w:t>
      </w:r>
      <w:r w:rsidR="0044594F" w:rsidRPr="00F64562">
        <w:t>, with a coastline of over 5,000 km.</w:t>
      </w:r>
    </w:p>
    <w:p w:rsidR="007E2D30" w:rsidRPr="00F64562" w:rsidRDefault="007E2D30" w:rsidP="0044594F"/>
    <w:p w:rsidR="0044594F" w:rsidRDefault="0044594F" w:rsidP="0044594F">
      <w:r w:rsidRPr="00F64562">
        <w:t>The network’s route length extends to more than 87,000 km, with approximately 19% of that length underground. The network includes 403 zone substations, 72,600 distribution transformers, approximately 723,000 poles and 1.1 million meters.</w:t>
      </w:r>
    </w:p>
    <w:p w:rsidR="007E2D30" w:rsidRPr="00F64562" w:rsidRDefault="007E2D30" w:rsidP="0044594F"/>
    <w:p w:rsidR="0044594F" w:rsidRDefault="0044594F" w:rsidP="0044594F">
      <w:r w:rsidRPr="00927302">
        <w:t xml:space="preserve">The extent of </w:t>
      </w:r>
      <w:r w:rsidR="00EA36E3">
        <w:t>SA Power Networks</w:t>
      </w:r>
      <w:r w:rsidRPr="00927302">
        <w:t xml:space="preserve">’ operations in South Australia is shown in </w:t>
      </w:r>
      <w:r>
        <w:t xml:space="preserve">Figure </w:t>
      </w:r>
      <w:r>
        <w:rPr>
          <w:noProof/>
        </w:rPr>
        <w:t>1</w:t>
      </w:r>
      <w:r w:rsidRPr="00927302">
        <w:t>.  The South Australian distribution network is predominantly three-phase, with a single-phase system used mostly in rural and remote areas.  A sub-transmission network supplies and links zone substations, operat</w:t>
      </w:r>
      <w:r>
        <w:t>ing</w:t>
      </w:r>
      <w:r w:rsidRPr="00927302">
        <w:t xml:space="preserve"> at 66 kilovolts (kV) and 33</w:t>
      </w:r>
      <w:r>
        <w:t> </w:t>
      </w:r>
      <w:r w:rsidRPr="00927302">
        <w:t>kV.  In ru</w:t>
      </w:r>
      <w:r>
        <w:t>ral and remote areas the single-</w:t>
      </w:r>
      <w:r w:rsidRPr="00927302">
        <w:t>phase system operates at 19</w:t>
      </w:r>
      <w:r>
        <w:t> </w:t>
      </w:r>
      <w:r w:rsidRPr="00927302">
        <w:t>kV.  Overall, some 30% of the network is comprised of these long ‘single wire earth return’ (SWER) lines.</w:t>
      </w:r>
    </w:p>
    <w:p w:rsidR="007E2D30" w:rsidRPr="00927302" w:rsidRDefault="007E2D30" w:rsidP="0044594F"/>
    <w:p w:rsidR="0044594F" w:rsidRDefault="0044594F" w:rsidP="0044594F">
      <w:r w:rsidRPr="00927302">
        <w:t>In higher density rural and urban locations, the three-phase feeder system operates at 11</w:t>
      </w:r>
      <w:r>
        <w:t> </w:t>
      </w:r>
      <w:r w:rsidRPr="00927302">
        <w:t xml:space="preserve">kV. </w:t>
      </w:r>
      <w:r>
        <w:t xml:space="preserve"> </w:t>
      </w:r>
      <w:r w:rsidRPr="00927302">
        <w:t>The standard low voltage customer supply is 230V at 50Hz.</w:t>
      </w:r>
    </w:p>
    <w:p w:rsidR="007E2D30" w:rsidRDefault="007E2D30" w:rsidP="0044594F"/>
    <w:p w:rsidR="0044594F" w:rsidRPr="00927302" w:rsidRDefault="0044594F" w:rsidP="0044594F">
      <w:pPr>
        <w:pStyle w:val="Heading2"/>
        <w:keepLines w:val="0"/>
        <w:numPr>
          <w:ilvl w:val="1"/>
          <w:numId w:val="16"/>
        </w:numPr>
        <w:tabs>
          <w:tab w:val="left" w:pos="851"/>
        </w:tabs>
        <w:spacing w:after="240" w:line="240" w:lineRule="auto"/>
      </w:pPr>
      <w:bookmarkStart w:id="28" w:name="_Toc262142181"/>
      <w:bookmarkStart w:id="29" w:name="_Toc262142861"/>
      <w:bookmarkStart w:id="30" w:name="_Toc420009821"/>
      <w:bookmarkEnd w:id="28"/>
      <w:bookmarkEnd w:id="29"/>
      <w:r w:rsidRPr="00927302">
        <w:t>State-wide pricing</w:t>
      </w:r>
      <w:bookmarkEnd w:id="30"/>
    </w:p>
    <w:p w:rsidR="0044594F" w:rsidRDefault="0044594F" w:rsidP="0044594F">
      <w:r w:rsidRPr="00927302">
        <w:t xml:space="preserve">The South Australian government has imposed a requirement on </w:t>
      </w:r>
      <w:r w:rsidR="00EA36E3">
        <w:t>SA Power Networks</w:t>
      </w:r>
      <w:r w:rsidRPr="00927302">
        <w:t xml:space="preserve"> to maintain state-wide pricing for small customers (with annual consumption not exceeding 160 MWh)</w:t>
      </w:r>
      <w:r w:rsidRPr="00927302">
        <w:rPr>
          <w:rStyle w:val="FootnoteReference"/>
        </w:rPr>
        <w:footnoteReference w:id="7"/>
      </w:r>
      <w:r w:rsidRPr="00927302">
        <w:t xml:space="preserve">.  As a consequence, all of </w:t>
      </w:r>
      <w:r w:rsidR="00EA36E3">
        <w:t>SA Power Networks</w:t>
      </w:r>
      <w:r w:rsidRPr="00927302">
        <w:t>’ distribution tariffs are averaged.  For larger business customers</w:t>
      </w:r>
      <w:r>
        <w:t xml:space="preserve"> with energy consumption in excess of 40 GWh or a demand greater than 10 MW</w:t>
      </w:r>
      <w:r w:rsidRPr="00927302">
        <w:t>, locational transmission use of system (TUoS) charges apply.</w:t>
      </w:r>
    </w:p>
    <w:p w:rsidR="0044594F" w:rsidRDefault="0044594F" w:rsidP="0044594F">
      <w:pPr>
        <w:pStyle w:val="Heading2"/>
        <w:keepLines w:val="0"/>
        <w:numPr>
          <w:ilvl w:val="1"/>
          <w:numId w:val="16"/>
        </w:numPr>
        <w:tabs>
          <w:tab w:val="left" w:pos="851"/>
        </w:tabs>
        <w:spacing w:after="240" w:line="240" w:lineRule="auto"/>
      </w:pPr>
      <w:bookmarkStart w:id="31" w:name="_Toc420009822"/>
      <w:r w:rsidRPr="00927302">
        <w:t>Characteristics of the region</w:t>
      </w:r>
      <w:bookmarkEnd w:id="31"/>
    </w:p>
    <w:p w:rsidR="0044594F" w:rsidRDefault="0044594F" w:rsidP="0044594F">
      <w:pPr>
        <w:keepNext/>
      </w:pPr>
      <w:r>
        <w:t xml:space="preserve">With the exception of much of the coastal area and the hinterland, South Australia is very sparsely settled. The area serviced by </w:t>
      </w:r>
      <w:r w:rsidR="00EA36E3">
        <w:t>SA Power Networks</w:t>
      </w:r>
      <w:r>
        <w:t xml:space="preserve">’ distribution system is shown in </w:t>
      </w:r>
      <w:r w:rsidR="00575C9A">
        <w:fldChar w:fldCharType="begin"/>
      </w:r>
      <w:r>
        <w:instrText xml:space="preserve"> REF _Ref131578864 \h </w:instrText>
      </w:r>
      <w:r w:rsidR="00575C9A">
        <w:fldChar w:fldCharType="separate"/>
      </w:r>
      <w:r w:rsidR="00A81AFE">
        <w:t xml:space="preserve">Figure </w:t>
      </w:r>
      <w:r w:rsidR="00A81AFE">
        <w:rPr>
          <w:noProof/>
        </w:rPr>
        <w:t>1</w:t>
      </w:r>
      <w:r w:rsidR="00575C9A">
        <w:fldChar w:fldCharType="end"/>
      </w:r>
      <w:r>
        <w:t xml:space="preserve">. </w:t>
      </w:r>
    </w:p>
    <w:p w:rsidR="007E2D30" w:rsidRPr="00B454E6" w:rsidRDefault="007E2D30" w:rsidP="0044594F">
      <w:pPr>
        <w:keepNext/>
      </w:pPr>
    </w:p>
    <w:p w:rsidR="0044594F" w:rsidRPr="00927302" w:rsidRDefault="0044594F" w:rsidP="0044594F">
      <w:pPr>
        <w:pStyle w:val="Caption"/>
        <w:keepNext/>
      </w:pPr>
      <w:bookmarkStart w:id="32" w:name="_Ref131578864"/>
      <w:r>
        <w:t xml:space="preserve">Figure </w:t>
      </w:r>
      <w:r w:rsidR="00924A8F">
        <w:fldChar w:fldCharType="begin"/>
      </w:r>
      <w:r w:rsidR="00924A8F">
        <w:instrText xml:space="preserve"> SEQ Figure \* ARABIC </w:instrText>
      </w:r>
      <w:r w:rsidR="00924A8F">
        <w:fldChar w:fldCharType="separate"/>
      </w:r>
      <w:r w:rsidR="00A81AFE">
        <w:rPr>
          <w:noProof/>
        </w:rPr>
        <w:t>1</w:t>
      </w:r>
      <w:r w:rsidR="00924A8F">
        <w:rPr>
          <w:noProof/>
        </w:rPr>
        <w:fldChar w:fldCharType="end"/>
      </w:r>
      <w:bookmarkEnd w:id="32"/>
      <w:r w:rsidRPr="00927302">
        <w:t xml:space="preserve"> - </w:t>
      </w:r>
      <w:r w:rsidR="00EA36E3">
        <w:t>SA Power Networks</w:t>
      </w:r>
      <w:r w:rsidRPr="00927302">
        <w:t>’ service area</w:t>
      </w:r>
    </w:p>
    <w:p w:rsidR="0044594F" w:rsidRDefault="00E67551" w:rsidP="0044594F">
      <w:r>
        <w:rPr>
          <w:noProof/>
          <w:lang w:val="en-US"/>
        </w:rPr>
        <w:drawing>
          <wp:inline distT="0" distB="0" distL="0" distR="0">
            <wp:extent cx="4692650" cy="5874385"/>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692650" cy="5874385"/>
                    </a:xfrm>
                    <a:prstGeom prst="rect">
                      <a:avLst/>
                    </a:prstGeom>
                    <a:noFill/>
                    <a:ln w="9525">
                      <a:noFill/>
                      <a:miter lim="800000"/>
                      <a:headEnd/>
                      <a:tailEnd/>
                    </a:ln>
                  </pic:spPr>
                </pic:pic>
              </a:graphicData>
            </a:graphic>
          </wp:inline>
        </w:drawing>
      </w:r>
    </w:p>
    <w:p w:rsidR="00947CBC" w:rsidRPr="00927302" w:rsidRDefault="00947CBC" w:rsidP="0044594F"/>
    <w:p w:rsidR="007E2D30" w:rsidRDefault="007E2D30" w:rsidP="0044594F"/>
    <w:p w:rsidR="0044594F" w:rsidRDefault="0044594F" w:rsidP="0044594F">
      <w:r w:rsidRPr="00B454E6">
        <w:t>Approximately 70% of customers</w:t>
      </w:r>
      <w:r>
        <w:t xml:space="preserve"> reside in Adelaide, including the great majority of business and commercial customers. </w:t>
      </w:r>
      <w:r w:rsidRPr="00B454E6">
        <w:t xml:space="preserve"> </w:t>
      </w:r>
      <w:r>
        <w:t>However, the extensive area serviced by distribution means that</w:t>
      </w:r>
      <w:r w:rsidRPr="00B454E6">
        <w:t xml:space="preserve"> 70% of</w:t>
      </w:r>
      <w:r>
        <w:t xml:space="preserve"> t</w:t>
      </w:r>
      <w:r w:rsidRPr="00B454E6">
        <w:t>he network infrastructure is required to deliver energy to the</w:t>
      </w:r>
      <w:r>
        <w:t xml:space="preserve"> </w:t>
      </w:r>
      <w:r w:rsidRPr="00B454E6">
        <w:t xml:space="preserve">remaining 30% of customers. </w:t>
      </w:r>
      <w:r>
        <w:t xml:space="preserve"> </w:t>
      </w:r>
      <w:r w:rsidRPr="00B454E6">
        <w:t>Compared with other states,</w:t>
      </w:r>
      <w:r>
        <w:t xml:space="preserve"> </w:t>
      </w:r>
      <w:r w:rsidRPr="00B454E6">
        <w:t>there are relatively few regional centres, and they are generally</w:t>
      </w:r>
      <w:r>
        <w:t xml:space="preserve"> </w:t>
      </w:r>
      <w:r w:rsidRPr="00B454E6">
        <w:t>small and located widely across the territory.</w:t>
      </w:r>
    </w:p>
    <w:p w:rsidR="007E2D30" w:rsidRPr="00B454E6" w:rsidRDefault="007E2D30" w:rsidP="0044594F"/>
    <w:p w:rsidR="0044594F" w:rsidRDefault="0044594F" w:rsidP="0044594F">
      <w:r w:rsidRPr="00B454E6">
        <w:t>As a result, the average customer density across the State is</w:t>
      </w:r>
      <w:r>
        <w:t xml:space="preserve"> </w:t>
      </w:r>
      <w:r w:rsidRPr="00B454E6">
        <w:t>very low.</w:t>
      </w:r>
    </w:p>
    <w:p w:rsidR="007E2D30" w:rsidRDefault="007E2D30" w:rsidP="0044594F"/>
    <w:p w:rsidR="0044594F" w:rsidRDefault="0044594F" w:rsidP="0044594F">
      <w:pPr>
        <w:pStyle w:val="Heading2"/>
        <w:keepLines w:val="0"/>
        <w:numPr>
          <w:ilvl w:val="1"/>
          <w:numId w:val="16"/>
        </w:numPr>
        <w:tabs>
          <w:tab w:val="left" w:pos="851"/>
        </w:tabs>
        <w:spacing w:after="240" w:line="240" w:lineRule="auto"/>
      </w:pPr>
      <w:bookmarkStart w:id="33" w:name="_Toc420009823"/>
      <w:r>
        <w:t>Climatic conditions</w:t>
      </w:r>
      <w:bookmarkEnd w:id="33"/>
    </w:p>
    <w:p w:rsidR="0044594F" w:rsidRDefault="0044594F" w:rsidP="0044594F">
      <w:r>
        <w:t>Adelaide and much of South Australia has a dry climate featuring greater extremes of summer temperature than most other Australian capitals.  Extended periods of heatwave conditions can occur in summer (March 2008, January-February 2009</w:t>
      </w:r>
      <w:r w:rsidR="006B01EB">
        <w:t>,</w:t>
      </w:r>
      <w:r>
        <w:t xml:space="preserve"> November 2009 </w:t>
      </w:r>
      <w:r w:rsidR="006B01EB">
        <w:t xml:space="preserve">and January 2014 </w:t>
      </w:r>
      <w:r>
        <w:t xml:space="preserve">are recent examples of extended heatwaves).  </w:t>
      </w:r>
    </w:p>
    <w:p w:rsidR="007E2D30" w:rsidRDefault="007E2D30" w:rsidP="0044594F"/>
    <w:p w:rsidR="0044594F" w:rsidRDefault="0044594F" w:rsidP="0044594F">
      <w:r>
        <w:t>During these heatwave periods, summer daytime temperatures can exceed 40</w:t>
      </w:r>
      <w:r w:rsidRPr="00FA30FD">
        <w:rPr>
          <w:vertAlign w:val="superscript"/>
        </w:rPr>
        <w:t>o</w:t>
      </w:r>
      <w:r>
        <w:t>C for several days in a row and overnight minimums can remain above 30</w:t>
      </w:r>
      <w:r w:rsidRPr="00FA30FD">
        <w:rPr>
          <w:vertAlign w:val="superscript"/>
        </w:rPr>
        <w:t>o</w:t>
      </w:r>
      <w:r>
        <w:t>C for some of those days.</w:t>
      </w:r>
    </w:p>
    <w:p w:rsidR="007E2D30" w:rsidRDefault="007E2D30" w:rsidP="0044594F"/>
    <w:p w:rsidR="0044594F" w:rsidRPr="00927302" w:rsidRDefault="00EA36E3" w:rsidP="0044594F">
      <w:pPr>
        <w:pStyle w:val="Heading2"/>
        <w:keepLines w:val="0"/>
        <w:numPr>
          <w:ilvl w:val="1"/>
          <w:numId w:val="16"/>
        </w:numPr>
        <w:tabs>
          <w:tab w:val="left" w:pos="851"/>
        </w:tabs>
        <w:spacing w:after="240" w:line="240" w:lineRule="auto"/>
      </w:pPr>
      <w:bookmarkStart w:id="34" w:name="_Ref134063555"/>
      <w:bookmarkStart w:id="35" w:name="_Toc420009824"/>
      <w:r>
        <w:t>SA Power Networks</w:t>
      </w:r>
      <w:r w:rsidR="0044594F" w:rsidRPr="00927302">
        <w:t>’ customer and demand profile</w:t>
      </w:r>
      <w:bookmarkEnd w:id="34"/>
      <w:bookmarkEnd w:id="35"/>
    </w:p>
    <w:p w:rsidR="0044594F" w:rsidRDefault="0044594F" w:rsidP="0044594F">
      <w:r>
        <w:t xml:space="preserve">The South Australian climate has led to lead to an extraordinary demand for air conditioning.  </w:t>
      </w:r>
      <w:r w:rsidRPr="007013EB">
        <w:t>Over 90% o</w:t>
      </w:r>
      <w:r>
        <w:t>f homes are air conditioned with the air-conditioned floor space of these homes increasing each year. The consequent high peak network demand occurs for only a small part of the year.  At other times in summer, milder weather often occurs which requires no air conditioning in most homes.</w:t>
      </w:r>
    </w:p>
    <w:p w:rsidR="007E2D30" w:rsidRDefault="007E2D30" w:rsidP="0044594F"/>
    <w:p w:rsidR="0044594F" w:rsidRDefault="0044594F" w:rsidP="0044594F">
      <w:r>
        <w:t xml:space="preserve">Extremely ‘peaky’ conditions such as these heatwaves require network assets and capacity that is under-utilised during much of the year, driving distribution costs higher on a per unit of energy served basis than comparable interstate networks.  These conditions also provide the impetus for </w:t>
      </w:r>
      <w:r w:rsidR="00EA36E3">
        <w:t>SA Power Networks</w:t>
      </w:r>
      <w:r>
        <w:t xml:space="preserve">’ network tariff strategies and innovative tariff developments described in </w:t>
      </w:r>
      <w:r w:rsidR="000B7F94">
        <w:t>Section</w:t>
      </w:r>
      <w:r>
        <w:t xml:space="preserve">s </w:t>
      </w:r>
      <w:r w:rsidR="00575C9A">
        <w:fldChar w:fldCharType="begin"/>
      </w:r>
      <w:r>
        <w:instrText xml:space="preserve"> REF _Ref135369855 \r \h </w:instrText>
      </w:r>
      <w:r w:rsidR="00575C9A">
        <w:fldChar w:fldCharType="separate"/>
      </w:r>
      <w:r w:rsidR="00A81AFE">
        <w:t>5.4</w:t>
      </w:r>
      <w:r w:rsidR="00575C9A">
        <w:fldChar w:fldCharType="end"/>
      </w:r>
      <w:r w:rsidRPr="00F549A5">
        <w:t xml:space="preserve"> </w:t>
      </w:r>
      <w:r>
        <w:t xml:space="preserve">to </w:t>
      </w:r>
      <w:r w:rsidR="00575C9A">
        <w:fldChar w:fldCharType="begin"/>
      </w:r>
      <w:r>
        <w:instrText xml:space="preserve"> REF _Ref323564289 \r \h </w:instrText>
      </w:r>
      <w:r w:rsidR="00575C9A">
        <w:fldChar w:fldCharType="separate"/>
      </w:r>
      <w:r w:rsidR="00A81AFE">
        <w:t>5.8</w:t>
      </w:r>
      <w:r w:rsidR="00575C9A">
        <w:fldChar w:fldCharType="end"/>
      </w:r>
      <w:r>
        <w:t xml:space="preserve">. </w:t>
      </w:r>
    </w:p>
    <w:p w:rsidR="00C305C0" w:rsidRDefault="00C305C0" w:rsidP="0044594F"/>
    <w:p w:rsidR="00C305C0" w:rsidRPr="00927302" w:rsidRDefault="00C305C0" w:rsidP="0044594F">
      <w:r>
        <w:t xml:space="preserve">A more recent development has been the customer uptake of PV systems by small customers.  Over 23% of residential customers now have PV systems operating, reducing their use of energy when the sun is shining.  The incentives of the </w:t>
      </w:r>
      <w:r w:rsidR="00EA36E3">
        <w:t xml:space="preserve">solar </w:t>
      </w:r>
      <w:r>
        <w:t xml:space="preserve">PV feed-in tariff schemes have been popular, and customers have responded to the incentives provided.  We are seeing quite different load profiles from such </w:t>
      </w:r>
      <w:r w:rsidR="00BF7204">
        <w:t>customers today which warrant</w:t>
      </w:r>
      <w:r>
        <w:t xml:space="preserve"> some consideration.  This is discussed later in the proposal.</w:t>
      </w:r>
    </w:p>
    <w:p w:rsidR="0044594F" w:rsidRPr="00927302" w:rsidRDefault="0044594F" w:rsidP="0044594F">
      <w:pPr>
        <w:pStyle w:val="Heading1"/>
        <w:pageBreakBefore/>
        <w:numPr>
          <w:ilvl w:val="0"/>
          <w:numId w:val="16"/>
        </w:numPr>
        <w:tabs>
          <w:tab w:val="left" w:pos="851"/>
        </w:tabs>
        <w:spacing w:after="240" w:line="240" w:lineRule="auto"/>
      </w:pPr>
      <w:bookmarkStart w:id="36" w:name="_Ref131848147"/>
      <w:bookmarkStart w:id="37" w:name="_Toc420009825"/>
      <w:r w:rsidRPr="00927302">
        <w:t>Tariff Classes</w:t>
      </w:r>
      <w:bookmarkEnd w:id="36"/>
      <w:bookmarkEnd w:id="37"/>
    </w:p>
    <w:p w:rsidR="0044594F" w:rsidRDefault="0044594F" w:rsidP="0044594F">
      <w:r w:rsidRPr="00927302">
        <w:t xml:space="preserve">This </w:t>
      </w:r>
      <w:r w:rsidR="000B7F94">
        <w:t>Section</w:t>
      </w:r>
      <w:r w:rsidRPr="00927302">
        <w:t xml:space="preserve"> describes </w:t>
      </w:r>
      <w:r w:rsidR="00EA36E3">
        <w:t>SA Power Networks</w:t>
      </w:r>
      <w:r w:rsidRPr="00927302">
        <w:t>’ standard control service tariff classes and the way in which they have been constituted to comply with the requirements of the Rules and the AER’s Determination.</w:t>
      </w:r>
    </w:p>
    <w:p w:rsidR="007E2D30" w:rsidRPr="00927302" w:rsidRDefault="007E2D30" w:rsidP="0044594F"/>
    <w:p w:rsidR="0044594F" w:rsidRDefault="0044594F" w:rsidP="007E2D30">
      <w:pPr>
        <w:keepNext/>
        <w:spacing w:line="240" w:lineRule="auto"/>
      </w:pPr>
      <w:r w:rsidRPr="00927302">
        <w:t xml:space="preserve">In </w:t>
      </w:r>
      <w:r w:rsidR="00C305C0">
        <w:t>Attachment 13</w:t>
      </w:r>
      <w:r w:rsidRPr="00927302">
        <w:t xml:space="preserve"> of the </w:t>
      </w:r>
      <w:r w:rsidR="00477C39">
        <w:t>Preliminary Decision</w:t>
      </w:r>
      <w:r w:rsidRPr="00927302">
        <w:t xml:space="preserve">, AER has classified the following distribution services provided by </w:t>
      </w:r>
      <w:r w:rsidR="00EA36E3">
        <w:t>SA Power Networks</w:t>
      </w:r>
      <w:r w:rsidRPr="00927302">
        <w:t xml:space="preserve"> as standard control services</w:t>
      </w:r>
      <w:r w:rsidRPr="00927302">
        <w:rPr>
          <w:rStyle w:val="FootnoteReference"/>
        </w:rPr>
        <w:footnoteReference w:id="8"/>
      </w:r>
      <w:r w:rsidRPr="00927302">
        <w:t>:</w:t>
      </w:r>
    </w:p>
    <w:p w:rsidR="003C07A2" w:rsidRDefault="003C07A2" w:rsidP="003C07A2">
      <w:pPr>
        <w:keepNext/>
        <w:tabs>
          <w:tab w:val="left" w:pos="568"/>
        </w:tabs>
        <w:spacing w:after="120"/>
        <w:rPr>
          <w:b/>
        </w:rPr>
      </w:pPr>
    </w:p>
    <w:p w:rsidR="003C07A2" w:rsidRPr="003C07A2" w:rsidRDefault="003C07A2" w:rsidP="003C07A2">
      <w:pPr>
        <w:keepNext/>
        <w:tabs>
          <w:tab w:val="left" w:pos="568"/>
        </w:tabs>
        <w:spacing w:after="120"/>
        <w:rPr>
          <w:b/>
        </w:rPr>
      </w:pPr>
      <w:r w:rsidRPr="003C07A2">
        <w:rPr>
          <w:b/>
        </w:rPr>
        <w:t xml:space="preserve">B.1 </w:t>
      </w:r>
      <w:r w:rsidRPr="003C07A2">
        <w:rPr>
          <w:b/>
        </w:rPr>
        <w:tab/>
        <w:t xml:space="preserve">‘Standard’ network services </w:t>
      </w:r>
    </w:p>
    <w:p w:rsidR="003C07A2" w:rsidRPr="003C07A2" w:rsidRDefault="003C07A2" w:rsidP="003C07A2">
      <w:pPr>
        <w:numPr>
          <w:ilvl w:val="2"/>
          <w:numId w:val="40"/>
        </w:numPr>
        <w:spacing w:before="200" w:line="240" w:lineRule="auto"/>
      </w:pPr>
      <w:r w:rsidRPr="003C07A2">
        <w:t>All network services except:</w:t>
      </w:r>
    </w:p>
    <w:p w:rsidR="003C07A2" w:rsidRPr="003C07A2" w:rsidRDefault="003C07A2" w:rsidP="003C07A2">
      <w:pPr>
        <w:numPr>
          <w:ilvl w:val="3"/>
          <w:numId w:val="40"/>
        </w:numPr>
        <w:spacing w:before="200" w:line="240" w:lineRule="auto"/>
      </w:pPr>
      <w:r w:rsidRPr="003C07A2">
        <w:t>network services provided at the request of a distribution network user:</w:t>
      </w:r>
    </w:p>
    <w:p w:rsidR="003C07A2" w:rsidRPr="003C07A2" w:rsidRDefault="003C07A2" w:rsidP="003C07A2">
      <w:pPr>
        <w:numPr>
          <w:ilvl w:val="6"/>
          <w:numId w:val="40"/>
        </w:numPr>
        <w:spacing w:before="200" w:line="240" w:lineRule="auto"/>
      </w:pPr>
      <w:r w:rsidRPr="003C07A2">
        <w:t>with higher quality or reliability standards, or lower quality or reliability standards (where permissible), than are required by the rules or any other applicable regulatory instruments, or</w:t>
      </w:r>
    </w:p>
    <w:p w:rsidR="003C07A2" w:rsidRPr="003C07A2" w:rsidRDefault="003C07A2" w:rsidP="003C07A2">
      <w:pPr>
        <w:numPr>
          <w:ilvl w:val="6"/>
          <w:numId w:val="40"/>
        </w:numPr>
        <w:spacing w:before="200" w:line="240" w:lineRule="auto"/>
      </w:pPr>
      <w:r w:rsidRPr="003C07A2">
        <w:t xml:space="preserve">in excess of levels of service or plant ratings required to be provided by </w:t>
      </w:r>
      <w:r w:rsidR="00EA36E3">
        <w:t>SA Power Networks</w:t>
      </w:r>
      <w:r w:rsidRPr="003C07A2">
        <w:t>' assets, or</w:t>
      </w:r>
    </w:p>
    <w:p w:rsidR="003C07A2" w:rsidRPr="003C07A2" w:rsidRDefault="003C07A2" w:rsidP="003C07A2">
      <w:pPr>
        <w:numPr>
          <w:ilvl w:val="3"/>
          <w:numId w:val="40"/>
        </w:numPr>
        <w:spacing w:before="200" w:line="240" w:lineRule="auto"/>
      </w:pPr>
      <w:r w:rsidRPr="003C07A2">
        <w:t>extension or augmentation of the distribution network associated with the provision of a new connection point or upgrading of the capability of a connection point to the extent that a distribution network user is required to make a financial contribution in accordance with the rules, or</w:t>
      </w:r>
    </w:p>
    <w:p w:rsidR="003C07A2" w:rsidRPr="003C07A2" w:rsidRDefault="003C07A2" w:rsidP="003C07A2">
      <w:pPr>
        <w:numPr>
          <w:ilvl w:val="3"/>
          <w:numId w:val="40"/>
        </w:numPr>
        <w:spacing w:before="200" w:line="240" w:lineRule="auto"/>
      </w:pPr>
      <w:r w:rsidRPr="003C07A2">
        <w:t>other network services that are classified as negotiated distribution services in sections B.6 to B.15 of this appendix B.</w:t>
      </w:r>
    </w:p>
    <w:p w:rsidR="003C07A2" w:rsidRPr="003C07A2" w:rsidRDefault="003C07A2" w:rsidP="003C07A2">
      <w:pPr>
        <w:numPr>
          <w:ilvl w:val="0"/>
          <w:numId w:val="40"/>
        </w:numPr>
        <w:spacing w:before="200" w:line="240" w:lineRule="auto"/>
        <w:rPr>
          <w:rStyle w:val="Strong"/>
        </w:rPr>
      </w:pPr>
      <w:r w:rsidRPr="003C07A2">
        <w:rPr>
          <w:rStyle w:val="Strong"/>
        </w:rPr>
        <w:t>B.2</w:t>
      </w:r>
      <w:r w:rsidRPr="003C07A2">
        <w:rPr>
          <w:rStyle w:val="Strong"/>
        </w:rPr>
        <w:tab/>
        <w:t>Standard connection services</w:t>
      </w:r>
    </w:p>
    <w:p w:rsidR="003C07A2" w:rsidRPr="003C07A2" w:rsidRDefault="003C07A2" w:rsidP="003C07A2">
      <w:pPr>
        <w:numPr>
          <w:ilvl w:val="2"/>
          <w:numId w:val="40"/>
        </w:numPr>
        <w:spacing w:before="200" w:line="240" w:lineRule="auto"/>
      </w:pPr>
      <w:r w:rsidRPr="003C07A2">
        <w:t>All connection services except:</w:t>
      </w:r>
    </w:p>
    <w:p w:rsidR="003C07A2" w:rsidRPr="003C07A2" w:rsidRDefault="003C07A2" w:rsidP="003C07A2">
      <w:pPr>
        <w:numPr>
          <w:ilvl w:val="3"/>
          <w:numId w:val="40"/>
        </w:numPr>
        <w:spacing w:before="200" w:line="240" w:lineRule="auto"/>
      </w:pPr>
      <w:r w:rsidRPr="003C07A2">
        <w:t>connection services provided at the request of a distribution network user:</w:t>
      </w:r>
    </w:p>
    <w:p w:rsidR="003C07A2" w:rsidRPr="003C07A2" w:rsidRDefault="003C07A2" w:rsidP="003C07A2">
      <w:pPr>
        <w:numPr>
          <w:ilvl w:val="6"/>
          <w:numId w:val="40"/>
        </w:numPr>
        <w:spacing w:before="200" w:line="240" w:lineRule="auto"/>
      </w:pPr>
      <w:r w:rsidRPr="003C07A2">
        <w:t>with higher quality or reliability standards, or lower quality or reliability standards (where permissible), than are required by the rules or any other applicable regulatory instruments, or</w:t>
      </w:r>
    </w:p>
    <w:p w:rsidR="003C07A2" w:rsidRPr="003C07A2" w:rsidRDefault="003C07A2" w:rsidP="003C07A2">
      <w:pPr>
        <w:numPr>
          <w:ilvl w:val="6"/>
          <w:numId w:val="40"/>
        </w:numPr>
        <w:spacing w:before="200" w:line="240" w:lineRule="auto"/>
      </w:pPr>
      <w:r w:rsidRPr="003C07A2">
        <w:t xml:space="preserve">in excess of levels of service or plant ratings required to be provided by </w:t>
      </w:r>
      <w:r w:rsidR="00EA36E3">
        <w:t>SA Power Networks</w:t>
      </w:r>
      <w:r w:rsidRPr="003C07A2">
        <w:t xml:space="preserve"> assets, or</w:t>
      </w:r>
    </w:p>
    <w:p w:rsidR="003C07A2" w:rsidRPr="003C07A2" w:rsidRDefault="003C07A2" w:rsidP="003C07A2">
      <w:pPr>
        <w:numPr>
          <w:ilvl w:val="3"/>
          <w:numId w:val="40"/>
        </w:numPr>
        <w:spacing w:before="200" w:line="240" w:lineRule="auto"/>
      </w:pPr>
      <w:r w:rsidRPr="003C07A2">
        <w:t>the provision of a new connection point or upgrading of the capability of a connection point to the extent that a distribution network user is required to make a financial contribution in accordance with the rules, or</w:t>
      </w:r>
    </w:p>
    <w:p w:rsidR="003C07A2" w:rsidRPr="003C07A2" w:rsidRDefault="003C07A2" w:rsidP="003C07A2">
      <w:pPr>
        <w:numPr>
          <w:ilvl w:val="3"/>
          <w:numId w:val="40"/>
        </w:numPr>
        <w:spacing w:before="200" w:line="240" w:lineRule="auto"/>
      </w:pPr>
      <w:r w:rsidRPr="003C07A2">
        <w:t>other connection services that are classified as negotiated distribution services in sections B.6 to B.15 of this appendix B.</w:t>
      </w:r>
    </w:p>
    <w:p w:rsidR="003C07A2" w:rsidRPr="003C07A2" w:rsidRDefault="003C07A2" w:rsidP="003C07A2">
      <w:pPr>
        <w:numPr>
          <w:ilvl w:val="0"/>
          <w:numId w:val="40"/>
        </w:numPr>
        <w:spacing w:before="200" w:line="240" w:lineRule="auto"/>
        <w:rPr>
          <w:rStyle w:val="Strong"/>
        </w:rPr>
      </w:pPr>
      <w:r w:rsidRPr="003C07A2">
        <w:rPr>
          <w:rStyle w:val="Strong"/>
        </w:rPr>
        <w:t>B.3</w:t>
      </w:r>
      <w:r w:rsidRPr="003C07A2">
        <w:rPr>
          <w:rStyle w:val="Strong"/>
        </w:rPr>
        <w:tab/>
        <w:t>Unmetered metering services</w:t>
      </w:r>
    </w:p>
    <w:p w:rsidR="003C07A2" w:rsidRPr="003C07A2" w:rsidRDefault="003C07A2" w:rsidP="003C07A2">
      <w:pPr>
        <w:numPr>
          <w:ilvl w:val="2"/>
          <w:numId w:val="40"/>
        </w:numPr>
        <w:spacing w:before="200" w:line="240" w:lineRule="auto"/>
      </w:pPr>
      <w:r w:rsidRPr="003C07A2">
        <w:t>The provision of metering services in respect of meters meeting the requirements of a metering installation type 7.</w:t>
      </w:r>
    </w:p>
    <w:p w:rsidR="007E2D30" w:rsidRPr="00927302" w:rsidRDefault="007E2D30" w:rsidP="0044594F"/>
    <w:p w:rsidR="0044594F" w:rsidRPr="00927302" w:rsidRDefault="0044594F" w:rsidP="0044594F">
      <w:pPr>
        <w:pStyle w:val="Heading2"/>
        <w:keepLines w:val="0"/>
        <w:numPr>
          <w:ilvl w:val="1"/>
          <w:numId w:val="16"/>
        </w:numPr>
        <w:tabs>
          <w:tab w:val="left" w:pos="851"/>
        </w:tabs>
        <w:spacing w:after="240" w:line="240" w:lineRule="auto"/>
      </w:pPr>
      <w:bookmarkStart w:id="38" w:name="_Toc420009826"/>
      <w:r w:rsidRPr="00927302">
        <w:t>Regulatory requirements</w:t>
      </w:r>
      <w:bookmarkEnd w:id="38"/>
    </w:p>
    <w:p w:rsidR="0044594F" w:rsidRPr="00927302" w:rsidRDefault="0044594F" w:rsidP="009A26B4">
      <w:pPr>
        <w:pStyle w:val="Heading3"/>
      </w:pPr>
      <w:bookmarkStart w:id="39" w:name="_Ref133751269"/>
      <w:r w:rsidRPr="00927302">
        <w:t>Rule requirements</w:t>
      </w:r>
      <w:bookmarkEnd w:id="39"/>
    </w:p>
    <w:p w:rsidR="0044594F" w:rsidRDefault="00EA36E3" w:rsidP="007E2D30">
      <w:pPr>
        <w:keepNext/>
        <w:spacing w:line="240" w:lineRule="auto"/>
      </w:pPr>
      <w:r>
        <w:t>SA Power Networks</w:t>
      </w:r>
      <w:r w:rsidR="0044594F" w:rsidRPr="00927302">
        <w:t>’ Pricing Proposal must contain the information on tariffs, tariff classes and charging parameters set out in clause 6.18.2 of the Rules.</w:t>
      </w:r>
    </w:p>
    <w:p w:rsidR="007E2D30" w:rsidRPr="00927302" w:rsidRDefault="007E2D30" w:rsidP="007E2D30">
      <w:pPr>
        <w:keepNext/>
        <w:spacing w:line="240" w:lineRule="auto"/>
      </w:pPr>
    </w:p>
    <w:p w:rsidR="0044594F" w:rsidRPr="00927302" w:rsidRDefault="0044594F" w:rsidP="0044594F">
      <w:pPr>
        <w:keepNext/>
        <w:tabs>
          <w:tab w:val="left" w:pos="852"/>
        </w:tabs>
        <w:spacing w:after="120"/>
        <w:ind w:left="852" w:hanging="852"/>
        <w:rPr>
          <w:b/>
        </w:rPr>
      </w:pPr>
      <w:r w:rsidRPr="00927302">
        <w:rPr>
          <w:b/>
        </w:rPr>
        <w:t>6.18.2</w:t>
      </w:r>
      <w:r w:rsidRPr="00927302">
        <w:rPr>
          <w:b/>
        </w:rPr>
        <w:tab/>
      </w:r>
      <w:r w:rsidRPr="00927302">
        <w:rPr>
          <w:rFonts w:cs="Arial-BoldMT"/>
          <w:b/>
          <w:bCs/>
          <w:szCs w:val="23"/>
        </w:rPr>
        <w:t>Pricing</w:t>
      </w:r>
      <w:r w:rsidRPr="00927302">
        <w:rPr>
          <w:b/>
        </w:rPr>
        <w:t xml:space="preserve"> proposals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(b)</w:t>
      </w:r>
      <w:r w:rsidRPr="00927302">
        <w:rPr>
          <w:rFonts w:cs="Arial-BoldMT"/>
          <w:szCs w:val="23"/>
        </w:rPr>
        <w:tab/>
        <w:t xml:space="preserve">A </w:t>
      </w:r>
      <w:r w:rsidRPr="00927302">
        <w:rPr>
          <w:rFonts w:cs="Arial-BoldMT"/>
          <w:i/>
          <w:iCs/>
          <w:szCs w:val="23"/>
        </w:rPr>
        <w:t xml:space="preserve">pricing proposal </w:t>
      </w:r>
      <w:r w:rsidRPr="00927302">
        <w:rPr>
          <w:rFonts w:cs="Arial-BoldMT"/>
          <w:szCs w:val="23"/>
        </w:rPr>
        <w:t>must:</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 xml:space="preserve">set out the </w:t>
      </w:r>
      <w:r w:rsidRPr="00927302">
        <w:rPr>
          <w:rFonts w:cs="Arial-BoldMT"/>
          <w:i/>
          <w:iCs/>
          <w:szCs w:val="23"/>
        </w:rPr>
        <w:t xml:space="preserve">tariff classes </w:t>
      </w:r>
      <w:r w:rsidRPr="00927302">
        <w:rPr>
          <w:rFonts w:cs="Arial-BoldMT"/>
          <w:szCs w:val="23"/>
        </w:rPr>
        <w:t xml:space="preserve">that are to apply for the relevant </w:t>
      </w:r>
      <w:r w:rsidRPr="00927302">
        <w:rPr>
          <w:rFonts w:cs="Arial-BoldMT"/>
          <w:i/>
          <w:iCs/>
          <w:szCs w:val="23"/>
        </w:rPr>
        <w:t>regulatory year</w:t>
      </w:r>
      <w:r w:rsidRPr="00927302">
        <w:rPr>
          <w:rFonts w:cs="Arial-BoldMT"/>
          <w:szCs w:val="23"/>
        </w:rPr>
        <w:t>;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(2)</w:t>
      </w:r>
      <w:r w:rsidRPr="00927302">
        <w:rPr>
          <w:rFonts w:cs="Arial-BoldMT"/>
          <w:szCs w:val="23"/>
        </w:rPr>
        <w:tab/>
        <w:t xml:space="preserve">set out the proposed tariffs for each </w:t>
      </w:r>
      <w:r w:rsidRPr="00927302">
        <w:rPr>
          <w:rFonts w:cs="Arial-BoldMT"/>
          <w:i/>
          <w:iCs/>
          <w:szCs w:val="23"/>
        </w:rPr>
        <w:t>tariff class</w:t>
      </w:r>
      <w:r w:rsidRPr="00927302">
        <w:rPr>
          <w:rFonts w:cs="Arial-BoldMT"/>
          <w:szCs w:val="23"/>
        </w:rPr>
        <w:t>; and</w:t>
      </w:r>
    </w:p>
    <w:p w:rsidR="0044594F" w:rsidRDefault="0044594F" w:rsidP="0044594F">
      <w:pPr>
        <w:tabs>
          <w:tab w:val="left" w:pos="1136"/>
        </w:tabs>
        <w:ind w:left="1134" w:hanging="567"/>
        <w:rPr>
          <w:rFonts w:cs="Arial-BoldMT"/>
          <w:szCs w:val="23"/>
        </w:rPr>
      </w:pPr>
      <w:r w:rsidRPr="00927302">
        <w:rPr>
          <w:rFonts w:cs="Arial-BoldMT"/>
          <w:szCs w:val="23"/>
        </w:rPr>
        <w:t>(3)</w:t>
      </w:r>
      <w:r w:rsidRPr="00927302">
        <w:rPr>
          <w:rFonts w:cs="Arial-BoldMT"/>
          <w:szCs w:val="23"/>
        </w:rPr>
        <w:tab/>
        <w:t xml:space="preserve">set out, for each proposed tariff, the </w:t>
      </w:r>
      <w:r w:rsidRPr="00927302">
        <w:rPr>
          <w:rFonts w:cs="Arial-BoldMT"/>
          <w:i/>
          <w:iCs/>
          <w:szCs w:val="23"/>
        </w:rPr>
        <w:t xml:space="preserve">charging parameters </w:t>
      </w:r>
      <w:r w:rsidRPr="00927302">
        <w:rPr>
          <w:rFonts w:cs="Arial-BoldMT"/>
          <w:szCs w:val="23"/>
        </w:rPr>
        <w:t xml:space="preserve">and the elements of service to which each </w:t>
      </w:r>
      <w:r w:rsidRPr="00927302">
        <w:rPr>
          <w:rFonts w:cs="Arial-BoldMT"/>
          <w:i/>
          <w:iCs/>
          <w:szCs w:val="23"/>
        </w:rPr>
        <w:t xml:space="preserve">charging parameter </w:t>
      </w:r>
      <w:r w:rsidR="00EA36E3">
        <w:rPr>
          <w:rFonts w:cs="Arial-BoldMT"/>
          <w:szCs w:val="23"/>
        </w:rPr>
        <w:t>relates.</w:t>
      </w:r>
    </w:p>
    <w:p w:rsidR="00EA36E3" w:rsidRPr="00927302" w:rsidRDefault="00EA36E3" w:rsidP="0044594F">
      <w:pPr>
        <w:tabs>
          <w:tab w:val="left" w:pos="1136"/>
        </w:tabs>
        <w:ind w:left="1134" w:hanging="567"/>
        <w:rPr>
          <w:rFonts w:cs="Arial-BoldMT"/>
          <w:szCs w:val="23"/>
        </w:rPr>
      </w:pPr>
    </w:p>
    <w:p w:rsidR="0044594F" w:rsidRDefault="00EA36E3" w:rsidP="007E2D30">
      <w:pPr>
        <w:keepNext/>
        <w:spacing w:line="240" w:lineRule="auto"/>
      </w:pPr>
      <w:r>
        <w:t>SA Power Networks</w:t>
      </w:r>
      <w:r w:rsidR="0044594F" w:rsidRPr="00927302">
        <w:t xml:space="preserve"> is required to comply with the following requirements of clause 6.18.3 of the Rules with respect to tariff classes.</w:t>
      </w:r>
    </w:p>
    <w:p w:rsidR="007E2D30" w:rsidRPr="00927302" w:rsidRDefault="007E2D30" w:rsidP="007E2D30">
      <w:pPr>
        <w:keepNext/>
        <w:spacing w:line="240" w:lineRule="auto"/>
      </w:pP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6.18.3</w:t>
      </w:r>
      <w:r w:rsidRPr="00927302">
        <w:rPr>
          <w:rFonts w:cs="Arial-BoldMT"/>
          <w:b/>
          <w:bCs/>
          <w:szCs w:val="23"/>
        </w:rPr>
        <w:tab/>
        <w:t>Tariff classes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(a)</w:t>
      </w:r>
      <w:r w:rsidRPr="00927302">
        <w:rPr>
          <w:rFonts w:cs="Arial-BoldMT"/>
          <w:szCs w:val="23"/>
        </w:rPr>
        <w:tab/>
        <w:t xml:space="preserve">A </w:t>
      </w:r>
      <w:r w:rsidRPr="00927302">
        <w:rPr>
          <w:rFonts w:cs="Arial-BoldMT"/>
          <w:i/>
          <w:iCs/>
          <w:szCs w:val="23"/>
        </w:rPr>
        <w:t xml:space="preserve">pricing proposal </w:t>
      </w:r>
      <w:r w:rsidRPr="00927302">
        <w:rPr>
          <w:rFonts w:cs="Arial-BoldMT"/>
          <w:szCs w:val="23"/>
        </w:rPr>
        <w:t xml:space="preserve">must define the </w:t>
      </w:r>
      <w:r w:rsidRPr="00927302">
        <w:rPr>
          <w:rFonts w:cs="Arial-BoldMT"/>
          <w:i/>
          <w:iCs/>
          <w:szCs w:val="23"/>
        </w:rPr>
        <w:t xml:space="preserve">tariff classes </w:t>
      </w:r>
      <w:r w:rsidRPr="00927302">
        <w:rPr>
          <w:rFonts w:cs="Arial-BoldMT"/>
          <w:szCs w:val="23"/>
        </w:rPr>
        <w:t xml:space="preserve">into which customers for </w:t>
      </w:r>
      <w:r w:rsidRPr="00927302">
        <w:rPr>
          <w:rFonts w:cs="Arial-BoldMT"/>
          <w:i/>
          <w:iCs/>
          <w:szCs w:val="23"/>
        </w:rPr>
        <w:t xml:space="preserve">direct control services </w:t>
      </w:r>
      <w:r w:rsidRPr="00927302">
        <w:rPr>
          <w:rFonts w:cs="Arial-BoldMT"/>
          <w:szCs w:val="23"/>
        </w:rPr>
        <w:t>are divided.</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(b)</w:t>
      </w:r>
      <w:r w:rsidRPr="00927302">
        <w:rPr>
          <w:rFonts w:cs="Arial-BoldMT"/>
          <w:szCs w:val="23"/>
        </w:rPr>
        <w:tab/>
        <w:t xml:space="preserve">Each customer for </w:t>
      </w:r>
      <w:r w:rsidRPr="00927302">
        <w:rPr>
          <w:rFonts w:cs="Arial-BoldMT"/>
          <w:i/>
          <w:iCs/>
          <w:szCs w:val="23"/>
        </w:rPr>
        <w:t xml:space="preserve">direct control services </w:t>
      </w:r>
      <w:r w:rsidRPr="00927302">
        <w:rPr>
          <w:rFonts w:cs="Arial-BoldMT"/>
          <w:szCs w:val="23"/>
        </w:rPr>
        <w:t xml:space="preserve">must be a member of 1 or more </w:t>
      </w:r>
      <w:r w:rsidRPr="00927302">
        <w:rPr>
          <w:rFonts w:cs="Arial-BoldMT"/>
          <w:i/>
          <w:iCs/>
          <w:szCs w:val="23"/>
        </w:rPr>
        <w:t>tariff classes</w:t>
      </w:r>
      <w:r w:rsidRPr="00927302">
        <w:rPr>
          <w:rFonts w:cs="Arial-BoldMT"/>
          <w:szCs w:val="23"/>
        </w:rPr>
        <w:t>.</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(c)</w:t>
      </w:r>
      <w:r w:rsidRPr="00927302">
        <w:rPr>
          <w:rFonts w:cs="Arial-BoldMT"/>
          <w:szCs w:val="23"/>
        </w:rPr>
        <w:tab/>
        <w:t xml:space="preserve">Separate </w:t>
      </w:r>
      <w:r w:rsidRPr="00927302">
        <w:rPr>
          <w:rFonts w:cs="Arial-BoldMT"/>
          <w:i/>
          <w:iCs/>
          <w:szCs w:val="23"/>
        </w:rPr>
        <w:t xml:space="preserve">tariff classes </w:t>
      </w:r>
      <w:r w:rsidRPr="00927302">
        <w:rPr>
          <w:rFonts w:cs="Arial-BoldMT"/>
          <w:szCs w:val="23"/>
        </w:rPr>
        <w:t xml:space="preserve">must be constituted for customers to whom </w:t>
      </w:r>
      <w:r w:rsidRPr="00927302">
        <w:rPr>
          <w:rFonts w:cs="Arial-BoldMT"/>
          <w:i/>
          <w:iCs/>
          <w:szCs w:val="23"/>
        </w:rPr>
        <w:t xml:space="preserve">standard control services </w:t>
      </w:r>
      <w:r w:rsidRPr="00927302">
        <w:rPr>
          <w:rFonts w:cs="Arial-BoldMT"/>
          <w:szCs w:val="23"/>
        </w:rPr>
        <w:t xml:space="preserve">are supplied and customers to whom </w:t>
      </w:r>
      <w:r w:rsidRPr="00927302">
        <w:rPr>
          <w:rFonts w:cs="Arial-BoldMT"/>
          <w:i/>
          <w:iCs/>
          <w:szCs w:val="23"/>
        </w:rPr>
        <w:t xml:space="preserve">alternative control services </w:t>
      </w:r>
      <w:r w:rsidRPr="00927302">
        <w:rPr>
          <w:rFonts w:cs="Arial-BoldMT"/>
          <w:szCs w:val="23"/>
        </w:rPr>
        <w:t xml:space="preserve">are supplied (but a customer for both </w:t>
      </w:r>
      <w:r w:rsidRPr="00927302">
        <w:rPr>
          <w:rFonts w:cs="Arial-BoldMT"/>
          <w:i/>
          <w:iCs/>
          <w:szCs w:val="23"/>
        </w:rPr>
        <w:t xml:space="preserve">standard control services </w:t>
      </w:r>
      <w:r w:rsidRPr="00927302">
        <w:rPr>
          <w:rFonts w:cs="Arial-BoldMT"/>
          <w:szCs w:val="23"/>
        </w:rPr>
        <w:t xml:space="preserve">and </w:t>
      </w:r>
      <w:r w:rsidRPr="00927302">
        <w:rPr>
          <w:rFonts w:cs="Arial-BoldMT"/>
          <w:i/>
          <w:iCs/>
          <w:szCs w:val="23"/>
        </w:rPr>
        <w:t xml:space="preserve">alternative control services </w:t>
      </w:r>
      <w:r w:rsidRPr="00927302">
        <w:rPr>
          <w:rFonts w:cs="Arial-BoldMT"/>
          <w:szCs w:val="23"/>
        </w:rPr>
        <w:t xml:space="preserve">may be a member of 2 or more </w:t>
      </w:r>
      <w:r w:rsidRPr="00927302">
        <w:rPr>
          <w:rFonts w:cs="Arial-BoldMT"/>
          <w:i/>
          <w:iCs/>
          <w:szCs w:val="23"/>
        </w:rPr>
        <w:t>tariff classes</w:t>
      </w:r>
      <w:r w:rsidRPr="00927302">
        <w:rPr>
          <w:rFonts w:cs="Arial-BoldMT"/>
          <w:szCs w:val="23"/>
        </w:rPr>
        <w:t>).</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(d)</w:t>
      </w:r>
      <w:r w:rsidRPr="00927302">
        <w:rPr>
          <w:rFonts w:cs="Arial-BoldMT"/>
          <w:szCs w:val="23"/>
        </w:rPr>
        <w:tab/>
        <w:t xml:space="preserve">A </w:t>
      </w:r>
      <w:r w:rsidRPr="00927302">
        <w:rPr>
          <w:rFonts w:cs="Arial-BoldMT"/>
          <w:i/>
          <w:iCs/>
          <w:szCs w:val="23"/>
        </w:rPr>
        <w:t xml:space="preserve">tariff class </w:t>
      </w:r>
      <w:r w:rsidRPr="00927302">
        <w:rPr>
          <w:rFonts w:cs="Arial-BoldMT"/>
          <w:szCs w:val="23"/>
        </w:rPr>
        <w:t>must be constituted with regard to:</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the need to group customers together on an economically efficient basis; and</w:t>
      </w:r>
    </w:p>
    <w:p w:rsidR="0044594F" w:rsidRDefault="0044594F" w:rsidP="0044594F">
      <w:pPr>
        <w:tabs>
          <w:tab w:val="left" w:pos="1136"/>
        </w:tabs>
        <w:ind w:left="1134" w:hanging="567"/>
        <w:rPr>
          <w:rFonts w:cs="Arial-BoldMT"/>
          <w:szCs w:val="23"/>
        </w:rPr>
      </w:pPr>
      <w:r w:rsidRPr="00927302">
        <w:rPr>
          <w:rFonts w:cs="Arial-BoldMT"/>
          <w:szCs w:val="23"/>
        </w:rPr>
        <w:t>(2)</w:t>
      </w:r>
      <w:r w:rsidRPr="00927302">
        <w:rPr>
          <w:rFonts w:cs="Arial-BoldMT"/>
          <w:szCs w:val="23"/>
        </w:rPr>
        <w:tab/>
        <w:t>the need to avoid unnecessary transaction costs.</w:t>
      </w:r>
    </w:p>
    <w:p w:rsidR="007E2D30" w:rsidRPr="00927302" w:rsidRDefault="007E2D30" w:rsidP="0044594F">
      <w:pPr>
        <w:tabs>
          <w:tab w:val="left" w:pos="1136"/>
        </w:tabs>
        <w:ind w:left="1134" w:hanging="567"/>
      </w:pPr>
    </w:p>
    <w:p w:rsidR="0044594F" w:rsidRDefault="0044594F" w:rsidP="009A26B4">
      <w:pPr>
        <w:pStyle w:val="Heading3"/>
      </w:pPr>
      <w:bookmarkStart w:id="40" w:name="_Ref133838900"/>
      <w:r w:rsidRPr="00927302">
        <w:t>Requirements of the AER’s Decision</w:t>
      </w:r>
      <w:bookmarkEnd w:id="40"/>
    </w:p>
    <w:p w:rsidR="0020322C" w:rsidRDefault="0044594F" w:rsidP="0020322C">
      <w:r w:rsidRPr="00927302">
        <w:t xml:space="preserve">The AER has established procedures for assigning or reassigning customers to tariff classes in </w:t>
      </w:r>
      <w:r w:rsidR="00E42A05">
        <w:t>Attachment 14</w:t>
      </w:r>
      <w:r w:rsidRPr="00927302">
        <w:t xml:space="preserve"> of its </w:t>
      </w:r>
      <w:r w:rsidR="00217741">
        <w:t xml:space="preserve">Preliminary </w:t>
      </w:r>
      <w:r w:rsidRPr="00927302">
        <w:t xml:space="preserve">Decision. </w:t>
      </w:r>
      <w:r>
        <w:t xml:space="preserve"> A</w:t>
      </w:r>
      <w:r w:rsidRPr="00927302">
        <w:t xml:space="preserve">t the commencement of the </w:t>
      </w:r>
      <w:r>
        <w:t>regulatory control period,</w:t>
      </w:r>
      <w:r w:rsidRPr="00927302">
        <w:t xml:space="preserve"> </w:t>
      </w:r>
      <w:r w:rsidR="00EA36E3">
        <w:t>SA Power Networks</w:t>
      </w:r>
      <w:r w:rsidR="0020322C" w:rsidRPr="0020322C">
        <w:t xml:space="preserve">’ retail customers will be taken to be “assigned” to the tariff class which </w:t>
      </w:r>
      <w:r w:rsidR="00EA36E3">
        <w:t>SA Power Networks</w:t>
      </w:r>
      <w:r w:rsidR="0020322C" w:rsidRPr="0020322C">
        <w:t xml:space="preserve"> was charging that retail customer immediately prior to 1 July 2015</w:t>
      </w:r>
      <w:r w:rsidR="0020322C" w:rsidRPr="0020322C">
        <w:rPr>
          <w:rStyle w:val="FootnoteReference"/>
        </w:rPr>
        <w:footnoteReference w:id="9"/>
      </w:r>
      <w:r w:rsidR="0020322C" w:rsidRPr="0020322C">
        <w:t>.</w:t>
      </w:r>
    </w:p>
    <w:p w:rsidR="007E2D30" w:rsidRPr="00584459" w:rsidRDefault="007E2D30" w:rsidP="0044594F"/>
    <w:p w:rsidR="00D63632" w:rsidRDefault="00E42A05" w:rsidP="0044594F">
      <w:r w:rsidRPr="00E42A05">
        <w:t xml:space="preserve">Attachment 14 </w:t>
      </w:r>
      <w:r w:rsidR="00217741">
        <w:t xml:space="preserve">Section </w:t>
      </w:r>
      <w:r w:rsidRPr="00E42A05">
        <w:t>D</w:t>
      </w:r>
      <w:r w:rsidR="0044594F" w:rsidRPr="00E42A05">
        <w:t xml:space="preserve"> of the </w:t>
      </w:r>
      <w:r w:rsidR="00477C39">
        <w:t>Preliminary Decision</w:t>
      </w:r>
      <w:r w:rsidR="0044594F" w:rsidRPr="00E42A05">
        <w:t xml:space="preserve"> contains procedures for the reassigning of customers to tariff classes, with which </w:t>
      </w:r>
      <w:r w:rsidR="00EA36E3">
        <w:t>SA Power Networks</w:t>
      </w:r>
      <w:r w:rsidR="0044594F" w:rsidRPr="00E42A05">
        <w:t xml:space="preserve"> must comply during the 201</w:t>
      </w:r>
      <w:r w:rsidRPr="00E42A05">
        <w:t>5-20</w:t>
      </w:r>
      <w:r w:rsidR="0044594F" w:rsidRPr="00E42A05">
        <w:t xml:space="preserve"> regulatory control period.  These procedures are set out </w:t>
      </w:r>
      <w:r w:rsidR="00673D52">
        <w:t>in Appendix J of this Proposal</w:t>
      </w:r>
      <w:r w:rsidR="0044594F" w:rsidRPr="00E42A05">
        <w:t>.</w:t>
      </w:r>
    </w:p>
    <w:p w:rsidR="0044594F" w:rsidRPr="00927302" w:rsidRDefault="0044594F" w:rsidP="0044594F">
      <w:pPr>
        <w:pStyle w:val="Heading2"/>
        <w:keepLines w:val="0"/>
        <w:pageBreakBefore/>
        <w:numPr>
          <w:ilvl w:val="1"/>
          <w:numId w:val="16"/>
        </w:numPr>
        <w:tabs>
          <w:tab w:val="left" w:pos="851"/>
        </w:tabs>
        <w:spacing w:after="240" w:line="240" w:lineRule="auto"/>
      </w:pPr>
      <w:bookmarkStart w:id="41" w:name="_Ref134012477"/>
      <w:bookmarkStart w:id="42" w:name="_Toc420009827"/>
      <w:r w:rsidRPr="00927302">
        <w:t>Standard control service tariffs and tariff classes</w:t>
      </w:r>
      <w:bookmarkEnd w:id="41"/>
      <w:bookmarkEnd w:id="42"/>
    </w:p>
    <w:p w:rsidR="0044594F" w:rsidRDefault="00EA36E3" w:rsidP="0044594F">
      <w:r>
        <w:t>SA Power Networks</w:t>
      </w:r>
      <w:r w:rsidR="0044594F" w:rsidRPr="00927302">
        <w:t xml:space="preserve">’ network use of system tariffs </w:t>
      </w:r>
      <w:r w:rsidR="0044594F">
        <w:t>are</w:t>
      </w:r>
      <w:r w:rsidR="0044594F" w:rsidRPr="00927302">
        <w:t xml:space="preserve"> </w:t>
      </w:r>
      <w:r w:rsidR="0044594F">
        <w:t>an</w:t>
      </w:r>
      <w:r w:rsidR="0044594F" w:rsidRPr="00927302">
        <w:t xml:space="preserve"> aggregation of distribution use of system tariffs, metering service tariffs and transmission cost recovery tariffs. </w:t>
      </w:r>
      <w:r w:rsidR="0044594F">
        <w:t xml:space="preserve"> The components of these tariffs are illustrated in </w:t>
      </w:r>
      <w:r w:rsidR="00575C9A">
        <w:fldChar w:fldCharType="begin"/>
      </w:r>
      <w:r w:rsidR="0044594F">
        <w:instrText xml:space="preserve"> REF _Ref135365114 \h </w:instrText>
      </w:r>
      <w:r w:rsidR="00575C9A">
        <w:fldChar w:fldCharType="separate"/>
      </w:r>
      <w:r w:rsidR="00A81AFE">
        <w:t xml:space="preserve">Figure </w:t>
      </w:r>
      <w:r w:rsidR="00A81AFE">
        <w:rPr>
          <w:noProof/>
        </w:rPr>
        <w:t>2</w:t>
      </w:r>
      <w:r w:rsidR="00575C9A">
        <w:fldChar w:fldCharType="end"/>
      </w:r>
      <w:r w:rsidR="0044594F">
        <w:t>.</w:t>
      </w:r>
    </w:p>
    <w:p w:rsidR="007E2D30" w:rsidRDefault="007E2D30" w:rsidP="0044594F"/>
    <w:p w:rsidR="00D63632" w:rsidRDefault="0044594F" w:rsidP="00D63632">
      <w:pPr>
        <w:pStyle w:val="Caption"/>
        <w:keepNext/>
      </w:pPr>
      <w:bookmarkStart w:id="43" w:name="_Ref135365114"/>
      <w:r>
        <w:t xml:space="preserve">Figure </w:t>
      </w:r>
      <w:r w:rsidR="00924A8F">
        <w:fldChar w:fldCharType="begin"/>
      </w:r>
      <w:r w:rsidR="00924A8F">
        <w:instrText xml:space="preserve"> SEQ Figure \* ARABIC </w:instrText>
      </w:r>
      <w:r w:rsidR="00924A8F">
        <w:fldChar w:fldCharType="separate"/>
      </w:r>
      <w:r w:rsidR="00A81AFE">
        <w:rPr>
          <w:noProof/>
        </w:rPr>
        <w:t>2</w:t>
      </w:r>
      <w:r w:rsidR="00924A8F">
        <w:rPr>
          <w:noProof/>
        </w:rPr>
        <w:fldChar w:fldCharType="end"/>
      </w:r>
      <w:bookmarkEnd w:id="43"/>
      <w:r>
        <w:t xml:space="preserve"> - Components of </w:t>
      </w:r>
      <w:r w:rsidR="00EA36E3">
        <w:t>SA Power Networks</w:t>
      </w:r>
      <w:r w:rsidR="00E32B94">
        <w:t>’ (formerly ETSA Utilities)</w:t>
      </w:r>
      <w:r>
        <w:t xml:space="preserve"> network tariffs</w:t>
      </w:r>
    </w:p>
    <w:p w:rsidR="0044594F" w:rsidRDefault="0044594F" w:rsidP="0044594F">
      <w:r>
        <w:rPr>
          <w:noProof/>
          <w:lang w:val="en-US"/>
        </w:rPr>
        <w:drawing>
          <wp:anchor distT="0" distB="0" distL="114300" distR="114300" simplePos="0" relativeHeight="251663360" behindDoc="0" locked="0" layoutInCell="1" allowOverlap="1">
            <wp:simplePos x="0" y="0"/>
            <wp:positionH relativeFrom="column">
              <wp:posOffset>7620</wp:posOffset>
            </wp:positionH>
            <wp:positionV relativeFrom="paragraph">
              <wp:posOffset>41275</wp:posOffset>
            </wp:positionV>
            <wp:extent cx="3115310" cy="5576570"/>
            <wp:effectExtent l="19050" t="0" r="8890" b="0"/>
            <wp:wrapSquare wrapText="bothSides"/>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3115310" cy="5576570"/>
                    </a:xfrm>
                    <a:prstGeom prst="rect">
                      <a:avLst/>
                    </a:prstGeom>
                    <a:noFill/>
                    <a:ln w="9525">
                      <a:noFill/>
                      <a:miter lim="800000"/>
                      <a:headEnd/>
                      <a:tailEnd/>
                    </a:ln>
                  </pic:spPr>
                </pic:pic>
              </a:graphicData>
            </a:graphic>
          </wp:anchor>
        </w:drawing>
      </w:r>
      <w:r>
        <w:t xml:space="preserve">Retailers may pass through the components of </w:t>
      </w:r>
      <w:r w:rsidR="00EA36E3">
        <w:t>SA Power Networks</w:t>
      </w:r>
      <w:r>
        <w:t>’ network tariffs to customers directly, or modify their structure by bundling with the retail component, which includes the cost of purchasing generated energy from the NEM and retail costs.</w:t>
      </w:r>
    </w:p>
    <w:p w:rsidR="007E2D30" w:rsidRDefault="007E2D30" w:rsidP="0044594F"/>
    <w:p w:rsidR="0044594F" w:rsidRDefault="0044594F" w:rsidP="0044594F">
      <w:r w:rsidRPr="00927302">
        <w:t xml:space="preserve">This </w:t>
      </w:r>
      <w:r w:rsidR="000B7F94">
        <w:t>Section</w:t>
      </w:r>
      <w:r w:rsidRPr="00927302">
        <w:t xml:space="preserve"> outlines the distribution tariff arrangements, which are designed to recover the cost of providing prescribed control services to customers.  These services are segregated into tariffs and tariff classes, which cover all of direct control services that </w:t>
      </w:r>
      <w:r w:rsidR="00EA36E3">
        <w:t>SA Power Networks</w:t>
      </w:r>
      <w:r w:rsidRPr="00927302">
        <w:t xml:space="preserve"> provides, as required by clauses 6.18.3(a) and 6.18.3(b).</w:t>
      </w:r>
    </w:p>
    <w:p w:rsidR="007E2D30" w:rsidRPr="00927302" w:rsidRDefault="007E2D30" w:rsidP="0044594F"/>
    <w:p w:rsidR="0044594F" w:rsidRDefault="000B7F94" w:rsidP="0044594F">
      <w:r w:rsidRPr="00673D52">
        <w:t>Section</w:t>
      </w:r>
      <w:r w:rsidR="0044594F" w:rsidRPr="00673D52">
        <w:t xml:space="preserve"> </w:t>
      </w:r>
      <w:r w:rsidR="00924A8F">
        <w:fldChar w:fldCharType="begin"/>
      </w:r>
      <w:r w:rsidR="00924A8F">
        <w:instrText xml:space="preserve"> REF _Ref133659116 \r \h  \* MERGEFORMAT </w:instrText>
      </w:r>
      <w:r w:rsidR="00924A8F">
        <w:fldChar w:fldCharType="separate"/>
      </w:r>
      <w:r w:rsidR="00A81AFE">
        <w:t>12</w:t>
      </w:r>
      <w:r w:rsidR="00924A8F">
        <w:fldChar w:fldCharType="end"/>
      </w:r>
      <w:r w:rsidR="0044594F" w:rsidRPr="00673D52">
        <w:t xml:space="preserve"> of</w:t>
      </w:r>
      <w:r w:rsidR="0044594F" w:rsidRPr="00927302">
        <w:t xml:space="preserve"> this Pricing Proposal outlines the arrangements for </w:t>
      </w:r>
      <w:r w:rsidR="00EA36E3">
        <w:t>SA Power Networks</w:t>
      </w:r>
      <w:r w:rsidR="0044594F" w:rsidRPr="00927302">
        <w:t>’ alternative control metering service tariffs, which in accordance with clause 6.18.3(c) of the Rules has been constituted as a separate tariff class with separate charging parameters.</w:t>
      </w:r>
    </w:p>
    <w:p w:rsidR="007E2D30" w:rsidRPr="00927302" w:rsidRDefault="007E2D30" w:rsidP="0044594F"/>
    <w:p w:rsidR="0044594F" w:rsidRDefault="0044594F" w:rsidP="0044594F">
      <w:r w:rsidRPr="00927302">
        <w:t xml:space="preserve">The transmission cost recovery </w:t>
      </w:r>
      <w:r w:rsidR="000B7F94" w:rsidRPr="00673D52">
        <w:t>Section</w:t>
      </w:r>
      <w:r w:rsidRPr="00673D52">
        <w:t xml:space="preserve"> </w:t>
      </w:r>
      <w:r w:rsidR="00924A8F">
        <w:fldChar w:fldCharType="begin"/>
      </w:r>
      <w:r w:rsidR="00924A8F">
        <w:instrText xml:space="preserve"> REF _Ref133826788 \r \h  \* MERGEFORMAT </w:instrText>
      </w:r>
      <w:r w:rsidR="00924A8F">
        <w:fldChar w:fldCharType="separate"/>
      </w:r>
      <w:r w:rsidR="00A81AFE">
        <w:t>9</w:t>
      </w:r>
      <w:r w:rsidR="00924A8F">
        <w:fldChar w:fldCharType="end"/>
      </w:r>
      <w:r w:rsidRPr="00927302">
        <w:t xml:space="preserve"> describes how the transmission costs incurred by </w:t>
      </w:r>
      <w:r w:rsidR="00EA36E3">
        <w:t>SA Power Networks</w:t>
      </w:r>
      <w:r w:rsidRPr="00927302">
        <w:t xml:space="preserve"> are recovered from customers, again with separate charging parameters. </w:t>
      </w:r>
    </w:p>
    <w:p w:rsidR="007E2D30" w:rsidRDefault="007E2D30" w:rsidP="0044594F"/>
    <w:p w:rsidR="007E2D30" w:rsidRDefault="007E2D30" w:rsidP="0044594F"/>
    <w:p w:rsidR="007E2D30" w:rsidRDefault="007E2D30" w:rsidP="0044594F"/>
    <w:p w:rsidR="0044594F" w:rsidRDefault="0044594F" w:rsidP="0044594F">
      <w:r>
        <w:t xml:space="preserve">The process by which </w:t>
      </w:r>
      <w:r w:rsidR="00EA36E3">
        <w:t>SA Power Networks</w:t>
      </w:r>
      <w:r>
        <w:t xml:space="preserve"> recovers the SA Government </w:t>
      </w:r>
      <w:r w:rsidR="00217741">
        <w:t xml:space="preserve">Solar PV </w:t>
      </w:r>
      <w:r>
        <w:t xml:space="preserve">FiT payments through the PV </w:t>
      </w:r>
      <w:r w:rsidR="00217741">
        <w:t>Jurisdictional Scheme Amount (JSA)</w:t>
      </w:r>
      <w:r>
        <w:t xml:space="preserve"> is described in </w:t>
      </w:r>
      <w:r w:rsidR="000B7F94">
        <w:t>Section</w:t>
      </w:r>
      <w:r>
        <w:t xml:space="preserve"> </w:t>
      </w:r>
      <w:r w:rsidR="00575C9A">
        <w:fldChar w:fldCharType="begin"/>
      </w:r>
      <w:r>
        <w:instrText xml:space="preserve"> REF _Ref323294194 \r \h </w:instrText>
      </w:r>
      <w:r w:rsidR="00575C9A">
        <w:fldChar w:fldCharType="separate"/>
      </w:r>
      <w:r w:rsidR="00A81AFE">
        <w:t>10</w:t>
      </w:r>
      <w:r w:rsidR="00575C9A">
        <w:fldChar w:fldCharType="end"/>
      </w:r>
      <w:r>
        <w:t>.  This is applied as a percentage uplift to the DUoS charge.</w:t>
      </w:r>
    </w:p>
    <w:p w:rsidR="007E2D30" w:rsidRDefault="007E2D30" w:rsidP="0044594F"/>
    <w:p w:rsidR="0044594F" w:rsidRDefault="0044594F" w:rsidP="0044594F">
      <w:r w:rsidRPr="00927302">
        <w:t>The grouping of customers into standard control service tariffs has historically distinguished between customers on the basis of the following factors:</w:t>
      </w:r>
    </w:p>
    <w:p w:rsidR="007E2D30" w:rsidRPr="00927302" w:rsidRDefault="007E2D30" w:rsidP="0044594F"/>
    <w:p w:rsidR="0044594F" w:rsidRPr="00927302" w:rsidRDefault="0044594F" w:rsidP="0044594F">
      <w:pPr>
        <w:pStyle w:val="ListParagraph"/>
        <w:numPr>
          <w:ilvl w:val="0"/>
          <w:numId w:val="24"/>
        </w:numPr>
        <w:tabs>
          <w:tab w:val="left" w:pos="709"/>
        </w:tabs>
        <w:spacing w:after="120" w:line="240" w:lineRule="auto"/>
        <w:ind w:hanging="436"/>
        <w:contextualSpacing w:val="0"/>
      </w:pPr>
      <w:r w:rsidRPr="00927302">
        <w:t>The nature and extent of usage of different types of customer;</w:t>
      </w:r>
    </w:p>
    <w:p w:rsidR="0044594F" w:rsidRPr="00927302" w:rsidRDefault="0044594F" w:rsidP="0044594F">
      <w:pPr>
        <w:pStyle w:val="ListParagraph"/>
        <w:numPr>
          <w:ilvl w:val="0"/>
          <w:numId w:val="24"/>
        </w:numPr>
        <w:tabs>
          <w:tab w:val="left" w:pos="709"/>
        </w:tabs>
        <w:spacing w:after="120" w:line="240" w:lineRule="auto"/>
        <w:ind w:hanging="436"/>
        <w:contextualSpacing w:val="0"/>
      </w:pPr>
      <w:r w:rsidRPr="00927302">
        <w:t>For business customers, nature of connection to the network, including the capacity and location or voltage of connection;</w:t>
      </w:r>
    </w:p>
    <w:p w:rsidR="0044594F" w:rsidRPr="00927302" w:rsidRDefault="0044594F" w:rsidP="0044594F">
      <w:pPr>
        <w:pStyle w:val="ListParagraph"/>
        <w:numPr>
          <w:ilvl w:val="0"/>
          <w:numId w:val="24"/>
        </w:numPr>
        <w:tabs>
          <w:tab w:val="left" w:pos="709"/>
        </w:tabs>
        <w:spacing w:after="120" w:line="240" w:lineRule="auto"/>
        <w:ind w:hanging="436"/>
        <w:contextualSpacing w:val="0"/>
      </w:pPr>
      <w:r w:rsidRPr="00927302">
        <w:t>Whether the customer also receives a controlled load service; and</w:t>
      </w:r>
    </w:p>
    <w:p w:rsidR="0044594F" w:rsidRDefault="0044594F" w:rsidP="0044594F">
      <w:pPr>
        <w:pStyle w:val="ListParagraph"/>
        <w:numPr>
          <w:ilvl w:val="0"/>
          <w:numId w:val="24"/>
        </w:numPr>
        <w:tabs>
          <w:tab w:val="left" w:pos="709"/>
        </w:tabs>
        <w:spacing w:after="240" w:line="240" w:lineRule="auto"/>
        <w:ind w:left="721" w:hanging="437"/>
        <w:contextualSpacing w:val="0"/>
      </w:pPr>
      <w:r w:rsidRPr="00927302">
        <w:t>The type of meter installed at the premises, with a distinction between Types 1-4 metering and Types 5-6 metering.</w:t>
      </w:r>
    </w:p>
    <w:p w:rsidR="00E42A05" w:rsidRDefault="00E42A05" w:rsidP="00E42A05">
      <w:pPr>
        <w:tabs>
          <w:tab w:val="left" w:pos="709"/>
        </w:tabs>
        <w:spacing w:after="240" w:line="240" w:lineRule="auto"/>
      </w:pPr>
      <w:r>
        <w:t>Two new factors have been created for this pricing proposal:</w:t>
      </w:r>
    </w:p>
    <w:p w:rsidR="00E42A05" w:rsidRDefault="00E42A05" w:rsidP="00E42A05">
      <w:pPr>
        <w:pStyle w:val="ListParagraph"/>
        <w:numPr>
          <w:ilvl w:val="0"/>
          <w:numId w:val="24"/>
        </w:numPr>
        <w:tabs>
          <w:tab w:val="left" w:pos="709"/>
        </w:tabs>
        <w:spacing w:after="120" w:line="240" w:lineRule="auto"/>
        <w:ind w:hanging="436"/>
        <w:contextualSpacing w:val="0"/>
      </w:pPr>
      <w:r>
        <w:t xml:space="preserve">Whether a residential customer has a solar </w:t>
      </w:r>
      <w:r w:rsidR="00217741">
        <w:t xml:space="preserve">PV </w:t>
      </w:r>
      <w:r>
        <w:t>system installed, as this results in a different load profile being assumed; and</w:t>
      </w:r>
    </w:p>
    <w:p w:rsidR="00E42A05" w:rsidRPr="00927302" w:rsidRDefault="00E42A05" w:rsidP="00E42A05">
      <w:pPr>
        <w:pStyle w:val="ListParagraph"/>
        <w:numPr>
          <w:ilvl w:val="0"/>
          <w:numId w:val="24"/>
        </w:numPr>
        <w:tabs>
          <w:tab w:val="left" w:pos="709"/>
        </w:tabs>
        <w:spacing w:after="120" w:line="240" w:lineRule="auto"/>
        <w:ind w:hanging="436"/>
        <w:contextualSpacing w:val="0"/>
      </w:pPr>
      <w:r>
        <w:t xml:space="preserve">Whether the retailer has advised that the customer is participating in a hardship program, as this may result in the assignment of the </w:t>
      </w:r>
      <w:r w:rsidR="00217741">
        <w:t>residential Social tariff</w:t>
      </w:r>
      <w:r>
        <w:t>.</w:t>
      </w:r>
    </w:p>
    <w:p w:rsidR="0044594F" w:rsidRDefault="0044594F" w:rsidP="0044594F">
      <w:r w:rsidRPr="00927302">
        <w:t xml:space="preserve">It should be noted that </w:t>
      </w:r>
      <w:r w:rsidR="00EA36E3">
        <w:t>SA Power Networks</w:t>
      </w:r>
      <w:r w:rsidRPr="00927302">
        <w:t xml:space="preserve"> </w:t>
      </w:r>
      <w:r w:rsidRPr="004470C7">
        <w:t>uses net metering for all customer billing</w:t>
      </w:r>
      <w:r w:rsidR="00E42A05">
        <w:t>.  We</w:t>
      </w:r>
      <w:r>
        <w:t xml:space="preserve"> </w:t>
      </w:r>
      <w:r w:rsidRPr="00927302">
        <w:t xml:space="preserve">distinguish </w:t>
      </w:r>
      <w:r w:rsidR="001620D3">
        <w:t xml:space="preserve">in the network tariff </w:t>
      </w:r>
      <w:r w:rsidRPr="00927302">
        <w:t xml:space="preserve">between </w:t>
      </w:r>
      <w:r w:rsidR="001620D3">
        <w:t xml:space="preserve">residential </w:t>
      </w:r>
      <w:r w:rsidRPr="00927302">
        <w:t xml:space="preserve">customers with </w:t>
      </w:r>
      <w:r w:rsidR="001620D3">
        <w:t xml:space="preserve">PV </w:t>
      </w:r>
      <w:r w:rsidRPr="00927302">
        <w:t>micro-generation and those without</w:t>
      </w:r>
      <w:r w:rsidR="001620D3">
        <w:t xml:space="preserve"> only to the extent that they reflect </w:t>
      </w:r>
      <w:r w:rsidR="00061DB0">
        <w:t xml:space="preserve">demonstrably </w:t>
      </w:r>
      <w:r w:rsidR="001620D3">
        <w:t>different load profiles in the customer usage, not in respect of any energy exported</w:t>
      </w:r>
      <w:r w:rsidRPr="00927302">
        <w:t>.</w:t>
      </w:r>
    </w:p>
    <w:p w:rsidR="007E2D30" w:rsidRPr="00927302" w:rsidRDefault="007E2D30" w:rsidP="0044594F"/>
    <w:p w:rsidR="0044594F" w:rsidRDefault="0044594F" w:rsidP="0044594F">
      <w:r w:rsidRPr="00927302">
        <w:t xml:space="preserve">Clearly, in establishing tariff classes that are to be used for the purpose of monitoring pricing compliance, it is desirable and appropriate that similar individual tariffs should be grouped together.  This is particularly the case for some business tariffs, where one or a few large customers would dominate the class and the side constraint would not apply to a tariff class but </w:t>
      </w:r>
      <w:r w:rsidR="00217741">
        <w:t xml:space="preserve">for </w:t>
      </w:r>
      <w:r w:rsidRPr="00927302">
        <w:t xml:space="preserve">those large customers. </w:t>
      </w:r>
    </w:p>
    <w:p w:rsidR="007E2D30" w:rsidRPr="00927302" w:rsidRDefault="007E2D30" w:rsidP="0044594F"/>
    <w:p w:rsidR="0044594F" w:rsidRDefault="00EA36E3" w:rsidP="0044594F">
      <w:r>
        <w:t>SA Power Networks</w:t>
      </w:r>
      <w:r w:rsidR="0044594F" w:rsidRPr="00927302">
        <w:t xml:space="preserve">’ network tariffs and tariff classes for </w:t>
      </w:r>
      <w:r w:rsidR="006377DC">
        <w:t>2015-16</w:t>
      </w:r>
      <w:r w:rsidR="0044594F">
        <w:t xml:space="preserve"> </w:t>
      </w:r>
      <w:r w:rsidR="0044594F" w:rsidRPr="00927302">
        <w:t xml:space="preserve">are shown in </w:t>
      </w:r>
      <w:r w:rsidR="00924A8F">
        <w:fldChar w:fldCharType="begin"/>
      </w:r>
      <w:r w:rsidR="00924A8F">
        <w:instrText xml:space="preserve"> REF _Ref227035842 \h  \* MERGEFORMAT </w:instrText>
      </w:r>
      <w:r w:rsidR="00924A8F">
        <w:fldChar w:fldCharType="separate"/>
      </w:r>
      <w:r w:rsidR="00A81AFE" w:rsidRPr="00673D52">
        <w:t xml:space="preserve">Figure </w:t>
      </w:r>
      <w:r w:rsidR="00A81AFE">
        <w:t>3</w:t>
      </w:r>
      <w:r w:rsidR="00924A8F">
        <w:fldChar w:fldCharType="end"/>
      </w:r>
      <w:r w:rsidR="0044594F" w:rsidRPr="00927302">
        <w:t xml:space="preserve"> below.  The tariff classes have been constituted with regard to the provisions of clause 6.18.3(d) of the Rules concerning economic efficiency and transaction costs.  As is apparent from the diagram, the suite of tariffs provides:</w:t>
      </w:r>
    </w:p>
    <w:p w:rsidR="007E2D30" w:rsidRPr="00927302" w:rsidRDefault="007E2D30" w:rsidP="0044594F"/>
    <w:p w:rsidR="0044594F" w:rsidRPr="00927302" w:rsidRDefault="0044594F" w:rsidP="0044594F">
      <w:pPr>
        <w:pStyle w:val="ListParagraph"/>
        <w:numPr>
          <w:ilvl w:val="0"/>
          <w:numId w:val="24"/>
        </w:numPr>
        <w:tabs>
          <w:tab w:val="left" w:pos="709"/>
        </w:tabs>
        <w:spacing w:after="120" w:line="240" w:lineRule="auto"/>
        <w:ind w:hanging="436"/>
        <w:contextualSpacing w:val="0"/>
      </w:pPr>
      <w:r w:rsidRPr="00927302">
        <w:t>A range of tariffs which are dependent upon a customer’s size, consumption characteristics and voltage of connection (these factors are generally related); and</w:t>
      </w:r>
    </w:p>
    <w:p w:rsidR="0044594F" w:rsidRDefault="0044594F" w:rsidP="0044594F">
      <w:pPr>
        <w:pStyle w:val="ListParagraph"/>
        <w:numPr>
          <w:ilvl w:val="0"/>
          <w:numId w:val="24"/>
        </w:numPr>
        <w:tabs>
          <w:tab w:val="left" w:pos="709"/>
        </w:tabs>
        <w:spacing w:after="240" w:line="240" w:lineRule="auto"/>
        <w:ind w:left="721" w:hanging="437"/>
        <w:contextualSpacing w:val="0"/>
      </w:pPr>
      <w:r w:rsidRPr="00927302">
        <w:t>A level of sophistication in the pricing and billing, in some cases facilitated by the metering arrangements.</w:t>
      </w:r>
    </w:p>
    <w:p w:rsidR="0044594F" w:rsidRPr="00927302" w:rsidRDefault="0044594F" w:rsidP="0044594F">
      <w:pPr>
        <w:pStyle w:val="Caption"/>
        <w:keepNext/>
      </w:pPr>
      <w:bookmarkStart w:id="44" w:name="_Ref227035842"/>
      <w:r w:rsidRPr="00673D52">
        <w:t xml:space="preserve">Figure </w:t>
      </w:r>
      <w:r w:rsidR="00575C9A" w:rsidRPr="00673D52">
        <w:fldChar w:fldCharType="begin"/>
      </w:r>
      <w:r w:rsidR="00E11628" w:rsidRPr="00673D52">
        <w:instrText xml:space="preserve"> SEQ Figure \* ARABIC </w:instrText>
      </w:r>
      <w:r w:rsidR="00575C9A" w:rsidRPr="00673D52">
        <w:fldChar w:fldCharType="separate"/>
      </w:r>
      <w:r w:rsidR="00A81AFE">
        <w:rPr>
          <w:noProof/>
        </w:rPr>
        <w:t>3</w:t>
      </w:r>
      <w:r w:rsidR="00575C9A" w:rsidRPr="00673D52">
        <w:fldChar w:fldCharType="end"/>
      </w:r>
      <w:bookmarkEnd w:id="44"/>
      <w:r w:rsidRPr="00673D52">
        <w:t xml:space="preserve"> - </w:t>
      </w:r>
      <w:r w:rsidR="00EA36E3">
        <w:t>SA Power Networks</w:t>
      </w:r>
      <w:r w:rsidRPr="00673D52">
        <w:t>’ existing network tariffs</w:t>
      </w:r>
    </w:p>
    <w:p w:rsidR="0044594F" w:rsidRDefault="0044594F" w:rsidP="0044594F">
      <w:r>
        <w:rPr>
          <w:noProof/>
          <w:lang w:val="en-US"/>
        </w:rPr>
        <w:drawing>
          <wp:inline distT="0" distB="0" distL="0" distR="0">
            <wp:extent cx="5702300" cy="3606800"/>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702300" cy="3606800"/>
                    </a:xfrm>
                    <a:prstGeom prst="rect">
                      <a:avLst/>
                    </a:prstGeom>
                    <a:noFill/>
                    <a:ln w="9525">
                      <a:noFill/>
                      <a:miter lim="800000"/>
                      <a:headEnd/>
                      <a:tailEnd/>
                    </a:ln>
                  </pic:spPr>
                </pic:pic>
              </a:graphicData>
            </a:graphic>
          </wp:inline>
        </w:drawing>
      </w:r>
    </w:p>
    <w:p w:rsidR="007E2D30" w:rsidRPr="00927302" w:rsidRDefault="007E2D30" w:rsidP="0044594F"/>
    <w:p w:rsidR="0044594F" w:rsidRPr="00927302" w:rsidRDefault="0044594F" w:rsidP="009A26B4">
      <w:pPr>
        <w:pStyle w:val="Heading3"/>
      </w:pPr>
      <w:r w:rsidRPr="00927302">
        <w:t>Standard control services tariffs</w:t>
      </w:r>
    </w:p>
    <w:p w:rsidR="0044594F" w:rsidRDefault="0044594F" w:rsidP="0044594F">
      <w:r w:rsidRPr="00927302">
        <w:t xml:space="preserve">The tariffs </w:t>
      </w:r>
      <w:r w:rsidRPr="00673D52">
        <w:t xml:space="preserve">in </w:t>
      </w:r>
      <w:r w:rsidR="00924A8F">
        <w:fldChar w:fldCharType="begin"/>
      </w:r>
      <w:r w:rsidR="00924A8F">
        <w:instrText xml:space="preserve"> REF _Ref227035842 \h  \* MERGEFORMAT </w:instrText>
      </w:r>
      <w:r w:rsidR="00924A8F">
        <w:fldChar w:fldCharType="separate"/>
      </w:r>
      <w:r w:rsidR="00A81AFE" w:rsidRPr="00673D52">
        <w:t xml:space="preserve">Figure </w:t>
      </w:r>
      <w:r w:rsidR="00A81AFE">
        <w:t>3</w:t>
      </w:r>
      <w:r w:rsidR="00924A8F">
        <w:fldChar w:fldCharType="end"/>
      </w:r>
      <w:r w:rsidRPr="00673D52">
        <w:t xml:space="preserve"> cover</w:t>
      </w:r>
      <w:r w:rsidRPr="00927302">
        <w:t xml:space="preserve"> a diverse range of customer requirements. </w:t>
      </w:r>
    </w:p>
    <w:p w:rsidR="007E2D30" w:rsidRPr="00927302" w:rsidRDefault="007E2D30" w:rsidP="0044594F"/>
    <w:p w:rsidR="0044594F" w:rsidRDefault="0044594F" w:rsidP="0044594F">
      <w:r w:rsidRPr="00927302">
        <w:t xml:space="preserve">Residential customer tariffs have a fixed daily charge (termed the Supply Rate) and an inclining block energy component, in common with the tariff structures of many utilities.  </w:t>
      </w:r>
      <w:r w:rsidRPr="002229DE">
        <w:t>In 2009</w:t>
      </w:r>
      <w:r w:rsidR="00F663DB" w:rsidRPr="002229DE">
        <w:t>/</w:t>
      </w:r>
      <w:r w:rsidRPr="002229DE">
        <w:t>10, the inclining block energy charge was modified to include four block levels</w:t>
      </w:r>
      <w:r w:rsidRPr="00927302">
        <w:t>.</w:t>
      </w:r>
      <w:r w:rsidR="00DD2C11">
        <w:t xml:space="preserve">  In 2014/15 the tariff reverted to two blocks. </w:t>
      </w:r>
      <w:r>
        <w:t xml:space="preserve">  A separate energy rate applies to the energy consum</w:t>
      </w:r>
      <w:r w:rsidR="00DD2C11">
        <w:t>ption within each block level.</w:t>
      </w:r>
      <w:r w:rsidR="00217741">
        <w:t xml:space="preserve"> A residential actual demand tariff was introduced in 2014/15. In 2015/16, a residential Solar tariff and a residential Social tariff are being included.</w:t>
      </w:r>
    </w:p>
    <w:p w:rsidR="007E2D30" w:rsidRPr="00927302" w:rsidRDefault="007E2D30" w:rsidP="0044594F"/>
    <w:p w:rsidR="0044594F" w:rsidRPr="00927302" w:rsidRDefault="0044594F" w:rsidP="0044594F">
      <w:pPr>
        <w:keepNext/>
        <w:spacing w:after="120"/>
      </w:pPr>
      <w:r w:rsidRPr="00927302">
        <w:t>Business customer tariffs cover the range of:</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Inclining block energy tariffs for small Low Voltage connected customers;</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 xml:space="preserve">Two rate Time of Use (peak and off peak) for </w:t>
      </w:r>
      <w:r w:rsidR="00DD2C11">
        <w:t xml:space="preserve">medium </w:t>
      </w:r>
      <w:r w:rsidRPr="00927302">
        <w:t xml:space="preserve"> Low Voltage connected customers; </w:t>
      </w:r>
    </w:p>
    <w:p w:rsidR="0044594F" w:rsidRDefault="0044594F" w:rsidP="0044594F">
      <w:pPr>
        <w:pStyle w:val="ListParagraph"/>
        <w:numPr>
          <w:ilvl w:val="0"/>
          <w:numId w:val="22"/>
        </w:numPr>
        <w:tabs>
          <w:tab w:val="left" w:pos="851"/>
        </w:tabs>
        <w:spacing w:after="120" w:line="240" w:lineRule="auto"/>
        <w:ind w:left="850" w:hanging="425"/>
        <w:contextualSpacing w:val="0"/>
      </w:pPr>
      <w:r w:rsidRPr="00927302">
        <w:t xml:space="preserve">kVA </w:t>
      </w:r>
      <w:r w:rsidR="00DD2C11">
        <w:t xml:space="preserve">agreed </w:t>
      </w:r>
      <w:r w:rsidRPr="00927302">
        <w:t>demand tariffs for large customers at all voltage levels, with individually calculated (locational) transmission prices for those customers with a demand in excess of 10 MW</w:t>
      </w:r>
      <w:r>
        <w:t>.</w:t>
      </w:r>
      <w:r w:rsidRPr="00927302">
        <w:t xml:space="preserve">  The demand charge is stepped according to the customer’s size, to reflect the cost of providing network capacity at the particular voltage level</w:t>
      </w:r>
      <w:r w:rsidR="00DD2C11">
        <w:t xml:space="preserve"> and location; and</w:t>
      </w:r>
    </w:p>
    <w:p w:rsidR="00DD2C11" w:rsidRPr="00927302" w:rsidRDefault="00DD2C11" w:rsidP="0044594F">
      <w:pPr>
        <w:pStyle w:val="ListParagraph"/>
        <w:numPr>
          <w:ilvl w:val="0"/>
          <w:numId w:val="22"/>
        </w:numPr>
        <w:tabs>
          <w:tab w:val="left" w:pos="851"/>
        </w:tabs>
        <w:spacing w:after="120" w:line="240" w:lineRule="auto"/>
        <w:ind w:left="850" w:hanging="425"/>
        <w:contextualSpacing w:val="0"/>
      </w:pPr>
      <w:r>
        <w:t xml:space="preserve">From July 2015, an </w:t>
      </w:r>
      <w:r w:rsidR="00217741">
        <w:t>actual</w:t>
      </w:r>
      <w:r>
        <w:t xml:space="preserve"> kVA demand tarif</w:t>
      </w:r>
      <w:r w:rsidR="00217741">
        <w:t>f suitable for large customers</w:t>
      </w:r>
      <w:r>
        <w:t>, for seasonal large customers whose load varies across the year and also those large customers with very flexible load.  Medium business customers can also opt-in for this tariff.</w:t>
      </w:r>
    </w:p>
    <w:p w:rsidR="0044594F" w:rsidRPr="00927302" w:rsidRDefault="0044594F" w:rsidP="009A26B4">
      <w:pPr>
        <w:pStyle w:val="Heading3"/>
      </w:pPr>
      <w:r w:rsidRPr="00927302">
        <w:t>Standard control services tariff classes</w:t>
      </w:r>
    </w:p>
    <w:p w:rsidR="0044594F" w:rsidRPr="00927302" w:rsidRDefault="0044594F" w:rsidP="0044594F">
      <w:pPr>
        <w:keepNext/>
        <w:spacing w:after="120"/>
      </w:pPr>
      <w:r w:rsidRPr="00927302">
        <w:t xml:space="preserve">The four tariff classes </w:t>
      </w:r>
      <w:r>
        <w:t>that</w:t>
      </w:r>
      <w:r w:rsidRPr="00927302">
        <w:t xml:space="preserve"> </w:t>
      </w:r>
      <w:r w:rsidR="00EA36E3">
        <w:t>SA Power Networks</w:t>
      </w:r>
      <w:r w:rsidRPr="00927302">
        <w:t xml:space="preserve"> has established are as follows:</w:t>
      </w:r>
    </w:p>
    <w:p w:rsidR="0044594F" w:rsidRPr="00927302" w:rsidRDefault="0044594F" w:rsidP="0044594F">
      <w:pPr>
        <w:pStyle w:val="ListParagraph"/>
        <w:keepNext/>
        <w:numPr>
          <w:ilvl w:val="0"/>
          <w:numId w:val="24"/>
        </w:numPr>
        <w:tabs>
          <w:tab w:val="left" w:pos="709"/>
        </w:tabs>
        <w:spacing w:after="120" w:line="240" w:lineRule="auto"/>
        <w:ind w:left="721" w:hanging="437"/>
        <w:contextualSpacing w:val="0"/>
      </w:pPr>
      <w:r w:rsidRPr="00927302">
        <w:t>Major business (11</w:t>
      </w:r>
      <w:r w:rsidR="00DD2C11">
        <w:t xml:space="preserve"> kV substation connection through </w:t>
      </w:r>
      <w:r w:rsidRPr="00927302">
        <w:t xml:space="preserve"> to 66 kV);</w:t>
      </w:r>
    </w:p>
    <w:p w:rsidR="0044594F" w:rsidRPr="00927302" w:rsidRDefault="0044594F" w:rsidP="0044594F">
      <w:pPr>
        <w:pStyle w:val="ListParagraph"/>
        <w:numPr>
          <w:ilvl w:val="0"/>
          <w:numId w:val="24"/>
        </w:numPr>
        <w:tabs>
          <w:tab w:val="left" w:pos="709"/>
        </w:tabs>
        <w:spacing w:after="120" w:line="240" w:lineRule="auto"/>
        <w:ind w:left="721" w:hanging="437"/>
        <w:contextualSpacing w:val="0"/>
      </w:pPr>
      <w:r w:rsidRPr="00927302">
        <w:t>High Voltage business</w:t>
      </w:r>
      <w:r w:rsidR="00DD2C11">
        <w:t xml:space="preserve"> (typically at 11 kV)</w:t>
      </w:r>
    </w:p>
    <w:p w:rsidR="0044594F" w:rsidRPr="00927302" w:rsidRDefault="0044594F" w:rsidP="0044594F">
      <w:pPr>
        <w:pStyle w:val="ListParagraph"/>
        <w:numPr>
          <w:ilvl w:val="0"/>
          <w:numId w:val="24"/>
        </w:numPr>
        <w:tabs>
          <w:tab w:val="left" w:pos="709"/>
        </w:tabs>
        <w:spacing w:after="120" w:line="240" w:lineRule="auto"/>
        <w:ind w:left="721" w:hanging="437"/>
        <w:contextualSpacing w:val="0"/>
      </w:pPr>
      <w:r w:rsidRPr="00927302">
        <w:t>Low voltage business including unmetered supplies; and</w:t>
      </w:r>
    </w:p>
    <w:p w:rsidR="0044594F" w:rsidRPr="00927302" w:rsidRDefault="0044594F" w:rsidP="0044594F">
      <w:pPr>
        <w:pStyle w:val="ListParagraph"/>
        <w:numPr>
          <w:ilvl w:val="0"/>
          <w:numId w:val="24"/>
        </w:numPr>
        <w:tabs>
          <w:tab w:val="left" w:pos="709"/>
        </w:tabs>
        <w:spacing w:after="240" w:line="240" w:lineRule="auto"/>
        <w:ind w:left="721" w:hanging="437"/>
        <w:contextualSpacing w:val="0"/>
      </w:pPr>
      <w:r w:rsidRPr="00927302">
        <w:t>Residential.</w:t>
      </w:r>
    </w:p>
    <w:p w:rsidR="0044594F" w:rsidRDefault="00EA36E3" w:rsidP="0044594F">
      <w:r>
        <w:t>SA Power Networks</w:t>
      </w:r>
      <w:r w:rsidR="0044594F" w:rsidRPr="00927302">
        <w:t xml:space="preserve"> has illustrated the grouping of its individual tariffs into tariff classes </w:t>
      </w:r>
      <w:r w:rsidR="0044594F" w:rsidRPr="00673D52">
        <w:t xml:space="preserve">in </w:t>
      </w:r>
      <w:r w:rsidR="00924A8F">
        <w:fldChar w:fldCharType="begin"/>
      </w:r>
      <w:r w:rsidR="00924A8F">
        <w:instrText xml:space="preserve"> REF _Ref227035842 \h  \* MERGEFORMAT </w:instrText>
      </w:r>
      <w:r w:rsidR="00924A8F">
        <w:fldChar w:fldCharType="separate"/>
      </w:r>
      <w:r w:rsidR="00A81AFE" w:rsidRPr="00673D52">
        <w:t xml:space="preserve">Figure </w:t>
      </w:r>
      <w:r w:rsidR="00A81AFE">
        <w:t>3</w:t>
      </w:r>
      <w:r w:rsidR="00924A8F">
        <w:fldChar w:fldCharType="end"/>
      </w:r>
      <w:r w:rsidR="0044594F">
        <w:t xml:space="preserve"> </w:t>
      </w:r>
      <w:r w:rsidR="0044594F" w:rsidRPr="00927302">
        <w:t xml:space="preserve">using red outlines.  </w:t>
      </w:r>
    </w:p>
    <w:p w:rsidR="00B2442C" w:rsidRPr="00927302" w:rsidRDefault="00B2442C" w:rsidP="0044594F"/>
    <w:p w:rsidR="0044594F" w:rsidRDefault="0044594F" w:rsidP="0044594F">
      <w:r w:rsidRPr="00927302">
        <w:t xml:space="preserve">A description of the tariffs in each of the tariff classes and their charging parameters follows.  More detailed information on the application of the tariffs is available from </w:t>
      </w:r>
      <w:r w:rsidR="00EA36E3">
        <w:t>SA Power Networks</w:t>
      </w:r>
      <w:r w:rsidRPr="00927302">
        <w:t xml:space="preserve">’ website.  This </w:t>
      </w:r>
      <w:r w:rsidR="000B7F94">
        <w:t>Section</w:t>
      </w:r>
      <w:r w:rsidRPr="00927302">
        <w:t xml:space="preserve"> does not describe the range of obsolete tariffs.</w:t>
      </w:r>
    </w:p>
    <w:p w:rsidR="00B2442C" w:rsidRPr="00927302" w:rsidRDefault="00B2442C" w:rsidP="0044594F"/>
    <w:p w:rsidR="0044594F" w:rsidRDefault="0044594F" w:rsidP="0044594F">
      <w:r w:rsidRPr="00927302">
        <w:t xml:space="preserve">Note that, for completeness, those components of charging parameters associated with transmission recovery tariffs and alternative control services have been shown in the following </w:t>
      </w:r>
      <w:r w:rsidR="000B7F94">
        <w:t>Section</w:t>
      </w:r>
      <w:r w:rsidRPr="00927302">
        <w:t>.</w:t>
      </w:r>
    </w:p>
    <w:p w:rsidR="00B2442C" w:rsidRPr="00927302" w:rsidRDefault="00B2442C" w:rsidP="0044594F"/>
    <w:p w:rsidR="0044594F" w:rsidRPr="00927302" w:rsidRDefault="0044594F" w:rsidP="0044594F">
      <w:pPr>
        <w:pStyle w:val="Heading2"/>
        <w:keepLines w:val="0"/>
        <w:numPr>
          <w:ilvl w:val="1"/>
          <w:numId w:val="16"/>
        </w:numPr>
        <w:tabs>
          <w:tab w:val="left" w:pos="851"/>
        </w:tabs>
        <w:spacing w:after="240" w:line="240" w:lineRule="auto"/>
      </w:pPr>
      <w:bookmarkStart w:id="45" w:name="_Ref134004736"/>
      <w:bookmarkStart w:id="46" w:name="_Toc420009828"/>
      <w:r w:rsidRPr="00927302">
        <w:t>Low voltage residential tariff class</w:t>
      </w:r>
      <w:bookmarkEnd w:id="45"/>
      <w:bookmarkEnd w:id="46"/>
    </w:p>
    <w:p w:rsidR="0044594F" w:rsidRDefault="0044594F" w:rsidP="0044594F">
      <w:r w:rsidRPr="00927302">
        <w:t>This tariff class includes the residential single rate and controlled load tariffs.</w:t>
      </w:r>
    </w:p>
    <w:p w:rsidR="00B2442C" w:rsidRPr="00927302" w:rsidRDefault="00B2442C" w:rsidP="0044594F"/>
    <w:p w:rsidR="0044594F" w:rsidRPr="00927302" w:rsidRDefault="0044594F" w:rsidP="009A26B4">
      <w:pPr>
        <w:pStyle w:val="Heading3"/>
      </w:pPr>
      <w:r w:rsidRPr="00927302">
        <w:t>Low voltage residential single rate tariff</w:t>
      </w:r>
    </w:p>
    <w:p w:rsidR="0044594F" w:rsidRDefault="0044594F" w:rsidP="00DD2C11">
      <w:r w:rsidRPr="00927302">
        <w:t xml:space="preserve">The low voltage residential single rate tariff is available to eligible residential customers taking supply at less than 1 kV.  These customers ordinarily use a </w:t>
      </w:r>
      <w:r w:rsidR="000B7F94">
        <w:t>Type 1</w:t>
      </w:r>
      <w:r w:rsidRPr="00927302">
        <w:t xml:space="preserve">-6 NEM compliant meter and metered energy consumption is charged in </w:t>
      </w:r>
      <w:r w:rsidR="00DD2C11">
        <w:t>two</w:t>
      </w:r>
      <w:r w:rsidRPr="00927302">
        <w:t xml:space="preserve"> blocks.  The low voltage residential single rate tariff incorporates the charging parameters set out in </w:t>
      </w:r>
      <w:r w:rsidR="00575C9A">
        <w:fldChar w:fldCharType="begin"/>
      </w:r>
      <w:r>
        <w:instrText xml:space="preserve"> REF _Ref133813903 \h </w:instrText>
      </w:r>
      <w:r w:rsidR="00575C9A">
        <w:fldChar w:fldCharType="separate"/>
      </w:r>
      <w:r w:rsidR="00A81AFE" w:rsidRPr="00927302">
        <w:t xml:space="preserve">Table </w:t>
      </w:r>
      <w:r w:rsidR="00A81AFE">
        <w:rPr>
          <w:noProof/>
        </w:rPr>
        <w:t>5</w:t>
      </w:r>
      <w:r w:rsidR="00575C9A">
        <w:fldChar w:fldCharType="end"/>
      </w:r>
      <w:r w:rsidRPr="00927302">
        <w:t>.</w:t>
      </w:r>
    </w:p>
    <w:p w:rsidR="00B2442C" w:rsidRPr="00927302" w:rsidRDefault="00B2442C" w:rsidP="0044594F">
      <w:pPr>
        <w:keepNext/>
      </w:pPr>
    </w:p>
    <w:p w:rsidR="0044594F" w:rsidRPr="00927302" w:rsidRDefault="0044594F" w:rsidP="0044594F">
      <w:pPr>
        <w:pStyle w:val="Caption"/>
        <w:keepNext/>
      </w:pPr>
      <w:bookmarkStart w:id="47" w:name="_Ref133813903"/>
      <w:r w:rsidRPr="00927302">
        <w:t xml:space="preserve">Table </w:t>
      </w:r>
      <w:r w:rsidR="00924A8F">
        <w:fldChar w:fldCharType="begin"/>
      </w:r>
      <w:r w:rsidR="00924A8F">
        <w:instrText xml:space="preserve"> SEQ Table \* ARABIC </w:instrText>
      </w:r>
      <w:r w:rsidR="00924A8F">
        <w:fldChar w:fldCharType="separate"/>
      </w:r>
      <w:r w:rsidR="00A81AFE">
        <w:rPr>
          <w:noProof/>
        </w:rPr>
        <w:t>5</w:t>
      </w:r>
      <w:r w:rsidR="00924A8F">
        <w:rPr>
          <w:noProof/>
        </w:rPr>
        <w:fldChar w:fldCharType="end"/>
      </w:r>
      <w:bookmarkEnd w:id="47"/>
      <w:r w:rsidRPr="00927302">
        <w:t xml:space="preserve"> - Low voltage residential tariff single rate 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96"/>
        <w:gridCol w:w="829"/>
        <w:gridCol w:w="917"/>
        <w:gridCol w:w="1353"/>
        <w:gridCol w:w="1842"/>
        <w:gridCol w:w="1276"/>
        <w:gridCol w:w="1666"/>
      </w:tblGrid>
      <w:tr w:rsidR="0044594F" w:rsidRPr="00927302" w:rsidTr="003022DF">
        <w:tc>
          <w:tcPr>
            <w:tcW w:w="1296"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29"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705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296"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29"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917"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Direct</w:t>
            </w:r>
            <w:r w:rsidRPr="003022DF">
              <w:rPr>
                <w:b/>
                <w:sz w:val="20"/>
                <w:szCs w:val="20"/>
              </w:rPr>
              <w:br/>
              <w:t>control</w:t>
            </w:r>
          </w:p>
        </w:tc>
        <w:tc>
          <w:tcPr>
            <w:tcW w:w="1353"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Transmission</w:t>
            </w:r>
            <w:r w:rsidRPr="003022DF">
              <w:rPr>
                <w:b/>
                <w:sz w:val="20"/>
                <w:szCs w:val="20"/>
              </w:rPr>
              <w:br/>
              <w:t>recovery</w:t>
            </w:r>
          </w:p>
        </w:tc>
        <w:tc>
          <w:tcPr>
            <w:tcW w:w="1842" w:type="dxa"/>
            <w:vMerge w:val="restart"/>
            <w:tcBorders>
              <w:top w:val="single" w:sz="4" w:space="0" w:color="000000"/>
            </w:tcBorders>
            <w:shd w:val="solid" w:color="FAB585" w:themeColor="accent3" w:fill="auto"/>
          </w:tcPr>
          <w:p w:rsidR="0044594F" w:rsidRPr="003022DF" w:rsidRDefault="0044594F" w:rsidP="00DD2C11">
            <w:pPr>
              <w:keepNext/>
              <w:spacing w:before="40"/>
              <w:jc w:val="center"/>
              <w:rPr>
                <w:b/>
                <w:sz w:val="20"/>
                <w:szCs w:val="20"/>
              </w:rPr>
            </w:pPr>
            <w:r w:rsidRPr="003022DF">
              <w:rPr>
                <w:b/>
                <w:sz w:val="20"/>
                <w:szCs w:val="20"/>
              </w:rPr>
              <w:t>Jurisdictional Scheme Amount</w:t>
            </w:r>
            <w:r w:rsidR="003022DF" w:rsidRPr="003022DF">
              <w:rPr>
                <w:b/>
                <w:sz w:val="20"/>
                <w:szCs w:val="20"/>
              </w:rPr>
              <w:t xml:space="preserve"> Pass Through</w:t>
            </w:r>
          </w:p>
        </w:tc>
        <w:tc>
          <w:tcPr>
            <w:tcW w:w="1276"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Alternative</w:t>
            </w:r>
            <w:r w:rsidRPr="003022DF">
              <w:rPr>
                <w:b/>
                <w:sz w:val="20"/>
                <w:szCs w:val="20"/>
              </w:rPr>
              <w:br/>
              <w:t>control</w:t>
            </w:r>
          </w:p>
        </w:tc>
        <w:tc>
          <w:tcPr>
            <w:tcW w:w="1666" w:type="dxa"/>
            <w:tcBorders>
              <w:top w:val="single" w:sz="4" w:space="0" w:color="000000"/>
              <w:bottom w:val="nil"/>
            </w:tcBorders>
            <w:shd w:val="solid" w:color="FAB585" w:themeColor="accent3" w:fill="auto"/>
          </w:tcPr>
          <w:p w:rsidR="0044594F" w:rsidRPr="003022DF" w:rsidRDefault="0044594F" w:rsidP="00393E4F">
            <w:pPr>
              <w:keepNext/>
              <w:spacing w:before="40" w:after="40"/>
              <w:rPr>
                <w:b/>
                <w:sz w:val="20"/>
                <w:szCs w:val="20"/>
              </w:rPr>
            </w:pPr>
            <w:r w:rsidRPr="003022DF">
              <w:rPr>
                <w:b/>
                <w:sz w:val="20"/>
                <w:szCs w:val="20"/>
              </w:rPr>
              <w:t>Description</w:t>
            </w:r>
          </w:p>
        </w:tc>
      </w:tr>
      <w:tr w:rsidR="0044594F" w:rsidRPr="00927302" w:rsidTr="003022DF">
        <w:tc>
          <w:tcPr>
            <w:tcW w:w="1296" w:type="dxa"/>
            <w:tcBorders>
              <w:top w:val="nil"/>
            </w:tcBorders>
            <w:shd w:val="solid" w:color="FAB585" w:themeColor="accent3" w:fill="auto"/>
          </w:tcPr>
          <w:p w:rsidR="0044594F" w:rsidRPr="00927302" w:rsidRDefault="0044594F" w:rsidP="00393E4F">
            <w:pPr>
              <w:keepNext/>
              <w:spacing w:after="40"/>
              <w:rPr>
                <w:b/>
              </w:rPr>
            </w:pPr>
          </w:p>
        </w:tc>
        <w:tc>
          <w:tcPr>
            <w:tcW w:w="829" w:type="dxa"/>
            <w:tcBorders>
              <w:top w:val="nil"/>
            </w:tcBorders>
            <w:shd w:val="solid" w:color="FAB585" w:themeColor="accent3" w:fill="auto"/>
          </w:tcPr>
          <w:p w:rsidR="0044594F" w:rsidRPr="00927302" w:rsidRDefault="0044594F" w:rsidP="00393E4F">
            <w:pPr>
              <w:keepNext/>
              <w:spacing w:after="40"/>
              <w:rPr>
                <w:b/>
              </w:rPr>
            </w:pPr>
          </w:p>
        </w:tc>
        <w:tc>
          <w:tcPr>
            <w:tcW w:w="917"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DUoS</w:t>
            </w:r>
          </w:p>
        </w:tc>
        <w:tc>
          <w:tcPr>
            <w:tcW w:w="1353"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TUoS</w:t>
            </w:r>
          </w:p>
        </w:tc>
        <w:tc>
          <w:tcPr>
            <w:tcW w:w="1842" w:type="dxa"/>
            <w:vMerge/>
            <w:tcBorders>
              <w:bottom w:val="single" w:sz="4" w:space="0" w:color="000000"/>
            </w:tcBorders>
            <w:shd w:val="solid" w:color="FAB585" w:themeColor="accent3" w:fill="auto"/>
          </w:tcPr>
          <w:p w:rsidR="0044594F" w:rsidRPr="003022DF" w:rsidRDefault="0044594F" w:rsidP="00393E4F">
            <w:pPr>
              <w:keepNext/>
              <w:spacing w:after="40"/>
              <w:jc w:val="center"/>
              <w:rPr>
                <w:b/>
                <w:sz w:val="20"/>
                <w:szCs w:val="20"/>
              </w:rPr>
            </w:pPr>
          </w:p>
        </w:tc>
        <w:tc>
          <w:tcPr>
            <w:tcW w:w="1276"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Metering</w:t>
            </w:r>
          </w:p>
        </w:tc>
        <w:tc>
          <w:tcPr>
            <w:tcW w:w="1666" w:type="dxa"/>
            <w:tcBorders>
              <w:top w:val="nil"/>
            </w:tcBorders>
            <w:shd w:val="solid" w:color="FAB585" w:themeColor="accent3" w:fill="auto"/>
          </w:tcPr>
          <w:p w:rsidR="0044594F" w:rsidRPr="003022DF" w:rsidRDefault="0044594F" w:rsidP="00393E4F">
            <w:pPr>
              <w:keepNext/>
              <w:spacing w:after="40"/>
              <w:rPr>
                <w:b/>
                <w:sz w:val="20"/>
                <w:szCs w:val="20"/>
              </w:rPr>
            </w:pPr>
          </w:p>
        </w:tc>
      </w:tr>
      <w:tr w:rsidR="00DD2C11" w:rsidRPr="00927302" w:rsidTr="00DD2C11">
        <w:tc>
          <w:tcPr>
            <w:tcW w:w="1296" w:type="dxa"/>
            <w:shd w:val="clear" w:color="auto" w:fill="auto"/>
          </w:tcPr>
          <w:p w:rsidR="00DD2C11" w:rsidRPr="00927302" w:rsidRDefault="00DD2C11" w:rsidP="00393E4F">
            <w:pPr>
              <w:keepNext/>
              <w:spacing w:before="40" w:after="40"/>
            </w:pPr>
            <w:r w:rsidRPr="00927302">
              <w:t>Supply Rate</w:t>
            </w:r>
          </w:p>
        </w:tc>
        <w:tc>
          <w:tcPr>
            <w:tcW w:w="829" w:type="dxa"/>
            <w:shd w:val="clear" w:color="auto" w:fill="auto"/>
          </w:tcPr>
          <w:p w:rsidR="00DD2C11" w:rsidRPr="00927302" w:rsidRDefault="00DD2C11" w:rsidP="00393E4F">
            <w:pPr>
              <w:keepNext/>
              <w:spacing w:before="40" w:after="40"/>
            </w:pPr>
            <w:r w:rsidRPr="00927302">
              <w:t>$/day</w:t>
            </w:r>
          </w:p>
        </w:tc>
        <w:tc>
          <w:tcPr>
            <w:tcW w:w="917" w:type="dxa"/>
            <w:shd w:val="clear" w:color="auto" w:fill="auto"/>
          </w:tcPr>
          <w:p w:rsidR="00DD2C11" w:rsidRPr="00927302" w:rsidRDefault="00DD2C11" w:rsidP="00393E4F">
            <w:pPr>
              <w:keepNext/>
              <w:jc w:val="center"/>
              <w:rPr>
                <w:b/>
                <w:sz w:val="28"/>
              </w:rPr>
            </w:pPr>
            <w:r>
              <w:rPr>
                <w:b/>
                <w:sz w:val="28"/>
              </w:rPr>
              <w:t>X</w:t>
            </w:r>
          </w:p>
        </w:tc>
        <w:tc>
          <w:tcPr>
            <w:tcW w:w="1353" w:type="dxa"/>
            <w:shd w:val="clear" w:color="auto" w:fill="auto"/>
          </w:tcPr>
          <w:p w:rsidR="00DD2C11" w:rsidRPr="00927302" w:rsidRDefault="00DD2C11" w:rsidP="00393E4F">
            <w:pPr>
              <w:keepNext/>
              <w:jc w:val="center"/>
              <w:rPr>
                <w:b/>
                <w:sz w:val="28"/>
              </w:rPr>
            </w:pPr>
            <w:r w:rsidRPr="00927302">
              <w:rPr>
                <w:b/>
                <w:sz w:val="28"/>
              </w:rPr>
              <w:t>-</w:t>
            </w:r>
          </w:p>
        </w:tc>
        <w:tc>
          <w:tcPr>
            <w:tcW w:w="1842" w:type="dxa"/>
            <w:shd w:val="clear" w:color="auto" w:fill="auto"/>
          </w:tcPr>
          <w:p w:rsidR="00DD2C11" w:rsidRPr="00DD2C11" w:rsidRDefault="00DD2C11" w:rsidP="00DD2C11">
            <w:pPr>
              <w:keepNext/>
              <w:jc w:val="center"/>
              <w:rPr>
                <w:b/>
                <w:sz w:val="28"/>
                <w:highlight w:val="lightGray"/>
              </w:rPr>
            </w:pPr>
            <w:r w:rsidRPr="00DD2C11">
              <w:rPr>
                <w:b/>
                <w:sz w:val="28"/>
              </w:rPr>
              <w:t>X</w:t>
            </w:r>
          </w:p>
        </w:tc>
        <w:tc>
          <w:tcPr>
            <w:tcW w:w="1276" w:type="dxa"/>
            <w:shd w:val="clear" w:color="auto" w:fill="auto"/>
          </w:tcPr>
          <w:p w:rsidR="00DD2C11" w:rsidRPr="00927302" w:rsidRDefault="00DD2C11" w:rsidP="00393E4F">
            <w:pPr>
              <w:keepNext/>
              <w:spacing w:before="40" w:after="40"/>
              <w:jc w:val="center"/>
            </w:pPr>
            <w:r w:rsidRPr="00927302">
              <w:t>If applicable</w:t>
            </w:r>
          </w:p>
        </w:tc>
        <w:tc>
          <w:tcPr>
            <w:tcW w:w="1666" w:type="dxa"/>
            <w:shd w:val="clear" w:color="auto" w:fill="auto"/>
          </w:tcPr>
          <w:p w:rsidR="00DD2C11" w:rsidRPr="00927302" w:rsidRDefault="00DD2C11" w:rsidP="00393E4F">
            <w:pPr>
              <w:keepNext/>
              <w:spacing w:before="40" w:after="40"/>
            </w:pPr>
            <w:r w:rsidRPr="00927302">
              <w:t>Fixed daily charge</w:t>
            </w:r>
          </w:p>
        </w:tc>
      </w:tr>
      <w:tr w:rsidR="0044594F" w:rsidRPr="00927302" w:rsidTr="00DD2C11">
        <w:tc>
          <w:tcPr>
            <w:tcW w:w="1296" w:type="dxa"/>
            <w:shd w:val="clear" w:color="auto" w:fill="auto"/>
          </w:tcPr>
          <w:p w:rsidR="0044594F" w:rsidRPr="00927302" w:rsidRDefault="0044594F" w:rsidP="00393E4F">
            <w:pPr>
              <w:keepNext/>
              <w:spacing w:before="40" w:after="40"/>
            </w:pPr>
            <w:r w:rsidRPr="00927302">
              <w:t>Block 1 Usage Rate</w:t>
            </w:r>
          </w:p>
        </w:tc>
        <w:tc>
          <w:tcPr>
            <w:tcW w:w="829" w:type="dxa"/>
            <w:shd w:val="clear" w:color="auto" w:fill="auto"/>
          </w:tcPr>
          <w:p w:rsidR="0044594F" w:rsidRPr="00927302" w:rsidRDefault="0044594F" w:rsidP="00393E4F">
            <w:pPr>
              <w:keepNext/>
              <w:spacing w:before="40" w:after="40"/>
            </w:pPr>
            <w:r w:rsidRPr="00927302">
              <w:t>$/kWh</w:t>
            </w:r>
          </w:p>
        </w:tc>
        <w:tc>
          <w:tcPr>
            <w:tcW w:w="917" w:type="dxa"/>
            <w:shd w:val="clear" w:color="auto" w:fill="auto"/>
          </w:tcPr>
          <w:p w:rsidR="0044594F" w:rsidRPr="00927302" w:rsidRDefault="0044594F" w:rsidP="00393E4F">
            <w:pPr>
              <w:jc w:val="center"/>
            </w:pPr>
            <w:r>
              <w:rPr>
                <w:b/>
                <w:sz w:val="28"/>
              </w:rPr>
              <w:t>X</w:t>
            </w:r>
          </w:p>
        </w:tc>
        <w:tc>
          <w:tcPr>
            <w:tcW w:w="1353" w:type="dxa"/>
            <w:shd w:val="clear" w:color="auto" w:fill="auto"/>
          </w:tcPr>
          <w:p w:rsidR="0044594F" w:rsidRPr="00927302" w:rsidRDefault="0044594F" w:rsidP="00393E4F">
            <w:pPr>
              <w:jc w:val="center"/>
            </w:pPr>
            <w:r>
              <w:rPr>
                <w:b/>
                <w:sz w:val="28"/>
              </w:rPr>
              <w:t>X</w:t>
            </w:r>
          </w:p>
        </w:tc>
        <w:tc>
          <w:tcPr>
            <w:tcW w:w="1842" w:type="dxa"/>
            <w:shd w:val="clear" w:color="auto" w:fill="auto"/>
          </w:tcPr>
          <w:p w:rsidR="0044594F" w:rsidRPr="002A75D3" w:rsidRDefault="0044594F" w:rsidP="00393E4F">
            <w:pPr>
              <w:jc w:val="center"/>
              <w:rPr>
                <w:b/>
                <w:sz w:val="28"/>
                <w:szCs w:val="28"/>
              </w:rPr>
            </w:pPr>
            <w:r w:rsidRPr="002A75D3">
              <w:rPr>
                <w:b/>
                <w:sz w:val="28"/>
                <w:szCs w:val="28"/>
              </w:rPr>
              <w:t>X</w:t>
            </w:r>
          </w:p>
        </w:tc>
        <w:tc>
          <w:tcPr>
            <w:tcW w:w="1276" w:type="dxa"/>
            <w:shd w:val="clear" w:color="auto" w:fill="auto"/>
          </w:tcPr>
          <w:p w:rsidR="0044594F" w:rsidRPr="00927302" w:rsidRDefault="0044594F" w:rsidP="00393E4F">
            <w:pPr>
              <w:jc w:val="center"/>
              <w:rPr>
                <w:b/>
                <w:sz w:val="28"/>
              </w:rPr>
            </w:pPr>
            <w:r w:rsidRPr="00927302">
              <w:rPr>
                <w:b/>
                <w:sz w:val="28"/>
              </w:rPr>
              <w:t>-</w:t>
            </w:r>
          </w:p>
        </w:tc>
        <w:tc>
          <w:tcPr>
            <w:tcW w:w="1666" w:type="dxa"/>
            <w:shd w:val="clear" w:color="auto" w:fill="auto"/>
          </w:tcPr>
          <w:p w:rsidR="003022DF" w:rsidRDefault="0044594F" w:rsidP="00393E4F">
            <w:pPr>
              <w:keepNext/>
              <w:spacing w:before="40" w:after="40"/>
            </w:pPr>
            <w:r w:rsidRPr="00927302">
              <w:t>For consumption up to and including 333.3 kWh/</w:t>
            </w:r>
          </w:p>
          <w:p w:rsidR="0044594F" w:rsidRPr="00927302" w:rsidRDefault="0044594F" w:rsidP="00393E4F">
            <w:pPr>
              <w:keepNext/>
              <w:spacing w:before="40" w:after="40"/>
            </w:pPr>
            <w:r w:rsidRPr="00927302">
              <w:t>month</w:t>
            </w:r>
          </w:p>
        </w:tc>
      </w:tr>
      <w:tr w:rsidR="0044594F" w:rsidRPr="00927302" w:rsidTr="00DD2C11">
        <w:tc>
          <w:tcPr>
            <w:tcW w:w="1296" w:type="dxa"/>
            <w:shd w:val="clear" w:color="auto" w:fill="auto"/>
          </w:tcPr>
          <w:p w:rsidR="0044594F" w:rsidRPr="00927302" w:rsidRDefault="0044594F" w:rsidP="00DD2C11">
            <w:pPr>
              <w:keepNext/>
              <w:spacing w:before="40" w:after="40"/>
            </w:pPr>
            <w:r w:rsidRPr="00927302">
              <w:t xml:space="preserve">Block </w:t>
            </w:r>
            <w:r w:rsidR="00DD2C11">
              <w:t>2</w:t>
            </w:r>
            <w:r w:rsidRPr="00927302">
              <w:t xml:space="preserve"> Usage Rate</w:t>
            </w:r>
          </w:p>
        </w:tc>
        <w:tc>
          <w:tcPr>
            <w:tcW w:w="829" w:type="dxa"/>
            <w:shd w:val="clear" w:color="auto" w:fill="auto"/>
          </w:tcPr>
          <w:p w:rsidR="0044594F" w:rsidRPr="00927302" w:rsidRDefault="0044594F" w:rsidP="00393E4F">
            <w:pPr>
              <w:keepNext/>
              <w:spacing w:before="40" w:after="40"/>
            </w:pPr>
            <w:r w:rsidRPr="00927302">
              <w:t>$/kWh</w:t>
            </w:r>
          </w:p>
        </w:tc>
        <w:tc>
          <w:tcPr>
            <w:tcW w:w="917" w:type="dxa"/>
            <w:shd w:val="clear" w:color="auto" w:fill="auto"/>
          </w:tcPr>
          <w:p w:rsidR="0044594F" w:rsidRPr="00927302" w:rsidRDefault="0044594F" w:rsidP="00393E4F">
            <w:pPr>
              <w:jc w:val="center"/>
            </w:pPr>
            <w:r>
              <w:rPr>
                <w:b/>
                <w:sz w:val="28"/>
              </w:rPr>
              <w:t>X</w:t>
            </w:r>
          </w:p>
        </w:tc>
        <w:tc>
          <w:tcPr>
            <w:tcW w:w="1353" w:type="dxa"/>
            <w:shd w:val="clear" w:color="auto" w:fill="auto"/>
          </w:tcPr>
          <w:p w:rsidR="0044594F" w:rsidRPr="00927302" w:rsidRDefault="0044594F" w:rsidP="00393E4F">
            <w:pPr>
              <w:jc w:val="center"/>
            </w:pPr>
            <w:r>
              <w:rPr>
                <w:b/>
                <w:sz w:val="28"/>
              </w:rPr>
              <w:t>X</w:t>
            </w:r>
          </w:p>
        </w:tc>
        <w:tc>
          <w:tcPr>
            <w:tcW w:w="1842" w:type="dxa"/>
            <w:shd w:val="clear" w:color="auto" w:fill="auto"/>
          </w:tcPr>
          <w:p w:rsidR="0044594F" w:rsidRPr="002A75D3" w:rsidRDefault="0044594F" w:rsidP="00393E4F">
            <w:pPr>
              <w:jc w:val="center"/>
              <w:rPr>
                <w:b/>
                <w:sz w:val="28"/>
                <w:szCs w:val="28"/>
              </w:rPr>
            </w:pPr>
            <w:r w:rsidRPr="002A75D3">
              <w:rPr>
                <w:b/>
                <w:sz w:val="28"/>
                <w:szCs w:val="28"/>
              </w:rPr>
              <w:t>X</w:t>
            </w:r>
          </w:p>
        </w:tc>
        <w:tc>
          <w:tcPr>
            <w:tcW w:w="1276" w:type="dxa"/>
            <w:shd w:val="clear" w:color="auto" w:fill="auto"/>
          </w:tcPr>
          <w:p w:rsidR="0044594F" w:rsidRPr="00927302" w:rsidRDefault="0044594F" w:rsidP="00393E4F">
            <w:pPr>
              <w:jc w:val="center"/>
              <w:rPr>
                <w:b/>
                <w:sz w:val="28"/>
              </w:rPr>
            </w:pPr>
            <w:r w:rsidRPr="00927302">
              <w:rPr>
                <w:b/>
                <w:sz w:val="28"/>
              </w:rPr>
              <w:t>-</w:t>
            </w:r>
          </w:p>
        </w:tc>
        <w:tc>
          <w:tcPr>
            <w:tcW w:w="1666" w:type="dxa"/>
            <w:shd w:val="clear" w:color="auto" w:fill="auto"/>
          </w:tcPr>
          <w:p w:rsidR="0044594F" w:rsidRPr="00927302" w:rsidRDefault="0044594F" w:rsidP="00393E4F">
            <w:pPr>
              <w:keepNext/>
              <w:spacing w:before="40" w:after="40"/>
            </w:pPr>
            <w:r w:rsidRPr="00927302">
              <w:t>For the balance of consumption</w:t>
            </w:r>
          </w:p>
        </w:tc>
      </w:tr>
    </w:tbl>
    <w:p w:rsidR="0044594F" w:rsidRPr="00927302" w:rsidRDefault="0044594F" w:rsidP="0044594F"/>
    <w:p w:rsidR="0044594F" w:rsidRDefault="00965B67" w:rsidP="0044594F">
      <w:r>
        <w:t>Metering charges are discussed in detail separately in this Pricing Proposal.</w:t>
      </w:r>
    </w:p>
    <w:p w:rsidR="00965B67" w:rsidRDefault="00965B67" w:rsidP="0044594F"/>
    <w:p w:rsidR="00965B67" w:rsidRDefault="00965B67" w:rsidP="0044594F">
      <w:r>
        <w:t xml:space="preserve">In 2015/16, there are three variations of the residential single rate tariff, each using the structure shown in table </w:t>
      </w:r>
      <w:r w:rsidR="00217741">
        <w:t>3</w:t>
      </w:r>
      <w:r>
        <w:t xml:space="preserve"> but with different price levels:</w:t>
      </w:r>
    </w:p>
    <w:p w:rsidR="00965B67" w:rsidRDefault="00965B67" w:rsidP="003C07A2">
      <w:pPr>
        <w:pStyle w:val="ListParagraph"/>
        <w:numPr>
          <w:ilvl w:val="0"/>
          <w:numId w:val="39"/>
        </w:numPr>
      </w:pPr>
      <w:r>
        <w:t>Residential;</w:t>
      </w:r>
    </w:p>
    <w:p w:rsidR="00965B67" w:rsidRDefault="00965B67" w:rsidP="003C07A2">
      <w:pPr>
        <w:pStyle w:val="ListParagraph"/>
        <w:numPr>
          <w:ilvl w:val="0"/>
          <w:numId w:val="39"/>
        </w:numPr>
      </w:pPr>
      <w:r>
        <w:t>Residential with solar PV connected; and</w:t>
      </w:r>
    </w:p>
    <w:p w:rsidR="00965B67" w:rsidRDefault="00217741" w:rsidP="003C07A2">
      <w:pPr>
        <w:pStyle w:val="ListParagraph"/>
        <w:numPr>
          <w:ilvl w:val="0"/>
          <w:numId w:val="39"/>
        </w:numPr>
      </w:pPr>
      <w:r>
        <w:t>Residential Social tariff</w:t>
      </w:r>
      <w:r w:rsidR="00965B67">
        <w:t xml:space="preserve"> (following nomination by a Retailer offering Hardship programs)</w:t>
      </w:r>
      <w:r>
        <w:t>.</w:t>
      </w:r>
    </w:p>
    <w:p w:rsidR="00B2442C" w:rsidRPr="00927302" w:rsidRDefault="00B2442C" w:rsidP="0044594F"/>
    <w:p w:rsidR="0044594F" w:rsidRPr="00927302" w:rsidRDefault="0044594F" w:rsidP="009A26B4">
      <w:pPr>
        <w:pStyle w:val="Heading3"/>
      </w:pPr>
      <w:r w:rsidRPr="00927302">
        <w:t>Controlled load tariff</w:t>
      </w:r>
    </w:p>
    <w:p w:rsidR="0044594F" w:rsidRPr="00927302" w:rsidRDefault="0044594F" w:rsidP="0044594F">
      <w:r w:rsidRPr="00927302">
        <w:t xml:space="preserve">The low voltage controlled load tariff is available for permanently installed storage water heaters with a rated delivery of not less than 125 litres, storage space heaters and other approved applications.  A time switch for the control of the heater and separate metering is installed. </w:t>
      </w:r>
    </w:p>
    <w:p w:rsidR="00B2442C" w:rsidRDefault="00B2442C" w:rsidP="0044594F"/>
    <w:p w:rsidR="0044594F" w:rsidRDefault="0044594F" w:rsidP="0044594F">
      <w:r w:rsidRPr="00927302">
        <w:t xml:space="preserve">The controlled load tariff incorporates the charging parameters set out in </w:t>
      </w:r>
      <w:r w:rsidR="00575C9A">
        <w:fldChar w:fldCharType="begin"/>
      </w:r>
      <w:r>
        <w:instrText xml:space="preserve"> REF _Ref133814383 \h </w:instrText>
      </w:r>
      <w:r w:rsidR="00575C9A">
        <w:fldChar w:fldCharType="separate"/>
      </w:r>
      <w:r w:rsidR="00A81AFE" w:rsidRPr="00927302">
        <w:t xml:space="preserve">Table </w:t>
      </w:r>
      <w:r w:rsidR="00A81AFE">
        <w:rPr>
          <w:noProof/>
        </w:rPr>
        <w:t>6</w:t>
      </w:r>
      <w:r w:rsidR="00575C9A">
        <w:fldChar w:fldCharType="end"/>
      </w:r>
      <w:r w:rsidRPr="00927302">
        <w:t>.</w:t>
      </w:r>
    </w:p>
    <w:p w:rsidR="00B2442C" w:rsidRPr="00927302" w:rsidRDefault="00B2442C" w:rsidP="0044594F"/>
    <w:p w:rsidR="0044594F" w:rsidRPr="00927302" w:rsidRDefault="0044594F" w:rsidP="0044594F">
      <w:pPr>
        <w:pStyle w:val="Caption"/>
        <w:keepNext/>
      </w:pPr>
      <w:bookmarkStart w:id="48" w:name="_Ref133814383"/>
      <w:r w:rsidRPr="00927302">
        <w:t xml:space="preserve">Table </w:t>
      </w:r>
      <w:r w:rsidR="00924A8F">
        <w:fldChar w:fldCharType="begin"/>
      </w:r>
      <w:r w:rsidR="00924A8F">
        <w:instrText xml:space="preserve"> SEQ Table \* ARABIC </w:instrText>
      </w:r>
      <w:r w:rsidR="00924A8F">
        <w:fldChar w:fldCharType="separate"/>
      </w:r>
      <w:r w:rsidR="00A81AFE">
        <w:rPr>
          <w:noProof/>
        </w:rPr>
        <w:t>6</w:t>
      </w:r>
      <w:r w:rsidR="00924A8F">
        <w:rPr>
          <w:noProof/>
        </w:rPr>
        <w:fldChar w:fldCharType="end"/>
      </w:r>
      <w:bookmarkEnd w:id="48"/>
      <w:r w:rsidRPr="00927302">
        <w:t xml:space="preserve"> - Controlled load tariff 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2"/>
        <w:gridCol w:w="833"/>
        <w:gridCol w:w="930"/>
        <w:gridCol w:w="1350"/>
        <w:gridCol w:w="1775"/>
        <w:gridCol w:w="1148"/>
        <w:gridCol w:w="1861"/>
      </w:tblGrid>
      <w:tr w:rsidR="0044594F" w:rsidRPr="00927302" w:rsidTr="003022DF">
        <w:tc>
          <w:tcPr>
            <w:tcW w:w="1282"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33"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706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282"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33"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930"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Direct</w:t>
            </w:r>
            <w:r w:rsidRPr="003022DF">
              <w:rPr>
                <w:b/>
                <w:sz w:val="20"/>
                <w:szCs w:val="20"/>
              </w:rPr>
              <w:br/>
              <w:t>control</w:t>
            </w:r>
          </w:p>
        </w:tc>
        <w:tc>
          <w:tcPr>
            <w:tcW w:w="1350"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Transmission</w:t>
            </w:r>
            <w:r w:rsidRPr="003022DF">
              <w:rPr>
                <w:b/>
                <w:sz w:val="20"/>
                <w:szCs w:val="20"/>
              </w:rPr>
              <w:br/>
              <w:t>recovery</w:t>
            </w:r>
          </w:p>
        </w:tc>
        <w:tc>
          <w:tcPr>
            <w:tcW w:w="1775" w:type="dxa"/>
            <w:vMerge w:val="restart"/>
            <w:tcBorders>
              <w:top w:val="single" w:sz="4" w:space="0" w:color="000000"/>
            </w:tcBorders>
            <w:shd w:val="solid" w:color="FAB585" w:themeColor="accent3" w:fill="auto"/>
          </w:tcPr>
          <w:p w:rsidR="0044594F" w:rsidRPr="003022DF" w:rsidRDefault="00965B67" w:rsidP="00965B67">
            <w:pPr>
              <w:keepNext/>
              <w:spacing w:before="40"/>
              <w:jc w:val="center"/>
              <w:rPr>
                <w:b/>
                <w:sz w:val="20"/>
                <w:szCs w:val="20"/>
              </w:rPr>
            </w:pPr>
            <w:r>
              <w:rPr>
                <w:b/>
                <w:sz w:val="20"/>
                <w:szCs w:val="20"/>
              </w:rPr>
              <w:t>Jurisdictional Scheme Amount</w:t>
            </w:r>
            <w:r w:rsidR="003022DF" w:rsidRPr="003022DF">
              <w:rPr>
                <w:b/>
                <w:sz w:val="20"/>
                <w:szCs w:val="20"/>
              </w:rPr>
              <w:t xml:space="preserve"> Pass Through</w:t>
            </w:r>
          </w:p>
        </w:tc>
        <w:tc>
          <w:tcPr>
            <w:tcW w:w="1148"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Alternative</w:t>
            </w:r>
            <w:r w:rsidRPr="003022DF">
              <w:rPr>
                <w:b/>
                <w:sz w:val="20"/>
                <w:szCs w:val="20"/>
              </w:rPr>
              <w:br/>
              <w:t>control</w:t>
            </w:r>
          </w:p>
        </w:tc>
        <w:tc>
          <w:tcPr>
            <w:tcW w:w="1861" w:type="dxa"/>
            <w:tcBorders>
              <w:top w:val="single" w:sz="4" w:space="0" w:color="000000"/>
              <w:bottom w:val="nil"/>
            </w:tcBorders>
            <w:shd w:val="solid" w:color="FAB585" w:themeColor="accent3" w:fill="auto"/>
          </w:tcPr>
          <w:p w:rsidR="0044594F" w:rsidRPr="003022DF" w:rsidRDefault="0044594F" w:rsidP="00393E4F">
            <w:pPr>
              <w:keepNext/>
              <w:spacing w:before="40"/>
              <w:rPr>
                <w:b/>
                <w:sz w:val="20"/>
                <w:szCs w:val="20"/>
              </w:rPr>
            </w:pPr>
            <w:r w:rsidRPr="003022DF">
              <w:rPr>
                <w:b/>
                <w:sz w:val="20"/>
                <w:szCs w:val="20"/>
              </w:rPr>
              <w:t>Description</w:t>
            </w:r>
          </w:p>
        </w:tc>
      </w:tr>
      <w:tr w:rsidR="0044594F" w:rsidRPr="00927302" w:rsidTr="003022DF">
        <w:tc>
          <w:tcPr>
            <w:tcW w:w="1282" w:type="dxa"/>
            <w:tcBorders>
              <w:top w:val="nil"/>
            </w:tcBorders>
            <w:shd w:val="solid" w:color="FAB585" w:themeColor="accent3" w:fill="auto"/>
          </w:tcPr>
          <w:p w:rsidR="0044594F" w:rsidRPr="00927302" w:rsidRDefault="0044594F" w:rsidP="00393E4F">
            <w:pPr>
              <w:keepNext/>
              <w:spacing w:before="40"/>
              <w:rPr>
                <w:b/>
              </w:rPr>
            </w:pPr>
          </w:p>
        </w:tc>
        <w:tc>
          <w:tcPr>
            <w:tcW w:w="833" w:type="dxa"/>
            <w:tcBorders>
              <w:top w:val="nil"/>
            </w:tcBorders>
            <w:shd w:val="solid" w:color="FAB585" w:themeColor="accent3" w:fill="auto"/>
          </w:tcPr>
          <w:p w:rsidR="0044594F" w:rsidRPr="00927302" w:rsidRDefault="0044594F" w:rsidP="00393E4F">
            <w:pPr>
              <w:keepNext/>
              <w:spacing w:before="40"/>
              <w:rPr>
                <w:b/>
              </w:rPr>
            </w:pPr>
          </w:p>
        </w:tc>
        <w:tc>
          <w:tcPr>
            <w:tcW w:w="930" w:type="dxa"/>
            <w:tcBorders>
              <w:top w:val="nil"/>
            </w:tcBorders>
            <w:shd w:val="solid" w:color="FAB585" w:themeColor="accent3" w:fill="auto"/>
          </w:tcPr>
          <w:p w:rsidR="0044594F" w:rsidRPr="003022DF" w:rsidRDefault="0044594F" w:rsidP="00393E4F">
            <w:pPr>
              <w:keepNext/>
              <w:jc w:val="center"/>
              <w:rPr>
                <w:b/>
                <w:sz w:val="20"/>
                <w:szCs w:val="20"/>
              </w:rPr>
            </w:pPr>
            <w:r w:rsidRPr="003022DF">
              <w:rPr>
                <w:b/>
                <w:sz w:val="20"/>
                <w:szCs w:val="20"/>
              </w:rPr>
              <w:t>DUoS</w:t>
            </w:r>
          </w:p>
        </w:tc>
        <w:tc>
          <w:tcPr>
            <w:tcW w:w="1350" w:type="dxa"/>
            <w:tcBorders>
              <w:top w:val="nil"/>
            </w:tcBorders>
            <w:shd w:val="solid" w:color="FAB585" w:themeColor="accent3" w:fill="auto"/>
          </w:tcPr>
          <w:p w:rsidR="0044594F" w:rsidRPr="003022DF" w:rsidRDefault="0044594F" w:rsidP="00393E4F">
            <w:pPr>
              <w:keepNext/>
              <w:jc w:val="center"/>
              <w:rPr>
                <w:b/>
                <w:sz w:val="20"/>
                <w:szCs w:val="20"/>
              </w:rPr>
            </w:pPr>
            <w:r w:rsidRPr="003022DF">
              <w:rPr>
                <w:b/>
                <w:sz w:val="20"/>
                <w:szCs w:val="20"/>
              </w:rPr>
              <w:t>TUoS</w:t>
            </w:r>
          </w:p>
        </w:tc>
        <w:tc>
          <w:tcPr>
            <w:tcW w:w="1775" w:type="dxa"/>
            <w:vMerge/>
            <w:shd w:val="solid" w:color="FAB585" w:themeColor="accent3" w:fill="auto"/>
          </w:tcPr>
          <w:p w:rsidR="0044594F" w:rsidRPr="003022DF" w:rsidRDefault="0044594F" w:rsidP="00393E4F">
            <w:pPr>
              <w:keepNext/>
              <w:jc w:val="center"/>
              <w:rPr>
                <w:b/>
                <w:sz w:val="20"/>
                <w:szCs w:val="20"/>
              </w:rPr>
            </w:pPr>
          </w:p>
        </w:tc>
        <w:tc>
          <w:tcPr>
            <w:tcW w:w="1148" w:type="dxa"/>
            <w:tcBorders>
              <w:top w:val="nil"/>
            </w:tcBorders>
            <w:shd w:val="solid" w:color="FAB585" w:themeColor="accent3" w:fill="auto"/>
          </w:tcPr>
          <w:p w:rsidR="0044594F" w:rsidRPr="003022DF" w:rsidRDefault="0044594F" w:rsidP="00393E4F">
            <w:pPr>
              <w:keepNext/>
              <w:jc w:val="center"/>
              <w:rPr>
                <w:b/>
                <w:sz w:val="20"/>
                <w:szCs w:val="20"/>
              </w:rPr>
            </w:pPr>
            <w:r w:rsidRPr="003022DF">
              <w:rPr>
                <w:b/>
                <w:sz w:val="20"/>
                <w:szCs w:val="20"/>
              </w:rPr>
              <w:t>Metering</w:t>
            </w:r>
          </w:p>
        </w:tc>
        <w:tc>
          <w:tcPr>
            <w:tcW w:w="1861" w:type="dxa"/>
            <w:tcBorders>
              <w:top w:val="nil"/>
            </w:tcBorders>
            <w:shd w:val="solid" w:color="FAB585" w:themeColor="accent3" w:fill="auto"/>
          </w:tcPr>
          <w:p w:rsidR="0044594F" w:rsidRPr="003022DF" w:rsidRDefault="0044594F" w:rsidP="00393E4F">
            <w:pPr>
              <w:keepNext/>
              <w:spacing w:before="40"/>
              <w:rPr>
                <w:b/>
                <w:sz w:val="20"/>
                <w:szCs w:val="20"/>
              </w:rPr>
            </w:pPr>
          </w:p>
        </w:tc>
      </w:tr>
      <w:tr w:rsidR="0044594F" w:rsidRPr="00927302" w:rsidTr="00965B67">
        <w:tc>
          <w:tcPr>
            <w:tcW w:w="1282" w:type="dxa"/>
            <w:shd w:val="clear" w:color="auto" w:fill="auto"/>
          </w:tcPr>
          <w:p w:rsidR="0044594F" w:rsidRPr="00927302" w:rsidRDefault="0044594F" w:rsidP="00393E4F">
            <w:pPr>
              <w:keepNext/>
              <w:spacing w:before="40" w:after="40"/>
            </w:pPr>
            <w:r w:rsidRPr="00927302">
              <w:t>Usage Rate</w:t>
            </w:r>
          </w:p>
        </w:tc>
        <w:tc>
          <w:tcPr>
            <w:tcW w:w="833" w:type="dxa"/>
            <w:shd w:val="clear" w:color="auto" w:fill="auto"/>
          </w:tcPr>
          <w:p w:rsidR="0044594F" w:rsidRPr="00927302" w:rsidRDefault="0044594F" w:rsidP="00393E4F">
            <w:pPr>
              <w:keepNext/>
              <w:spacing w:before="40" w:after="40"/>
            </w:pPr>
            <w:r w:rsidRPr="00927302">
              <w:t>$/kWh</w:t>
            </w:r>
          </w:p>
        </w:tc>
        <w:tc>
          <w:tcPr>
            <w:tcW w:w="930" w:type="dxa"/>
            <w:shd w:val="clear" w:color="auto" w:fill="auto"/>
          </w:tcPr>
          <w:p w:rsidR="00FB52A5" w:rsidRDefault="0044594F" w:rsidP="00924A8F">
            <w:pPr>
              <w:spacing w:beforeLines="40" w:before="96" w:afterLines="40" w:after="96"/>
              <w:jc w:val="center"/>
              <w:rPr>
                <w:b/>
                <w:sz w:val="28"/>
                <w:szCs w:val="28"/>
              </w:rPr>
            </w:pPr>
            <w:r w:rsidRPr="002A75D3">
              <w:rPr>
                <w:b/>
                <w:sz w:val="28"/>
                <w:szCs w:val="28"/>
              </w:rPr>
              <w:t>X</w:t>
            </w:r>
          </w:p>
        </w:tc>
        <w:tc>
          <w:tcPr>
            <w:tcW w:w="1350" w:type="dxa"/>
            <w:shd w:val="clear" w:color="auto" w:fill="auto"/>
          </w:tcPr>
          <w:p w:rsidR="00FB52A5" w:rsidRDefault="0044594F" w:rsidP="00924A8F">
            <w:pPr>
              <w:spacing w:beforeLines="40" w:before="96" w:afterLines="40" w:after="96"/>
              <w:jc w:val="center"/>
              <w:rPr>
                <w:b/>
                <w:sz w:val="28"/>
                <w:szCs w:val="28"/>
              </w:rPr>
            </w:pPr>
            <w:r w:rsidRPr="002A75D3">
              <w:rPr>
                <w:b/>
                <w:sz w:val="28"/>
                <w:szCs w:val="28"/>
              </w:rPr>
              <w:t>X</w:t>
            </w:r>
          </w:p>
        </w:tc>
        <w:tc>
          <w:tcPr>
            <w:tcW w:w="1775" w:type="dxa"/>
            <w:shd w:val="clear" w:color="auto" w:fill="auto"/>
          </w:tcPr>
          <w:p w:rsidR="00FB52A5" w:rsidRDefault="0044594F"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44594F" w:rsidRPr="00927302" w:rsidRDefault="0044594F" w:rsidP="00393E4F">
            <w:pPr>
              <w:keepNext/>
              <w:spacing w:before="40" w:after="40"/>
            </w:pPr>
          </w:p>
        </w:tc>
        <w:tc>
          <w:tcPr>
            <w:tcW w:w="1861" w:type="dxa"/>
            <w:shd w:val="clear" w:color="auto" w:fill="auto"/>
          </w:tcPr>
          <w:p w:rsidR="0044594F" w:rsidRPr="00927302" w:rsidRDefault="0044594F" w:rsidP="00965B67">
            <w:pPr>
              <w:keepNext/>
              <w:spacing w:before="40" w:after="40"/>
            </w:pPr>
            <w:r w:rsidRPr="00927302">
              <w:t xml:space="preserve">For </w:t>
            </w:r>
            <w:r w:rsidR="00965B67">
              <w:t>all</w:t>
            </w:r>
            <w:r w:rsidRPr="00927302">
              <w:t xml:space="preserve"> consumption</w:t>
            </w:r>
          </w:p>
        </w:tc>
      </w:tr>
    </w:tbl>
    <w:p w:rsidR="0044594F" w:rsidRPr="00927302" w:rsidRDefault="0044594F" w:rsidP="0044594F"/>
    <w:p w:rsidR="0044594F" w:rsidRDefault="0044594F" w:rsidP="0044594F">
      <w:r w:rsidRPr="00927302">
        <w:t xml:space="preserve">This tariff is available only to </w:t>
      </w:r>
      <w:r w:rsidR="00965B67">
        <w:t xml:space="preserve">residential </w:t>
      </w:r>
      <w:r w:rsidR="005C4433" w:rsidRPr="00927302">
        <w:t xml:space="preserve">customers </w:t>
      </w:r>
      <w:r w:rsidR="005C4433">
        <w:t>and</w:t>
      </w:r>
      <w:r w:rsidR="00965B67">
        <w:t xml:space="preserve"> to those business customers </w:t>
      </w:r>
      <w:r w:rsidRPr="00927302">
        <w:t xml:space="preserve">that were taking supply under the controlled load tariff </w:t>
      </w:r>
      <w:r w:rsidR="00965B67">
        <w:t>previously</w:t>
      </w:r>
      <w:r w:rsidRPr="00927302">
        <w:t xml:space="preserve">. </w:t>
      </w:r>
      <w:r w:rsidR="00965B67">
        <w:t xml:space="preserve"> </w:t>
      </w:r>
      <w:r w:rsidRPr="00927302">
        <w:t>This tariff is invoiced at the same frequency as the primary tariff.</w:t>
      </w:r>
      <w:r w:rsidR="00965B67">
        <w:t xml:space="preserve">  Discussion on the time when controlled load can be used is included in the new tariff development section.</w:t>
      </w:r>
    </w:p>
    <w:p w:rsidR="00651846" w:rsidRDefault="00651846" w:rsidP="0044594F"/>
    <w:p w:rsidR="007F683F" w:rsidRPr="00927302" w:rsidRDefault="007F683F" w:rsidP="007F683F">
      <w:pPr>
        <w:pStyle w:val="Heading3"/>
      </w:pPr>
      <w:r>
        <w:t>Low voltage residential monthly demand</w:t>
      </w:r>
      <w:r w:rsidRPr="00927302">
        <w:t xml:space="preserve"> tariff</w:t>
      </w:r>
    </w:p>
    <w:p w:rsidR="007F683F" w:rsidRDefault="007F683F" w:rsidP="007F683F">
      <w:r w:rsidRPr="00927302">
        <w:t xml:space="preserve">The low voltage residential </w:t>
      </w:r>
      <w:r w:rsidR="00BD32E4">
        <w:t xml:space="preserve">monthly demand </w:t>
      </w:r>
      <w:r w:rsidRPr="00927302">
        <w:t xml:space="preserve">tariff is available to eligible residential customers taking supply at less than 1 kV.  </w:t>
      </w:r>
      <w:r w:rsidR="00BD32E4">
        <w:t>This is an optional t</w:t>
      </w:r>
      <w:r w:rsidR="006377DC">
        <w:t>ariff that commence</w:t>
      </w:r>
      <w:r w:rsidR="00965B67">
        <w:t>d</w:t>
      </w:r>
      <w:r w:rsidR="00BD32E4">
        <w:t xml:space="preserve"> on 1 July 2014. </w:t>
      </w:r>
      <w:r w:rsidRPr="00927302">
        <w:t xml:space="preserve">These customers </w:t>
      </w:r>
      <w:r w:rsidR="00BD32E4">
        <w:t>will require</w:t>
      </w:r>
      <w:r w:rsidRPr="00927302">
        <w:t xml:space="preserve"> a </w:t>
      </w:r>
      <w:r w:rsidR="000B7F94">
        <w:t>Type 1</w:t>
      </w:r>
      <w:r w:rsidRPr="00927302">
        <w:t>-</w:t>
      </w:r>
      <w:r w:rsidR="00BD32E4">
        <w:t>5</w:t>
      </w:r>
      <w:r w:rsidRPr="00927302">
        <w:t xml:space="preserve"> NEM compliant meter</w:t>
      </w:r>
      <w:r w:rsidR="00BD32E4">
        <w:t xml:space="preserve"> read at least monthly. </w:t>
      </w:r>
      <w:r w:rsidRPr="00927302">
        <w:t xml:space="preserve"> </w:t>
      </w:r>
      <w:r w:rsidR="00BD32E4">
        <w:t>M</w:t>
      </w:r>
      <w:r w:rsidRPr="00927302">
        <w:t xml:space="preserve">etered energy consumption is charged </w:t>
      </w:r>
      <w:r w:rsidR="00BD32E4">
        <w:t>at a single rate</w:t>
      </w:r>
      <w:r w:rsidRPr="00927302">
        <w:t xml:space="preserve">.  </w:t>
      </w:r>
      <w:r w:rsidR="00BD32E4">
        <w:t xml:space="preserve">The maximum kW demand (measured over a half hour interval) between 4pm and 9pm on any day in the month is used to bill the monthly demand.  A higher price applies for </w:t>
      </w:r>
      <w:r w:rsidR="00E32B94">
        <w:t xml:space="preserve">the </w:t>
      </w:r>
      <w:r w:rsidR="00BD32E4">
        <w:t>five summer months (November to March) than the seven winter months (April to October)</w:t>
      </w:r>
      <w:r>
        <w:t>.</w:t>
      </w:r>
      <w:r w:rsidR="00BD32E4">
        <w:t xml:space="preserve">  </w:t>
      </w:r>
      <w:r w:rsidR="00965B67">
        <w:t>Currently,</w:t>
      </w:r>
      <w:r w:rsidR="00BD32E4">
        <w:t xml:space="preserve"> there is no charge for demand that </w:t>
      </w:r>
      <w:r w:rsidR="00E32B94">
        <w:t>is higher outside of the peak 4pm to 9pm</w:t>
      </w:r>
      <w:r w:rsidR="00BD32E4">
        <w:t xml:space="preserve"> time period</w:t>
      </w:r>
      <w:r w:rsidR="00965B67">
        <w:t>.  There is a limit in 2015/16 of 1,000 customers able to utilise this tariff.</w:t>
      </w:r>
    </w:p>
    <w:p w:rsidR="007F683F" w:rsidRPr="00927302" w:rsidRDefault="007F683F" w:rsidP="007F683F"/>
    <w:p w:rsidR="007F683F" w:rsidRDefault="007F683F" w:rsidP="007F683F">
      <w:pPr>
        <w:keepNext/>
      </w:pPr>
      <w:r w:rsidRPr="00927302">
        <w:t xml:space="preserve">The low voltage residential </w:t>
      </w:r>
      <w:r w:rsidR="00BD32E4">
        <w:t>monthly demand</w:t>
      </w:r>
      <w:r w:rsidRPr="00927302">
        <w:t xml:space="preserve"> tariff incorporates the charging parameters set out in </w:t>
      </w:r>
      <w:r w:rsidR="00E32B94">
        <w:t xml:space="preserve">Table </w:t>
      </w:r>
      <w:r w:rsidR="00217741">
        <w:t>5</w:t>
      </w:r>
      <w:r w:rsidRPr="00927302">
        <w:t>.</w:t>
      </w:r>
      <w:r w:rsidR="005C4433">
        <w:t xml:space="preserve">  There is a minimum quantity of 1.5 KW for peak or shoulder demand in any month.</w:t>
      </w:r>
    </w:p>
    <w:p w:rsidR="005C4433" w:rsidRDefault="005C4433" w:rsidP="007F683F">
      <w:pPr>
        <w:keepNext/>
      </w:pPr>
    </w:p>
    <w:p w:rsidR="005C4433" w:rsidRDefault="005C4433" w:rsidP="007F683F">
      <w:pPr>
        <w:keepNext/>
      </w:pPr>
      <w:r>
        <w:t>Another variation of this tariff is being created for 2015/16 which has the same structure and demand measurement, but will bill the actual kW recorded for the number of days between the meter-read dates rather than for a month.  This is expected to assist retailers with their billing where type 5 meters are used, as these are read during the month (or quarter) as opposed to the month-end associated with a type 4 meter.  The use of a ‘per day’ charge for the maximum demand between read dates was a suggestion received via retailer consultation.</w:t>
      </w:r>
    </w:p>
    <w:p w:rsidR="007F683F" w:rsidRPr="00927302" w:rsidRDefault="007F683F" w:rsidP="007F683F"/>
    <w:p w:rsidR="007F683F" w:rsidRPr="00927302" w:rsidRDefault="007F683F" w:rsidP="007F683F">
      <w:pPr>
        <w:pStyle w:val="Caption"/>
        <w:keepNext/>
      </w:pPr>
      <w:r w:rsidRPr="00927302">
        <w:t xml:space="preserve">Table </w:t>
      </w:r>
      <w:r w:rsidR="00924A8F">
        <w:fldChar w:fldCharType="begin"/>
      </w:r>
      <w:r w:rsidR="00924A8F">
        <w:instrText xml:space="preserve"> SEQ Table \* ARABIC </w:instrText>
      </w:r>
      <w:r w:rsidR="00924A8F">
        <w:fldChar w:fldCharType="separate"/>
      </w:r>
      <w:r w:rsidR="00A81AFE">
        <w:rPr>
          <w:noProof/>
        </w:rPr>
        <w:t>7</w:t>
      </w:r>
      <w:r w:rsidR="00924A8F">
        <w:rPr>
          <w:noProof/>
        </w:rPr>
        <w:fldChar w:fldCharType="end"/>
      </w:r>
      <w:r w:rsidRPr="00927302">
        <w:t xml:space="preserve"> </w:t>
      </w:r>
      <w:r w:rsidR="00BD32E4">
        <w:t>–</w:t>
      </w:r>
      <w:r w:rsidRPr="00927302">
        <w:t xml:space="preserve"> </w:t>
      </w:r>
      <w:r w:rsidR="00BD32E4">
        <w:t xml:space="preserve">Low </w:t>
      </w:r>
      <w:r w:rsidR="00BD32E4" w:rsidRPr="00927302">
        <w:t xml:space="preserve">voltage residential </w:t>
      </w:r>
      <w:r w:rsidR="00BD32E4">
        <w:t xml:space="preserve">monthly demand </w:t>
      </w:r>
      <w:r w:rsidR="00BD32E4" w:rsidRPr="00927302">
        <w:t xml:space="preserve">tariff </w:t>
      </w:r>
      <w:r w:rsidRPr="00927302">
        <w:t>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5"/>
        <w:gridCol w:w="1159"/>
        <w:gridCol w:w="897"/>
        <w:gridCol w:w="1340"/>
        <w:gridCol w:w="1650"/>
        <w:gridCol w:w="1148"/>
        <w:gridCol w:w="1730"/>
      </w:tblGrid>
      <w:tr w:rsidR="007F683F" w:rsidRPr="00927302" w:rsidTr="001414A1">
        <w:tc>
          <w:tcPr>
            <w:tcW w:w="1255" w:type="dxa"/>
            <w:vMerge w:val="restart"/>
            <w:tcBorders>
              <w:bottom w:val="nil"/>
            </w:tcBorders>
            <w:shd w:val="solid" w:color="FAB585" w:themeColor="accent3" w:fill="auto"/>
          </w:tcPr>
          <w:p w:rsidR="007F683F" w:rsidRPr="00927302" w:rsidRDefault="007F683F" w:rsidP="007F683F">
            <w:pPr>
              <w:keepNext/>
              <w:spacing w:before="40" w:after="40"/>
              <w:rPr>
                <w:b/>
              </w:rPr>
            </w:pPr>
            <w:r w:rsidRPr="00927302">
              <w:rPr>
                <w:b/>
              </w:rPr>
              <w:t xml:space="preserve">Charging </w:t>
            </w:r>
          </w:p>
          <w:p w:rsidR="007F683F" w:rsidRPr="00927302" w:rsidRDefault="007F683F" w:rsidP="007F683F">
            <w:pPr>
              <w:keepNext/>
              <w:spacing w:before="40" w:after="40"/>
              <w:rPr>
                <w:b/>
              </w:rPr>
            </w:pPr>
            <w:r w:rsidRPr="00927302">
              <w:rPr>
                <w:b/>
              </w:rPr>
              <w:t>Parameter</w:t>
            </w:r>
          </w:p>
        </w:tc>
        <w:tc>
          <w:tcPr>
            <w:tcW w:w="1159" w:type="dxa"/>
            <w:tcBorders>
              <w:bottom w:val="nil"/>
            </w:tcBorders>
            <w:shd w:val="solid" w:color="FAB585" w:themeColor="accent3" w:fill="auto"/>
          </w:tcPr>
          <w:p w:rsidR="007F683F" w:rsidRPr="00927302" w:rsidRDefault="007F683F" w:rsidP="007F683F">
            <w:pPr>
              <w:keepNext/>
              <w:spacing w:before="40" w:after="40"/>
              <w:rPr>
                <w:b/>
              </w:rPr>
            </w:pPr>
            <w:r w:rsidRPr="00927302">
              <w:rPr>
                <w:b/>
              </w:rPr>
              <w:t>Units</w:t>
            </w:r>
          </w:p>
        </w:tc>
        <w:tc>
          <w:tcPr>
            <w:tcW w:w="6765" w:type="dxa"/>
            <w:gridSpan w:val="5"/>
            <w:tcBorders>
              <w:bottom w:val="single" w:sz="4" w:space="0" w:color="000000"/>
            </w:tcBorders>
            <w:shd w:val="solid" w:color="FAB585" w:themeColor="accent3" w:fill="auto"/>
          </w:tcPr>
          <w:p w:rsidR="007F683F" w:rsidRPr="00927302" w:rsidRDefault="007F683F" w:rsidP="007F683F">
            <w:pPr>
              <w:keepNext/>
              <w:spacing w:before="40" w:after="40"/>
              <w:jc w:val="center"/>
              <w:rPr>
                <w:b/>
              </w:rPr>
            </w:pPr>
            <w:r w:rsidRPr="00927302">
              <w:rPr>
                <w:b/>
              </w:rPr>
              <w:t>Element of service</w:t>
            </w:r>
          </w:p>
        </w:tc>
      </w:tr>
      <w:tr w:rsidR="007F683F" w:rsidRPr="00927302" w:rsidTr="001414A1">
        <w:tc>
          <w:tcPr>
            <w:tcW w:w="1255" w:type="dxa"/>
            <w:vMerge/>
            <w:tcBorders>
              <w:top w:val="nil"/>
              <w:bottom w:val="nil"/>
            </w:tcBorders>
            <w:shd w:val="solid" w:color="FAB585" w:themeColor="accent3" w:fill="auto"/>
          </w:tcPr>
          <w:p w:rsidR="007F683F" w:rsidRPr="00927302" w:rsidRDefault="007F683F" w:rsidP="007F683F">
            <w:pPr>
              <w:keepNext/>
              <w:spacing w:before="40" w:after="40"/>
              <w:rPr>
                <w:b/>
              </w:rPr>
            </w:pPr>
          </w:p>
        </w:tc>
        <w:tc>
          <w:tcPr>
            <w:tcW w:w="1159" w:type="dxa"/>
            <w:tcBorders>
              <w:top w:val="nil"/>
              <w:bottom w:val="nil"/>
            </w:tcBorders>
            <w:shd w:val="solid" w:color="FAB585" w:themeColor="accent3" w:fill="auto"/>
          </w:tcPr>
          <w:p w:rsidR="007F683F" w:rsidRPr="00927302" w:rsidRDefault="007F683F" w:rsidP="007F683F">
            <w:pPr>
              <w:keepNext/>
              <w:spacing w:before="40" w:after="40"/>
              <w:rPr>
                <w:b/>
              </w:rPr>
            </w:pPr>
          </w:p>
        </w:tc>
        <w:tc>
          <w:tcPr>
            <w:tcW w:w="897" w:type="dxa"/>
            <w:tcBorders>
              <w:top w:val="single" w:sz="4" w:space="0" w:color="000000"/>
              <w:bottom w:val="nil"/>
            </w:tcBorders>
            <w:shd w:val="solid" w:color="FAB585" w:themeColor="accent3" w:fill="auto"/>
          </w:tcPr>
          <w:p w:rsidR="007F683F" w:rsidRPr="003022DF" w:rsidRDefault="007F683F" w:rsidP="007F683F">
            <w:pPr>
              <w:keepNext/>
              <w:spacing w:before="40"/>
              <w:jc w:val="center"/>
              <w:rPr>
                <w:b/>
                <w:sz w:val="20"/>
                <w:szCs w:val="20"/>
              </w:rPr>
            </w:pPr>
            <w:r w:rsidRPr="003022DF">
              <w:rPr>
                <w:b/>
                <w:sz w:val="20"/>
                <w:szCs w:val="20"/>
              </w:rPr>
              <w:t>Direct</w:t>
            </w:r>
            <w:r w:rsidRPr="003022DF">
              <w:rPr>
                <w:b/>
                <w:sz w:val="20"/>
                <w:szCs w:val="20"/>
              </w:rPr>
              <w:br/>
              <w:t>control</w:t>
            </w:r>
          </w:p>
        </w:tc>
        <w:tc>
          <w:tcPr>
            <w:tcW w:w="1340" w:type="dxa"/>
            <w:tcBorders>
              <w:top w:val="single" w:sz="4" w:space="0" w:color="000000"/>
              <w:bottom w:val="nil"/>
            </w:tcBorders>
            <w:shd w:val="solid" w:color="FAB585" w:themeColor="accent3" w:fill="auto"/>
          </w:tcPr>
          <w:p w:rsidR="007F683F" w:rsidRPr="003022DF" w:rsidRDefault="007F683F" w:rsidP="007F683F">
            <w:pPr>
              <w:keepNext/>
              <w:spacing w:before="40"/>
              <w:jc w:val="center"/>
              <w:rPr>
                <w:b/>
                <w:sz w:val="20"/>
                <w:szCs w:val="20"/>
              </w:rPr>
            </w:pPr>
            <w:r w:rsidRPr="003022DF">
              <w:rPr>
                <w:b/>
                <w:sz w:val="20"/>
                <w:szCs w:val="20"/>
              </w:rPr>
              <w:t>Transmission</w:t>
            </w:r>
            <w:r w:rsidRPr="003022DF">
              <w:rPr>
                <w:b/>
                <w:sz w:val="20"/>
                <w:szCs w:val="20"/>
              </w:rPr>
              <w:br/>
              <w:t>recovery</w:t>
            </w:r>
          </w:p>
        </w:tc>
        <w:tc>
          <w:tcPr>
            <w:tcW w:w="1650" w:type="dxa"/>
            <w:vMerge w:val="restart"/>
            <w:tcBorders>
              <w:top w:val="single" w:sz="4" w:space="0" w:color="000000"/>
            </w:tcBorders>
            <w:shd w:val="solid" w:color="FAB585" w:themeColor="accent3" w:fill="auto"/>
          </w:tcPr>
          <w:p w:rsidR="007F683F" w:rsidRPr="003022DF" w:rsidRDefault="007F683F" w:rsidP="00442F9C">
            <w:pPr>
              <w:keepNext/>
              <w:spacing w:before="40"/>
              <w:jc w:val="center"/>
              <w:rPr>
                <w:b/>
                <w:sz w:val="20"/>
                <w:szCs w:val="20"/>
              </w:rPr>
            </w:pPr>
            <w:r w:rsidRPr="003022DF">
              <w:rPr>
                <w:b/>
                <w:sz w:val="20"/>
                <w:szCs w:val="20"/>
              </w:rPr>
              <w:t>Jurisdictional Scheme Amount Pass Through</w:t>
            </w:r>
          </w:p>
        </w:tc>
        <w:tc>
          <w:tcPr>
            <w:tcW w:w="1148" w:type="dxa"/>
            <w:tcBorders>
              <w:top w:val="single" w:sz="4" w:space="0" w:color="000000"/>
              <w:bottom w:val="nil"/>
            </w:tcBorders>
            <w:shd w:val="solid" w:color="FAB585" w:themeColor="accent3" w:fill="auto"/>
          </w:tcPr>
          <w:p w:rsidR="007F683F" w:rsidRPr="003022DF" w:rsidRDefault="007F683F" w:rsidP="007F683F">
            <w:pPr>
              <w:keepNext/>
              <w:spacing w:before="40"/>
              <w:jc w:val="center"/>
              <w:rPr>
                <w:b/>
                <w:sz w:val="20"/>
                <w:szCs w:val="20"/>
              </w:rPr>
            </w:pPr>
            <w:r w:rsidRPr="003022DF">
              <w:rPr>
                <w:b/>
                <w:sz w:val="20"/>
                <w:szCs w:val="20"/>
              </w:rPr>
              <w:t>Alternative</w:t>
            </w:r>
            <w:r w:rsidRPr="003022DF">
              <w:rPr>
                <w:b/>
                <w:sz w:val="20"/>
                <w:szCs w:val="20"/>
              </w:rPr>
              <w:br/>
              <w:t>control</w:t>
            </w:r>
          </w:p>
        </w:tc>
        <w:tc>
          <w:tcPr>
            <w:tcW w:w="1730" w:type="dxa"/>
            <w:tcBorders>
              <w:top w:val="single" w:sz="4" w:space="0" w:color="000000"/>
              <w:bottom w:val="nil"/>
            </w:tcBorders>
            <w:shd w:val="solid" w:color="FAB585" w:themeColor="accent3" w:fill="auto"/>
          </w:tcPr>
          <w:p w:rsidR="007F683F" w:rsidRPr="003022DF" w:rsidRDefault="007F683F" w:rsidP="007F683F">
            <w:pPr>
              <w:keepNext/>
              <w:spacing w:before="40"/>
              <w:rPr>
                <w:b/>
                <w:sz w:val="20"/>
                <w:szCs w:val="20"/>
              </w:rPr>
            </w:pPr>
            <w:r w:rsidRPr="003022DF">
              <w:rPr>
                <w:b/>
                <w:sz w:val="20"/>
                <w:szCs w:val="20"/>
              </w:rPr>
              <w:t>Description</w:t>
            </w:r>
          </w:p>
        </w:tc>
      </w:tr>
      <w:tr w:rsidR="007F683F" w:rsidRPr="00927302" w:rsidTr="001414A1">
        <w:tc>
          <w:tcPr>
            <w:tcW w:w="1255" w:type="dxa"/>
            <w:tcBorders>
              <w:top w:val="nil"/>
            </w:tcBorders>
            <w:shd w:val="solid" w:color="FAB585" w:themeColor="accent3" w:fill="auto"/>
          </w:tcPr>
          <w:p w:rsidR="007F683F" w:rsidRPr="00927302" w:rsidRDefault="007F683F" w:rsidP="007F683F">
            <w:pPr>
              <w:keepNext/>
              <w:spacing w:before="40"/>
              <w:rPr>
                <w:b/>
              </w:rPr>
            </w:pPr>
          </w:p>
        </w:tc>
        <w:tc>
          <w:tcPr>
            <w:tcW w:w="1159" w:type="dxa"/>
            <w:tcBorders>
              <w:top w:val="nil"/>
            </w:tcBorders>
            <w:shd w:val="solid" w:color="FAB585" w:themeColor="accent3" w:fill="auto"/>
          </w:tcPr>
          <w:p w:rsidR="007F683F" w:rsidRPr="00927302" w:rsidRDefault="007F683F" w:rsidP="007F683F">
            <w:pPr>
              <w:keepNext/>
              <w:spacing w:before="40"/>
              <w:rPr>
                <w:b/>
              </w:rPr>
            </w:pPr>
          </w:p>
        </w:tc>
        <w:tc>
          <w:tcPr>
            <w:tcW w:w="897" w:type="dxa"/>
            <w:tcBorders>
              <w:top w:val="nil"/>
              <w:bottom w:val="single" w:sz="4" w:space="0" w:color="000000"/>
            </w:tcBorders>
            <w:shd w:val="solid" w:color="FAB585" w:themeColor="accent3" w:fill="auto"/>
          </w:tcPr>
          <w:p w:rsidR="007F683F" w:rsidRPr="003022DF" w:rsidRDefault="007F683F" w:rsidP="007F683F">
            <w:pPr>
              <w:keepNext/>
              <w:jc w:val="center"/>
              <w:rPr>
                <w:b/>
                <w:sz w:val="20"/>
                <w:szCs w:val="20"/>
              </w:rPr>
            </w:pPr>
            <w:r w:rsidRPr="003022DF">
              <w:rPr>
                <w:b/>
                <w:sz w:val="20"/>
                <w:szCs w:val="20"/>
              </w:rPr>
              <w:t>DUoS</w:t>
            </w:r>
          </w:p>
        </w:tc>
        <w:tc>
          <w:tcPr>
            <w:tcW w:w="1340" w:type="dxa"/>
            <w:tcBorders>
              <w:top w:val="nil"/>
              <w:bottom w:val="single" w:sz="4" w:space="0" w:color="000000"/>
            </w:tcBorders>
            <w:shd w:val="solid" w:color="FAB585" w:themeColor="accent3" w:fill="auto"/>
          </w:tcPr>
          <w:p w:rsidR="007F683F" w:rsidRPr="003022DF" w:rsidRDefault="007F683F" w:rsidP="007F683F">
            <w:pPr>
              <w:keepNext/>
              <w:jc w:val="center"/>
              <w:rPr>
                <w:b/>
                <w:sz w:val="20"/>
                <w:szCs w:val="20"/>
              </w:rPr>
            </w:pPr>
            <w:r w:rsidRPr="003022DF">
              <w:rPr>
                <w:b/>
                <w:sz w:val="20"/>
                <w:szCs w:val="20"/>
              </w:rPr>
              <w:t>TUoS</w:t>
            </w:r>
          </w:p>
        </w:tc>
        <w:tc>
          <w:tcPr>
            <w:tcW w:w="1650" w:type="dxa"/>
            <w:vMerge/>
            <w:tcBorders>
              <w:bottom w:val="single" w:sz="4" w:space="0" w:color="000000"/>
            </w:tcBorders>
            <w:shd w:val="solid" w:color="FAB585" w:themeColor="accent3" w:fill="auto"/>
          </w:tcPr>
          <w:p w:rsidR="007F683F" w:rsidRPr="003022DF" w:rsidRDefault="007F683F" w:rsidP="007F683F">
            <w:pPr>
              <w:keepNext/>
              <w:jc w:val="center"/>
              <w:rPr>
                <w:b/>
                <w:sz w:val="20"/>
                <w:szCs w:val="20"/>
              </w:rPr>
            </w:pPr>
          </w:p>
        </w:tc>
        <w:tc>
          <w:tcPr>
            <w:tcW w:w="1148" w:type="dxa"/>
            <w:tcBorders>
              <w:top w:val="nil"/>
            </w:tcBorders>
            <w:shd w:val="solid" w:color="FAB585" w:themeColor="accent3" w:fill="auto"/>
          </w:tcPr>
          <w:p w:rsidR="007F683F" w:rsidRPr="003022DF" w:rsidRDefault="007F683F" w:rsidP="007F683F">
            <w:pPr>
              <w:keepNext/>
              <w:jc w:val="center"/>
              <w:rPr>
                <w:b/>
                <w:sz w:val="20"/>
                <w:szCs w:val="20"/>
              </w:rPr>
            </w:pPr>
            <w:r w:rsidRPr="003022DF">
              <w:rPr>
                <w:b/>
                <w:sz w:val="20"/>
                <w:szCs w:val="20"/>
              </w:rPr>
              <w:t>Metering</w:t>
            </w:r>
          </w:p>
        </w:tc>
        <w:tc>
          <w:tcPr>
            <w:tcW w:w="1730" w:type="dxa"/>
            <w:tcBorders>
              <w:top w:val="nil"/>
            </w:tcBorders>
            <w:shd w:val="solid" w:color="FAB585" w:themeColor="accent3" w:fill="auto"/>
          </w:tcPr>
          <w:p w:rsidR="007F683F" w:rsidRPr="003022DF" w:rsidRDefault="007F683F" w:rsidP="007F683F">
            <w:pPr>
              <w:keepNext/>
              <w:spacing w:before="40"/>
              <w:rPr>
                <w:b/>
                <w:sz w:val="20"/>
                <w:szCs w:val="20"/>
              </w:rPr>
            </w:pPr>
          </w:p>
        </w:tc>
      </w:tr>
      <w:tr w:rsidR="001414A1" w:rsidRPr="00927302" w:rsidTr="00965B67">
        <w:tc>
          <w:tcPr>
            <w:tcW w:w="1255" w:type="dxa"/>
            <w:shd w:val="clear" w:color="auto" w:fill="auto"/>
          </w:tcPr>
          <w:p w:rsidR="001414A1" w:rsidRPr="00927302" w:rsidRDefault="001414A1" w:rsidP="000D3242">
            <w:pPr>
              <w:keepNext/>
              <w:spacing w:before="40" w:after="40"/>
            </w:pPr>
            <w:r>
              <w:t>Supply rate</w:t>
            </w:r>
          </w:p>
        </w:tc>
        <w:tc>
          <w:tcPr>
            <w:tcW w:w="1159" w:type="dxa"/>
            <w:shd w:val="clear" w:color="auto" w:fill="auto"/>
          </w:tcPr>
          <w:p w:rsidR="001414A1" w:rsidRPr="00927302" w:rsidRDefault="001414A1" w:rsidP="001414A1">
            <w:pPr>
              <w:keepNext/>
              <w:spacing w:before="40" w:after="40"/>
            </w:pPr>
            <w:r w:rsidRPr="00927302">
              <w:t>$/</w:t>
            </w:r>
            <w:r>
              <w:t>day</w:t>
            </w:r>
          </w:p>
        </w:tc>
        <w:tc>
          <w:tcPr>
            <w:tcW w:w="897" w:type="dxa"/>
            <w:shd w:val="clear" w:color="auto" w:fill="auto"/>
          </w:tcPr>
          <w:p w:rsidR="001414A1" w:rsidRDefault="001414A1" w:rsidP="00924A8F">
            <w:pPr>
              <w:spacing w:beforeLines="40" w:before="96" w:afterLines="40" w:after="96"/>
              <w:jc w:val="center"/>
              <w:rPr>
                <w:b/>
                <w:sz w:val="28"/>
                <w:szCs w:val="28"/>
              </w:rPr>
            </w:pPr>
            <w:r>
              <w:rPr>
                <w:b/>
                <w:sz w:val="28"/>
                <w:szCs w:val="28"/>
              </w:rPr>
              <w:t>-</w:t>
            </w:r>
          </w:p>
        </w:tc>
        <w:tc>
          <w:tcPr>
            <w:tcW w:w="1340" w:type="dxa"/>
            <w:shd w:val="clear" w:color="auto" w:fill="auto"/>
          </w:tcPr>
          <w:p w:rsidR="001414A1" w:rsidRDefault="001414A1" w:rsidP="00924A8F">
            <w:pPr>
              <w:spacing w:beforeLines="40" w:before="96" w:afterLines="40" w:after="96"/>
              <w:jc w:val="center"/>
              <w:rPr>
                <w:b/>
                <w:sz w:val="28"/>
                <w:szCs w:val="28"/>
              </w:rPr>
            </w:pPr>
            <w:r>
              <w:rPr>
                <w:b/>
                <w:sz w:val="28"/>
                <w:szCs w:val="28"/>
              </w:rPr>
              <w:t>-</w:t>
            </w:r>
          </w:p>
        </w:tc>
        <w:tc>
          <w:tcPr>
            <w:tcW w:w="1650" w:type="dxa"/>
            <w:shd w:val="clear" w:color="auto" w:fill="auto"/>
          </w:tcPr>
          <w:p w:rsidR="001414A1" w:rsidRDefault="001414A1" w:rsidP="00924A8F">
            <w:pPr>
              <w:keepNext/>
              <w:spacing w:beforeLines="40" w:before="96" w:afterLines="40" w:after="96"/>
              <w:jc w:val="center"/>
              <w:rPr>
                <w:b/>
                <w:sz w:val="28"/>
                <w:szCs w:val="28"/>
              </w:rPr>
            </w:pPr>
            <w:r>
              <w:rPr>
                <w:b/>
                <w:sz w:val="28"/>
                <w:szCs w:val="28"/>
              </w:rPr>
              <w:t>-</w:t>
            </w:r>
          </w:p>
        </w:tc>
        <w:tc>
          <w:tcPr>
            <w:tcW w:w="1148" w:type="dxa"/>
            <w:shd w:val="clear" w:color="auto" w:fill="auto"/>
          </w:tcPr>
          <w:p w:rsidR="001414A1" w:rsidRDefault="005C4433" w:rsidP="00924A8F">
            <w:pPr>
              <w:spacing w:beforeLines="40" w:before="96" w:afterLines="40" w:after="96"/>
              <w:jc w:val="center"/>
              <w:rPr>
                <w:b/>
                <w:sz w:val="28"/>
                <w:szCs w:val="28"/>
              </w:rPr>
            </w:pPr>
            <w:r>
              <w:rPr>
                <w:b/>
                <w:sz w:val="28"/>
                <w:szCs w:val="28"/>
              </w:rPr>
              <w:t>X</w:t>
            </w:r>
          </w:p>
          <w:p w:rsidR="001414A1" w:rsidRPr="001414A1" w:rsidRDefault="000B7F94" w:rsidP="00924A8F">
            <w:pPr>
              <w:spacing w:beforeLines="40" w:before="96" w:afterLines="40" w:after="96"/>
              <w:jc w:val="center"/>
            </w:pPr>
            <w:r>
              <w:t>Type 4</w:t>
            </w:r>
            <w:r w:rsidR="001414A1" w:rsidRPr="001414A1">
              <w:t xml:space="preserve"> or 5 monthly meter req</w:t>
            </w:r>
            <w:r w:rsidR="001414A1">
              <w:t>uire</w:t>
            </w:r>
            <w:r w:rsidR="001414A1" w:rsidRPr="001414A1">
              <w:t>d</w:t>
            </w:r>
          </w:p>
        </w:tc>
        <w:tc>
          <w:tcPr>
            <w:tcW w:w="1730" w:type="dxa"/>
            <w:shd w:val="clear" w:color="auto" w:fill="auto"/>
          </w:tcPr>
          <w:p w:rsidR="001414A1" w:rsidRPr="00927302" w:rsidRDefault="001414A1" w:rsidP="000D3242">
            <w:pPr>
              <w:keepNext/>
              <w:spacing w:before="40" w:after="40"/>
            </w:pPr>
            <w:r>
              <w:t>Fixed daily charge</w:t>
            </w:r>
          </w:p>
        </w:tc>
      </w:tr>
      <w:tr w:rsidR="007F683F" w:rsidRPr="00927302" w:rsidTr="00965B67">
        <w:tc>
          <w:tcPr>
            <w:tcW w:w="1255" w:type="dxa"/>
            <w:shd w:val="clear" w:color="auto" w:fill="auto"/>
          </w:tcPr>
          <w:p w:rsidR="007F683F" w:rsidRPr="00927302" w:rsidRDefault="007F683F" w:rsidP="007F683F">
            <w:pPr>
              <w:keepNext/>
              <w:spacing w:before="40" w:after="40"/>
            </w:pPr>
            <w:r w:rsidRPr="00927302">
              <w:t>Usage Rate</w:t>
            </w:r>
          </w:p>
        </w:tc>
        <w:tc>
          <w:tcPr>
            <w:tcW w:w="1159" w:type="dxa"/>
            <w:shd w:val="clear" w:color="auto" w:fill="auto"/>
          </w:tcPr>
          <w:p w:rsidR="007F683F" w:rsidRPr="00927302" w:rsidRDefault="007F683F" w:rsidP="007F683F">
            <w:pPr>
              <w:keepNext/>
              <w:spacing w:before="40" w:after="40"/>
            </w:pPr>
            <w:r w:rsidRPr="00927302">
              <w:t>$/kWh</w:t>
            </w:r>
          </w:p>
        </w:tc>
        <w:tc>
          <w:tcPr>
            <w:tcW w:w="897" w:type="dxa"/>
            <w:shd w:val="clear" w:color="auto" w:fill="auto"/>
          </w:tcPr>
          <w:p w:rsidR="007F683F" w:rsidRDefault="007F683F" w:rsidP="00924A8F">
            <w:pPr>
              <w:spacing w:beforeLines="40" w:before="96" w:afterLines="40" w:after="96"/>
              <w:jc w:val="center"/>
              <w:rPr>
                <w:b/>
                <w:sz w:val="28"/>
                <w:szCs w:val="28"/>
              </w:rPr>
            </w:pPr>
            <w:r w:rsidRPr="002A75D3">
              <w:rPr>
                <w:b/>
                <w:sz w:val="28"/>
                <w:szCs w:val="28"/>
              </w:rPr>
              <w:t>X</w:t>
            </w:r>
          </w:p>
        </w:tc>
        <w:tc>
          <w:tcPr>
            <w:tcW w:w="1340" w:type="dxa"/>
            <w:shd w:val="clear" w:color="auto" w:fill="auto"/>
          </w:tcPr>
          <w:p w:rsidR="007F683F" w:rsidRDefault="007F683F" w:rsidP="00924A8F">
            <w:pPr>
              <w:spacing w:beforeLines="40" w:before="96" w:afterLines="40" w:after="96"/>
              <w:jc w:val="center"/>
              <w:rPr>
                <w:b/>
                <w:sz w:val="28"/>
                <w:szCs w:val="28"/>
              </w:rPr>
            </w:pPr>
            <w:r w:rsidRPr="002A75D3">
              <w:rPr>
                <w:b/>
                <w:sz w:val="28"/>
                <w:szCs w:val="28"/>
              </w:rPr>
              <w:t>X</w:t>
            </w:r>
          </w:p>
        </w:tc>
        <w:tc>
          <w:tcPr>
            <w:tcW w:w="1650" w:type="dxa"/>
            <w:shd w:val="clear" w:color="auto" w:fill="auto"/>
          </w:tcPr>
          <w:p w:rsidR="007F683F" w:rsidRDefault="007F683F"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7F683F" w:rsidRPr="00927302" w:rsidRDefault="007F683F" w:rsidP="007F683F">
            <w:pPr>
              <w:keepNext/>
              <w:spacing w:before="40" w:after="40"/>
            </w:pPr>
          </w:p>
        </w:tc>
        <w:tc>
          <w:tcPr>
            <w:tcW w:w="1730" w:type="dxa"/>
            <w:shd w:val="clear" w:color="auto" w:fill="auto"/>
          </w:tcPr>
          <w:p w:rsidR="007F683F" w:rsidRPr="00927302" w:rsidRDefault="007F683F" w:rsidP="001414A1">
            <w:pPr>
              <w:keepNext/>
              <w:spacing w:before="40" w:after="40"/>
            </w:pPr>
            <w:r w:rsidRPr="00927302">
              <w:t xml:space="preserve">For </w:t>
            </w:r>
            <w:r w:rsidR="001414A1">
              <w:t xml:space="preserve">all </w:t>
            </w:r>
            <w:r w:rsidRPr="00927302">
              <w:t xml:space="preserve">consumption </w:t>
            </w:r>
          </w:p>
        </w:tc>
      </w:tr>
      <w:tr w:rsidR="001414A1" w:rsidRPr="00927302" w:rsidTr="00965B67">
        <w:tc>
          <w:tcPr>
            <w:tcW w:w="1255" w:type="dxa"/>
            <w:shd w:val="clear" w:color="auto" w:fill="auto"/>
          </w:tcPr>
          <w:p w:rsidR="001414A1" w:rsidRPr="00927302" w:rsidRDefault="001414A1" w:rsidP="005C4433">
            <w:pPr>
              <w:keepNext/>
              <w:spacing w:before="40" w:after="40"/>
            </w:pPr>
            <w:r>
              <w:t>Summer Demand</w:t>
            </w:r>
            <w:r w:rsidRPr="00927302">
              <w:t xml:space="preserve"> </w:t>
            </w:r>
            <w:r>
              <w:t xml:space="preserve">Peak </w:t>
            </w:r>
            <w:r w:rsidRPr="00927302">
              <w:t>Rate</w:t>
            </w:r>
          </w:p>
        </w:tc>
        <w:tc>
          <w:tcPr>
            <w:tcW w:w="1159" w:type="dxa"/>
            <w:shd w:val="clear" w:color="auto" w:fill="auto"/>
          </w:tcPr>
          <w:p w:rsidR="001414A1" w:rsidRPr="00927302" w:rsidRDefault="001414A1" w:rsidP="001414A1">
            <w:pPr>
              <w:keepNext/>
              <w:spacing w:before="40" w:after="40"/>
            </w:pPr>
            <w:r w:rsidRPr="00927302">
              <w:t>$/kW</w:t>
            </w:r>
            <w:r>
              <w:t>/mth</w:t>
            </w:r>
          </w:p>
        </w:tc>
        <w:tc>
          <w:tcPr>
            <w:tcW w:w="897" w:type="dxa"/>
            <w:shd w:val="clear" w:color="auto" w:fill="auto"/>
          </w:tcPr>
          <w:p w:rsidR="001414A1" w:rsidRDefault="001414A1" w:rsidP="00924A8F">
            <w:pPr>
              <w:spacing w:beforeLines="40" w:before="96" w:afterLines="40" w:after="96"/>
              <w:jc w:val="center"/>
              <w:rPr>
                <w:b/>
                <w:sz w:val="28"/>
                <w:szCs w:val="28"/>
              </w:rPr>
            </w:pPr>
            <w:r w:rsidRPr="002A75D3">
              <w:rPr>
                <w:b/>
                <w:sz w:val="28"/>
                <w:szCs w:val="28"/>
              </w:rPr>
              <w:t>X</w:t>
            </w:r>
          </w:p>
        </w:tc>
        <w:tc>
          <w:tcPr>
            <w:tcW w:w="1340" w:type="dxa"/>
            <w:shd w:val="clear" w:color="auto" w:fill="auto"/>
          </w:tcPr>
          <w:p w:rsidR="001414A1" w:rsidRDefault="001414A1" w:rsidP="00924A8F">
            <w:pPr>
              <w:spacing w:beforeLines="40" w:before="96" w:afterLines="40" w:after="96"/>
              <w:jc w:val="center"/>
              <w:rPr>
                <w:b/>
                <w:sz w:val="28"/>
                <w:szCs w:val="28"/>
              </w:rPr>
            </w:pPr>
            <w:r w:rsidRPr="002A75D3">
              <w:rPr>
                <w:b/>
                <w:sz w:val="28"/>
                <w:szCs w:val="28"/>
              </w:rPr>
              <w:t>X</w:t>
            </w:r>
          </w:p>
        </w:tc>
        <w:tc>
          <w:tcPr>
            <w:tcW w:w="1650" w:type="dxa"/>
            <w:shd w:val="clear" w:color="auto" w:fill="auto"/>
          </w:tcPr>
          <w:p w:rsidR="001414A1" w:rsidRDefault="001414A1"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1414A1" w:rsidRPr="00927302" w:rsidRDefault="001414A1" w:rsidP="000D3242">
            <w:pPr>
              <w:keepNext/>
              <w:spacing w:before="40" w:after="40"/>
            </w:pPr>
          </w:p>
        </w:tc>
        <w:tc>
          <w:tcPr>
            <w:tcW w:w="1730" w:type="dxa"/>
            <w:shd w:val="clear" w:color="auto" w:fill="auto"/>
          </w:tcPr>
          <w:p w:rsidR="001414A1" w:rsidRPr="00927302" w:rsidRDefault="001414A1" w:rsidP="001414A1">
            <w:pPr>
              <w:keepNext/>
              <w:spacing w:before="40" w:after="40"/>
            </w:pPr>
            <w:r>
              <w:t>For Nov-March demand, 16</w:t>
            </w:r>
            <w:r w:rsidR="00E32B94">
              <w:t>:</w:t>
            </w:r>
            <w:r>
              <w:t>00-21</w:t>
            </w:r>
            <w:r w:rsidR="00E32B94">
              <w:t>:</w:t>
            </w:r>
            <w:r>
              <w:t>00 local time</w:t>
            </w:r>
          </w:p>
        </w:tc>
      </w:tr>
      <w:tr w:rsidR="001414A1" w:rsidRPr="00927302" w:rsidTr="00965B67">
        <w:tc>
          <w:tcPr>
            <w:tcW w:w="1255" w:type="dxa"/>
            <w:shd w:val="clear" w:color="auto" w:fill="auto"/>
          </w:tcPr>
          <w:p w:rsidR="001414A1" w:rsidRPr="00927302" w:rsidRDefault="001414A1" w:rsidP="005C4433">
            <w:pPr>
              <w:keepNext/>
              <w:spacing w:before="40" w:after="40"/>
            </w:pPr>
            <w:r>
              <w:t xml:space="preserve">Winter Demand </w:t>
            </w:r>
            <w:r w:rsidR="005C4433">
              <w:t>Shoulder</w:t>
            </w:r>
            <w:r>
              <w:t xml:space="preserve"> Rate</w:t>
            </w:r>
          </w:p>
        </w:tc>
        <w:tc>
          <w:tcPr>
            <w:tcW w:w="1159" w:type="dxa"/>
            <w:shd w:val="clear" w:color="auto" w:fill="auto"/>
          </w:tcPr>
          <w:p w:rsidR="001414A1" w:rsidRPr="00927302" w:rsidRDefault="001414A1" w:rsidP="000D3242">
            <w:pPr>
              <w:keepNext/>
              <w:spacing w:before="40" w:after="40"/>
            </w:pPr>
            <w:r w:rsidRPr="00927302">
              <w:t>$/kW</w:t>
            </w:r>
            <w:r>
              <w:t>/mt</w:t>
            </w:r>
            <w:r w:rsidRPr="00927302">
              <w:t>h</w:t>
            </w:r>
          </w:p>
        </w:tc>
        <w:tc>
          <w:tcPr>
            <w:tcW w:w="897" w:type="dxa"/>
            <w:tcBorders>
              <w:bottom w:val="single" w:sz="4" w:space="0" w:color="000000"/>
            </w:tcBorders>
            <w:shd w:val="clear" w:color="auto" w:fill="auto"/>
          </w:tcPr>
          <w:p w:rsidR="001414A1" w:rsidRDefault="001414A1" w:rsidP="00924A8F">
            <w:pPr>
              <w:spacing w:beforeLines="40" w:before="96" w:afterLines="40" w:after="96"/>
              <w:jc w:val="center"/>
              <w:rPr>
                <w:b/>
                <w:sz w:val="28"/>
                <w:szCs w:val="28"/>
              </w:rPr>
            </w:pPr>
            <w:r w:rsidRPr="002A75D3">
              <w:rPr>
                <w:b/>
                <w:sz w:val="28"/>
                <w:szCs w:val="28"/>
              </w:rPr>
              <w:t>X</w:t>
            </w:r>
          </w:p>
        </w:tc>
        <w:tc>
          <w:tcPr>
            <w:tcW w:w="1340" w:type="dxa"/>
            <w:tcBorders>
              <w:bottom w:val="single" w:sz="4" w:space="0" w:color="000000"/>
            </w:tcBorders>
            <w:shd w:val="clear" w:color="auto" w:fill="auto"/>
          </w:tcPr>
          <w:p w:rsidR="001414A1" w:rsidRDefault="001414A1" w:rsidP="00924A8F">
            <w:pPr>
              <w:spacing w:beforeLines="40" w:before="96" w:afterLines="40" w:after="96"/>
              <w:jc w:val="center"/>
              <w:rPr>
                <w:b/>
                <w:sz w:val="28"/>
                <w:szCs w:val="28"/>
              </w:rPr>
            </w:pPr>
            <w:r w:rsidRPr="002A75D3">
              <w:rPr>
                <w:b/>
                <w:sz w:val="28"/>
                <w:szCs w:val="28"/>
              </w:rPr>
              <w:t>X</w:t>
            </w:r>
          </w:p>
        </w:tc>
        <w:tc>
          <w:tcPr>
            <w:tcW w:w="1650" w:type="dxa"/>
            <w:tcBorders>
              <w:bottom w:val="single" w:sz="4" w:space="0" w:color="000000"/>
            </w:tcBorders>
            <w:shd w:val="clear" w:color="auto" w:fill="auto"/>
          </w:tcPr>
          <w:p w:rsidR="001414A1" w:rsidRDefault="001414A1"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1414A1" w:rsidRPr="00927302" w:rsidRDefault="001414A1" w:rsidP="000D3242">
            <w:pPr>
              <w:keepNext/>
              <w:spacing w:before="40" w:after="40"/>
            </w:pPr>
          </w:p>
        </w:tc>
        <w:tc>
          <w:tcPr>
            <w:tcW w:w="1730" w:type="dxa"/>
            <w:shd w:val="clear" w:color="auto" w:fill="auto"/>
          </w:tcPr>
          <w:p w:rsidR="001414A1" w:rsidRPr="00927302" w:rsidRDefault="001414A1" w:rsidP="001414A1">
            <w:pPr>
              <w:keepNext/>
              <w:spacing w:before="40" w:after="40"/>
            </w:pPr>
            <w:r>
              <w:t>For Apr-Oct demand, 16</w:t>
            </w:r>
            <w:r w:rsidR="00E32B94">
              <w:t>:</w:t>
            </w:r>
            <w:r>
              <w:t>00-21</w:t>
            </w:r>
            <w:r w:rsidR="00E32B94">
              <w:t>:</w:t>
            </w:r>
            <w:r>
              <w:t>00 local time</w:t>
            </w:r>
          </w:p>
        </w:tc>
      </w:tr>
      <w:tr w:rsidR="001414A1" w:rsidRPr="00927302" w:rsidTr="00965B67">
        <w:tc>
          <w:tcPr>
            <w:tcW w:w="1255" w:type="dxa"/>
            <w:shd w:val="clear" w:color="auto" w:fill="auto"/>
          </w:tcPr>
          <w:p w:rsidR="001414A1" w:rsidRPr="00927302" w:rsidRDefault="001414A1" w:rsidP="007F683F">
            <w:pPr>
              <w:keepNext/>
              <w:spacing w:before="40" w:after="40"/>
            </w:pPr>
            <w:r>
              <w:t>Demand Off-peak</w:t>
            </w:r>
            <w:r w:rsidRPr="00927302">
              <w:t xml:space="preserve"> Rate</w:t>
            </w:r>
          </w:p>
        </w:tc>
        <w:tc>
          <w:tcPr>
            <w:tcW w:w="1159" w:type="dxa"/>
            <w:shd w:val="clear" w:color="auto" w:fill="auto"/>
          </w:tcPr>
          <w:p w:rsidR="001414A1" w:rsidRPr="00927302" w:rsidRDefault="001414A1" w:rsidP="007F683F">
            <w:pPr>
              <w:keepNext/>
              <w:spacing w:before="40" w:after="40"/>
            </w:pPr>
            <w:r w:rsidRPr="00927302">
              <w:t>$/kW</w:t>
            </w:r>
            <w:r>
              <w:t>/mt</w:t>
            </w:r>
            <w:r w:rsidRPr="00927302">
              <w:t>h</w:t>
            </w:r>
          </w:p>
        </w:tc>
        <w:tc>
          <w:tcPr>
            <w:tcW w:w="897" w:type="dxa"/>
            <w:shd w:val="clear" w:color="auto" w:fill="auto"/>
          </w:tcPr>
          <w:p w:rsidR="001414A1" w:rsidRDefault="001414A1" w:rsidP="00924A8F">
            <w:pPr>
              <w:spacing w:beforeLines="40" w:before="96" w:afterLines="40" w:after="96"/>
              <w:jc w:val="center"/>
              <w:rPr>
                <w:b/>
                <w:sz w:val="28"/>
                <w:szCs w:val="28"/>
              </w:rPr>
            </w:pPr>
            <w:r>
              <w:rPr>
                <w:b/>
                <w:sz w:val="28"/>
                <w:szCs w:val="28"/>
              </w:rPr>
              <w:t>-</w:t>
            </w:r>
          </w:p>
        </w:tc>
        <w:tc>
          <w:tcPr>
            <w:tcW w:w="1340" w:type="dxa"/>
            <w:shd w:val="clear" w:color="auto" w:fill="auto"/>
          </w:tcPr>
          <w:p w:rsidR="001414A1" w:rsidRDefault="001414A1" w:rsidP="00924A8F">
            <w:pPr>
              <w:spacing w:beforeLines="40" w:before="96" w:afterLines="40" w:after="96"/>
              <w:jc w:val="center"/>
              <w:rPr>
                <w:b/>
                <w:sz w:val="28"/>
                <w:szCs w:val="28"/>
              </w:rPr>
            </w:pPr>
            <w:r>
              <w:rPr>
                <w:b/>
                <w:sz w:val="28"/>
                <w:szCs w:val="28"/>
              </w:rPr>
              <w:t>-</w:t>
            </w:r>
          </w:p>
        </w:tc>
        <w:tc>
          <w:tcPr>
            <w:tcW w:w="1650" w:type="dxa"/>
            <w:shd w:val="clear" w:color="auto" w:fill="auto"/>
          </w:tcPr>
          <w:p w:rsidR="001414A1" w:rsidRDefault="001414A1" w:rsidP="00924A8F">
            <w:pPr>
              <w:keepNext/>
              <w:spacing w:beforeLines="40" w:before="96" w:afterLines="40" w:after="96"/>
              <w:jc w:val="center"/>
              <w:rPr>
                <w:b/>
                <w:sz w:val="28"/>
                <w:szCs w:val="28"/>
              </w:rPr>
            </w:pPr>
            <w:r>
              <w:rPr>
                <w:b/>
                <w:sz w:val="28"/>
                <w:szCs w:val="28"/>
              </w:rPr>
              <w:t>-</w:t>
            </w:r>
          </w:p>
        </w:tc>
        <w:tc>
          <w:tcPr>
            <w:tcW w:w="1148" w:type="dxa"/>
            <w:shd w:val="clear" w:color="auto" w:fill="auto"/>
          </w:tcPr>
          <w:p w:rsidR="001414A1" w:rsidRPr="00927302" w:rsidRDefault="001414A1" w:rsidP="007F683F">
            <w:pPr>
              <w:keepNext/>
              <w:spacing w:before="40" w:after="40"/>
            </w:pPr>
          </w:p>
        </w:tc>
        <w:tc>
          <w:tcPr>
            <w:tcW w:w="1730" w:type="dxa"/>
            <w:shd w:val="clear" w:color="auto" w:fill="auto"/>
          </w:tcPr>
          <w:p w:rsidR="001414A1" w:rsidRPr="00927302" w:rsidRDefault="001414A1" w:rsidP="001414A1">
            <w:pPr>
              <w:keepNext/>
              <w:spacing w:before="40" w:after="40"/>
            </w:pPr>
            <w:r>
              <w:t>For anytime demand each month.</w:t>
            </w:r>
          </w:p>
        </w:tc>
      </w:tr>
    </w:tbl>
    <w:p w:rsidR="007F683F" w:rsidRDefault="007F683F" w:rsidP="0044594F"/>
    <w:p w:rsidR="00BF18A9" w:rsidRDefault="00BF18A9" w:rsidP="00BF18A9">
      <w:r>
        <w:t>Metering charges are discussed in detail separately in this Pricing Proposal.</w:t>
      </w:r>
    </w:p>
    <w:p w:rsidR="00217741" w:rsidRDefault="00217741">
      <w:r>
        <w:br w:type="page"/>
      </w:r>
    </w:p>
    <w:p w:rsidR="0044594F" w:rsidRPr="00927302" w:rsidRDefault="0044594F" w:rsidP="0044594F">
      <w:pPr>
        <w:pStyle w:val="Heading2"/>
        <w:keepLines w:val="0"/>
        <w:numPr>
          <w:ilvl w:val="1"/>
          <w:numId w:val="16"/>
        </w:numPr>
        <w:tabs>
          <w:tab w:val="left" w:pos="851"/>
        </w:tabs>
        <w:spacing w:after="240" w:line="240" w:lineRule="auto"/>
      </w:pPr>
      <w:r w:rsidRPr="00927302">
        <w:t xml:space="preserve"> </w:t>
      </w:r>
      <w:bookmarkStart w:id="49" w:name="_Toc420009829"/>
      <w:r w:rsidRPr="00927302">
        <w:t>Low voltage business tariff class</w:t>
      </w:r>
      <w:bookmarkEnd w:id="49"/>
    </w:p>
    <w:p w:rsidR="0044594F" w:rsidRDefault="0044594F" w:rsidP="0044594F">
      <w:r w:rsidRPr="00927302">
        <w:t>The low voltage business tariffs cover a broad range of customer sizes and types of metering installations.  This tariff class is the most diverse in terms of its consumption range and the variety of end uses.</w:t>
      </w:r>
    </w:p>
    <w:p w:rsidR="00217741" w:rsidRDefault="00217741" w:rsidP="0044594F"/>
    <w:p w:rsidR="0044594F" w:rsidRPr="00927302" w:rsidRDefault="00BF18A9" w:rsidP="009A26B4">
      <w:pPr>
        <w:pStyle w:val="Heading3"/>
      </w:pPr>
      <w:r>
        <w:t>Business l</w:t>
      </w:r>
      <w:r w:rsidR="0044594F" w:rsidRPr="00927302">
        <w:t>ow voltage single rate tariff</w:t>
      </w:r>
      <w:r w:rsidR="005C4433">
        <w:t xml:space="preserve"> (obsolete)</w:t>
      </w:r>
    </w:p>
    <w:p w:rsidR="0044594F" w:rsidRDefault="0044594F" w:rsidP="0044594F">
      <w:pPr>
        <w:keepNext/>
      </w:pPr>
      <w:r w:rsidRPr="00927302">
        <w:t xml:space="preserve">The low voltage business single rate tariff </w:t>
      </w:r>
      <w:r w:rsidR="005C4433">
        <w:t>wa</w:t>
      </w:r>
      <w:r w:rsidRPr="00927302">
        <w:t xml:space="preserve">s available for </w:t>
      </w:r>
      <w:r w:rsidR="005C4433">
        <w:t xml:space="preserve">use at </w:t>
      </w:r>
      <w:r w:rsidRPr="00927302">
        <w:t xml:space="preserve">a </w:t>
      </w:r>
      <w:r w:rsidR="000B7F94">
        <w:t>Type 1</w:t>
      </w:r>
      <w:r w:rsidRPr="00927302">
        <w:t xml:space="preserve">-6 meter installation.  As with the residential tariff, consumption is charged on an inclining scale in </w:t>
      </w:r>
      <w:r w:rsidR="005C4433">
        <w:t>two</w:t>
      </w:r>
      <w:r w:rsidRPr="00927302">
        <w:t xml:space="preserve"> consumption blocks.  The low voltage business single rate tariff incorporates the charging parameters set out in </w:t>
      </w:r>
      <w:r w:rsidR="00575C9A">
        <w:fldChar w:fldCharType="begin"/>
      </w:r>
      <w:r>
        <w:instrText xml:space="preserve"> REF _Ref133814457 \h </w:instrText>
      </w:r>
      <w:r w:rsidR="00575C9A">
        <w:fldChar w:fldCharType="separate"/>
      </w:r>
      <w:r w:rsidR="00A81AFE" w:rsidRPr="00927302">
        <w:t xml:space="preserve">Table </w:t>
      </w:r>
      <w:r w:rsidR="00A81AFE">
        <w:rPr>
          <w:noProof/>
        </w:rPr>
        <w:t>8</w:t>
      </w:r>
      <w:r w:rsidR="00575C9A">
        <w:fldChar w:fldCharType="end"/>
      </w:r>
      <w:r w:rsidRPr="00927302">
        <w:t>.</w:t>
      </w:r>
      <w:r w:rsidR="006B01EB">
        <w:t xml:space="preserve">  </w:t>
      </w:r>
      <w:r w:rsidR="005C4433">
        <w:t>This tariff was closed to new applicants on 30 June 2010.</w:t>
      </w:r>
    </w:p>
    <w:p w:rsidR="00651846" w:rsidRPr="00927302" w:rsidRDefault="00651846" w:rsidP="0044594F">
      <w:pPr>
        <w:keepNext/>
      </w:pPr>
    </w:p>
    <w:p w:rsidR="0044594F" w:rsidRPr="00927302" w:rsidRDefault="0044594F" w:rsidP="0044594F">
      <w:pPr>
        <w:pStyle w:val="Caption"/>
        <w:keepNext/>
      </w:pPr>
      <w:bookmarkStart w:id="50" w:name="_Ref133814457"/>
      <w:r w:rsidRPr="00927302">
        <w:t xml:space="preserve">Table </w:t>
      </w:r>
      <w:r w:rsidR="00924A8F">
        <w:fldChar w:fldCharType="begin"/>
      </w:r>
      <w:r w:rsidR="00924A8F">
        <w:instrText xml:space="preserve"> SEQ Table \* ARABIC </w:instrText>
      </w:r>
      <w:r w:rsidR="00924A8F">
        <w:fldChar w:fldCharType="separate"/>
      </w:r>
      <w:r w:rsidR="00A81AFE">
        <w:rPr>
          <w:noProof/>
        </w:rPr>
        <w:t>8</w:t>
      </w:r>
      <w:r w:rsidR="00924A8F">
        <w:rPr>
          <w:noProof/>
        </w:rPr>
        <w:fldChar w:fldCharType="end"/>
      </w:r>
      <w:bookmarkEnd w:id="50"/>
      <w:r w:rsidRPr="00927302">
        <w:t xml:space="preserve"> - Low voltage business single rate tariff 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88"/>
        <w:gridCol w:w="827"/>
        <w:gridCol w:w="900"/>
        <w:gridCol w:w="1380"/>
        <w:gridCol w:w="1701"/>
        <w:gridCol w:w="1275"/>
        <w:gridCol w:w="1808"/>
      </w:tblGrid>
      <w:tr w:rsidR="0044594F" w:rsidRPr="00927302" w:rsidTr="003022DF">
        <w:tc>
          <w:tcPr>
            <w:tcW w:w="1288"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27"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706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288"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27"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900"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Direct</w:t>
            </w:r>
            <w:r w:rsidRPr="003022DF">
              <w:rPr>
                <w:b/>
                <w:sz w:val="20"/>
                <w:szCs w:val="20"/>
              </w:rPr>
              <w:br/>
              <w:t>control</w:t>
            </w:r>
          </w:p>
        </w:tc>
        <w:tc>
          <w:tcPr>
            <w:tcW w:w="1380"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Transmission</w:t>
            </w:r>
            <w:r w:rsidRPr="003022DF">
              <w:rPr>
                <w:b/>
                <w:sz w:val="20"/>
                <w:szCs w:val="20"/>
              </w:rPr>
              <w:br/>
              <w:t>recovery</w:t>
            </w:r>
          </w:p>
        </w:tc>
        <w:tc>
          <w:tcPr>
            <w:tcW w:w="1701" w:type="dxa"/>
            <w:vMerge w:val="restart"/>
            <w:tcBorders>
              <w:top w:val="single" w:sz="4" w:space="0" w:color="000000"/>
            </w:tcBorders>
            <w:shd w:val="solid" w:color="FAB585" w:themeColor="accent3" w:fill="auto"/>
          </w:tcPr>
          <w:p w:rsidR="0044594F" w:rsidRPr="003022DF" w:rsidRDefault="003022DF" w:rsidP="005C4433">
            <w:pPr>
              <w:keepNext/>
              <w:spacing w:before="40"/>
              <w:jc w:val="center"/>
              <w:rPr>
                <w:b/>
                <w:sz w:val="20"/>
                <w:szCs w:val="20"/>
              </w:rPr>
            </w:pPr>
            <w:r w:rsidRPr="003022DF">
              <w:rPr>
                <w:b/>
                <w:sz w:val="20"/>
                <w:szCs w:val="20"/>
              </w:rPr>
              <w:t>Jurisdictional Scheme Amount Pass Through</w:t>
            </w:r>
          </w:p>
        </w:tc>
        <w:tc>
          <w:tcPr>
            <w:tcW w:w="1275"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Alternative</w:t>
            </w:r>
            <w:r w:rsidRPr="003022DF">
              <w:rPr>
                <w:b/>
                <w:sz w:val="20"/>
                <w:szCs w:val="20"/>
              </w:rPr>
              <w:br/>
              <w:t>control</w:t>
            </w:r>
          </w:p>
        </w:tc>
        <w:tc>
          <w:tcPr>
            <w:tcW w:w="1808" w:type="dxa"/>
            <w:tcBorders>
              <w:top w:val="single" w:sz="4" w:space="0" w:color="000000"/>
              <w:bottom w:val="nil"/>
            </w:tcBorders>
            <w:shd w:val="solid" w:color="FAB585" w:themeColor="accent3" w:fill="auto"/>
          </w:tcPr>
          <w:p w:rsidR="0044594F" w:rsidRPr="003022DF" w:rsidRDefault="0044594F" w:rsidP="00393E4F">
            <w:pPr>
              <w:keepNext/>
              <w:spacing w:before="40" w:after="40"/>
              <w:rPr>
                <w:b/>
                <w:sz w:val="20"/>
                <w:szCs w:val="20"/>
              </w:rPr>
            </w:pPr>
            <w:r w:rsidRPr="003022DF">
              <w:rPr>
                <w:b/>
                <w:sz w:val="20"/>
                <w:szCs w:val="20"/>
              </w:rPr>
              <w:t>Description</w:t>
            </w:r>
          </w:p>
        </w:tc>
      </w:tr>
      <w:tr w:rsidR="0044594F" w:rsidRPr="00927302" w:rsidTr="003022DF">
        <w:tc>
          <w:tcPr>
            <w:tcW w:w="1288" w:type="dxa"/>
            <w:tcBorders>
              <w:top w:val="nil"/>
            </w:tcBorders>
            <w:shd w:val="solid" w:color="FAB585" w:themeColor="accent3" w:fill="auto"/>
          </w:tcPr>
          <w:p w:rsidR="0044594F" w:rsidRPr="00927302" w:rsidRDefault="0044594F" w:rsidP="00393E4F">
            <w:pPr>
              <w:keepNext/>
              <w:spacing w:after="40"/>
              <w:rPr>
                <w:b/>
              </w:rPr>
            </w:pPr>
          </w:p>
        </w:tc>
        <w:tc>
          <w:tcPr>
            <w:tcW w:w="827" w:type="dxa"/>
            <w:tcBorders>
              <w:top w:val="nil"/>
            </w:tcBorders>
            <w:shd w:val="solid" w:color="FAB585" w:themeColor="accent3" w:fill="auto"/>
          </w:tcPr>
          <w:p w:rsidR="0044594F" w:rsidRPr="00927302" w:rsidRDefault="0044594F" w:rsidP="00393E4F">
            <w:pPr>
              <w:keepNext/>
              <w:spacing w:after="40"/>
              <w:rPr>
                <w:b/>
              </w:rPr>
            </w:pPr>
          </w:p>
        </w:tc>
        <w:tc>
          <w:tcPr>
            <w:tcW w:w="900"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DUoS</w:t>
            </w:r>
          </w:p>
        </w:tc>
        <w:tc>
          <w:tcPr>
            <w:tcW w:w="1380"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TUoS</w:t>
            </w:r>
          </w:p>
        </w:tc>
        <w:tc>
          <w:tcPr>
            <w:tcW w:w="1701" w:type="dxa"/>
            <w:vMerge/>
            <w:tcBorders>
              <w:bottom w:val="single" w:sz="4" w:space="0" w:color="000000"/>
            </w:tcBorders>
            <w:shd w:val="solid" w:color="FAB585" w:themeColor="accent3" w:fill="auto"/>
          </w:tcPr>
          <w:p w:rsidR="0044594F" w:rsidRPr="003022DF" w:rsidRDefault="0044594F" w:rsidP="00393E4F">
            <w:pPr>
              <w:keepNext/>
              <w:spacing w:after="40"/>
              <w:jc w:val="center"/>
              <w:rPr>
                <w:b/>
                <w:sz w:val="20"/>
                <w:szCs w:val="20"/>
              </w:rPr>
            </w:pPr>
          </w:p>
        </w:tc>
        <w:tc>
          <w:tcPr>
            <w:tcW w:w="1275"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Metering</w:t>
            </w:r>
          </w:p>
        </w:tc>
        <w:tc>
          <w:tcPr>
            <w:tcW w:w="1808" w:type="dxa"/>
            <w:tcBorders>
              <w:top w:val="nil"/>
            </w:tcBorders>
            <w:shd w:val="solid" w:color="FAB585" w:themeColor="accent3" w:fill="auto"/>
          </w:tcPr>
          <w:p w:rsidR="0044594F" w:rsidRPr="003022DF" w:rsidRDefault="0044594F" w:rsidP="00393E4F">
            <w:pPr>
              <w:keepNext/>
              <w:spacing w:after="40"/>
              <w:rPr>
                <w:b/>
                <w:sz w:val="20"/>
                <w:szCs w:val="20"/>
              </w:rPr>
            </w:pPr>
          </w:p>
        </w:tc>
      </w:tr>
      <w:tr w:rsidR="006B01EB" w:rsidRPr="00927302" w:rsidTr="005C4433">
        <w:tc>
          <w:tcPr>
            <w:tcW w:w="1288" w:type="dxa"/>
            <w:shd w:val="clear" w:color="auto" w:fill="auto"/>
          </w:tcPr>
          <w:p w:rsidR="006B01EB" w:rsidRPr="00927302" w:rsidRDefault="006B01EB" w:rsidP="00393E4F">
            <w:pPr>
              <w:keepNext/>
              <w:spacing w:before="40" w:after="40"/>
            </w:pPr>
            <w:r w:rsidRPr="00927302">
              <w:t>Supply Rate</w:t>
            </w:r>
          </w:p>
        </w:tc>
        <w:tc>
          <w:tcPr>
            <w:tcW w:w="827" w:type="dxa"/>
            <w:shd w:val="clear" w:color="auto" w:fill="auto"/>
          </w:tcPr>
          <w:p w:rsidR="006B01EB" w:rsidRPr="00927302" w:rsidRDefault="006B01EB" w:rsidP="00393E4F">
            <w:pPr>
              <w:keepNext/>
              <w:spacing w:before="40" w:after="40"/>
            </w:pPr>
            <w:r w:rsidRPr="00927302">
              <w:t>$/day</w:t>
            </w:r>
          </w:p>
        </w:tc>
        <w:tc>
          <w:tcPr>
            <w:tcW w:w="900" w:type="dxa"/>
            <w:shd w:val="clear" w:color="auto" w:fill="auto"/>
          </w:tcPr>
          <w:p w:rsidR="006B01EB" w:rsidRPr="00927302" w:rsidRDefault="006B01EB" w:rsidP="00393E4F">
            <w:pPr>
              <w:keepNext/>
              <w:jc w:val="center"/>
              <w:rPr>
                <w:b/>
                <w:sz w:val="28"/>
              </w:rPr>
            </w:pPr>
            <w:r>
              <w:rPr>
                <w:b/>
                <w:sz w:val="28"/>
              </w:rPr>
              <w:t>X</w:t>
            </w:r>
          </w:p>
        </w:tc>
        <w:tc>
          <w:tcPr>
            <w:tcW w:w="1380" w:type="dxa"/>
            <w:shd w:val="clear" w:color="auto" w:fill="auto"/>
          </w:tcPr>
          <w:p w:rsidR="006B01EB" w:rsidRPr="00927302" w:rsidRDefault="006B01EB" w:rsidP="00393E4F">
            <w:pPr>
              <w:keepNext/>
              <w:jc w:val="center"/>
              <w:rPr>
                <w:b/>
                <w:sz w:val="28"/>
              </w:rPr>
            </w:pPr>
            <w:r w:rsidRPr="00927302">
              <w:rPr>
                <w:b/>
                <w:sz w:val="28"/>
              </w:rPr>
              <w:t>-</w:t>
            </w:r>
          </w:p>
        </w:tc>
        <w:tc>
          <w:tcPr>
            <w:tcW w:w="1701" w:type="dxa"/>
            <w:shd w:val="clear" w:color="auto" w:fill="auto"/>
          </w:tcPr>
          <w:p w:rsidR="006B01EB" w:rsidRPr="00927302" w:rsidRDefault="005C4433" w:rsidP="006B01EB">
            <w:pPr>
              <w:keepNext/>
              <w:jc w:val="center"/>
              <w:rPr>
                <w:b/>
                <w:sz w:val="28"/>
              </w:rPr>
            </w:pPr>
            <w:r>
              <w:rPr>
                <w:b/>
                <w:sz w:val="28"/>
              </w:rPr>
              <w:t>X</w:t>
            </w:r>
          </w:p>
        </w:tc>
        <w:tc>
          <w:tcPr>
            <w:tcW w:w="1275" w:type="dxa"/>
            <w:shd w:val="clear" w:color="auto" w:fill="auto"/>
          </w:tcPr>
          <w:p w:rsidR="006B01EB" w:rsidRPr="00927302" w:rsidRDefault="006B01EB" w:rsidP="00393E4F">
            <w:pPr>
              <w:keepNext/>
              <w:spacing w:before="40" w:after="40"/>
              <w:jc w:val="center"/>
            </w:pPr>
            <w:r w:rsidRPr="00927302">
              <w:t>If applicable</w:t>
            </w:r>
          </w:p>
        </w:tc>
        <w:tc>
          <w:tcPr>
            <w:tcW w:w="1808" w:type="dxa"/>
            <w:shd w:val="clear" w:color="auto" w:fill="auto"/>
          </w:tcPr>
          <w:p w:rsidR="006B01EB" w:rsidRPr="00927302" w:rsidRDefault="006B01EB" w:rsidP="00393E4F">
            <w:pPr>
              <w:keepNext/>
              <w:spacing w:before="40" w:after="40"/>
            </w:pPr>
            <w:r w:rsidRPr="00927302">
              <w:t>Fixed daily charge</w:t>
            </w:r>
          </w:p>
        </w:tc>
      </w:tr>
      <w:tr w:rsidR="0044594F" w:rsidRPr="00927302" w:rsidTr="005C4433">
        <w:tc>
          <w:tcPr>
            <w:tcW w:w="1288" w:type="dxa"/>
            <w:shd w:val="clear" w:color="auto" w:fill="auto"/>
          </w:tcPr>
          <w:p w:rsidR="0044594F" w:rsidRPr="00927302" w:rsidRDefault="0044594F" w:rsidP="00393E4F">
            <w:pPr>
              <w:keepNext/>
              <w:spacing w:before="40" w:after="40"/>
            </w:pPr>
            <w:r w:rsidRPr="00927302">
              <w:t>Block 1 Usage Rate</w:t>
            </w:r>
          </w:p>
        </w:tc>
        <w:tc>
          <w:tcPr>
            <w:tcW w:w="827" w:type="dxa"/>
            <w:shd w:val="clear" w:color="auto" w:fill="auto"/>
          </w:tcPr>
          <w:p w:rsidR="0044594F" w:rsidRPr="00927302" w:rsidRDefault="0044594F" w:rsidP="00393E4F">
            <w:pPr>
              <w:keepNext/>
              <w:spacing w:before="40" w:after="40"/>
            </w:pPr>
            <w:r w:rsidRPr="00927302">
              <w:t>$/kWh</w:t>
            </w:r>
          </w:p>
        </w:tc>
        <w:tc>
          <w:tcPr>
            <w:tcW w:w="900" w:type="dxa"/>
            <w:shd w:val="clear" w:color="auto" w:fill="auto"/>
          </w:tcPr>
          <w:p w:rsidR="0044594F" w:rsidRPr="00927302" w:rsidRDefault="0044594F" w:rsidP="00393E4F">
            <w:pPr>
              <w:jc w:val="center"/>
            </w:pPr>
            <w:r>
              <w:rPr>
                <w:b/>
                <w:sz w:val="28"/>
              </w:rPr>
              <w:t>X</w:t>
            </w:r>
          </w:p>
        </w:tc>
        <w:tc>
          <w:tcPr>
            <w:tcW w:w="1380" w:type="dxa"/>
            <w:shd w:val="clear" w:color="auto" w:fill="auto"/>
          </w:tcPr>
          <w:p w:rsidR="0044594F" w:rsidRPr="00927302" w:rsidRDefault="0044594F" w:rsidP="00393E4F">
            <w:pPr>
              <w:jc w:val="center"/>
            </w:pPr>
            <w:r>
              <w:rPr>
                <w:b/>
                <w:sz w:val="28"/>
              </w:rPr>
              <w:t>X</w:t>
            </w:r>
          </w:p>
        </w:tc>
        <w:tc>
          <w:tcPr>
            <w:tcW w:w="1701" w:type="dxa"/>
            <w:shd w:val="clear" w:color="auto" w:fill="auto"/>
          </w:tcPr>
          <w:p w:rsidR="0044594F" w:rsidRPr="002A75D3" w:rsidRDefault="0044594F" w:rsidP="00393E4F">
            <w:pPr>
              <w:jc w:val="center"/>
              <w:rPr>
                <w:b/>
                <w:sz w:val="28"/>
                <w:szCs w:val="28"/>
              </w:rPr>
            </w:pPr>
            <w:r w:rsidRPr="002A75D3">
              <w:rPr>
                <w:b/>
                <w:sz w:val="28"/>
                <w:szCs w:val="28"/>
              </w:rPr>
              <w:t>X</w:t>
            </w:r>
          </w:p>
        </w:tc>
        <w:tc>
          <w:tcPr>
            <w:tcW w:w="1275" w:type="dxa"/>
            <w:shd w:val="clear" w:color="auto" w:fill="auto"/>
          </w:tcPr>
          <w:p w:rsidR="0044594F" w:rsidRPr="00927302" w:rsidRDefault="0044594F" w:rsidP="00393E4F">
            <w:pPr>
              <w:jc w:val="center"/>
              <w:rPr>
                <w:b/>
                <w:sz w:val="28"/>
              </w:rPr>
            </w:pPr>
            <w:r w:rsidRPr="00927302">
              <w:rPr>
                <w:b/>
                <w:sz w:val="28"/>
              </w:rPr>
              <w:t>-</w:t>
            </w:r>
          </w:p>
        </w:tc>
        <w:tc>
          <w:tcPr>
            <w:tcW w:w="1808" w:type="dxa"/>
            <w:shd w:val="clear" w:color="auto" w:fill="auto"/>
          </w:tcPr>
          <w:p w:rsidR="003022DF" w:rsidRDefault="0044594F" w:rsidP="00393E4F">
            <w:pPr>
              <w:keepNext/>
              <w:spacing w:before="40" w:after="40"/>
            </w:pPr>
            <w:r w:rsidRPr="00927302">
              <w:t>For consumption up to and including 833.3 kWh/</w:t>
            </w:r>
          </w:p>
          <w:p w:rsidR="0044594F" w:rsidRPr="00927302" w:rsidRDefault="0044594F" w:rsidP="00393E4F">
            <w:pPr>
              <w:keepNext/>
              <w:spacing w:before="40" w:after="40"/>
            </w:pPr>
            <w:r w:rsidRPr="00927302">
              <w:t>month</w:t>
            </w:r>
          </w:p>
        </w:tc>
      </w:tr>
      <w:tr w:rsidR="0044594F" w:rsidRPr="00927302" w:rsidTr="005C4433">
        <w:tc>
          <w:tcPr>
            <w:tcW w:w="1288" w:type="dxa"/>
            <w:shd w:val="clear" w:color="auto" w:fill="auto"/>
          </w:tcPr>
          <w:p w:rsidR="0044594F" w:rsidRPr="00927302" w:rsidRDefault="0044594F" w:rsidP="005C4433">
            <w:pPr>
              <w:keepNext/>
              <w:spacing w:before="40" w:after="40"/>
            </w:pPr>
            <w:r w:rsidRPr="00927302">
              <w:t xml:space="preserve">Block </w:t>
            </w:r>
            <w:r w:rsidR="005C4433">
              <w:t>2</w:t>
            </w:r>
            <w:r w:rsidRPr="00927302">
              <w:t xml:space="preserve"> Usage Rate</w:t>
            </w:r>
          </w:p>
        </w:tc>
        <w:tc>
          <w:tcPr>
            <w:tcW w:w="827" w:type="dxa"/>
            <w:shd w:val="clear" w:color="auto" w:fill="auto"/>
          </w:tcPr>
          <w:p w:rsidR="0044594F" w:rsidRPr="00927302" w:rsidRDefault="0044594F" w:rsidP="00393E4F">
            <w:pPr>
              <w:keepNext/>
              <w:spacing w:before="40" w:after="40"/>
            </w:pPr>
            <w:r w:rsidRPr="00927302">
              <w:t>$/kWh</w:t>
            </w:r>
          </w:p>
        </w:tc>
        <w:tc>
          <w:tcPr>
            <w:tcW w:w="900" w:type="dxa"/>
            <w:shd w:val="clear" w:color="auto" w:fill="auto"/>
          </w:tcPr>
          <w:p w:rsidR="0044594F" w:rsidRPr="00927302" w:rsidRDefault="0044594F" w:rsidP="00393E4F">
            <w:pPr>
              <w:jc w:val="center"/>
            </w:pPr>
            <w:r>
              <w:rPr>
                <w:b/>
                <w:sz w:val="28"/>
              </w:rPr>
              <w:t>X</w:t>
            </w:r>
          </w:p>
        </w:tc>
        <w:tc>
          <w:tcPr>
            <w:tcW w:w="1380" w:type="dxa"/>
            <w:shd w:val="clear" w:color="auto" w:fill="auto"/>
          </w:tcPr>
          <w:p w:rsidR="0044594F" w:rsidRPr="00927302" w:rsidRDefault="0044594F" w:rsidP="00393E4F">
            <w:pPr>
              <w:jc w:val="center"/>
            </w:pPr>
            <w:r>
              <w:rPr>
                <w:b/>
                <w:sz w:val="28"/>
              </w:rPr>
              <w:t>X</w:t>
            </w:r>
          </w:p>
        </w:tc>
        <w:tc>
          <w:tcPr>
            <w:tcW w:w="1701" w:type="dxa"/>
            <w:shd w:val="clear" w:color="auto" w:fill="auto"/>
          </w:tcPr>
          <w:p w:rsidR="0044594F" w:rsidRPr="002A75D3" w:rsidRDefault="0044594F" w:rsidP="00393E4F">
            <w:pPr>
              <w:jc w:val="center"/>
              <w:rPr>
                <w:b/>
                <w:sz w:val="28"/>
                <w:szCs w:val="28"/>
              </w:rPr>
            </w:pPr>
            <w:r w:rsidRPr="002A75D3">
              <w:rPr>
                <w:b/>
                <w:sz w:val="28"/>
                <w:szCs w:val="28"/>
              </w:rPr>
              <w:t>X</w:t>
            </w:r>
          </w:p>
        </w:tc>
        <w:tc>
          <w:tcPr>
            <w:tcW w:w="1275" w:type="dxa"/>
            <w:shd w:val="clear" w:color="auto" w:fill="auto"/>
          </w:tcPr>
          <w:p w:rsidR="0044594F" w:rsidRPr="00927302" w:rsidRDefault="0044594F" w:rsidP="00393E4F">
            <w:pPr>
              <w:jc w:val="center"/>
              <w:rPr>
                <w:b/>
                <w:sz w:val="28"/>
              </w:rPr>
            </w:pPr>
            <w:r w:rsidRPr="00927302">
              <w:rPr>
                <w:b/>
                <w:sz w:val="28"/>
              </w:rPr>
              <w:t>-</w:t>
            </w:r>
          </w:p>
        </w:tc>
        <w:tc>
          <w:tcPr>
            <w:tcW w:w="1808" w:type="dxa"/>
            <w:shd w:val="clear" w:color="auto" w:fill="auto"/>
          </w:tcPr>
          <w:p w:rsidR="0044594F" w:rsidRPr="00927302" w:rsidRDefault="0044594F" w:rsidP="00393E4F">
            <w:pPr>
              <w:keepNext/>
              <w:spacing w:before="40" w:after="40"/>
            </w:pPr>
            <w:r w:rsidRPr="00927302">
              <w:t>For the balance of consumption</w:t>
            </w:r>
          </w:p>
        </w:tc>
      </w:tr>
    </w:tbl>
    <w:p w:rsidR="0044594F" w:rsidRPr="00927302" w:rsidRDefault="0044594F" w:rsidP="0044594F"/>
    <w:p w:rsidR="005C4433" w:rsidRDefault="005C4433" w:rsidP="005C4433">
      <w:r>
        <w:t>Metering charges are discussed in detail separately in this Pricing Proposal.</w:t>
      </w:r>
    </w:p>
    <w:p w:rsidR="00651846" w:rsidRPr="00927302" w:rsidRDefault="00651846" w:rsidP="0044594F"/>
    <w:p w:rsidR="0044594F" w:rsidRPr="00927302" w:rsidRDefault="00BF18A9" w:rsidP="009A26B4">
      <w:pPr>
        <w:pStyle w:val="Heading3"/>
      </w:pPr>
      <w:bookmarkStart w:id="51" w:name="_Ref131915039"/>
      <w:r>
        <w:t>Business l</w:t>
      </w:r>
      <w:r w:rsidR="0044594F" w:rsidRPr="00927302">
        <w:t>ow voltage 2-rate tariff</w:t>
      </w:r>
      <w:bookmarkEnd w:id="51"/>
    </w:p>
    <w:p w:rsidR="0044594F" w:rsidRDefault="0044594F" w:rsidP="0044594F">
      <w:pPr>
        <w:keepNext/>
      </w:pPr>
      <w:r w:rsidRPr="00927302">
        <w:t xml:space="preserve">The low voltage business 2-rate tariff has a Time of Use (ToU) structure with peak and off-peak consumption charges, using a </w:t>
      </w:r>
      <w:r w:rsidR="000B7F94">
        <w:t>Type 1</w:t>
      </w:r>
      <w:r w:rsidRPr="00927302">
        <w:t xml:space="preserve">-6 meter.  The customer’s peak period energy consumption is charged in four consumption blocks.  The low voltage business 2-rate tariff incorporates the charging parameters set out in </w:t>
      </w:r>
      <w:r w:rsidR="00575C9A">
        <w:fldChar w:fldCharType="begin"/>
      </w:r>
      <w:r>
        <w:instrText xml:space="preserve"> REF _Ref133815253 \h </w:instrText>
      </w:r>
      <w:r w:rsidR="00575C9A">
        <w:fldChar w:fldCharType="separate"/>
      </w:r>
      <w:r w:rsidR="00A81AFE" w:rsidRPr="00927302">
        <w:t xml:space="preserve">Table </w:t>
      </w:r>
      <w:r w:rsidR="00A81AFE">
        <w:rPr>
          <w:noProof/>
        </w:rPr>
        <w:t>9</w:t>
      </w:r>
      <w:r w:rsidR="00575C9A">
        <w:fldChar w:fldCharType="end"/>
      </w:r>
      <w:r w:rsidRPr="00927302">
        <w:t>.</w:t>
      </w:r>
      <w:r w:rsidR="006B01EB">
        <w:t xml:space="preserve">  From 1 July 2014, the pricing of </w:t>
      </w:r>
      <w:r w:rsidR="000B7F94">
        <w:t>Block</w:t>
      </w:r>
      <w:r w:rsidR="006B01EB">
        <w:t xml:space="preserve"> </w:t>
      </w:r>
      <w:r w:rsidR="00435845">
        <w:t>1</w:t>
      </w:r>
      <w:r w:rsidR="006B01EB">
        <w:t xml:space="preserve"> through </w:t>
      </w:r>
      <w:r w:rsidR="000B7F94">
        <w:t>Block</w:t>
      </w:r>
      <w:r w:rsidR="006B01EB">
        <w:t xml:space="preserve"> 4 is identical, effectively converting </w:t>
      </w:r>
      <w:r w:rsidR="00435845">
        <w:t xml:space="preserve">Business 2-rate </w:t>
      </w:r>
      <w:r w:rsidR="006B01EB">
        <w:t xml:space="preserve">into a </w:t>
      </w:r>
      <w:r w:rsidR="00435845">
        <w:t>single block</w:t>
      </w:r>
      <w:r w:rsidR="006B01EB">
        <w:t xml:space="preserve"> tariff</w:t>
      </w:r>
    </w:p>
    <w:p w:rsidR="00651846" w:rsidRPr="00927302" w:rsidRDefault="00651846" w:rsidP="0044594F">
      <w:pPr>
        <w:keepNext/>
      </w:pPr>
    </w:p>
    <w:p w:rsidR="0044594F" w:rsidRPr="00927302" w:rsidRDefault="0044594F" w:rsidP="0044594F">
      <w:pPr>
        <w:pStyle w:val="Caption"/>
        <w:keepNext/>
      </w:pPr>
      <w:bookmarkStart w:id="52" w:name="_Ref133815253"/>
      <w:r w:rsidRPr="00927302">
        <w:t xml:space="preserve">Table </w:t>
      </w:r>
      <w:r w:rsidR="00924A8F">
        <w:fldChar w:fldCharType="begin"/>
      </w:r>
      <w:r w:rsidR="00924A8F">
        <w:instrText xml:space="preserve"> SEQ Table \* ARABIC </w:instrText>
      </w:r>
      <w:r w:rsidR="00924A8F">
        <w:fldChar w:fldCharType="separate"/>
      </w:r>
      <w:r w:rsidR="00A81AFE">
        <w:rPr>
          <w:noProof/>
        </w:rPr>
        <w:t>9</w:t>
      </w:r>
      <w:r w:rsidR="00924A8F">
        <w:rPr>
          <w:noProof/>
        </w:rPr>
        <w:fldChar w:fldCharType="end"/>
      </w:r>
      <w:bookmarkEnd w:id="52"/>
      <w:r w:rsidRPr="00927302">
        <w:t xml:space="preserve"> - Low voltage business 2-rate tariff 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8"/>
        <w:gridCol w:w="827"/>
        <w:gridCol w:w="900"/>
        <w:gridCol w:w="1308"/>
        <w:gridCol w:w="1631"/>
        <w:gridCol w:w="1253"/>
        <w:gridCol w:w="1972"/>
      </w:tblGrid>
      <w:tr w:rsidR="0044594F" w:rsidRPr="00927302" w:rsidTr="00651846">
        <w:tc>
          <w:tcPr>
            <w:tcW w:w="1288"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27"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706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288"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27"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900"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Direct</w:t>
            </w:r>
            <w:r w:rsidRPr="003022DF">
              <w:rPr>
                <w:b/>
                <w:sz w:val="20"/>
                <w:szCs w:val="20"/>
              </w:rPr>
              <w:br/>
              <w:t>control</w:t>
            </w:r>
          </w:p>
        </w:tc>
        <w:tc>
          <w:tcPr>
            <w:tcW w:w="1308"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Transmission</w:t>
            </w:r>
            <w:r w:rsidRPr="003022DF">
              <w:rPr>
                <w:b/>
                <w:sz w:val="20"/>
                <w:szCs w:val="20"/>
              </w:rPr>
              <w:br/>
              <w:t>recovery</w:t>
            </w:r>
          </w:p>
        </w:tc>
        <w:tc>
          <w:tcPr>
            <w:tcW w:w="1631" w:type="dxa"/>
            <w:vMerge w:val="restart"/>
            <w:tcBorders>
              <w:top w:val="single" w:sz="4" w:space="0" w:color="000000"/>
            </w:tcBorders>
            <w:shd w:val="solid" w:color="FAB585" w:themeColor="accent3" w:fill="auto"/>
          </w:tcPr>
          <w:p w:rsidR="0044594F" w:rsidRPr="003022DF" w:rsidRDefault="003022DF" w:rsidP="005C4433">
            <w:pPr>
              <w:keepNext/>
              <w:spacing w:before="40"/>
              <w:jc w:val="center"/>
              <w:rPr>
                <w:b/>
                <w:sz w:val="20"/>
                <w:szCs w:val="20"/>
              </w:rPr>
            </w:pPr>
            <w:r w:rsidRPr="003022DF">
              <w:rPr>
                <w:b/>
                <w:sz w:val="20"/>
                <w:szCs w:val="20"/>
              </w:rPr>
              <w:t>Jurisdictional Scheme Amount Pass Through</w:t>
            </w:r>
          </w:p>
        </w:tc>
        <w:tc>
          <w:tcPr>
            <w:tcW w:w="1253"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Alternative</w:t>
            </w:r>
            <w:r w:rsidRPr="003022DF">
              <w:rPr>
                <w:b/>
                <w:sz w:val="20"/>
                <w:szCs w:val="20"/>
              </w:rPr>
              <w:br/>
              <w:t>control</w:t>
            </w:r>
          </w:p>
        </w:tc>
        <w:tc>
          <w:tcPr>
            <w:tcW w:w="1972" w:type="dxa"/>
            <w:tcBorders>
              <w:top w:val="single" w:sz="4" w:space="0" w:color="000000"/>
              <w:bottom w:val="nil"/>
            </w:tcBorders>
            <w:shd w:val="solid" w:color="FAB585" w:themeColor="accent3" w:fill="auto"/>
          </w:tcPr>
          <w:p w:rsidR="0044594F" w:rsidRPr="003022DF" w:rsidRDefault="0044594F" w:rsidP="00393E4F">
            <w:pPr>
              <w:keepNext/>
              <w:spacing w:before="40" w:after="40"/>
              <w:rPr>
                <w:b/>
                <w:sz w:val="20"/>
                <w:szCs w:val="20"/>
              </w:rPr>
            </w:pPr>
            <w:r w:rsidRPr="003022DF">
              <w:rPr>
                <w:b/>
                <w:sz w:val="20"/>
                <w:szCs w:val="20"/>
              </w:rPr>
              <w:t>Description</w:t>
            </w:r>
          </w:p>
        </w:tc>
      </w:tr>
      <w:tr w:rsidR="0044594F" w:rsidRPr="00927302" w:rsidTr="003022DF">
        <w:tc>
          <w:tcPr>
            <w:tcW w:w="1288" w:type="dxa"/>
            <w:tcBorders>
              <w:top w:val="nil"/>
            </w:tcBorders>
            <w:shd w:val="solid" w:color="FAB585" w:themeColor="accent3" w:fill="auto"/>
          </w:tcPr>
          <w:p w:rsidR="0044594F" w:rsidRPr="00927302" w:rsidRDefault="0044594F" w:rsidP="00393E4F">
            <w:pPr>
              <w:keepNext/>
              <w:spacing w:after="40"/>
              <w:rPr>
                <w:b/>
              </w:rPr>
            </w:pPr>
          </w:p>
        </w:tc>
        <w:tc>
          <w:tcPr>
            <w:tcW w:w="827" w:type="dxa"/>
            <w:tcBorders>
              <w:top w:val="nil"/>
            </w:tcBorders>
            <w:shd w:val="solid" w:color="FAB585" w:themeColor="accent3" w:fill="auto"/>
          </w:tcPr>
          <w:p w:rsidR="0044594F" w:rsidRPr="00927302" w:rsidRDefault="0044594F" w:rsidP="00393E4F">
            <w:pPr>
              <w:keepNext/>
              <w:spacing w:after="40"/>
              <w:rPr>
                <w:b/>
              </w:rPr>
            </w:pPr>
          </w:p>
        </w:tc>
        <w:tc>
          <w:tcPr>
            <w:tcW w:w="900"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DUoS</w:t>
            </w:r>
          </w:p>
        </w:tc>
        <w:tc>
          <w:tcPr>
            <w:tcW w:w="1308"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TUoS</w:t>
            </w:r>
          </w:p>
        </w:tc>
        <w:tc>
          <w:tcPr>
            <w:tcW w:w="1631" w:type="dxa"/>
            <w:vMerge/>
            <w:tcBorders>
              <w:bottom w:val="single" w:sz="4" w:space="0" w:color="000000"/>
            </w:tcBorders>
            <w:shd w:val="solid" w:color="FAB585" w:themeColor="accent3" w:fill="auto"/>
          </w:tcPr>
          <w:p w:rsidR="0044594F" w:rsidRPr="003022DF" w:rsidRDefault="0044594F" w:rsidP="00393E4F">
            <w:pPr>
              <w:keepNext/>
              <w:spacing w:after="40"/>
              <w:jc w:val="center"/>
              <w:rPr>
                <w:b/>
                <w:sz w:val="20"/>
                <w:szCs w:val="20"/>
              </w:rPr>
            </w:pPr>
          </w:p>
        </w:tc>
        <w:tc>
          <w:tcPr>
            <w:tcW w:w="1253"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Metering</w:t>
            </w:r>
          </w:p>
        </w:tc>
        <w:tc>
          <w:tcPr>
            <w:tcW w:w="1972" w:type="dxa"/>
            <w:tcBorders>
              <w:top w:val="nil"/>
            </w:tcBorders>
            <w:shd w:val="solid" w:color="FAB585" w:themeColor="accent3" w:fill="auto"/>
          </w:tcPr>
          <w:p w:rsidR="0044594F" w:rsidRPr="00BE214E" w:rsidRDefault="0044594F" w:rsidP="00393E4F">
            <w:pPr>
              <w:keepNext/>
              <w:spacing w:after="40"/>
              <w:rPr>
                <w:b/>
              </w:rPr>
            </w:pPr>
          </w:p>
        </w:tc>
      </w:tr>
      <w:tr w:rsidR="00435845" w:rsidRPr="00927302" w:rsidTr="005C4433">
        <w:tc>
          <w:tcPr>
            <w:tcW w:w="1288" w:type="dxa"/>
            <w:shd w:val="clear" w:color="auto" w:fill="auto"/>
          </w:tcPr>
          <w:p w:rsidR="00435845" w:rsidRPr="00927302" w:rsidRDefault="00435845" w:rsidP="00393E4F">
            <w:pPr>
              <w:keepNext/>
              <w:spacing w:before="40" w:after="40"/>
            </w:pPr>
            <w:r w:rsidRPr="00927302">
              <w:t>Supply Rate</w:t>
            </w:r>
          </w:p>
        </w:tc>
        <w:tc>
          <w:tcPr>
            <w:tcW w:w="827" w:type="dxa"/>
            <w:shd w:val="clear" w:color="auto" w:fill="auto"/>
          </w:tcPr>
          <w:p w:rsidR="00435845" w:rsidRPr="00927302" w:rsidRDefault="00435845" w:rsidP="00393E4F">
            <w:pPr>
              <w:keepNext/>
              <w:spacing w:before="40" w:after="40"/>
            </w:pPr>
            <w:r w:rsidRPr="00927302">
              <w:t>$/day</w:t>
            </w:r>
          </w:p>
        </w:tc>
        <w:tc>
          <w:tcPr>
            <w:tcW w:w="900" w:type="dxa"/>
            <w:shd w:val="clear" w:color="auto" w:fill="auto"/>
          </w:tcPr>
          <w:p w:rsidR="00435845" w:rsidRPr="00927302" w:rsidRDefault="00435845" w:rsidP="00393E4F">
            <w:pPr>
              <w:keepNext/>
              <w:jc w:val="center"/>
              <w:rPr>
                <w:b/>
                <w:sz w:val="28"/>
              </w:rPr>
            </w:pPr>
            <w:r>
              <w:rPr>
                <w:b/>
                <w:sz w:val="28"/>
              </w:rPr>
              <w:t>X</w:t>
            </w:r>
          </w:p>
        </w:tc>
        <w:tc>
          <w:tcPr>
            <w:tcW w:w="1308" w:type="dxa"/>
            <w:shd w:val="clear" w:color="auto" w:fill="auto"/>
          </w:tcPr>
          <w:p w:rsidR="00435845" w:rsidRPr="00927302" w:rsidRDefault="00435845" w:rsidP="00393E4F">
            <w:pPr>
              <w:keepNext/>
              <w:jc w:val="center"/>
              <w:rPr>
                <w:b/>
                <w:sz w:val="28"/>
              </w:rPr>
            </w:pPr>
            <w:r w:rsidRPr="00927302">
              <w:rPr>
                <w:b/>
                <w:sz w:val="28"/>
              </w:rPr>
              <w:t>-</w:t>
            </w:r>
          </w:p>
        </w:tc>
        <w:tc>
          <w:tcPr>
            <w:tcW w:w="1631" w:type="dxa"/>
            <w:shd w:val="clear" w:color="auto" w:fill="auto"/>
          </w:tcPr>
          <w:p w:rsidR="00435845" w:rsidRPr="00927302" w:rsidRDefault="005C4433" w:rsidP="00435845">
            <w:pPr>
              <w:keepNext/>
              <w:jc w:val="center"/>
              <w:rPr>
                <w:b/>
                <w:sz w:val="28"/>
              </w:rPr>
            </w:pPr>
            <w:r>
              <w:rPr>
                <w:b/>
                <w:sz w:val="28"/>
              </w:rPr>
              <w:t>X</w:t>
            </w:r>
          </w:p>
        </w:tc>
        <w:tc>
          <w:tcPr>
            <w:tcW w:w="1253" w:type="dxa"/>
            <w:shd w:val="clear" w:color="auto" w:fill="auto"/>
          </w:tcPr>
          <w:p w:rsidR="00435845" w:rsidRPr="00927302" w:rsidRDefault="00435845" w:rsidP="00393E4F">
            <w:pPr>
              <w:keepNext/>
              <w:spacing w:before="40" w:after="40"/>
              <w:jc w:val="center"/>
            </w:pPr>
            <w:r w:rsidRPr="00927302">
              <w:t>If applicable</w:t>
            </w:r>
          </w:p>
        </w:tc>
        <w:tc>
          <w:tcPr>
            <w:tcW w:w="1972" w:type="dxa"/>
            <w:shd w:val="clear" w:color="auto" w:fill="auto"/>
          </w:tcPr>
          <w:p w:rsidR="00435845" w:rsidRPr="00927302" w:rsidRDefault="00435845" w:rsidP="00393E4F">
            <w:pPr>
              <w:keepNext/>
              <w:spacing w:before="40" w:after="40"/>
            </w:pPr>
            <w:r w:rsidRPr="00927302">
              <w:t>Fixed daily charge</w:t>
            </w:r>
          </w:p>
        </w:tc>
      </w:tr>
      <w:tr w:rsidR="0044594F" w:rsidRPr="00927302" w:rsidTr="005C4433">
        <w:tc>
          <w:tcPr>
            <w:tcW w:w="1288" w:type="dxa"/>
            <w:shd w:val="clear" w:color="auto" w:fill="auto"/>
          </w:tcPr>
          <w:p w:rsidR="0044594F" w:rsidRPr="00927302" w:rsidRDefault="0044594F" w:rsidP="005C4433">
            <w:pPr>
              <w:keepNext/>
              <w:spacing w:before="40" w:after="40"/>
            </w:pPr>
            <w:r w:rsidRPr="00927302">
              <w:t>Peak Usage Rate</w:t>
            </w:r>
          </w:p>
        </w:tc>
        <w:tc>
          <w:tcPr>
            <w:tcW w:w="827" w:type="dxa"/>
            <w:shd w:val="clear" w:color="auto" w:fill="auto"/>
          </w:tcPr>
          <w:p w:rsidR="0044594F" w:rsidRPr="00927302" w:rsidRDefault="0044594F" w:rsidP="00393E4F">
            <w:pPr>
              <w:keepNext/>
              <w:spacing w:before="40" w:after="40"/>
            </w:pPr>
            <w:r w:rsidRPr="00927302">
              <w:t>$/kWh</w:t>
            </w:r>
          </w:p>
        </w:tc>
        <w:tc>
          <w:tcPr>
            <w:tcW w:w="900" w:type="dxa"/>
            <w:shd w:val="clear" w:color="auto" w:fill="auto"/>
          </w:tcPr>
          <w:p w:rsidR="0044594F" w:rsidRPr="00927302" w:rsidRDefault="0044594F" w:rsidP="00393E4F">
            <w:pPr>
              <w:jc w:val="center"/>
            </w:pPr>
            <w:r>
              <w:rPr>
                <w:b/>
                <w:sz w:val="28"/>
              </w:rPr>
              <w:t>X</w:t>
            </w:r>
          </w:p>
        </w:tc>
        <w:tc>
          <w:tcPr>
            <w:tcW w:w="1308" w:type="dxa"/>
            <w:shd w:val="clear" w:color="auto" w:fill="auto"/>
          </w:tcPr>
          <w:p w:rsidR="0044594F" w:rsidRPr="00927302" w:rsidRDefault="0044594F" w:rsidP="00393E4F">
            <w:pPr>
              <w:jc w:val="center"/>
            </w:pPr>
            <w:r>
              <w:rPr>
                <w:b/>
                <w:sz w:val="28"/>
              </w:rPr>
              <w:t>X</w:t>
            </w:r>
          </w:p>
        </w:tc>
        <w:tc>
          <w:tcPr>
            <w:tcW w:w="1631" w:type="dxa"/>
            <w:shd w:val="clear" w:color="auto" w:fill="auto"/>
          </w:tcPr>
          <w:p w:rsidR="0044594F" w:rsidRPr="002A75D3" w:rsidRDefault="0044594F" w:rsidP="00393E4F">
            <w:pPr>
              <w:jc w:val="center"/>
              <w:rPr>
                <w:b/>
                <w:sz w:val="28"/>
                <w:szCs w:val="28"/>
              </w:rPr>
            </w:pPr>
            <w:r w:rsidRPr="002A75D3">
              <w:rPr>
                <w:b/>
                <w:sz w:val="28"/>
                <w:szCs w:val="28"/>
              </w:rPr>
              <w:t>X</w:t>
            </w:r>
          </w:p>
        </w:tc>
        <w:tc>
          <w:tcPr>
            <w:tcW w:w="1253" w:type="dxa"/>
            <w:shd w:val="clear" w:color="auto" w:fill="auto"/>
          </w:tcPr>
          <w:p w:rsidR="0044594F" w:rsidRPr="00927302" w:rsidRDefault="0044594F" w:rsidP="00393E4F">
            <w:pPr>
              <w:jc w:val="center"/>
              <w:rPr>
                <w:b/>
                <w:sz w:val="28"/>
              </w:rPr>
            </w:pPr>
            <w:r w:rsidRPr="00927302">
              <w:rPr>
                <w:b/>
                <w:sz w:val="28"/>
              </w:rPr>
              <w:t>-</w:t>
            </w:r>
          </w:p>
        </w:tc>
        <w:tc>
          <w:tcPr>
            <w:tcW w:w="1972" w:type="dxa"/>
            <w:shd w:val="clear" w:color="auto" w:fill="auto"/>
          </w:tcPr>
          <w:p w:rsidR="0044594F" w:rsidRPr="00927302" w:rsidRDefault="0044594F" w:rsidP="005C4433">
            <w:pPr>
              <w:keepNext/>
              <w:spacing w:before="40" w:after="40"/>
            </w:pPr>
            <w:r w:rsidRPr="00927302">
              <w:t xml:space="preserve">For </w:t>
            </w:r>
            <w:r w:rsidR="005C4433">
              <w:t xml:space="preserve">all peak period </w:t>
            </w:r>
            <w:r w:rsidRPr="00927302">
              <w:t xml:space="preserve">consumption </w:t>
            </w:r>
          </w:p>
        </w:tc>
      </w:tr>
      <w:tr w:rsidR="0044594F" w:rsidRPr="00927302" w:rsidTr="005C4433">
        <w:tc>
          <w:tcPr>
            <w:tcW w:w="1288" w:type="dxa"/>
            <w:shd w:val="clear" w:color="auto" w:fill="auto"/>
          </w:tcPr>
          <w:p w:rsidR="0044594F" w:rsidRPr="00927302" w:rsidRDefault="0044594F" w:rsidP="00393E4F">
            <w:pPr>
              <w:keepNext/>
              <w:spacing w:before="40" w:after="40"/>
            </w:pPr>
            <w:r w:rsidRPr="00927302">
              <w:t>Off Peak Usage Rate</w:t>
            </w:r>
          </w:p>
        </w:tc>
        <w:tc>
          <w:tcPr>
            <w:tcW w:w="827" w:type="dxa"/>
            <w:shd w:val="clear" w:color="auto" w:fill="auto"/>
          </w:tcPr>
          <w:p w:rsidR="0044594F" w:rsidRPr="00927302" w:rsidRDefault="0044594F" w:rsidP="00393E4F">
            <w:pPr>
              <w:keepNext/>
              <w:spacing w:before="40" w:after="40"/>
            </w:pPr>
            <w:r w:rsidRPr="00927302">
              <w:t>$/kWh</w:t>
            </w:r>
          </w:p>
        </w:tc>
        <w:tc>
          <w:tcPr>
            <w:tcW w:w="900" w:type="dxa"/>
            <w:shd w:val="clear" w:color="auto" w:fill="auto"/>
          </w:tcPr>
          <w:p w:rsidR="0044594F" w:rsidRPr="00927302" w:rsidRDefault="0044594F" w:rsidP="00393E4F">
            <w:pPr>
              <w:jc w:val="center"/>
            </w:pPr>
            <w:r>
              <w:rPr>
                <w:b/>
                <w:sz w:val="28"/>
              </w:rPr>
              <w:t>X</w:t>
            </w:r>
          </w:p>
        </w:tc>
        <w:tc>
          <w:tcPr>
            <w:tcW w:w="1308" w:type="dxa"/>
            <w:shd w:val="clear" w:color="auto" w:fill="auto"/>
          </w:tcPr>
          <w:p w:rsidR="0044594F" w:rsidRPr="00927302" w:rsidRDefault="0044594F" w:rsidP="00393E4F">
            <w:pPr>
              <w:jc w:val="center"/>
            </w:pPr>
            <w:r>
              <w:rPr>
                <w:b/>
                <w:sz w:val="28"/>
              </w:rPr>
              <w:t>X</w:t>
            </w:r>
          </w:p>
        </w:tc>
        <w:tc>
          <w:tcPr>
            <w:tcW w:w="1631" w:type="dxa"/>
            <w:shd w:val="clear" w:color="auto" w:fill="auto"/>
          </w:tcPr>
          <w:p w:rsidR="0044594F" w:rsidRPr="002A75D3" w:rsidRDefault="0044594F" w:rsidP="00393E4F">
            <w:pPr>
              <w:jc w:val="center"/>
              <w:rPr>
                <w:b/>
                <w:sz w:val="28"/>
                <w:szCs w:val="28"/>
              </w:rPr>
            </w:pPr>
            <w:r w:rsidRPr="002A75D3">
              <w:rPr>
                <w:b/>
                <w:sz w:val="28"/>
                <w:szCs w:val="28"/>
              </w:rPr>
              <w:t>X</w:t>
            </w:r>
          </w:p>
        </w:tc>
        <w:tc>
          <w:tcPr>
            <w:tcW w:w="1253" w:type="dxa"/>
            <w:shd w:val="clear" w:color="auto" w:fill="auto"/>
          </w:tcPr>
          <w:p w:rsidR="0044594F" w:rsidRPr="00927302" w:rsidRDefault="0044594F" w:rsidP="00393E4F">
            <w:pPr>
              <w:jc w:val="center"/>
              <w:rPr>
                <w:b/>
                <w:sz w:val="28"/>
              </w:rPr>
            </w:pPr>
            <w:r w:rsidRPr="00927302">
              <w:rPr>
                <w:b/>
                <w:sz w:val="28"/>
              </w:rPr>
              <w:t>-</w:t>
            </w:r>
          </w:p>
        </w:tc>
        <w:tc>
          <w:tcPr>
            <w:tcW w:w="1972" w:type="dxa"/>
            <w:shd w:val="clear" w:color="auto" w:fill="auto"/>
          </w:tcPr>
          <w:p w:rsidR="0044594F" w:rsidRPr="00927302" w:rsidRDefault="0044594F" w:rsidP="00393E4F">
            <w:pPr>
              <w:keepNext/>
              <w:spacing w:before="40" w:after="40"/>
            </w:pPr>
            <w:r w:rsidRPr="00927302">
              <w:t>For all off-peak period consumption</w:t>
            </w:r>
          </w:p>
        </w:tc>
      </w:tr>
    </w:tbl>
    <w:p w:rsidR="0044594F" w:rsidRPr="00927302" w:rsidRDefault="0044594F" w:rsidP="0044594F"/>
    <w:p w:rsidR="005C4433" w:rsidRDefault="005C4433" w:rsidP="005C4433">
      <w:r>
        <w:t>Metering charges are discussed in detail separately in this Pricing Proposal.</w:t>
      </w:r>
    </w:p>
    <w:p w:rsidR="00651846" w:rsidRPr="00927302" w:rsidRDefault="00651846" w:rsidP="0044594F"/>
    <w:p w:rsidR="0044594F" w:rsidRPr="00927302" w:rsidRDefault="00BF18A9" w:rsidP="009A26B4">
      <w:pPr>
        <w:pStyle w:val="Heading3"/>
      </w:pPr>
      <w:bookmarkStart w:id="53" w:name="_Ref131915186"/>
      <w:r>
        <w:t>Business l</w:t>
      </w:r>
      <w:r w:rsidR="0044594F" w:rsidRPr="00927302">
        <w:t xml:space="preserve">ow voltage kVA </w:t>
      </w:r>
      <w:r w:rsidR="005C4433">
        <w:t xml:space="preserve">agreed </w:t>
      </w:r>
      <w:r w:rsidR="0044594F" w:rsidRPr="00927302">
        <w:t>demand tariff</w:t>
      </w:r>
      <w:bookmarkEnd w:id="53"/>
    </w:p>
    <w:p w:rsidR="0044594F" w:rsidRDefault="0044594F" w:rsidP="0044594F">
      <w:r w:rsidRPr="00927302">
        <w:t xml:space="preserve">The low voltage kVA </w:t>
      </w:r>
      <w:r w:rsidR="0093085E">
        <w:t>agreed</w:t>
      </w:r>
      <w:r w:rsidRPr="00927302">
        <w:t xml:space="preserve">demand tariff generally applies to </w:t>
      </w:r>
      <w:r w:rsidR="00E27A0C">
        <w:t xml:space="preserve">large </w:t>
      </w:r>
      <w:r w:rsidRPr="00927302">
        <w:t xml:space="preserve">business customers taking supply directly from a distribution transformer.  This tariff requires a </w:t>
      </w:r>
      <w:r w:rsidR="00E27A0C">
        <w:t>minimum of a t</w:t>
      </w:r>
      <w:r w:rsidR="000B7F94">
        <w:t>ype 5</w:t>
      </w:r>
      <w:r w:rsidRPr="00927302">
        <w:t xml:space="preserve"> (interval) meter capable of measuring both active and reacti</w:t>
      </w:r>
      <w:r w:rsidR="00435845">
        <w:t xml:space="preserve">ve power.  </w:t>
      </w:r>
      <w:r w:rsidR="00E27A0C">
        <w:t xml:space="preserve">The </w:t>
      </w:r>
      <w:r w:rsidR="00435845">
        <w:t>minimum demand of 7</w:t>
      </w:r>
      <w:r w:rsidRPr="00927302">
        <w:t xml:space="preserve">0 kVA </w:t>
      </w:r>
      <w:r w:rsidR="00E27A0C">
        <w:t>that previously applied has been removed from July 2015, although the tariff now includes a significant supply charge.</w:t>
      </w:r>
    </w:p>
    <w:p w:rsidR="00E27A0C" w:rsidRDefault="00E27A0C" w:rsidP="0044594F"/>
    <w:p w:rsidR="00E27A0C" w:rsidRDefault="00E27A0C" w:rsidP="0044594F">
      <w:r>
        <w:t xml:space="preserve">The peak demand is measured on work days between 12 noon and 9pm local time during the summer months of November to March.  This is a slight change in 2015/16 as previously the peak demand was measured on workdays from December to </w:t>
      </w:r>
      <w:r w:rsidR="0093085E">
        <w:t>M</w:t>
      </w:r>
      <w:r>
        <w:t>arch between 12 noon and 8pm local time.  The expansion to 9pm and inclusion of November has been required because of significant co-incident network demands at these times when extreme weather occurs.</w:t>
      </w:r>
    </w:p>
    <w:p w:rsidR="007F683F" w:rsidRDefault="007F683F" w:rsidP="0044594F"/>
    <w:p w:rsidR="007F683F" w:rsidRDefault="007F683F" w:rsidP="0044594F">
      <w:r>
        <w:t>An alternate variation of this tariff is available for sporting clubs with significant floodlighting.  The alternate tariff is the same</w:t>
      </w:r>
      <w:r w:rsidR="00E32B94">
        <w:t xml:space="preserve">, except that the peak </w:t>
      </w:r>
      <w:r>
        <w:t xml:space="preserve">demand period </w:t>
      </w:r>
      <w:r w:rsidR="00E32B94">
        <w:t>has been amended to 12noon-7pm December to February, Monday-Friday only</w:t>
      </w:r>
      <w:r>
        <w:t xml:space="preserve"> </w:t>
      </w:r>
      <w:r w:rsidR="00E32B94">
        <w:t>rather than 12 noon-</w:t>
      </w:r>
      <w:r w:rsidR="00E27A0C">
        <w:t>9</w:t>
      </w:r>
      <w:r w:rsidRPr="00E32B94">
        <w:rPr>
          <w:i/>
        </w:rPr>
        <w:t>pm</w:t>
      </w:r>
      <w:r>
        <w:t xml:space="preserve"> </w:t>
      </w:r>
      <w:r w:rsidR="00E27A0C" w:rsidRPr="00E27A0C">
        <w:rPr>
          <w:i/>
        </w:rPr>
        <w:t>November</w:t>
      </w:r>
      <w:r w:rsidR="00E27A0C">
        <w:t xml:space="preserve"> to</w:t>
      </w:r>
      <w:r>
        <w:t xml:space="preserve"> </w:t>
      </w:r>
      <w:r w:rsidRPr="00E32B94">
        <w:rPr>
          <w:i/>
        </w:rPr>
        <w:t>March</w:t>
      </w:r>
      <w:r w:rsidR="00E32B94">
        <w:rPr>
          <w:i/>
        </w:rPr>
        <w:t xml:space="preserve">, </w:t>
      </w:r>
      <w:r w:rsidR="00E32B94" w:rsidRPr="00E27A0C">
        <w:t>Monday</w:t>
      </w:r>
      <w:r w:rsidR="00E32B94" w:rsidRPr="00E32B94">
        <w:t>-Friday</w:t>
      </w:r>
      <w:r>
        <w:t>.  The floodlights are not likely to be used on summer evenings when extreme temperatures occur due to health concerns, so peak charging for these lights is inappropriate.</w:t>
      </w:r>
    </w:p>
    <w:p w:rsidR="00217741" w:rsidRPr="00927302" w:rsidRDefault="00217741" w:rsidP="0044594F"/>
    <w:p w:rsidR="00E27A0C" w:rsidRDefault="00E27A0C" w:rsidP="0044594F">
      <w:pPr>
        <w:keepNext/>
      </w:pPr>
      <w:r>
        <w:t>This tariff has been simplified significantly.  Previously there were 4 demand blocks.  From July 2015 this has been reduced to two blocks, with the second block (above 1,000 kVA) utilised by only large businesses.  T</w:t>
      </w:r>
      <w:r w:rsidR="0044594F" w:rsidRPr="00927302">
        <w:t xml:space="preserve">he energy consumption of these customers </w:t>
      </w:r>
      <w:r>
        <w:t>is a simple anytime usage based charge</w:t>
      </w:r>
      <w:r w:rsidR="0044594F" w:rsidRPr="00927302">
        <w:t xml:space="preserve">s.  </w:t>
      </w:r>
      <w:r>
        <w:t xml:space="preserve">The </w:t>
      </w:r>
      <w:r w:rsidR="00217741">
        <w:t>primary</w:t>
      </w:r>
      <w:r>
        <w:t xml:space="preserve"> pricing signal comes from the agreed demand charges.</w:t>
      </w:r>
    </w:p>
    <w:p w:rsidR="00E27A0C" w:rsidRDefault="00E27A0C" w:rsidP="0044594F">
      <w:pPr>
        <w:keepNext/>
      </w:pPr>
    </w:p>
    <w:p w:rsidR="0044594F" w:rsidRDefault="0044594F" w:rsidP="0044594F">
      <w:pPr>
        <w:keepNext/>
      </w:pPr>
      <w:r w:rsidRPr="00927302">
        <w:t xml:space="preserve">The low voltage kVA demand tariff incorporates the charging parameters set out in </w:t>
      </w:r>
      <w:r w:rsidR="00575C9A">
        <w:fldChar w:fldCharType="begin"/>
      </w:r>
      <w:r>
        <w:instrText xml:space="preserve"> REF _Ref133815873 \h </w:instrText>
      </w:r>
      <w:r w:rsidR="00575C9A">
        <w:fldChar w:fldCharType="separate"/>
      </w:r>
      <w:r w:rsidR="00A81AFE" w:rsidRPr="00927302">
        <w:t xml:space="preserve">Table </w:t>
      </w:r>
      <w:r w:rsidR="00A81AFE">
        <w:rPr>
          <w:noProof/>
        </w:rPr>
        <w:t>10</w:t>
      </w:r>
      <w:r w:rsidR="00575C9A">
        <w:fldChar w:fldCharType="end"/>
      </w:r>
      <w:r w:rsidRPr="00927302">
        <w:t>.</w:t>
      </w:r>
    </w:p>
    <w:p w:rsidR="00651846" w:rsidRPr="00927302" w:rsidRDefault="00651846" w:rsidP="0044594F">
      <w:pPr>
        <w:keepNext/>
      </w:pPr>
    </w:p>
    <w:p w:rsidR="0044594F" w:rsidRPr="00927302" w:rsidRDefault="0044594F" w:rsidP="0044594F">
      <w:pPr>
        <w:pStyle w:val="Caption"/>
        <w:keepNext/>
      </w:pPr>
      <w:bookmarkStart w:id="54" w:name="_Ref133815873"/>
      <w:r w:rsidRPr="00927302">
        <w:t xml:space="preserve">Table </w:t>
      </w:r>
      <w:r w:rsidR="00924A8F">
        <w:fldChar w:fldCharType="begin"/>
      </w:r>
      <w:r w:rsidR="00924A8F">
        <w:instrText xml:space="preserve"> SEQ Table \* ARABIC </w:instrText>
      </w:r>
      <w:r w:rsidR="00924A8F">
        <w:fldChar w:fldCharType="separate"/>
      </w:r>
      <w:r w:rsidR="00A81AFE">
        <w:rPr>
          <w:noProof/>
        </w:rPr>
        <w:t>10</w:t>
      </w:r>
      <w:r w:rsidR="00924A8F">
        <w:rPr>
          <w:noProof/>
        </w:rPr>
        <w:fldChar w:fldCharType="end"/>
      </w:r>
      <w:bookmarkEnd w:id="54"/>
      <w:r w:rsidRPr="00927302">
        <w:t xml:space="preserve"> - Low voltage kVA </w:t>
      </w:r>
      <w:r w:rsidR="00217741">
        <w:t xml:space="preserve">agreed </w:t>
      </w:r>
      <w:r w:rsidRPr="00927302">
        <w:t>demand tariff charging parameters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850"/>
        <w:gridCol w:w="851"/>
        <w:gridCol w:w="1417"/>
        <w:gridCol w:w="1701"/>
        <w:gridCol w:w="1134"/>
        <w:gridCol w:w="1701"/>
      </w:tblGrid>
      <w:tr w:rsidR="0044594F" w:rsidRPr="00927302" w:rsidTr="00651846">
        <w:tc>
          <w:tcPr>
            <w:tcW w:w="1560"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50"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680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560"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50"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851"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Direct</w:t>
            </w:r>
            <w:r w:rsidRPr="003022DF">
              <w:rPr>
                <w:b/>
                <w:spacing w:val="-4"/>
                <w:sz w:val="20"/>
                <w:szCs w:val="20"/>
              </w:rPr>
              <w:br/>
              <w:t>control</w:t>
            </w:r>
          </w:p>
        </w:tc>
        <w:tc>
          <w:tcPr>
            <w:tcW w:w="1417"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Transmission</w:t>
            </w:r>
            <w:r w:rsidRPr="003022DF">
              <w:rPr>
                <w:b/>
                <w:spacing w:val="-4"/>
                <w:sz w:val="20"/>
                <w:szCs w:val="20"/>
              </w:rPr>
              <w:br/>
              <w:t>recovery</w:t>
            </w:r>
          </w:p>
        </w:tc>
        <w:tc>
          <w:tcPr>
            <w:tcW w:w="1701" w:type="dxa"/>
            <w:vMerge w:val="restart"/>
            <w:tcBorders>
              <w:top w:val="single" w:sz="4" w:space="0" w:color="000000"/>
            </w:tcBorders>
            <w:shd w:val="solid" w:color="FAB585" w:themeColor="accent3" w:fill="auto"/>
          </w:tcPr>
          <w:p w:rsidR="0044594F" w:rsidRPr="003022DF" w:rsidRDefault="003022DF" w:rsidP="00BF18A9">
            <w:pPr>
              <w:keepNext/>
              <w:spacing w:before="40"/>
              <w:jc w:val="center"/>
              <w:rPr>
                <w:b/>
                <w:spacing w:val="-4"/>
                <w:sz w:val="20"/>
                <w:szCs w:val="20"/>
              </w:rPr>
            </w:pPr>
            <w:r w:rsidRPr="003022DF">
              <w:rPr>
                <w:b/>
                <w:sz w:val="20"/>
                <w:szCs w:val="20"/>
              </w:rPr>
              <w:t>Jurisdictional Scheme Amount Pass Through</w:t>
            </w:r>
          </w:p>
        </w:tc>
        <w:tc>
          <w:tcPr>
            <w:tcW w:w="1134"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Alternative</w:t>
            </w:r>
            <w:r w:rsidRPr="003022DF">
              <w:rPr>
                <w:b/>
                <w:spacing w:val="-4"/>
                <w:sz w:val="20"/>
                <w:szCs w:val="20"/>
              </w:rPr>
              <w:br/>
              <w:t>control</w:t>
            </w:r>
          </w:p>
        </w:tc>
        <w:tc>
          <w:tcPr>
            <w:tcW w:w="1701" w:type="dxa"/>
            <w:tcBorders>
              <w:top w:val="single" w:sz="4" w:space="0" w:color="000000"/>
              <w:bottom w:val="nil"/>
            </w:tcBorders>
            <w:shd w:val="solid" w:color="FAB585" w:themeColor="accent3" w:fill="auto"/>
          </w:tcPr>
          <w:p w:rsidR="0044594F" w:rsidRPr="003022DF" w:rsidRDefault="0044594F" w:rsidP="00393E4F">
            <w:pPr>
              <w:keepNext/>
              <w:spacing w:before="40" w:after="40"/>
              <w:rPr>
                <w:b/>
                <w:spacing w:val="-4"/>
                <w:sz w:val="20"/>
                <w:szCs w:val="20"/>
              </w:rPr>
            </w:pPr>
            <w:r w:rsidRPr="003022DF">
              <w:rPr>
                <w:b/>
                <w:spacing w:val="-4"/>
                <w:sz w:val="20"/>
                <w:szCs w:val="20"/>
              </w:rPr>
              <w:t>Description</w:t>
            </w:r>
          </w:p>
        </w:tc>
      </w:tr>
      <w:tr w:rsidR="0044594F" w:rsidRPr="00927302" w:rsidTr="003022DF">
        <w:tc>
          <w:tcPr>
            <w:tcW w:w="1560" w:type="dxa"/>
            <w:tcBorders>
              <w:top w:val="nil"/>
            </w:tcBorders>
            <w:shd w:val="solid" w:color="FAB585" w:themeColor="accent3" w:fill="auto"/>
          </w:tcPr>
          <w:p w:rsidR="0044594F" w:rsidRPr="00927302" w:rsidRDefault="0044594F" w:rsidP="00393E4F">
            <w:pPr>
              <w:keepNext/>
              <w:spacing w:after="40"/>
              <w:rPr>
                <w:b/>
              </w:rPr>
            </w:pPr>
          </w:p>
        </w:tc>
        <w:tc>
          <w:tcPr>
            <w:tcW w:w="850" w:type="dxa"/>
            <w:tcBorders>
              <w:top w:val="nil"/>
            </w:tcBorders>
            <w:shd w:val="solid" w:color="FAB585" w:themeColor="accent3" w:fill="auto"/>
          </w:tcPr>
          <w:p w:rsidR="0044594F" w:rsidRPr="00927302" w:rsidRDefault="0044594F" w:rsidP="00393E4F">
            <w:pPr>
              <w:keepNext/>
              <w:spacing w:after="40"/>
              <w:rPr>
                <w:b/>
              </w:rPr>
            </w:pPr>
          </w:p>
        </w:tc>
        <w:tc>
          <w:tcPr>
            <w:tcW w:w="851"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DUoS</w:t>
            </w:r>
          </w:p>
        </w:tc>
        <w:tc>
          <w:tcPr>
            <w:tcW w:w="1417"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TUoS</w:t>
            </w:r>
          </w:p>
        </w:tc>
        <w:tc>
          <w:tcPr>
            <w:tcW w:w="1701" w:type="dxa"/>
            <w:vMerge/>
            <w:tcBorders>
              <w:bottom w:val="single" w:sz="4" w:space="0" w:color="000000"/>
            </w:tcBorders>
            <w:shd w:val="solid" w:color="FAB585" w:themeColor="accent3" w:fill="auto"/>
          </w:tcPr>
          <w:p w:rsidR="0044594F" w:rsidRPr="003022DF" w:rsidRDefault="0044594F" w:rsidP="00393E4F">
            <w:pPr>
              <w:keepNext/>
              <w:spacing w:after="40"/>
              <w:jc w:val="center"/>
              <w:rPr>
                <w:b/>
                <w:spacing w:val="-4"/>
                <w:sz w:val="20"/>
                <w:szCs w:val="20"/>
              </w:rPr>
            </w:pPr>
          </w:p>
        </w:tc>
        <w:tc>
          <w:tcPr>
            <w:tcW w:w="1134"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Metering</w:t>
            </w:r>
          </w:p>
        </w:tc>
        <w:tc>
          <w:tcPr>
            <w:tcW w:w="1701" w:type="dxa"/>
            <w:tcBorders>
              <w:top w:val="nil"/>
            </w:tcBorders>
            <w:shd w:val="solid" w:color="FAB585" w:themeColor="accent3" w:fill="auto"/>
          </w:tcPr>
          <w:p w:rsidR="0044594F" w:rsidRPr="003022DF" w:rsidRDefault="0044594F" w:rsidP="00393E4F">
            <w:pPr>
              <w:keepNext/>
              <w:spacing w:after="40"/>
              <w:rPr>
                <w:b/>
                <w:spacing w:val="-4"/>
                <w:sz w:val="20"/>
                <w:szCs w:val="20"/>
              </w:rPr>
            </w:pPr>
          </w:p>
        </w:tc>
      </w:tr>
      <w:tr w:rsidR="0044594F" w:rsidRPr="00927302" w:rsidTr="00BF18A9">
        <w:tc>
          <w:tcPr>
            <w:tcW w:w="1560" w:type="dxa"/>
            <w:shd w:val="clear" w:color="auto" w:fill="auto"/>
          </w:tcPr>
          <w:p w:rsidR="0044594F" w:rsidRPr="00927302" w:rsidRDefault="0044594F" w:rsidP="00393E4F">
            <w:pPr>
              <w:keepNext/>
              <w:spacing w:before="40" w:after="40"/>
            </w:pPr>
            <w:r w:rsidRPr="00927302">
              <w:t>Supply Rate</w:t>
            </w:r>
          </w:p>
        </w:tc>
        <w:tc>
          <w:tcPr>
            <w:tcW w:w="850" w:type="dxa"/>
            <w:shd w:val="clear" w:color="auto" w:fill="auto"/>
          </w:tcPr>
          <w:p w:rsidR="0044594F" w:rsidRPr="00927302" w:rsidRDefault="0044594F" w:rsidP="00393E4F">
            <w:pPr>
              <w:keepNext/>
              <w:spacing w:before="40" w:after="40"/>
            </w:pPr>
            <w:r w:rsidRPr="00927302">
              <w:t>$/day</w:t>
            </w:r>
          </w:p>
        </w:tc>
        <w:tc>
          <w:tcPr>
            <w:tcW w:w="851" w:type="dxa"/>
            <w:shd w:val="clear" w:color="auto" w:fill="auto"/>
          </w:tcPr>
          <w:p w:rsidR="0044594F" w:rsidRPr="00927302" w:rsidRDefault="0044594F" w:rsidP="00393E4F">
            <w:pPr>
              <w:keepNext/>
              <w:jc w:val="center"/>
              <w:rPr>
                <w:b/>
                <w:sz w:val="28"/>
              </w:rPr>
            </w:pPr>
            <w:r>
              <w:rPr>
                <w:b/>
                <w:sz w:val="28"/>
              </w:rPr>
              <w:t>X</w:t>
            </w:r>
          </w:p>
        </w:tc>
        <w:tc>
          <w:tcPr>
            <w:tcW w:w="1417" w:type="dxa"/>
            <w:shd w:val="clear" w:color="auto" w:fill="auto"/>
          </w:tcPr>
          <w:p w:rsidR="0044594F" w:rsidRPr="00927302" w:rsidRDefault="0044594F" w:rsidP="00393E4F">
            <w:pPr>
              <w:keepNext/>
              <w:jc w:val="center"/>
              <w:rPr>
                <w:b/>
                <w:sz w:val="28"/>
              </w:rPr>
            </w:pPr>
            <w:r w:rsidRPr="00927302">
              <w:rPr>
                <w:b/>
                <w:sz w:val="28"/>
              </w:rPr>
              <w:t>-</w:t>
            </w:r>
          </w:p>
        </w:tc>
        <w:tc>
          <w:tcPr>
            <w:tcW w:w="1701" w:type="dxa"/>
            <w:shd w:val="clear" w:color="auto" w:fill="auto"/>
          </w:tcPr>
          <w:p w:rsidR="0044594F" w:rsidRPr="002A75D3" w:rsidRDefault="00BF18A9" w:rsidP="00393E4F">
            <w:pPr>
              <w:keepNext/>
              <w:spacing w:before="40" w:after="40"/>
              <w:jc w:val="center"/>
              <w:rPr>
                <w:b/>
                <w:sz w:val="28"/>
                <w:szCs w:val="28"/>
              </w:rPr>
            </w:pPr>
            <w:r>
              <w:rPr>
                <w:b/>
                <w:sz w:val="28"/>
                <w:szCs w:val="28"/>
              </w:rPr>
              <w:t>X</w:t>
            </w:r>
          </w:p>
        </w:tc>
        <w:tc>
          <w:tcPr>
            <w:tcW w:w="1134" w:type="dxa"/>
            <w:shd w:val="clear" w:color="auto" w:fill="auto"/>
          </w:tcPr>
          <w:p w:rsidR="0044594F" w:rsidRPr="00927302" w:rsidRDefault="0044594F" w:rsidP="00393E4F">
            <w:pPr>
              <w:keepNext/>
              <w:spacing w:before="40" w:after="40"/>
              <w:jc w:val="center"/>
            </w:pPr>
            <w:r w:rsidRPr="00927302">
              <w:t>If applicable</w:t>
            </w:r>
          </w:p>
        </w:tc>
        <w:tc>
          <w:tcPr>
            <w:tcW w:w="1701" w:type="dxa"/>
            <w:shd w:val="clear" w:color="auto" w:fill="auto"/>
          </w:tcPr>
          <w:p w:rsidR="0044594F" w:rsidRPr="00927302" w:rsidRDefault="0044594F" w:rsidP="00393E4F">
            <w:pPr>
              <w:keepNext/>
              <w:spacing w:before="40" w:after="40"/>
            </w:pPr>
            <w:r w:rsidRPr="00927302">
              <w:t>Fixed daily charge</w:t>
            </w:r>
          </w:p>
        </w:tc>
      </w:tr>
      <w:tr w:rsidR="0044594F" w:rsidRPr="00927302" w:rsidTr="00BF18A9">
        <w:tc>
          <w:tcPr>
            <w:tcW w:w="1560" w:type="dxa"/>
            <w:shd w:val="clear" w:color="auto" w:fill="auto"/>
          </w:tcPr>
          <w:p w:rsidR="0044594F" w:rsidRPr="00927302" w:rsidRDefault="0044594F" w:rsidP="00393E4F">
            <w:pPr>
              <w:keepNext/>
              <w:spacing w:before="40" w:after="40"/>
            </w:pPr>
            <w:r w:rsidRPr="00927302">
              <w:t>Annual Block 1 Demand Rate</w:t>
            </w:r>
          </w:p>
        </w:tc>
        <w:tc>
          <w:tcPr>
            <w:tcW w:w="850"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417" w:type="dxa"/>
            <w:shd w:val="clear" w:color="auto" w:fill="auto"/>
          </w:tcPr>
          <w:p w:rsidR="0044594F" w:rsidRPr="00927302" w:rsidRDefault="0044594F" w:rsidP="00393E4F">
            <w:pPr>
              <w:jc w:val="center"/>
            </w:pPr>
            <w:r>
              <w:rPr>
                <w:b/>
                <w:sz w:val="28"/>
              </w:rPr>
              <w:t>X</w:t>
            </w:r>
          </w:p>
        </w:tc>
        <w:tc>
          <w:tcPr>
            <w:tcW w:w="1701" w:type="dxa"/>
            <w:shd w:val="clear" w:color="auto" w:fill="auto"/>
          </w:tcPr>
          <w:p w:rsidR="0044594F" w:rsidRPr="002A75D3" w:rsidRDefault="0044594F" w:rsidP="00393E4F">
            <w:pPr>
              <w:keepNext/>
              <w:spacing w:before="40" w:after="40"/>
              <w:jc w:val="center"/>
              <w:rPr>
                <w:b/>
                <w:sz w:val="28"/>
                <w:szCs w:val="28"/>
              </w:rPr>
            </w:pPr>
            <w:r w:rsidRPr="002A75D3">
              <w:rPr>
                <w:b/>
                <w:sz w:val="28"/>
                <w:szCs w:val="28"/>
              </w:rPr>
              <w:t>X</w:t>
            </w:r>
          </w:p>
        </w:tc>
        <w:tc>
          <w:tcPr>
            <w:tcW w:w="1134" w:type="dxa"/>
            <w:shd w:val="clear" w:color="auto" w:fill="auto"/>
          </w:tcPr>
          <w:p w:rsidR="0044594F" w:rsidRPr="00927302" w:rsidRDefault="0044594F" w:rsidP="00393E4F">
            <w:pPr>
              <w:keepNext/>
              <w:spacing w:before="40" w:after="40"/>
              <w:jc w:val="center"/>
            </w:pPr>
            <w:r w:rsidRPr="00927302">
              <w:rPr>
                <w:b/>
                <w:sz w:val="28"/>
              </w:rPr>
              <w:t>-</w:t>
            </w:r>
          </w:p>
        </w:tc>
        <w:tc>
          <w:tcPr>
            <w:tcW w:w="1701" w:type="dxa"/>
            <w:shd w:val="clear" w:color="auto" w:fill="auto"/>
          </w:tcPr>
          <w:p w:rsidR="0044594F" w:rsidRPr="00927302" w:rsidRDefault="0044594F" w:rsidP="00393E4F">
            <w:pPr>
              <w:keepNext/>
              <w:spacing w:before="40" w:after="40"/>
            </w:pPr>
            <w:r w:rsidRPr="00927302">
              <w:t>For peak demand up to and including 100</w:t>
            </w:r>
            <w:r w:rsidR="00BF18A9">
              <w:t>0</w:t>
            </w:r>
            <w:r w:rsidRPr="00927302">
              <w:t> kVA</w:t>
            </w:r>
          </w:p>
        </w:tc>
      </w:tr>
      <w:tr w:rsidR="0044594F" w:rsidRPr="00927302" w:rsidTr="00BF18A9">
        <w:tc>
          <w:tcPr>
            <w:tcW w:w="1560" w:type="dxa"/>
            <w:shd w:val="clear" w:color="auto" w:fill="auto"/>
          </w:tcPr>
          <w:p w:rsidR="0044594F" w:rsidRPr="00927302" w:rsidRDefault="0044594F" w:rsidP="00BF18A9">
            <w:pPr>
              <w:keepNext/>
              <w:spacing w:before="40" w:after="40"/>
            </w:pPr>
            <w:r w:rsidRPr="00927302">
              <w:t xml:space="preserve">Annual Block </w:t>
            </w:r>
            <w:r w:rsidR="00BF18A9">
              <w:t>2</w:t>
            </w:r>
            <w:r w:rsidRPr="00927302">
              <w:t xml:space="preserve"> Demand Rate</w:t>
            </w:r>
          </w:p>
        </w:tc>
        <w:tc>
          <w:tcPr>
            <w:tcW w:w="850"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417" w:type="dxa"/>
            <w:shd w:val="clear" w:color="auto" w:fill="auto"/>
          </w:tcPr>
          <w:p w:rsidR="0044594F" w:rsidRPr="00927302" w:rsidRDefault="0044594F" w:rsidP="00393E4F">
            <w:pPr>
              <w:jc w:val="center"/>
            </w:pPr>
            <w:r>
              <w:rPr>
                <w:b/>
                <w:sz w:val="28"/>
              </w:rPr>
              <w:t>X</w:t>
            </w:r>
          </w:p>
        </w:tc>
        <w:tc>
          <w:tcPr>
            <w:tcW w:w="1701" w:type="dxa"/>
            <w:shd w:val="clear" w:color="auto" w:fill="auto"/>
          </w:tcPr>
          <w:p w:rsidR="0044594F" w:rsidRPr="002A75D3" w:rsidRDefault="0044594F" w:rsidP="00393E4F">
            <w:pPr>
              <w:keepNext/>
              <w:spacing w:before="40" w:after="40"/>
              <w:jc w:val="center"/>
              <w:rPr>
                <w:b/>
                <w:sz w:val="28"/>
                <w:szCs w:val="28"/>
              </w:rPr>
            </w:pPr>
            <w:r w:rsidRPr="002A75D3">
              <w:rPr>
                <w:b/>
                <w:sz w:val="28"/>
                <w:szCs w:val="28"/>
              </w:rPr>
              <w:t>X</w:t>
            </w:r>
          </w:p>
        </w:tc>
        <w:tc>
          <w:tcPr>
            <w:tcW w:w="1134" w:type="dxa"/>
            <w:shd w:val="clear" w:color="auto" w:fill="auto"/>
          </w:tcPr>
          <w:p w:rsidR="0044594F" w:rsidRPr="00927302" w:rsidRDefault="0044594F" w:rsidP="00393E4F">
            <w:pPr>
              <w:keepNext/>
              <w:spacing w:before="40" w:after="40"/>
              <w:jc w:val="center"/>
            </w:pPr>
            <w:r w:rsidRPr="00927302">
              <w:rPr>
                <w:b/>
                <w:sz w:val="28"/>
              </w:rPr>
              <w:t>-</w:t>
            </w:r>
          </w:p>
        </w:tc>
        <w:tc>
          <w:tcPr>
            <w:tcW w:w="1701" w:type="dxa"/>
            <w:shd w:val="clear" w:color="auto" w:fill="auto"/>
          </w:tcPr>
          <w:p w:rsidR="0044594F" w:rsidRPr="00927302" w:rsidRDefault="0044594F" w:rsidP="00393E4F">
            <w:pPr>
              <w:keepNext/>
              <w:spacing w:before="40" w:after="40"/>
            </w:pPr>
            <w:r w:rsidRPr="00927302">
              <w:t>For the balance of kVA demand</w:t>
            </w:r>
          </w:p>
        </w:tc>
      </w:tr>
      <w:tr w:rsidR="0044594F" w:rsidRPr="00927302" w:rsidTr="00BF18A9">
        <w:tc>
          <w:tcPr>
            <w:tcW w:w="1560" w:type="dxa"/>
            <w:shd w:val="clear" w:color="auto" w:fill="auto"/>
          </w:tcPr>
          <w:p w:rsidR="0044594F" w:rsidRPr="00927302" w:rsidRDefault="0044594F" w:rsidP="00393E4F">
            <w:pPr>
              <w:keepNext/>
              <w:spacing w:before="40" w:after="40"/>
            </w:pPr>
            <w:r w:rsidRPr="00927302">
              <w:t>Additional demand</w:t>
            </w:r>
          </w:p>
        </w:tc>
        <w:tc>
          <w:tcPr>
            <w:tcW w:w="850"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417" w:type="dxa"/>
            <w:shd w:val="clear" w:color="auto" w:fill="auto"/>
          </w:tcPr>
          <w:p w:rsidR="0044594F" w:rsidRPr="00927302" w:rsidRDefault="0044594F" w:rsidP="00393E4F">
            <w:pPr>
              <w:keepNext/>
              <w:spacing w:before="40" w:after="40"/>
              <w:jc w:val="center"/>
            </w:pPr>
            <w:r w:rsidRPr="00927302">
              <w:rPr>
                <w:b/>
                <w:sz w:val="28"/>
              </w:rPr>
              <w:t>-</w:t>
            </w:r>
          </w:p>
        </w:tc>
        <w:tc>
          <w:tcPr>
            <w:tcW w:w="1701" w:type="dxa"/>
            <w:shd w:val="clear" w:color="auto" w:fill="auto"/>
          </w:tcPr>
          <w:p w:rsidR="0044594F" w:rsidRPr="002A75D3" w:rsidRDefault="0044594F" w:rsidP="00393E4F">
            <w:pPr>
              <w:keepNext/>
              <w:spacing w:before="40" w:after="40"/>
              <w:jc w:val="center"/>
              <w:rPr>
                <w:b/>
                <w:sz w:val="28"/>
                <w:szCs w:val="28"/>
              </w:rPr>
            </w:pPr>
            <w:r w:rsidRPr="002A75D3">
              <w:rPr>
                <w:b/>
                <w:sz w:val="28"/>
                <w:szCs w:val="28"/>
              </w:rPr>
              <w:t>X</w:t>
            </w:r>
          </w:p>
        </w:tc>
        <w:tc>
          <w:tcPr>
            <w:tcW w:w="1134" w:type="dxa"/>
            <w:shd w:val="clear" w:color="auto" w:fill="auto"/>
          </w:tcPr>
          <w:p w:rsidR="0044594F" w:rsidRPr="00927302" w:rsidRDefault="0044594F" w:rsidP="00393E4F">
            <w:pPr>
              <w:keepNext/>
              <w:spacing w:before="40" w:after="40"/>
              <w:jc w:val="center"/>
            </w:pPr>
            <w:r w:rsidRPr="00927302">
              <w:rPr>
                <w:b/>
                <w:sz w:val="28"/>
              </w:rPr>
              <w:t>-</w:t>
            </w:r>
          </w:p>
        </w:tc>
        <w:tc>
          <w:tcPr>
            <w:tcW w:w="1701" w:type="dxa"/>
            <w:shd w:val="clear" w:color="auto" w:fill="auto"/>
          </w:tcPr>
          <w:p w:rsidR="0044594F" w:rsidRPr="002520E5" w:rsidRDefault="0044594F" w:rsidP="00393E4F">
            <w:pPr>
              <w:keepNext/>
              <w:spacing w:before="40" w:after="40"/>
            </w:pPr>
            <w:r w:rsidRPr="002520E5">
              <w:t>Demand in excess of that required during summer peak hours.</w:t>
            </w:r>
          </w:p>
        </w:tc>
      </w:tr>
      <w:tr w:rsidR="0044594F" w:rsidRPr="00927302" w:rsidTr="00BF18A9">
        <w:tc>
          <w:tcPr>
            <w:tcW w:w="1560" w:type="dxa"/>
            <w:shd w:val="clear" w:color="auto" w:fill="auto"/>
          </w:tcPr>
          <w:p w:rsidR="0044594F" w:rsidRPr="00927302" w:rsidRDefault="0044594F" w:rsidP="00393E4F">
            <w:pPr>
              <w:keepNext/>
              <w:spacing w:before="40" w:after="40"/>
            </w:pPr>
            <w:r w:rsidRPr="00927302">
              <w:t>Usage Rate</w:t>
            </w:r>
          </w:p>
        </w:tc>
        <w:tc>
          <w:tcPr>
            <w:tcW w:w="850" w:type="dxa"/>
            <w:shd w:val="clear" w:color="auto" w:fill="auto"/>
          </w:tcPr>
          <w:p w:rsidR="0044594F" w:rsidRPr="00927302" w:rsidRDefault="0044594F" w:rsidP="00393E4F">
            <w:pPr>
              <w:keepNext/>
              <w:spacing w:before="40" w:after="40"/>
            </w:pPr>
            <w:r w:rsidRPr="00927302">
              <w:t>$/kWh</w:t>
            </w:r>
          </w:p>
        </w:tc>
        <w:tc>
          <w:tcPr>
            <w:tcW w:w="851" w:type="dxa"/>
            <w:shd w:val="clear" w:color="auto" w:fill="auto"/>
          </w:tcPr>
          <w:p w:rsidR="0044594F" w:rsidRPr="00927302" w:rsidRDefault="0044594F" w:rsidP="00393E4F">
            <w:pPr>
              <w:jc w:val="center"/>
            </w:pPr>
            <w:r>
              <w:rPr>
                <w:b/>
                <w:sz w:val="28"/>
              </w:rPr>
              <w:t>X</w:t>
            </w:r>
          </w:p>
        </w:tc>
        <w:tc>
          <w:tcPr>
            <w:tcW w:w="1417" w:type="dxa"/>
            <w:shd w:val="clear" w:color="auto" w:fill="auto"/>
          </w:tcPr>
          <w:p w:rsidR="0044594F" w:rsidRPr="00927302" w:rsidRDefault="0044594F" w:rsidP="00393E4F">
            <w:pPr>
              <w:jc w:val="center"/>
            </w:pPr>
            <w:r>
              <w:rPr>
                <w:b/>
                <w:sz w:val="28"/>
              </w:rPr>
              <w:t>X</w:t>
            </w:r>
          </w:p>
        </w:tc>
        <w:tc>
          <w:tcPr>
            <w:tcW w:w="1701" w:type="dxa"/>
            <w:shd w:val="clear" w:color="auto" w:fill="auto"/>
          </w:tcPr>
          <w:p w:rsidR="0044594F" w:rsidRPr="002A75D3" w:rsidRDefault="0044594F" w:rsidP="00393E4F">
            <w:pPr>
              <w:keepNext/>
              <w:spacing w:before="40" w:after="40"/>
              <w:jc w:val="center"/>
              <w:rPr>
                <w:b/>
                <w:sz w:val="28"/>
                <w:szCs w:val="28"/>
              </w:rPr>
            </w:pPr>
            <w:r w:rsidRPr="002A75D3">
              <w:rPr>
                <w:b/>
                <w:sz w:val="28"/>
                <w:szCs w:val="28"/>
              </w:rPr>
              <w:t>X</w:t>
            </w:r>
          </w:p>
        </w:tc>
        <w:tc>
          <w:tcPr>
            <w:tcW w:w="1134" w:type="dxa"/>
            <w:shd w:val="clear" w:color="auto" w:fill="auto"/>
          </w:tcPr>
          <w:p w:rsidR="0044594F" w:rsidRPr="00927302" w:rsidRDefault="0044594F" w:rsidP="00393E4F">
            <w:pPr>
              <w:keepNext/>
              <w:spacing w:before="40" w:after="40"/>
              <w:jc w:val="center"/>
            </w:pPr>
            <w:r w:rsidRPr="00927302">
              <w:rPr>
                <w:b/>
                <w:sz w:val="28"/>
              </w:rPr>
              <w:t>-</w:t>
            </w:r>
          </w:p>
        </w:tc>
        <w:tc>
          <w:tcPr>
            <w:tcW w:w="1701" w:type="dxa"/>
            <w:shd w:val="clear" w:color="auto" w:fill="auto"/>
          </w:tcPr>
          <w:p w:rsidR="0044594F" w:rsidRPr="00927302" w:rsidRDefault="0044594F" w:rsidP="00BF18A9">
            <w:pPr>
              <w:keepNext/>
              <w:spacing w:before="40" w:after="40"/>
            </w:pPr>
            <w:r w:rsidRPr="00927302">
              <w:t>For all energy consumption</w:t>
            </w:r>
          </w:p>
        </w:tc>
      </w:tr>
    </w:tbl>
    <w:p w:rsidR="0044594F" w:rsidRPr="00927302" w:rsidRDefault="0044594F" w:rsidP="0044594F"/>
    <w:p w:rsidR="00BF18A9" w:rsidRDefault="00BF18A9" w:rsidP="00BF18A9">
      <w:r>
        <w:t>Metering charges are discussed in detail separately in this Pricing Proposal.</w:t>
      </w:r>
    </w:p>
    <w:p w:rsidR="00651846" w:rsidRPr="00927302" w:rsidRDefault="00651846" w:rsidP="0044594F"/>
    <w:p w:rsidR="0044594F" w:rsidRDefault="0044594F" w:rsidP="0044594F">
      <w:r w:rsidRPr="00927302">
        <w:t>These tariffs are invoiced monthly.</w:t>
      </w:r>
    </w:p>
    <w:p w:rsidR="00651846" w:rsidRDefault="00651846" w:rsidP="0044594F"/>
    <w:p w:rsidR="00BF18A9" w:rsidRPr="00927302" w:rsidRDefault="00BF18A9" w:rsidP="00BF18A9">
      <w:pPr>
        <w:pStyle w:val="Heading3"/>
      </w:pPr>
      <w:r>
        <w:t>Business l</w:t>
      </w:r>
      <w:r w:rsidRPr="00927302">
        <w:t xml:space="preserve">ow voltage kVA </w:t>
      </w:r>
      <w:r w:rsidR="00442F9C">
        <w:t xml:space="preserve">actual </w:t>
      </w:r>
      <w:r w:rsidRPr="00927302">
        <w:t>demand tariff</w:t>
      </w:r>
    </w:p>
    <w:p w:rsidR="00BF18A9" w:rsidRDefault="00BF18A9" w:rsidP="00BF18A9">
      <w:r w:rsidRPr="00927302">
        <w:t xml:space="preserve">The </w:t>
      </w:r>
      <w:r>
        <w:t xml:space="preserve">business </w:t>
      </w:r>
      <w:r w:rsidRPr="00927302">
        <w:t xml:space="preserve">low voltage </w:t>
      </w:r>
      <w:r w:rsidR="00217741">
        <w:t>actual</w:t>
      </w:r>
      <w:r>
        <w:t xml:space="preserve"> demand </w:t>
      </w:r>
      <w:r w:rsidRPr="00927302">
        <w:t xml:space="preserve">tariff is available to eligible </w:t>
      </w:r>
      <w:r>
        <w:t>business</w:t>
      </w:r>
      <w:r w:rsidRPr="00927302">
        <w:t xml:space="preserve"> customers taking supply at less than 1 kV</w:t>
      </w:r>
      <w:r>
        <w:t xml:space="preserve"> (the tariff is also available for business customers taking HV supply, typically at 11 kV)</w:t>
      </w:r>
      <w:r w:rsidRPr="00927302">
        <w:t xml:space="preserve">.  </w:t>
      </w:r>
      <w:r>
        <w:t xml:space="preserve">This is </w:t>
      </w:r>
      <w:r w:rsidR="00217741">
        <w:t xml:space="preserve">a </w:t>
      </w:r>
      <w:r>
        <w:t>tariff that commence</w:t>
      </w:r>
      <w:r w:rsidR="00217741">
        <w:t>s</w:t>
      </w:r>
      <w:r>
        <w:t xml:space="preserve"> on 1 July 2015. It is part of a suite of cost-reflective tariffs that are required to be used by large business customers.  It </w:t>
      </w:r>
      <w:r w:rsidR="00217741">
        <w:t>will</w:t>
      </w:r>
      <w:r>
        <w:t xml:space="preserve"> also </w:t>
      </w:r>
      <w:r w:rsidR="00217741">
        <w:t xml:space="preserve">be </w:t>
      </w:r>
      <w:r>
        <w:t xml:space="preserve">an optional tariff suitable for medium-sized businesses. </w:t>
      </w:r>
      <w:r w:rsidRPr="00927302">
        <w:t xml:space="preserve">These customers </w:t>
      </w:r>
      <w:r>
        <w:t>will require</w:t>
      </w:r>
      <w:r w:rsidRPr="00927302">
        <w:t xml:space="preserve"> a </w:t>
      </w:r>
      <w:r>
        <w:t>Type 1</w:t>
      </w:r>
      <w:r w:rsidRPr="00927302">
        <w:t>-</w:t>
      </w:r>
      <w:r>
        <w:t>5</w:t>
      </w:r>
      <w:r w:rsidRPr="00927302">
        <w:t xml:space="preserve"> NEM compliant meter</w:t>
      </w:r>
      <w:r>
        <w:t xml:space="preserve"> read at least monthly. </w:t>
      </w:r>
      <w:r w:rsidRPr="00927302">
        <w:t xml:space="preserve"> </w:t>
      </w:r>
    </w:p>
    <w:p w:rsidR="00BF18A9" w:rsidRDefault="00BF18A9" w:rsidP="00BF18A9"/>
    <w:p w:rsidR="00BF18A9" w:rsidRDefault="00BF18A9" w:rsidP="00BF18A9">
      <w:r>
        <w:t>M</w:t>
      </w:r>
      <w:r w:rsidRPr="00927302">
        <w:t xml:space="preserve">etered energy consumption is charged </w:t>
      </w:r>
      <w:r>
        <w:t>at a single rate</w:t>
      </w:r>
      <w:r w:rsidRPr="00927302">
        <w:t xml:space="preserve">.  </w:t>
      </w:r>
      <w:r>
        <w:t xml:space="preserve">The maximum kVA demand (measured over a half hour interval) between </w:t>
      </w:r>
      <w:r w:rsidR="00442F9C">
        <w:t xml:space="preserve">12 noon and </w:t>
      </w:r>
      <w:r>
        <w:t xml:space="preserve">4pm on any </w:t>
      </w:r>
      <w:r w:rsidR="00442F9C">
        <w:t>work</w:t>
      </w:r>
      <w:r>
        <w:t xml:space="preserve">day in the month is used to bill the </w:t>
      </w:r>
      <w:r w:rsidR="00442F9C">
        <w:t xml:space="preserve">shoulder </w:t>
      </w:r>
      <w:r w:rsidR="00217741">
        <w:t>actual</w:t>
      </w:r>
      <w:r>
        <w:t xml:space="preserve"> demand</w:t>
      </w:r>
      <w:r w:rsidR="00442F9C">
        <w:t xml:space="preserve"> across all 12 months of the year</w:t>
      </w:r>
      <w:r>
        <w:t xml:space="preserve">.  A higher </w:t>
      </w:r>
      <w:r w:rsidR="00442F9C">
        <w:t xml:space="preserve">peak </w:t>
      </w:r>
      <w:r>
        <w:t>price applies for the five summer months (November to March</w:t>
      </w:r>
      <w:r w:rsidR="00442F9C">
        <w:t xml:space="preserve"> between 4pm and 9pm workdays when system co-incident peaks occur on extreme days</w:t>
      </w:r>
      <w:r w:rsidR="00217741">
        <w:t>)</w:t>
      </w:r>
      <w:r>
        <w:t xml:space="preserve">.  Currently, there is no charge for demand that is higher </w:t>
      </w:r>
      <w:r w:rsidR="00217741">
        <w:t xml:space="preserve">if it is </w:t>
      </w:r>
      <w:r>
        <w:t xml:space="preserve">outside of the peak </w:t>
      </w:r>
      <w:r w:rsidR="00442F9C">
        <w:t xml:space="preserve">and </w:t>
      </w:r>
      <w:r w:rsidR="00816F1F">
        <w:t>shoulder time</w:t>
      </w:r>
      <w:r>
        <w:t xml:space="preserve"> period</w:t>
      </w:r>
      <w:r w:rsidR="00442F9C">
        <w:t xml:space="preserve">s. </w:t>
      </w:r>
    </w:p>
    <w:p w:rsidR="00BF18A9" w:rsidRPr="00927302" w:rsidRDefault="00BF18A9" w:rsidP="00BF18A9"/>
    <w:p w:rsidR="002229DE" w:rsidRDefault="00BF18A9" w:rsidP="002229DE">
      <w:pPr>
        <w:keepNext/>
      </w:pPr>
      <w:r>
        <w:t>Another variation of this tariff is being created for 2015/16 which has the same structure and demand measurement, but will bill the actual k</w:t>
      </w:r>
      <w:r w:rsidR="00816F1F">
        <w:t>VA</w:t>
      </w:r>
      <w:r>
        <w:t xml:space="preserve"> recorded for the number of days between the meter-read dates rather than for a month.  This is expected to assist retailers with their billing where type 5 meters are used, as these are read during the month (or quarter) as opposed to the month-end associated with a type 4 meter.  The use of a ‘per day’ charge for the maximum demand between read dates was a suggestion received via retailer consultation.</w:t>
      </w:r>
      <w:r w:rsidR="002229DE" w:rsidRPr="002229DE">
        <w:t xml:space="preserve"> </w:t>
      </w:r>
      <w:r w:rsidR="002229DE" w:rsidRPr="00927302">
        <w:t xml:space="preserve">The low voltage </w:t>
      </w:r>
      <w:r w:rsidR="002229DE">
        <w:t xml:space="preserve">Business </w:t>
      </w:r>
      <w:r w:rsidR="00217741">
        <w:t>actual</w:t>
      </w:r>
      <w:r w:rsidR="002229DE">
        <w:t xml:space="preserve"> demand</w:t>
      </w:r>
      <w:r w:rsidR="002229DE" w:rsidRPr="00927302">
        <w:t xml:space="preserve"> tariff incorporates the charging parameters set out in </w:t>
      </w:r>
      <w:r w:rsidR="002229DE">
        <w:t>Table 6</w:t>
      </w:r>
      <w:r w:rsidR="002229DE" w:rsidRPr="00927302">
        <w:t>.</w:t>
      </w:r>
    </w:p>
    <w:p w:rsidR="00BF18A9" w:rsidRPr="00927302" w:rsidRDefault="00BF18A9" w:rsidP="00BF18A9"/>
    <w:p w:rsidR="00BF18A9" w:rsidRPr="00927302" w:rsidRDefault="00BF18A9" w:rsidP="00BF18A9">
      <w:pPr>
        <w:pStyle w:val="Caption"/>
        <w:keepNext/>
      </w:pPr>
      <w:r w:rsidRPr="00927302">
        <w:t xml:space="preserve">Table </w:t>
      </w:r>
      <w:r w:rsidR="00924A8F">
        <w:fldChar w:fldCharType="begin"/>
      </w:r>
      <w:r w:rsidR="00924A8F">
        <w:instrText xml:space="preserve"> SEQ Table \* ARABIC </w:instrText>
      </w:r>
      <w:r w:rsidR="00924A8F">
        <w:fldChar w:fldCharType="separate"/>
      </w:r>
      <w:r w:rsidR="00A81AFE">
        <w:rPr>
          <w:noProof/>
        </w:rPr>
        <w:t>11</w:t>
      </w:r>
      <w:r w:rsidR="00924A8F">
        <w:rPr>
          <w:noProof/>
        </w:rPr>
        <w:fldChar w:fldCharType="end"/>
      </w:r>
      <w:r w:rsidRPr="00927302">
        <w:t xml:space="preserve"> </w:t>
      </w:r>
      <w:r>
        <w:t>–</w:t>
      </w:r>
      <w:r w:rsidRPr="00927302">
        <w:t xml:space="preserve"> </w:t>
      </w:r>
      <w:r>
        <w:t xml:space="preserve">Low </w:t>
      </w:r>
      <w:r w:rsidRPr="00927302">
        <w:t xml:space="preserve">voltage </w:t>
      </w:r>
      <w:r w:rsidR="00217741">
        <w:t>business actual</w:t>
      </w:r>
      <w:r>
        <w:t xml:space="preserve"> demand </w:t>
      </w:r>
      <w:r w:rsidRPr="00927302">
        <w:t>tariff 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0"/>
        <w:gridCol w:w="1215"/>
        <w:gridCol w:w="892"/>
        <w:gridCol w:w="1338"/>
        <w:gridCol w:w="1628"/>
        <w:gridCol w:w="1148"/>
        <w:gridCol w:w="1708"/>
      </w:tblGrid>
      <w:tr w:rsidR="00BF18A9" w:rsidRPr="00927302" w:rsidTr="002229DE">
        <w:tc>
          <w:tcPr>
            <w:tcW w:w="1250" w:type="dxa"/>
            <w:vMerge w:val="restart"/>
            <w:tcBorders>
              <w:bottom w:val="nil"/>
            </w:tcBorders>
            <w:shd w:val="solid" w:color="FAB585" w:themeColor="accent3" w:fill="auto"/>
          </w:tcPr>
          <w:p w:rsidR="00BF18A9" w:rsidRPr="00927302" w:rsidRDefault="00BF18A9" w:rsidP="00BF18A9">
            <w:pPr>
              <w:keepNext/>
              <w:spacing w:before="40" w:after="40"/>
              <w:rPr>
                <w:b/>
              </w:rPr>
            </w:pPr>
            <w:r w:rsidRPr="00927302">
              <w:rPr>
                <w:b/>
              </w:rPr>
              <w:t xml:space="preserve">Charging </w:t>
            </w:r>
          </w:p>
          <w:p w:rsidR="00BF18A9" w:rsidRPr="00927302" w:rsidRDefault="00BF18A9" w:rsidP="00BF18A9">
            <w:pPr>
              <w:keepNext/>
              <w:spacing w:before="40" w:after="40"/>
              <w:rPr>
                <w:b/>
              </w:rPr>
            </w:pPr>
            <w:r w:rsidRPr="00927302">
              <w:rPr>
                <w:b/>
              </w:rPr>
              <w:t>Parameter</w:t>
            </w:r>
          </w:p>
        </w:tc>
        <w:tc>
          <w:tcPr>
            <w:tcW w:w="1215" w:type="dxa"/>
            <w:tcBorders>
              <w:bottom w:val="nil"/>
            </w:tcBorders>
            <w:shd w:val="solid" w:color="FAB585" w:themeColor="accent3" w:fill="auto"/>
          </w:tcPr>
          <w:p w:rsidR="00BF18A9" w:rsidRPr="00927302" w:rsidRDefault="00BF18A9" w:rsidP="00BF18A9">
            <w:pPr>
              <w:keepNext/>
              <w:spacing w:before="40" w:after="40"/>
              <w:rPr>
                <w:b/>
              </w:rPr>
            </w:pPr>
            <w:r w:rsidRPr="00927302">
              <w:rPr>
                <w:b/>
              </w:rPr>
              <w:t>Units</w:t>
            </w:r>
          </w:p>
        </w:tc>
        <w:tc>
          <w:tcPr>
            <w:tcW w:w="6714" w:type="dxa"/>
            <w:gridSpan w:val="5"/>
            <w:tcBorders>
              <w:bottom w:val="single" w:sz="4" w:space="0" w:color="000000"/>
            </w:tcBorders>
            <w:shd w:val="solid" w:color="FAB585" w:themeColor="accent3" w:fill="auto"/>
          </w:tcPr>
          <w:p w:rsidR="00BF18A9" w:rsidRPr="00927302" w:rsidRDefault="00BF18A9" w:rsidP="00BF18A9">
            <w:pPr>
              <w:keepNext/>
              <w:spacing w:before="40" w:after="40"/>
              <w:jc w:val="center"/>
              <w:rPr>
                <w:b/>
              </w:rPr>
            </w:pPr>
            <w:r w:rsidRPr="00927302">
              <w:rPr>
                <w:b/>
              </w:rPr>
              <w:t>Element of service</w:t>
            </w:r>
          </w:p>
        </w:tc>
      </w:tr>
      <w:tr w:rsidR="00BF18A9" w:rsidRPr="00927302" w:rsidTr="002229DE">
        <w:tc>
          <w:tcPr>
            <w:tcW w:w="1250" w:type="dxa"/>
            <w:vMerge/>
            <w:tcBorders>
              <w:top w:val="nil"/>
              <w:bottom w:val="nil"/>
            </w:tcBorders>
            <w:shd w:val="solid" w:color="FAB585" w:themeColor="accent3" w:fill="auto"/>
          </w:tcPr>
          <w:p w:rsidR="00BF18A9" w:rsidRPr="00927302" w:rsidRDefault="00BF18A9" w:rsidP="00BF18A9">
            <w:pPr>
              <w:keepNext/>
              <w:spacing w:before="40" w:after="40"/>
              <w:rPr>
                <w:b/>
              </w:rPr>
            </w:pPr>
          </w:p>
        </w:tc>
        <w:tc>
          <w:tcPr>
            <w:tcW w:w="1215" w:type="dxa"/>
            <w:tcBorders>
              <w:top w:val="nil"/>
              <w:bottom w:val="nil"/>
            </w:tcBorders>
            <w:shd w:val="solid" w:color="FAB585" w:themeColor="accent3" w:fill="auto"/>
          </w:tcPr>
          <w:p w:rsidR="00BF18A9" w:rsidRPr="00927302" w:rsidRDefault="00BF18A9" w:rsidP="00BF18A9">
            <w:pPr>
              <w:keepNext/>
              <w:spacing w:before="40" w:after="40"/>
              <w:rPr>
                <w:b/>
              </w:rPr>
            </w:pPr>
          </w:p>
        </w:tc>
        <w:tc>
          <w:tcPr>
            <w:tcW w:w="892" w:type="dxa"/>
            <w:tcBorders>
              <w:top w:val="single" w:sz="4" w:space="0" w:color="000000"/>
              <w:bottom w:val="nil"/>
            </w:tcBorders>
            <w:shd w:val="solid" w:color="FAB585" w:themeColor="accent3" w:fill="auto"/>
          </w:tcPr>
          <w:p w:rsidR="00BF18A9" w:rsidRPr="003022DF" w:rsidRDefault="00BF18A9" w:rsidP="00BF18A9">
            <w:pPr>
              <w:keepNext/>
              <w:spacing w:before="40"/>
              <w:jc w:val="center"/>
              <w:rPr>
                <w:b/>
                <w:sz w:val="20"/>
                <w:szCs w:val="20"/>
              </w:rPr>
            </w:pPr>
            <w:r w:rsidRPr="003022DF">
              <w:rPr>
                <w:b/>
                <w:sz w:val="20"/>
                <w:szCs w:val="20"/>
              </w:rPr>
              <w:t>Direct</w:t>
            </w:r>
            <w:r w:rsidRPr="003022DF">
              <w:rPr>
                <w:b/>
                <w:sz w:val="20"/>
                <w:szCs w:val="20"/>
              </w:rPr>
              <w:br/>
              <w:t>control</w:t>
            </w:r>
          </w:p>
        </w:tc>
        <w:tc>
          <w:tcPr>
            <w:tcW w:w="1338" w:type="dxa"/>
            <w:tcBorders>
              <w:top w:val="single" w:sz="4" w:space="0" w:color="000000"/>
              <w:bottom w:val="nil"/>
            </w:tcBorders>
            <w:shd w:val="solid" w:color="FAB585" w:themeColor="accent3" w:fill="auto"/>
          </w:tcPr>
          <w:p w:rsidR="00BF18A9" w:rsidRPr="003022DF" w:rsidRDefault="00BF18A9" w:rsidP="00BF18A9">
            <w:pPr>
              <w:keepNext/>
              <w:spacing w:before="40"/>
              <w:jc w:val="center"/>
              <w:rPr>
                <w:b/>
                <w:sz w:val="20"/>
                <w:szCs w:val="20"/>
              </w:rPr>
            </w:pPr>
            <w:r w:rsidRPr="003022DF">
              <w:rPr>
                <w:b/>
                <w:sz w:val="20"/>
                <w:szCs w:val="20"/>
              </w:rPr>
              <w:t>Transmission</w:t>
            </w:r>
            <w:r w:rsidRPr="003022DF">
              <w:rPr>
                <w:b/>
                <w:sz w:val="20"/>
                <w:szCs w:val="20"/>
              </w:rPr>
              <w:br/>
              <w:t>recovery</w:t>
            </w:r>
          </w:p>
        </w:tc>
        <w:tc>
          <w:tcPr>
            <w:tcW w:w="1628" w:type="dxa"/>
            <w:vMerge w:val="restart"/>
            <w:tcBorders>
              <w:top w:val="single" w:sz="4" w:space="0" w:color="000000"/>
            </w:tcBorders>
            <w:shd w:val="solid" w:color="FAB585" w:themeColor="accent3" w:fill="auto"/>
          </w:tcPr>
          <w:p w:rsidR="00BF18A9" w:rsidRPr="003022DF" w:rsidRDefault="00BF18A9" w:rsidP="00442F9C">
            <w:pPr>
              <w:keepNext/>
              <w:spacing w:before="40"/>
              <w:jc w:val="center"/>
              <w:rPr>
                <w:b/>
                <w:sz w:val="20"/>
                <w:szCs w:val="20"/>
              </w:rPr>
            </w:pPr>
            <w:r w:rsidRPr="003022DF">
              <w:rPr>
                <w:b/>
                <w:sz w:val="20"/>
                <w:szCs w:val="20"/>
              </w:rPr>
              <w:t>Jurisdictional Scheme Amount Pass Through</w:t>
            </w:r>
          </w:p>
        </w:tc>
        <w:tc>
          <w:tcPr>
            <w:tcW w:w="1148" w:type="dxa"/>
            <w:tcBorders>
              <w:top w:val="single" w:sz="4" w:space="0" w:color="000000"/>
              <w:bottom w:val="nil"/>
            </w:tcBorders>
            <w:shd w:val="solid" w:color="FAB585" w:themeColor="accent3" w:fill="auto"/>
          </w:tcPr>
          <w:p w:rsidR="00BF18A9" w:rsidRPr="003022DF" w:rsidRDefault="00BF18A9" w:rsidP="00BF18A9">
            <w:pPr>
              <w:keepNext/>
              <w:spacing w:before="40"/>
              <w:jc w:val="center"/>
              <w:rPr>
                <w:b/>
                <w:sz w:val="20"/>
                <w:szCs w:val="20"/>
              </w:rPr>
            </w:pPr>
            <w:r w:rsidRPr="003022DF">
              <w:rPr>
                <w:b/>
                <w:sz w:val="20"/>
                <w:szCs w:val="20"/>
              </w:rPr>
              <w:t>Alternative</w:t>
            </w:r>
            <w:r w:rsidRPr="003022DF">
              <w:rPr>
                <w:b/>
                <w:sz w:val="20"/>
                <w:szCs w:val="20"/>
              </w:rPr>
              <w:br/>
              <w:t>control</w:t>
            </w:r>
          </w:p>
        </w:tc>
        <w:tc>
          <w:tcPr>
            <w:tcW w:w="1708" w:type="dxa"/>
            <w:tcBorders>
              <w:top w:val="single" w:sz="4" w:space="0" w:color="000000"/>
              <w:bottom w:val="nil"/>
            </w:tcBorders>
            <w:shd w:val="solid" w:color="FAB585" w:themeColor="accent3" w:fill="auto"/>
          </w:tcPr>
          <w:p w:rsidR="00BF18A9" w:rsidRPr="003022DF" w:rsidRDefault="00BF18A9" w:rsidP="00BF18A9">
            <w:pPr>
              <w:keepNext/>
              <w:spacing w:before="40"/>
              <w:rPr>
                <w:b/>
                <w:sz w:val="20"/>
                <w:szCs w:val="20"/>
              </w:rPr>
            </w:pPr>
            <w:r w:rsidRPr="003022DF">
              <w:rPr>
                <w:b/>
                <w:sz w:val="20"/>
                <w:szCs w:val="20"/>
              </w:rPr>
              <w:t>Description</w:t>
            </w:r>
          </w:p>
        </w:tc>
      </w:tr>
      <w:tr w:rsidR="00BF18A9" w:rsidRPr="00927302" w:rsidTr="002229DE">
        <w:tc>
          <w:tcPr>
            <w:tcW w:w="1250" w:type="dxa"/>
            <w:tcBorders>
              <w:top w:val="nil"/>
            </w:tcBorders>
            <w:shd w:val="solid" w:color="FAB585" w:themeColor="accent3" w:fill="auto"/>
          </w:tcPr>
          <w:p w:rsidR="00BF18A9" w:rsidRPr="00927302" w:rsidRDefault="00BF18A9" w:rsidP="00BF18A9">
            <w:pPr>
              <w:keepNext/>
              <w:spacing w:before="40"/>
              <w:rPr>
                <w:b/>
              </w:rPr>
            </w:pPr>
          </w:p>
        </w:tc>
        <w:tc>
          <w:tcPr>
            <w:tcW w:w="1215" w:type="dxa"/>
            <w:tcBorders>
              <w:top w:val="nil"/>
            </w:tcBorders>
            <w:shd w:val="solid" w:color="FAB585" w:themeColor="accent3" w:fill="auto"/>
          </w:tcPr>
          <w:p w:rsidR="00BF18A9" w:rsidRPr="00927302" w:rsidRDefault="00BF18A9" w:rsidP="00BF18A9">
            <w:pPr>
              <w:keepNext/>
              <w:spacing w:before="40"/>
              <w:rPr>
                <w:b/>
              </w:rPr>
            </w:pPr>
          </w:p>
        </w:tc>
        <w:tc>
          <w:tcPr>
            <w:tcW w:w="892" w:type="dxa"/>
            <w:tcBorders>
              <w:top w:val="nil"/>
              <w:bottom w:val="single" w:sz="4" w:space="0" w:color="000000"/>
            </w:tcBorders>
            <w:shd w:val="solid" w:color="FAB585" w:themeColor="accent3" w:fill="auto"/>
          </w:tcPr>
          <w:p w:rsidR="00BF18A9" w:rsidRPr="003022DF" w:rsidRDefault="00BF18A9" w:rsidP="00BF18A9">
            <w:pPr>
              <w:keepNext/>
              <w:jc w:val="center"/>
              <w:rPr>
                <w:b/>
                <w:sz w:val="20"/>
                <w:szCs w:val="20"/>
              </w:rPr>
            </w:pPr>
            <w:r w:rsidRPr="003022DF">
              <w:rPr>
                <w:b/>
                <w:sz w:val="20"/>
                <w:szCs w:val="20"/>
              </w:rPr>
              <w:t>DUoS</w:t>
            </w:r>
          </w:p>
        </w:tc>
        <w:tc>
          <w:tcPr>
            <w:tcW w:w="1338" w:type="dxa"/>
            <w:tcBorders>
              <w:top w:val="nil"/>
              <w:bottom w:val="single" w:sz="4" w:space="0" w:color="000000"/>
            </w:tcBorders>
            <w:shd w:val="solid" w:color="FAB585" w:themeColor="accent3" w:fill="auto"/>
          </w:tcPr>
          <w:p w:rsidR="00BF18A9" w:rsidRPr="003022DF" w:rsidRDefault="00BF18A9" w:rsidP="00BF18A9">
            <w:pPr>
              <w:keepNext/>
              <w:jc w:val="center"/>
              <w:rPr>
                <w:b/>
                <w:sz w:val="20"/>
                <w:szCs w:val="20"/>
              </w:rPr>
            </w:pPr>
            <w:r w:rsidRPr="003022DF">
              <w:rPr>
                <w:b/>
                <w:sz w:val="20"/>
                <w:szCs w:val="20"/>
              </w:rPr>
              <w:t>TUoS</w:t>
            </w:r>
          </w:p>
        </w:tc>
        <w:tc>
          <w:tcPr>
            <w:tcW w:w="1628" w:type="dxa"/>
            <w:vMerge/>
            <w:tcBorders>
              <w:bottom w:val="single" w:sz="4" w:space="0" w:color="000000"/>
            </w:tcBorders>
            <w:shd w:val="solid" w:color="FAB585" w:themeColor="accent3" w:fill="auto"/>
          </w:tcPr>
          <w:p w:rsidR="00BF18A9" w:rsidRPr="003022DF" w:rsidRDefault="00BF18A9" w:rsidP="00BF18A9">
            <w:pPr>
              <w:keepNext/>
              <w:jc w:val="center"/>
              <w:rPr>
                <w:b/>
                <w:sz w:val="20"/>
                <w:szCs w:val="20"/>
              </w:rPr>
            </w:pPr>
          </w:p>
        </w:tc>
        <w:tc>
          <w:tcPr>
            <w:tcW w:w="1148" w:type="dxa"/>
            <w:tcBorders>
              <w:top w:val="nil"/>
            </w:tcBorders>
            <w:shd w:val="solid" w:color="FAB585" w:themeColor="accent3" w:fill="auto"/>
          </w:tcPr>
          <w:p w:rsidR="00BF18A9" w:rsidRPr="003022DF" w:rsidRDefault="00BF18A9" w:rsidP="00BF18A9">
            <w:pPr>
              <w:keepNext/>
              <w:jc w:val="center"/>
              <w:rPr>
                <w:b/>
                <w:sz w:val="20"/>
                <w:szCs w:val="20"/>
              </w:rPr>
            </w:pPr>
            <w:r w:rsidRPr="003022DF">
              <w:rPr>
                <w:b/>
                <w:sz w:val="20"/>
                <w:szCs w:val="20"/>
              </w:rPr>
              <w:t>Metering</w:t>
            </w:r>
          </w:p>
        </w:tc>
        <w:tc>
          <w:tcPr>
            <w:tcW w:w="1708" w:type="dxa"/>
            <w:tcBorders>
              <w:top w:val="nil"/>
            </w:tcBorders>
            <w:shd w:val="solid" w:color="FAB585" w:themeColor="accent3" w:fill="auto"/>
          </w:tcPr>
          <w:p w:rsidR="00BF18A9" w:rsidRPr="003022DF" w:rsidRDefault="00BF18A9" w:rsidP="00BF18A9">
            <w:pPr>
              <w:keepNext/>
              <w:spacing w:before="40"/>
              <w:rPr>
                <w:b/>
                <w:sz w:val="20"/>
                <w:szCs w:val="20"/>
              </w:rPr>
            </w:pPr>
          </w:p>
        </w:tc>
      </w:tr>
      <w:tr w:rsidR="00BF18A9" w:rsidRPr="00927302" w:rsidTr="002229DE">
        <w:tc>
          <w:tcPr>
            <w:tcW w:w="1250" w:type="dxa"/>
            <w:shd w:val="clear" w:color="auto" w:fill="auto"/>
          </w:tcPr>
          <w:p w:rsidR="00BF18A9" w:rsidRPr="00927302" w:rsidRDefault="00BF18A9" w:rsidP="00BF18A9">
            <w:pPr>
              <w:keepNext/>
              <w:spacing w:before="40" w:after="40"/>
            </w:pPr>
            <w:r>
              <w:t>Supply rate</w:t>
            </w:r>
          </w:p>
        </w:tc>
        <w:tc>
          <w:tcPr>
            <w:tcW w:w="1215" w:type="dxa"/>
            <w:shd w:val="clear" w:color="auto" w:fill="auto"/>
          </w:tcPr>
          <w:p w:rsidR="00BF18A9" w:rsidRPr="00927302" w:rsidRDefault="00BF18A9" w:rsidP="00BF18A9">
            <w:pPr>
              <w:keepNext/>
              <w:spacing w:before="40" w:after="40"/>
            </w:pPr>
            <w:r w:rsidRPr="00927302">
              <w:t>$/</w:t>
            </w:r>
            <w:r>
              <w:t>day</w:t>
            </w:r>
          </w:p>
        </w:tc>
        <w:tc>
          <w:tcPr>
            <w:tcW w:w="892" w:type="dxa"/>
            <w:shd w:val="clear" w:color="auto" w:fill="auto"/>
          </w:tcPr>
          <w:p w:rsidR="00BF18A9" w:rsidRDefault="00BF18A9" w:rsidP="00924A8F">
            <w:pPr>
              <w:spacing w:beforeLines="40" w:before="96" w:afterLines="40" w:after="96"/>
              <w:jc w:val="center"/>
              <w:rPr>
                <w:b/>
                <w:sz w:val="28"/>
                <w:szCs w:val="28"/>
              </w:rPr>
            </w:pPr>
            <w:r>
              <w:rPr>
                <w:b/>
                <w:sz w:val="28"/>
                <w:szCs w:val="28"/>
              </w:rPr>
              <w:t>-</w:t>
            </w:r>
          </w:p>
        </w:tc>
        <w:tc>
          <w:tcPr>
            <w:tcW w:w="1338" w:type="dxa"/>
            <w:shd w:val="clear" w:color="auto" w:fill="auto"/>
          </w:tcPr>
          <w:p w:rsidR="00BF18A9" w:rsidRDefault="00BF18A9" w:rsidP="00924A8F">
            <w:pPr>
              <w:spacing w:beforeLines="40" w:before="96" w:afterLines="40" w:after="96"/>
              <w:jc w:val="center"/>
              <w:rPr>
                <w:b/>
                <w:sz w:val="28"/>
                <w:szCs w:val="28"/>
              </w:rPr>
            </w:pPr>
            <w:r>
              <w:rPr>
                <w:b/>
                <w:sz w:val="28"/>
                <w:szCs w:val="28"/>
              </w:rPr>
              <w:t>-</w:t>
            </w:r>
          </w:p>
        </w:tc>
        <w:tc>
          <w:tcPr>
            <w:tcW w:w="1628" w:type="dxa"/>
            <w:shd w:val="clear" w:color="auto" w:fill="auto"/>
          </w:tcPr>
          <w:p w:rsidR="00BF18A9" w:rsidRDefault="00BF18A9" w:rsidP="00924A8F">
            <w:pPr>
              <w:keepNext/>
              <w:spacing w:beforeLines="40" w:before="96" w:afterLines="40" w:after="96"/>
              <w:jc w:val="center"/>
              <w:rPr>
                <w:b/>
                <w:sz w:val="28"/>
                <w:szCs w:val="28"/>
              </w:rPr>
            </w:pPr>
            <w:r>
              <w:rPr>
                <w:b/>
                <w:sz w:val="28"/>
                <w:szCs w:val="28"/>
              </w:rPr>
              <w:t>-</w:t>
            </w:r>
          </w:p>
        </w:tc>
        <w:tc>
          <w:tcPr>
            <w:tcW w:w="1148" w:type="dxa"/>
            <w:shd w:val="clear" w:color="auto" w:fill="auto"/>
          </w:tcPr>
          <w:p w:rsidR="00BF18A9" w:rsidRDefault="00BF18A9" w:rsidP="00924A8F">
            <w:pPr>
              <w:spacing w:beforeLines="40" w:before="96" w:afterLines="40" w:after="96"/>
              <w:jc w:val="center"/>
              <w:rPr>
                <w:b/>
                <w:sz w:val="28"/>
                <w:szCs w:val="28"/>
              </w:rPr>
            </w:pPr>
            <w:r>
              <w:rPr>
                <w:b/>
                <w:sz w:val="28"/>
                <w:szCs w:val="28"/>
              </w:rPr>
              <w:t>X</w:t>
            </w:r>
          </w:p>
          <w:p w:rsidR="00BF18A9" w:rsidRPr="001414A1" w:rsidRDefault="00BF18A9" w:rsidP="00924A8F">
            <w:pPr>
              <w:spacing w:beforeLines="40" w:before="96" w:afterLines="40" w:after="96"/>
              <w:jc w:val="center"/>
            </w:pPr>
            <w:r>
              <w:t>Type 4</w:t>
            </w:r>
            <w:r w:rsidRPr="001414A1">
              <w:t xml:space="preserve"> or 5 monthly meter req</w:t>
            </w:r>
            <w:r>
              <w:t>uire</w:t>
            </w:r>
            <w:r w:rsidRPr="001414A1">
              <w:t>d</w:t>
            </w:r>
          </w:p>
        </w:tc>
        <w:tc>
          <w:tcPr>
            <w:tcW w:w="1708" w:type="dxa"/>
            <w:shd w:val="clear" w:color="auto" w:fill="auto"/>
          </w:tcPr>
          <w:p w:rsidR="00BF18A9" w:rsidRPr="00927302" w:rsidRDefault="00BF18A9" w:rsidP="00BF18A9">
            <w:pPr>
              <w:keepNext/>
              <w:spacing w:before="40" w:after="40"/>
            </w:pPr>
            <w:r>
              <w:t>Fixed daily charge</w:t>
            </w:r>
          </w:p>
        </w:tc>
      </w:tr>
      <w:tr w:rsidR="00BF18A9" w:rsidRPr="00927302" w:rsidTr="002229DE">
        <w:tc>
          <w:tcPr>
            <w:tcW w:w="1250" w:type="dxa"/>
            <w:shd w:val="clear" w:color="auto" w:fill="auto"/>
          </w:tcPr>
          <w:p w:rsidR="00BF18A9" w:rsidRPr="00927302" w:rsidRDefault="00BF18A9" w:rsidP="00BF18A9">
            <w:pPr>
              <w:keepNext/>
              <w:spacing w:before="40" w:after="40"/>
            </w:pPr>
            <w:r>
              <w:t>Summer Demand</w:t>
            </w:r>
            <w:r w:rsidRPr="00927302">
              <w:t xml:space="preserve"> </w:t>
            </w:r>
            <w:r>
              <w:t xml:space="preserve">Peak </w:t>
            </w:r>
            <w:r w:rsidRPr="00927302">
              <w:t>Rate</w:t>
            </w:r>
          </w:p>
        </w:tc>
        <w:tc>
          <w:tcPr>
            <w:tcW w:w="1215" w:type="dxa"/>
            <w:shd w:val="clear" w:color="auto" w:fill="auto"/>
          </w:tcPr>
          <w:p w:rsidR="00BF18A9" w:rsidRPr="00927302" w:rsidRDefault="00BF18A9" w:rsidP="00442F9C">
            <w:pPr>
              <w:keepNext/>
              <w:spacing w:before="40" w:after="40"/>
            </w:pPr>
            <w:r w:rsidRPr="00927302">
              <w:t>$/k</w:t>
            </w:r>
            <w:r w:rsidR="00442F9C">
              <w:t>VA</w:t>
            </w:r>
            <w:r>
              <w:t>/mth</w:t>
            </w:r>
          </w:p>
        </w:tc>
        <w:tc>
          <w:tcPr>
            <w:tcW w:w="892" w:type="dxa"/>
            <w:shd w:val="clear" w:color="auto" w:fill="auto"/>
          </w:tcPr>
          <w:p w:rsidR="00BF18A9" w:rsidRDefault="00BF18A9" w:rsidP="00924A8F">
            <w:pPr>
              <w:spacing w:beforeLines="40" w:before="96" w:afterLines="40" w:after="96"/>
              <w:jc w:val="center"/>
              <w:rPr>
                <w:b/>
                <w:sz w:val="28"/>
                <w:szCs w:val="28"/>
              </w:rPr>
            </w:pPr>
            <w:r w:rsidRPr="002A75D3">
              <w:rPr>
                <w:b/>
                <w:sz w:val="28"/>
                <w:szCs w:val="28"/>
              </w:rPr>
              <w:t>X</w:t>
            </w:r>
          </w:p>
        </w:tc>
        <w:tc>
          <w:tcPr>
            <w:tcW w:w="1338" w:type="dxa"/>
            <w:shd w:val="clear" w:color="auto" w:fill="auto"/>
          </w:tcPr>
          <w:p w:rsidR="00BF18A9" w:rsidRDefault="00BF18A9" w:rsidP="00924A8F">
            <w:pPr>
              <w:spacing w:beforeLines="40" w:before="96" w:afterLines="40" w:after="96"/>
              <w:jc w:val="center"/>
              <w:rPr>
                <w:b/>
                <w:sz w:val="28"/>
                <w:szCs w:val="28"/>
              </w:rPr>
            </w:pPr>
            <w:r w:rsidRPr="002A75D3">
              <w:rPr>
                <w:b/>
                <w:sz w:val="28"/>
                <w:szCs w:val="28"/>
              </w:rPr>
              <w:t>X</w:t>
            </w:r>
          </w:p>
        </w:tc>
        <w:tc>
          <w:tcPr>
            <w:tcW w:w="1628" w:type="dxa"/>
            <w:shd w:val="clear" w:color="auto" w:fill="auto"/>
          </w:tcPr>
          <w:p w:rsidR="00BF18A9" w:rsidRDefault="00BF18A9"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BF18A9" w:rsidRPr="00927302" w:rsidRDefault="00BF18A9" w:rsidP="00BF18A9">
            <w:pPr>
              <w:keepNext/>
              <w:spacing w:before="40" w:after="40"/>
            </w:pPr>
          </w:p>
        </w:tc>
        <w:tc>
          <w:tcPr>
            <w:tcW w:w="1708" w:type="dxa"/>
            <w:shd w:val="clear" w:color="auto" w:fill="auto"/>
          </w:tcPr>
          <w:p w:rsidR="00BF18A9" w:rsidRPr="00927302" w:rsidRDefault="00BF18A9" w:rsidP="00BF18A9">
            <w:pPr>
              <w:keepNext/>
              <w:spacing w:before="40" w:after="40"/>
            </w:pPr>
            <w:r>
              <w:t>For Nov-March demand, 16:00-21:00 local time</w:t>
            </w:r>
          </w:p>
        </w:tc>
      </w:tr>
      <w:tr w:rsidR="00BF18A9" w:rsidRPr="00927302" w:rsidTr="002229DE">
        <w:tc>
          <w:tcPr>
            <w:tcW w:w="1250" w:type="dxa"/>
            <w:shd w:val="clear" w:color="auto" w:fill="auto"/>
          </w:tcPr>
          <w:p w:rsidR="00BF18A9" w:rsidRPr="00927302" w:rsidRDefault="00442F9C" w:rsidP="00BF18A9">
            <w:pPr>
              <w:keepNext/>
              <w:spacing w:before="40" w:after="40"/>
            </w:pPr>
            <w:r>
              <w:t>Year-round</w:t>
            </w:r>
            <w:r w:rsidR="00BF18A9">
              <w:t xml:space="preserve"> Demand Shoulder Rate</w:t>
            </w:r>
          </w:p>
        </w:tc>
        <w:tc>
          <w:tcPr>
            <w:tcW w:w="1215" w:type="dxa"/>
            <w:shd w:val="clear" w:color="auto" w:fill="auto"/>
          </w:tcPr>
          <w:p w:rsidR="00BF18A9" w:rsidRPr="00927302" w:rsidRDefault="00BF18A9" w:rsidP="00442F9C">
            <w:pPr>
              <w:keepNext/>
              <w:spacing w:before="40" w:after="40"/>
            </w:pPr>
            <w:r w:rsidRPr="00927302">
              <w:t>$/k</w:t>
            </w:r>
            <w:r w:rsidR="00442F9C">
              <w:t>VA</w:t>
            </w:r>
            <w:r>
              <w:t>/mt</w:t>
            </w:r>
            <w:r w:rsidRPr="00927302">
              <w:t>h</w:t>
            </w:r>
          </w:p>
        </w:tc>
        <w:tc>
          <w:tcPr>
            <w:tcW w:w="892" w:type="dxa"/>
            <w:tcBorders>
              <w:bottom w:val="single" w:sz="4" w:space="0" w:color="000000"/>
            </w:tcBorders>
            <w:shd w:val="clear" w:color="auto" w:fill="auto"/>
          </w:tcPr>
          <w:p w:rsidR="00BF18A9" w:rsidRDefault="00BF18A9" w:rsidP="00924A8F">
            <w:pPr>
              <w:spacing w:beforeLines="40" w:before="96" w:afterLines="40" w:after="96"/>
              <w:jc w:val="center"/>
              <w:rPr>
                <w:b/>
                <w:sz w:val="28"/>
                <w:szCs w:val="28"/>
              </w:rPr>
            </w:pPr>
            <w:r w:rsidRPr="002A75D3">
              <w:rPr>
                <w:b/>
                <w:sz w:val="28"/>
                <w:szCs w:val="28"/>
              </w:rPr>
              <w:t>X</w:t>
            </w:r>
          </w:p>
        </w:tc>
        <w:tc>
          <w:tcPr>
            <w:tcW w:w="1338" w:type="dxa"/>
            <w:tcBorders>
              <w:bottom w:val="single" w:sz="4" w:space="0" w:color="000000"/>
            </w:tcBorders>
            <w:shd w:val="clear" w:color="auto" w:fill="auto"/>
          </w:tcPr>
          <w:p w:rsidR="00BF18A9" w:rsidRDefault="00BF18A9" w:rsidP="00924A8F">
            <w:pPr>
              <w:spacing w:beforeLines="40" w:before="96" w:afterLines="40" w:after="96"/>
              <w:jc w:val="center"/>
              <w:rPr>
                <w:b/>
                <w:sz w:val="28"/>
                <w:szCs w:val="28"/>
              </w:rPr>
            </w:pPr>
            <w:r w:rsidRPr="002A75D3">
              <w:rPr>
                <w:b/>
                <w:sz w:val="28"/>
                <w:szCs w:val="28"/>
              </w:rPr>
              <w:t>X</w:t>
            </w:r>
          </w:p>
        </w:tc>
        <w:tc>
          <w:tcPr>
            <w:tcW w:w="1628" w:type="dxa"/>
            <w:tcBorders>
              <w:bottom w:val="single" w:sz="4" w:space="0" w:color="000000"/>
            </w:tcBorders>
            <w:shd w:val="clear" w:color="auto" w:fill="auto"/>
          </w:tcPr>
          <w:p w:rsidR="00BF18A9" w:rsidRDefault="00BF18A9"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BF18A9" w:rsidRPr="00927302" w:rsidRDefault="00BF18A9" w:rsidP="00BF18A9">
            <w:pPr>
              <w:keepNext/>
              <w:spacing w:before="40" w:after="40"/>
            </w:pPr>
          </w:p>
        </w:tc>
        <w:tc>
          <w:tcPr>
            <w:tcW w:w="1708" w:type="dxa"/>
            <w:shd w:val="clear" w:color="auto" w:fill="auto"/>
          </w:tcPr>
          <w:p w:rsidR="00BF18A9" w:rsidRPr="00927302" w:rsidRDefault="00BF18A9" w:rsidP="00442F9C">
            <w:pPr>
              <w:keepNext/>
              <w:spacing w:before="40" w:after="40"/>
            </w:pPr>
            <w:r>
              <w:t xml:space="preserve">For </w:t>
            </w:r>
            <w:r w:rsidR="00442F9C">
              <w:t>July-June</w:t>
            </w:r>
            <w:r>
              <w:t xml:space="preserve"> demand, 1</w:t>
            </w:r>
            <w:r w:rsidR="00442F9C">
              <w:t>2</w:t>
            </w:r>
            <w:r>
              <w:t>:00-</w:t>
            </w:r>
            <w:r w:rsidR="00442F9C">
              <w:t>16</w:t>
            </w:r>
            <w:r>
              <w:t>:00 local time</w:t>
            </w:r>
          </w:p>
        </w:tc>
      </w:tr>
      <w:tr w:rsidR="00BF18A9" w:rsidRPr="00927302" w:rsidTr="002229DE">
        <w:tc>
          <w:tcPr>
            <w:tcW w:w="1250" w:type="dxa"/>
            <w:shd w:val="clear" w:color="auto" w:fill="auto"/>
          </w:tcPr>
          <w:p w:rsidR="00BF18A9" w:rsidRPr="00927302" w:rsidRDefault="00BF18A9" w:rsidP="00BF18A9">
            <w:pPr>
              <w:keepNext/>
              <w:spacing w:before="40" w:after="40"/>
            </w:pPr>
            <w:r>
              <w:t>Demand Off-peak</w:t>
            </w:r>
            <w:r w:rsidRPr="00927302">
              <w:t xml:space="preserve"> Rate</w:t>
            </w:r>
          </w:p>
        </w:tc>
        <w:tc>
          <w:tcPr>
            <w:tcW w:w="1215" w:type="dxa"/>
            <w:shd w:val="clear" w:color="auto" w:fill="auto"/>
          </w:tcPr>
          <w:p w:rsidR="00BF18A9" w:rsidRPr="00927302" w:rsidRDefault="00BF18A9" w:rsidP="00442F9C">
            <w:pPr>
              <w:keepNext/>
              <w:spacing w:before="40" w:after="40"/>
            </w:pPr>
            <w:r w:rsidRPr="00927302">
              <w:t>$/k</w:t>
            </w:r>
            <w:r w:rsidR="00442F9C">
              <w:t>VA</w:t>
            </w:r>
            <w:r>
              <w:t>/mt</w:t>
            </w:r>
            <w:r w:rsidRPr="00927302">
              <w:t>h</w:t>
            </w:r>
          </w:p>
        </w:tc>
        <w:tc>
          <w:tcPr>
            <w:tcW w:w="892" w:type="dxa"/>
            <w:shd w:val="clear" w:color="auto" w:fill="auto"/>
          </w:tcPr>
          <w:p w:rsidR="00BF18A9" w:rsidRDefault="00BF18A9" w:rsidP="00924A8F">
            <w:pPr>
              <w:spacing w:beforeLines="40" w:before="96" w:afterLines="40" w:after="96"/>
              <w:jc w:val="center"/>
              <w:rPr>
                <w:b/>
                <w:sz w:val="28"/>
                <w:szCs w:val="28"/>
              </w:rPr>
            </w:pPr>
            <w:r>
              <w:rPr>
                <w:b/>
                <w:sz w:val="28"/>
                <w:szCs w:val="28"/>
              </w:rPr>
              <w:t>-</w:t>
            </w:r>
          </w:p>
        </w:tc>
        <w:tc>
          <w:tcPr>
            <w:tcW w:w="1338" w:type="dxa"/>
            <w:shd w:val="clear" w:color="auto" w:fill="auto"/>
          </w:tcPr>
          <w:p w:rsidR="00BF18A9" w:rsidRDefault="00BF18A9" w:rsidP="00924A8F">
            <w:pPr>
              <w:spacing w:beforeLines="40" w:before="96" w:afterLines="40" w:after="96"/>
              <w:jc w:val="center"/>
              <w:rPr>
                <w:b/>
                <w:sz w:val="28"/>
                <w:szCs w:val="28"/>
              </w:rPr>
            </w:pPr>
            <w:r>
              <w:rPr>
                <w:b/>
                <w:sz w:val="28"/>
                <w:szCs w:val="28"/>
              </w:rPr>
              <w:t>-</w:t>
            </w:r>
          </w:p>
        </w:tc>
        <w:tc>
          <w:tcPr>
            <w:tcW w:w="1628" w:type="dxa"/>
            <w:shd w:val="clear" w:color="auto" w:fill="auto"/>
          </w:tcPr>
          <w:p w:rsidR="00BF18A9" w:rsidRDefault="00BF18A9" w:rsidP="00924A8F">
            <w:pPr>
              <w:keepNext/>
              <w:spacing w:beforeLines="40" w:before="96" w:afterLines="40" w:after="96"/>
              <w:jc w:val="center"/>
              <w:rPr>
                <w:b/>
                <w:sz w:val="28"/>
                <w:szCs w:val="28"/>
              </w:rPr>
            </w:pPr>
            <w:r>
              <w:rPr>
                <w:b/>
                <w:sz w:val="28"/>
                <w:szCs w:val="28"/>
              </w:rPr>
              <w:t>-</w:t>
            </w:r>
          </w:p>
        </w:tc>
        <w:tc>
          <w:tcPr>
            <w:tcW w:w="1148" w:type="dxa"/>
            <w:shd w:val="clear" w:color="auto" w:fill="auto"/>
          </w:tcPr>
          <w:p w:rsidR="00BF18A9" w:rsidRPr="00927302" w:rsidRDefault="00BF18A9" w:rsidP="00BF18A9">
            <w:pPr>
              <w:keepNext/>
              <w:spacing w:before="40" w:after="40"/>
            </w:pPr>
          </w:p>
        </w:tc>
        <w:tc>
          <w:tcPr>
            <w:tcW w:w="1708" w:type="dxa"/>
            <w:shd w:val="clear" w:color="auto" w:fill="auto"/>
          </w:tcPr>
          <w:p w:rsidR="00BF18A9" w:rsidRPr="00927302" w:rsidRDefault="00BF18A9" w:rsidP="00BF18A9">
            <w:pPr>
              <w:keepNext/>
              <w:spacing w:before="40" w:after="40"/>
            </w:pPr>
            <w:r>
              <w:t>For anytime demand each month.</w:t>
            </w:r>
          </w:p>
        </w:tc>
      </w:tr>
      <w:tr w:rsidR="002229DE" w:rsidRPr="00927302" w:rsidTr="002229DE">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rsidRPr="00927302">
              <w:t>Usage Rate</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rsidRPr="00927302">
              <w:t>$/kWh</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2229DE" w:rsidRDefault="002229DE" w:rsidP="00924A8F">
            <w:pPr>
              <w:spacing w:beforeLines="40" w:before="96" w:afterLines="40" w:after="96"/>
              <w:jc w:val="center"/>
              <w:rPr>
                <w:b/>
                <w:sz w:val="28"/>
                <w:szCs w:val="28"/>
              </w:rPr>
            </w:pPr>
            <w:r w:rsidRPr="002A75D3">
              <w:rPr>
                <w:b/>
                <w:sz w:val="28"/>
                <w:szCs w:val="28"/>
              </w:rPr>
              <w:t>X</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rsidR="002229DE" w:rsidRDefault="002229DE" w:rsidP="00924A8F">
            <w:pPr>
              <w:spacing w:beforeLines="40" w:before="96" w:afterLines="40" w:after="96"/>
              <w:jc w:val="center"/>
              <w:rPr>
                <w:b/>
                <w:sz w:val="28"/>
                <w:szCs w:val="28"/>
              </w:rPr>
            </w:pPr>
            <w:r w:rsidRPr="002A75D3">
              <w:rPr>
                <w:b/>
                <w:sz w:val="28"/>
                <w:szCs w:val="28"/>
              </w:rPr>
              <w:t>X</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2229DE" w:rsidRDefault="002229DE" w:rsidP="00924A8F">
            <w:pPr>
              <w:keepNext/>
              <w:spacing w:beforeLines="40" w:before="96" w:afterLines="40" w:after="96"/>
              <w:jc w:val="center"/>
              <w:rPr>
                <w:b/>
                <w:sz w:val="28"/>
                <w:szCs w:val="28"/>
              </w:rPr>
            </w:pPr>
            <w:r w:rsidRPr="002A75D3">
              <w:rPr>
                <w:b/>
                <w:sz w:val="28"/>
                <w:szCs w:val="28"/>
              </w:rPr>
              <w:t>X</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rsidRPr="00927302">
              <w:t xml:space="preserve">For </w:t>
            </w:r>
            <w:r>
              <w:t xml:space="preserve">all </w:t>
            </w:r>
            <w:r w:rsidRPr="00927302">
              <w:t xml:space="preserve">consumption </w:t>
            </w:r>
          </w:p>
        </w:tc>
      </w:tr>
    </w:tbl>
    <w:p w:rsidR="002229DE" w:rsidRDefault="002229DE" w:rsidP="00BF18A9"/>
    <w:p w:rsidR="00BF18A9" w:rsidRDefault="00BF18A9" w:rsidP="00BF18A9">
      <w:r>
        <w:t>Metering charges are discussed in detail separately in this Pricing Proposal.</w:t>
      </w:r>
    </w:p>
    <w:p w:rsidR="00BF18A9" w:rsidRDefault="00BF18A9" w:rsidP="00BF18A9"/>
    <w:p w:rsidR="00442F9C" w:rsidRPr="00927302" w:rsidRDefault="00442F9C" w:rsidP="00442F9C">
      <w:pPr>
        <w:pStyle w:val="Heading3"/>
      </w:pPr>
      <w:r>
        <w:t>Business l</w:t>
      </w:r>
      <w:r w:rsidRPr="00927302">
        <w:t xml:space="preserve">ow voltage kVA </w:t>
      </w:r>
      <w:r>
        <w:t xml:space="preserve">transition actual </w:t>
      </w:r>
      <w:r w:rsidRPr="00927302">
        <w:t>demand tariff</w:t>
      </w:r>
    </w:p>
    <w:p w:rsidR="00442F9C" w:rsidRDefault="00442F9C" w:rsidP="00442F9C">
      <w:r w:rsidRPr="00927302">
        <w:t xml:space="preserve">The </w:t>
      </w:r>
      <w:r>
        <w:t xml:space="preserve">business </w:t>
      </w:r>
      <w:r w:rsidRPr="00927302">
        <w:t xml:space="preserve">low voltage </w:t>
      </w:r>
      <w:r>
        <w:t xml:space="preserve">transition actual demand </w:t>
      </w:r>
      <w:r w:rsidRPr="00927302">
        <w:t xml:space="preserve">tariff is available to </w:t>
      </w:r>
      <w:r>
        <w:t>large business</w:t>
      </w:r>
      <w:r w:rsidRPr="00927302">
        <w:t xml:space="preserve"> customers </w:t>
      </w:r>
      <w:r>
        <w:t>reassigned from a business energy tariff to a cost-reflective tariff in July 2015 but who would be worse off as a result</w:t>
      </w:r>
      <w:r w:rsidRPr="00927302">
        <w:t xml:space="preserve">.  </w:t>
      </w:r>
      <w:r>
        <w:t xml:space="preserve">This is </w:t>
      </w:r>
      <w:r w:rsidR="002866DB">
        <w:t>a tariff that commences</w:t>
      </w:r>
      <w:r>
        <w:t xml:space="preserve"> on 1 July 2015. It is part of a suite of cost-reflective tariffs that are required to be used by large business customers.  The tariff is a combination of 70% business 2-rate and 30% business actual demand.  In 2016/17, the proportion of business 2-rate will reduce and the actual demand proportion will increase.  Transition should be complete by 2020. </w:t>
      </w:r>
      <w:r w:rsidRPr="00927302">
        <w:t xml:space="preserve">These customers </w:t>
      </w:r>
      <w:r>
        <w:t>will require</w:t>
      </w:r>
      <w:r w:rsidRPr="00927302">
        <w:t xml:space="preserve"> a </w:t>
      </w:r>
      <w:r>
        <w:t>Type 1</w:t>
      </w:r>
      <w:r w:rsidRPr="00927302">
        <w:t>-</w:t>
      </w:r>
      <w:r>
        <w:t>5</w:t>
      </w:r>
      <w:r w:rsidRPr="00927302">
        <w:t xml:space="preserve"> NEM compliant meter</w:t>
      </w:r>
      <w:r>
        <w:t xml:space="preserve"> read at least monthly. </w:t>
      </w:r>
      <w:r w:rsidRPr="00927302">
        <w:t xml:space="preserve"> </w:t>
      </w:r>
    </w:p>
    <w:p w:rsidR="00442F9C" w:rsidRDefault="00442F9C" w:rsidP="00442F9C"/>
    <w:p w:rsidR="00442F9C" w:rsidRDefault="00442F9C" w:rsidP="00442F9C">
      <w:pPr>
        <w:keepNext/>
      </w:pPr>
      <w:r>
        <w:t xml:space="preserve">All tariff elements used in the business 2-rate and agreed monthly demand tariffs are used in this transition tariff.  </w:t>
      </w:r>
      <w:r w:rsidRPr="00927302">
        <w:t xml:space="preserve">The low voltage </w:t>
      </w:r>
      <w:r>
        <w:t>Business actual</w:t>
      </w:r>
      <w:r w:rsidRPr="00927302">
        <w:t xml:space="preserve"> </w:t>
      </w:r>
      <w:r>
        <w:t>demand</w:t>
      </w:r>
      <w:r w:rsidRPr="00927302">
        <w:t xml:space="preserve"> tariff incorporates the charging parameters set out in </w:t>
      </w:r>
      <w:r>
        <w:t xml:space="preserve">Table </w:t>
      </w:r>
      <w:r w:rsidR="002866DB">
        <w:t>10</w:t>
      </w:r>
      <w:r w:rsidRPr="00927302">
        <w:t>.</w:t>
      </w:r>
    </w:p>
    <w:p w:rsidR="00816F1F" w:rsidRDefault="00816F1F" w:rsidP="00442F9C">
      <w:pPr>
        <w:keepNext/>
      </w:pPr>
    </w:p>
    <w:p w:rsidR="00442F9C" w:rsidRDefault="00442F9C" w:rsidP="002229DE">
      <w:pPr>
        <w:keepNext/>
      </w:pPr>
      <w:r>
        <w:t>Another variation of this tariff is being created for 2015/16 which has the same structure and demand measurement, but will bill the actual k</w:t>
      </w:r>
      <w:r w:rsidR="00816F1F">
        <w:t>VA</w:t>
      </w:r>
      <w:r>
        <w:t xml:space="preserve"> recorded for the number of days between the meter-read dates rather than for a month.  This is expected to assist retailers with their billing where type 5 meters are used, as these are read during the month (or quarter) as opposed to the month-end associated with a type 4 meter.  The use of a ‘per day’ charge for the maximum demand between read dates was a suggestion received via retailer consultation.</w:t>
      </w:r>
    </w:p>
    <w:p w:rsidR="002866DB" w:rsidRPr="00927302" w:rsidRDefault="002866DB" w:rsidP="002229DE">
      <w:pPr>
        <w:keepNext/>
      </w:pPr>
    </w:p>
    <w:p w:rsidR="00442F9C" w:rsidRPr="00927302" w:rsidRDefault="00442F9C" w:rsidP="00442F9C">
      <w:pPr>
        <w:pStyle w:val="Caption"/>
        <w:keepNext/>
      </w:pPr>
      <w:r w:rsidRPr="00927302">
        <w:t xml:space="preserve">Table </w:t>
      </w:r>
      <w:r w:rsidR="00924A8F">
        <w:fldChar w:fldCharType="begin"/>
      </w:r>
      <w:r w:rsidR="00924A8F">
        <w:instrText xml:space="preserve"> SEQ Table \* ARABIC </w:instrText>
      </w:r>
      <w:r w:rsidR="00924A8F">
        <w:fldChar w:fldCharType="separate"/>
      </w:r>
      <w:r w:rsidR="00A81AFE">
        <w:rPr>
          <w:noProof/>
        </w:rPr>
        <w:t>12</w:t>
      </w:r>
      <w:r w:rsidR="00924A8F">
        <w:rPr>
          <w:noProof/>
        </w:rPr>
        <w:fldChar w:fldCharType="end"/>
      </w:r>
      <w:r w:rsidRPr="00927302">
        <w:t xml:space="preserve"> </w:t>
      </w:r>
      <w:r>
        <w:t>–</w:t>
      </w:r>
      <w:r w:rsidRPr="00927302">
        <w:t xml:space="preserve"> </w:t>
      </w:r>
      <w:r>
        <w:t xml:space="preserve">Low </w:t>
      </w:r>
      <w:r w:rsidRPr="00927302">
        <w:t xml:space="preserve">voltage </w:t>
      </w:r>
      <w:r w:rsidR="002866DB">
        <w:t>business transition actual</w:t>
      </w:r>
      <w:r>
        <w:t xml:space="preserve"> demand </w:t>
      </w:r>
      <w:r w:rsidRPr="00927302">
        <w:t>tariff 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0"/>
        <w:gridCol w:w="1215"/>
        <w:gridCol w:w="892"/>
        <w:gridCol w:w="1338"/>
        <w:gridCol w:w="1628"/>
        <w:gridCol w:w="1148"/>
        <w:gridCol w:w="1708"/>
      </w:tblGrid>
      <w:tr w:rsidR="00442F9C" w:rsidRPr="00927302" w:rsidTr="00816F1F">
        <w:tc>
          <w:tcPr>
            <w:tcW w:w="1250" w:type="dxa"/>
            <w:vMerge w:val="restart"/>
            <w:tcBorders>
              <w:bottom w:val="nil"/>
            </w:tcBorders>
            <w:shd w:val="solid" w:color="FAB585" w:themeColor="accent3" w:fill="auto"/>
          </w:tcPr>
          <w:p w:rsidR="00442F9C" w:rsidRPr="00927302" w:rsidRDefault="00442F9C" w:rsidP="00442F9C">
            <w:pPr>
              <w:keepNext/>
              <w:spacing w:before="40" w:after="40"/>
              <w:rPr>
                <w:b/>
              </w:rPr>
            </w:pPr>
            <w:r w:rsidRPr="00927302">
              <w:rPr>
                <w:b/>
              </w:rPr>
              <w:t xml:space="preserve">Charging </w:t>
            </w:r>
          </w:p>
          <w:p w:rsidR="00442F9C" w:rsidRPr="00927302" w:rsidRDefault="00442F9C" w:rsidP="00442F9C">
            <w:pPr>
              <w:keepNext/>
              <w:spacing w:before="40" w:after="40"/>
              <w:rPr>
                <w:b/>
              </w:rPr>
            </w:pPr>
            <w:r w:rsidRPr="00927302">
              <w:rPr>
                <w:b/>
              </w:rPr>
              <w:t>Parameter</w:t>
            </w:r>
          </w:p>
        </w:tc>
        <w:tc>
          <w:tcPr>
            <w:tcW w:w="1215" w:type="dxa"/>
            <w:tcBorders>
              <w:bottom w:val="nil"/>
            </w:tcBorders>
            <w:shd w:val="solid" w:color="FAB585" w:themeColor="accent3" w:fill="auto"/>
          </w:tcPr>
          <w:p w:rsidR="00442F9C" w:rsidRPr="00927302" w:rsidRDefault="00442F9C" w:rsidP="00442F9C">
            <w:pPr>
              <w:keepNext/>
              <w:spacing w:before="40" w:after="40"/>
              <w:rPr>
                <w:b/>
              </w:rPr>
            </w:pPr>
            <w:r w:rsidRPr="00927302">
              <w:rPr>
                <w:b/>
              </w:rPr>
              <w:t>Units</w:t>
            </w:r>
          </w:p>
        </w:tc>
        <w:tc>
          <w:tcPr>
            <w:tcW w:w="6714" w:type="dxa"/>
            <w:gridSpan w:val="5"/>
            <w:tcBorders>
              <w:bottom w:val="single" w:sz="4" w:space="0" w:color="000000"/>
            </w:tcBorders>
            <w:shd w:val="solid" w:color="FAB585" w:themeColor="accent3" w:fill="auto"/>
          </w:tcPr>
          <w:p w:rsidR="00442F9C" w:rsidRPr="00927302" w:rsidRDefault="00442F9C" w:rsidP="00442F9C">
            <w:pPr>
              <w:keepNext/>
              <w:spacing w:before="40" w:after="40"/>
              <w:jc w:val="center"/>
              <w:rPr>
                <w:b/>
              </w:rPr>
            </w:pPr>
            <w:r w:rsidRPr="00927302">
              <w:rPr>
                <w:b/>
              </w:rPr>
              <w:t>Element of service</w:t>
            </w:r>
          </w:p>
        </w:tc>
      </w:tr>
      <w:tr w:rsidR="00442F9C" w:rsidRPr="00927302" w:rsidTr="00816F1F">
        <w:tc>
          <w:tcPr>
            <w:tcW w:w="1250" w:type="dxa"/>
            <w:vMerge/>
            <w:tcBorders>
              <w:top w:val="nil"/>
              <w:bottom w:val="nil"/>
            </w:tcBorders>
            <w:shd w:val="solid" w:color="FAB585" w:themeColor="accent3" w:fill="auto"/>
          </w:tcPr>
          <w:p w:rsidR="00442F9C" w:rsidRPr="00927302" w:rsidRDefault="00442F9C" w:rsidP="00442F9C">
            <w:pPr>
              <w:keepNext/>
              <w:spacing w:before="40" w:after="40"/>
              <w:rPr>
                <w:b/>
              </w:rPr>
            </w:pPr>
          </w:p>
        </w:tc>
        <w:tc>
          <w:tcPr>
            <w:tcW w:w="1215" w:type="dxa"/>
            <w:tcBorders>
              <w:top w:val="nil"/>
              <w:bottom w:val="nil"/>
            </w:tcBorders>
            <w:shd w:val="solid" w:color="FAB585" w:themeColor="accent3" w:fill="auto"/>
          </w:tcPr>
          <w:p w:rsidR="00442F9C" w:rsidRPr="00927302" w:rsidRDefault="00442F9C" w:rsidP="00442F9C">
            <w:pPr>
              <w:keepNext/>
              <w:spacing w:before="40" w:after="40"/>
              <w:rPr>
                <w:b/>
              </w:rPr>
            </w:pPr>
          </w:p>
        </w:tc>
        <w:tc>
          <w:tcPr>
            <w:tcW w:w="892" w:type="dxa"/>
            <w:tcBorders>
              <w:top w:val="single" w:sz="4" w:space="0" w:color="000000"/>
              <w:bottom w:val="nil"/>
            </w:tcBorders>
            <w:shd w:val="solid" w:color="FAB585" w:themeColor="accent3" w:fill="auto"/>
          </w:tcPr>
          <w:p w:rsidR="00442F9C" w:rsidRPr="003022DF" w:rsidRDefault="00442F9C" w:rsidP="00442F9C">
            <w:pPr>
              <w:keepNext/>
              <w:spacing w:before="40"/>
              <w:jc w:val="center"/>
              <w:rPr>
                <w:b/>
                <w:sz w:val="20"/>
                <w:szCs w:val="20"/>
              </w:rPr>
            </w:pPr>
            <w:r w:rsidRPr="003022DF">
              <w:rPr>
                <w:b/>
                <w:sz w:val="20"/>
                <w:szCs w:val="20"/>
              </w:rPr>
              <w:t>Direct</w:t>
            </w:r>
            <w:r w:rsidRPr="003022DF">
              <w:rPr>
                <w:b/>
                <w:sz w:val="20"/>
                <w:szCs w:val="20"/>
              </w:rPr>
              <w:br/>
              <w:t>control</w:t>
            </w:r>
          </w:p>
        </w:tc>
        <w:tc>
          <w:tcPr>
            <w:tcW w:w="1338" w:type="dxa"/>
            <w:tcBorders>
              <w:top w:val="single" w:sz="4" w:space="0" w:color="000000"/>
              <w:bottom w:val="nil"/>
            </w:tcBorders>
            <w:shd w:val="solid" w:color="FAB585" w:themeColor="accent3" w:fill="auto"/>
          </w:tcPr>
          <w:p w:rsidR="00442F9C" w:rsidRPr="003022DF" w:rsidRDefault="00442F9C" w:rsidP="00442F9C">
            <w:pPr>
              <w:keepNext/>
              <w:spacing w:before="40"/>
              <w:jc w:val="center"/>
              <w:rPr>
                <w:b/>
                <w:sz w:val="20"/>
                <w:szCs w:val="20"/>
              </w:rPr>
            </w:pPr>
            <w:r w:rsidRPr="003022DF">
              <w:rPr>
                <w:b/>
                <w:sz w:val="20"/>
                <w:szCs w:val="20"/>
              </w:rPr>
              <w:t>Transmission</w:t>
            </w:r>
            <w:r w:rsidRPr="003022DF">
              <w:rPr>
                <w:b/>
                <w:sz w:val="20"/>
                <w:szCs w:val="20"/>
              </w:rPr>
              <w:br/>
              <w:t>recovery</w:t>
            </w:r>
          </w:p>
        </w:tc>
        <w:tc>
          <w:tcPr>
            <w:tcW w:w="1628" w:type="dxa"/>
            <w:vMerge w:val="restart"/>
            <w:tcBorders>
              <w:top w:val="single" w:sz="4" w:space="0" w:color="000000"/>
            </w:tcBorders>
            <w:shd w:val="solid" w:color="FAB585" w:themeColor="accent3" w:fill="auto"/>
          </w:tcPr>
          <w:p w:rsidR="00442F9C" w:rsidRPr="003022DF" w:rsidRDefault="00442F9C" w:rsidP="00442F9C">
            <w:pPr>
              <w:keepNext/>
              <w:spacing w:before="40"/>
              <w:jc w:val="center"/>
              <w:rPr>
                <w:b/>
                <w:sz w:val="20"/>
                <w:szCs w:val="20"/>
              </w:rPr>
            </w:pPr>
            <w:r w:rsidRPr="003022DF">
              <w:rPr>
                <w:b/>
                <w:sz w:val="20"/>
                <w:szCs w:val="20"/>
              </w:rPr>
              <w:t>Jurisdictional Scheme Amount Pass Through</w:t>
            </w:r>
          </w:p>
        </w:tc>
        <w:tc>
          <w:tcPr>
            <w:tcW w:w="1148" w:type="dxa"/>
            <w:tcBorders>
              <w:top w:val="single" w:sz="4" w:space="0" w:color="000000"/>
              <w:bottom w:val="nil"/>
            </w:tcBorders>
            <w:shd w:val="solid" w:color="FAB585" w:themeColor="accent3" w:fill="auto"/>
          </w:tcPr>
          <w:p w:rsidR="00442F9C" w:rsidRPr="003022DF" w:rsidRDefault="00442F9C" w:rsidP="00442F9C">
            <w:pPr>
              <w:keepNext/>
              <w:spacing w:before="40"/>
              <w:jc w:val="center"/>
              <w:rPr>
                <w:b/>
                <w:sz w:val="20"/>
                <w:szCs w:val="20"/>
              </w:rPr>
            </w:pPr>
            <w:r w:rsidRPr="003022DF">
              <w:rPr>
                <w:b/>
                <w:sz w:val="20"/>
                <w:szCs w:val="20"/>
              </w:rPr>
              <w:t>Alternative</w:t>
            </w:r>
            <w:r w:rsidRPr="003022DF">
              <w:rPr>
                <w:b/>
                <w:sz w:val="20"/>
                <w:szCs w:val="20"/>
              </w:rPr>
              <w:br/>
              <w:t>control</w:t>
            </w:r>
          </w:p>
        </w:tc>
        <w:tc>
          <w:tcPr>
            <w:tcW w:w="1708" w:type="dxa"/>
            <w:tcBorders>
              <w:top w:val="single" w:sz="4" w:space="0" w:color="000000"/>
              <w:bottom w:val="nil"/>
            </w:tcBorders>
            <w:shd w:val="solid" w:color="FAB585" w:themeColor="accent3" w:fill="auto"/>
          </w:tcPr>
          <w:p w:rsidR="00442F9C" w:rsidRPr="003022DF" w:rsidRDefault="00442F9C" w:rsidP="00442F9C">
            <w:pPr>
              <w:keepNext/>
              <w:spacing w:before="40"/>
              <w:rPr>
                <w:b/>
                <w:sz w:val="20"/>
                <w:szCs w:val="20"/>
              </w:rPr>
            </w:pPr>
            <w:r w:rsidRPr="003022DF">
              <w:rPr>
                <w:b/>
                <w:sz w:val="20"/>
                <w:szCs w:val="20"/>
              </w:rPr>
              <w:t>Description</w:t>
            </w:r>
          </w:p>
        </w:tc>
      </w:tr>
      <w:tr w:rsidR="00442F9C" w:rsidRPr="00927302" w:rsidTr="00816F1F">
        <w:tc>
          <w:tcPr>
            <w:tcW w:w="1250" w:type="dxa"/>
            <w:tcBorders>
              <w:top w:val="nil"/>
            </w:tcBorders>
            <w:shd w:val="solid" w:color="FAB585" w:themeColor="accent3" w:fill="auto"/>
          </w:tcPr>
          <w:p w:rsidR="00442F9C" w:rsidRPr="00927302" w:rsidRDefault="00442F9C" w:rsidP="00442F9C">
            <w:pPr>
              <w:keepNext/>
              <w:spacing w:before="40"/>
              <w:rPr>
                <w:b/>
              </w:rPr>
            </w:pPr>
          </w:p>
        </w:tc>
        <w:tc>
          <w:tcPr>
            <w:tcW w:w="1215" w:type="dxa"/>
            <w:tcBorders>
              <w:top w:val="nil"/>
            </w:tcBorders>
            <w:shd w:val="solid" w:color="FAB585" w:themeColor="accent3" w:fill="auto"/>
          </w:tcPr>
          <w:p w:rsidR="00442F9C" w:rsidRPr="00927302" w:rsidRDefault="00442F9C" w:rsidP="00442F9C">
            <w:pPr>
              <w:keepNext/>
              <w:spacing w:before="40"/>
              <w:rPr>
                <w:b/>
              </w:rPr>
            </w:pPr>
          </w:p>
        </w:tc>
        <w:tc>
          <w:tcPr>
            <w:tcW w:w="892" w:type="dxa"/>
            <w:tcBorders>
              <w:top w:val="nil"/>
              <w:bottom w:val="single" w:sz="4" w:space="0" w:color="000000"/>
            </w:tcBorders>
            <w:shd w:val="solid" w:color="FAB585" w:themeColor="accent3" w:fill="auto"/>
          </w:tcPr>
          <w:p w:rsidR="00442F9C" w:rsidRPr="003022DF" w:rsidRDefault="00442F9C" w:rsidP="00442F9C">
            <w:pPr>
              <w:keepNext/>
              <w:jc w:val="center"/>
              <w:rPr>
                <w:b/>
                <w:sz w:val="20"/>
                <w:szCs w:val="20"/>
              </w:rPr>
            </w:pPr>
            <w:r w:rsidRPr="003022DF">
              <w:rPr>
                <w:b/>
                <w:sz w:val="20"/>
                <w:szCs w:val="20"/>
              </w:rPr>
              <w:t>DUoS</w:t>
            </w:r>
          </w:p>
        </w:tc>
        <w:tc>
          <w:tcPr>
            <w:tcW w:w="1338" w:type="dxa"/>
            <w:tcBorders>
              <w:top w:val="nil"/>
              <w:bottom w:val="single" w:sz="4" w:space="0" w:color="000000"/>
            </w:tcBorders>
            <w:shd w:val="solid" w:color="FAB585" w:themeColor="accent3" w:fill="auto"/>
          </w:tcPr>
          <w:p w:rsidR="00442F9C" w:rsidRPr="003022DF" w:rsidRDefault="00442F9C" w:rsidP="00442F9C">
            <w:pPr>
              <w:keepNext/>
              <w:jc w:val="center"/>
              <w:rPr>
                <w:b/>
                <w:sz w:val="20"/>
                <w:szCs w:val="20"/>
              </w:rPr>
            </w:pPr>
            <w:r w:rsidRPr="003022DF">
              <w:rPr>
                <w:b/>
                <w:sz w:val="20"/>
                <w:szCs w:val="20"/>
              </w:rPr>
              <w:t>TUoS</w:t>
            </w:r>
          </w:p>
        </w:tc>
        <w:tc>
          <w:tcPr>
            <w:tcW w:w="1628" w:type="dxa"/>
            <w:vMerge/>
            <w:tcBorders>
              <w:bottom w:val="single" w:sz="4" w:space="0" w:color="000000"/>
            </w:tcBorders>
            <w:shd w:val="solid" w:color="FAB585" w:themeColor="accent3" w:fill="auto"/>
          </w:tcPr>
          <w:p w:rsidR="00442F9C" w:rsidRPr="003022DF" w:rsidRDefault="00442F9C" w:rsidP="00442F9C">
            <w:pPr>
              <w:keepNext/>
              <w:jc w:val="center"/>
              <w:rPr>
                <w:b/>
                <w:sz w:val="20"/>
                <w:szCs w:val="20"/>
              </w:rPr>
            </w:pPr>
          </w:p>
        </w:tc>
        <w:tc>
          <w:tcPr>
            <w:tcW w:w="1148" w:type="dxa"/>
            <w:tcBorders>
              <w:top w:val="nil"/>
            </w:tcBorders>
            <w:shd w:val="solid" w:color="FAB585" w:themeColor="accent3" w:fill="auto"/>
          </w:tcPr>
          <w:p w:rsidR="00442F9C" w:rsidRPr="003022DF" w:rsidRDefault="00442F9C" w:rsidP="00442F9C">
            <w:pPr>
              <w:keepNext/>
              <w:jc w:val="center"/>
              <w:rPr>
                <w:b/>
                <w:sz w:val="20"/>
                <w:szCs w:val="20"/>
              </w:rPr>
            </w:pPr>
            <w:r w:rsidRPr="003022DF">
              <w:rPr>
                <w:b/>
                <w:sz w:val="20"/>
                <w:szCs w:val="20"/>
              </w:rPr>
              <w:t>Metering</w:t>
            </w:r>
          </w:p>
        </w:tc>
        <w:tc>
          <w:tcPr>
            <w:tcW w:w="1708" w:type="dxa"/>
            <w:tcBorders>
              <w:top w:val="nil"/>
            </w:tcBorders>
            <w:shd w:val="solid" w:color="FAB585" w:themeColor="accent3" w:fill="auto"/>
          </w:tcPr>
          <w:p w:rsidR="00442F9C" w:rsidRPr="003022DF" w:rsidRDefault="00442F9C" w:rsidP="00442F9C">
            <w:pPr>
              <w:keepNext/>
              <w:spacing w:before="40"/>
              <w:rPr>
                <w:b/>
                <w:sz w:val="20"/>
                <w:szCs w:val="20"/>
              </w:rPr>
            </w:pPr>
          </w:p>
        </w:tc>
      </w:tr>
      <w:tr w:rsidR="00442F9C" w:rsidRPr="00927302" w:rsidTr="00816F1F">
        <w:tc>
          <w:tcPr>
            <w:tcW w:w="1250" w:type="dxa"/>
            <w:shd w:val="clear" w:color="auto" w:fill="auto"/>
          </w:tcPr>
          <w:p w:rsidR="00442F9C" w:rsidRPr="00927302" w:rsidRDefault="00442F9C" w:rsidP="00442F9C">
            <w:pPr>
              <w:keepNext/>
              <w:spacing w:before="40" w:after="40"/>
            </w:pPr>
            <w:r>
              <w:t>Supply rate</w:t>
            </w:r>
          </w:p>
        </w:tc>
        <w:tc>
          <w:tcPr>
            <w:tcW w:w="1215" w:type="dxa"/>
            <w:shd w:val="clear" w:color="auto" w:fill="auto"/>
          </w:tcPr>
          <w:p w:rsidR="00442F9C" w:rsidRPr="00927302" w:rsidRDefault="00442F9C" w:rsidP="00442F9C">
            <w:pPr>
              <w:keepNext/>
              <w:spacing w:before="40" w:after="40"/>
            </w:pPr>
            <w:r w:rsidRPr="00927302">
              <w:t>$/</w:t>
            </w:r>
            <w:r>
              <w:t>day</w:t>
            </w:r>
          </w:p>
        </w:tc>
        <w:tc>
          <w:tcPr>
            <w:tcW w:w="892" w:type="dxa"/>
            <w:shd w:val="clear" w:color="auto" w:fill="auto"/>
          </w:tcPr>
          <w:p w:rsidR="00442F9C" w:rsidRDefault="00442F9C" w:rsidP="00924A8F">
            <w:pPr>
              <w:spacing w:beforeLines="40" w:before="96" w:afterLines="40" w:after="96"/>
              <w:jc w:val="center"/>
              <w:rPr>
                <w:b/>
                <w:sz w:val="28"/>
                <w:szCs w:val="28"/>
              </w:rPr>
            </w:pPr>
            <w:r>
              <w:rPr>
                <w:b/>
                <w:sz w:val="28"/>
                <w:szCs w:val="28"/>
              </w:rPr>
              <w:t>-</w:t>
            </w:r>
          </w:p>
        </w:tc>
        <w:tc>
          <w:tcPr>
            <w:tcW w:w="1338" w:type="dxa"/>
            <w:shd w:val="clear" w:color="auto" w:fill="auto"/>
          </w:tcPr>
          <w:p w:rsidR="00442F9C" w:rsidRDefault="00442F9C" w:rsidP="00924A8F">
            <w:pPr>
              <w:spacing w:beforeLines="40" w:before="96" w:afterLines="40" w:after="96"/>
              <w:jc w:val="center"/>
              <w:rPr>
                <w:b/>
                <w:sz w:val="28"/>
                <w:szCs w:val="28"/>
              </w:rPr>
            </w:pPr>
            <w:r>
              <w:rPr>
                <w:b/>
                <w:sz w:val="28"/>
                <w:szCs w:val="28"/>
              </w:rPr>
              <w:t>-</w:t>
            </w:r>
          </w:p>
        </w:tc>
        <w:tc>
          <w:tcPr>
            <w:tcW w:w="1628" w:type="dxa"/>
            <w:shd w:val="clear" w:color="auto" w:fill="auto"/>
          </w:tcPr>
          <w:p w:rsidR="00442F9C" w:rsidRDefault="00442F9C" w:rsidP="00924A8F">
            <w:pPr>
              <w:keepNext/>
              <w:spacing w:beforeLines="40" w:before="96" w:afterLines="40" w:after="96"/>
              <w:jc w:val="center"/>
              <w:rPr>
                <w:b/>
                <w:sz w:val="28"/>
                <w:szCs w:val="28"/>
              </w:rPr>
            </w:pPr>
            <w:r>
              <w:rPr>
                <w:b/>
                <w:sz w:val="28"/>
                <w:szCs w:val="28"/>
              </w:rPr>
              <w:t>-</w:t>
            </w:r>
          </w:p>
        </w:tc>
        <w:tc>
          <w:tcPr>
            <w:tcW w:w="1148" w:type="dxa"/>
            <w:shd w:val="clear" w:color="auto" w:fill="auto"/>
          </w:tcPr>
          <w:p w:rsidR="00442F9C" w:rsidRDefault="00442F9C" w:rsidP="00924A8F">
            <w:pPr>
              <w:spacing w:beforeLines="40" w:before="96" w:afterLines="40" w:after="96"/>
              <w:jc w:val="center"/>
              <w:rPr>
                <w:b/>
                <w:sz w:val="28"/>
                <w:szCs w:val="28"/>
              </w:rPr>
            </w:pPr>
            <w:r>
              <w:rPr>
                <w:b/>
                <w:sz w:val="28"/>
                <w:szCs w:val="28"/>
              </w:rPr>
              <w:t>X</w:t>
            </w:r>
          </w:p>
          <w:p w:rsidR="00442F9C" w:rsidRPr="001414A1" w:rsidRDefault="00442F9C" w:rsidP="00924A8F">
            <w:pPr>
              <w:spacing w:beforeLines="40" w:before="96" w:afterLines="40" w:after="96"/>
              <w:jc w:val="center"/>
            </w:pPr>
            <w:r>
              <w:t>Type 4</w:t>
            </w:r>
            <w:r w:rsidRPr="001414A1">
              <w:t xml:space="preserve"> or 5 monthly meter req</w:t>
            </w:r>
            <w:r>
              <w:t>uire</w:t>
            </w:r>
            <w:r w:rsidRPr="001414A1">
              <w:t>d</w:t>
            </w:r>
          </w:p>
        </w:tc>
        <w:tc>
          <w:tcPr>
            <w:tcW w:w="1708" w:type="dxa"/>
            <w:shd w:val="clear" w:color="auto" w:fill="auto"/>
          </w:tcPr>
          <w:p w:rsidR="00442F9C" w:rsidRPr="00927302" w:rsidRDefault="00442F9C" w:rsidP="00442F9C">
            <w:pPr>
              <w:keepNext/>
              <w:spacing w:before="40" w:after="40"/>
            </w:pPr>
            <w:r>
              <w:t>Fixed daily charge</w:t>
            </w:r>
          </w:p>
        </w:tc>
      </w:tr>
      <w:tr w:rsidR="00442F9C" w:rsidRPr="00927302" w:rsidTr="00816F1F">
        <w:tc>
          <w:tcPr>
            <w:tcW w:w="1250" w:type="dxa"/>
            <w:shd w:val="clear" w:color="auto" w:fill="auto"/>
          </w:tcPr>
          <w:p w:rsidR="00442F9C" w:rsidRPr="00927302" w:rsidRDefault="00442F9C" w:rsidP="00442F9C">
            <w:pPr>
              <w:keepNext/>
              <w:spacing w:before="40" w:after="40"/>
            </w:pPr>
            <w:r>
              <w:t>Summer Demand</w:t>
            </w:r>
            <w:r w:rsidRPr="00927302">
              <w:t xml:space="preserve"> </w:t>
            </w:r>
            <w:r>
              <w:t xml:space="preserve">Peak </w:t>
            </w:r>
            <w:r w:rsidRPr="00927302">
              <w:t>Rate</w:t>
            </w:r>
          </w:p>
        </w:tc>
        <w:tc>
          <w:tcPr>
            <w:tcW w:w="1215" w:type="dxa"/>
            <w:shd w:val="clear" w:color="auto" w:fill="auto"/>
          </w:tcPr>
          <w:p w:rsidR="00442F9C" w:rsidRPr="00927302" w:rsidRDefault="00442F9C" w:rsidP="00442F9C">
            <w:pPr>
              <w:keepNext/>
              <w:spacing w:before="40" w:after="40"/>
            </w:pPr>
            <w:r w:rsidRPr="00927302">
              <w:t>$/k</w:t>
            </w:r>
            <w:r>
              <w:t>VA/mth</w:t>
            </w:r>
          </w:p>
        </w:tc>
        <w:tc>
          <w:tcPr>
            <w:tcW w:w="892" w:type="dxa"/>
            <w:shd w:val="clear" w:color="auto" w:fill="auto"/>
          </w:tcPr>
          <w:p w:rsidR="00442F9C" w:rsidRDefault="00442F9C" w:rsidP="00924A8F">
            <w:pPr>
              <w:spacing w:beforeLines="40" w:before="96" w:afterLines="40" w:after="96"/>
              <w:jc w:val="center"/>
              <w:rPr>
                <w:b/>
                <w:sz w:val="28"/>
                <w:szCs w:val="28"/>
              </w:rPr>
            </w:pPr>
            <w:r w:rsidRPr="002A75D3">
              <w:rPr>
                <w:b/>
                <w:sz w:val="28"/>
                <w:szCs w:val="28"/>
              </w:rPr>
              <w:t>X</w:t>
            </w:r>
          </w:p>
        </w:tc>
        <w:tc>
          <w:tcPr>
            <w:tcW w:w="1338" w:type="dxa"/>
            <w:shd w:val="clear" w:color="auto" w:fill="auto"/>
          </w:tcPr>
          <w:p w:rsidR="00442F9C" w:rsidRDefault="00442F9C" w:rsidP="00924A8F">
            <w:pPr>
              <w:spacing w:beforeLines="40" w:before="96" w:afterLines="40" w:after="96"/>
              <w:jc w:val="center"/>
              <w:rPr>
                <w:b/>
                <w:sz w:val="28"/>
                <w:szCs w:val="28"/>
              </w:rPr>
            </w:pPr>
            <w:r w:rsidRPr="002A75D3">
              <w:rPr>
                <w:b/>
                <w:sz w:val="28"/>
                <w:szCs w:val="28"/>
              </w:rPr>
              <w:t>X</w:t>
            </w:r>
          </w:p>
        </w:tc>
        <w:tc>
          <w:tcPr>
            <w:tcW w:w="1628" w:type="dxa"/>
            <w:shd w:val="clear" w:color="auto" w:fill="auto"/>
          </w:tcPr>
          <w:p w:rsidR="00442F9C" w:rsidRDefault="00442F9C"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442F9C" w:rsidRPr="00927302" w:rsidRDefault="00442F9C" w:rsidP="00442F9C">
            <w:pPr>
              <w:keepNext/>
              <w:spacing w:before="40" w:after="40"/>
            </w:pPr>
          </w:p>
        </w:tc>
        <w:tc>
          <w:tcPr>
            <w:tcW w:w="1708" w:type="dxa"/>
            <w:shd w:val="clear" w:color="auto" w:fill="auto"/>
          </w:tcPr>
          <w:p w:rsidR="00442F9C" w:rsidRPr="00927302" w:rsidRDefault="00442F9C" w:rsidP="00442F9C">
            <w:pPr>
              <w:keepNext/>
              <w:spacing w:before="40" w:after="40"/>
            </w:pPr>
            <w:r>
              <w:t>For Nov-March demand, 16:00-21:00 local time</w:t>
            </w:r>
          </w:p>
        </w:tc>
      </w:tr>
      <w:tr w:rsidR="00442F9C" w:rsidRPr="00927302" w:rsidTr="00816F1F">
        <w:tc>
          <w:tcPr>
            <w:tcW w:w="1250" w:type="dxa"/>
            <w:shd w:val="clear" w:color="auto" w:fill="auto"/>
          </w:tcPr>
          <w:p w:rsidR="00442F9C" w:rsidRPr="00927302" w:rsidRDefault="002229DE" w:rsidP="002229DE">
            <w:pPr>
              <w:keepNext/>
              <w:spacing w:before="40" w:after="40"/>
            </w:pPr>
            <w:r>
              <w:t xml:space="preserve">All </w:t>
            </w:r>
            <w:r w:rsidR="00442F9C">
              <w:t>Year-Demand Shoulder Rate</w:t>
            </w:r>
          </w:p>
        </w:tc>
        <w:tc>
          <w:tcPr>
            <w:tcW w:w="1215" w:type="dxa"/>
            <w:shd w:val="clear" w:color="auto" w:fill="auto"/>
          </w:tcPr>
          <w:p w:rsidR="00442F9C" w:rsidRPr="00927302" w:rsidRDefault="00442F9C" w:rsidP="00442F9C">
            <w:pPr>
              <w:keepNext/>
              <w:spacing w:before="40" w:after="40"/>
            </w:pPr>
            <w:r w:rsidRPr="00927302">
              <w:t>$/k</w:t>
            </w:r>
            <w:r>
              <w:t>VA/mt</w:t>
            </w:r>
            <w:r w:rsidRPr="00927302">
              <w:t>h</w:t>
            </w:r>
          </w:p>
        </w:tc>
        <w:tc>
          <w:tcPr>
            <w:tcW w:w="892" w:type="dxa"/>
            <w:tcBorders>
              <w:bottom w:val="single" w:sz="4" w:space="0" w:color="000000"/>
            </w:tcBorders>
            <w:shd w:val="clear" w:color="auto" w:fill="auto"/>
          </w:tcPr>
          <w:p w:rsidR="00442F9C" w:rsidRDefault="00442F9C" w:rsidP="00924A8F">
            <w:pPr>
              <w:spacing w:beforeLines="40" w:before="96" w:afterLines="40" w:after="96"/>
              <w:jc w:val="center"/>
              <w:rPr>
                <w:b/>
                <w:sz w:val="28"/>
                <w:szCs w:val="28"/>
              </w:rPr>
            </w:pPr>
            <w:r w:rsidRPr="002A75D3">
              <w:rPr>
                <w:b/>
                <w:sz w:val="28"/>
                <w:szCs w:val="28"/>
              </w:rPr>
              <w:t>X</w:t>
            </w:r>
          </w:p>
        </w:tc>
        <w:tc>
          <w:tcPr>
            <w:tcW w:w="1338" w:type="dxa"/>
            <w:tcBorders>
              <w:bottom w:val="single" w:sz="4" w:space="0" w:color="000000"/>
            </w:tcBorders>
            <w:shd w:val="clear" w:color="auto" w:fill="auto"/>
          </w:tcPr>
          <w:p w:rsidR="00442F9C" w:rsidRDefault="00442F9C" w:rsidP="00924A8F">
            <w:pPr>
              <w:spacing w:beforeLines="40" w:before="96" w:afterLines="40" w:after="96"/>
              <w:jc w:val="center"/>
              <w:rPr>
                <w:b/>
                <w:sz w:val="28"/>
                <w:szCs w:val="28"/>
              </w:rPr>
            </w:pPr>
            <w:r w:rsidRPr="002A75D3">
              <w:rPr>
                <w:b/>
                <w:sz w:val="28"/>
                <w:szCs w:val="28"/>
              </w:rPr>
              <w:t>X</w:t>
            </w:r>
          </w:p>
        </w:tc>
        <w:tc>
          <w:tcPr>
            <w:tcW w:w="1628" w:type="dxa"/>
            <w:tcBorders>
              <w:bottom w:val="single" w:sz="4" w:space="0" w:color="000000"/>
            </w:tcBorders>
            <w:shd w:val="clear" w:color="auto" w:fill="auto"/>
          </w:tcPr>
          <w:p w:rsidR="00442F9C" w:rsidRDefault="00442F9C" w:rsidP="00924A8F">
            <w:pPr>
              <w:keepNext/>
              <w:spacing w:beforeLines="40" w:before="96" w:afterLines="40" w:after="96"/>
              <w:jc w:val="center"/>
              <w:rPr>
                <w:b/>
                <w:sz w:val="28"/>
                <w:szCs w:val="28"/>
              </w:rPr>
            </w:pPr>
            <w:r w:rsidRPr="002A75D3">
              <w:rPr>
                <w:b/>
                <w:sz w:val="28"/>
                <w:szCs w:val="28"/>
              </w:rPr>
              <w:t>X</w:t>
            </w:r>
          </w:p>
        </w:tc>
        <w:tc>
          <w:tcPr>
            <w:tcW w:w="1148" w:type="dxa"/>
            <w:shd w:val="clear" w:color="auto" w:fill="auto"/>
          </w:tcPr>
          <w:p w:rsidR="00442F9C" w:rsidRPr="00927302" w:rsidRDefault="00442F9C" w:rsidP="00442F9C">
            <w:pPr>
              <w:keepNext/>
              <w:spacing w:before="40" w:after="40"/>
            </w:pPr>
          </w:p>
        </w:tc>
        <w:tc>
          <w:tcPr>
            <w:tcW w:w="1708" w:type="dxa"/>
            <w:shd w:val="clear" w:color="auto" w:fill="auto"/>
          </w:tcPr>
          <w:p w:rsidR="00442F9C" w:rsidRPr="00927302" w:rsidRDefault="00442F9C" w:rsidP="00442F9C">
            <w:pPr>
              <w:keepNext/>
              <w:spacing w:before="40" w:after="40"/>
            </w:pPr>
            <w:r>
              <w:t>For July-June demand, 12:00-16:00 local time</w:t>
            </w:r>
          </w:p>
        </w:tc>
      </w:tr>
      <w:tr w:rsidR="00442F9C" w:rsidRPr="00927302" w:rsidTr="00816F1F">
        <w:tc>
          <w:tcPr>
            <w:tcW w:w="1250" w:type="dxa"/>
            <w:shd w:val="clear" w:color="auto" w:fill="auto"/>
          </w:tcPr>
          <w:p w:rsidR="00442F9C" w:rsidRPr="00927302" w:rsidRDefault="00442F9C" w:rsidP="00442F9C">
            <w:pPr>
              <w:keepNext/>
              <w:spacing w:before="40" w:after="40"/>
            </w:pPr>
            <w:r>
              <w:t>Demand Off-peak</w:t>
            </w:r>
            <w:r w:rsidRPr="00927302">
              <w:t xml:space="preserve"> Rate</w:t>
            </w:r>
          </w:p>
        </w:tc>
        <w:tc>
          <w:tcPr>
            <w:tcW w:w="1215" w:type="dxa"/>
            <w:shd w:val="clear" w:color="auto" w:fill="auto"/>
          </w:tcPr>
          <w:p w:rsidR="00442F9C" w:rsidRPr="00927302" w:rsidRDefault="00442F9C" w:rsidP="00442F9C">
            <w:pPr>
              <w:keepNext/>
              <w:spacing w:before="40" w:after="40"/>
            </w:pPr>
            <w:r w:rsidRPr="00927302">
              <w:t>$/k</w:t>
            </w:r>
            <w:r>
              <w:t>VA/mt</w:t>
            </w:r>
            <w:r w:rsidRPr="00927302">
              <w:t>h</w:t>
            </w:r>
          </w:p>
        </w:tc>
        <w:tc>
          <w:tcPr>
            <w:tcW w:w="892" w:type="dxa"/>
            <w:shd w:val="clear" w:color="auto" w:fill="auto"/>
          </w:tcPr>
          <w:p w:rsidR="00442F9C" w:rsidRDefault="00442F9C" w:rsidP="00924A8F">
            <w:pPr>
              <w:spacing w:beforeLines="40" w:before="96" w:afterLines="40" w:after="96"/>
              <w:jc w:val="center"/>
              <w:rPr>
                <w:b/>
                <w:sz w:val="28"/>
                <w:szCs w:val="28"/>
              </w:rPr>
            </w:pPr>
            <w:r>
              <w:rPr>
                <w:b/>
                <w:sz w:val="28"/>
                <w:szCs w:val="28"/>
              </w:rPr>
              <w:t>-</w:t>
            </w:r>
          </w:p>
        </w:tc>
        <w:tc>
          <w:tcPr>
            <w:tcW w:w="1338" w:type="dxa"/>
            <w:shd w:val="clear" w:color="auto" w:fill="auto"/>
          </w:tcPr>
          <w:p w:rsidR="00442F9C" w:rsidRDefault="00442F9C" w:rsidP="00924A8F">
            <w:pPr>
              <w:spacing w:beforeLines="40" w:before="96" w:afterLines="40" w:after="96"/>
              <w:jc w:val="center"/>
              <w:rPr>
                <w:b/>
                <w:sz w:val="28"/>
                <w:szCs w:val="28"/>
              </w:rPr>
            </w:pPr>
            <w:r>
              <w:rPr>
                <w:b/>
                <w:sz w:val="28"/>
                <w:szCs w:val="28"/>
              </w:rPr>
              <w:t>-</w:t>
            </w:r>
          </w:p>
        </w:tc>
        <w:tc>
          <w:tcPr>
            <w:tcW w:w="1628" w:type="dxa"/>
            <w:shd w:val="clear" w:color="auto" w:fill="auto"/>
          </w:tcPr>
          <w:p w:rsidR="00442F9C" w:rsidRDefault="00442F9C" w:rsidP="00924A8F">
            <w:pPr>
              <w:keepNext/>
              <w:spacing w:beforeLines="40" w:before="96" w:afterLines="40" w:after="96"/>
              <w:jc w:val="center"/>
              <w:rPr>
                <w:b/>
                <w:sz w:val="28"/>
                <w:szCs w:val="28"/>
              </w:rPr>
            </w:pPr>
            <w:r>
              <w:rPr>
                <w:b/>
                <w:sz w:val="28"/>
                <w:szCs w:val="28"/>
              </w:rPr>
              <w:t>-</w:t>
            </w:r>
          </w:p>
        </w:tc>
        <w:tc>
          <w:tcPr>
            <w:tcW w:w="1148" w:type="dxa"/>
            <w:shd w:val="clear" w:color="auto" w:fill="auto"/>
          </w:tcPr>
          <w:p w:rsidR="00442F9C" w:rsidRPr="00927302" w:rsidRDefault="00442F9C" w:rsidP="00442F9C">
            <w:pPr>
              <w:keepNext/>
              <w:spacing w:before="40" w:after="40"/>
            </w:pPr>
          </w:p>
        </w:tc>
        <w:tc>
          <w:tcPr>
            <w:tcW w:w="1708" w:type="dxa"/>
            <w:shd w:val="clear" w:color="auto" w:fill="auto"/>
          </w:tcPr>
          <w:p w:rsidR="00442F9C" w:rsidRPr="00927302" w:rsidRDefault="00442F9C" w:rsidP="00442F9C">
            <w:pPr>
              <w:keepNext/>
              <w:spacing w:before="40" w:after="40"/>
            </w:pPr>
            <w:r>
              <w:t>For anytime demand each month.</w:t>
            </w:r>
          </w:p>
        </w:tc>
      </w:tr>
      <w:tr w:rsidR="002229DE" w:rsidRPr="00927302" w:rsidTr="002229DE">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t xml:space="preserve">Peak </w:t>
            </w:r>
            <w:r w:rsidRPr="00927302">
              <w:t>Usage Rate</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rsidRPr="00927302">
              <w:t>$/kWh</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2229DE" w:rsidRDefault="002229DE" w:rsidP="00924A8F">
            <w:pPr>
              <w:spacing w:beforeLines="40" w:before="96" w:afterLines="40" w:after="96"/>
              <w:jc w:val="center"/>
              <w:rPr>
                <w:b/>
                <w:sz w:val="28"/>
                <w:szCs w:val="28"/>
              </w:rPr>
            </w:pPr>
            <w:r w:rsidRPr="002A75D3">
              <w:rPr>
                <w:b/>
                <w:sz w:val="28"/>
                <w:szCs w:val="28"/>
              </w:rPr>
              <w:t>X</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rsidR="002229DE" w:rsidRDefault="002229DE" w:rsidP="00924A8F">
            <w:pPr>
              <w:spacing w:beforeLines="40" w:before="96" w:afterLines="40" w:after="96"/>
              <w:jc w:val="center"/>
              <w:rPr>
                <w:b/>
                <w:sz w:val="28"/>
                <w:szCs w:val="28"/>
              </w:rPr>
            </w:pPr>
            <w:r w:rsidRPr="002A75D3">
              <w:rPr>
                <w:b/>
                <w:sz w:val="28"/>
                <w:szCs w:val="28"/>
              </w:rPr>
              <w:t>X</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2229DE" w:rsidRDefault="002229DE" w:rsidP="00924A8F">
            <w:pPr>
              <w:keepNext/>
              <w:spacing w:beforeLines="40" w:before="96" w:afterLines="40" w:after="96"/>
              <w:jc w:val="center"/>
              <w:rPr>
                <w:b/>
                <w:sz w:val="28"/>
                <w:szCs w:val="28"/>
              </w:rPr>
            </w:pPr>
            <w:r w:rsidRPr="002A75D3">
              <w:rPr>
                <w:b/>
                <w:sz w:val="28"/>
                <w:szCs w:val="28"/>
              </w:rPr>
              <w:t>X</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rsidRPr="00927302">
              <w:t xml:space="preserve">For </w:t>
            </w:r>
            <w:r>
              <w:t xml:space="preserve">all peak period </w:t>
            </w:r>
            <w:r w:rsidRPr="00927302">
              <w:t xml:space="preserve">consumption </w:t>
            </w:r>
          </w:p>
        </w:tc>
      </w:tr>
      <w:tr w:rsidR="002229DE" w:rsidRPr="00927302" w:rsidTr="002229DE">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2229DE" w:rsidRDefault="002229DE" w:rsidP="002229DE">
            <w:pPr>
              <w:keepNext/>
              <w:spacing w:before="40" w:after="40"/>
            </w:pPr>
            <w:r>
              <w:t>Off-Peak Usage Rate</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t>$/kWh</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rsidR="002229DE" w:rsidRPr="002A75D3" w:rsidRDefault="002229DE" w:rsidP="00924A8F">
            <w:pPr>
              <w:spacing w:beforeLines="40" w:before="96" w:afterLines="40" w:after="96"/>
              <w:jc w:val="center"/>
              <w:rPr>
                <w:b/>
                <w:sz w:val="28"/>
                <w:szCs w:val="28"/>
              </w:rPr>
            </w:pPr>
            <w:r>
              <w:rPr>
                <w:b/>
                <w:sz w:val="28"/>
                <w:szCs w:val="28"/>
              </w:rPr>
              <w:t>X</w:t>
            </w:r>
          </w:p>
        </w:tc>
        <w:tc>
          <w:tcPr>
            <w:tcW w:w="1338" w:type="dxa"/>
            <w:tcBorders>
              <w:top w:val="single" w:sz="4" w:space="0" w:color="000000"/>
              <w:left w:val="single" w:sz="4" w:space="0" w:color="000000"/>
              <w:bottom w:val="single" w:sz="4" w:space="0" w:color="000000"/>
              <w:right w:val="single" w:sz="4" w:space="0" w:color="000000"/>
            </w:tcBorders>
            <w:shd w:val="clear" w:color="auto" w:fill="auto"/>
          </w:tcPr>
          <w:p w:rsidR="002229DE" w:rsidRPr="002A75D3" w:rsidRDefault="002229DE" w:rsidP="00924A8F">
            <w:pPr>
              <w:spacing w:beforeLines="40" w:before="96" w:afterLines="40" w:after="96"/>
              <w:jc w:val="center"/>
              <w:rPr>
                <w:b/>
                <w:sz w:val="28"/>
                <w:szCs w:val="28"/>
              </w:rPr>
            </w:pPr>
            <w:r>
              <w:rPr>
                <w:b/>
                <w:sz w:val="28"/>
                <w:szCs w:val="28"/>
              </w:rPr>
              <w:t>X</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2229DE" w:rsidRPr="002A75D3" w:rsidRDefault="002229DE" w:rsidP="00924A8F">
            <w:pPr>
              <w:keepNext/>
              <w:spacing w:beforeLines="40" w:before="96" w:afterLines="40" w:after="96"/>
              <w:jc w:val="center"/>
              <w:rPr>
                <w:b/>
                <w:sz w:val="28"/>
                <w:szCs w:val="28"/>
              </w:rPr>
            </w:pPr>
            <w:r>
              <w:rPr>
                <w:b/>
                <w:sz w:val="28"/>
                <w:szCs w:val="28"/>
              </w:rPr>
              <w:t>X</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2229DE" w:rsidRPr="00927302" w:rsidRDefault="002229DE" w:rsidP="002229DE">
            <w:pPr>
              <w:keepNext/>
              <w:spacing w:before="40" w:after="40"/>
            </w:pPr>
            <w:r w:rsidRPr="00927302">
              <w:t>For all off-peak period consumption</w:t>
            </w:r>
          </w:p>
        </w:tc>
      </w:tr>
    </w:tbl>
    <w:p w:rsidR="002229DE" w:rsidRDefault="002229DE" w:rsidP="00442F9C"/>
    <w:p w:rsidR="00442F9C" w:rsidRDefault="00442F9C" w:rsidP="00442F9C">
      <w:r>
        <w:t>Metering charges are discussed in detail separately in this Pricing Proposal.</w:t>
      </w:r>
    </w:p>
    <w:p w:rsidR="00442F9C" w:rsidRPr="00927302" w:rsidRDefault="00442F9C" w:rsidP="00BF18A9"/>
    <w:p w:rsidR="0044594F" w:rsidRPr="00927302" w:rsidRDefault="0044594F" w:rsidP="009A26B4">
      <w:pPr>
        <w:pStyle w:val="Heading3"/>
      </w:pPr>
      <w:r w:rsidRPr="00927302">
        <w:t>Unmetered supply tariffs</w:t>
      </w:r>
    </w:p>
    <w:p w:rsidR="0044594F" w:rsidRPr="00927302" w:rsidRDefault="0044594F" w:rsidP="00651846">
      <w:pPr>
        <w:spacing w:line="240" w:lineRule="auto"/>
      </w:pPr>
      <w:r w:rsidRPr="00927302">
        <w:t>Unmetered supply tariffs are applicable to supply points that are not metered.  Energy consumption is calculated using the appropriate algorithm in the applicable Metrology Procedure.  Unmetered tariffs comprise of an energy rate that is applied to the calculated electricity consumption.</w:t>
      </w:r>
    </w:p>
    <w:p w:rsidR="00651846" w:rsidRDefault="00651846" w:rsidP="00651846">
      <w:pPr>
        <w:keepNext/>
        <w:spacing w:line="240" w:lineRule="auto"/>
      </w:pPr>
    </w:p>
    <w:p w:rsidR="0044594F" w:rsidRPr="00927302" w:rsidRDefault="0044594F" w:rsidP="0044594F">
      <w:pPr>
        <w:keepNext/>
        <w:spacing w:after="120"/>
      </w:pPr>
      <w:r w:rsidRPr="00927302">
        <w:t>There are t</w:t>
      </w:r>
      <w:r>
        <w:t>wo</w:t>
      </w:r>
      <w:r w:rsidRPr="00927302">
        <w:t xml:space="preserve"> unmetered supply tariffs that are assigned by </w:t>
      </w:r>
      <w:r w:rsidR="00EA36E3">
        <w:t>SA Power Networks</w:t>
      </w:r>
      <w:r w:rsidRPr="00927302">
        <w:t>, depending upon the customer’s consumption profile:</w:t>
      </w:r>
    </w:p>
    <w:p w:rsidR="0044594F" w:rsidRPr="00927302" w:rsidRDefault="0044594F" w:rsidP="0044594F">
      <w:pPr>
        <w:pStyle w:val="ListParagraph"/>
        <w:numPr>
          <w:ilvl w:val="0"/>
          <w:numId w:val="24"/>
        </w:numPr>
        <w:tabs>
          <w:tab w:val="left" w:pos="709"/>
        </w:tabs>
        <w:spacing w:after="120" w:line="240" w:lineRule="auto"/>
        <w:ind w:hanging="436"/>
        <w:contextualSpacing w:val="0"/>
      </w:pPr>
      <w:r w:rsidRPr="00927302">
        <w:t>Unmetered Overnight Usage supply is for overnight use for public lighting.</w:t>
      </w:r>
    </w:p>
    <w:p w:rsidR="0044594F" w:rsidRPr="00927302" w:rsidRDefault="0044594F" w:rsidP="0044594F">
      <w:pPr>
        <w:pStyle w:val="ListParagraph"/>
        <w:numPr>
          <w:ilvl w:val="0"/>
          <w:numId w:val="24"/>
        </w:numPr>
        <w:tabs>
          <w:tab w:val="left" w:pos="709"/>
        </w:tabs>
        <w:spacing w:after="240" w:line="240" w:lineRule="auto"/>
        <w:ind w:left="721" w:hanging="437"/>
        <w:contextualSpacing w:val="0"/>
      </w:pPr>
      <w:r w:rsidRPr="00927302">
        <w:t xml:space="preserve">Unmetered 24 </w:t>
      </w:r>
      <w:r w:rsidR="007B0095">
        <w:t>h</w:t>
      </w:r>
      <w:r w:rsidRPr="00927302">
        <w:t xml:space="preserve">our </w:t>
      </w:r>
      <w:r w:rsidR="007B0095">
        <w:t>u</w:t>
      </w:r>
      <w:r w:rsidRPr="00927302">
        <w:t xml:space="preserve">sage supply is for constant 24 hour per day use, typically public phones, traffic lights and telecommunications installations. </w:t>
      </w:r>
    </w:p>
    <w:p w:rsidR="0044594F" w:rsidRDefault="0044594F" w:rsidP="0044594F">
      <w:pPr>
        <w:keepNext/>
      </w:pPr>
      <w:r w:rsidRPr="00927302">
        <w:t>The low voltage unmetered usage tariffs inc</w:t>
      </w:r>
      <w:r>
        <w:t>orporate the charging parameter</w:t>
      </w:r>
      <w:r w:rsidR="002866DB">
        <w:t>s</w:t>
      </w:r>
      <w:r w:rsidRPr="00927302">
        <w:t xml:space="preserve"> set out in </w:t>
      </w:r>
      <w:r w:rsidR="00575C9A">
        <w:fldChar w:fldCharType="begin"/>
      </w:r>
      <w:r>
        <w:instrText xml:space="preserve"> REF _Ref133815593 \h </w:instrText>
      </w:r>
      <w:r w:rsidR="00575C9A">
        <w:fldChar w:fldCharType="separate"/>
      </w:r>
      <w:r w:rsidR="00A81AFE" w:rsidRPr="00927302">
        <w:t xml:space="preserve">Table </w:t>
      </w:r>
      <w:r w:rsidR="00A81AFE">
        <w:rPr>
          <w:noProof/>
        </w:rPr>
        <w:t>13</w:t>
      </w:r>
      <w:r w:rsidR="00575C9A">
        <w:fldChar w:fldCharType="end"/>
      </w:r>
      <w:r w:rsidRPr="00927302">
        <w:t>.</w:t>
      </w:r>
    </w:p>
    <w:p w:rsidR="00651846" w:rsidRPr="00927302" w:rsidRDefault="00651846" w:rsidP="0044594F">
      <w:pPr>
        <w:keepNext/>
      </w:pPr>
    </w:p>
    <w:p w:rsidR="0044594F" w:rsidRPr="00927302" w:rsidRDefault="0044594F" w:rsidP="0044594F">
      <w:pPr>
        <w:pStyle w:val="Caption"/>
        <w:keepNext/>
      </w:pPr>
      <w:bookmarkStart w:id="55" w:name="_Ref133815593"/>
      <w:r w:rsidRPr="00927302">
        <w:t xml:space="preserve">Table </w:t>
      </w:r>
      <w:r w:rsidR="00924A8F">
        <w:fldChar w:fldCharType="begin"/>
      </w:r>
      <w:r w:rsidR="00924A8F">
        <w:instrText xml:space="preserve"> SEQ Table \* ARABIC </w:instrText>
      </w:r>
      <w:r w:rsidR="00924A8F">
        <w:fldChar w:fldCharType="separate"/>
      </w:r>
      <w:r w:rsidR="00A81AFE">
        <w:rPr>
          <w:noProof/>
        </w:rPr>
        <w:t>13</w:t>
      </w:r>
      <w:r w:rsidR="00924A8F">
        <w:rPr>
          <w:noProof/>
        </w:rPr>
        <w:fldChar w:fldCharType="end"/>
      </w:r>
      <w:bookmarkEnd w:id="55"/>
      <w:r w:rsidRPr="00927302">
        <w:t xml:space="preserve"> - Unmetered overnight and 24 hour usage tariff charging parameters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5"/>
        <w:gridCol w:w="836"/>
        <w:gridCol w:w="974"/>
        <w:gridCol w:w="1452"/>
        <w:gridCol w:w="1646"/>
        <w:gridCol w:w="1148"/>
        <w:gridCol w:w="1808"/>
      </w:tblGrid>
      <w:tr w:rsidR="0044594F" w:rsidRPr="00927302" w:rsidTr="003022DF">
        <w:tc>
          <w:tcPr>
            <w:tcW w:w="1315"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36"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7028"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315"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36"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974"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Direct</w:t>
            </w:r>
            <w:r w:rsidRPr="003022DF">
              <w:rPr>
                <w:b/>
                <w:sz w:val="20"/>
                <w:szCs w:val="20"/>
              </w:rPr>
              <w:br/>
              <w:t>control</w:t>
            </w:r>
          </w:p>
        </w:tc>
        <w:tc>
          <w:tcPr>
            <w:tcW w:w="1452"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Transmission</w:t>
            </w:r>
            <w:r w:rsidRPr="003022DF">
              <w:rPr>
                <w:b/>
                <w:sz w:val="20"/>
                <w:szCs w:val="20"/>
              </w:rPr>
              <w:br/>
              <w:t>recovery</w:t>
            </w:r>
          </w:p>
        </w:tc>
        <w:tc>
          <w:tcPr>
            <w:tcW w:w="1646" w:type="dxa"/>
            <w:vMerge w:val="restart"/>
            <w:tcBorders>
              <w:top w:val="single" w:sz="4" w:space="0" w:color="000000"/>
            </w:tcBorders>
            <w:shd w:val="solid" w:color="FAB585" w:themeColor="accent3" w:fill="auto"/>
          </w:tcPr>
          <w:p w:rsidR="0044594F" w:rsidRPr="003022DF" w:rsidRDefault="003022DF" w:rsidP="006D16CC">
            <w:pPr>
              <w:keepNext/>
              <w:spacing w:before="40"/>
              <w:jc w:val="center"/>
              <w:rPr>
                <w:b/>
                <w:sz w:val="20"/>
                <w:szCs w:val="20"/>
              </w:rPr>
            </w:pPr>
            <w:r w:rsidRPr="003022DF">
              <w:rPr>
                <w:b/>
                <w:sz w:val="20"/>
                <w:szCs w:val="20"/>
              </w:rPr>
              <w:t>Jurisdictional Scheme Amount Pass Through</w:t>
            </w:r>
          </w:p>
        </w:tc>
        <w:tc>
          <w:tcPr>
            <w:tcW w:w="1148"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z w:val="20"/>
                <w:szCs w:val="20"/>
              </w:rPr>
            </w:pPr>
            <w:r w:rsidRPr="003022DF">
              <w:rPr>
                <w:b/>
                <w:sz w:val="20"/>
                <w:szCs w:val="20"/>
              </w:rPr>
              <w:t>Alternative</w:t>
            </w:r>
            <w:r w:rsidRPr="003022DF">
              <w:rPr>
                <w:b/>
                <w:sz w:val="20"/>
                <w:szCs w:val="20"/>
              </w:rPr>
              <w:br/>
              <w:t>control</w:t>
            </w:r>
          </w:p>
        </w:tc>
        <w:tc>
          <w:tcPr>
            <w:tcW w:w="1808" w:type="dxa"/>
            <w:tcBorders>
              <w:top w:val="single" w:sz="4" w:space="0" w:color="000000"/>
              <w:bottom w:val="nil"/>
            </w:tcBorders>
            <w:shd w:val="solid" w:color="FAB585" w:themeColor="accent3" w:fill="auto"/>
          </w:tcPr>
          <w:p w:rsidR="0044594F" w:rsidRPr="003022DF" w:rsidRDefault="0044594F" w:rsidP="00393E4F">
            <w:pPr>
              <w:keepNext/>
              <w:spacing w:before="40" w:after="40"/>
              <w:rPr>
                <w:b/>
                <w:sz w:val="20"/>
                <w:szCs w:val="20"/>
              </w:rPr>
            </w:pPr>
            <w:r w:rsidRPr="003022DF">
              <w:rPr>
                <w:b/>
                <w:sz w:val="20"/>
                <w:szCs w:val="20"/>
              </w:rPr>
              <w:t>Description</w:t>
            </w:r>
          </w:p>
        </w:tc>
      </w:tr>
      <w:tr w:rsidR="0044594F" w:rsidRPr="00927302" w:rsidTr="003022DF">
        <w:tc>
          <w:tcPr>
            <w:tcW w:w="1315" w:type="dxa"/>
            <w:tcBorders>
              <w:top w:val="nil"/>
            </w:tcBorders>
            <w:shd w:val="solid" w:color="FAB585" w:themeColor="accent3" w:fill="auto"/>
          </w:tcPr>
          <w:p w:rsidR="0044594F" w:rsidRPr="00927302" w:rsidRDefault="0044594F" w:rsidP="00393E4F">
            <w:pPr>
              <w:keepNext/>
              <w:spacing w:after="40"/>
              <w:rPr>
                <w:b/>
              </w:rPr>
            </w:pPr>
          </w:p>
        </w:tc>
        <w:tc>
          <w:tcPr>
            <w:tcW w:w="836" w:type="dxa"/>
            <w:tcBorders>
              <w:top w:val="nil"/>
            </w:tcBorders>
            <w:shd w:val="solid" w:color="FAB585" w:themeColor="accent3" w:fill="auto"/>
          </w:tcPr>
          <w:p w:rsidR="0044594F" w:rsidRPr="00927302" w:rsidRDefault="0044594F" w:rsidP="00393E4F">
            <w:pPr>
              <w:keepNext/>
              <w:spacing w:after="40"/>
              <w:rPr>
                <w:b/>
              </w:rPr>
            </w:pPr>
          </w:p>
        </w:tc>
        <w:tc>
          <w:tcPr>
            <w:tcW w:w="974"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DUoS</w:t>
            </w:r>
          </w:p>
        </w:tc>
        <w:tc>
          <w:tcPr>
            <w:tcW w:w="1452"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TUoS</w:t>
            </w:r>
          </w:p>
        </w:tc>
        <w:tc>
          <w:tcPr>
            <w:tcW w:w="1646" w:type="dxa"/>
            <w:vMerge/>
            <w:shd w:val="solid" w:color="FAB585" w:themeColor="accent3" w:fill="auto"/>
          </w:tcPr>
          <w:p w:rsidR="0044594F" w:rsidRPr="003022DF" w:rsidRDefault="0044594F" w:rsidP="00393E4F">
            <w:pPr>
              <w:keepNext/>
              <w:spacing w:after="40"/>
              <w:jc w:val="center"/>
              <w:rPr>
                <w:b/>
                <w:sz w:val="20"/>
                <w:szCs w:val="20"/>
              </w:rPr>
            </w:pPr>
          </w:p>
        </w:tc>
        <w:tc>
          <w:tcPr>
            <w:tcW w:w="1148" w:type="dxa"/>
            <w:tcBorders>
              <w:top w:val="nil"/>
            </w:tcBorders>
            <w:shd w:val="solid" w:color="FAB585" w:themeColor="accent3" w:fill="auto"/>
          </w:tcPr>
          <w:p w:rsidR="0044594F" w:rsidRPr="003022DF" w:rsidRDefault="0044594F" w:rsidP="00393E4F">
            <w:pPr>
              <w:keepNext/>
              <w:spacing w:after="40"/>
              <w:jc w:val="center"/>
              <w:rPr>
                <w:b/>
                <w:sz w:val="20"/>
                <w:szCs w:val="20"/>
              </w:rPr>
            </w:pPr>
            <w:r w:rsidRPr="003022DF">
              <w:rPr>
                <w:b/>
                <w:sz w:val="20"/>
                <w:szCs w:val="20"/>
              </w:rPr>
              <w:t>Metering</w:t>
            </w:r>
          </w:p>
        </w:tc>
        <w:tc>
          <w:tcPr>
            <w:tcW w:w="1808" w:type="dxa"/>
            <w:tcBorders>
              <w:top w:val="nil"/>
            </w:tcBorders>
            <w:shd w:val="solid" w:color="FAB585" w:themeColor="accent3" w:fill="auto"/>
          </w:tcPr>
          <w:p w:rsidR="0044594F" w:rsidRPr="003022DF" w:rsidRDefault="0044594F" w:rsidP="00393E4F">
            <w:pPr>
              <w:keepNext/>
              <w:spacing w:after="40"/>
              <w:rPr>
                <w:b/>
                <w:sz w:val="20"/>
                <w:szCs w:val="20"/>
              </w:rPr>
            </w:pPr>
          </w:p>
        </w:tc>
      </w:tr>
      <w:tr w:rsidR="0044594F" w:rsidRPr="00927302" w:rsidTr="006D16CC">
        <w:tc>
          <w:tcPr>
            <w:tcW w:w="1315" w:type="dxa"/>
            <w:shd w:val="clear" w:color="auto" w:fill="auto"/>
          </w:tcPr>
          <w:p w:rsidR="0044594F" w:rsidRPr="00927302" w:rsidRDefault="0044594F" w:rsidP="00393E4F">
            <w:pPr>
              <w:keepNext/>
              <w:spacing w:before="40" w:after="40"/>
            </w:pPr>
            <w:r w:rsidRPr="00927302">
              <w:t>Anytime Usage Rate</w:t>
            </w:r>
          </w:p>
        </w:tc>
        <w:tc>
          <w:tcPr>
            <w:tcW w:w="836" w:type="dxa"/>
            <w:shd w:val="clear" w:color="auto" w:fill="auto"/>
          </w:tcPr>
          <w:p w:rsidR="0044594F" w:rsidRPr="00927302" w:rsidRDefault="0044594F" w:rsidP="00393E4F">
            <w:pPr>
              <w:keepNext/>
              <w:spacing w:before="40" w:after="40"/>
            </w:pPr>
            <w:r w:rsidRPr="00927302">
              <w:t>$/kWh</w:t>
            </w:r>
          </w:p>
        </w:tc>
        <w:tc>
          <w:tcPr>
            <w:tcW w:w="974" w:type="dxa"/>
            <w:shd w:val="clear" w:color="auto" w:fill="auto"/>
          </w:tcPr>
          <w:p w:rsidR="0044594F" w:rsidRPr="00927302" w:rsidRDefault="0044594F" w:rsidP="00393E4F">
            <w:pPr>
              <w:jc w:val="center"/>
            </w:pPr>
            <w:r>
              <w:rPr>
                <w:b/>
                <w:sz w:val="28"/>
              </w:rPr>
              <w:t>X</w:t>
            </w:r>
          </w:p>
        </w:tc>
        <w:tc>
          <w:tcPr>
            <w:tcW w:w="1452" w:type="dxa"/>
            <w:shd w:val="clear" w:color="auto" w:fill="auto"/>
          </w:tcPr>
          <w:p w:rsidR="0044594F" w:rsidRPr="00927302" w:rsidRDefault="0044594F" w:rsidP="00393E4F">
            <w:pPr>
              <w:jc w:val="center"/>
            </w:pPr>
            <w:r>
              <w:rPr>
                <w:b/>
                <w:sz w:val="28"/>
              </w:rPr>
              <w:t>X</w:t>
            </w:r>
          </w:p>
        </w:tc>
        <w:tc>
          <w:tcPr>
            <w:tcW w:w="1646" w:type="dxa"/>
            <w:shd w:val="clear" w:color="auto" w:fill="auto"/>
          </w:tcPr>
          <w:p w:rsidR="0044594F" w:rsidRPr="00927302" w:rsidRDefault="0044594F" w:rsidP="00393E4F">
            <w:pPr>
              <w:keepNext/>
              <w:spacing w:before="40" w:after="40"/>
              <w:jc w:val="center"/>
              <w:rPr>
                <w:b/>
                <w:sz w:val="28"/>
              </w:rPr>
            </w:pPr>
            <w:r>
              <w:rPr>
                <w:b/>
                <w:sz w:val="28"/>
              </w:rPr>
              <w:t>X</w:t>
            </w:r>
          </w:p>
        </w:tc>
        <w:tc>
          <w:tcPr>
            <w:tcW w:w="1148" w:type="dxa"/>
            <w:shd w:val="clear" w:color="auto" w:fill="auto"/>
          </w:tcPr>
          <w:p w:rsidR="0044594F" w:rsidRPr="00927302" w:rsidRDefault="0044594F" w:rsidP="00393E4F">
            <w:pPr>
              <w:keepNext/>
              <w:spacing w:before="40" w:after="40"/>
              <w:jc w:val="center"/>
            </w:pPr>
            <w:r w:rsidRPr="00927302">
              <w:rPr>
                <w:b/>
                <w:sz w:val="28"/>
              </w:rPr>
              <w:t>-</w:t>
            </w:r>
          </w:p>
        </w:tc>
        <w:tc>
          <w:tcPr>
            <w:tcW w:w="1808" w:type="dxa"/>
            <w:shd w:val="clear" w:color="auto" w:fill="auto"/>
          </w:tcPr>
          <w:p w:rsidR="0044594F" w:rsidRPr="00927302" w:rsidRDefault="0044594F" w:rsidP="00393E4F">
            <w:pPr>
              <w:keepNext/>
              <w:spacing w:before="40" w:after="40"/>
            </w:pPr>
            <w:r w:rsidRPr="00927302">
              <w:t>For estimated energy consumption</w:t>
            </w:r>
          </w:p>
        </w:tc>
      </w:tr>
    </w:tbl>
    <w:p w:rsidR="0044594F" w:rsidRPr="00927302" w:rsidRDefault="0044594F" w:rsidP="0044594F"/>
    <w:p w:rsidR="0044594F" w:rsidRDefault="0044594F" w:rsidP="0044594F">
      <w:r w:rsidRPr="00927302">
        <w:t>Unmetered supply tariffs are generally invoiced monthly.</w:t>
      </w:r>
    </w:p>
    <w:p w:rsidR="00651846" w:rsidRPr="00927302" w:rsidRDefault="00651846" w:rsidP="0044594F"/>
    <w:p w:rsidR="0044594F" w:rsidRPr="00927302" w:rsidRDefault="00C9650E" w:rsidP="0044594F">
      <w:pPr>
        <w:pStyle w:val="Heading2"/>
        <w:keepLines w:val="0"/>
        <w:numPr>
          <w:ilvl w:val="1"/>
          <w:numId w:val="16"/>
        </w:numPr>
        <w:tabs>
          <w:tab w:val="left" w:pos="851"/>
        </w:tabs>
        <w:spacing w:after="240" w:line="240" w:lineRule="auto"/>
      </w:pPr>
      <w:bookmarkStart w:id="56" w:name="_Toc420009830"/>
      <w:r>
        <w:t>High Voltage Business tariff c</w:t>
      </w:r>
      <w:r w:rsidR="0044594F" w:rsidRPr="00927302">
        <w:t>lass</w:t>
      </w:r>
      <w:bookmarkEnd w:id="56"/>
    </w:p>
    <w:p w:rsidR="0044594F" w:rsidRDefault="0044594F" w:rsidP="0044594F">
      <w:r w:rsidRPr="00927302">
        <w:t xml:space="preserve">There is also a broad range of customer sizes and types connected to </w:t>
      </w:r>
      <w:r w:rsidR="00EA36E3">
        <w:t>SA Power Networks</w:t>
      </w:r>
      <w:r w:rsidR="00AA70F5">
        <w:t>’</w:t>
      </w:r>
      <w:r w:rsidRPr="00927302">
        <w:t xml:space="preserve"> system at high voltage.  They are predominantly manufacturing and commercial installations.</w:t>
      </w:r>
    </w:p>
    <w:p w:rsidR="00651846" w:rsidRPr="00927302" w:rsidRDefault="00651846" w:rsidP="0044594F"/>
    <w:p w:rsidR="0044594F" w:rsidRPr="00927302" w:rsidRDefault="0044594F" w:rsidP="009A26B4">
      <w:pPr>
        <w:pStyle w:val="Heading3"/>
      </w:pPr>
      <w:r w:rsidRPr="00927302">
        <w:t>High voltage business 2-rate tariff</w:t>
      </w:r>
      <w:r w:rsidR="006D16CC">
        <w:t xml:space="preserve"> (closed </w:t>
      </w:r>
      <w:r w:rsidR="002866DB">
        <w:t>from July 2015)</w:t>
      </w:r>
    </w:p>
    <w:p w:rsidR="0044594F" w:rsidRDefault="0044594F" w:rsidP="0044594F">
      <w:r w:rsidRPr="00927302">
        <w:t xml:space="preserve">This business 2-rate tariff for customers connected at high voltage </w:t>
      </w:r>
      <w:r w:rsidR="006D16CC">
        <w:t>wa</w:t>
      </w:r>
      <w:r w:rsidRPr="00927302">
        <w:t xml:space="preserve">s similar in all respects, including the charging parameters, to the low voltage equivalent described in </w:t>
      </w:r>
      <w:r w:rsidR="000B7F94">
        <w:t>Section</w:t>
      </w:r>
      <w:r w:rsidRPr="00927302">
        <w:t xml:space="preserve"> </w:t>
      </w:r>
      <w:r w:rsidR="00575C9A">
        <w:fldChar w:fldCharType="begin"/>
      </w:r>
      <w:r>
        <w:instrText xml:space="preserve"> REF _Ref131915039 \r \h </w:instrText>
      </w:r>
      <w:r w:rsidR="00575C9A">
        <w:fldChar w:fldCharType="separate"/>
      </w:r>
      <w:r w:rsidR="00A81AFE">
        <w:t>4.4.2</w:t>
      </w:r>
      <w:r w:rsidR="00575C9A">
        <w:fldChar w:fldCharType="end"/>
      </w:r>
      <w:r w:rsidRPr="00927302">
        <w:t>.</w:t>
      </w:r>
    </w:p>
    <w:p w:rsidR="006D16CC" w:rsidRDefault="006D16CC" w:rsidP="0044594F"/>
    <w:p w:rsidR="006D16CC" w:rsidRDefault="006D16CC" w:rsidP="0044594F">
      <w:r>
        <w:t xml:space="preserve">It has been closed from July 2015 with all </w:t>
      </w:r>
      <w:r w:rsidR="002866DB">
        <w:t>five</w:t>
      </w:r>
      <w:r>
        <w:t xml:space="preserve"> previous users reassigned to an </w:t>
      </w:r>
      <w:r w:rsidR="00097DAC">
        <w:t>appropriate cost</w:t>
      </w:r>
      <w:r>
        <w:t xml:space="preserve">-reflective tariff.  </w:t>
      </w:r>
    </w:p>
    <w:p w:rsidR="00651846" w:rsidRPr="00927302" w:rsidRDefault="00651846" w:rsidP="0044594F"/>
    <w:p w:rsidR="0044594F" w:rsidRPr="00927302" w:rsidRDefault="0044594F" w:rsidP="009A26B4">
      <w:pPr>
        <w:pStyle w:val="Heading3"/>
      </w:pPr>
      <w:r w:rsidRPr="00927302">
        <w:t xml:space="preserve">High Voltage kVA </w:t>
      </w:r>
      <w:r w:rsidR="006D16CC">
        <w:t xml:space="preserve">agreed </w:t>
      </w:r>
      <w:r w:rsidRPr="00927302">
        <w:t>demand tariff</w:t>
      </w:r>
    </w:p>
    <w:p w:rsidR="0044594F" w:rsidRDefault="0044594F" w:rsidP="0044594F">
      <w:r w:rsidRPr="00927302">
        <w:t xml:space="preserve">The kVA </w:t>
      </w:r>
      <w:r w:rsidR="002866DB">
        <w:t xml:space="preserve">agreed </w:t>
      </w:r>
      <w:r w:rsidRPr="00927302">
        <w:t xml:space="preserve">demand tariff for business customers connected at high voltage is similar in structure to the low voltage equivalent described in </w:t>
      </w:r>
      <w:r w:rsidR="000B7F94">
        <w:t>Section</w:t>
      </w:r>
      <w:r w:rsidRPr="00927302">
        <w:t xml:space="preserve"> </w:t>
      </w:r>
      <w:r w:rsidR="00575C9A">
        <w:fldChar w:fldCharType="begin"/>
      </w:r>
      <w:r>
        <w:instrText xml:space="preserve"> REF _Ref131915186 \r \h </w:instrText>
      </w:r>
      <w:r w:rsidR="00575C9A">
        <w:fldChar w:fldCharType="separate"/>
      </w:r>
      <w:r w:rsidR="00A81AFE">
        <w:t>4.4.3</w:t>
      </w:r>
      <w:r w:rsidR="00575C9A">
        <w:fldChar w:fldCharType="end"/>
      </w:r>
      <w:r w:rsidRPr="00927302">
        <w:t>.</w:t>
      </w:r>
    </w:p>
    <w:p w:rsidR="00651846" w:rsidRPr="00927302" w:rsidRDefault="00651846" w:rsidP="0044594F"/>
    <w:p w:rsidR="00097DAC" w:rsidRDefault="0044594F" w:rsidP="0044594F">
      <w:r w:rsidRPr="00927302">
        <w:t xml:space="preserve">Two variants of this tariff are available with different charging parameters, depending upon whether the customer’s maximum demand is in excess of </w:t>
      </w:r>
      <w:r w:rsidR="00D40237">
        <w:t>about 4</w:t>
      </w:r>
      <w:r w:rsidRPr="00927302">
        <w:t xml:space="preserve">00 kVA.  </w:t>
      </w:r>
      <w:r w:rsidR="00D40237">
        <w:t xml:space="preserve">Lower </w:t>
      </w:r>
      <w:r w:rsidRPr="00927302">
        <w:t xml:space="preserve">demands of </w:t>
      </w:r>
      <w:r w:rsidR="00D40237">
        <w:t>up to 40</w:t>
      </w:r>
      <w:r w:rsidRPr="00927302">
        <w:t xml:space="preserve">0 kVA </w:t>
      </w:r>
      <w:r w:rsidR="00097DAC">
        <w:t>can use the equivalent of the Business LV agreed demand tariff whilst larger HV customers are more suited to this HV variation.  HV customers can also elect to use the actual demand tariff discussed above for LV businesses.</w:t>
      </w:r>
      <w:r w:rsidR="0093085E">
        <w:t xml:space="preserve">  The boundaries between tariffs are informal, with the customer able to elect either near this cross-over point.</w:t>
      </w:r>
    </w:p>
    <w:p w:rsidR="00097DAC" w:rsidRDefault="00097DAC" w:rsidP="0044594F"/>
    <w:p w:rsidR="00097DAC" w:rsidRDefault="00097DAC" w:rsidP="0044594F">
      <w:r>
        <w:t>The HV agreed demand tariff previously contained three blocks of demand, plus peak and off-peak usage.  The tariff has been simplified to a single block of peak demand, a single usage price for energy and a significant supply charge has been added.  The tariff minimum of 1,000 kVA has been removed from July 2015.</w:t>
      </w:r>
    </w:p>
    <w:p w:rsidR="00097DAC" w:rsidRDefault="00097DAC" w:rsidP="0044594F"/>
    <w:p w:rsidR="00097DAC" w:rsidRDefault="00097DAC" w:rsidP="0044594F">
      <w:r>
        <w:t>Demand is measured on workdays between 12 noon and 9pm local time from November through March, as this is the time when co-incident demand affects the network during extreme weather.</w:t>
      </w:r>
    </w:p>
    <w:p w:rsidR="00097DAC" w:rsidRDefault="00097DAC" w:rsidP="0044594F"/>
    <w:p w:rsidR="0044594F" w:rsidRPr="00927302" w:rsidRDefault="0044594F" w:rsidP="0044594F">
      <w:r w:rsidRPr="00927302">
        <w:t xml:space="preserve"> The charging parameters of these tariffs are set out in </w:t>
      </w:r>
      <w:r w:rsidR="00575C9A">
        <w:fldChar w:fldCharType="begin"/>
      </w:r>
      <w:r>
        <w:instrText xml:space="preserve"> REF _Ref133816655 \h </w:instrText>
      </w:r>
      <w:r w:rsidR="00575C9A">
        <w:fldChar w:fldCharType="separate"/>
      </w:r>
      <w:r w:rsidR="00A81AFE" w:rsidRPr="00927302">
        <w:t xml:space="preserve">Table </w:t>
      </w:r>
      <w:r w:rsidR="00A81AFE">
        <w:rPr>
          <w:noProof/>
        </w:rPr>
        <w:t>14</w:t>
      </w:r>
      <w:r w:rsidR="00575C9A">
        <w:fldChar w:fldCharType="end"/>
      </w:r>
      <w:r>
        <w:t xml:space="preserve"> and </w:t>
      </w:r>
      <w:r w:rsidR="00575C9A">
        <w:fldChar w:fldCharType="begin"/>
      </w:r>
      <w:r>
        <w:instrText xml:space="preserve"> REF _Ref133816664 \h </w:instrText>
      </w:r>
      <w:r w:rsidR="00575C9A">
        <w:fldChar w:fldCharType="separate"/>
      </w:r>
      <w:r w:rsidR="00A81AFE" w:rsidRPr="00927302">
        <w:t xml:space="preserve">Table </w:t>
      </w:r>
      <w:r w:rsidR="00A81AFE">
        <w:rPr>
          <w:noProof/>
        </w:rPr>
        <w:t>15</w:t>
      </w:r>
      <w:r w:rsidR="00575C9A">
        <w:fldChar w:fldCharType="end"/>
      </w:r>
      <w:r w:rsidRPr="00927302">
        <w:t>.</w:t>
      </w:r>
    </w:p>
    <w:p w:rsidR="0044594F" w:rsidRPr="00927302" w:rsidRDefault="0044594F" w:rsidP="0044594F">
      <w:pPr>
        <w:pStyle w:val="Caption"/>
        <w:keepNext/>
      </w:pPr>
      <w:bookmarkStart w:id="57" w:name="_Ref133816655"/>
      <w:r w:rsidRPr="00927302">
        <w:t xml:space="preserve">Table </w:t>
      </w:r>
      <w:r w:rsidR="00924A8F">
        <w:fldChar w:fldCharType="begin"/>
      </w:r>
      <w:r w:rsidR="00924A8F">
        <w:instrText xml:space="preserve"> SEQ Table \* ARABIC </w:instrText>
      </w:r>
      <w:r w:rsidR="00924A8F">
        <w:fldChar w:fldCharType="separate"/>
      </w:r>
      <w:r w:rsidR="00A81AFE">
        <w:rPr>
          <w:noProof/>
        </w:rPr>
        <w:t>14</w:t>
      </w:r>
      <w:r w:rsidR="00924A8F">
        <w:rPr>
          <w:noProof/>
        </w:rPr>
        <w:fldChar w:fldCharType="end"/>
      </w:r>
      <w:bookmarkEnd w:id="57"/>
      <w:r w:rsidRPr="00927302">
        <w:t xml:space="preserve"> - High voltage kVA </w:t>
      </w:r>
      <w:r w:rsidR="002866DB">
        <w:t xml:space="preserve">agreed </w:t>
      </w:r>
      <w:r w:rsidRPr="00927302">
        <w:t>demand tariff charging parameters &lt;</w:t>
      </w:r>
      <w:r w:rsidR="00097DAC">
        <w:t>4</w:t>
      </w:r>
      <w:r w:rsidRPr="00927302">
        <w:t>00 kVA</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2"/>
        <w:gridCol w:w="848"/>
        <w:gridCol w:w="851"/>
        <w:gridCol w:w="1417"/>
        <w:gridCol w:w="1559"/>
        <w:gridCol w:w="1276"/>
        <w:gridCol w:w="1701"/>
      </w:tblGrid>
      <w:tr w:rsidR="0044594F" w:rsidRPr="00927302" w:rsidTr="00651846">
        <w:tc>
          <w:tcPr>
            <w:tcW w:w="1562"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48"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680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562"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48"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851" w:type="dxa"/>
            <w:tcBorders>
              <w:top w:val="single" w:sz="4" w:space="0" w:color="000000"/>
              <w:bottom w:val="nil"/>
            </w:tcBorders>
            <w:shd w:val="solid" w:color="FAB585" w:themeColor="accent3" w:fill="auto"/>
          </w:tcPr>
          <w:p w:rsidR="0044594F" w:rsidRPr="00AE09A4" w:rsidRDefault="0044594F" w:rsidP="00393E4F">
            <w:pPr>
              <w:keepNext/>
              <w:spacing w:before="40"/>
              <w:jc w:val="center"/>
              <w:rPr>
                <w:b/>
                <w:spacing w:val="-4"/>
              </w:rPr>
            </w:pPr>
            <w:r w:rsidRPr="00AE09A4">
              <w:rPr>
                <w:b/>
                <w:spacing w:val="-4"/>
              </w:rPr>
              <w:t>Direct</w:t>
            </w:r>
            <w:r w:rsidRPr="00AE09A4">
              <w:rPr>
                <w:b/>
                <w:spacing w:val="-4"/>
              </w:rPr>
              <w:br/>
              <w:t>control</w:t>
            </w:r>
          </w:p>
        </w:tc>
        <w:tc>
          <w:tcPr>
            <w:tcW w:w="1417" w:type="dxa"/>
            <w:tcBorders>
              <w:top w:val="single" w:sz="4" w:space="0" w:color="000000"/>
              <w:bottom w:val="nil"/>
            </w:tcBorders>
            <w:shd w:val="solid" w:color="FAB585" w:themeColor="accent3" w:fill="auto"/>
          </w:tcPr>
          <w:p w:rsidR="0044594F" w:rsidRPr="00AE09A4" w:rsidRDefault="0044594F" w:rsidP="00393E4F">
            <w:pPr>
              <w:keepNext/>
              <w:spacing w:before="40"/>
              <w:jc w:val="center"/>
              <w:rPr>
                <w:b/>
                <w:spacing w:val="-4"/>
              </w:rPr>
            </w:pPr>
            <w:r w:rsidRPr="00AE09A4">
              <w:rPr>
                <w:b/>
                <w:spacing w:val="-4"/>
              </w:rPr>
              <w:t>Transmission</w:t>
            </w:r>
            <w:r w:rsidRPr="00AE09A4">
              <w:rPr>
                <w:b/>
                <w:spacing w:val="-4"/>
              </w:rPr>
              <w:br/>
              <w:t>recovery</w:t>
            </w:r>
          </w:p>
        </w:tc>
        <w:tc>
          <w:tcPr>
            <w:tcW w:w="1559" w:type="dxa"/>
            <w:vMerge w:val="restart"/>
            <w:tcBorders>
              <w:top w:val="single" w:sz="4" w:space="0" w:color="000000"/>
            </w:tcBorders>
            <w:shd w:val="solid" w:color="FAB585" w:themeColor="accent3" w:fill="auto"/>
          </w:tcPr>
          <w:p w:rsidR="0044594F" w:rsidRPr="00AE09A4" w:rsidRDefault="003022DF" w:rsidP="00097DAC">
            <w:pPr>
              <w:keepNext/>
              <w:spacing w:before="40"/>
              <w:jc w:val="center"/>
              <w:rPr>
                <w:b/>
                <w:spacing w:val="-4"/>
              </w:rPr>
            </w:pPr>
            <w:r w:rsidRPr="003022DF">
              <w:rPr>
                <w:b/>
                <w:sz w:val="20"/>
                <w:szCs w:val="20"/>
              </w:rPr>
              <w:t>Jurisdictional Scheme Pass Through</w:t>
            </w:r>
          </w:p>
        </w:tc>
        <w:tc>
          <w:tcPr>
            <w:tcW w:w="1276" w:type="dxa"/>
            <w:tcBorders>
              <w:top w:val="single" w:sz="4" w:space="0" w:color="000000"/>
              <w:bottom w:val="nil"/>
            </w:tcBorders>
            <w:shd w:val="solid" w:color="FAB585" w:themeColor="accent3" w:fill="auto"/>
          </w:tcPr>
          <w:p w:rsidR="0044594F" w:rsidRPr="00AE09A4" w:rsidRDefault="0044594F" w:rsidP="00393E4F">
            <w:pPr>
              <w:keepNext/>
              <w:spacing w:before="40"/>
              <w:jc w:val="center"/>
              <w:rPr>
                <w:b/>
                <w:spacing w:val="-4"/>
              </w:rPr>
            </w:pPr>
            <w:r w:rsidRPr="00AE09A4">
              <w:rPr>
                <w:b/>
                <w:spacing w:val="-4"/>
              </w:rPr>
              <w:t>Alternative</w:t>
            </w:r>
            <w:r w:rsidRPr="00AE09A4">
              <w:rPr>
                <w:b/>
                <w:spacing w:val="-4"/>
              </w:rPr>
              <w:br/>
              <w:t>control</w:t>
            </w:r>
          </w:p>
        </w:tc>
        <w:tc>
          <w:tcPr>
            <w:tcW w:w="1701" w:type="dxa"/>
            <w:tcBorders>
              <w:top w:val="single" w:sz="4" w:space="0" w:color="000000"/>
              <w:bottom w:val="nil"/>
            </w:tcBorders>
            <w:shd w:val="solid" w:color="FAB585" w:themeColor="accent3" w:fill="auto"/>
          </w:tcPr>
          <w:p w:rsidR="0044594F" w:rsidRPr="00AE09A4" w:rsidRDefault="0044594F" w:rsidP="00393E4F">
            <w:pPr>
              <w:keepNext/>
              <w:spacing w:before="40" w:after="40"/>
              <w:rPr>
                <w:b/>
                <w:spacing w:val="-4"/>
              </w:rPr>
            </w:pPr>
            <w:r w:rsidRPr="00AE09A4">
              <w:rPr>
                <w:b/>
                <w:spacing w:val="-4"/>
              </w:rPr>
              <w:t>Description</w:t>
            </w:r>
          </w:p>
        </w:tc>
      </w:tr>
      <w:tr w:rsidR="0044594F" w:rsidRPr="00927302" w:rsidTr="003022DF">
        <w:tc>
          <w:tcPr>
            <w:tcW w:w="1562" w:type="dxa"/>
            <w:tcBorders>
              <w:top w:val="nil"/>
            </w:tcBorders>
            <w:shd w:val="solid" w:color="FAB585" w:themeColor="accent3" w:fill="auto"/>
          </w:tcPr>
          <w:p w:rsidR="0044594F" w:rsidRPr="00927302" w:rsidRDefault="0044594F" w:rsidP="00393E4F">
            <w:pPr>
              <w:keepNext/>
              <w:spacing w:after="40"/>
              <w:rPr>
                <w:b/>
              </w:rPr>
            </w:pPr>
          </w:p>
        </w:tc>
        <w:tc>
          <w:tcPr>
            <w:tcW w:w="848" w:type="dxa"/>
            <w:tcBorders>
              <w:top w:val="nil"/>
            </w:tcBorders>
            <w:shd w:val="solid" w:color="FAB585" w:themeColor="accent3" w:fill="auto"/>
          </w:tcPr>
          <w:p w:rsidR="0044594F" w:rsidRPr="00927302" w:rsidRDefault="0044594F" w:rsidP="00393E4F">
            <w:pPr>
              <w:keepNext/>
              <w:spacing w:after="40"/>
              <w:rPr>
                <w:b/>
              </w:rPr>
            </w:pPr>
          </w:p>
        </w:tc>
        <w:tc>
          <w:tcPr>
            <w:tcW w:w="851"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DUoS</w:t>
            </w:r>
          </w:p>
        </w:tc>
        <w:tc>
          <w:tcPr>
            <w:tcW w:w="1417"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TUoS</w:t>
            </w:r>
          </w:p>
        </w:tc>
        <w:tc>
          <w:tcPr>
            <w:tcW w:w="1559" w:type="dxa"/>
            <w:vMerge/>
            <w:tcBorders>
              <w:bottom w:val="single" w:sz="4" w:space="0" w:color="000000"/>
            </w:tcBorders>
            <w:shd w:val="solid" w:color="FAB585" w:themeColor="accent3" w:fill="auto"/>
          </w:tcPr>
          <w:p w:rsidR="0044594F" w:rsidRPr="003022DF" w:rsidRDefault="0044594F" w:rsidP="00393E4F">
            <w:pPr>
              <w:keepNext/>
              <w:spacing w:after="40"/>
              <w:jc w:val="center"/>
              <w:rPr>
                <w:b/>
                <w:spacing w:val="-4"/>
                <w:sz w:val="20"/>
                <w:szCs w:val="20"/>
              </w:rPr>
            </w:pPr>
          </w:p>
        </w:tc>
        <w:tc>
          <w:tcPr>
            <w:tcW w:w="1276"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Metering</w:t>
            </w:r>
          </w:p>
        </w:tc>
        <w:tc>
          <w:tcPr>
            <w:tcW w:w="1701" w:type="dxa"/>
            <w:tcBorders>
              <w:top w:val="nil"/>
            </w:tcBorders>
            <w:shd w:val="solid" w:color="FAB585" w:themeColor="accent3" w:fill="auto"/>
          </w:tcPr>
          <w:p w:rsidR="0044594F" w:rsidRPr="00AE09A4" w:rsidRDefault="0044594F" w:rsidP="00393E4F">
            <w:pPr>
              <w:keepNext/>
              <w:spacing w:after="40"/>
              <w:rPr>
                <w:b/>
                <w:spacing w:val="-4"/>
              </w:rPr>
            </w:pPr>
          </w:p>
        </w:tc>
      </w:tr>
      <w:tr w:rsidR="0044594F" w:rsidRPr="00927302" w:rsidTr="00097DAC">
        <w:tc>
          <w:tcPr>
            <w:tcW w:w="1562" w:type="dxa"/>
            <w:shd w:val="clear" w:color="auto" w:fill="auto"/>
          </w:tcPr>
          <w:p w:rsidR="0044594F" w:rsidRPr="00927302" w:rsidRDefault="0044594F" w:rsidP="00393E4F">
            <w:pPr>
              <w:keepNext/>
              <w:spacing w:before="40" w:after="40"/>
            </w:pPr>
            <w:r w:rsidRPr="00927302">
              <w:t>Supply Rate</w:t>
            </w:r>
          </w:p>
        </w:tc>
        <w:tc>
          <w:tcPr>
            <w:tcW w:w="848" w:type="dxa"/>
            <w:shd w:val="clear" w:color="auto" w:fill="auto"/>
          </w:tcPr>
          <w:p w:rsidR="0044594F" w:rsidRPr="00927302" w:rsidRDefault="0044594F" w:rsidP="00393E4F">
            <w:pPr>
              <w:keepNext/>
              <w:spacing w:before="40" w:after="40"/>
            </w:pPr>
            <w:r w:rsidRPr="00927302">
              <w:t>$/day</w:t>
            </w:r>
          </w:p>
        </w:tc>
        <w:tc>
          <w:tcPr>
            <w:tcW w:w="851" w:type="dxa"/>
            <w:shd w:val="clear" w:color="auto" w:fill="auto"/>
          </w:tcPr>
          <w:p w:rsidR="0044594F" w:rsidRPr="00927302" w:rsidRDefault="0044594F" w:rsidP="00393E4F">
            <w:pPr>
              <w:keepNext/>
              <w:jc w:val="center"/>
            </w:pPr>
            <w:r>
              <w:rPr>
                <w:b/>
                <w:sz w:val="28"/>
              </w:rPr>
              <w:t>X</w:t>
            </w:r>
          </w:p>
        </w:tc>
        <w:tc>
          <w:tcPr>
            <w:tcW w:w="1417" w:type="dxa"/>
            <w:shd w:val="clear" w:color="auto" w:fill="auto"/>
          </w:tcPr>
          <w:p w:rsidR="0044594F" w:rsidRPr="00927302" w:rsidRDefault="0044594F" w:rsidP="00393E4F">
            <w:pPr>
              <w:keepNext/>
              <w:jc w:val="center"/>
            </w:pPr>
            <w:r w:rsidRPr="00927302">
              <w:rPr>
                <w:b/>
                <w:sz w:val="28"/>
              </w:rPr>
              <w:t>-</w:t>
            </w:r>
          </w:p>
        </w:tc>
        <w:tc>
          <w:tcPr>
            <w:tcW w:w="1559" w:type="dxa"/>
            <w:shd w:val="clear" w:color="auto" w:fill="auto"/>
          </w:tcPr>
          <w:p w:rsidR="0044594F" w:rsidRPr="00AE09A4" w:rsidRDefault="00097DAC" w:rsidP="00393E4F">
            <w:pPr>
              <w:keepNext/>
              <w:jc w:val="center"/>
              <w:rPr>
                <w:b/>
                <w:sz w:val="28"/>
                <w:szCs w:val="28"/>
              </w:rPr>
            </w:pPr>
            <w:r>
              <w:rPr>
                <w:b/>
                <w:sz w:val="28"/>
                <w:szCs w:val="28"/>
              </w:rPr>
              <w:t>XC</w:t>
            </w:r>
          </w:p>
        </w:tc>
        <w:tc>
          <w:tcPr>
            <w:tcW w:w="1276" w:type="dxa"/>
            <w:shd w:val="clear" w:color="auto" w:fill="auto"/>
          </w:tcPr>
          <w:p w:rsidR="0044594F" w:rsidRPr="00927302" w:rsidRDefault="0044594F" w:rsidP="00393E4F">
            <w:pPr>
              <w:keepNext/>
              <w:jc w:val="center"/>
            </w:pPr>
            <w:r w:rsidRPr="00927302">
              <w:t>If applicable</w:t>
            </w:r>
          </w:p>
        </w:tc>
        <w:tc>
          <w:tcPr>
            <w:tcW w:w="1701" w:type="dxa"/>
            <w:shd w:val="clear" w:color="auto" w:fill="auto"/>
          </w:tcPr>
          <w:p w:rsidR="0044594F" w:rsidRPr="00927302" w:rsidRDefault="0044594F" w:rsidP="00393E4F">
            <w:pPr>
              <w:keepNext/>
              <w:spacing w:before="40" w:after="40"/>
            </w:pPr>
            <w:r w:rsidRPr="00927302">
              <w:t>Fixed daily charge</w:t>
            </w:r>
          </w:p>
        </w:tc>
      </w:tr>
      <w:tr w:rsidR="0044594F" w:rsidRPr="00927302" w:rsidTr="00097DAC">
        <w:tc>
          <w:tcPr>
            <w:tcW w:w="1562" w:type="dxa"/>
            <w:shd w:val="clear" w:color="auto" w:fill="auto"/>
          </w:tcPr>
          <w:p w:rsidR="0044594F" w:rsidRPr="00927302" w:rsidRDefault="00097DAC" w:rsidP="00097DAC">
            <w:pPr>
              <w:keepNext/>
              <w:spacing w:before="40" w:after="40"/>
            </w:pPr>
            <w:r>
              <w:t>Agreed Peak</w:t>
            </w:r>
            <w:r w:rsidR="0044594F" w:rsidRPr="00927302">
              <w:t xml:space="preserve"> Demand Rate</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417" w:type="dxa"/>
            <w:shd w:val="clear" w:color="auto" w:fill="auto"/>
          </w:tcPr>
          <w:p w:rsidR="0044594F" w:rsidRPr="00927302" w:rsidRDefault="0044594F" w:rsidP="00393E4F">
            <w:pPr>
              <w:jc w:val="center"/>
            </w:pPr>
            <w:r>
              <w:rPr>
                <w:b/>
                <w:sz w:val="28"/>
              </w:rPr>
              <w:t>X</w:t>
            </w:r>
          </w:p>
        </w:tc>
        <w:tc>
          <w:tcPr>
            <w:tcW w:w="1559"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276" w:type="dxa"/>
            <w:shd w:val="clear" w:color="auto" w:fill="auto"/>
          </w:tcPr>
          <w:p w:rsidR="0044594F" w:rsidRPr="00927302" w:rsidRDefault="0044594F" w:rsidP="00393E4F">
            <w:pPr>
              <w:keepNext/>
              <w:jc w:val="center"/>
            </w:pPr>
            <w:r w:rsidRPr="00927302">
              <w:rPr>
                <w:b/>
                <w:sz w:val="28"/>
              </w:rPr>
              <w:t>-</w:t>
            </w:r>
          </w:p>
        </w:tc>
        <w:tc>
          <w:tcPr>
            <w:tcW w:w="1701" w:type="dxa"/>
            <w:shd w:val="clear" w:color="auto" w:fill="auto"/>
          </w:tcPr>
          <w:p w:rsidR="0044594F" w:rsidRPr="00927302" w:rsidRDefault="0044594F" w:rsidP="00097DAC">
            <w:pPr>
              <w:keepNext/>
              <w:spacing w:before="40" w:after="40"/>
            </w:pPr>
            <w:r w:rsidRPr="00927302">
              <w:t xml:space="preserve">For </w:t>
            </w:r>
            <w:r w:rsidR="00097DAC">
              <w:t xml:space="preserve">all </w:t>
            </w:r>
            <w:r w:rsidRPr="00927302">
              <w:t xml:space="preserve">peak demand </w:t>
            </w:r>
          </w:p>
        </w:tc>
      </w:tr>
      <w:tr w:rsidR="0044594F" w:rsidRPr="00927302" w:rsidTr="00097DAC">
        <w:tc>
          <w:tcPr>
            <w:tcW w:w="1562" w:type="dxa"/>
            <w:shd w:val="clear" w:color="auto" w:fill="auto"/>
          </w:tcPr>
          <w:p w:rsidR="0044594F" w:rsidRPr="00927302" w:rsidRDefault="00097DAC" w:rsidP="00393E4F">
            <w:pPr>
              <w:keepNext/>
              <w:spacing w:before="40" w:after="40"/>
            </w:pPr>
            <w:r>
              <w:t xml:space="preserve">Agreed </w:t>
            </w:r>
            <w:r w:rsidR="0044594F" w:rsidRPr="00927302">
              <w:t>Additional demand</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keepNext/>
              <w:jc w:val="center"/>
            </w:pPr>
            <w:r>
              <w:rPr>
                <w:b/>
                <w:sz w:val="28"/>
              </w:rPr>
              <w:t>X</w:t>
            </w:r>
          </w:p>
        </w:tc>
        <w:tc>
          <w:tcPr>
            <w:tcW w:w="1417" w:type="dxa"/>
            <w:shd w:val="clear" w:color="auto" w:fill="auto"/>
          </w:tcPr>
          <w:p w:rsidR="0044594F" w:rsidRPr="00927302" w:rsidRDefault="0044594F" w:rsidP="00393E4F">
            <w:pPr>
              <w:keepNext/>
              <w:jc w:val="center"/>
            </w:pPr>
            <w:r w:rsidRPr="00927302">
              <w:rPr>
                <w:b/>
                <w:sz w:val="28"/>
              </w:rPr>
              <w:t>-</w:t>
            </w:r>
          </w:p>
        </w:tc>
        <w:tc>
          <w:tcPr>
            <w:tcW w:w="1559"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276" w:type="dxa"/>
            <w:shd w:val="clear" w:color="auto" w:fill="auto"/>
          </w:tcPr>
          <w:p w:rsidR="0044594F" w:rsidRPr="00927302" w:rsidRDefault="0044594F" w:rsidP="00393E4F">
            <w:pPr>
              <w:keepNext/>
              <w:jc w:val="center"/>
            </w:pPr>
            <w:r w:rsidRPr="00927302">
              <w:rPr>
                <w:b/>
                <w:sz w:val="28"/>
              </w:rPr>
              <w:t>-</w:t>
            </w:r>
          </w:p>
        </w:tc>
        <w:tc>
          <w:tcPr>
            <w:tcW w:w="1701" w:type="dxa"/>
            <w:shd w:val="clear" w:color="auto" w:fill="auto"/>
          </w:tcPr>
          <w:p w:rsidR="0044594F" w:rsidRPr="00927302" w:rsidRDefault="0044594F" w:rsidP="00393E4F">
            <w:pPr>
              <w:keepNext/>
              <w:spacing w:before="40" w:after="40"/>
            </w:pPr>
            <w:r w:rsidRPr="002520E5">
              <w:t>Demand in excess of that required during summer peak hours.</w:t>
            </w:r>
          </w:p>
        </w:tc>
      </w:tr>
      <w:tr w:rsidR="0044594F" w:rsidRPr="00927302" w:rsidTr="00097DAC">
        <w:tc>
          <w:tcPr>
            <w:tcW w:w="1562" w:type="dxa"/>
            <w:shd w:val="clear" w:color="auto" w:fill="auto"/>
          </w:tcPr>
          <w:p w:rsidR="0044594F" w:rsidRPr="00927302" w:rsidRDefault="0044594F" w:rsidP="00393E4F">
            <w:pPr>
              <w:keepNext/>
              <w:spacing w:before="40" w:after="40"/>
            </w:pPr>
            <w:r w:rsidRPr="00927302">
              <w:t>Usage Rate</w:t>
            </w:r>
          </w:p>
        </w:tc>
        <w:tc>
          <w:tcPr>
            <w:tcW w:w="848" w:type="dxa"/>
            <w:shd w:val="clear" w:color="auto" w:fill="auto"/>
          </w:tcPr>
          <w:p w:rsidR="0044594F" w:rsidRPr="00927302" w:rsidRDefault="0044594F" w:rsidP="00393E4F">
            <w:pPr>
              <w:keepNext/>
              <w:spacing w:before="40" w:after="40"/>
            </w:pPr>
            <w:r w:rsidRPr="00927302">
              <w:t>$/kWh</w:t>
            </w:r>
          </w:p>
        </w:tc>
        <w:tc>
          <w:tcPr>
            <w:tcW w:w="851" w:type="dxa"/>
            <w:shd w:val="clear" w:color="auto" w:fill="auto"/>
          </w:tcPr>
          <w:p w:rsidR="0044594F" w:rsidRPr="00927302" w:rsidRDefault="0044594F" w:rsidP="00393E4F">
            <w:pPr>
              <w:jc w:val="center"/>
            </w:pPr>
            <w:r>
              <w:rPr>
                <w:b/>
                <w:sz w:val="28"/>
              </w:rPr>
              <w:t>X</w:t>
            </w:r>
          </w:p>
        </w:tc>
        <w:tc>
          <w:tcPr>
            <w:tcW w:w="1417" w:type="dxa"/>
            <w:shd w:val="clear" w:color="auto" w:fill="auto"/>
          </w:tcPr>
          <w:p w:rsidR="0044594F" w:rsidRPr="00927302" w:rsidRDefault="0044594F" w:rsidP="00393E4F">
            <w:pPr>
              <w:jc w:val="center"/>
            </w:pPr>
            <w:r>
              <w:rPr>
                <w:b/>
                <w:sz w:val="28"/>
              </w:rPr>
              <w:t>X</w:t>
            </w:r>
          </w:p>
        </w:tc>
        <w:tc>
          <w:tcPr>
            <w:tcW w:w="1559"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276" w:type="dxa"/>
            <w:shd w:val="clear" w:color="auto" w:fill="auto"/>
          </w:tcPr>
          <w:p w:rsidR="0044594F" w:rsidRPr="00927302" w:rsidRDefault="0044594F" w:rsidP="00393E4F">
            <w:pPr>
              <w:keepNext/>
              <w:jc w:val="center"/>
            </w:pPr>
            <w:r w:rsidRPr="00927302">
              <w:rPr>
                <w:b/>
                <w:sz w:val="28"/>
              </w:rPr>
              <w:t>-</w:t>
            </w:r>
          </w:p>
        </w:tc>
        <w:tc>
          <w:tcPr>
            <w:tcW w:w="1701" w:type="dxa"/>
            <w:shd w:val="clear" w:color="auto" w:fill="auto"/>
          </w:tcPr>
          <w:p w:rsidR="0044594F" w:rsidRPr="00927302" w:rsidRDefault="0044594F" w:rsidP="00097DAC">
            <w:pPr>
              <w:keepNext/>
              <w:spacing w:before="40" w:after="40"/>
            </w:pPr>
            <w:r w:rsidRPr="00927302">
              <w:t>For all energy consumption</w:t>
            </w:r>
          </w:p>
        </w:tc>
      </w:tr>
    </w:tbl>
    <w:p w:rsidR="0044594F" w:rsidRPr="00927302" w:rsidRDefault="0044594F" w:rsidP="0044594F"/>
    <w:p w:rsidR="0044594F" w:rsidRPr="00927302" w:rsidRDefault="0044594F" w:rsidP="0044594F">
      <w:pPr>
        <w:pStyle w:val="Caption"/>
        <w:keepNext/>
      </w:pPr>
      <w:bookmarkStart w:id="58" w:name="_Ref133816664"/>
      <w:r w:rsidRPr="00927302">
        <w:t xml:space="preserve">Table </w:t>
      </w:r>
      <w:r w:rsidR="00924A8F">
        <w:fldChar w:fldCharType="begin"/>
      </w:r>
      <w:r w:rsidR="00924A8F">
        <w:instrText xml:space="preserve"> SEQ Table \* ARABIC </w:instrText>
      </w:r>
      <w:r w:rsidR="00924A8F">
        <w:fldChar w:fldCharType="separate"/>
      </w:r>
      <w:r w:rsidR="00A81AFE">
        <w:rPr>
          <w:noProof/>
        </w:rPr>
        <w:t>15</w:t>
      </w:r>
      <w:r w:rsidR="00924A8F">
        <w:rPr>
          <w:noProof/>
        </w:rPr>
        <w:fldChar w:fldCharType="end"/>
      </w:r>
      <w:bookmarkEnd w:id="58"/>
      <w:r w:rsidRPr="00927302">
        <w:t xml:space="preserve"> - High voltage kVA </w:t>
      </w:r>
      <w:r w:rsidR="002866DB">
        <w:t xml:space="preserve">agreed </w:t>
      </w:r>
      <w:r w:rsidRPr="00927302">
        <w:t>demand tariff charging parameters</w:t>
      </w:r>
      <w:r w:rsidR="00097DAC">
        <w:t xml:space="preserve"> 400 kVA</w:t>
      </w:r>
      <w:r w:rsidR="0093085E">
        <w:t xml:space="preserve"> and above</w:t>
      </w:r>
    </w:p>
    <w:tbl>
      <w:tblPr>
        <w:tblW w:w="91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2"/>
        <w:gridCol w:w="848"/>
        <w:gridCol w:w="851"/>
        <w:gridCol w:w="1275"/>
        <w:gridCol w:w="1843"/>
        <w:gridCol w:w="1134"/>
        <w:gridCol w:w="1656"/>
      </w:tblGrid>
      <w:tr w:rsidR="0044594F" w:rsidRPr="00927302" w:rsidTr="00651846">
        <w:tc>
          <w:tcPr>
            <w:tcW w:w="1562"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48"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6759"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562"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48"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851"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Direct</w:t>
            </w:r>
            <w:r w:rsidRPr="003022DF">
              <w:rPr>
                <w:b/>
                <w:spacing w:val="-4"/>
                <w:sz w:val="20"/>
                <w:szCs w:val="20"/>
              </w:rPr>
              <w:br/>
              <w:t>control</w:t>
            </w:r>
          </w:p>
        </w:tc>
        <w:tc>
          <w:tcPr>
            <w:tcW w:w="1275"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Transmission</w:t>
            </w:r>
            <w:r w:rsidRPr="003022DF">
              <w:rPr>
                <w:b/>
                <w:spacing w:val="-4"/>
                <w:sz w:val="20"/>
                <w:szCs w:val="20"/>
              </w:rPr>
              <w:br/>
              <w:t>recovery</w:t>
            </w:r>
          </w:p>
        </w:tc>
        <w:tc>
          <w:tcPr>
            <w:tcW w:w="1843" w:type="dxa"/>
            <w:vMerge w:val="restart"/>
            <w:tcBorders>
              <w:top w:val="single" w:sz="4" w:space="0" w:color="000000"/>
            </w:tcBorders>
            <w:shd w:val="solid" w:color="FAB585" w:themeColor="accent3" w:fill="auto"/>
          </w:tcPr>
          <w:p w:rsidR="0044594F" w:rsidRPr="003022DF" w:rsidRDefault="003022DF" w:rsidP="00097DAC">
            <w:pPr>
              <w:keepNext/>
              <w:spacing w:before="40"/>
              <w:jc w:val="center"/>
              <w:rPr>
                <w:b/>
                <w:spacing w:val="-4"/>
                <w:sz w:val="20"/>
                <w:szCs w:val="20"/>
              </w:rPr>
            </w:pPr>
            <w:r w:rsidRPr="003022DF">
              <w:rPr>
                <w:b/>
                <w:sz w:val="20"/>
                <w:szCs w:val="20"/>
              </w:rPr>
              <w:t>Jurisdictional Scheme Amount Pass Through</w:t>
            </w:r>
          </w:p>
        </w:tc>
        <w:tc>
          <w:tcPr>
            <w:tcW w:w="1134"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Alternative</w:t>
            </w:r>
            <w:r w:rsidRPr="003022DF">
              <w:rPr>
                <w:b/>
                <w:spacing w:val="-4"/>
                <w:sz w:val="20"/>
                <w:szCs w:val="20"/>
              </w:rPr>
              <w:br/>
              <w:t>control</w:t>
            </w:r>
          </w:p>
        </w:tc>
        <w:tc>
          <w:tcPr>
            <w:tcW w:w="1656" w:type="dxa"/>
            <w:tcBorders>
              <w:top w:val="single" w:sz="4" w:space="0" w:color="000000"/>
              <w:bottom w:val="nil"/>
            </w:tcBorders>
            <w:shd w:val="solid" w:color="FAB585" w:themeColor="accent3" w:fill="auto"/>
          </w:tcPr>
          <w:p w:rsidR="0044594F" w:rsidRPr="003022DF" w:rsidRDefault="0044594F" w:rsidP="00393E4F">
            <w:pPr>
              <w:keepNext/>
              <w:spacing w:before="40" w:after="40"/>
              <w:rPr>
                <w:b/>
                <w:spacing w:val="-4"/>
                <w:sz w:val="20"/>
                <w:szCs w:val="20"/>
              </w:rPr>
            </w:pPr>
            <w:r w:rsidRPr="003022DF">
              <w:rPr>
                <w:b/>
                <w:spacing w:val="-4"/>
                <w:sz w:val="20"/>
                <w:szCs w:val="20"/>
              </w:rPr>
              <w:t>Description</w:t>
            </w:r>
          </w:p>
        </w:tc>
      </w:tr>
      <w:tr w:rsidR="0044594F" w:rsidRPr="00927302" w:rsidTr="003022DF">
        <w:tc>
          <w:tcPr>
            <w:tcW w:w="1562" w:type="dxa"/>
            <w:tcBorders>
              <w:top w:val="nil"/>
            </w:tcBorders>
            <w:shd w:val="solid" w:color="FAB585" w:themeColor="accent3" w:fill="auto"/>
          </w:tcPr>
          <w:p w:rsidR="0044594F" w:rsidRPr="00927302" w:rsidRDefault="0044594F" w:rsidP="00393E4F">
            <w:pPr>
              <w:keepNext/>
              <w:spacing w:after="40"/>
              <w:rPr>
                <w:b/>
              </w:rPr>
            </w:pPr>
          </w:p>
        </w:tc>
        <w:tc>
          <w:tcPr>
            <w:tcW w:w="848" w:type="dxa"/>
            <w:tcBorders>
              <w:top w:val="nil"/>
            </w:tcBorders>
            <w:shd w:val="solid" w:color="FAB585" w:themeColor="accent3" w:fill="auto"/>
          </w:tcPr>
          <w:p w:rsidR="0044594F" w:rsidRPr="00927302" w:rsidRDefault="0044594F" w:rsidP="00393E4F">
            <w:pPr>
              <w:keepNext/>
              <w:spacing w:after="40"/>
              <w:rPr>
                <w:b/>
              </w:rPr>
            </w:pPr>
          </w:p>
        </w:tc>
        <w:tc>
          <w:tcPr>
            <w:tcW w:w="851"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DUoS</w:t>
            </w:r>
          </w:p>
        </w:tc>
        <w:tc>
          <w:tcPr>
            <w:tcW w:w="1275"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TUoS</w:t>
            </w:r>
          </w:p>
        </w:tc>
        <w:tc>
          <w:tcPr>
            <w:tcW w:w="1843" w:type="dxa"/>
            <w:vMerge/>
            <w:tcBorders>
              <w:bottom w:val="single" w:sz="4" w:space="0" w:color="000000"/>
            </w:tcBorders>
            <w:shd w:val="solid" w:color="FAB585" w:themeColor="accent3" w:fill="auto"/>
          </w:tcPr>
          <w:p w:rsidR="0044594F" w:rsidRPr="003022DF" w:rsidRDefault="0044594F" w:rsidP="00393E4F">
            <w:pPr>
              <w:keepNext/>
              <w:spacing w:after="40"/>
              <w:jc w:val="center"/>
              <w:rPr>
                <w:b/>
                <w:spacing w:val="-4"/>
                <w:sz w:val="20"/>
                <w:szCs w:val="20"/>
              </w:rPr>
            </w:pPr>
          </w:p>
        </w:tc>
        <w:tc>
          <w:tcPr>
            <w:tcW w:w="1134"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Metering</w:t>
            </w:r>
          </w:p>
        </w:tc>
        <w:tc>
          <w:tcPr>
            <w:tcW w:w="1656" w:type="dxa"/>
            <w:tcBorders>
              <w:top w:val="nil"/>
            </w:tcBorders>
            <w:shd w:val="solid" w:color="FAB585" w:themeColor="accent3" w:fill="auto"/>
          </w:tcPr>
          <w:p w:rsidR="0044594F" w:rsidRPr="003022DF" w:rsidRDefault="0044594F" w:rsidP="00393E4F">
            <w:pPr>
              <w:keepNext/>
              <w:spacing w:after="40"/>
              <w:rPr>
                <w:b/>
                <w:spacing w:val="-4"/>
                <w:sz w:val="20"/>
                <w:szCs w:val="20"/>
              </w:rPr>
            </w:pP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Supply Rate</w:t>
            </w:r>
          </w:p>
        </w:tc>
        <w:tc>
          <w:tcPr>
            <w:tcW w:w="848" w:type="dxa"/>
            <w:shd w:val="clear" w:color="auto" w:fill="auto"/>
          </w:tcPr>
          <w:p w:rsidR="0044594F" w:rsidRPr="00927302" w:rsidRDefault="0044594F" w:rsidP="00393E4F">
            <w:pPr>
              <w:keepNext/>
              <w:spacing w:before="40" w:after="40"/>
            </w:pPr>
            <w:r w:rsidRPr="00927302">
              <w:t>$/day</w:t>
            </w:r>
          </w:p>
        </w:tc>
        <w:tc>
          <w:tcPr>
            <w:tcW w:w="851" w:type="dxa"/>
            <w:shd w:val="clear" w:color="auto" w:fill="auto"/>
          </w:tcPr>
          <w:p w:rsidR="0044594F" w:rsidRPr="00927302" w:rsidRDefault="0044594F" w:rsidP="00393E4F">
            <w:pPr>
              <w:keepNext/>
              <w:jc w:val="center"/>
            </w:pPr>
            <w:r>
              <w:rPr>
                <w:b/>
                <w:sz w:val="28"/>
              </w:rPr>
              <w:t>X</w:t>
            </w:r>
          </w:p>
        </w:tc>
        <w:tc>
          <w:tcPr>
            <w:tcW w:w="1275"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AE09A4" w:rsidRDefault="00097DAC" w:rsidP="00393E4F">
            <w:pPr>
              <w:keepNext/>
              <w:jc w:val="center"/>
              <w:rPr>
                <w:b/>
                <w:sz w:val="28"/>
                <w:szCs w:val="28"/>
              </w:rPr>
            </w:pPr>
            <w:r>
              <w:rPr>
                <w:b/>
                <w:sz w:val="28"/>
                <w:szCs w:val="28"/>
              </w:rPr>
              <w:t>X</w:t>
            </w:r>
          </w:p>
        </w:tc>
        <w:tc>
          <w:tcPr>
            <w:tcW w:w="1134" w:type="dxa"/>
            <w:shd w:val="clear" w:color="auto" w:fill="auto"/>
          </w:tcPr>
          <w:p w:rsidR="0044594F" w:rsidRPr="00927302" w:rsidRDefault="0044594F" w:rsidP="00393E4F">
            <w:pPr>
              <w:keepNext/>
              <w:jc w:val="center"/>
            </w:pPr>
            <w:r w:rsidRPr="00927302">
              <w:t>If applicable</w:t>
            </w:r>
          </w:p>
        </w:tc>
        <w:tc>
          <w:tcPr>
            <w:tcW w:w="1656" w:type="dxa"/>
            <w:shd w:val="clear" w:color="auto" w:fill="auto"/>
          </w:tcPr>
          <w:p w:rsidR="0044594F" w:rsidRPr="00927302" w:rsidRDefault="0044594F" w:rsidP="00393E4F">
            <w:pPr>
              <w:keepNext/>
              <w:spacing w:before="40" w:after="40"/>
            </w:pPr>
            <w:r w:rsidRPr="00927302">
              <w:t>Fixed daily charge</w:t>
            </w:r>
          </w:p>
        </w:tc>
      </w:tr>
      <w:tr w:rsidR="0044594F" w:rsidRPr="00927302" w:rsidTr="00244338">
        <w:tc>
          <w:tcPr>
            <w:tcW w:w="1562" w:type="dxa"/>
            <w:shd w:val="clear" w:color="auto" w:fill="auto"/>
          </w:tcPr>
          <w:p w:rsidR="0044594F" w:rsidRPr="00927302" w:rsidRDefault="0044594F" w:rsidP="00097DAC">
            <w:pPr>
              <w:keepNext/>
              <w:spacing w:before="40" w:after="40"/>
            </w:pPr>
            <w:r w:rsidRPr="00927302">
              <w:t xml:space="preserve">Annual </w:t>
            </w:r>
            <w:r w:rsidR="00097DAC">
              <w:t>Peak</w:t>
            </w:r>
            <w:r w:rsidRPr="00927302">
              <w:t xml:space="preserve"> Demand Rate</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275" w:type="dxa"/>
            <w:shd w:val="clear" w:color="auto" w:fill="auto"/>
          </w:tcPr>
          <w:p w:rsidR="0044594F" w:rsidRPr="00927302" w:rsidRDefault="0044594F" w:rsidP="00393E4F">
            <w:pPr>
              <w:jc w:val="center"/>
            </w:pPr>
            <w:r>
              <w:rPr>
                <w:b/>
                <w:sz w:val="28"/>
              </w:rPr>
              <w:t>X</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656" w:type="dxa"/>
            <w:shd w:val="clear" w:color="auto" w:fill="auto"/>
          </w:tcPr>
          <w:p w:rsidR="0044594F" w:rsidRPr="00927302" w:rsidRDefault="0044594F" w:rsidP="00097DAC">
            <w:pPr>
              <w:keepNext/>
              <w:spacing w:before="40" w:after="40"/>
            </w:pPr>
            <w:r w:rsidRPr="00927302">
              <w:t xml:space="preserve">For </w:t>
            </w:r>
            <w:r w:rsidR="00097DAC">
              <w:t xml:space="preserve">all </w:t>
            </w:r>
            <w:r w:rsidRPr="00927302">
              <w:t>peak demand</w:t>
            </w: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Additional demand</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keepNext/>
              <w:jc w:val="center"/>
            </w:pPr>
            <w:r>
              <w:rPr>
                <w:b/>
                <w:sz w:val="28"/>
              </w:rPr>
              <w:t>X</w:t>
            </w:r>
          </w:p>
        </w:tc>
        <w:tc>
          <w:tcPr>
            <w:tcW w:w="1275"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656" w:type="dxa"/>
            <w:shd w:val="clear" w:color="auto" w:fill="auto"/>
          </w:tcPr>
          <w:p w:rsidR="0044594F" w:rsidRPr="00927302" w:rsidRDefault="0044594F" w:rsidP="00393E4F">
            <w:pPr>
              <w:keepNext/>
              <w:spacing w:before="40" w:after="40"/>
            </w:pPr>
            <w:r w:rsidRPr="002520E5">
              <w:t>Demand in excess of that required during summer peak hours.</w:t>
            </w: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Usage Rate</w:t>
            </w:r>
          </w:p>
        </w:tc>
        <w:tc>
          <w:tcPr>
            <w:tcW w:w="848" w:type="dxa"/>
            <w:shd w:val="clear" w:color="auto" w:fill="auto"/>
          </w:tcPr>
          <w:p w:rsidR="0044594F" w:rsidRPr="00927302" w:rsidRDefault="0044594F" w:rsidP="00393E4F">
            <w:pPr>
              <w:keepNext/>
              <w:spacing w:before="40" w:after="40"/>
            </w:pPr>
            <w:r w:rsidRPr="00927302">
              <w:t>$/kWh</w:t>
            </w:r>
          </w:p>
        </w:tc>
        <w:tc>
          <w:tcPr>
            <w:tcW w:w="851" w:type="dxa"/>
            <w:shd w:val="clear" w:color="auto" w:fill="auto"/>
          </w:tcPr>
          <w:p w:rsidR="0044594F" w:rsidRPr="00927302" w:rsidRDefault="0044594F" w:rsidP="00393E4F">
            <w:pPr>
              <w:jc w:val="center"/>
            </w:pPr>
            <w:r>
              <w:rPr>
                <w:b/>
                <w:sz w:val="28"/>
              </w:rPr>
              <w:t>X</w:t>
            </w:r>
          </w:p>
        </w:tc>
        <w:tc>
          <w:tcPr>
            <w:tcW w:w="1275" w:type="dxa"/>
            <w:shd w:val="clear" w:color="auto" w:fill="auto"/>
          </w:tcPr>
          <w:p w:rsidR="0044594F" w:rsidRPr="00927302" w:rsidRDefault="0044594F" w:rsidP="00393E4F">
            <w:pPr>
              <w:jc w:val="center"/>
            </w:pPr>
            <w:r>
              <w:rPr>
                <w:b/>
                <w:sz w:val="28"/>
              </w:rPr>
              <w:t>X</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656" w:type="dxa"/>
            <w:shd w:val="clear" w:color="auto" w:fill="auto"/>
          </w:tcPr>
          <w:p w:rsidR="0044594F" w:rsidRPr="00927302" w:rsidRDefault="0044594F" w:rsidP="00393E4F">
            <w:pPr>
              <w:keepNext/>
              <w:spacing w:before="40" w:after="40"/>
            </w:pPr>
            <w:r w:rsidRPr="00927302">
              <w:t>For all peak period energy consumption</w:t>
            </w:r>
          </w:p>
        </w:tc>
      </w:tr>
    </w:tbl>
    <w:p w:rsidR="0044594F" w:rsidRPr="00927302" w:rsidRDefault="0044594F" w:rsidP="0044594F"/>
    <w:p w:rsidR="0044594F" w:rsidRPr="00927302" w:rsidRDefault="00C9650E" w:rsidP="0044594F">
      <w:pPr>
        <w:pStyle w:val="Heading2"/>
        <w:keepLines w:val="0"/>
        <w:numPr>
          <w:ilvl w:val="1"/>
          <w:numId w:val="16"/>
        </w:numPr>
        <w:tabs>
          <w:tab w:val="left" w:pos="851"/>
        </w:tabs>
        <w:spacing w:after="240" w:line="240" w:lineRule="auto"/>
      </w:pPr>
      <w:bookmarkStart w:id="59" w:name="_Ref134004747"/>
      <w:bookmarkStart w:id="60" w:name="_Toc420009831"/>
      <w:r>
        <w:t>Major Business tariff c</w:t>
      </w:r>
      <w:r w:rsidR="0044594F" w:rsidRPr="00927302">
        <w:t>lass</w:t>
      </w:r>
      <w:bookmarkEnd w:id="59"/>
      <w:bookmarkEnd w:id="60"/>
    </w:p>
    <w:p w:rsidR="0044594F" w:rsidRDefault="0044594F" w:rsidP="0044594F">
      <w:r w:rsidRPr="00244338">
        <w:t>The major business</w:t>
      </w:r>
      <w:r w:rsidRPr="00927302">
        <w:t xml:space="preserve"> customers are the largest connected to </w:t>
      </w:r>
      <w:r w:rsidR="00EA36E3">
        <w:t>SA Power Networks</w:t>
      </w:r>
      <w:r w:rsidR="00AA70F5">
        <w:t>’</w:t>
      </w:r>
      <w:r w:rsidRPr="00927302">
        <w:t xml:space="preserve"> network.  They comprise a range of industrial, manufacturing and mining enterprises.</w:t>
      </w:r>
    </w:p>
    <w:p w:rsidR="00651846" w:rsidRPr="00927302" w:rsidRDefault="00651846" w:rsidP="0044594F"/>
    <w:p w:rsidR="0044594F" w:rsidRPr="00927302" w:rsidRDefault="0044594F" w:rsidP="009A26B4">
      <w:pPr>
        <w:pStyle w:val="Heading3"/>
      </w:pPr>
      <w:bookmarkStart w:id="61" w:name="_Ref131916281"/>
      <w:r>
        <w:t>Z</w:t>
      </w:r>
      <w:r w:rsidRPr="00927302">
        <w:t>one substation kVA demand tariff</w:t>
      </w:r>
      <w:bookmarkEnd w:id="61"/>
    </w:p>
    <w:p w:rsidR="0044594F" w:rsidRPr="00927302" w:rsidRDefault="0044594F" w:rsidP="0044594F">
      <w:r w:rsidRPr="00927302">
        <w:t xml:space="preserve">This kVA demand tariff is for larger high voltage connected business customers that take supply on direct distributors from a zone substation.   The tariff has a minimum </w:t>
      </w:r>
      <w:r w:rsidR="00244338">
        <w:t>agreed</w:t>
      </w:r>
      <w:r w:rsidRPr="00927302">
        <w:t xml:space="preserve"> </w:t>
      </w:r>
      <w:r w:rsidR="00244338">
        <w:t>anytime demand of 5,000 kVA. The</w:t>
      </w:r>
      <w:r w:rsidRPr="00927302">
        <w:t xml:space="preserve"> minimum annual usage</w:t>
      </w:r>
      <w:r w:rsidR="00244338">
        <w:t xml:space="preserve"> requirement </w:t>
      </w:r>
      <w:r w:rsidR="00244338" w:rsidRPr="00927302">
        <w:t>of</w:t>
      </w:r>
      <w:r w:rsidRPr="00927302">
        <w:t xml:space="preserve"> 25 GWh</w:t>
      </w:r>
      <w:r w:rsidR="00244338">
        <w:t xml:space="preserve"> has been removed from July 2015</w:t>
      </w:r>
      <w:r w:rsidRPr="00927302">
        <w:t xml:space="preserve">. A </w:t>
      </w:r>
      <w:r w:rsidR="000B7F94">
        <w:t>Type 1</w:t>
      </w:r>
      <w:r w:rsidRPr="00927302">
        <w:t xml:space="preserve">-4 interval meter is required with the ability to measure both active and reactive power.  The charging parameters for this tariff are set out in </w:t>
      </w:r>
      <w:r w:rsidR="00575C9A">
        <w:fldChar w:fldCharType="begin"/>
      </w:r>
      <w:r>
        <w:instrText xml:space="preserve"> REF _Ref133817318 \h </w:instrText>
      </w:r>
      <w:r w:rsidR="00575C9A">
        <w:fldChar w:fldCharType="separate"/>
      </w:r>
      <w:r w:rsidR="00A81AFE" w:rsidRPr="00927302">
        <w:t xml:space="preserve">Table </w:t>
      </w:r>
      <w:r w:rsidR="00A81AFE">
        <w:rPr>
          <w:noProof/>
        </w:rPr>
        <w:t>16</w:t>
      </w:r>
      <w:r w:rsidR="00575C9A">
        <w:fldChar w:fldCharType="end"/>
      </w:r>
      <w:r w:rsidRPr="00927302">
        <w:t>.</w:t>
      </w:r>
    </w:p>
    <w:p w:rsidR="0044594F" w:rsidRPr="00927302" w:rsidRDefault="0044594F" w:rsidP="0044594F">
      <w:pPr>
        <w:pStyle w:val="Caption"/>
        <w:keepNext/>
      </w:pPr>
      <w:bookmarkStart w:id="62" w:name="_Ref133817318"/>
      <w:r w:rsidRPr="00927302">
        <w:t xml:space="preserve">Table </w:t>
      </w:r>
      <w:r w:rsidR="00924A8F">
        <w:fldChar w:fldCharType="begin"/>
      </w:r>
      <w:r w:rsidR="00924A8F">
        <w:instrText xml:space="preserve"> SEQ Table \* ARABIC </w:instrText>
      </w:r>
      <w:r w:rsidR="00924A8F">
        <w:fldChar w:fldCharType="separate"/>
      </w:r>
      <w:r w:rsidR="00A81AFE">
        <w:rPr>
          <w:noProof/>
        </w:rPr>
        <w:t>16</w:t>
      </w:r>
      <w:r w:rsidR="00924A8F">
        <w:rPr>
          <w:noProof/>
        </w:rPr>
        <w:fldChar w:fldCharType="end"/>
      </w:r>
      <w:bookmarkEnd w:id="62"/>
      <w:r w:rsidRPr="00927302">
        <w:t xml:space="preserve"> - </w:t>
      </w:r>
      <w:r>
        <w:t>Z</w:t>
      </w:r>
      <w:r w:rsidRPr="00927302">
        <w:t>one substation kVA demand tariff charging parameters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2"/>
        <w:gridCol w:w="848"/>
        <w:gridCol w:w="851"/>
        <w:gridCol w:w="1275"/>
        <w:gridCol w:w="1843"/>
        <w:gridCol w:w="1134"/>
        <w:gridCol w:w="1701"/>
      </w:tblGrid>
      <w:tr w:rsidR="0044594F" w:rsidRPr="00927302" w:rsidTr="00651846">
        <w:tc>
          <w:tcPr>
            <w:tcW w:w="1562"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48"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680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562"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48"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851"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Direct</w:t>
            </w:r>
            <w:r w:rsidRPr="003022DF">
              <w:rPr>
                <w:b/>
                <w:spacing w:val="-4"/>
                <w:sz w:val="20"/>
                <w:szCs w:val="20"/>
              </w:rPr>
              <w:br/>
              <w:t>control</w:t>
            </w:r>
          </w:p>
        </w:tc>
        <w:tc>
          <w:tcPr>
            <w:tcW w:w="1275"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Transmission</w:t>
            </w:r>
            <w:r w:rsidRPr="003022DF">
              <w:rPr>
                <w:b/>
                <w:spacing w:val="-4"/>
                <w:sz w:val="20"/>
                <w:szCs w:val="20"/>
              </w:rPr>
              <w:br/>
              <w:t>recovery</w:t>
            </w:r>
          </w:p>
        </w:tc>
        <w:tc>
          <w:tcPr>
            <w:tcW w:w="1843" w:type="dxa"/>
            <w:vMerge w:val="restart"/>
            <w:tcBorders>
              <w:top w:val="single" w:sz="4" w:space="0" w:color="000000"/>
            </w:tcBorders>
            <w:shd w:val="solid" w:color="FAB585" w:themeColor="accent3" w:fill="auto"/>
          </w:tcPr>
          <w:p w:rsidR="0044594F" w:rsidRPr="003022DF" w:rsidRDefault="003022DF" w:rsidP="00244338">
            <w:pPr>
              <w:keepNext/>
              <w:spacing w:before="40"/>
              <w:jc w:val="center"/>
              <w:rPr>
                <w:b/>
                <w:spacing w:val="-4"/>
                <w:sz w:val="20"/>
                <w:szCs w:val="20"/>
              </w:rPr>
            </w:pPr>
            <w:r w:rsidRPr="003022DF">
              <w:rPr>
                <w:b/>
                <w:sz w:val="20"/>
                <w:szCs w:val="20"/>
              </w:rPr>
              <w:t>Jurisdictional Scheme Amount Pass Through</w:t>
            </w:r>
          </w:p>
        </w:tc>
        <w:tc>
          <w:tcPr>
            <w:tcW w:w="1134"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Alternative</w:t>
            </w:r>
            <w:r w:rsidRPr="003022DF">
              <w:rPr>
                <w:b/>
                <w:spacing w:val="-4"/>
                <w:sz w:val="20"/>
                <w:szCs w:val="20"/>
              </w:rPr>
              <w:br/>
              <w:t>control</w:t>
            </w:r>
          </w:p>
        </w:tc>
        <w:tc>
          <w:tcPr>
            <w:tcW w:w="1701" w:type="dxa"/>
            <w:tcBorders>
              <w:top w:val="single" w:sz="4" w:space="0" w:color="000000"/>
              <w:bottom w:val="nil"/>
            </w:tcBorders>
            <w:shd w:val="solid" w:color="FAB585" w:themeColor="accent3" w:fill="auto"/>
          </w:tcPr>
          <w:p w:rsidR="0044594F" w:rsidRPr="003022DF" w:rsidRDefault="0044594F" w:rsidP="00393E4F">
            <w:pPr>
              <w:keepNext/>
              <w:spacing w:before="40" w:after="40"/>
              <w:rPr>
                <w:b/>
                <w:spacing w:val="-4"/>
                <w:sz w:val="20"/>
                <w:szCs w:val="20"/>
              </w:rPr>
            </w:pPr>
            <w:r w:rsidRPr="003022DF">
              <w:rPr>
                <w:b/>
                <w:spacing w:val="-4"/>
                <w:sz w:val="20"/>
                <w:szCs w:val="20"/>
              </w:rPr>
              <w:t>Description</w:t>
            </w:r>
          </w:p>
        </w:tc>
      </w:tr>
      <w:tr w:rsidR="0044594F" w:rsidRPr="00927302" w:rsidTr="003022DF">
        <w:tc>
          <w:tcPr>
            <w:tcW w:w="1562" w:type="dxa"/>
            <w:tcBorders>
              <w:top w:val="nil"/>
            </w:tcBorders>
            <w:shd w:val="solid" w:color="FAB585" w:themeColor="accent3" w:fill="auto"/>
          </w:tcPr>
          <w:p w:rsidR="0044594F" w:rsidRPr="00927302" w:rsidRDefault="0044594F" w:rsidP="00393E4F">
            <w:pPr>
              <w:keepNext/>
              <w:spacing w:after="40"/>
              <w:rPr>
                <w:b/>
              </w:rPr>
            </w:pPr>
          </w:p>
        </w:tc>
        <w:tc>
          <w:tcPr>
            <w:tcW w:w="848" w:type="dxa"/>
            <w:tcBorders>
              <w:top w:val="nil"/>
            </w:tcBorders>
            <w:shd w:val="solid" w:color="FAB585" w:themeColor="accent3" w:fill="auto"/>
          </w:tcPr>
          <w:p w:rsidR="0044594F" w:rsidRPr="00927302" w:rsidRDefault="0044594F" w:rsidP="00393E4F">
            <w:pPr>
              <w:keepNext/>
              <w:spacing w:after="40"/>
              <w:rPr>
                <w:b/>
              </w:rPr>
            </w:pPr>
          </w:p>
        </w:tc>
        <w:tc>
          <w:tcPr>
            <w:tcW w:w="851"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DUoS</w:t>
            </w:r>
          </w:p>
        </w:tc>
        <w:tc>
          <w:tcPr>
            <w:tcW w:w="1275"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TUoS</w:t>
            </w:r>
          </w:p>
        </w:tc>
        <w:tc>
          <w:tcPr>
            <w:tcW w:w="1843" w:type="dxa"/>
            <w:vMerge/>
            <w:tcBorders>
              <w:bottom w:val="single" w:sz="4" w:space="0" w:color="000000"/>
            </w:tcBorders>
            <w:shd w:val="solid" w:color="FAB585" w:themeColor="accent3" w:fill="auto"/>
          </w:tcPr>
          <w:p w:rsidR="0044594F" w:rsidRPr="003022DF" w:rsidRDefault="0044594F" w:rsidP="00393E4F">
            <w:pPr>
              <w:keepNext/>
              <w:spacing w:after="40"/>
              <w:jc w:val="center"/>
              <w:rPr>
                <w:b/>
                <w:spacing w:val="-4"/>
                <w:sz w:val="20"/>
                <w:szCs w:val="20"/>
              </w:rPr>
            </w:pPr>
          </w:p>
        </w:tc>
        <w:tc>
          <w:tcPr>
            <w:tcW w:w="1134"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Metering</w:t>
            </w:r>
          </w:p>
        </w:tc>
        <w:tc>
          <w:tcPr>
            <w:tcW w:w="1701" w:type="dxa"/>
            <w:tcBorders>
              <w:top w:val="nil"/>
            </w:tcBorders>
            <w:shd w:val="solid" w:color="FAB585" w:themeColor="accent3" w:fill="auto"/>
          </w:tcPr>
          <w:p w:rsidR="0044594F" w:rsidRPr="003022DF" w:rsidRDefault="0044594F" w:rsidP="00393E4F">
            <w:pPr>
              <w:keepNext/>
              <w:spacing w:after="40"/>
              <w:rPr>
                <w:b/>
                <w:spacing w:val="-4"/>
                <w:sz w:val="20"/>
                <w:szCs w:val="20"/>
              </w:rPr>
            </w:pP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Supply Rate</w:t>
            </w:r>
          </w:p>
        </w:tc>
        <w:tc>
          <w:tcPr>
            <w:tcW w:w="848" w:type="dxa"/>
            <w:shd w:val="clear" w:color="auto" w:fill="auto"/>
          </w:tcPr>
          <w:p w:rsidR="0044594F" w:rsidRPr="00927302" w:rsidRDefault="0044594F" w:rsidP="00393E4F">
            <w:pPr>
              <w:keepNext/>
              <w:spacing w:before="40" w:after="40"/>
            </w:pPr>
            <w:r w:rsidRPr="00927302">
              <w:t>$/day</w:t>
            </w:r>
          </w:p>
        </w:tc>
        <w:tc>
          <w:tcPr>
            <w:tcW w:w="851" w:type="dxa"/>
            <w:shd w:val="clear" w:color="auto" w:fill="auto"/>
          </w:tcPr>
          <w:p w:rsidR="0044594F" w:rsidRPr="00927302" w:rsidRDefault="00244338" w:rsidP="00393E4F">
            <w:pPr>
              <w:keepNext/>
              <w:spacing w:before="40" w:after="40"/>
              <w:jc w:val="center"/>
            </w:pPr>
            <w:r>
              <w:rPr>
                <w:b/>
                <w:sz w:val="28"/>
              </w:rPr>
              <w:t>-</w:t>
            </w:r>
          </w:p>
        </w:tc>
        <w:tc>
          <w:tcPr>
            <w:tcW w:w="1275"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AE09A4" w:rsidRDefault="00435845" w:rsidP="00393E4F">
            <w:pPr>
              <w:keepNext/>
              <w:spacing w:before="40" w:after="40"/>
              <w:jc w:val="center"/>
              <w:rPr>
                <w:b/>
                <w:sz w:val="28"/>
                <w:szCs w:val="28"/>
              </w:rPr>
            </w:pPr>
            <w:r>
              <w:rPr>
                <w:b/>
                <w:sz w:val="28"/>
                <w:szCs w:val="28"/>
              </w:rPr>
              <w:t>-</w:t>
            </w:r>
          </w:p>
        </w:tc>
        <w:tc>
          <w:tcPr>
            <w:tcW w:w="1134" w:type="dxa"/>
            <w:shd w:val="clear" w:color="auto" w:fill="auto"/>
          </w:tcPr>
          <w:p w:rsidR="0044594F" w:rsidRPr="00927302" w:rsidRDefault="0044594F" w:rsidP="00393E4F">
            <w:pPr>
              <w:keepNext/>
              <w:spacing w:before="40" w:after="40"/>
              <w:jc w:val="center"/>
            </w:pPr>
            <w:r w:rsidRPr="00927302">
              <w:t>If applicable</w:t>
            </w:r>
          </w:p>
        </w:tc>
        <w:tc>
          <w:tcPr>
            <w:tcW w:w="1701" w:type="dxa"/>
            <w:shd w:val="clear" w:color="auto" w:fill="auto"/>
          </w:tcPr>
          <w:p w:rsidR="0044594F" w:rsidRPr="00927302" w:rsidRDefault="0044594F" w:rsidP="00393E4F">
            <w:pPr>
              <w:keepNext/>
              <w:spacing w:before="40" w:after="40"/>
            </w:pPr>
            <w:r w:rsidRPr="00927302">
              <w:t>Fixed daily charge</w:t>
            </w:r>
          </w:p>
        </w:tc>
      </w:tr>
      <w:tr w:rsidR="0044594F" w:rsidRPr="00927302" w:rsidTr="00244338">
        <w:tc>
          <w:tcPr>
            <w:tcW w:w="1562" w:type="dxa"/>
            <w:shd w:val="clear" w:color="auto" w:fill="auto"/>
          </w:tcPr>
          <w:p w:rsidR="0044594F" w:rsidRPr="00927302" w:rsidRDefault="0044594F" w:rsidP="00435845">
            <w:pPr>
              <w:keepNext/>
              <w:spacing w:before="40" w:after="40"/>
            </w:pPr>
            <w:r w:rsidRPr="00927302">
              <w:t>Annual Demand Rate</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275" w:type="dxa"/>
            <w:shd w:val="clear" w:color="auto" w:fill="auto"/>
          </w:tcPr>
          <w:p w:rsidR="0044594F" w:rsidRPr="00927302" w:rsidRDefault="0044594F" w:rsidP="00393E4F">
            <w:pPr>
              <w:jc w:val="center"/>
            </w:pPr>
            <w:r>
              <w:rPr>
                <w:b/>
                <w:sz w:val="28"/>
              </w:rPr>
              <w:t>X</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701" w:type="dxa"/>
            <w:shd w:val="clear" w:color="auto" w:fill="auto"/>
          </w:tcPr>
          <w:p w:rsidR="0044594F" w:rsidRPr="00927302" w:rsidRDefault="0044594F" w:rsidP="00393E4F">
            <w:pPr>
              <w:keepNext/>
              <w:spacing w:before="40" w:after="40"/>
            </w:pPr>
            <w:r w:rsidRPr="00927302">
              <w:t>For peak demand &gt; 5,000 kVA</w:t>
            </w: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Additional demand</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keepNext/>
              <w:jc w:val="center"/>
            </w:pPr>
            <w:r>
              <w:rPr>
                <w:b/>
                <w:sz w:val="28"/>
              </w:rPr>
              <w:t>X</w:t>
            </w:r>
          </w:p>
        </w:tc>
        <w:tc>
          <w:tcPr>
            <w:tcW w:w="1275"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701" w:type="dxa"/>
            <w:shd w:val="clear" w:color="auto" w:fill="auto"/>
          </w:tcPr>
          <w:p w:rsidR="0044594F" w:rsidRPr="00927302" w:rsidRDefault="0044594F" w:rsidP="00393E4F">
            <w:pPr>
              <w:keepNext/>
              <w:spacing w:before="40" w:after="40"/>
            </w:pPr>
            <w:r w:rsidRPr="002520E5">
              <w:t>Demand in excess of that required during summer peak hours.</w:t>
            </w: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Usage Rate</w:t>
            </w:r>
          </w:p>
        </w:tc>
        <w:tc>
          <w:tcPr>
            <w:tcW w:w="848" w:type="dxa"/>
            <w:shd w:val="clear" w:color="auto" w:fill="auto"/>
          </w:tcPr>
          <w:p w:rsidR="0044594F" w:rsidRPr="00927302" w:rsidRDefault="0044594F" w:rsidP="00393E4F">
            <w:pPr>
              <w:keepNext/>
              <w:spacing w:before="40" w:after="40"/>
            </w:pPr>
            <w:r w:rsidRPr="00927302">
              <w:t>$/kWh</w:t>
            </w:r>
          </w:p>
        </w:tc>
        <w:tc>
          <w:tcPr>
            <w:tcW w:w="851" w:type="dxa"/>
            <w:shd w:val="clear" w:color="auto" w:fill="auto"/>
          </w:tcPr>
          <w:p w:rsidR="0044594F" w:rsidRPr="00927302" w:rsidRDefault="0044594F" w:rsidP="00393E4F">
            <w:pPr>
              <w:jc w:val="center"/>
            </w:pPr>
            <w:r>
              <w:rPr>
                <w:b/>
                <w:sz w:val="28"/>
              </w:rPr>
              <w:t>X</w:t>
            </w:r>
          </w:p>
        </w:tc>
        <w:tc>
          <w:tcPr>
            <w:tcW w:w="1275" w:type="dxa"/>
            <w:shd w:val="clear" w:color="auto" w:fill="auto"/>
          </w:tcPr>
          <w:p w:rsidR="0044594F" w:rsidRPr="00927302" w:rsidRDefault="0044594F" w:rsidP="00393E4F">
            <w:pPr>
              <w:jc w:val="center"/>
            </w:pPr>
            <w:r>
              <w:rPr>
                <w:b/>
                <w:sz w:val="28"/>
              </w:rPr>
              <w:t>X</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701" w:type="dxa"/>
            <w:shd w:val="clear" w:color="auto" w:fill="auto"/>
          </w:tcPr>
          <w:p w:rsidR="0044594F" w:rsidRPr="00927302" w:rsidRDefault="0044594F" w:rsidP="00244338">
            <w:pPr>
              <w:keepNext/>
              <w:spacing w:before="40" w:after="40"/>
            </w:pPr>
            <w:r w:rsidRPr="00927302">
              <w:t xml:space="preserve">For all p energy consumption </w:t>
            </w:r>
          </w:p>
        </w:tc>
      </w:tr>
    </w:tbl>
    <w:p w:rsidR="0044594F" w:rsidRPr="00927302" w:rsidRDefault="0044594F" w:rsidP="0044594F"/>
    <w:p w:rsidR="00244338" w:rsidRDefault="00244338" w:rsidP="00244338">
      <w:r>
        <w:t>Metering charges are discussed in detail separately in this Pricing Proposal.</w:t>
      </w:r>
    </w:p>
    <w:p w:rsidR="00651846" w:rsidRPr="00927302" w:rsidRDefault="00651846" w:rsidP="0044594F"/>
    <w:p w:rsidR="0044594F" w:rsidRPr="00927302" w:rsidRDefault="0044594F" w:rsidP="009A26B4">
      <w:pPr>
        <w:pStyle w:val="Heading3"/>
      </w:pPr>
      <w:r>
        <w:t>Z</w:t>
      </w:r>
      <w:r w:rsidRPr="00927302">
        <w:t>one substation kVA demand locational tariff</w:t>
      </w:r>
    </w:p>
    <w:p w:rsidR="0044594F" w:rsidRDefault="0044594F" w:rsidP="0044594F">
      <w:r w:rsidRPr="00927302">
        <w:t xml:space="preserve">This kVA demand tariff is similar in structure to the high voltage zone substation kVA demand tariff described in </w:t>
      </w:r>
      <w:r w:rsidR="000B7F94">
        <w:t>Section</w:t>
      </w:r>
      <w:r w:rsidRPr="00927302">
        <w:t xml:space="preserve"> </w:t>
      </w:r>
      <w:r w:rsidR="00575C9A">
        <w:fldChar w:fldCharType="begin"/>
      </w:r>
      <w:r>
        <w:instrText xml:space="preserve"> REF _Ref131916281 \r \h </w:instrText>
      </w:r>
      <w:r w:rsidR="00575C9A">
        <w:fldChar w:fldCharType="separate"/>
      </w:r>
      <w:r w:rsidR="00A81AFE">
        <w:t>4.6.1</w:t>
      </w:r>
      <w:r w:rsidR="00575C9A">
        <w:fldChar w:fldCharType="end"/>
      </w:r>
      <w:r w:rsidRPr="00927302">
        <w:t>.  It applies to those customers having a demand in excess of 10 M</w:t>
      </w:r>
      <w:r w:rsidR="00244338">
        <w:t xml:space="preserve">VA </w:t>
      </w:r>
      <w:r w:rsidRPr="00927302">
        <w:t xml:space="preserve"> or annual consumption greater than 40 GWh.  A </w:t>
      </w:r>
      <w:r w:rsidR="000B7F94">
        <w:t>Type 1</w:t>
      </w:r>
      <w:r w:rsidRPr="00927302">
        <w:t>-4 interval meter is required with the ability to measure both active and reactive power.</w:t>
      </w:r>
    </w:p>
    <w:p w:rsidR="00244338" w:rsidRPr="00927302" w:rsidRDefault="00244338" w:rsidP="0044594F"/>
    <w:p w:rsidR="00244338" w:rsidRDefault="0044594F" w:rsidP="0044594F">
      <w:pPr>
        <w:keepNext/>
      </w:pPr>
      <w:r w:rsidRPr="00927302">
        <w:t xml:space="preserve">The tariff has averaged distribution charges, but a locational TUoS component is applied.  </w:t>
      </w:r>
    </w:p>
    <w:p w:rsidR="00244338" w:rsidRDefault="00244338" w:rsidP="0044594F">
      <w:pPr>
        <w:keepNext/>
      </w:pPr>
    </w:p>
    <w:p w:rsidR="00244338" w:rsidRDefault="00244338" w:rsidP="0044594F">
      <w:pPr>
        <w:keepNext/>
      </w:pPr>
      <w:r>
        <w:t>The TUoS component typically comprises a locational supply charge (for exit charges) and a locational peak demand charge.  Some customers with a low load factor may have a lower demand charge but also have a usage charge.</w:t>
      </w:r>
    </w:p>
    <w:p w:rsidR="00244338" w:rsidRDefault="00244338" w:rsidP="0044594F">
      <w:pPr>
        <w:keepNext/>
      </w:pPr>
    </w:p>
    <w:p w:rsidR="0044594F" w:rsidRDefault="0044594F" w:rsidP="0044594F">
      <w:pPr>
        <w:keepNext/>
      </w:pPr>
      <w:r w:rsidRPr="00927302">
        <w:t xml:space="preserve">The charging parameters of this tariff are shown in </w:t>
      </w:r>
      <w:r w:rsidR="00575C9A">
        <w:fldChar w:fldCharType="begin"/>
      </w:r>
      <w:r>
        <w:instrText xml:space="preserve"> REF _Ref134005076 \h </w:instrText>
      </w:r>
      <w:r w:rsidR="00575C9A">
        <w:fldChar w:fldCharType="separate"/>
      </w:r>
      <w:r w:rsidR="00A81AFE" w:rsidRPr="00927302">
        <w:t xml:space="preserve">Table </w:t>
      </w:r>
      <w:r w:rsidR="00A81AFE">
        <w:rPr>
          <w:noProof/>
        </w:rPr>
        <w:t>17</w:t>
      </w:r>
      <w:r w:rsidR="00575C9A">
        <w:fldChar w:fldCharType="end"/>
      </w:r>
      <w:r w:rsidRPr="00927302">
        <w:t>.</w:t>
      </w:r>
    </w:p>
    <w:p w:rsidR="00651846" w:rsidRPr="00927302" w:rsidRDefault="00651846" w:rsidP="0044594F">
      <w:pPr>
        <w:keepNext/>
      </w:pPr>
    </w:p>
    <w:p w:rsidR="0044594F" w:rsidRPr="00927302" w:rsidRDefault="0044594F" w:rsidP="0044594F">
      <w:pPr>
        <w:pStyle w:val="Caption"/>
        <w:keepNext/>
      </w:pPr>
      <w:bookmarkStart w:id="63" w:name="_Ref134005076"/>
      <w:bookmarkStart w:id="64" w:name="_Ref134005058"/>
      <w:r w:rsidRPr="00927302">
        <w:t xml:space="preserve">Table </w:t>
      </w:r>
      <w:r w:rsidR="00924A8F">
        <w:fldChar w:fldCharType="begin"/>
      </w:r>
      <w:r w:rsidR="00924A8F">
        <w:instrText xml:space="preserve"> SEQ Table \* ARABIC </w:instrText>
      </w:r>
      <w:r w:rsidR="00924A8F">
        <w:fldChar w:fldCharType="separate"/>
      </w:r>
      <w:r w:rsidR="00A81AFE">
        <w:rPr>
          <w:noProof/>
        </w:rPr>
        <w:t>17</w:t>
      </w:r>
      <w:r w:rsidR="00924A8F">
        <w:rPr>
          <w:noProof/>
        </w:rPr>
        <w:fldChar w:fldCharType="end"/>
      </w:r>
      <w:bookmarkEnd w:id="63"/>
      <w:r w:rsidRPr="00927302">
        <w:t xml:space="preserve"> - </w:t>
      </w:r>
      <w:r>
        <w:t>Z</w:t>
      </w:r>
      <w:r w:rsidRPr="00927302">
        <w:t>one substation kVA demand locational tariff charging parameters</w:t>
      </w:r>
      <w:bookmarkEnd w:id="64"/>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2"/>
        <w:gridCol w:w="848"/>
        <w:gridCol w:w="992"/>
        <w:gridCol w:w="1276"/>
        <w:gridCol w:w="1843"/>
        <w:gridCol w:w="1134"/>
        <w:gridCol w:w="1559"/>
      </w:tblGrid>
      <w:tr w:rsidR="0044594F" w:rsidRPr="00927302" w:rsidTr="00651846">
        <w:tc>
          <w:tcPr>
            <w:tcW w:w="1562"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48"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6804"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562"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48"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992"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Direct</w:t>
            </w:r>
            <w:r w:rsidRPr="003022DF">
              <w:rPr>
                <w:b/>
                <w:spacing w:val="-4"/>
                <w:sz w:val="20"/>
                <w:szCs w:val="20"/>
              </w:rPr>
              <w:br/>
              <w:t>control</w:t>
            </w:r>
          </w:p>
        </w:tc>
        <w:tc>
          <w:tcPr>
            <w:tcW w:w="1276"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Transmission</w:t>
            </w:r>
            <w:r w:rsidRPr="003022DF">
              <w:rPr>
                <w:b/>
                <w:spacing w:val="-4"/>
                <w:sz w:val="20"/>
                <w:szCs w:val="20"/>
              </w:rPr>
              <w:br/>
              <w:t>recovery</w:t>
            </w:r>
          </w:p>
        </w:tc>
        <w:tc>
          <w:tcPr>
            <w:tcW w:w="1843" w:type="dxa"/>
            <w:vMerge w:val="restart"/>
            <w:tcBorders>
              <w:top w:val="single" w:sz="4" w:space="0" w:color="000000"/>
            </w:tcBorders>
            <w:shd w:val="solid" w:color="FAB585" w:themeColor="accent3" w:fill="auto"/>
          </w:tcPr>
          <w:p w:rsidR="0044594F" w:rsidRPr="003022DF" w:rsidRDefault="003022DF" w:rsidP="00244338">
            <w:pPr>
              <w:keepNext/>
              <w:spacing w:before="40"/>
              <w:jc w:val="center"/>
              <w:rPr>
                <w:b/>
                <w:spacing w:val="-4"/>
                <w:sz w:val="20"/>
                <w:szCs w:val="20"/>
              </w:rPr>
            </w:pPr>
            <w:r w:rsidRPr="003022DF">
              <w:rPr>
                <w:b/>
                <w:sz w:val="20"/>
                <w:szCs w:val="20"/>
              </w:rPr>
              <w:t>Jurisdictional Scheme Amount Pass Through</w:t>
            </w:r>
          </w:p>
        </w:tc>
        <w:tc>
          <w:tcPr>
            <w:tcW w:w="1134"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Alternative</w:t>
            </w:r>
            <w:r w:rsidRPr="003022DF">
              <w:rPr>
                <w:b/>
                <w:spacing w:val="-4"/>
                <w:sz w:val="20"/>
                <w:szCs w:val="20"/>
              </w:rPr>
              <w:br/>
              <w:t>control</w:t>
            </w:r>
          </w:p>
        </w:tc>
        <w:tc>
          <w:tcPr>
            <w:tcW w:w="1559" w:type="dxa"/>
            <w:tcBorders>
              <w:top w:val="single" w:sz="4" w:space="0" w:color="000000"/>
              <w:bottom w:val="nil"/>
            </w:tcBorders>
            <w:shd w:val="solid" w:color="FAB585" w:themeColor="accent3" w:fill="auto"/>
          </w:tcPr>
          <w:p w:rsidR="0044594F" w:rsidRPr="003022DF" w:rsidRDefault="0044594F" w:rsidP="00393E4F">
            <w:pPr>
              <w:keepNext/>
              <w:spacing w:before="40"/>
              <w:rPr>
                <w:b/>
                <w:spacing w:val="-4"/>
                <w:sz w:val="20"/>
                <w:szCs w:val="20"/>
              </w:rPr>
            </w:pPr>
            <w:r w:rsidRPr="003022DF">
              <w:rPr>
                <w:b/>
                <w:spacing w:val="-4"/>
                <w:sz w:val="20"/>
                <w:szCs w:val="20"/>
              </w:rPr>
              <w:t>Description</w:t>
            </w:r>
          </w:p>
        </w:tc>
      </w:tr>
      <w:tr w:rsidR="0044594F" w:rsidRPr="00927302" w:rsidTr="003022DF">
        <w:tc>
          <w:tcPr>
            <w:tcW w:w="1562" w:type="dxa"/>
            <w:tcBorders>
              <w:top w:val="nil"/>
            </w:tcBorders>
            <w:shd w:val="solid" w:color="FAB585" w:themeColor="accent3" w:fill="auto"/>
          </w:tcPr>
          <w:p w:rsidR="0044594F" w:rsidRPr="00927302" w:rsidRDefault="0044594F" w:rsidP="00393E4F">
            <w:pPr>
              <w:keepNext/>
              <w:spacing w:after="40"/>
              <w:rPr>
                <w:b/>
              </w:rPr>
            </w:pPr>
          </w:p>
        </w:tc>
        <w:tc>
          <w:tcPr>
            <w:tcW w:w="848" w:type="dxa"/>
            <w:tcBorders>
              <w:top w:val="nil"/>
            </w:tcBorders>
            <w:shd w:val="solid" w:color="FAB585" w:themeColor="accent3" w:fill="auto"/>
          </w:tcPr>
          <w:p w:rsidR="0044594F" w:rsidRPr="00927302" w:rsidRDefault="0044594F" w:rsidP="00393E4F">
            <w:pPr>
              <w:keepNext/>
              <w:spacing w:after="40"/>
              <w:rPr>
                <w:b/>
              </w:rPr>
            </w:pPr>
          </w:p>
        </w:tc>
        <w:tc>
          <w:tcPr>
            <w:tcW w:w="992"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DUoS</w:t>
            </w:r>
          </w:p>
        </w:tc>
        <w:tc>
          <w:tcPr>
            <w:tcW w:w="1276"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TUoS</w:t>
            </w:r>
          </w:p>
        </w:tc>
        <w:tc>
          <w:tcPr>
            <w:tcW w:w="1843" w:type="dxa"/>
            <w:vMerge/>
            <w:shd w:val="solid" w:color="FAB585" w:themeColor="accent3" w:fill="auto"/>
          </w:tcPr>
          <w:p w:rsidR="0044594F" w:rsidRPr="003022DF" w:rsidRDefault="0044594F" w:rsidP="00393E4F">
            <w:pPr>
              <w:keepNext/>
              <w:spacing w:after="40"/>
              <w:jc w:val="center"/>
              <w:rPr>
                <w:b/>
                <w:spacing w:val="-4"/>
                <w:sz w:val="20"/>
                <w:szCs w:val="20"/>
              </w:rPr>
            </w:pPr>
          </w:p>
        </w:tc>
        <w:tc>
          <w:tcPr>
            <w:tcW w:w="1134"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Metering</w:t>
            </w:r>
          </w:p>
        </w:tc>
        <w:tc>
          <w:tcPr>
            <w:tcW w:w="1559" w:type="dxa"/>
            <w:tcBorders>
              <w:top w:val="nil"/>
            </w:tcBorders>
            <w:shd w:val="solid" w:color="FAB585" w:themeColor="accent3" w:fill="auto"/>
          </w:tcPr>
          <w:p w:rsidR="0044594F" w:rsidRPr="003022DF" w:rsidRDefault="0044594F" w:rsidP="00393E4F">
            <w:pPr>
              <w:keepNext/>
              <w:spacing w:after="40"/>
              <w:rPr>
                <w:b/>
                <w:spacing w:val="-4"/>
                <w:sz w:val="20"/>
                <w:szCs w:val="20"/>
              </w:rPr>
            </w:pP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Supply Rate</w:t>
            </w:r>
          </w:p>
        </w:tc>
        <w:tc>
          <w:tcPr>
            <w:tcW w:w="848" w:type="dxa"/>
            <w:shd w:val="clear" w:color="auto" w:fill="auto"/>
          </w:tcPr>
          <w:p w:rsidR="0044594F" w:rsidRPr="00927302" w:rsidRDefault="0044594F" w:rsidP="00393E4F">
            <w:pPr>
              <w:keepNext/>
              <w:spacing w:before="40" w:after="40"/>
            </w:pPr>
            <w:r w:rsidRPr="00927302">
              <w:t>$/day</w:t>
            </w:r>
          </w:p>
        </w:tc>
        <w:tc>
          <w:tcPr>
            <w:tcW w:w="992" w:type="dxa"/>
            <w:shd w:val="clear" w:color="auto" w:fill="auto"/>
          </w:tcPr>
          <w:p w:rsidR="0044594F" w:rsidRPr="00927302" w:rsidRDefault="0044594F" w:rsidP="00393E4F">
            <w:pPr>
              <w:keepNext/>
              <w:jc w:val="center"/>
            </w:pPr>
            <w:r w:rsidRPr="00927302">
              <w:rPr>
                <w:b/>
                <w:sz w:val="28"/>
              </w:rPr>
              <w:t>-</w:t>
            </w:r>
          </w:p>
        </w:tc>
        <w:tc>
          <w:tcPr>
            <w:tcW w:w="1276" w:type="dxa"/>
            <w:shd w:val="clear" w:color="auto" w:fill="auto"/>
          </w:tcPr>
          <w:p w:rsidR="0044594F" w:rsidRPr="00927302" w:rsidRDefault="0044594F" w:rsidP="00393E4F">
            <w:pPr>
              <w:keepNext/>
              <w:jc w:val="center"/>
            </w:pPr>
            <w:r w:rsidRPr="00927302">
              <w:t>Locational</w:t>
            </w:r>
          </w:p>
        </w:tc>
        <w:tc>
          <w:tcPr>
            <w:tcW w:w="1843" w:type="dxa"/>
            <w:shd w:val="clear" w:color="auto" w:fill="auto"/>
          </w:tcPr>
          <w:p w:rsidR="0044594F" w:rsidRPr="00927302" w:rsidRDefault="0044594F" w:rsidP="00393E4F">
            <w:pPr>
              <w:keepNext/>
              <w:jc w:val="center"/>
            </w:pPr>
          </w:p>
        </w:tc>
        <w:tc>
          <w:tcPr>
            <w:tcW w:w="1134" w:type="dxa"/>
            <w:shd w:val="clear" w:color="auto" w:fill="auto"/>
          </w:tcPr>
          <w:p w:rsidR="0044594F" w:rsidRPr="00927302" w:rsidRDefault="0044594F" w:rsidP="00393E4F">
            <w:pPr>
              <w:keepNext/>
              <w:jc w:val="center"/>
            </w:pPr>
            <w:r w:rsidRPr="00927302">
              <w:t>If applicable</w:t>
            </w:r>
          </w:p>
        </w:tc>
        <w:tc>
          <w:tcPr>
            <w:tcW w:w="1559" w:type="dxa"/>
            <w:shd w:val="clear" w:color="auto" w:fill="auto"/>
          </w:tcPr>
          <w:p w:rsidR="0044594F" w:rsidRPr="00927302" w:rsidRDefault="0044594F" w:rsidP="00393E4F">
            <w:pPr>
              <w:keepNext/>
              <w:spacing w:before="40" w:after="40"/>
            </w:pPr>
            <w:r w:rsidRPr="00927302">
              <w:t>Fixed daily charge</w:t>
            </w: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Annual Demand Rate</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992" w:type="dxa"/>
            <w:shd w:val="clear" w:color="auto" w:fill="auto"/>
          </w:tcPr>
          <w:p w:rsidR="0044594F" w:rsidRPr="00927302" w:rsidRDefault="0044594F" w:rsidP="00393E4F">
            <w:pPr>
              <w:jc w:val="center"/>
            </w:pPr>
            <w:r>
              <w:rPr>
                <w:b/>
                <w:sz w:val="28"/>
              </w:rPr>
              <w:t>X</w:t>
            </w:r>
          </w:p>
        </w:tc>
        <w:tc>
          <w:tcPr>
            <w:tcW w:w="1276" w:type="dxa"/>
            <w:shd w:val="clear" w:color="auto" w:fill="auto"/>
          </w:tcPr>
          <w:p w:rsidR="0044594F" w:rsidRPr="00927302" w:rsidRDefault="00244338" w:rsidP="00393E4F">
            <w:pPr>
              <w:keepNext/>
              <w:jc w:val="center"/>
            </w:pPr>
            <w:r w:rsidRPr="00927302">
              <w:t>Locational</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559" w:type="dxa"/>
            <w:shd w:val="clear" w:color="auto" w:fill="auto"/>
          </w:tcPr>
          <w:p w:rsidR="0044594F" w:rsidRPr="00927302" w:rsidRDefault="0044594F" w:rsidP="00244338">
            <w:pPr>
              <w:keepNext/>
              <w:spacing w:before="40" w:after="40"/>
            </w:pPr>
            <w:r w:rsidRPr="00927302">
              <w:t xml:space="preserve">For peak demand </w:t>
            </w: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Additional demand</w:t>
            </w:r>
          </w:p>
        </w:tc>
        <w:tc>
          <w:tcPr>
            <w:tcW w:w="848" w:type="dxa"/>
            <w:shd w:val="clear" w:color="auto" w:fill="auto"/>
          </w:tcPr>
          <w:p w:rsidR="0044594F" w:rsidRPr="00927302" w:rsidRDefault="0044594F" w:rsidP="00393E4F">
            <w:pPr>
              <w:keepNext/>
              <w:spacing w:before="40" w:after="40"/>
            </w:pPr>
            <w:r w:rsidRPr="00927302">
              <w:t>$/kVA</w:t>
            </w:r>
            <w:r>
              <w:br/>
            </w:r>
            <w:r w:rsidRPr="00927302">
              <w:t>/mth</w:t>
            </w:r>
          </w:p>
        </w:tc>
        <w:tc>
          <w:tcPr>
            <w:tcW w:w="992" w:type="dxa"/>
            <w:shd w:val="clear" w:color="auto" w:fill="auto"/>
          </w:tcPr>
          <w:p w:rsidR="0044594F" w:rsidRPr="00927302" w:rsidRDefault="0044594F" w:rsidP="00393E4F">
            <w:pPr>
              <w:jc w:val="center"/>
            </w:pPr>
            <w:r>
              <w:rPr>
                <w:b/>
                <w:sz w:val="28"/>
              </w:rPr>
              <w:t>X</w:t>
            </w:r>
          </w:p>
        </w:tc>
        <w:tc>
          <w:tcPr>
            <w:tcW w:w="1276"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559" w:type="dxa"/>
            <w:shd w:val="clear" w:color="auto" w:fill="auto"/>
          </w:tcPr>
          <w:p w:rsidR="0044594F" w:rsidRPr="00927302" w:rsidRDefault="0044594F" w:rsidP="00393E4F">
            <w:pPr>
              <w:keepNext/>
              <w:spacing w:before="40" w:after="40"/>
            </w:pPr>
            <w:r w:rsidRPr="002520E5">
              <w:t>Demand in excess of that required during summer peak hours.</w:t>
            </w:r>
          </w:p>
        </w:tc>
      </w:tr>
      <w:tr w:rsidR="0044594F" w:rsidRPr="00927302" w:rsidTr="00244338">
        <w:tc>
          <w:tcPr>
            <w:tcW w:w="1562" w:type="dxa"/>
            <w:shd w:val="clear" w:color="auto" w:fill="auto"/>
          </w:tcPr>
          <w:p w:rsidR="0044594F" w:rsidRPr="00927302" w:rsidRDefault="0044594F" w:rsidP="00393E4F">
            <w:pPr>
              <w:keepNext/>
              <w:spacing w:before="40" w:after="40"/>
            </w:pPr>
            <w:r w:rsidRPr="00927302">
              <w:t>Usage Rate</w:t>
            </w:r>
          </w:p>
        </w:tc>
        <w:tc>
          <w:tcPr>
            <w:tcW w:w="848" w:type="dxa"/>
            <w:shd w:val="clear" w:color="auto" w:fill="auto"/>
          </w:tcPr>
          <w:p w:rsidR="0044594F" w:rsidRPr="00927302" w:rsidRDefault="0044594F" w:rsidP="00393E4F">
            <w:pPr>
              <w:keepNext/>
              <w:spacing w:before="40" w:after="40"/>
            </w:pPr>
            <w:r w:rsidRPr="00927302">
              <w:t>$/kWh</w:t>
            </w:r>
          </w:p>
        </w:tc>
        <w:tc>
          <w:tcPr>
            <w:tcW w:w="992" w:type="dxa"/>
            <w:shd w:val="clear" w:color="auto" w:fill="auto"/>
          </w:tcPr>
          <w:p w:rsidR="0044594F" w:rsidRPr="00927302" w:rsidRDefault="0044594F" w:rsidP="00393E4F">
            <w:pPr>
              <w:jc w:val="center"/>
            </w:pPr>
            <w:r>
              <w:rPr>
                <w:b/>
                <w:sz w:val="28"/>
              </w:rPr>
              <w:t>X</w:t>
            </w:r>
          </w:p>
        </w:tc>
        <w:tc>
          <w:tcPr>
            <w:tcW w:w="1276" w:type="dxa"/>
            <w:shd w:val="clear" w:color="auto" w:fill="auto"/>
          </w:tcPr>
          <w:p w:rsidR="0044594F" w:rsidRPr="00927302" w:rsidRDefault="00244338" w:rsidP="00393E4F">
            <w:pPr>
              <w:keepNext/>
              <w:jc w:val="center"/>
            </w:pPr>
            <w:r>
              <w:rPr>
                <w:b/>
                <w:sz w:val="28"/>
              </w:rPr>
              <w:t>X</w:t>
            </w:r>
          </w:p>
        </w:tc>
        <w:tc>
          <w:tcPr>
            <w:tcW w:w="1843" w:type="dxa"/>
            <w:shd w:val="clear" w:color="auto" w:fill="auto"/>
          </w:tcPr>
          <w:p w:rsidR="0044594F" w:rsidRPr="00AE09A4" w:rsidRDefault="0044594F" w:rsidP="00393E4F">
            <w:pPr>
              <w:keepNext/>
              <w:jc w:val="center"/>
              <w:rPr>
                <w:b/>
                <w:sz w:val="28"/>
                <w:szCs w:val="28"/>
              </w:rPr>
            </w:pPr>
            <w:r w:rsidRPr="00AE09A4">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559" w:type="dxa"/>
            <w:shd w:val="clear" w:color="auto" w:fill="auto"/>
          </w:tcPr>
          <w:p w:rsidR="0044594F" w:rsidRPr="00927302" w:rsidRDefault="0044594F" w:rsidP="00244338">
            <w:pPr>
              <w:keepNext/>
              <w:spacing w:before="40" w:after="40"/>
            </w:pPr>
            <w:r w:rsidRPr="00927302">
              <w:t>For all energy consumption</w:t>
            </w:r>
          </w:p>
        </w:tc>
      </w:tr>
    </w:tbl>
    <w:p w:rsidR="0044594F" w:rsidRPr="00927302" w:rsidRDefault="0044594F" w:rsidP="0044594F"/>
    <w:p w:rsidR="00244338" w:rsidRDefault="00244338" w:rsidP="00244338">
      <w:r>
        <w:t>Metering charges are discussed in detail separately in this Pricing Proposal.</w:t>
      </w:r>
    </w:p>
    <w:p w:rsidR="0044594F" w:rsidRPr="00927302" w:rsidRDefault="0044594F" w:rsidP="009A26B4">
      <w:pPr>
        <w:pStyle w:val="Heading3"/>
      </w:pPr>
      <w:r w:rsidRPr="00927302">
        <w:t>Subtransmission kVA demand locational tariff</w:t>
      </w:r>
    </w:p>
    <w:p w:rsidR="00244338" w:rsidRDefault="0044594F" w:rsidP="0044594F">
      <w:pPr>
        <w:keepNext/>
      </w:pPr>
      <w:r w:rsidRPr="00927302">
        <w:t xml:space="preserve">Subtransmission customers are connected to </w:t>
      </w:r>
      <w:r w:rsidR="00EA36E3">
        <w:t>SA Power Networks</w:t>
      </w:r>
      <w:r w:rsidRPr="00927302">
        <w:t xml:space="preserve">’ network at 66 or 33 kV and have a minimum </w:t>
      </w:r>
      <w:r w:rsidR="00244338">
        <w:t xml:space="preserve">anytime agreed </w:t>
      </w:r>
      <w:r w:rsidRPr="00927302">
        <w:t xml:space="preserve">demand of </w:t>
      </w:r>
      <w:r w:rsidR="00244338">
        <w:t>5</w:t>
      </w:r>
      <w:r w:rsidRPr="00927302">
        <w:t> M</w:t>
      </w:r>
      <w:r w:rsidR="00244338">
        <w:t>VA</w:t>
      </w:r>
      <w:r w:rsidRPr="00927302">
        <w:t xml:space="preserve">.  </w:t>
      </w:r>
      <w:r w:rsidR="00244338">
        <w:t xml:space="preserve">Previously, the minimum was 10 MVA.  </w:t>
      </w:r>
      <w:r w:rsidRPr="00927302">
        <w:t xml:space="preserve">The tariff for these customers is similar in structure to the zone substation kVA demand locational tariff.  </w:t>
      </w:r>
    </w:p>
    <w:p w:rsidR="00244338" w:rsidRDefault="00244338" w:rsidP="0044594F">
      <w:pPr>
        <w:keepNext/>
      </w:pPr>
    </w:p>
    <w:p w:rsidR="00244338" w:rsidRDefault="00244338" w:rsidP="00244338">
      <w:pPr>
        <w:keepNext/>
      </w:pPr>
      <w:r>
        <w:t>The TUoS component typically comprises a locational supply charge (for exit charges) and a locational peak demand charge.  Some customers with a low load factor may have a lower demand charge but also have a usage charge.</w:t>
      </w:r>
    </w:p>
    <w:p w:rsidR="00244338" w:rsidRDefault="00244338" w:rsidP="0044594F">
      <w:pPr>
        <w:keepNext/>
      </w:pPr>
    </w:p>
    <w:p w:rsidR="0044594F" w:rsidRDefault="0044594F" w:rsidP="0044594F">
      <w:pPr>
        <w:keepNext/>
      </w:pPr>
      <w:r w:rsidRPr="00927302">
        <w:t xml:space="preserve">The charging parameters for the tariff are set out in </w:t>
      </w:r>
      <w:r w:rsidR="00575C9A">
        <w:fldChar w:fldCharType="begin"/>
      </w:r>
      <w:r>
        <w:instrText xml:space="preserve"> REF _Ref133817868 \h </w:instrText>
      </w:r>
      <w:r w:rsidR="00575C9A">
        <w:fldChar w:fldCharType="separate"/>
      </w:r>
      <w:r w:rsidR="00A81AFE" w:rsidRPr="00927302">
        <w:t xml:space="preserve">Table </w:t>
      </w:r>
      <w:r w:rsidR="00A81AFE">
        <w:rPr>
          <w:noProof/>
        </w:rPr>
        <w:t>18</w:t>
      </w:r>
      <w:r w:rsidR="00575C9A">
        <w:fldChar w:fldCharType="end"/>
      </w:r>
      <w:r w:rsidRPr="00927302">
        <w:t>.</w:t>
      </w:r>
    </w:p>
    <w:p w:rsidR="00651846" w:rsidRPr="00927302" w:rsidRDefault="00651846" w:rsidP="0044594F">
      <w:pPr>
        <w:keepNext/>
      </w:pPr>
    </w:p>
    <w:p w:rsidR="0044594F" w:rsidRPr="00927302" w:rsidRDefault="0044594F" w:rsidP="0044594F">
      <w:pPr>
        <w:pStyle w:val="Caption"/>
        <w:keepNext/>
      </w:pPr>
      <w:bookmarkStart w:id="65" w:name="_Ref133817868"/>
      <w:r w:rsidRPr="00927302">
        <w:t xml:space="preserve">Table </w:t>
      </w:r>
      <w:r w:rsidR="00924A8F">
        <w:fldChar w:fldCharType="begin"/>
      </w:r>
      <w:r w:rsidR="00924A8F">
        <w:instrText xml:space="preserve"> SEQ Table \* ARABIC </w:instrText>
      </w:r>
      <w:r w:rsidR="00924A8F">
        <w:fldChar w:fldCharType="separate"/>
      </w:r>
      <w:r w:rsidR="00A81AFE">
        <w:rPr>
          <w:noProof/>
        </w:rPr>
        <w:t>18</w:t>
      </w:r>
      <w:r w:rsidR="00924A8F">
        <w:rPr>
          <w:noProof/>
        </w:rPr>
        <w:fldChar w:fldCharType="end"/>
      </w:r>
      <w:bookmarkEnd w:id="65"/>
      <w:r w:rsidRPr="00927302">
        <w:t xml:space="preserve"> - Subtransmission kVA demand locational tariff charging parameters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850"/>
        <w:gridCol w:w="851"/>
        <w:gridCol w:w="1276"/>
        <w:gridCol w:w="1842"/>
        <w:gridCol w:w="1134"/>
        <w:gridCol w:w="1843"/>
      </w:tblGrid>
      <w:tr w:rsidR="0044594F" w:rsidRPr="00927302" w:rsidTr="00651846">
        <w:tc>
          <w:tcPr>
            <w:tcW w:w="1418" w:type="dxa"/>
            <w:vMerge w:val="restart"/>
            <w:tcBorders>
              <w:bottom w:val="nil"/>
            </w:tcBorders>
            <w:shd w:val="solid" w:color="FAB585" w:themeColor="accent3" w:fill="auto"/>
          </w:tcPr>
          <w:p w:rsidR="0044594F" w:rsidRPr="00927302" w:rsidRDefault="0044594F" w:rsidP="00393E4F">
            <w:pPr>
              <w:keepNext/>
              <w:spacing w:before="40" w:after="40"/>
              <w:rPr>
                <w:b/>
              </w:rPr>
            </w:pPr>
            <w:r w:rsidRPr="00927302">
              <w:rPr>
                <w:b/>
              </w:rPr>
              <w:t xml:space="preserve">Charging </w:t>
            </w:r>
          </w:p>
          <w:p w:rsidR="0044594F" w:rsidRPr="00927302" w:rsidRDefault="0044594F" w:rsidP="00393E4F">
            <w:pPr>
              <w:keepNext/>
              <w:spacing w:before="40" w:after="40"/>
              <w:rPr>
                <w:b/>
              </w:rPr>
            </w:pPr>
            <w:r w:rsidRPr="00927302">
              <w:rPr>
                <w:b/>
              </w:rPr>
              <w:t>Parameter</w:t>
            </w:r>
          </w:p>
        </w:tc>
        <w:tc>
          <w:tcPr>
            <w:tcW w:w="850" w:type="dxa"/>
            <w:tcBorders>
              <w:bottom w:val="nil"/>
            </w:tcBorders>
            <w:shd w:val="solid" w:color="FAB585" w:themeColor="accent3" w:fill="auto"/>
          </w:tcPr>
          <w:p w:rsidR="0044594F" w:rsidRPr="00927302" w:rsidRDefault="0044594F" w:rsidP="00393E4F">
            <w:pPr>
              <w:keepNext/>
              <w:spacing w:before="40" w:after="40"/>
              <w:rPr>
                <w:b/>
              </w:rPr>
            </w:pPr>
            <w:r w:rsidRPr="00927302">
              <w:rPr>
                <w:b/>
              </w:rPr>
              <w:t>Units</w:t>
            </w:r>
          </w:p>
        </w:tc>
        <w:tc>
          <w:tcPr>
            <w:tcW w:w="6946" w:type="dxa"/>
            <w:gridSpan w:val="5"/>
            <w:tcBorders>
              <w:bottom w:val="single" w:sz="4" w:space="0" w:color="000000"/>
            </w:tcBorders>
            <w:shd w:val="solid" w:color="FAB585" w:themeColor="accent3" w:fill="auto"/>
          </w:tcPr>
          <w:p w:rsidR="0044594F" w:rsidRPr="00927302" w:rsidRDefault="0044594F" w:rsidP="00393E4F">
            <w:pPr>
              <w:keepNext/>
              <w:spacing w:before="40" w:after="40"/>
              <w:jc w:val="center"/>
              <w:rPr>
                <w:b/>
              </w:rPr>
            </w:pPr>
            <w:r w:rsidRPr="00927302">
              <w:rPr>
                <w:b/>
              </w:rPr>
              <w:t>Element of service</w:t>
            </w:r>
          </w:p>
        </w:tc>
      </w:tr>
      <w:tr w:rsidR="0044594F" w:rsidRPr="00927302" w:rsidTr="003022DF">
        <w:tc>
          <w:tcPr>
            <w:tcW w:w="1418" w:type="dxa"/>
            <w:vMerge/>
            <w:tcBorders>
              <w:top w:val="nil"/>
              <w:bottom w:val="nil"/>
            </w:tcBorders>
            <w:shd w:val="solid" w:color="FAB585" w:themeColor="accent3" w:fill="auto"/>
          </w:tcPr>
          <w:p w:rsidR="0044594F" w:rsidRPr="00927302" w:rsidRDefault="0044594F" w:rsidP="00393E4F">
            <w:pPr>
              <w:keepNext/>
              <w:spacing w:before="40" w:after="40"/>
              <w:rPr>
                <w:b/>
              </w:rPr>
            </w:pPr>
          </w:p>
        </w:tc>
        <w:tc>
          <w:tcPr>
            <w:tcW w:w="850" w:type="dxa"/>
            <w:tcBorders>
              <w:top w:val="nil"/>
              <w:bottom w:val="nil"/>
            </w:tcBorders>
            <w:shd w:val="solid" w:color="FAB585" w:themeColor="accent3" w:fill="auto"/>
          </w:tcPr>
          <w:p w:rsidR="0044594F" w:rsidRPr="00927302" w:rsidRDefault="0044594F" w:rsidP="00393E4F">
            <w:pPr>
              <w:keepNext/>
              <w:spacing w:before="40" w:after="40"/>
              <w:rPr>
                <w:b/>
              </w:rPr>
            </w:pPr>
          </w:p>
        </w:tc>
        <w:tc>
          <w:tcPr>
            <w:tcW w:w="851"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Direct</w:t>
            </w:r>
            <w:r w:rsidRPr="003022DF">
              <w:rPr>
                <w:b/>
                <w:spacing w:val="-4"/>
                <w:sz w:val="20"/>
                <w:szCs w:val="20"/>
              </w:rPr>
              <w:br/>
              <w:t>control</w:t>
            </w:r>
          </w:p>
        </w:tc>
        <w:tc>
          <w:tcPr>
            <w:tcW w:w="1276"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Transmission</w:t>
            </w:r>
            <w:r w:rsidRPr="003022DF">
              <w:rPr>
                <w:b/>
                <w:spacing w:val="-4"/>
                <w:sz w:val="20"/>
                <w:szCs w:val="20"/>
              </w:rPr>
              <w:br/>
              <w:t>recovery</w:t>
            </w:r>
          </w:p>
        </w:tc>
        <w:tc>
          <w:tcPr>
            <w:tcW w:w="1842" w:type="dxa"/>
            <w:vMerge w:val="restart"/>
            <w:tcBorders>
              <w:top w:val="single" w:sz="4" w:space="0" w:color="000000"/>
            </w:tcBorders>
            <w:shd w:val="solid" w:color="FAB585" w:themeColor="accent3" w:fill="auto"/>
          </w:tcPr>
          <w:p w:rsidR="0044594F" w:rsidRPr="003022DF" w:rsidRDefault="003022DF" w:rsidP="008400C4">
            <w:pPr>
              <w:keepNext/>
              <w:spacing w:before="40"/>
              <w:jc w:val="center"/>
              <w:rPr>
                <w:b/>
                <w:spacing w:val="-4"/>
                <w:sz w:val="20"/>
                <w:szCs w:val="20"/>
              </w:rPr>
            </w:pPr>
            <w:r w:rsidRPr="003022DF">
              <w:rPr>
                <w:b/>
                <w:sz w:val="20"/>
                <w:szCs w:val="20"/>
              </w:rPr>
              <w:t>Jurisdictional Scheme Amount Pass Through</w:t>
            </w:r>
          </w:p>
        </w:tc>
        <w:tc>
          <w:tcPr>
            <w:tcW w:w="1134" w:type="dxa"/>
            <w:tcBorders>
              <w:top w:val="single" w:sz="4" w:space="0" w:color="000000"/>
              <w:bottom w:val="nil"/>
            </w:tcBorders>
            <w:shd w:val="solid" w:color="FAB585" w:themeColor="accent3" w:fill="auto"/>
          </w:tcPr>
          <w:p w:rsidR="0044594F" w:rsidRPr="003022DF" w:rsidRDefault="0044594F" w:rsidP="00393E4F">
            <w:pPr>
              <w:keepNext/>
              <w:spacing w:before="40"/>
              <w:jc w:val="center"/>
              <w:rPr>
                <w:b/>
                <w:spacing w:val="-4"/>
                <w:sz w:val="20"/>
                <w:szCs w:val="20"/>
              </w:rPr>
            </w:pPr>
            <w:r w:rsidRPr="003022DF">
              <w:rPr>
                <w:b/>
                <w:spacing w:val="-4"/>
                <w:sz w:val="20"/>
                <w:szCs w:val="20"/>
              </w:rPr>
              <w:t>Alternative</w:t>
            </w:r>
            <w:r w:rsidRPr="003022DF">
              <w:rPr>
                <w:b/>
                <w:spacing w:val="-4"/>
                <w:sz w:val="20"/>
                <w:szCs w:val="20"/>
              </w:rPr>
              <w:br/>
              <w:t>control</w:t>
            </w:r>
          </w:p>
        </w:tc>
        <w:tc>
          <w:tcPr>
            <w:tcW w:w="1843" w:type="dxa"/>
            <w:tcBorders>
              <w:top w:val="single" w:sz="4" w:space="0" w:color="000000"/>
              <w:bottom w:val="nil"/>
            </w:tcBorders>
            <w:shd w:val="solid" w:color="FAB585" w:themeColor="accent3" w:fill="auto"/>
          </w:tcPr>
          <w:p w:rsidR="0044594F" w:rsidRPr="003022DF" w:rsidRDefault="0044594F" w:rsidP="00393E4F">
            <w:pPr>
              <w:keepNext/>
              <w:spacing w:before="40" w:after="40"/>
              <w:rPr>
                <w:b/>
                <w:spacing w:val="-4"/>
                <w:sz w:val="20"/>
                <w:szCs w:val="20"/>
              </w:rPr>
            </w:pPr>
            <w:r w:rsidRPr="003022DF">
              <w:rPr>
                <w:b/>
                <w:spacing w:val="-4"/>
                <w:sz w:val="20"/>
                <w:szCs w:val="20"/>
              </w:rPr>
              <w:t>Description</w:t>
            </w:r>
          </w:p>
        </w:tc>
      </w:tr>
      <w:tr w:rsidR="0044594F" w:rsidRPr="00927302" w:rsidTr="003022DF">
        <w:tc>
          <w:tcPr>
            <w:tcW w:w="1418" w:type="dxa"/>
            <w:tcBorders>
              <w:top w:val="nil"/>
            </w:tcBorders>
            <w:shd w:val="solid" w:color="FAB585" w:themeColor="accent3" w:fill="auto"/>
          </w:tcPr>
          <w:p w:rsidR="0044594F" w:rsidRPr="00927302" w:rsidRDefault="0044594F" w:rsidP="00393E4F">
            <w:pPr>
              <w:keepNext/>
              <w:spacing w:after="40"/>
              <w:rPr>
                <w:b/>
              </w:rPr>
            </w:pPr>
          </w:p>
        </w:tc>
        <w:tc>
          <w:tcPr>
            <w:tcW w:w="850" w:type="dxa"/>
            <w:tcBorders>
              <w:top w:val="nil"/>
            </w:tcBorders>
            <w:shd w:val="solid" w:color="FAB585" w:themeColor="accent3" w:fill="auto"/>
          </w:tcPr>
          <w:p w:rsidR="0044594F" w:rsidRPr="00927302" w:rsidRDefault="0044594F" w:rsidP="00393E4F">
            <w:pPr>
              <w:keepNext/>
              <w:spacing w:after="40"/>
              <w:rPr>
                <w:b/>
              </w:rPr>
            </w:pPr>
          </w:p>
        </w:tc>
        <w:tc>
          <w:tcPr>
            <w:tcW w:w="851"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DUoS</w:t>
            </w:r>
          </w:p>
        </w:tc>
        <w:tc>
          <w:tcPr>
            <w:tcW w:w="1276"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TUoS</w:t>
            </w:r>
          </w:p>
        </w:tc>
        <w:tc>
          <w:tcPr>
            <w:tcW w:w="1842" w:type="dxa"/>
            <w:vMerge/>
            <w:shd w:val="solid" w:color="FAB585" w:themeColor="accent3" w:fill="auto"/>
          </w:tcPr>
          <w:p w:rsidR="0044594F" w:rsidRPr="003022DF" w:rsidRDefault="0044594F" w:rsidP="00393E4F">
            <w:pPr>
              <w:keepNext/>
              <w:spacing w:after="40"/>
              <w:jc w:val="center"/>
              <w:rPr>
                <w:b/>
                <w:spacing w:val="-4"/>
                <w:sz w:val="20"/>
                <w:szCs w:val="20"/>
              </w:rPr>
            </w:pPr>
          </w:p>
        </w:tc>
        <w:tc>
          <w:tcPr>
            <w:tcW w:w="1134" w:type="dxa"/>
            <w:tcBorders>
              <w:top w:val="nil"/>
            </w:tcBorders>
            <w:shd w:val="solid" w:color="FAB585" w:themeColor="accent3" w:fill="auto"/>
          </w:tcPr>
          <w:p w:rsidR="0044594F" w:rsidRPr="003022DF" w:rsidRDefault="0044594F" w:rsidP="00393E4F">
            <w:pPr>
              <w:keepNext/>
              <w:spacing w:after="40"/>
              <w:jc w:val="center"/>
              <w:rPr>
                <w:b/>
                <w:spacing w:val="-4"/>
                <w:sz w:val="20"/>
                <w:szCs w:val="20"/>
              </w:rPr>
            </w:pPr>
            <w:r w:rsidRPr="003022DF">
              <w:rPr>
                <w:b/>
                <w:spacing w:val="-4"/>
                <w:sz w:val="20"/>
                <w:szCs w:val="20"/>
              </w:rPr>
              <w:t>Metering</w:t>
            </w:r>
          </w:p>
        </w:tc>
        <w:tc>
          <w:tcPr>
            <w:tcW w:w="1843" w:type="dxa"/>
            <w:tcBorders>
              <w:top w:val="nil"/>
            </w:tcBorders>
            <w:shd w:val="solid" w:color="FAB585" w:themeColor="accent3" w:fill="auto"/>
          </w:tcPr>
          <w:p w:rsidR="0044594F" w:rsidRPr="003022DF" w:rsidRDefault="0044594F" w:rsidP="00393E4F">
            <w:pPr>
              <w:keepNext/>
              <w:spacing w:after="40"/>
              <w:rPr>
                <w:b/>
                <w:spacing w:val="-4"/>
                <w:sz w:val="20"/>
                <w:szCs w:val="20"/>
              </w:rPr>
            </w:pPr>
          </w:p>
        </w:tc>
      </w:tr>
      <w:tr w:rsidR="0044594F" w:rsidRPr="00927302" w:rsidTr="008400C4">
        <w:tc>
          <w:tcPr>
            <w:tcW w:w="1418" w:type="dxa"/>
            <w:shd w:val="clear" w:color="auto" w:fill="auto"/>
          </w:tcPr>
          <w:p w:rsidR="0044594F" w:rsidRPr="00927302" w:rsidRDefault="0044594F" w:rsidP="00393E4F">
            <w:pPr>
              <w:keepNext/>
              <w:spacing w:before="40" w:after="40"/>
            </w:pPr>
            <w:r w:rsidRPr="00927302">
              <w:t>Supply Rate</w:t>
            </w:r>
          </w:p>
        </w:tc>
        <w:tc>
          <w:tcPr>
            <w:tcW w:w="850" w:type="dxa"/>
            <w:shd w:val="clear" w:color="auto" w:fill="auto"/>
          </w:tcPr>
          <w:p w:rsidR="0044594F" w:rsidRPr="00927302" w:rsidRDefault="0044594F" w:rsidP="00393E4F">
            <w:pPr>
              <w:keepNext/>
              <w:spacing w:before="40" w:after="40"/>
            </w:pPr>
            <w:r w:rsidRPr="00927302">
              <w:t>$/day</w:t>
            </w:r>
          </w:p>
        </w:tc>
        <w:tc>
          <w:tcPr>
            <w:tcW w:w="851" w:type="dxa"/>
            <w:shd w:val="clear" w:color="auto" w:fill="auto"/>
          </w:tcPr>
          <w:p w:rsidR="0044594F" w:rsidRPr="00927302" w:rsidRDefault="0044594F" w:rsidP="00393E4F">
            <w:pPr>
              <w:keepNext/>
              <w:jc w:val="center"/>
            </w:pPr>
            <w:r w:rsidRPr="00927302">
              <w:rPr>
                <w:b/>
                <w:sz w:val="28"/>
              </w:rPr>
              <w:t>-</w:t>
            </w:r>
          </w:p>
        </w:tc>
        <w:tc>
          <w:tcPr>
            <w:tcW w:w="1276" w:type="dxa"/>
            <w:shd w:val="clear" w:color="auto" w:fill="auto"/>
          </w:tcPr>
          <w:p w:rsidR="0044594F" w:rsidRPr="00927302" w:rsidRDefault="0044594F" w:rsidP="00393E4F">
            <w:pPr>
              <w:keepNext/>
              <w:jc w:val="center"/>
            </w:pPr>
            <w:r w:rsidRPr="00927302">
              <w:t>Locational</w:t>
            </w:r>
          </w:p>
        </w:tc>
        <w:tc>
          <w:tcPr>
            <w:tcW w:w="1842" w:type="dxa"/>
            <w:shd w:val="clear" w:color="auto" w:fill="auto"/>
          </w:tcPr>
          <w:p w:rsidR="0044594F" w:rsidRPr="00927302" w:rsidRDefault="0044594F" w:rsidP="00393E4F">
            <w:pPr>
              <w:keepNext/>
            </w:pPr>
          </w:p>
        </w:tc>
        <w:tc>
          <w:tcPr>
            <w:tcW w:w="1134" w:type="dxa"/>
            <w:shd w:val="clear" w:color="auto" w:fill="auto"/>
          </w:tcPr>
          <w:p w:rsidR="0044594F" w:rsidRPr="00927302" w:rsidRDefault="0044594F" w:rsidP="00393E4F">
            <w:pPr>
              <w:keepNext/>
              <w:jc w:val="center"/>
            </w:pPr>
            <w:r w:rsidRPr="00927302">
              <w:t>If applicable</w:t>
            </w:r>
          </w:p>
        </w:tc>
        <w:tc>
          <w:tcPr>
            <w:tcW w:w="1843" w:type="dxa"/>
            <w:shd w:val="clear" w:color="auto" w:fill="auto"/>
          </w:tcPr>
          <w:p w:rsidR="0044594F" w:rsidRPr="00927302" w:rsidRDefault="0044594F" w:rsidP="00393E4F">
            <w:pPr>
              <w:keepNext/>
              <w:spacing w:before="40" w:after="40"/>
            </w:pPr>
            <w:r w:rsidRPr="00927302">
              <w:t>Fixed daily charge</w:t>
            </w:r>
          </w:p>
        </w:tc>
      </w:tr>
      <w:tr w:rsidR="0044594F" w:rsidRPr="00927302" w:rsidTr="008400C4">
        <w:tc>
          <w:tcPr>
            <w:tcW w:w="1418" w:type="dxa"/>
            <w:shd w:val="clear" w:color="auto" w:fill="auto"/>
          </w:tcPr>
          <w:p w:rsidR="0044594F" w:rsidRPr="00927302" w:rsidRDefault="0044594F" w:rsidP="00393E4F">
            <w:pPr>
              <w:keepNext/>
              <w:spacing w:before="40" w:after="40"/>
            </w:pPr>
            <w:r w:rsidRPr="00927302">
              <w:t>Annual Demand Rate</w:t>
            </w:r>
          </w:p>
        </w:tc>
        <w:tc>
          <w:tcPr>
            <w:tcW w:w="850"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276" w:type="dxa"/>
            <w:shd w:val="clear" w:color="auto" w:fill="auto"/>
          </w:tcPr>
          <w:p w:rsidR="0044594F" w:rsidRPr="00927302" w:rsidRDefault="00244338" w:rsidP="00393E4F">
            <w:pPr>
              <w:keepNext/>
              <w:jc w:val="center"/>
            </w:pPr>
            <w:r w:rsidRPr="00927302">
              <w:t>Locational</w:t>
            </w:r>
          </w:p>
        </w:tc>
        <w:tc>
          <w:tcPr>
            <w:tcW w:w="1842" w:type="dxa"/>
            <w:shd w:val="clear" w:color="auto" w:fill="auto"/>
          </w:tcPr>
          <w:p w:rsidR="0044594F" w:rsidRPr="002A75D3" w:rsidRDefault="0044594F" w:rsidP="00393E4F">
            <w:pPr>
              <w:jc w:val="center"/>
              <w:rPr>
                <w:b/>
                <w:sz w:val="28"/>
                <w:szCs w:val="28"/>
              </w:rPr>
            </w:pPr>
            <w:r w:rsidRPr="002A75D3">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927302" w:rsidRDefault="0044594F" w:rsidP="00244338">
            <w:pPr>
              <w:keepNext/>
              <w:spacing w:before="40" w:after="40"/>
            </w:pPr>
            <w:r w:rsidRPr="00927302">
              <w:t xml:space="preserve">For peak demand </w:t>
            </w:r>
          </w:p>
        </w:tc>
      </w:tr>
      <w:tr w:rsidR="0044594F" w:rsidRPr="00927302" w:rsidTr="008400C4">
        <w:tc>
          <w:tcPr>
            <w:tcW w:w="1418" w:type="dxa"/>
            <w:shd w:val="clear" w:color="auto" w:fill="auto"/>
          </w:tcPr>
          <w:p w:rsidR="0044594F" w:rsidRPr="00927302" w:rsidRDefault="0044594F" w:rsidP="00393E4F">
            <w:pPr>
              <w:keepNext/>
              <w:spacing w:before="40" w:after="40"/>
            </w:pPr>
            <w:r w:rsidRPr="00927302">
              <w:t>Additional demand</w:t>
            </w:r>
          </w:p>
        </w:tc>
        <w:tc>
          <w:tcPr>
            <w:tcW w:w="850" w:type="dxa"/>
            <w:shd w:val="clear" w:color="auto" w:fill="auto"/>
          </w:tcPr>
          <w:p w:rsidR="0044594F" w:rsidRPr="00927302" w:rsidRDefault="0044594F" w:rsidP="00393E4F">
            <w:pPr>
              <w:keepNext/>
              <w:spacing w:before="40" w:after="40"/>
            </w:pPr>
            <w:r w:rsidRPr="00927302">
              <w:t>$/kVA</w:t>
            </w:r>
            <w:r>
              <w:br/>
            </w:r>
            <w:r w:rsidRPr="00927302">
              <w:t>/mth</w:t>
            </w:r>
          </w:p>
        </w:tc>
        <w:tc>
          <w:tcPr>
            <w:tcW w:w="851" w:type="dxa"/>
            <w:shd w:val="clear" w:color="auto" w:fill="auto"/>
          </w:tcPr>
          <w:p w:rsidR="0044594F" w:rsidRPr="00927302" w:rsidRDefault="0044594F" w:rsidP="00393E4F">
            <w:pPr>
              <w:jc w:val="center"/>
            </w:pPr>
            <w:r>
              <w:rPr>
                <w:b/>
                <w:sz w:val="28"/>
              </w:rPr>
              <w:t>X</w:t>
            </w:r>
          </w:p>
        </w:tc>
        <w:tc>
          <w:tcPr>
            <w:tcW w:w="1276" w:type="dxa"/>
            <w:shd w:val="clear" w:color="auto" w:fill="auto"/>
          </w:tcPr>
          <w:p w:rsidR="0044594F" w:rsidRPr="00927302" w:rsidRDefault="0044594F" w:rsidP="00393E4F">
            <w:pPr>
              <w:keepNext/>
              <w:jc w:val="center"/>
            </w:pPr>
            <w:r w:rsidRPr="00927302">
              <w:rPr>
                <w:b/>
                <w:sz w:val="28"/>
              </w:rPr>
              <w:t>-</w:t>
            </w:r>
          </w:p>
        </w:tc>
        <w:tc>
          <w:tcPr>
            <w:tcW w:w="1842" w:type="dxa"/>
            <w:shd w:val="clear" w:color="auto" w:fill="auto"/>
          </w:tcPr>
          <w:p w:rsidR="0044594F" w:rsidRPr="002A75D3" w:rsidRDefault="0044594F" w:rsidP="00393E4F">
            <w:pPr>
              <w:jc w:val="center"/>
              <w:rPr>
                <w:b/>
                <w:sz w:val="28"/>
                <w:szCs w:val="28"/>
              </w:rPr>
            </w:pPr>
            <w:r w:rsidRPr="002A75D3">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927302" w:rsidRDefault="0044594F" w:rsidP="00393E4F">
            <w:pPr>
              <w:keepNext/>
              <w:spacing w:before="40" w:after="40"/>
            </w:pPr>
            <w:r w:rsidRPr="002520E5">
              <w:t>Demand in excess of that required during summer peak hours.</w:t>
            </w:r>
          </w:p>
        </w:tc>
      </w:tr>
      <w:tr w:rsidR="0044594F" w:rsidRPr="00927302" w:rsidTr="008400C4">
        <w:tc>
          <w:tcPr>
            <w:tcW w:w="1418" w:type="dxa"/>
            <w:shd w:val="clear" w:color="auto" w:fill="auto"/>
          </w:tcPr>
          <w:p w:rsidR="0044594F" w:rsidRPr="00927302" w:rsidRDefault="0044594F" w:rsidP="00393E4F">
            <w:pPr>
              <w:keepNext/>
              <w:spacing w:before="40" w:after="40"/>
            </w:pPr>
            <w:r w:rsidRPr="00927302">
              <w:t>Usage Rate</w:t>
            </w:r>
          </w:p>
        </w:tc>
        <w:tc>
          <w:tcPr>
            <w:tcW w:w="850" w:type="dxa"/>
            <w:shd w:val="clear" w:color="auto" w:fill="auto"/>
          </w:tcPr>
          <w:p w:rsidR="0044594F" w:rsidRPr="00927302" w:rsidRDefault="0044594F" w:rsidP="00393E4F">
            <w:pPr>
              <w:keepNext/>
              <w:spacing w:before="40" w:after="40"/>
            </w:pPr>
            <w:r w:rsidRPr="00927302">
              <w:t>$/kWh</w:t>
            </w:r>
          </w:p>
        </w:tc>
        <w:tc>
          <w:tcPr>
            <w:tcW w:w="851" w:type="dxa"/>
            <w:shd w:val="clear" w:color="auto" w:fill="auto"/>
          </w:tcPr>
          <w:p w:rsidR="0044594F" w:rsidRPr="00927302" w:rsidRDefault="0044594F" w:rsidP="00393E4F">
            <w:pPr>
              <w:jc w:val="center"/>
            </w:pPr>
            <w:r>
              <w:rPr>
                <w:b/>
                <w:sz w:val="28"/>
              </w:rPr>
              <w:t>X</w:t>
            </w:r>
          </w:p>
        </w:tc>
        <w:tc>
          <w:tcPr>
            <w:tcW w:w="1276" w:type="dxa"/>
            <w:shd w:val="clear" w:color="auto" w:fill="auto"/>
          </w:tcPr>
          <w:p w:rsidR="0044594F" w:rsidRPr="00927302" w:rsidRDefault="008400C4" w:rsidP="00393E4F">
            <w:pPr>
              <w:keepNext/>
              <w:jc w:val="center"/>
            </w:pPr>
            <w:r>
              <w:rPr>
                <w:b/>
                <w:sz w:val="28"/>
              </w:rPr>
              <w:t>X</w:t>
            </w:r>
          </w:p>
        </w:tc>
        <w:tc>
          <w:tcPr>
            <w:tcW w:w="1842" w:type="dxa"/>
            <w:shd w:val="clear" w:color="auto" w:fill="auto"/>
          </w:tcPr>
          <w:p w:rsidR="0044594F" w:rsidRPr="002A75D3" w:rsidRDefault="0044594F" w:rsidP="00393E4F">
            <w:pPr>
              <w:jc w:val="center"/>
              <w:rPr>
                <w:b/>
                <w:sz w:val="28"/>
                <w:szCs w:val="28"/>
              </w:rPr>
            </w:pPr>
            <w:r w:rsidRPr="002A75D3">
              <w:rPr>
                <w:b/>
                <w:sz w:val="28"/>
                <w:szCs w:val="28"/>
              </w:rPr>
              <w:t>X</w:t>
            </w:r>
          </w:p>
        </w:tc>
        <w:tc>
          <w:tcPr>
            <w:tcW w:w="1134" w:type="dxa"/>
            <w:shd w:val="clear" w:color="auto" w:fill="auto"/>
          </w:tcPr>
          <w:p w:rsidR="0044594F" w:rsidRPr="00927302" w:rsidRDefault="0044594F" w:rsidP="00393E4F">
            <w:pPr>
              <w:keepNext/>
              <w:jc w:val="center"/>
            </w:pPr>
            <w:r w:rsidRPr="00927302">
              <w:rPr>
                <w:b/>
                <w:sz w:val="28"/>
              </w:rPr>
              <w:t>-</w:t>
            </w:r>
          </w:p>
        </w:tc>
        <w:tc>
          <w:tcPr>
            <w:tcW w:w="1843" w:type="dxa"/>
            <w:shd w:val="clear" w:color="auto" w:fill="auto"/>
          </w:tcPr>
          <w:p w:rsidR="0044594F" w:rsidRPr="00927302" w:rsidRDefault="0044594F" w:rsidP="00244338">
            <w:pPr>
              <w:keepNext/>
              <w:spacing w:before="40" w:after="40"/>
            </w:pPr>
            <w:r w:rsidRPr="00927302">
              <w:t xml:space="preserve">For all </w:t>
            </w:r>
            <w:r w:rsidR="008400C4">
              <w:t>e</w:t>
            </w:r>
            <w:r w:rsidRPr="00927302">
              <w:t>nergy consumption</w:t>
            </w:r>
          </w:p>
        </w:tc>
      </w:tr>
    </w:tbl>
    <w:p w:rsidR="0044594F" w:rsidRPr="00927302" w:rsidRDefault="0044594F" w:rsidP="0044594F"/>
    <w:p w:rsidR="00244338" w:rsidRDefault="00244338" w:rsidP="00244338">
      <w:r>
        <w:t>Metering charges are discussed in detail separately in this Pricing Proposal.</w:t>
      </w:r>
    </w:p>
    <w:p w:rsidR="00CF0EDA" w:rsidRDefault="00CF0EDA" w:rsidP="0044594F"/>
    <w:p w:rsidR="0044594F" w:rsidRPr="00927302" w:rsidRDefault="0044594F" w:rsidP="0044594F">
      <w:pPr>
        <w:pStyle w:val="Heading1"/>
        <w:pageBreakBefore/>
        <w:numPr>
          <w:ilvl w:val="0"/>
          <w:numId w:val="16"/>
        </w:numPr>
        <w:tabs>
          <w:tab w:val="left" w:pos="851"/>
        </w:tabs>
        <w:spacing w:after="240" w:line="240" w:lineRule="auto"/>
      </w:pPr>
      <w:bookmarkStart w:id="66" w:name="_Ref134069703"/>
      <w:bookmarkStart w:id="67" w:name="_Toc420009832"/>
      <w:r w:rsidRPr="00927302">
        <w:t>Network tariff strategy</w:t>
      </w:r>
      <w:bookmarkEnd w:id="66"/>
      <w:bookmarkEnd w:id="67"/>
    </w:p>
    <w:p w:rsidR="0044594F" w:rsidRDefault="0044594F" w:rsidP="0044594F">
      <w:r w:rsidRPr="00927302">
        <w:t xml:space="preserve">This </w:t>
      </w:r>
      <w:r w:rsidR="000B7F94">
        <w:t>Section</w:t>
      </w:r>
      <w:r w:rsidRPr="00927302">
        <w:t xml:space="preserve"> contains the objectives that </w:t>
      </w:r>
      <w:r w:rsidR="00EA36E3">
        <w:t>SA Power Networks</w:t>
      </w:r>
      <w:r w:rsidRPr="00927302">
        <w:t xml:space="preserve"> applies to the development of its network tariffs.  It goes on to outline the strategies </w:t>
      </w:r>
      <w:r w:rsidR="00EA36E3">
        <w:t>SA Power Networks</w:t>
      </w:r>
      <w:r w:rsidRPr="00927302">
        <w:t xml:space="preserve"> proposes to pursue in developing tariffs during the </w:t>
      </w:r>
      <w:r w:rsidR="00153116">
        <w:t>2015-20</w:t>
      </w:r>
      <w:r w:rsidRPr="00927302">
        <w:t xml:space="preserve"> regulatory control period.</w:t>
      </w:r>
    </w:p>
    <w:p w:rsidR="00651846" w:rsidRPr="00927302" w:rsidRDefault="00651846" w:rsidP="0044594F"/>
    <w:p w:rsidR="0044594F" w:rsidRPr="00927302" w:rsidRDefault="0044594F" w:rsidP="0044594F">
      <w:pPr>
        <w:pStyle w:val="Heading2"/>
        <w:keepLines w:val="0"/>
        <w:numPr>
          <w:ilvl w:val="1"/>
          <w:numId w:val="16"/>
        </w:numPr>
        <w:tabs>
          <w:tab w:val="left" w:pos="851"/>
        </w:tabs>
        <w:spacing w:after="240" w:line="240" w:lineRule="auto"/>
      </w:pPr>
      <w:bookmarkStart w:id="68" w:name="_Toc420009833"/>
      <w:r w:rsidRPr="00927302">
        <w:t>Regulatory Requirements</w:t>
      </w:r>
      <w:bookmarkEnd w:id="68"/>
    </w:p>
    <w:p w:rsidR="0044594F" w:rsidRPr="00927302" w:rsidRDefault="0044594F" w:rsidP="0044594F">
      <w:pPr>
        <w:keepNext/>
        <w:spacing w:after="120"/>
      </w:pPr>
      <w:r w:rsidRPr="00927302">
        <w:t xml:space="preserve">The information in this </w:t>
      </w:r>
      <w:r w:rsidR="000B7F94">
        <w:t>Section</w:t>
      </w:r>
      <w:r w:rsidRPr="00927302">
        <w:t xml:space="preserve"> concerning potential future network tariff developments is provided pursuant to clause 6.18.9 of the Rules.</w:t>
      </w: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6.18.9 </w:t>
      </w:r>
      <w:r w:rsidRPr="00927302">
        <w:rPr>
          <w:rFonts w:cs="Arial-BoldMT"/>
          <w:b/>
          <w:bCs/>
          <w:szCs w:val="23"/>
        </w:rPr>
        <w:tab/>
        <w:t>Publication of information about tariffs and tariff classes</w:t>
      </w:r>
    </w:p>
    <w:p w:rsidR="0044594F" w:rsidRPr="00927302" w:rsidRDefault="0044594F" w:rsidP="0044594F">
      <w:pPr>
        <w:tabs>
          <w:tab w:val="left" w:pos="568"/>
        </w:tabs>
        <w:spacing w:after="120"/>
        <w:ind w:left="567" w:hanging="567"/>
        <w:rPr>
          <w:rFonts w:cs="Arial-BoldMT"/>
          <w:szCs w:val="23"/>
          <w:lang w:val="en-US"/>
        </w:rPr>
      </w:pPr>
      <w:r w:rsidRPr="00927302">
        <w:rPr>
          <w:rFonts w:cs="Arial-BoldMT"/>
          <w:szCs w:val="23"/>
          <w:lang w:val="en-US"/>
        </w:rPr>
        <w:t xml:space="preserve">(a) </w:t>
      </w:r>
      <w:r w:rsidRPr="00927302">
        <w:rPr>
          <w:rFonts w:cs="Arial-BoldMT"/>
          <w:szCs w:val="23"/>
          <w:lang w:val="en-US"/>
        </w:rPr>
        <w:tab/>
        <w:t xml:space="preserve">A </w:t>
      </w:r>
      <w:r w:rsidRPr="00927302">
        <w:rPr>
          <w:rFonts w:cs="Arial-BoldMT"/>
          <w:i/>
          <w:iCs/>
          <w:szCs w:val="23"/>
          <w:lang w:val="en-US"/>
        </w:rPr>
        <w:t xml:space="preserve">Distribution Network Service Provider </w:t>
      </w:r>
      <w:r w:rsidRPr="00927302">
        <w:rPr>
          <w:rFonts w:cs="Arial-BoldMT"/>
          <w:szCs w:val="23"/>
          <w:lang w:val="en-US"/>
        </w:rPr>
        <w:t>must maintain on its website:</w:t>
      </w:r>
    </w:p>
    <w:p w:rsidR="0044594F" w:rsidRDefault="0044594F" w:rsidP="0044594F">
      <w:pPr>
        <w:tabs>
          <w:tab w:val="left" w:pos="1136"/>
        </w:tabs>
        <w:ind w:left="1134" w:hanging="567"/>
        <w:rPr>
          <w:rFonts w:cs="Arial-BoldMT"/>
          <w:szCs w:val="23"/>
          <w:lang w:val="en-US"/>
        </w:rPr>
      </w:pPr>
      <w:r w:rsidRPr="00927302">
        <w:rPr>
          <w:rFonts w:cs="Arial-BoldMT"/>
          <w:szCs w:val="23"/>
          <w:lang w:val="en-US"/>
        </w:rPr>
        <w:t xml:space="preserve">(3) </w:t>
      </w:r>
      <w:r w:rsidRPr="00927302">
        <w:rPr>
          <w:rFonts w:cs="Arial-BoldMT"/>
          <w:szCs w:val="23"/>
          <w:lang w:val="en-US"/>
        </w:rPr>
        <w:tab/>
        <w:t xml:space="preserve">a statement of expected price trends (to be updated for each </w:t>
      </w:r>
      <w:r w:rsidRPr="00927302">
        <w:rPr>
          <w:rFonts w:cs="Arial-BoldMT"/>
          <w:i/>
          <w:iCs/>
          <w:szCs w:val="23"/>
          <w:lang w:val="en-US"/>
        </w:rPr>
        <w:t>regulatory year</w:t>
      </w:r>
      <w:r w:rsidRPr="00927302">
        <w:rPr>
          <w:rFonts w:cs="Arial-BoldMT"/>
          <w:szCs w:val="23"/>
          <w:lang w:val="en-US"/>
        </w:rPr>
        <w:t xml:space="preserve">) giving an indication of how the </w:t>
      </w:r>
      <w:r w:rsidRPr="00927302">
        <w:rPr>
          <w:rFonts w:cs="Arial-BoldMT"/>
          <w:i/>
          <w:iCs/>
          <w:szCs w:val="23"/>
          <w:lang w:val="en-US"/>
        </w:rPr>
        <w:t xml:space="preserve">Distribution Network Service Provider </w:t>
      </w:r>
      <w:r w:rsidRPr="00927302">
        <w:rPr>
          <w:rFonts w:cs="Arial-BoldMT"/>
          <w:szCs w:val="23"/>
          <w:lang w:val="en-US"/>
        </w:rPr>
        <w:t xml:space="preserve">expects prices to change over the </w:t>
      </w:r>
      <w:r w:rsidRPr="00927302">
        <w:rPr>
          <w:rFonts w:cs="Arial-BoldMT"/>
          <w:i/>
          <w:iCs/>
          <w:szCs w:val="23"/>
          <w:lang w:val="en-US"/>
        </w:rPr>
        <w:t xml:space="preserve">regulatory control period </w:t>
      </w:r>
      <w:r w:rsidRPr="00927302">
        <w:rPr>
          <w:rFonts w:cs="Arial-BoldMT"/>
          <w:szCs w:val="23"/>
          <w:lang w:val="en-US"/>
        </w:rPr>
        <w:t>and the reasons for the expected changes.</w:t>
      </w:r>
    </w:p>
    <w:p w:rsidR="00651846" w:rsidRPr="00927302" w:rsidRDefault="00651846" w:rsidP="0044594F">
      <w:pPr>
        <w:tabs>
          <w:tab w:val="left" w:pos="1136"/>
        </w:tabs>
        <w:ind w:left="1134" w:hanging="567"/>
        <w:rPr>
          <w:rFonts w:cs="Arial-BoldMT"/>
          <w:szCs w:val="23"/>
          <w:lang w:val="en-US"/>
        </w:rPr>
      </w:pPr>
    </w:p>
    <w:p w:rsidR="0044594F" w:rsidRPr="00927302" w:rsidRDefault="0044594F" w:rsidP="0044594F">
      <w:pPr>
        <w:pStyle w:val="Heading2"/>
        <w:keepLines w:val="0"/>
        <w:numPr>
          <w:ilvl w:val="1"/>
          <w:numId w:val="16"/>
        </w:numPr>
        <w:tabs>
          <w:tab w:val="left" w:pos="851"/>
        </w:tabs>
        <w:spacing w:after="240" w:line="240" w:lineRule="auto"/>
      </w:pPr>
      <w:bookmarkStart w:id="69" w:name="_Ref131922041"/>
      <w:bookmarkStart w:id="70" w:name="_Toc420009834"/>
      <w:r w:rsidRPr="00927302">
        <w:t>Network tariff objectives</w:t>
      </w:r>
      <w:bookmarkEnd w:id="69"/>
      <w:bookmarkEnd w:id="70"/>
    </w:p>
    <w:p w:rsidR="0044594F" w:rsidRPr="00927302" w:rsidRDefault="0044594F" w:rsidP="0044594F">
      <w:pPr>
        <w:keepNext/>
        <w:spacing w:after="120"/>
      </w:pPr>
      <w:r w:rsidRPr="00927302">
        <w:t xml:space="preserve">This </w:t>
      </w:r>
      <w:r w:rsidR="000B7F94">
        <w:t>Section</w:t>
      </w:r>
      <w:r w:rsidRPr="00927302">
        <w:t xml:space="preserve"> presents the high level framework that </w:t>
      </w:r>
      <w:r w:rsidR="00EA36E3">
        <w:t>SA Power Networks</w:t>
      </w:r>
      <w:r w:rsidRPr="00927302">
        <w:t xml:space="preserve"> applies to the development of its network tariff strategy.  The major objectives of network pricing are to some extent conflicting and therefore involve making compromises.  They are as follows:</w:t>
      </w:r>
    </w:p>
    <w:p w:rsidR="0044594F" w:rsidRPr="00927302" w:rsidRDefault="0044594F" w:rsidP="0044594F">
      <w:pPr>
        <w:pStyle w:val="ListParagraph"/>
        <w:numPr>
          <w:ilvl w:val="0"/>
          <w:numId w:val="24"/>
        </w:numPr>
        <w:tabs>
          <w:tab w:val="left" w:pos="709"/>
        </w:tabs>
        <w:spacing w:after="120" w:line="240" w:lineRule="auto"/>
        <w:ind w:left="721" w:hanging="437"/>
        <w:contextualSpacing w:val="0"/>
      </w:pPr>
      <w:r w:rsidRPr="00927302">
        <w:rPr>
          <w:b/>
          <w:i/>
        </w:rPr>
        <w:t>Revenue sufficiency</w:t>
      </w:r>
      <w:r w:rsidRPr="00927302">
        <w:t xml:space="preserve"> - prices are formulated to recover permitted</w:t>
      </w:r>
      <w:r>
        <w:t xml:space="preserve"> </w:t>
      </w:r>
      <w:r w:rsidR="002866DB">
        <w:t>revenue</w:t>
      </w:r>
      <w:r w:rsidRPr="00927302">
        <w:t xml:space="preserve"> under the determination</w:t>
      </w:r>
      <w:r>
        <w:t>.</w:t>
      </w:r>
    </w:p>
    <w:p w:rsidR="0044594F" w:rsidRPr="00927302" w:rsidRDefault="0044594F" w:rsidP="0044594F">
      <w:pPr>
        <w:pStyle w:val="ListParagraph"/>
        <w:numPr>
          <w:ilvl w:val="0"/>
          <w:numId w:val="24"/>
        </w:numPr>
        <w:tabs>
          <w:tab w:val="left" w:pos="709"/>
        </w:tabs>
        <w:spacing w:after="120" w:line="240" w:lineRule="auto"/>
        <w:ind w:left="721" w:hanging="437"/>
        <w:contextualSpacing w:val="0"/>
      </w:pPr>
      <w:r w:rsidRPr="00927302">
        <w:rPr>
          <w:b/>
          <w:i/>
        </w:rPr>
        <w:t>Revenue volatility</w:t>
      </w:r>
      <w:r w:rsidRPr="00927302">
        <w:t xml:space="preserve"> - to the extent possible, tariffs will be structured to minimise monthly and annual variations in revenue</w:t>
      </w:r>
      <w:r>
        <w:t>.</w:t>
      </w:r>
    </w:p>
    <w:p w:rsidR="0044594F" w:rsidRPr="00927302" w:rsidRDefault="0044594F" w:rsidP="0044594F">
      <w:pPr>
        <w:pStyle w:val="ListParagraph"/>
        <w:numPr>
          <w:ilvl w:val="0"/>
          <w:numId w:val="24"/>
        </w:numPr>
        <w:tabs>
          <w:tab w:val="left" w:pos="709"/>
        </w:tabs>
        <w:spacing w:after="120" w:line="240" w:lineRule="auto"/>
        <w:ind w:left="721" w:hanging="437"/>
        <w:contextualSpacing w:val="0"/>
      </w:pPr>
      <w:r w:rsidRPr="00927302">
        <w:rPr>
          <w:b/>
          <w:i/>
        </w:rPr>
        <w:t>Pricing efficiency</w:t>
      </w:r>
      <w:r w:rsidRPr="00927302">
        <w:t xml:space="preserve"> - through their variable components, prices will signal the economic cost of providing network service.  Residual costs will be recovered in a manner which least distorts customers’ consumption decisions.</w:t>
      </w:r>
    </w:p>
    <w:p w:rsidR="0044594F" w:rsidRPr="00927302" w:rsidRDefault="0044594F" w:rsidP="0044594F">
      <w:pPr>
        <w:pStyle w:val="ListParagraph"/>
        <w:numPr>
          <w:ilvl w:val="0"/>
          <w:numId w:val="24"/>
        </w:numPr>
        <w:tabs>
          <w:tab w:val="left" w:pos="709"/>
        </w:tabs>
        <w:spacing w:after="120" w:line="240" w:lineRule="auto"/>
        <w:ind w:left="721" w:hanging="437"/>
        <w:contextualSpacing w:val="0"/>
      </w:pPr>
      <w:r w:rsidRPr="00927302">
        <w:rPr>
          <w:b/>
          <w:i/>
        </w:rPr>
        <w:t>Customer equity</w:t>
      </w:r>
      <w:r w:rsidRPr="00927302">
        <w:t xml:space="preserve"> - customers should pay a reasonable allocated share of costs and moves towards pricing cost reflectivity need to be tempered to limit their impact on some customers.</w:t>
      </w:r>
    </w:p>
    <w:p w:rsidR="0044594F" w:rsidRPr="00927302" w:rsidRDefault="0044594F" w:rsidP="0044594F">
      <w:pPr>
        <w:pStyle w:val="ListParagraph"/>
        <w:numPr>
          <w:ilvl w:val="0"/>
          <w:numId w:val="24"/>
        </w:numPr>
        <w:tabs>
          <w:tab w:val="left" w:pos="709"/>
        </w:tabs>
        <w:spacing w:after="120" w:line="240" w:lineRule="auto"/>
        <w:ind w:left="721" w:hanging="437"/>
        <w:contextualSpacing w:val="0"/>
      </w:pPr>
      <w:r w:rsidRPr="00927302">
        <w:rPr>
          <w:b/>
          <w:i/>
        </w:rPr>
        <w:t xml:space="preserve">Pricing stability </w:t>
      </w:r>
      <w:r w:rsidRPr="00927302">
        <w:t>- to the extent possible undue variation in price levels should be avoided.</w:t>
      </w:r>
      <w:r w:rsidR="002866DB">
        <w:t xml:space="preserve">  Side constraints must be complied with</w:t>
      </w:r>
    </w:p>
    <w:p w:rsidR="0044594F" w:rsidRPr="00927302" w:rsidRDefault="0044594F" w:rsidP="0044594F">
      <w:pPr>
        <w:pStyle w:val="ListParagraph"/>
        <w:numPr>
          <w:ilvl w:val="0"/>
          <w:numId w:val="24"/>
        </w:numPr>
        <w:tabs>
          <w:tab w:val="left" w:pos="709"/>
        </w:tabs>
        <w:spacing w:after="240" w:line="240" w:lineRule="auto"/>
        <w:ind w:left="721" w:hanging="437"/>
        <w:contextualSpacing w:val="0"/>
      </w:pPr>
      <w:r w:rsidRPr="00927302">
        <w:rPr>
          <w:b/>
          <w:i/>
        </w:rPr>
        <w:t xml:space="preserve">Pricing simplicity </w:t>
      </w:r>
      <w:r w:rsidRPr="00927302">
        <w:t>- price structures should be understandable, simple and transparent.</w:t>
      </w:r>
    </w:p>
    <w:p w:rsidR="0044594F" w:rsidRPr="00927302" w:rsidRDefault="0044594F" w:rsidP="0044594F">
      <w:pPr>
        <w:pStyle w:val="Heading2"/>
        <w:keepLines w:val="0"/>
        <w:numPr>
          <w:ilvl w:val="1"/>
          <w:numId w:val="16"/>
        </w:numPr>
        <w:tabs>
          <w:tab w:val="left" w:pos="851"/>
        </w:tabs>
        <w:spacing w:after="240" w:line="240" w:lineRule="auto"/>
      </w:pPr>
      <w:bookmarkStart w:id="71" w:name="_Toc420009835"/>
      <w:r w:rsidRPr="00927302">
        <w:t>The need for tariff reform</w:t>
      </w:r>
      <w:bookmarkEnd w:id="71"/>
    </w:p>
    <w:p w:rsidR="0044594F" w:rsidRDefault="0044594F" w:rsidP="0044594F">
      <w:r w:rsidRPr="00927302">
        <w:t xml:space="preserve">As explained in </w:t>
      </w:r>
      <w:r w:rsidR="000B7F94">
        <w:t>Section</w:t>
      </w:r>
      <w:r w:rsidRPr="00927302">
        <w:t xml:space="preserve"> </w:t>
      </w:r>
      <w:r w:rsidR="00575C9A">
        <w:fldChar w:fldCharType="begin"/>
      </w:r>
      <w:r>
        <w:instrText xml:space="preserve"> REF _Ref134063555 \r \h </w:instrText>
      </w:r>
      <w:r w:rsidR="00575C9A">
        <w:fldChar w:fldCharType="separate"/>
      </w:r>
      <w:r w:rsidR="00A81AFE">
        <w:t>3.5</w:t>
      </w:r>
      <w:r w:rsidR="00575C9A">
        <w:fldChar w:fldCharType="end"/>
      </w:r>
      <w:r w:rsidRPr="00927302">
        <w:t xml:space="preserve">, to a greater extent than any other Australian distributor, </w:t>
      </w:r>
      <w:r w:rsidR="00EA36E3">
        <w:t>SA Power Networks</w:t>
      </w:r>
      <w:r w:rsidRPr="00927302">
        <w:t xml:space="preserve">’ summer demand is sensitive to the effect of air conditioning demand.  High summer peak demands occur during heat wave conditions, which correspond with periods when the elements of the system have least capacity and the power factor of loads is poor.  </w:t>
      </w:r>
    </w:p>
    <w:p w:rsidR="002866DB" w:rsidRDefault="002866DB" w:rsidP="0044594F"/>
    <w:p w:rsidR="002866DB" w:rsidRDefault="002866DB" w:rsidP="0044594F">
      <w:r>
        <w:t>Over the last five years, the new development has been solar PV systems, especially within the residential networks.  We now have over 23% penetration of these systems and there can be in excess of 500 MW of generation occurring near midday for over half of the year when the sun is shining.  The network challenges are different today, with problems of low load during days with mild but sunny weather.  In summer, the peaks that used to occur between 2pm and 5pm have moved to become slightly lower peaks between 5pm and 8pm.  There are still business network peaks during the day but residential systems and co-incident systems are now peaking later.</w:t>
      </w:r>
    </w:p>
    <w:p w:rsidR="002866DB" w:rsidRDefault="002866DB" w:rsidP="0044594F"/>
    <w:p w:rsidR="002866DB" w:rsidRDefault="002866DB" w:rsidP="0044594F">
      <w:r>
        <w:t>The next development coming is battery storage, and perhaps electric vehicles.  The battery storage has the potential to soak up a lot of the excess energy being generated during sunshine and shift that to later in the day when the network peaks.  How this will develop in summer is unclear, but network tariffs that give good signals for economic peak-lopping will assist in the development of a more efficient and economic network.  If electric vehicles do take off, we will again need clear signals to customers that enable them to recharge their car with convenience but without creating new peaks on the network.  Technologies over the next five years will create quite strong pathways</w:t>
      </w:r>
      <w:r w:rsidR="0042145C">
        <w:t xml:space="preserve"> and opportunities</w:t>
      </w:r>
      <w:r>
        <w:t xml:space="preserve"> for the future development of the network</w:t>
      </w:r>
      <w:r w:rsidR="0093085E">
        <w:t>.</w:t>
      </w:r>
    </w:p>
    <w:p w:rsidR="00651846" w:rsidRPr="00927302" w:rsidRDefault="00651846" w:rsidP="0044594F"/>
    <w:p w:rsidR="0044594F" w:rsidRPr="00927302" w:rsidRDefault="0044594F" w:rsidP="0044594F">
      <w:pPr>
        <w:keepNext/>
        <w:spacing w:after="120"/>
      </w:pPr>
      <w:r w:rsidRPr="00927302">
        <w:t xml:space="preserve">As a consequence, the management of summer demand has a high priority in </w:t>
      </w:r>
      <w:r w:rsidR="00EA36E3">
        <w:t>SA Power Networks</w:t>
      </w:r>
      <w:r w:rsidRPr="00927302">
        <w:t xml:space="preserve">’ tariff reform strategies.  This leads to an emphasis on providing network price signals that will encourage both residential and business customers to </w:t>
      </w:r>
      <w:r>
        <w:t>manage their demand</w:t>
      </w:r>
      <w:r w:rsidRPr="00927302">
        <w:t xml:space="preserve"> by the following means:</w:t>
      </w:r>
    </w:p>
    <w:p w:rsidR="0044594F" w:rsidRPr="00927302" w:rsidRDefault="0044594F" w:rsidP="00651846">
      <w:pPr>
        <w:pStyle w:val="ListParagraph"/>
        <w:numPr>
          <w:ilvl w:val="0"/>
          <w:numId w:val="24"/>
        </w:numPr>
        <w:tabs>
          <w:tab w:val="left" w:pos="851"/>
        </w:tabs>
        <w:spacing w:after="120" w:line="240" w:lineRule="auto"/>
        <w:ind w:left="851" w:hanging="567"/>
        <w:contextualSpacing w:val="0"/>
      </w:pPr>
      <w:r w:rsidRPr="00927302">
        <w:t>The price levels of existing tariff structures;</w:t>
      </w:r>
    </w:p>
    <w:p w:rsidR="0044594F" w:rsidRPr="00927302" w:rsidRDefault="0044594F" w:rsidP="00651846">
      <w:pPr>
        <w:pStyle w:val="ListParagraph"/>
        <w:numPr>
          <w:ilvl w:val="0"/>
          <w:numId w:val="24"/>
        </w:numPr>
        <w:tabs>
          <w:tab w:val="left" w:pos="851"/>
        </w:tabs>
        <w:spacing w:after="120" w:line="240" w:lineRule="auto"/>
        <w:ind w:left="851" w:hanging="567"/>
        <w:contextualSpacing w:val="0"/>
      </w:pPr>
      <w:r w:rsidRPr="00927302">
        <w:t>The development of more cost reflective tariff structures; and</w:t>
      </w:r>
    </w:p>
    <w:p w:rsidR="0044594F" w:rsidRPr="00927302" w:rsidRDefault="0044594F" w:rsidP="00651846">
      <w:pPr>
        <w:pStyle w:val="ListParagraph"/>
        <w:numPr>
          <w:ilvl w:val="0"/>
          <w:numId w:val="24"/>
        </w:numPr>
        <w:tabs>
          <w:tab w:val="left" w:pos="851"/>
        </w:tabs>
        <w:spacing w:after="240" w:line="240" w:lineRule="auto"/>
        <w:ind w:left="851" w:hanging="567"/>
        <w:contextualSpacing w:val="0"/>
      </w:pPr>
      <w:r w:rsidRPr="00927302">
        <w:t>The development of innovative new tariff structures.</w:t>
      </w:r>
    </w:p>
    <w:p w:rsidR="0044594F" w:rsidRPr="00927302" w:rsidRDefault="0044594F" w:rsidP="0044594F">
      <w:pPr>
        <w:pStyle w:val="Heading2"/>
        <w:keepLines w:val="0"/>
        <w:numPr>
          <w:ilvl w:val="1"/>
          <w:numId w:val="16"/>
        </w:numPr>
        <w:tabs>
          <w:tab w:val="left" w:pos="851"/>
        </w:tabs>
        <w:spacing w:after="240" w:line="240" w:lineRule="auto"/>
      </w:pPr>
      <w:bookmarkStart w:id="72" w:name="_Ref135369855"/>
      <w:bookmarkStart w:id="73" w:name="_Toc420009836"/>
      <w:r w:rsidRPr="00927302">
        <w:t>Network tariff strategy</w:t>
      </w:r>
      <w:bookmarkEnd w:id="72"/>
      <w:bookmarkEnd w:id="73"/>
    </w:p>
    <w:p w:rsidR="0044594F" w:rsidRDefault="00EA36E3" w:rsidP="0044594F">
      <w:r>
        <w:t>SA Power Networks</w:t>
      </w:r>
      <w:r w:rsidR="0044594F" w:rsidRPr="00927302">
        <w:t xml:space="preserve"> has a pricing strategy that will, within the limitations of metering arrangements and efficient tariff structures, signal the costs associated with increased demand placed on the network, includ</w:t>
      </w:r>
      <w:r w:rsidR="00AC316D">
        <w:t>ing the use of air conditioning</w:t>
      </w:r>
      <w:r w:rsidR="0044594F" w:rsidRPr="00927302">
        <w:t>.</w:t>
      </w:r>
      <w:r w:rsidR="00C530A6">
        <w:t xml:space="preserve">  Where metering arrangements don’t allow efficient pricing structures to be used (eg with type 6 meters) then we will endeavour to ensure that a fair level of cost-recovery occurs with those customers.  We will endeavour to ensure that one group of customers do not need to pay an unfair amount of network charges as a result of another group of customers avoiding a fair share by exploiting any type 6 meter tariff structure deficiency.</w:t>
      </w:r>
    </w:p>
    <w:p w:rsidR="00651846" w:rsidRPr="00927302" w:rsidRDefault="00651846" w:rsidP="0044594F"/>
    <w:p w:rsidR="0044594F" w:rsidRPr="00927302" w:rsidRDefault="0044594F" w:rsidP="0044594F">
      <w:pPr>
        <w:keepNext/>
        <w:spacing w:after="120"/>
      </w:pPr>
      <w:r w:rsidRPr="00927302">
        <w:t xml:space="preserve">Consistent with the network tariff objectives outlined in </w:t>
      </w:r>
      <w:r w:rsidR="000B7F94">
        <w:t>Section</w:t>
      </w:r>
      <w:r w:rsidRPr="00927302">
        <w:t xml:space="preserve"> </w:t>
      </w:r>
      <w:r w:rsidR="00575C9A">
        <w:fldChar w:fldCharType="begin"/>
      </w:r>
      <w:r>
        <w:instrText xml:space="preserve"> REF _Ref131922041 \r \h </w:instrText>
      </w:r>
      <w:r w:rsidR="00575C9A">
        <w:fldChar w:fldCharType="separate"/>
      </w:r>
      <w:r w:rsidR="00A81AFE">
        <w:t>5.2</w:t>
      </w:r>
      <w:r w:rsidR="00575C9A">
        <w:fldChar w:fldCharType="end"/>
      </w:r>
      <w:r w:rsidRPr="00927302">
        <w:t xml:space="preserve">, </w:t>
      </w:r>
      <w:r w:rsidR="00EA36E3">
        <w:t>SA Power Networks</w:t>
      </w:r>
      <w:r w:rsidRPr="00927302">
        <w:t>’ network tariff strategy aims to:</w:t>
      </w:r>
    </w:p>
    <w:p w:rsidR="0044594F" w:rsidRPr="00927302" w:rsidRDefault="0044594F" w:rsidP="00651846">
      <w:pPr>
        <w:pStyle w:val="ListParagraph"/>
        <w:numPr>
          <w:ilvl w:val="0"/>
          <w:numId w:val="24"/>
        </w:numPr>
        <w:tabs>
          <w:tab w:val="left" w:pos="851"/>
        </w:tabs>
        <w:spacing w:after="120" w:line="240" w:lineRule="auto"/>
        <w:ind w:left="851" w:hanging="567"/>
        <w:contextualSpacing w:val="0"/>
      </w:pPr>
      <w:r w:rsidRPr="00927302">
        <w:t xml:space="preserve">Attain revenue sufficiency under the </w:t>
      </w:r>
      <w:r w:rsidR="0042145C">
        <w:t>Revenue</w:t>
      </w:r>
      <w:r w:rsidRPr="00927302">
        <w:t xml:space="preserve"> Cap;</w:t>
      </w:r>
    </w:p>
    <w:p w:rsidR="0044594F" w:rsidRPr="00927302" w:rsidRDefault="0044594F" w:rsidP="00651846">
      <w:pPr>
        <w:pStyle w:val="ListParagraph"/>
        <w:numPr>
          <w:ilvl w:val="0"/>
          <w:numId w:val="24"/>
        </w:numPr>
        <w:tabs>
          <w:tab w:val="left" w:pos="851"/>
        </w:tabs>
        <w:spacing w:after="120" w:line="240" w:lineRule="auto"/>
        <w:ind w:left="851" w:hanging="567"/>
        <w:contextualSpacing w:val="0"/>
      </w:pPr>
      <w:r w:rsidRPr="00927302">
        <w:t>Signal the long run marginal cost of supply through its network tariffs;</w:t>
      </w:r>
    </w:p>
    <w:p w:rsidR="0044594F" w:rsidRPr="00927302" w:rsidRDefault="0044594F" w:rsidP="00651846">
      <w:pPr>
        <w:pStyle w:val="ListParagraph"/>
        <w:numPr>
          <w:ilvl w:val="0"/>
          <w:numId w:val="24"/>
        </w:numPr>
        <w:tabs>
          <w:tab w:val="left" w:pos="851"/>
        </w:tabs>
        <w:spacing w:after="120" w:line="240" w:lineRule="auto"/>
        <w:ind w:left="851" w:hanging="567"/>
        <w:contextualSpacing w:val="0"/>
      </w:pPr>
      <w:r w:rsidRPr="00927302">
        <w:t>Improve cost reflectivity and reduce revenue variability by reducing the reliance on usage based tariff components where appropriate;</w:t>
      </w:r>
    </w:p>
    <w:p w:rsidR="0044594F" w:rsidRPr="00927302" w:rsidRDefault="0044594F" w:rsidP="00651846">
      <w:pPr>
        <w:pStyle w:val="ListParagraph"/>
        <w:numPr>
          <w:ilvl w:val="0"/>
          <w:numId w:val="24"/>
        </w:numPr>
        <w:tabs>
          <w:tab w:val="left" w:pos="851"/>
        </w:tabs>
        <w:spacing w:after="120" w:line="240" w:lineRule="auto"/>
        <w:ind w:left="851" w:hanging="567"/>
        <w:contextualSpacing w:val="0"/>
      </w:pPr>
      <w:r w:rsidRPr="00927302">
        <w:t>Pass on the cost of Electra</w:t>
      </w:r>
      <w:r>
        <w:t>N</w:t>
      </w:r>
      <w:r w:rsidRPr="00927302">
        <w:t>et’s transmission services to customers; and</w:t>
      </w:r>
    </w:p>
    <w:p w:rsidR="0044594F" w:rsidRPr="00927302" w:rsidRDefault="0044594F" w:rsidP="00651846">
      <w:pPr>
        <w:pStyle w:val="ListParagraph"/>
        <w:numPr>
          <w:ilvl w:val="0"/>
          <w:numId w:val="24"/>
        </w:numPr>
        <w:tabs>
          <w:tab w:val="left" w:pos="851"/>
        </w:tabs>
        <w:spacing w:after="240" w:line="240" w:lineRule="auto"/>
        <w:ind w:left="851" w:hanging="567"/>
        <w:contextualSpacing w:val="0"/>
      </w:pPr>
      <w:r w:rsidRPr="00927302">
        <w:t xml:space="preserve">Explore tariff based demand management opportunities, including voluntary </w:t>
      </w:r>
      <w:r>
        <w:t xml:space="preserve">capacity based </w:t>
      </w:r>
      <w:r w:rsidRPr="00927302">
        <w:t xml:space="preserve">tariffs. </w:t>
      </w:r>
      <w:r w:rsidR="000B7F94">
        <w:t>Section</w:t>
      </w:r>
      <w:r w:rsidRPr="00927302">
        <w:t xml:space="preserve">s </w:t>
      </w:r>
      <w:r w:rsidR="0042145C">
        <w:t>5.6</w:t>
      </w:r>
      <w:r>
        <w:t xml:space="preserve"> through </w:t>
      </w:r>
      <w:r w:rsidR="00575C9A">
        <w:fldChar w:fldCharType="begin"/>
      </w:r>
      <w:r>
        <w:instrText xml:space="preserve"> REF _Ref323564289 \r \h </w:instrText>
      </w:r>
      <w:r w:rsidR="00575C9A">
        <w:fldChar w:fldCharType="separate"/>
      </w:r>
      <w:r w:rsidR="00A81AFE">
        <w:t>5.8</w:t>
      </w:r>
      <w:r w:rsidR="00575C9A">
        <w:fldChar w:fldCharType="end"/>
      </w:r>
      <w:r>
        <w:t xml:space="preserve"> </w:t>
      </w:r>
      <w:r w:rsidRPr="00927302">
        <w:t>outline future tariff reform options under consideration and development.</w:t>
      </w:r>
    </w:p>
    <w:p w:rsidR="00C530A6" w:rsidRPr="002229DE" w:rsidRDefault="0044594F" w:rsidP="00C530A6">
      <w:pPr>
        <w:pStyle w:val="Heading2"/>
        <w:keepLines w:val="0"/>
        <w:numPr>
          <w:ilvl w:val="1"/>
          <w:numId w:val="16"/>
        </w:numPr>
        <w:tabs>
          <w:tab w:val="left" w:pos="851"/>
        </w:tabs>
        <w:spacing w:after="240" w:line="240" w:lineRule="auto"/>
      </w:pPr>
      <w:bookmarkStart w:id="74" w:name="_Ref136476016"/>
      <w:bookmarkStart w:id="75" w:name="_Toc420009837"/>
      <w:r w:rsidRPr="002229DE">
        <w:t>Tariff reform 2005 to 20</w:t>
      </w:r>
      <w:bookmarkEnd w:id="74"/>
      <w:r w:rsidR="00C530A6" w:rsidRPr="002229DE">
        <w:t>15</w:t>
      </w:r>
      <w:bookmarkEnd w:id="75"/>
    </w:p>
    <w:p w:rsidR="0044594F" w:rsidRPr="00927302" w:rsidRDefault="002229DE" w:rsidP="0044594F">
      <w:pPr>
        <w:keepNext/>
        <w:spacing w:after="120"/>
      </w:pPr>
      <w:r>
        <w:t xml:space="preserve">Over </w:t>
      </w:r>
      <w:r w:rsidRPr="00927302">
        <w:t>the</w:t>
      </w:r>
      <w:r w:rsidR="0044594F" w:rsidRPr="00927302">
        <w:t xml:space="preserve"> </w:t>
      </w:r>
      <w:r w:rsidR="00C530A6">
        <w:t>last two regulatory control periods (</w:t>
      </w:r>
      <w:r w:rsidR="0044594F" w:rsidRPr="00927302">
        <w:t xml:space="preserve">2005-10 </w:t>
      </w:r>
      <w:r w:rsidR="00C530A6">
        <w:t>and 2010-15)</w:t>
      </w:r>
      <w:r w:rsidR="0044594F" w:rsidRPr="00927302">
        <w:t xml:space="preserve">, </w:t>
      </w:r>
      <w:r w:rsidR="00EA36E3">
        <w:t>SA Power Networks</w:t>
      </w:r>
      <w:r w:rsidR="0044594F" w:rsidRPr="00927302">
        <w:t xml:space="preserve"> undert</w:t>
      </w:r>
      <w:r w:rsidR="0044594F">
        <w:t>ook</w:t>
      </w:r>
      <w:r w:rsidR="0044594F" w:rsidRPr="00927302">
        <w:t xml:space="preserve"> a number of tariff reforms, including the following:</w:t>
      </w:r>
    </w:p>
    <w:p w:rsidR="004817F5" w:rsidRDefault="004817F5" w:rsidP="00651846">
      <w:pPr>
        <w:pStyle w:val="ListParagraph"/>
        <w:numPr>
          <w:ilvl w:val="0"/>
          <w:numId w:val="24"/>
        </w:numPr>
        <w:tabs>
          <w:tab w:val="left" w:pos="851"/>
        </w:tabs>
        <w:spacing w:after="120" w:line="240" w:lineRule="auto"/>
        <w:ind w:left="851" w:hanging="567"/>
        <w:contextualSpacing w:val="0"/>
      </w:pPr>
      <w:r>
        <w:t>Large b</w:t>
      </w:r>
      <w:r w:rsidR="0044594F" w:rsidRPr="00927302">
        <w:t xml:space="preserve">usinesses have been encouraged to adopt kVA </w:t>
      </w:r>
      <w:r w:rsidR="0044594F">
        <w:t xml:space="preserve">demand </w:t>
      </w:r>
      <w:r w:rsidR="0044594F" w:rsidRPr="00927302">
        <w:t>price structures</w:t>
      </w:r>
      <w:r>
        <w:t xml:space="preserve"> where favourable, and have been mandatorily applied to customers using more than 250 kVA, and since July 2010 for new customers (and alterations to supply) requiring more than 70 kVA.  Some medium-sized businesses have also opted-in to the kVA demand prices</w:t>
      </w:r>
      <w:r w:rsidR="0044594F" w:rsidRPr="00927302">
        <w:t>;</w:t>
      </w:r>
      <w:r w:rsidR="0044594F">
        <w:t xml:space="preserve"> </w:t>
      </w:r>
    </w:p>
    <w:p w:rsidR="004817F5" w:rsidRDefault="004817F5" w:rsidP="00651846">
      <w:pPr>
        <w:pStyle w:val="ListParagraph"/>
        <w:numPr>
          <w:ilvl w:val="0"/>
          <w:numId w:val="24"/>
        </w:numPr>
        <w:tabs>
          <w:tab w:val="left" w:pos="851"/>
        </w:tabs>
        <w:spacing w:after="120" w:line="240" w:lineRule="auto"/>
        <w:ind w:left="851" w:hanging="567"/>
        <w:contextualSpacing w:val="0"/>
      </w:pPr>
      <w:r w:rsidRPr="00927302">
        <w:t>Power factor correction for businesses has been facilitated through the use</w:t>
      </w:r>
      <w:r>
        <w:t xml:space="preserve"> of</w:t>
      </w:r>
      <w:r w:rsidRPr="00927302">
        <w:t xml:space="preserve"> an </w:t>
      </w:r>
      <w:r>
        <w:t>excluded/negotiat</w:t>
      </w:r>
      <w:r w:rsidRPr="00927302">
        <w:t>ed service charge for excess reactive power requirements</w:t>
      </w:r>
      <w:r>
        <w:t>;</w:t>
      </w:r>
    </w:p>
    <w:p w:rsidR="004817F5" w:rsidRDefault="004817F5" w:rsidP="004817F5">
      <w:pPr>
        <w:pStyle w:val="ListParagraph"/>
        <w:numPr>
          <w:ilvl w:val="0"/>
          <w:numId w:val="24"/>
        </w:numPr>
        <w:tabs>
          <w:tab w:val="left" w:pos="851"/>
        </w:tabs>
        <w:spacing w:after="120" w:line="240" w:lineRule="auto"/>
        <w:ind w:left="851" w:hanging="567"/>
        <w:contextualSpacing w:val="0"/>
      </w:pPr>
      <w:r>
        <w:t xml:space="preserve">Simplifying </w:t>
      </w:r>
      <w:r w:rsidRPr="00927302">
        <w:t xml:space="preserve">the </w:t>
      </w:r>
      <w:r>
        <w:t xml:space="preserve">small customer </w:t>
      </w:r>
      <w:r w:rsidRPr="00927302">
        <w:t xml:space="preserve">tariffs </w:t>
      </w:r>
      <w:r w:rsidR="0042145C">
        <w:t xml:space="preserve">used by </w:t>
      </w:r>
      <w:r w:rsidRPr="00927302">
        <w:t xml:space="preserve">residential and business </w:t>
      </w:r>
      <w:r>
        <w:t>customers</w:t>
      </w:r>
      <w:r w:rsidRPr="00927302">
        <w:t xml:space="preserve"> to </w:t>
      </w:r>
      <w:r>
        <w:t>reduce the</w:t>
      </w:r>
      <w:r w:rsidRPr="00927302">
        <w:t xml:space="preserve"> number of steps</w:t>
      </w:r>
      <w:r>
        <w:t>.  Prices in higher usage blocks have also been reduced relative to the first block, reflecting better understanding of actual costs of supply to these customers; and</w:t>
      </w:r>
    </w:p>
    <w:p w:rsidR="004817F5" w:rsidRPr="00927302" w:rsidRDefault="004817F5" w:rsidP="004817F5">
      <w:pPr>
        <w:pStyle w:val="ListParagraph"/>
        <w:numPr>
          <w:ilvl w:val="0"/>
          <w:numId w:val="24"/>
        </w:numPr>
        <w:tabs>
          <w:tab w:val="left" w:pos="851"/>
        </w:tabs>
        <w:spacing w:after="120" w:line="240" w:lineRule="auto"/>
        <w:ind w:left="851" w:hanging="567"/>
        <w:contextualSpacing w:val="0"/>
      </w:pPr>
      <w:r>
        <w:t xml:space="preserve">A residential actual demand tariff (optional) was established in 2014/15, although its </w:t>
      </w:r>
      <w:r w:rsidR="0042145C">
        <w:t>adoption to date</w:t>
      </w:r>
      <w:r>
        <w:t xml:space="preserve"> is limited.  This remains a trial tariff program with up to 1,000 customers able to use the tariff.  It plays an important role in indicating to customers and the electricity industry the sort of tariff structures and incentives around which new housing and new technology consider</w:t>
      </w:r>
      <w:r w:rsidR="0042145C">
        <w:t>ations should be made</w:t>
      </w:r>
      <w:r>
        <w:t>.</w:t>
      </w:r>
    </w:p>
    <w:p w:rsidR="0044594F" w:rsidRPr="00927302" w:rsidRDefault="004817F5" w:rsidP="0044594F">
      <w:pPr>
        <w:pStyle w:val="Heading2"/>
        <w:keepLines w:val="0"/>
        <w:numPr>
          <w:ilvl w:val="1"/>
          <w:numId w:val="16"/>
        </w:numPr>
        <w:tabs>
          <w:tab w:val="left" w:pos="851"/>
        </w:tabs>
        <w:spacing w:after="240" w:line="240" w:lineRule="auto"/>
      </w:pPr>
      <w:bookmarkStart w:id="76" w:name="_Toc420009838"/>
      <w:r>
        <w:t>Cost-Reflective Tariffs for large businesses July 2015</w:t>
      </w:r>
      <w:bookmarkEnd w:id="76"/>
    </w:p>
    <w:p w:rsidR="0044594F" w:rsidRDefault="0042145C" w:rsidP="00B13D8A">
      <w:r>
        <w:t>In South Australia, t</w:t>
      </w:r>
      <w:r w:rsidR="00752DE6" w:rsidRPr="00752DE6">
        <w:t xml:space="preserve">here are some </w:t>
      </w:r>
      <w:r>
        <w:t>4</w:t>
      </w:r>
      <w:r w:rsidR="00752DE6" w:rsidRPr="00752DE6">
        <w:t>,500 large businesses and/or medium businesses on cost-reflective tar</w:t>
      </w:r>
      <w:r w:rsidR="00752DE6">
        <w:t xml:space="preserve">iffs.  </w:t>
      </w:r>
      <w:r>
        <w:t>There are a further</w:t>
      </w:r>
      <w:r w:rsidR="00752DE6">
        <w:t xml:space="preserve"> 1,000 </w:t>
      </w:r>
      <w:r>
        <w:t>large businesses</w:t>
      </w:r>
      <w:r w:rsidR="00752DE6">
        <w:t xml:space="preserve"> not yet on cost-reflective tariffs.  There are about 250 large customers who still have type 6 metering which limits tariff options.  The other 750 customers have either only recently acquired interval metering or have had load profiles which meant that energy tariffs were more advantageous than agreed demand tariffs.</w:t>
      </w:r>
    </w:p>
    <w:p w:rsidR="00752DE6" w:rsidRDefault="00752DE6" w:rsidP="00B13D8A"/>
    <w:p w:rsidR="00752DE6" w:rsidRDefault="00EA36E3" w:rsidP="00B13D8A">
      <w:r>
        <w:t>SA Power Networks</w:t>
      </w:r>
      <w:r w:rsidR="00752DE6">
        <w:t xml:space="preserve"> proposes that assigning all large customers to cost-reflective tariffs in July 2015 is a critical step in the general implementation of such tariffs.  With the large distribution price reductions (and PV FiT recovery reductions), such transfers are easier to achieve whilst still giving price reductions.  To enable this </w:t>
      </w:r>
      <w:r w:rsidR="0042145C">
        <w:t xml:space="preserve">tariff reform </w:t>
      </w:r>
      <w:r w:rsidR="00752DE6">
        <w:t xml:space="preserve">program to occur, we have created two new tariffs to complement the agreed demand tariff.  We have also restructured the </w:t>
      </w:r>
      <w:r w:rsidR="0042145C">
        <w:t xml:space="preserve">current </w:t>
      </w:r>
      <w:r w:rsidR="00752DE6">
        <w:t>agreed demand tariff to simplify it and remove the constraints of minimum quantities.</w:t>
      </w:r>
    </w:p>
    <w:p w:rsidR="007E516D" w:rsidRDefault="007E516D" w:rsidP="00B13D8A"/>
    <w:p w:rsidR="007E516D" w:rsidRDefault="007E516D" w:rsidP="00B13D8A">
      <w:r>
        <w:t xml:space="preserve">The key steps being undertaken to progress this </w:t>
      </w:r>
      <w:r w:rsidR="00F07469">
        <w:t>initiative</w:t>
      </w:r>
      <w:r>
        <w:t xml:space="preserve"> involve</w:t>
      </w:r>
      <w:r w:rsidR="0042145C">
        <w:t xml:space="preserve"> significant outcomes by July 2015, including</w:t>
      </w:r>
      <w:r>
        <w:t>:</w:t>
      </w:r>
    </w:p>
    <w:p w:rsidR="007E516D" w:rsidRDefault="007E516D" w:rsidP="007E516D">
      <w:pPr>
        <w:pStyle w:val="ListParagraph"/>
        <w:numPr>
          <w:ilvl w:val="0"/>
          <w:numId w:val="48"/>
        </w:numPr>
      </w:pPr>
      <w:r>
        <w:t>Transferring 500 customers from energy tariffs to agreed demand;</w:t>
      </w:r>
    </w:p>
    <w:p w:rsidR="007E516D" w:rsidRDefault="007E516D" w:rsidP="007E516D">
      <w:pPr>
        <w:pStyle w:val="ListParagraph"/>
        <w:numPr>
          <w:ilvl w:val="0"/>
          <w:numId w:val="48"/>
        </w:numPr>
      </w:pPr>
      <w:r>
        <w:t>Offering 1200 customers currently on agreed demand a lower agreed demand;</w:t>
      </w:r>
    </w:p>
    <w:p w:rsidR="007E516D" w:rsidRDefault="007E516D" w:rsidP="007E516D">
      <w:pPr>
        <w:pStyle w:val="ListParagraph"/>
        <w:numPr>
          <w:ilvl w:val="0"/>
          <w:numId w:val="48"/>
        </w:numPr>
      </w:pPr>
      <w:r>
        <w:t>Advising those 1200 customers and a further 2,000 customers that the agreed demand period now includes November, and extends to 9pm;</w:t>
      </w:r>
    </w:p>
    <w:p w:rsidR="007E516D" w:rsidRDefault="007E516D" w:rsidP="007E516D">
      <w:pPr>
        <w:pStyle w:val="ListParagraph"/>
        <w:numPr>
          <w:ilvl w:val="0"/>
          <w:numId w:val="48"/>
        </w:numPr>
      </w:pPr>
      <w:r>
        <w:t>Transferring 900 customers from agreed demand to actual demand (typically monthly);</w:t>
      </w:r>
    </w:p>
    <w:p w:rsidR="007E516D" w:rsidRDefault="007E516D" w:rsidP="007E516D">
      <w:pPr>
        <w:pStyle w:val="ListParagraph"/>
        <w:numPr>
          <w:ilvl w:val="0"/>
          <w:numId w:val="48"/>
        </w:numPr>
      </w:pPr>
      <w:r>
        <w:t>Transferring 350 customers from energy to actual demand</w:t>
      </w:r>
      <w:r w:rsidR="0042145C">
        <w:t>;</w:t>
      </w:r>
    </w:p>
    <w:p w:rsidR="007E516D" w:rsidRDefault="007E516D" w:rsidP="007E516D">
      <w:pPr>
        <w:pStyle w:val="ListParagraph"/>
        <w:numPr>
          <w:ilvl w:val="0"/>
          <w:numId w:val="48"/>
        </w:numPr>
      </w:pPr>
      <w:r>
        <w:t xml:space="preserve">Transferring 64 customers from energy to a transition actual demand tariff, with 27 of these customers requiring a small rebate to ensure they do not face an increase in price in 2015/16.  The average rebate is $2,700 (total </w:t>
      </w:r>
      <w:r w:rsidR="0042145C">
        <w:t>rebates are less than $100,000);</w:t>
      </w:r>
    </w:p>
    <w:p w:rsidR="007E516D" w:rsidRDefault="007E516D" w:rsidP="007E516D">
      <w:pPr>
        <w:pStyle w:val="ListParagraph"/>
        <w:numPr>
          <w:ilvl w:val="0"/>
          <w:numId w:val="48"/>
        </w:numPr>
      </w:pPr>
      <w:r>
        <w:t>Transferring the 250 large business customers still with type 6 meters to a legacy tariff that retains the 2014/15 NUoS prices for business single and business 2-rate.  These customers will receive price reductions when they have interval metering installed and switch to a cost-reflective tariff.  We expect such c</w:t>
      </w:r>
      <w:r w:rsidR="0042145C">
        <w:t>hanges will occur quite quickly;</w:t>
      </w:r>
    </w:p>
    <w:p w:rsidR="007E516D" w:rsidRDefault="007E516D" w:rsidP="007E516D">
      <w:pPr>
        <w:pStyle w:val="ListParagraph"/>
        <w:numPr>
          <w:ilvl w:val="0"/>
          <w:numId w:val="48"/>
        </w:numPr>
      </w:pPr>
      <w:r>
        <w:t>Review the 200 High Voltage customers for the best tariff option and offer a low</w:t>
      </w:r>
      <w:r w:rsidR="0042145C">
        <w:t>er agreed demand where suitable; and</w:t>
      </w:r>
    </w:p>
    <w:p w:rsidR="007E516D" w:rsidRDefault="007E516D" w:rsidP="007E516D">
      <w:pPr>
        <w:pStyle w:val="ListParagraph"/>
        <w:numPr>
          <w:ilvl w:val="0"/>
          <w:numId w:val="48"/>
        </w:numPr>
      </w:pPr>
      <w:r>
        <w:t xml:space="preserve">Review the 20 Major Businesses, ensuring proper determination of locational TUoS charges and </w:t>
      </w:r>
      <w:r w:rsidR="00F07469">
        <w:t>agreed demands.</w:t>
      </w:r>
    </w:p>
    <w:p w:rsidR="00F07469" w:rsidRDefault="00F07469" w:rsidP="00F07469"/>
    <w:p w:rsidR="00F07469" w:rsidRDefault="00F07469" w:rsidP="00F07469">
      <w:r>
        <w:t xml:space="preserve">We do not intend to review the agreed demand of customers </w:t>
      </w:r>
      <w:r w:rsidR="0042145C">
        <w:t>who</w:t>
      </w:r>
      <w:r>
        <w:t xml:space="preserve"> have recently connected to the network, eg since 2013.  However, the operations of other customers </w:t>
      </w:r>
      <w:r w:rsidR="0042145C">
        <w:t xml:space="preserve">may </w:t>
      </w:r>
      <w:r>
        <w:t xml:space="preserve">have changed and so a review of demands and tariffs is timely at this time of </w:t>
      </w:r>
      <w:r w:rsidR="0042145C">
        <w:t xml:space="preserve">regulatory </w:t>
      </w:r>
      <w:r>
        <w:t>Reset and significant bill reduction.</w:t>
      </w:r>
    </w:p>
    <w:p w:rsidR="00F07469" w:rsidRDefault="00F07469" w:rsidP="00F07469"/>
    <w:p w:rsidR="00F07469" w:rsidRDefault="00F07469" w:rsidP="00F07469">
      <w:r>
        <w:t xml:space="preserve">We continue to liaise with retailers on these arrangements, trying to ensure a smooth transition </w:t>
      </w:r>
      <w:r w:rsidR="0042145C">
        <w:t xml:space="preserve">for customers </w:t>
      </w:r>
      <w:r>
        <w:t xml:space="preserve">to the July 2015 pricing.  </w:t>
      </w:r>
    </w:p>
    <w:p w:rsidR="00F07469" w:rsidRDefault="00F07469" w:rsidP="00F07469"/>
    <w:p w:rsidR="00F07469" w:rsidRDefault="00F07469" w:rsidP="00F07469">
      <w:r>
        <w:t>We expect there will be some customers who will elect a different cost-reflective tariff and/or agreed demand.  It may be that some large customers will dispute whether they are indeed using more than 160 MWh pa.  In these cases we will use the dispute resolution processes for managing the assignment/reassignment of customers to tariffs set out in Attachment J.</w:t>
      </w:r>
    </w:p>
    <w:p w:rsidR="00F07469" w:rsidRDefault="00F07469" w:rsidP="00F07469"/>
    <w:p w:rsidR="00F07469" w:rsidRDefault="00F07469" w:rsidP="00F07469">
      <w:r>
        <w:t>After this initiative has been completed, we will look at the optimal cost-reflective arrangements for the medium businesses that have interval metering.  We do not expect to commence implementation of this prior to 2016Q1, and any such tariff assignment will be optional for customers</w:t>
      </w:r>
    </w:p>
    <w:p w:rsidR="007E516D" w:rsidRDefault="007E516D" w:rsidP="00B13D8A"/>
    <w:p w:rsidR="007E516D" w:rsidRDefault="00C731CA" w:rsidP="00B13D8A">
      <w:r>
        <w:t>T</w:t>
      </w:r>
      <w:r w:rsidR="0042145C">
        <w:t>o illustrate the potential impacts of cost-reflective tariffs and the nature of the pricing signals felt by various large businesses, an analysis of ten such customers each using about 240 MWh pa was conducted.  T</w:t>
      </w:r>
      <w:r>
        <w:t xml:space="preserve">he following chart shows the outcome for </w:t>
      </w:r>
      <w:r w:rsidR="0042145C">
        <w:t>the ten</w:t>
      </w:r>
      <w:r>
        <w:t xml:space="preserve"> different </w:t>
      </w:r>
      <w:r w:rsidR="0042145C">
        <w:t>businesses</w:t>
      </w:r>
      <w:r>
        <w:t>.  The chart shows the individual outcome relative to the average outcome of the 10 customers.</w:t>
      </w:r>
    </w:p>
    <w:p w:rsidR="00C731CA" w:rsidRDefault="00C731CA" w:rsidP="00B13D8A"/>
    <w:p w:rsidR="00A035D6" w:rsidRPr="00A035D6" w:rsidRDefault="00A035D6" w:rsidP="00B13D8A">
      <w:pPr>
        <w:rPr>
          <w:b/>
          <w:sz w:val="20"/>
          <w:szCs w:val="20"/>
        </w:rPr>
      </w:pPr>
      <w:r w:rsidRPr="00A035D6">
        <w:rPr>
          <w:b/>
          <w:sz w:val="20"/>
          <w:szCs w:val="20"/>
        </w:rPr>
        <w:t>Figure 3a – Ten large Business Customers</w:t>
      </w:r>
    </w:p>
    <w:p w:rsidR="00C731CA" w:rsidRDefault="00C731CA" w:rsidP="00B13D8A">
      <w:r w:rsidRPr="00C731CA">
        <w:rPr>
          <w:noProof/>
          <w:lang w:val="en-US"/>
        </w:rPr>
        <w:drawing>
          <wp:inline distT="0" distB="0" distL="0" distR="0">
            <wp:extent cx="5715000" cy="3895725"/>
            <wp:effectExtent l="1905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5715000" cy="3895725"/>
                    </a:xfrm>
                    <a:prstGeom prst="rect">
                      <a:avLst/>
                    </a:prstGeom>
                    <a:noFill/>
                    <a:ln w="9525">
                      <a:noFill/>
                      <a:miter lim="800000"/>
                      <a:headEnd/>
                      <a:tailEnd/>
                    </a:ln>
                  </pic:spPr>
                </pic:pic>
              </a:graphicData>
            </a:graphic>
          </wp:inline>
        </w:drawing>
      </w:r>
    </w:p>
    <w:p w:rsidR="00752DE6" w:rsidRDefault="00752DE6" w:rsidP="00B13D8A"/>
    <w:p w:rsidR="00C731CA" w:rsidRDefault="00C731CA" w:rsidP="00B13D8A">
      <w:r>
        <w:t xml:space="preserve">The first two customers are retail facilities with good load factor.  These customers will utilise agreed demand.  </w:t>
      </w:r>
    </w:p>
    <w:p w:rsidR="0042145C" w:rsidRDefault="0042145C" w:rsidP="00B13D8A"/>
    <w:p w:rsidR="00752DE6" w:rsidRDefault="00C731CA" w:rsidP="00B13D8A">
      <w:r>
        <w:t xml:space="preserve">The next </w:t>
      </w:r>
      <w:r w:rsidR="00DC3352">
        <w:t>four customers</w:t>
      </w:r>
      <w:r>
        <w:t xml:space="preserve"> have reasonable price outcomes using actual (monthly) demand.  Their monthly summer peak</w:t>
      </w:r>
      <w:r w:rsidR="00DC3352">
        <w:t xml:space="preserve"> (1600-2100)</w:t>
      </w:r>
      <w:r>
        <w:t xml:space="preserve"> demands and annual shoulder demands </w:t>
      </w:r>
      <w:r w:rsidR="00DC3352">
        <w:t>(1200-1600) are not too high.</w:t>
      </w:r>
      <w:r w:rsidR="0042145C">
        <w:t xml:space="preserve">  There is a mixture of customer types here, but none of them use significant demand during summer peak periods.</w:t>
      </w:r>
    </w:p>
    <w:p w:rsidR="0042145C" w:rsidRDefault="0042145C" w:rsidP="00B13D8A"/>
    <w:p w:rsidR="0042145C" w:rsidRDefault="00DC3352" w:rsidP="00B13D8A">
      <w:r>
        <w:t xml:space="preserve">The last four customers have higher NUoS prices, and these are due to either high late afternoon demands in summer (peak), eg the irrigator, the office and the grain handler, or because of very high afternoon </w:t>
      </w:r>
      <w:r w:rsidR="0042145C">
        <w:t xml:space="preserve">shoulder </w:t>
      </w:r>
      <w:r>
        <w:t xml:space="preserve">loads all year (the small </w:t>
      </w:r>
      <w:r w:rsidR="00A035D6">
        <w:t>industrial plant).  These last four</w:t>
      </w:r>
      <w:r>
        <w:t xml:space="preserve"> customers will be paying a fair price for their network use and have an incentive to reduce these high demands during peak and shoulder periods if that is efficient for them.  </w:t>
      </w:r>
    </w:p>
    <w:p w:rsidR="0042145C" w:rsidRDefault="0042145C" w:rsidP="00B13D8A"/>
    <w:p w:rsidR="00DC3352" w:rsidRDefault="00DC3352" w:rsidP="00B13D8A">
      <w:r>
        <w:t>The use of energy in peak or off-peak periods has little effect on the network price outcome, although it will be important for the cost of energy from the retailer.</w:t>
      </w:r>
    </w:p>
    <w:p w:rsidR="00DC3352" w:rsidRDefault="00DC3352" w:rsidP="00B13D8A"/>
    <w:p w:rsidR="00DC3352" w:rsidRDefault="00DC3352" w:rsidP="00B13D8A">
      <w:r>
        <w:t>Detailed analysis similar to the above chart is conducted in determining the optimal tariff for the large customers.</w:t>
      </w:r>
    </w:p>
    <w:p w:rsidR="0044594F" w:rsidRPr="00192337" w:rsidRDefault="004817F5" w:rsidP="0044594F">
      <w:pPr>
        <w:pStyle w:val="Heading2"/>
        <w:keepLines w:val="0"/>
        <w:numPr>
          <w:ilvl w:val="1"/>
          <w:numId w:val="16"/>
        </w:numPr>
        <w:tabs>
          <w:tab w:val="left" w:pos="851"/>
        </w:tabs>
        <w:spacing w:after="240" w:line="240" w:lineRule="auto"/>
      </w:pPr>
      <w:bookmarkStart w:id="77" w:name="_Toc420009839"/>
      <w:r>
        <w:t>New Residential tariffs for 2015/16</w:t>
      </w:r>
      <w:bookmarkEnd w:id="77"/>
    </w:p>
    <w:p w:rsidR="0044594F" w:rsidRDefault="00EA36E3" w:rsidP="00B13D8A">
      <w:pPr>
        <w:keepNext/>
        <w:spacing w:after="120"/>
      </w:pPr>
      <w:bookmarkStart w:id="78" w:name="_Ref131922159"/>
      <w:bookmarkStart w:id="79" w:name="_Ref131922244"/>
      <w:r>
        <w:t>SA Power Networks</w:t>
      </w:r>
      <w:r w:rsidR="00E727CA" w:rsidRPr="001A1711">
        <w:t xml:space="preserve"> introduced an actual demand tariff option for residential in 2014/15</w:t>
      </w:r>
      <w:r w:rsidR="0044594F" w:rsidRPr="001A1711">
        <w:t xml:space="preserve"> </w:t>
      </w:r>
      <w:r w:rsidR="001A1711">
        <w:t xml:space="preserve"> We are only allowing for limited take-up during 2015/16 (up to 1,000 customers only  until relevant systems and processes are bedded in</w:t>
      </w:r>
      <w:r w:rsidR="00A035D6">
        <w:t>)</w:t>
      </w:r>
      <w:r w:rsidR="001A1711">
        <w:t xml:space="preserve">.  The large business </w:t>
      </w:r>
      <w:r w:rsidR="00A035D6">
        <w:t xml:space="preserve">tariff reform </w:t>
      </w:r>
      <w:r w:rsidR="001A1711">
        <w:t>initiative will take much of that resource over the next 12 months.</w:t>
      </w:r>
    </w:p>
    <w:p w:rsidR="001A1711" w:rsidRDefault="001A1711" w:rsidP="00B13D8A">
      <w:pPr>
        <w:keepNext/>
        <w:spacing w:after="120"/>
      </w:pPr>
      <w:r>
        <w:t xml:space="preserve">We have proposed a solar sponge for hot water, and will introduce that from July 2015.  Customers with controlled load can elect to have their time clocks adjusted (as a negotiated service) which will enable overnight hot water/floor heating load with additional daytime usage between 10am and 3pm.  The aim is to get more flexible load using the network at those times when Solar PV is at its maximum and residential networks potentially have negative load.  We have been careful in selecting times for this initiative as we do not want to increase loads when SA pool prices are high.  It appears that the 10am to 3pm window does not have high prices (probably due to the high PV output at these times) so a good fit </w:t>
      </w:r>
      <w:r w:rsidR="00A035D6">
        <w:t xml:space="preserve">with this objective </w:t>
      </w:r>
      <w:r>
        <w:t>is apparent.  Different time options are proposed depending on whether the customer has electric storage heating, a heat pump or floor heating.</w:t>
      </w:r>
    </w:p>
    <w:p w:rsidR="001A1711" w:rsidRDefault="001A1711" w:rsidP="00B13D8A">
      <w:pPr>
        <w:keepNext/>
        <w:spacing w:after="120"/>
      </w:pPr>
      <w:r>
        <w:t>We have also proposed to introduce a network Social tariff for those vulnerable customers involved in a retailer hardship program.  This tariff specifically excludes the PV</w:t>
      </w:r>
      <w:r w:rsidR="00985F1A">
        <w:t xml:space="preserve"> FiT recovery charges (as such cost-recoveries can impact severely on customers spending a more significant proportion of their disposable income on energy).  It also excludes the supply charge.  Ideally, the discounts would be from the non LRMC-based prices, but residential single rate doesn’t really have any LRMC-based pricing possible with type 6 meters, so a pragmatic choice to discount the supply charge has been made.  The tariff is limited to 12,000 applicants, or to 1.4% of any retailer’s residential customers.  The retailer needs to agree to pass the lower price through to the hardship program customer to be eligible for this program.  The cost of the discounts is about $2M, and is financed within the Residential tariff class by the Residential Solar initiative.  Business customers are not being asked to contribute to this initiative.</w:t>
      </w:r>
    </w:p>
    <w:p w:rsidR="00A478FA" w:rsidRDefault="00985F1A" w:rsidP="00B13D8A">
      <w:pPr>
        <w:keepNext/>
        <w:spacing w:after="120"/>
      </w:pPr>
      <w:r>
        <w:t xml:space="preserve">We also propose to introduce a new type 6 meter-based tariff for those Residential customers who have installed PV.  We have analysed the typical load profiles of over 1,000 individual residential customers who do not have PV solar with the typical load profiles of 750 residential customers with PV.  </w:t>
      </w:r>
      <w:r w:rsidR="00A478FA">
        <w:t>We used a mix of PV sizes for these customer groups to mimic the typical sizing of PV systems installed in SA, ie there was a proportional mix of small and larger PV systems in the sample groups analysed.</w:t>
      </w:r>
    </w:p>
    <w:p w:rsidR="00985F1A" w:rsidRDefault="00985F1A" w:rsidP="00B13D8A">
      <w:pPr>
        <w:keepNext/>
        <w:spacing w:after="120"/>
      </w:pPr>
      <w:r>
        <w:t xml:space="preserve">After allowing for the diversity between these customers, we found that the average load factor (ie the average level of demand to peak demand) was 20% lower for </w:t>
      </w:r>
      <w:r w:rsidR="00365B4A">
        <w:t xml:space="preserve">the customers with PV than it was for those without.  We are not permitted to charge differently for customers with micro-generation </w:t>
      </w:r>
      <w:r w:rsidR="00A035D6">
        <w:t>compared</w:t>
      </w:r>
      <w:r w:rsidR="00365B4A">
        <w:t xml:space="preserve"> to those without except for the difference in usage patterns and load profile.  As we allocate our network costs equally across customers on the basis of 50% for peak demand and 50% for energy, then the residential PV customers should be paying a higher price – the same 50% for the same capacity and 40% for the use of energy (PV customers typically use 80% of the energy from the network </w:t>
      </w:r>
      <w:r w:rsidR="00A035D6">
        <w:t>relative to that of</w:t>
      </w:r>
      <w:r w:rsidR="00365B4A">
        <w:t xml:space="preserve"> non-PV customers).  This implies </w:t>
      </w:r>
      <w:r w:rsidR="00A478FA">
        <w:t>that PV customers should pay 90% of the annual network bill paid by typical residential customers, whereas they have been paying 80% to date.  PV customers should continue to pay less than other residential customers for the same capacity, just not as much less as they have been payin</w:t>
      </w:r>
      <w:r w:rsidR="00A035D6">
        <w:t>g.</w:t>
      </w:r>
    </w:p>
    <w:p w:rsidR="00365B4A" w:rsidRDefault="00365B4A" w:rsidP="00B13D8A">
      <w:pPr>
        <w:keepNext/>
        <w:spacing w:after="120"/>
      </w:pPr>
      <w:r>
        <w:t xml:space="preserve">The charts below show the average residential profiles of the residential and residential solar customers during the January 2014 heatwave.  The maximum demands and average demands for 2013/14 and 2014/15 are also shown.  </w:t>
      </w:r>
      <w:r w:rsidR="00A035D6">
        <w:t>N</w:t>
      </w:r>
      <w:r>
        <w:t xml:space="preserve">otice the high peaks in the late afternoon/evening in both customer groups, but </w:t>
      </w:r>
      <w:r w:rsidR="00A035D6">
        <w:t>that</w:t>
      </w:r>
      <w:r>
        <w:t xml:space="preserve"> the PV customers have lower energy requirements when the sun is shining.</w:t>
      </w:r>
    </w:p>
    <w:p w:rsidR="00E62CAD" w:rsidRDefault="00E62CAD" w:rsidP="00B13D8A">
      <w:pPr>
        <w:keepNext/>
        <w:spacing w:after="120"/>
      </w:pPr>
    </w:p>
    <w:p w:rsidR="00E62CAD" w:rsidRDefault="00E62CAD" w:rsidP="00B13D8A">
      <w:pPr>
        <w:keepNext/>
        <w:spacing w:after="120"/>
      </w:pPr>
      <w:r>
        <w:t xml:space="preserve">Note that there are 175,000 residential solar customers.  We propose to transfer them from their current tariff to the </w:t>
      </w:r>
      <w:r w:rsidR="00217741">
        <w:t>residential Solar tariff</w:t>
      </w:r>
      <w:r>
        <w:t xml:space="preserve"> after their first read in 2015/16, ie progressively between 1 July and 30 September.  We cannot </w:t>
      </w:r>
      <w:r w:rsidR="00A82EA6">
        <w:t xml:space="preserve">reassign a customer to a different tariff between reads, so there will be an administrative lag of about 6 weeks on average for these reassignments.  About 3,000 customers a work day will be transferred to the new </w:t>
      </w:r>
      <w:r w:rsidR="00217741">
        <w:t>Residential Solar tariff</w:t>
      </w:r>
      <w:r w:rsidR="00A82EA6">
        <w:t xml:space="preserve"> during 2015Q3.</w:t>
      </w:r>
    </w:p>
    <w:p w:rsidR="00A82EA6" w:rsidRDefault="00A82EA6" w:rsidP="00B13D8A">
      <w:pPr>
        <w:keepNext/>
        <w:spacing w:after="120"/>
      </w:pPr>
      <w:r>
        <w:t>If a Residential Solar customer considers that their usage profile is significantly different to that used for pricing the type 6 meter outcome, then that customer can elect to adopt the residential actual demand tariff and receive an actual cost-reflective tariff.</w:t>
      </w:r>
    </w:p>
    <w:p w:rsidR="00A478FA" w:rsidRDefault="00A478FA">
      <w:r>
        <w:br w:type="page"/>
      </w:r>
    </w:p>
    <w:p w:rsidR="00A478FA" w:rsidRDefault="00A478FA" w:rsidP="00B13D8A">
      <w:pPr>
        <w:keepNext/>
        <w:spacing w:after="120"/>
      </w:pPr>
    </w:p>
    <w:p w:rsidR="00365B4A" w:rsidRDefault="00A035D6" w:rsidP="00365B4A">
      <w:pPr>
        <w:keepNext/>
        <w:rPr>
          <w:b/>
        </w:rPr>
      </w:pPr>
      <w:r>
        <w:rPr>
          <w:b/>
        </w:rPr>
        <w:t xml:space="preserve">Figure 3b </w:t>
      </w:r>
      <w:r w:rsidR="00365B4A" w:rsidRPr="00365B4A">
        <w:rPr>
          <w:b/>
        </w:rPr>
        <w:t xml:space="preserve">Residential Customers – January 2014 Heatwave diversified load profile </w:t>
      </w:r>
      <w:r>
        <w:rPr>
          <w:b/>
        </w:rPr>
        <w:t xml:space="preserve">kW </w:t>
      </w:r>
      <w:r w:rsidR="00365B4A" w:rsidRPr="00365B4A">
        <w:rPr>
          <w:b/>
        </w:rPr>
        <w:t>per customer</w:t>
      </w:r>
    </w:p>
    <w:p w:rsidR="00365B4A" w:rsidRDefault="00365B4A" w:rsidP="00365B4A">
      <w:pPr>
        <w:keepNext/>
        <w:rPr>
          <w:b/>
        </w:rPr>
      </w:pPr>
      <w:r w:rsidRPr="00365B4A">
        <w:rPr>
          <w:noProof/>
          <w:lang w:val="en-US"/>
        </w:rPr>
        <w:drawing>
          <wp:inline distT="0" distB="0" distL="0" distR="0">
            <wp:extent cx="4591050" cy="2762250"/>
            <wp:effectExtent l="1905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365B4A" w:rsidRDefault="00365B4A" w:rsidP="00365B4A">
      <w:pPr>
        <w:keepNext/>
        <w:rPr>
          <w:b/>
        </w:rPr>
      </w:pPr>
    </w:p>
    <w:p w:rsidR="00365B4A" w:rsidRDefault="00A035D6" w:rsidP="00365B4A">
      <w:pPr>
        <w:keepNext/>
        <w:rPr>
          <w:b/>
        </w:rPr>
      </w:pPr>
      <w:r>
        <w:rPr>
          <w:b/>
        </w:rPr>
        <w:t xml:space="preserve">Figure 3c </w:t>
      </w:r>
      <w:r w:rsidR="00365B4A" w:rsidRPr="00365B4A">
        <w:rPr>
          <w:b/>
        </w:rPr>
        <w:t xml:space="preserve">Residential </w:t>
      </w:r>
      <w:r w:rsidR="00365B4A">
        <w:rPr>
          <w:b/>
        </w:rPr>
        <w:t>with Solar installed</w:t>
      </w:r>
      <w:r w:rsidR="00365B4A" w:rsidRPr="00365B4A">
        <w:rPr>
          <w:b/>
        </w:rPr>
        <w:t xml:space="preserve">– January 2014 Heatwave diversified load profile </w:t>
      </w:r>
      <w:r>
        <w:rPr>
          <w:b/>
        </w:rPr>
        <w:t xml:space="preserve">kW </w:t>
      </w:r>
      <w:r w:rsidR="00365B4A" w:rsidRPr="00365B4A">
        <w:rPr>
          <w:b/>
        </w:rPr>
        <w:t>per customer</w:t>
      </w:r>
    </w:p>
    <w:p w:rsidR="00365B4A" w:rsidRDefault="00365B4A" w:rsidP="00B13D8A">
      <w:pPr>
        <w:keepNext/>
        <w:spacing w:after="120"/>
      </w:pPr>
      <w:r w:rsidRPr="00365B4A">
        <w:rPr>
          <w:noProof/>
          <w:lang w:val="en-US"/>
        </w:rPr>
        <w:drawing>
          <wp:inline distT="0" distB="0" distL="0" distR="0">
            <wp:extent cx="4591050" cy="27622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A478FA" w:rsidRDefault="00A478FA" w:rsidP="00B13D8A">
      <w:pPr>
        <w:keepNext/>
        <w:spacing w:after="120"/>
      </w:pPr>
      <w:r>
        <w:t xml:space="preserve">The spikes with the solar customers occurred when heavy cloud rolled in during the extreme heatwave conditions.  Demand peaked later near 8pm </w:t>
      </w:r>
      <w:r w:rsidR="00A035D6">
        <w:t>for both residential and solar residential, although a little later for the solar residential.</w:t>
      </w:r>
      <w:r>
        <w:t xml:space="preserve">  The daytime loads for the solar group are lower whilst the sun is shining.</w:t>
      </w:r>
    </w:p>
    <w:p w:rsidR="00A478FA" w:rsidRDefault="00A478FA" w:rsidP="00B13D8A">
      <w:pPr>
        <w:keepNext/>
        <w:spacing w:after="120"/>
      </w:pPr>
    </w:p>
    <w:p w:rsidR="00A478FA" w:rsidRDefault="00A478FA">
      <w:r>
        <w:br w:type="page"/>
      </w:r>
    </w:p>
    <w:p w:rsidR="00365B4A" w:rsidRDefault="00365B4A" w:rsidP="00B13D8A">
      <w:pPr>
        <w:keepNext/>
        <w:spacing w:after="120"/>
      </w:pPr>
    </w:p>
    <w:p w:rsidR="00A035D6" w:rsidRDefault="00A035D6" w:rsidP="00365B4A">
      <w:pPr>
        <w:keepNext/>
        <w:rPr>
          <w:b/>
        </w:rPr>
      </w:pPr>
      <w:r>
        <w:rPr>
          <w:b/>
        </w:rPr>
        <w:t xml:space="preserve">Figure 3d </w:t>
      </w:r>
      <w:r w:rsidR="00365B4A" w:rsidRPr="00365B4A">
        <w:rPr>
          <w:b/>
        </w:rPr>
        <w:t>Residential Customers – maximum and average load profile 2013/14 and 2014/15</w:t>
      </w:r>
      <w:r>
        <w:rPr>
          <w:b/>
        </w:rPr>
        <w:t xml:space="preserve"> </w:t>
      </w:r>
    </w:p>
    <w:p w:rsidR="00365B4A" w:rsidRDefault="00A035D6" w:rsidP="00365B4A">
      <w:pPr>
        <w:keepNext/>
        <w:rPr>
          <w:b/>
        </w:rPr>
      </w:pPr>
      <w:r>
        <w:rPr>
          <w:b/>
        </w:rPr>
        <w:t>kW per customer</w:t>
      </w:r>
    </w:p>
    <w:p w:rsidR="00365B4A" w:rsidRDefault="00A478FA" w:rsidP="00365B4A">
      <w:pPr>
        <w:keepNext/>
        <w:rPr>
          <w:b/>
        </w:rPr>
      </w:pPr>
      <w:r w:rsidRPr="00A478FA">
        <w:rPr>
          <w:noProof/>
          <w:lang w:val="en-US"/>
        </w:rPr>
        <w:drawing>
          <wp:inline distT="0" distB="0" distL="0" distR="0">
            <wp:extent cx="4591050" cy="27622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A478FA" w:rsidRPr="00365B4A" w:rsidRDefault="00A478FA" w:rsidP="00365B4A">
      <w:pPr>
        <w:keepNext/>
        <w:rPr>
          <w:b/>
        </w:rPr>
      </w:pPr>
    </w:p>
    <w:p w:rsidR="00365B4A" w:rsidRDefault="00A035D6" w:rsidP="00365B4A">
      <w:pPr>
        <w:keepNext/>
        <w:rPr>
          <w:b/>
        </w:rPr>
      </w:pPr>
      <w:r>
        <w:rPr>
          <w:b/>
        </w:rPr>
        <w:t xml:space="preserve">Figure 3e </w:t>
      </w:r>
      <w:r w:rsidR="00365B4A" w:rsidRPr="00365B4A">
        <w:rPr>
          <w:b/>
        </w:rPr>
        <w:t xml:space="preserve">Residential </w:t>
      </w:r>
      <w:r w:rsidR="00365B4A">
        <w:rPr>
          <w:b/>
        </w:rPr>
        <w:t>with Solar installed</w:t>
      </w:r>
      <w:r w:rsidR="00365B4A" w:rsidRPr="00365B4A">
        <w:rPr>
          <w:b/>
        </w:rPr>
        <w:t xml:space="preserve"> – maximum and average load profile 2013/14 </w:t>
      </w:r>
      <w:r>
        <w:rPr>
          <w:b/>
        </w:rPr>
        <w:t>&amp;</w:t>
      </w:r>
      <w:r w:rsidR="00365B4A" w:rsidRPr="00365B4A">
        <w:rPr>
          <w:b/>
        </w:rPr>
        <w:t xml:space="preserve"> 2014/15</w:t>
      </w:r>
    </w:p>
    <w:p w:rsidR="00A035D6" w:rsidRDefault="00A035D6" w:rsidP="00365B4A">
      <w:pPr>
        <w:keepNext/>
        <w:rPr>
          <w:b/>
        </w:rPr>
      </w:pPr>
      <w:r>
        <w:rPr>
          <w:b/>
        </w:rPr>
        <w:t>kW per customer</w:t>
      </w:r>
    </w:p>
    <w:p w:rsidR="00A478FA" w:rsidRDefault="00A478FA" w:rsidP="00365B4A">
      <w:pPr>
        <w:keepNext/>
        <w:rPr>
          <w:b/>
        </w:rPr>
      </w:pPr>
      <w:r w:rsidRPr="00A478FA">
        <w:rPr>
          <w:noProof/>
          <w:lang w:val="en-US"/>
        </w:rPr>
        <w:drawing>
          <wp:inline distT="0" distB="0" distL="0" distR="0">
            <wp:extent cx="4591050" cy="27622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A478FA" w:rsidRDefault="00A478FA" w:rsidP="00365B4A">
      <w:pPr>
        <w:keepNext/>
        <w:rPr>
          <w:b/>
        </w:rPr>
      </w:pPr>
    </w:p>
    <w:p w:rsidR="00A478FA" w:rsidRDefault="00A478FA" w:rsidP="00365B4A">
      <w:pPr>
        <w:keepNext/>
      </w:pPr>
      <w:r w:rsidRPr="00A478FA">
        <w:t>Overnight loads are similar between the two groups of customers, and peak loads are high at similar levels near 8pm</w:t>
      </w:r>
      <w:r>
        <w:t xml:space="preserve">.  The average daily profile for each of the two years are virtually the same, ie 2013/14 and 2014/15 average load shapes are identical, but with the Solar group having a much lower profile during </w:t>
      </w:r>
      <w:r w:rsidR="00083A4F">
        <w:t>the day when the sun is shining.</w:t>
      </w:r>
    </w:p>
    <w:p w:rsidR="00083A4F" w:rsidRDefault="00083A4F" w:rsidP="00365B4A">
      <w:pPr>
        <w:keepNext/>
      </w:pPr>
    </w:p>
    <w:p w:rsidR="00083A4F" w:rsidRDefault="00A035D6" w:rsidP="00365B4A">
      <w:pPr>
        <w:keepNext/>
      </w:pPr>
      <w:r>
        <w:t>C</w:t>
      </w:r>
      <w:r w:rsidR="00083A4F">
        <w:t xml:space="preserve">harts </w:t>
      </w:r>
      <w:r>
        <w:t xml:space="preserve">3c and 3e </w:t>
      </w:r>
      <w:r w:rsidR="00083A4F">
        <w:t xml:space="preserve">imply that the solar group have a slightly higher </w:t>
      </w:r>
      <w:r>
        <w:t xml:space="preserve">and later </w:t>
      </w:r>
      <w:r w:rsidR="00083A4F">
        <w:t xml:space="preserve">peak.  This may be just a statistical variation, or it may be the result of some PV customers deferring the use of appliances till the sun goes down to maximise their incentives for PV FiT credits.  </w:t>
      </w:r>
      <w:r>
        <w:t>It could also be that these customers choose to use more air-conditioning</w:t>
      </w:r>
      <w:r w:rsidR="00E51B90">
        <w:t xml:space="preserve">, but this is hypothesis only.  </w:t>
      </w:r>
      <w:r w:rsidR="00083A4F">
        <w:t>The summer maximum</w:t>
      </w:r>
      <w:r w:rsidR="00E51B90">
        <w:t xml:space="preserve"> profile</w:t>
      </w:r>
      <w:r w:rsidR="00083A4F">
        <w:t xml:space="preserve">s </w:t>
      </w:r>
      <w:r w:rsidR="00E51B90">
        <w:t>do</w:t>
      </w:r>
      <w:r w:rsidR="00083A4F">
        <w:t xml:space="preserve"> appear a little higher </w:t>
      </w:r>
      <w:r w:rsidR="00E51B90">
        <w:t xml:space="preserve">though </w:t>
      </w:r>
      <w:r w:rsidR="00083A4F">
        <w:t>for the Solar group of customers.</w:t>
      </w:r>
    </w:p>
    <w:p w:rsidR="00083A4F" w:rsidRDefault="00083A4F" w:rsidP="00365B4A">
      <w:pPr>
        <w:keepNext/>
      </w:pPr>
    </w:p>
    <w:p w:rsidR="00083A4F" w:rsidRPr="00A478FA" w:rsidRDefault="00083A4F" w:rsidP="00365B4A">
      <w:pPr>
        <w:keepNext/>
      </w:pPr>
      <w:r>
        <w:t>Not withstanding what the profiles reveal, the after-diversity profile of residential customers with PV is 80% of that for residential customers, and so with a 50% capacity allocation and a 50% energy allocation, the PV customer should be paying 90% of what a similar residential customer uses for the same peak capacity, not the 80% currently being paid.   A slightly higher price for block 1 and for block 2 has been proposed in the pricing.</w:t>
      </w:r>
    </w:p>
    <w:p w:rsidR="0013024C" w:rsidRPr="00192337" w:rsidRDefault="0013024C" w:rsidP="0044594F"/>
    <w:p w:rsidR="0044594F" w:rsidRPr="00927302" w:rsidRDefault="0044594F" w:rsidP="0044594F">
      <w:pPr>
        <w:pStyle w:val="Heading2"/>
        <w:keepLines w:val="0"/>
        <w:numPr>
          <w:ilvl w:val="1"/>
          <w:numId w:val="16"/>
        </w:numPr>
        <w:tabs>
          <w:tab w:val="left" w:pos="851"/>
        </w:tabs>
        <w:spacing w:after="240" w:line="240" w:lineRule="auto"/>
      </w:pPr>
      <w:bookmarkStart w:id="80" w:name="_Ref323564289"/>
      <w:bookmarkStart w:id="81" w:name="_Toc420009840"/>
      <w:r w:rsidRPr="00927302">
        <w:t>Future tariff reform options</w:t>
      </w:r>
      <w:bookmarkEnd w:id="78"/>
      <w:bookmarkEnd w:id="79"/>
      <w:bookmarkEnd w:id="80"/>
      <w:bookmarkEnd w:id="81"/>
    </w:p>
    <w:p w:rsidR="0044594F" w:rsidRPr="00583CB4" w:rsidRDefault="00EA36E3" w:rsidP="0044594F">
      <w:r>
        <w:t>SA Power Networks</w:t>
      </w:r>
      <w:r w:rsidR="0044594F" w:rsidRPr="00583CB4">
        <w:t xml:space="preserve"> proposes to explore any benefits capable of being realised from continuing the network tariff reform process.  Within the limitations of the AER’s DMIA provisions, </w:t>
      </w:r>
      <w:r>
        <w:t>SA Power Networks</w:t>
      </w:r>
      <w:r w:rsidR="0044594F" w:rsidRPr="00583CB4">
        <w:t xml:space="preserve"> may obtain more first-hand information on customers’ usage of the network through trials and associated customer research.</w:t>
      </w:r>
    </w:p>
    <w:p w:rsidR="0013024C" w:rsidRPr="000D76D3" w:rsidRDefault="0013024C" w:rsidP="0044594F">
      <w:pPr>
        <w:rPr>
          <w:highlight w:val="yellow"/>
        </w:rPr>
      </w:pPr>
    </w:p>
    <w:p w:rsidR="0044594F" w:rsidRPr="00583CB4" w:rsidRDefault="0044594F" w:rsidP="0044594F">
      <w:pPr>
        <w:keepNext/>
        <w:spacing w:after="120"/>
      </w:pPr>
      <w:r w:rsidRPr="00B13D8A">
        <w:t xml:space="preserve">The following network tariff reforms may be pursued by </w:t>
      </w:r>
      <w:r w:rsidR="00EA36E3">
        <w:t>SA Power Networks</w:t>
      </w:r>
      <w:r w:rsidRPr="00B13D8A">
        <w:t xml:space="preserve"> during the 201</w:t>
      </w:r>
      <w:r w:rsidR="00583CB4" w:rsidRPr="00B13D8A">
        <w:t>5</w:t>
      </w:r>
      <w:r w:rsidR="002F009C" w:rsidRPr="00B13D8A">
        <w:t>-</w:t>
      </w:r>
      <w:r w:rsidR="00583CB4" w:rsidRPr="00B13D8A">
        <w:t>20</w:t>
      </w:r>
      <w:r w:rsidRPr="00B13D8A">
        <w:t xml:space="preserve"> regulatory control </w:t>
      </w:r>
      <w:r w:rsidR="00B13D8A">
        <w:t>period</w:t>
      </w:r>
      <w:r w:rsidR="00583CB4" w:rsidRPr="00B13D8A">
        <w:t xml:space="preserve">.  They will be discussed in more detail in our </w:t>
      </w:r>
      <w:r w:rsidR="002F009C" w:rsidRPr="00B13D8A">
        <w:t xml:space="preserve">Tariff </w:t>
      </w:r>
      <w:r w:rsidR="00E51B90">
        <w:t>Structure</w:t>
      </w:r>
      <w:r w:rsidR="002F009C" w:rsidRPr="00B13D8A">
        <w:t xml:space="preserve"> Statement which is due for </w:t>
      </w:r>
      <w:r w:rsidR="00583CB4" w:rsidRPr="00B13D8A">
        <w:t>submission</w:t>
      </w:r>
      <w:r w:rsidR="002F009C" w:rsidRPr="00B13D8A">
        <w:t xml:space="preserve"> to the AER in November 2015 following consultation with customers and stakeholders during 2015 quarter 3</w:t>
      </w:r>
      <w:r w:rsidRPr="00B13D8A">
        <w:t>:</w:t>
      </w:r>
    </w:p>
    <w:p w:rsidR="0044594F" w:rsidRPr="00583CB4" w:rsidRDefault="0044594F" w:rsidP="0044594F">
      <w:pPr>
        <w:pStyle w:val="ListParagraph"/>
        <w:numPr>
          <w:ilvl w:val="0"/>
          <w:numId w:val="24"/>
        </w:numPr>
        <w:tabs>
          <w:tab w:val="left" w:pos="709"/>
        </w:tabs>
        <w:spacing w:after="120" w:line="240" w:lineRule="auto"/>
        <w:ind w:left="721" w:hanging="437"/>
        <w:contextualSpacing w:val="0"/>
      </w:pPr>
      <w:r w:rsidRPr="00583CB4">
        <w:t>Improving the design of demand tariffs, to enhance their cost reflectivity;</w:t>
      </w:r>
    </w:p>
    <w:p w:rsidR="0044594F" w:rsidRPr="00583CB4" w:rsidRDefault="0044594F" w:rsidP="0044594F">
      <w:pPr>
        <w:pStyle w:val="ListParagraph"/>
        <w:numPr>
          <w:ilvl w:val="0"/>
          <w:numId w:val="24"/>
        </w:numPr>
        <w:tabs>
          <w:tab w:val="left" w:pos="709"/>
        </w:tabs>
        <w:spacing w:after="120" w:line="240" w:lineRule="auto"/>
        <w:ind w:left="721" w:hanging="437"/>
        <w:contextualSpacing w:val="0"/>
      </w:pPr>
      <w:r w:rsidRPr="00583CB4">
        <w:t>Continuing to assign more</w:t>
      </w:r>
      <w:r w:rsidR="00583CB4" w:rsidRPr="00583CB4">
        <w:t xml:space="preserve"> business</w:t>
      </w:r>
      <w:r w:rsidRPr="00583CB4">
        <w:t xml:space="preserve"> customers to network demand tariffs where it is economically efficient to do so; </w:t>
      </w:r>
    </w:p>
    <w:p w:rsidR="0044594F" w:rsidRDefault="0044594F" w:rsidP="0044594F">
      <w:pPr>
        <w:pStyle w:val="ListParagraph"/>
        <w:numPr>
          <w:ilvl w:val="0"/>
          <w:numId w:val="24"/>
        </w:numPr>
        <w:tabs>
          <w:tab w:val="left" w:pos="709"/>
        </w:tabs>
        <w:spacing w:after="240" w:line="240" w:lineRule="auto"/>
        <w:ind w:left="721" w:hanging="437"/>
        <w:contextualSpacing w:val="0"/>
      </w:pPr>
      <w:r w:rsidRPr="00583CB4">
        <w:t>Exploring tariff based demand management opportunities</w:t>
      </w:r>
      <w:r w:rsidR="002F009C">
        <w:t xml:space="preserve"> at specific locations where network constraints are developing</w:t>
      </w:r>
      <w:r w:rsidR="00B13D8A">
        <w:t>; and</w:t>
      </w:r>
    </w:p>
    <w:p w:rsidR="00B13D8A" w:rsidRPr="00583CB4" w:rsidRDefault="00B13D8A" w:rsidP="0044594F">
      <w:pPr>
        <w:pStyle w:val="ListParagraph"/>
        <w:numPr>
          <w:ilvl w:val="0"/>
          <w:numId w:val="24"/>
        </w:numPr>
        <w:tabs>
          <w:tab w:val="left" w:pos="709"/>
        </w:tabs>
        <w:spacing w:after="240" w:line="240" w:lineRule="auto"/>
        <w:ind w:left="721" w:hanging="437"/>
        <w:contextualSpacing w:val="0"/>
      </w:pPr>
      <w:r>
        <w:t xml:space="preserve">Encouraging more </w:t>
      </w:r>
      <w:r w:rsidR="00E51B90">
        <w:t xml:space="preserve">consumption </w:t>
      </w:r>
      <w:r>
        <w:t>use of the residential network during sunny periods as loads can be negative because of solar PV production.  This may be from a ‘solar sponge’ whereby flexible loads use energy during the day (perhaps for storage heating of water, for swimming pool pumps or for charging of batteries) and possibly reduce the need for capacity at the peak time of late afternoon/evening.</w:t>
      </w:r>
    </w:p>
    <w:p w:rsidR="0044594F" w:rsidRPr="00583CB4" w:rsidRDefault="0044594F" w:rsidP="0044594F">
      <w:pPr>
        <w:keepNext/>
        <w:spacing w:after="120"/>
      </w:pPr>
      <w:r w:rsidRPr="00583CB4">
        <w:t xml:space="preserve">In relation to the reassignment of customers to individual tariffs within the tariff classes, </w:t>
      </w:r>
      <w:r w:rsidR="00EA36E3">
        <w:t>SA Power Networks</w:t>
      </w:r>
      <w:r w:rsidRPr="00583CB4">
        <w:t xml:space="preserve"> believes that it is appropriate to actively encourage and facilitate the development of more cost reflective distribution network tariffs.  Such tariffs may well include those that are enabled by the use of developing technologies, such as:</w:t>
      </w:r>
    </w:p>
    <w:p w:rsidR="0044594F" w:rsidRPr="00583CB4" w:rsidRDefault="0044594F" w:rsidP="0044594F">
      <w:pPr>
        <w:pStyle w:val="ListParagraph"/>
        <w:numPr>
          <w:ilvl w:val="0"/>
          <w:numId w:val="22"/>
        </w:numPr>
        <w:tabs>
          <w:tab w:val="left" w:pos="851"/>
        </w:tabs>
        <w:spacing w:after="120" w:line="240" w:lineRule="auto"/>
        <w:ind w:left="850" w:hanging="425"/>
        <w:contextualSpacing w:val="0"/>
      </w:pPr>
      <w:r w:rsidRPr="00583CB4">
        <w:t>Communications signalling and load management technologies; or</w:t>
      </w:r>
    </w:p>
    <w:p w:rsidR="0013024C" w:rsidRPr="00583CB4" w:rsidRDefault="0044594F" w:rsidP="004E03CB">
      <w:pPr>
        <w:pStyle w:val="ListParagraph"/>
        <w:numPr>
          <w:ilvl w:val="0"/>
          <w:numId w:val="22"/>
        </w:numPr>
        <w:tabs>
          <w:tab w:val="left" w:pos="851"/>
        </w:tabs>
        <w:spacing w:after="240" w:line="240" w:lineRule="auto"/>
        <w:ind w:left="850" w:hanging="425"/>
        <w:contextualSpacing w:val="0"/>
      </w:pPr>
      <w:r w:rsidRPr="00583CB4">
        <w:t>Remotely read interval meters.</w:t>
      </w:r>
    </w:p>
    <w:p w:rsidR="0044594F" w:rsidRPr="00583CB4" w:rsidRDefault="00B13D8A" w:rsidP="0044594F">
      <w:pPr>
        <w:keepNext/>
        <w:spacing w:after="120"/>
      </w:pPr>
      <w:r>
        <w:t xml:space="preserve">These developments will need to consider the effects of metering contestability from 2017 and how such tariff changes and metering arrangements can be best aligned.  </w:t>
      </w:r>
      <w:r w:rsidR="00EA36E3">
        <w:t>SA Power Networks</w:t>
      </w:r>
      <w:r w:rsidR="0044594F" w:rsidRPr="00583CB4">
        <w:t xml:space="preserve"> envisages that it may be seeking to implement the following tariff initiatives:</w:t>
      </w:r>
    </w:p>
    <w:p w:rsidR="0044594F" w:rsidRPr="00583CB4" w:rsidRDefault="0044594F" w:rsidP="0044594F">
      <w:pPr>
        <w:pStyle w:val="ListParagraph"/>
        <w:numPr>
          <w:ilvl w:val="0"/>
          <w:numId w:val="22"/>
        </w:numPr>
        <w:tabs>
          <w:tab w:val="left" w:pos="851"/>
        </w:tabs>
        <w:spacing w:after="120" w:line="240" w:lineRule="auto"/>
        <w:ind w:left="850" w:hanging="425"/>
        <w:contextualSpacing w:val="0"/>
      </w:pPr>
      <w:r w:rsidRPr="00583CB4">
        <w:t>Increasingly, interval meters are being chosen</w:t>
      </w:r>
      <w:r w:rsidR="00B13D8A">
        <w:t xml:space="preserve"> by customers </w:t>
      </w:r>
      <w:r w:rsidR="00B13D8A" w:rsidRPr="00583CB4">
        <w:t>as</w:t>
      </w:r>
      <w:r w:rsidRPr="00583CB4">
        <w:t xml:space="preserve"> an alternate meter for replacements and new connections.  This would permit the introduction of more cost reflective </w:t>
      </w:r>
      <w:r w:rsidR="00583CB4" w:rsidRPr="00583CB4">
        <w:t>demand</w:t>
      </w:r>
      <w:r w:rsidRPr="00583CB4">
        <w:t xml:space="preserve"> based prices for some small customers</w:t>
      </w:r>
      <w:r w:rsidR="00B13D8A">
        <w:t>, especially the medium-sized customers</w:t>
      </w:r>
      <w:r w:rsidRPr="00583CB4">
        <w:t>.</w:t>
      </w:r>
    </w:p>
    <w:p w:rsidR="0044594F" w:rsidRPr="00583CB4" w:rsidRDefault="0044594F" w:rsidP="0044594F">
      <w:pPr>
        <w:pStyle w:val="ListParagraph"/>
        <w:numPr>
          <w:ilvl w:val="0"/>
          <w:numId w:val="22"/>
        </w:numPr>
        <w:tabs>
          <w:tab w:val="left" w:pos="851"/>
        </w:tabs>
        <w:spacing w:after="240" w:line="240" w:lineRule="auto"/>
        <w:ind w:left="850" w:hanging="425"/>
        <w:contextualSpacing w:val="0"/>
      </w:pPr>
      <w:r w:rsidRPr="00583CB4">
        <w:rPr>
          <w:rFonts w:cs="Calibri"/>
        </w:rPr>
        <w:t>In specific situations</w:t>
      </w:r>
      <w:r w:rsidR="00B13D8A">
        <w:rPr>
          <w:rFonts w:cs="Calibri"/>
        </w:rPr>
        <w:t xml:space="preserve">/locations </w:t>
      </w:r>
      <w:r w:rsidR="00B13D8A" w:rsidRPr="00583CB4">
        <w:rPr>
          <w:rFonts w:cs="Calibri"/>
        </w:rPr>
        <w:t>where</w:t>
      </w:r>
      <w:r w:rsidRPr="00583CB4">
        <w:rPr>
          <w:rFonts w:cs="Calibri"/>
        </w:rPr>
        <w:t xml:space="preserve"> network demand management is sought, </w:t>
      </w:r>
      <w:r w:rsidR="00EA36E3">
        <w:rPr>
          <w:rFonts w:cs="Calibri"/>
        </w:rPr>
        <w:t>SA Power Networks</w:t>
      </w:r>
      <w:r w:rsidRPr="00583CB4">
        <w:rPr>
          <w:rFonts w:cs="Calibri"/>
        </w:rPr>
        <w:t xml:space="preserve"> </w:t>
      </w:r>
      <w:r w:rsidRPr="00583CB4">
        <w:t>may offer voluntary tariffs from time to time and, should the customer or their retailer accept this offer, they would be reassigned to the new tariff.</w:t>
      </w:r>
      <w:r w:rsidR="00B13D8A">
        <w:t xml:space="preserve">  We expect such arrangements will be optional, with arrangements that enable these customers to revert back to the standard state-wide price should they so choose.</w:t>
      </w:r>
    </w:p>
    <w:p w:rsidR="0044594F" w:rsidRDefault="0044594F" w:rsidP="0044594F">
      <w:r w:rsidRPr="00583CB4">
        <w:t>These proposed initiatives are intended to improve the cost reflectivity of the existing tariffs and whilst involving the reassignment of customers to new tariffs, would not require their reassignment to a new or different tariff class.</w:t>
      </w:r>
      <w:bookmarkStart w:id="82" w:name="_Ref136476018"/>
    </w:p>
    <w:p w:rsidR="0013024C" w:rsidRDefault="0013024C" w:rsidP="0044594F"/>
    <w:bookmarkEnd w:id="82"/>
    <w:p w:rsidR="0044594F" w:rsidRPr="000D76D3" w:rsidRDefault="0044594F" w:rsidP="0044594F">
      <w:pPr>
        <w:rPr>
          <w:highlight w:val="red"/>
        </w:rPr>
      </w:pPr>
    </w:p>
    <w:p w:rsidR="0044594F" w:rsidRPr="000D76D3" w:rsidRDefault="0044594F" w:rsidP="0044594F">
      <w:pPr>
        <w:rPr>
          <w:highlight w:val="red"/>
        </w:rPr>
        <w:sectPr w:rsidR="0044594F" w:rsidRPr="000D76D3" w:rsidSect="00393E4F">
          <w:headerReference w:type="even" r:id="rId38"/>
          <w:headerReference w:type="default" r:id="rId39"/>
          <w:footerReference w:type="even" r:id="rId40"/>
          <w:footerReference w:type="default" r:id="rId41"/>
          <w:headerReference w:type="first" r:id="rId42"/>
          <w:footerReference w:type="first" r:id="rId43"/>
          <w:pgSz w:w="11906" w:h="16838" w:code="9"/>
          <w:pgMar w:top="1418" w:right="1134" w:bottom="1134" w:left="1701" w:header="720" w:footer="720" w:gutter="0"/>
          <w:pgNumType w:start="1"/>
          <w:cols w:space="720"/>
          <w:titlePg/>
        </w:sectPr>
      </w:pPr>
    </w:p>
    <w:p w:rsidR="0044594F" w:rsidRPr="00927302" w:rsidRDefault="0044594F" w:rsidP="0044594F">
      <w:pPr>
        <w:pStyle w:val="Heading1"/>
        <w:pageBreakBefore/>
        <w:numPr>
          <w:ilvl w:val="0"/>
          <w:numId w:val="16"/>
        </w:numPr>
        <w:tabs>
          <w:tab w:val="left" w:pos="851"/>
        </w:tabs>
        <w:spacing w:after="240" w:line="240" w:lineRule="auto"/>
      </w:pPr>
      <w:bookmarkStart w:id="83" w:name="_Ref165619835"/>
      <w:bookmarkStart w:id="84" w:name="_Toc420009841"/>
      <w:r w:rsidRPr="00927302">
        <w:t>Standard control services tariffs</w:t>
      </w:r>
      <w:bookmarkEnd w:id="83"/>
      <w:bookmarkEnd w:id="84"/>
    </w:p>
    <w:p w:rsidR="0044594F" w:rsidRPr="00927302" w:rsidRDefault="0044594F" w:rsidP="0044594F">
      <w:r w:rsidRPr="00927302">
        <w:t xml:space="preserve">Within the framework of </w:t>
      </w:r>
      <w:r w:rsidR="00EA36E3">
        <w:t>SA Power Networks</w:t>
      </w:r>
      <w:r w:rsidRPr="00927302">
        <w:t xml:space="preserve">’ longer term tariff strategy set out in </w:t>
      </w:r>
      <w:r w:rsidR="000B7F94">
        <w:t>Section</w:t>
      </w:r>
      <w:r w:rsidRPr="00927302">
        <w:t xml:space="preserve"> </w:t>
      </w:r>
      <w:r w:rsidR="00575C9A">
        <w:fldChar w:fldCharType="begin"/>
      </w:r>
      <w:r>
        <w:instrText xml:space="preserve"> REF _Ref134069703 \r \h </w:instrText>
      </w:r>
      <w:r w:rsidR="00575C9A">
        <w:fldChar w:fldCharType="separate"/>
      </w:r>
      <w:r w:rsidR="00A81AFE">
        <w:t>5</w:t>
      </w:r>
      <w:r w:rsidR="00575C9A">
        <w:fldChar w:fldCharType="end"/>
      </w:r>
      <w:r w:rsidRPr="00927302">
        <w:t xml:space="preserve"> of this Pricing Proposal, this </w:t>
      </w:r>
      <w:r w:rsidR="000B7F94">
        <w:t>Section</w:t>
      </w:r>
      <w:r w:rsidRPr="00927302">
        <w:t xml:space="preserve"> sets out the proposed rates for tariff charging components of standard control services for </w:t>
      </w:r>
      <w:r w:rsidR="00F663DB">
        <w:t>2015/16</w:t>
      </w:r>
      <w:r>
        <w:t xml:space="preserve"> </w:t>
      </w:r>
      <w:r w:rsidRPr="00927302">
        <w:t xml:space="preserve">and provides a comparison with the rates in place during </w:t>
      </w:r>
      <w:r w:rsidR="00F663DB">
        <w:t>2014/15</w:t>
      </w:r>
      <w:r w:rsidRPr="00927302">
        <w:t>.</w:t>
      </w:r>
    </w:p>
    <w:p w:rsidR="0044594F" w:rsidRDefault="0044594F" w:rsidP="0044594F">
      <w:pPr>
        <w:keepNext/>
        <w:spacing w:after="120"/>
      </w:pPr>
      <w:r w:rsidRPr="00927302">
        <w:t xml:space="preserve">It should be noted that the information and comparisons in this </w:t>
      </w:r>
      <w:r w:rsidR="000B7F94">
        <w:t>Section</w:t>
      </w:r>
      <w:r w:rsidRPr="00927302">
        <w:t xml:space="preserve"> relate solely to </w:t>
      </w:r>
      <w:r w:rsidR="00EA36E3">
        <w:t>SA Power Networks</w:t>
      </w:r>
      <w:r>
        <w:t xml:space="preserve">’ </w:t>
      </w:r>
      <w:r w:rsidRPr="00927302">
        <w:t xml:space="preserve">standard control services.  </w:t>
      </w:r>
      <w:r>
        <w:t>NUoS</w:t>
      </w:r>
      <w:r w:rsidRPr="00927302">
        <w:t xml:space="preserve"> charges to customers are bundled charges that contain</w:t>
      </w:r>
      <w:r>
        <w:t>:</w:t>
      </w:r>
    </w:p>
    <w:p w:rsidR="0044594F" w:rsidRDefault="00EA36E3" w:rsidP="003C07A2">
      <w:pPr>
        <w:numPr>
          <w:ilvl w:val="0"/>
          <w:numId w:val="34"/>
        </w:numPr>
        <w:spacing w:after="120" w:line="240" w:lineRule="auto"/>
      </w:pPr>
      <w:r>
        <w:t>SA Power Networks</w:t>
      </w:r>
      <w:r w:rsidR="0044594F">
        <w:t>’ standard control services (DUoS);</w:t>
      </w:r>
    </w:p>
    <w:p w:rsidR="000D76D3" w:rsidRDefault="00EA36E3" w:rsidP="003C07A2">
      <w:pPr>
        <w:numPr>
          <w:ilvl w:val="0"/>
          <w:numId w:val="34"/>
        </w:numPr>
        <w:spacing w:after="120" w:line="240" w:lineRule="auto"/>
      </w:pPr>
      <w:r>
        <w:t>SA Power Networks</w:t>
      </w:r>
      <w:r w:rsidR="000D76D3">
        <w:t xml:space="preserve">’ </w:t>
      </w:r>
      <w:r w:rsidR="003D7390">
        <w:t>Vegetation Management</w:t>
      </w:r>
      <w:r w:rsidR="000D76D3">
        <w:t xml:space="preserve"> passthrough </w:t>
      </w:r>
      <w:r w:rsidR="00B13D8A">
        <w:t>in 2014/15 (included in the DUoS comparison)</w:t>
      </w:r>
      <w:r w:rsidR="000D76D3">
        <w:t>;</w:t>
      </w:r>
    </w:p>
    <w:p w:rsidR="0044594F" w:rsidRDefault="0044594F" w:rsidP="003C07A2">
      <w:pPr>
        <w:numPr>
          <w:ilvl w:val="0"/>
          <w:numId w:val="34"/>
        </w:numPr>
        <w:spacing w:after="120" w:line="240" w:lineRule="auto"/>
      </w:pPr>
      <w:r>
        <w:t>T</w:t>
      </w:r>
      <w:r w:rsidRPr="00927302">
        <w:t>ransmission cost recovery components</w:t>
      </w:r>
      <w:r>
        <w:t xml:space="preserve"> (TUoS); and</w:t>
      </w:r>
    </w:p>
    <w:p w:rsidR="0044594F" w:rsidRDefault="0044594F" w:rsidP="003C07A2">
      <w:pPr>
        <w:numPr>
          <w:ilvl w:val="0"/>
          <w:numId w:val="34"/>
        </w:numPr>
        <w:spacing w:after="120" w:line="240" w:lineRule="auto"/>
      </w:pPr>
      <w:r>
        <w:t>PV JSA cost recovery components (PV JSA).</w:t>
      </w:r>
    </w:p>
    <w:p w:rsidR="00B13D8A" w:rsidRDefault="00B13D8A" w:rsidP="0044594F">
      <w:r>
        <w:t xml:space="preserve">The charges bundled to customers can also include </w:t>
      </w:r>
      <w:r w:rsidR="001B6579">
        <w:t>alternative control</w:t>
      </w:r>
      <w:r>
        <w:t xml:space="preserve"> service charges for metering.  These charges are explicitly set out in our tariff list, but are part of the total network charges to customers.  Metering is discussed separately in a later </w:t>
      </w:r>
      <w:r w:rsidR="008402B7">
        <w:t>section</w:t>
      </w:r>
      <w:r>
        <w:t>.</w:t>
      </w:r>
    </w:p>
    <w:p w:rsidR="00B13D8A" w:rsidRDefault="00B13D8A" w:rsidP="0044594F"/>
    <w:p w:rsidR="0044594F" w:rsidRDefault="0044594F" w:rsidP="0044594F">
      <w:r w:rsidRPr="00927302">
        <w:t xml:space="preserve">A discussion of customer impacts </w:t>
      </w:r>
      <w:r>
        <w:t xml:space="preserve">from all NUoS charges </w:t>
      </w:r>
      <w:r w:rsidRPr="00927302">
        <w:t xml:space="preserve">including transmission cost recovery and </w:t>
      </w:r>
      <w:r>
        <w:t>PV JSA cost recovery</w:t>
      </w:r>
      <w:r w:rsidRPr="00927302">
        <w:t xml:space="preserve"> is set out in </w:t>
      </w:r>
      <w:r w:rsidR="000B7F94">
        <w:t>Section</w:t>
      </w:r>
      <w:r w:rsidRPr="00927302">
        <w:t xml:space="preserve"> </w:t>
      </w:r>
      <w:r w:rsidR="001B6579">
        <w:t>1</w:t>
      </w:r>
      <w:r w:rsidR="00575C9A">
        <w:fldChar w:fldCharType="begin"/>
      </w:r>
      <w:r>
        <w:instrText xml:space="preserve"> REF _Ref133921593 \r \h </w:instrText>
      </w:r>
      <w:r w:rsidR="00575C9A">
        <w:fldChar w:fldCharType="separate"/>
      </w:r>
      <w:r w:rsidR="00A81AFE">
        <w:t>0</w:t>
      </w:r>
      <w:r w:rsidR="00575C9A">
        <w:fldChar w:fldCharType="end"/>
      </w:r>
      <w:r w:rsidRPr="00927302">
        <w:t>.</w:t>
      </w:r>
    </w:p>
    <w:p w:rsidR="0013024C" w:rsidRPr="00927302" w:rsidRDefault="0013024C" w:rsidP="0044594F"/>
    <w:p w:rsidR="0044594F" w:rsidRPr="00927302" w:rsidRDefault="0044594F" w:rsidP="0044594F">
      <w:pPr>
        <w:pStyle w:val="Heading2"/>
        <w:keepLines w:val="0"/>
        <w:numPr>
          <w:ilvl w:val="1"/>
          <w:numId w:val="16"/>
        </w:numPr>
        <w:tabs>
          <w:tab w:val="left" w:pos="851"/>
        </w:tabs>
        <w:spacing w:after="240" w:line="240" w:lineRule="auto"/>
      </w:pPr>
      <w:bookmarkStart w:id="85" w:name="_Toc420009842"/>
      <w:r w:rsidRPr="00927302">
        <w:t>Regulatory Requirements</w:t>
      </w:r>
      <w:bookmarkEnd w:id="85"/>
    </w:p>
    <w:p w:rsidR="0044594F" w:rsidRPr="00927302" w:rsidRDefault="0044594F" w:rsidP="0044594F">
      <w:pPr>
        <w:keepNext/>
        <w:spacing w:after="120"/>
      </w:pPr>
      <w:r w:rsidRPr="00927302">
        <w:t xml:space="preserve">The information in this </w:t>
      </w:r>
      <w:r w:rsidR="000B7F94">
        <w:t>Section</w:t>
      </w:r>
      <w:r w:rsidRPr="00927302">
        <w:t xml:space="preserve"> concerning the change in standard control service rates is provided pursuant to clause 6.18.9 of the Rules.</w:t>
      </w: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6.18.9 </w:t>
      </w:r>
      <w:r w:rsidRPr="00927302">
        <w:rPr>
          <w:rFonts w:cs="Arial-BoldMT"/>
          <w:b/>
          <w:bCs/>
          <w:szCs w:val="23"/>
        </w:rPr>
        <w:tab/>
        <w:t>Publication of information about tariffs and tariff classes</w:t>
      </w:r>
    </w:p>
    <w:p w:rsidR="0044594F" w:rsidRPr="00927302" w:rsidRDefault="0044594F" w:rsidP="0044594F">
      <w:pPr>
        <w:tabs>
          <w:tab w:val="left" w:pos="568"/>
        </w:tabs>
        <w:spacing w:after="120"/>
        <w:ind w:left="567" w:hanging="567"/>
        <w:rPr>
          <w:rFonts w:cs="Arial-BoldMT"/>
          <w:szCs w:val="23"/>
          <w:lang w:val="en-US"/>
        </w:rPr>
      </w:pPr>
      <w:r w:rsidRPr="00927302">
        <w:rPr>
          <w:rFonts w:cs="Arial-BoldMT"/>
          <w:szCs w:val="23"/>
          <w:lang w:val="en-US"/>
        </w:rPr>
        <w:t xml:space="preserve">(a) </w:t>
      </w:r>
      <w:r w:rsidRPr="00927302">
        <w:rPr>
          <w:rFonts w:cs="Arial-BoldMT"/>
          <w:szCs w:val="23"/>
          <w:lang w:val="en-US"/>
        </w:rPr>
        <w:tab/>
        <w:t xml:space="preserve">A </w:t>
      </w:r>
      <w:r w:rsidRPr="00927302">
        <w:rPr>
          <w:rFonts w:cs="Arial-BoldMT"/>
          <w:i/>
          <w:iCs/>
          <w:szCs w:val="23"/>
          <w:lang w:val="en-US"/>
        </w:rPr>
        <w:t xml:space="preserve">Distribution Network Service Provider </w:t>
      </w:r>
      <w:r w:rsidRPr="00927302">
        <w:rPr>
          <w:rFonts w:cs="Arial-BoldMT"/>
          <w:szCs w:val="23"/>
          <w:lang w:val="en-US"/>
        </w:rPr>
        <w:t>must maintain on its website:</w:t>
      </w:r>
    </w:p>
    <w:p w:rsidR="0044594F" w:rsidRDefault="0044594F" w:rsidP="0044594F">
      <w:pPr>
        <w:tabs>
          <w:tab w:val="left" w:pos="1136"/>
        </w:tabs>
        <w:ind w:left="1134" w:hanging="567"/>
        <w:rPr>
          <w:rFonts w:cs="Arial-BoldMT"/>
          <w:szCs w:val="23"/>
          <w:lang w:val="en-US"/>
        </w:rPr>
      </w:pPr>
      <w:r w:rsidRPr="00927302">
        <w:rPr>
          <w:rFonts w:cs="Arial-BoldMT"/>
          <w:szCs w:val="23"/>
          <w:lang w:val="en-US"/>
        </w:rPr>
        <w:t xml:space="preserve">(3) </w:t>
      </w:r>
      <w:r w:rsidRPr="00927302">
        <w:rPr>
          <w:rFonts w:cs="Arial-BoldMT"/>
          <w:szCs w:val="23"/>
          <w:lang w:val="en-US"/>
        </w:rPr>
        <w:tab/>
        <w:t xml:space="preserve">a statement of expected price trends (to be updated for each </w:t>
      </w:r>
      <w:r w:rsidRPr="00927302">
        <w:rPr>
          <w:rFonts w:cs="Arial-BoldMT"/>
          <w:i/>
          <w:iCs/>
          <w:szCs w:val="23"/>
          <w:lang w:val="en-US"/>
        </w:rPr>
        <w:t>regulatory year</w:t>
      </w:r>
      <w:r w:rsidRPr="00927302">
        <w:rPr>
          <w:rFonts w:cs="Arial-BoldMT"/>
          <w:szCs w:val="23"/>
          <w:lang w:val="en-US"/>
        </w:rPr>
        <w:t xml:space="preserve">) giving an indication of how the </w:t>
      </w:r>
      <w:r w:rsidRPr="00927302">
        <w:rPr>
          <w:rFonts w:cs="Arial-BoldMT"/>
          <w:i/>
          <w:iCs/>
          <w:szCs w:val="23"/>
          <w:lang w:val="en-US"/>
        </w:rPr>
        <w:t xml:space="preserve">Distribution Network Service Provider </w:t>
      </w:r>
      <w:r w:rsidRPr="00927302">
        <w:rPr>
          <w:rFonts w:cs="Arial-BoldMT"/>
          <w:szCs w:val="23"/>
          <w:lang w:val="en-US"/>
        </w:rPr>
        <w:t xml:space="preserve">expects prices to </w:t>
      </w:r>
      <w:r w:rsidRPr="00423344">
        <w:rPr>
          <w:rFonts w:cs="Arial-BoldMT"/>
          <w:szCs w:val="23"/>
          <w:lang w:val="en-US"/>
        </w:rPr>
        <w:t xml:space="preserve">change over the </w:t>
      </w:r>
      <w:r w:rsidRPr="00423344">
        <w:rPr>
          <w:rFonts w:cs="Arial-BoldMT"/>
          <w:i/>
          <w:iCs/>
          <w:szCs w:val="23"/>
          <w:lang w:val="en-US"/>
        </w:rPr>
        <w:t xml:space="preserve">regulatory control period </w:t>
      </w:r>
      <w:r w:rsidRPr="00423344">
        <w:rPr>
          <w:rFonts w:cs="Arial-BoldMT"/>
          <w:szCs w:val="23"/>
          <w:lang w:val="en-US"/>
        </w:rPr>
        <w:t>and the reasons for the expected changes.</w:t>
      </w:r>
    </w:p>
    <w:p w:rsidR="0013024C" w:rsidRPr="00423344" w:rsidRDefault="0013024C" w:rsidP="0044594F">
      <w:pPr>
        <w:tabs>
          <w:tab w:val="left" w:pos="1136"/>
        </w:tabs>
        <w:ind w:left="1134" w:hanging="567"/>
        <w:rPr>
          <w:rFonts w:cs="Arial-BoldMT"/>
          <w:szCs w:val="23"/>
          <w:lang w:val="en-US"/>
        </w:rPr>
      </w:pPr>
    </w:p>
    <w:p w:rsidR="0044594F" w:rsidRPr="00423344" w:rsidRDefault="0044594F" w:rsidP="0044594F">
      <w:pPr>
        <w:pStyle w:val="Heading2"/>
        <w:keepLines w:val="0"/>
        <w:numPr>
          <w:ilvl w:val="1"/>
          <w:numId w:val="16"/>
        </w:numPr>
        <w:tabs>
          <w:tab w:val="left" w:pos="851"/>
        </w:tabs>
        <w:spacing w:after="240" w:line="240" w:lineRule="auto"/>
      </w:pPr>
      <w:bookmarkStart w:id="86" w:name="_Toc420009843"/>
      <w:r w:rsidRPr="00423344">
        <w:t xml:space="preserve">Tariff changes in </w:t>
      </w:r>
      <w:r w:rsidR="00F663DB">
        <w:t>2015</w:t>
      </w:r>
      <w:r w:rsidR="008402B7">
        <w:t>/</w:t>
      </w:r>
      <w:r w:rsidR="00F663DB">
        <w:t>16</w:t>
      </w:r>
      <w:bookmarkEnd w:id="86"/>
    </w:p>
    <w:p w:rsidR="0044594F" w:rsidRPr="00E62CAD" w:rsidRDefault="0044594F" w:rsidP="0044594F">
      <w:r w:rsidRPr="00E62CAD">
        <w:t xml:space="preserve">The tariff changes in </w:t>
      </w:r>
      <w:r w:rsidR="00F663DB" w:rsidRPr="00E62CAD">
        <w:t>2015</w:t>
      </w:r>
      <w:r w:rsidR="00F74C99" w:rsidRPr="00E62CAD">
        <w:t>/</w:t>
      </w:r>
      <w:r w:rsidR="00F663DB" w:rsidRPr="00E62CAD">
        <w:t>16</w:t>
      </w:r>
      <w:r w:rsidRPr="00E62CAD">
        <w:t xml:space="preserve"> have been made within the overall tariff strategy for the </w:t>
      </w:r>
      <w:r w:rsidR="00F663DB" w:rsidRPr="00E62CAD">
        <w:t>2015-20</w:t>
      </w:r>
      <w:r w:rsidRPr="00E62CAD">
        <w:t xml:space="preserve"> regulatory control period set out in </w:t>
      </w:r>
      <w:r w:rsidR="000B7F94" w:rsidRPr="00E62CAD">
        <w:t>Section</w:t>
      </w:r>
      <w:r w:rsidRPr="00E62CAD">
        <w:t xml:space="preserve"> </w:t>
      </w:r>
      <w:r w:rsidR="00924A8F">
        <w:fldChar w:fldCharType="begin"/>
      </w:r>
      <w:r w:rsidR="00924A8F">
        <w:instrText xml:space="preserve"> REF _Ref134069703 \r \h  \* MERGEFORMAT </w:instrText>
      </w:r>
      <w:r w:rsidR="00924A8F">
        <w:fldChar w:fldCharType="separate"/>
      </w:r>
      <w:r w:rsidR="00A81AFE">
        <w:t>5</w:t>
      </w:r>
      <w:r w:rsidR="00924A8F">
        <w:fldChar w:fldCharType="end"/>
      </w:r>
      <w:r w:rsidR="00B36436" w:rsidRPr="00E62CAD">
        <w:t>.</w:t>
      </w:r>
      <w:r w:rsidRPr="00E62CAD">
        <w:t xml:space="preserve">  </w:t>
      </w:r>
      <w:r w:rsidR="008402B7" w:rsidRPr="00E62CAD">
        <w:t xml:space="preserve">They have been set to meet the specific outcomes of the AER’s 2015/16 smoothed revenue requirement of $682 M in their recent </w:t>
      </w:r>
      <w:r w:rsidR="00477C39">
        <w:t>Preliminary Decision</w:t>
      </w:r>
      <w:r w:rsidR="008402B7" w:rsidRPr="00E62CAD">
        <w:t>.</w:t>
      </w:r>
    </w:p>
    <w:p w:rsidR="0013024C" w:rsidRPr="00E62CAD" w:rsidRDefault="0013024C" w:rsidP="0044594F"/>
    <w:p w:rsidR="0044594F" w:rsidRDefault="000637FA" w:rsidP="00E62CAD">
      <w:r w:rsidRPr="00E62CAD">
        <w:t xml:space="preserve">Most tariffs have had significant </w:t>
      </w:r>
      <w:r w:rsidR="00E62CAD">
        <w:t>decreases resulting from the</w:t>
      </w:r>
      <w:r w:rsidR="001B6579">
        <w:t xml:space="preserve"> </w:t>
      </w:r>
      <w:r w:rsidR="00E62CAD">
        <w:t xml:space="preserve">28% reduction in distribution revenue from the AER’s </w:t>
      </w:r>
      <w:r w:rsidR="00477C39">
        <w:t>Preliminary Decision</w:t>
      </w:r>
      <w:r w:rsidR="00E62CAD">
        <w:t>.  The level of PV FiT recovery has also declined by nearly 30% (see chapter 10).</w:t>
      </w:r>
    </w:p>
    <w:p w:rsidR="00E62CAD" w:rsidRDefault="00E62CAD" w:rsidP="00E62CAD"/>
    <w:p w:rsidR="00E62CAD" w:rsidRDefault="00E62CAD" w:rsidP="00E62CAD">
      <w:r>
        <w:t>There are three tariff elements which have not been reduced, but rather held at 2014/15 levels (for NUoS).  They are:</w:t>
      </w:r>
    </w:p>
    <w:p w:rsidR="00E62CAD" w:rsidRDefault="00E62CAD" w:rsidP="00E62CAD">
      <w:pPr>
        <w:pStyle w:val="ListParagraph"/>
        <w:numPr>
          <w:ilvl w:val="0"/>
          <w:numId w:val="49"/>
        </w:numPr>
      </w:pPr>
      <w:r>
        <w:t>Controlled load (a low priced tariff);</w:t>
      </w:r>
    </w:p>
    <w:p w:rsidR="00E62CAD" w:rsidRDefault="00E62CAD" w:rsidP="00E62CAD">
      <w:pPr>
        <w:pStyle w:val="ListParagraph"/>
        <w:numPr>
          <w:ilvl w:val="0"/>
          <w:numId w:val="49"/>
        </w:numPr>
      </w:pPr>
      <w:r>
        <w:t>Business 2-rate off-peak (a low-priced tariff element); and</w:t>
      </w:r>
    </w:p>
    <w:p w:rsidR="00E62CAD" w:rsidRDefault="00E62CAD" w:rsidP="00E62CAD">
      <w:pPr>
        <w:pStyle w:val="ListParagraph"/>
        <w:numPr>
          <w:ilvl w:val="0"/>
          <w:numId w:val="49"/>
        </w:numPr>
      </w:pPr>
      <w:r>
        <w:t xml:space="preserve">The supply charge (the supply charge increases were constrained in the last regulatory period by the </w:t>
      </w:r>
      <w:r w:rsidR="001B6579">
        <w:t>$</w:t>
      </w:r>
      <w:r>
        <w:t>10 price cap.  Consequently, the price reductions have been focussed on the tariffs that went up by more over the last regulatory period, not on the supply charge.  The supply charge still reflects the costs of the house service and 20% of the LV distribution system at the current price).</w:t>
      </w:r>
    </w:p>
    <w:p w:rsidR="00E62CAD" w:rsidRDefault="00E62CAD" w:rsidP="00E62CAD"/>
    <w:p w:rsidR="00E62CAD" w:rsidRDefault="00E62CAD" w:rsidP="00E62CAD">
      <w:r>
        <w:t xml:space="preserve">Otherwise, all tariffs have had significant reductions, with the new </w:t>
      </w:r>
      <w:r w:rsidR="00217741">
        <w:t>Residential Solar tariff</w:t>
      </w:r>
      <w:r>
        <w:t xml:space="preserve"> having less reduction and the agreed demand tariff customers, particularly those who incurred demand between 70 and 200 kVA in the last period, have received the largest reductions.</w:t>
      </w:r>
    </w:p>
    <w:p w:rsidR="00E62CAD" w:rsidRPr="00E62CAD" w:rsidRDefault="00E62CAD" w:rsidP="00E62CAD"/>
    <w:p w:rsidR="0013024C" w:rsidRPr="00423344" w:rsidRDefault="0013024C" w:rsidP="0044594F"/>
    <w:p w:rsidR="0044594F" w:rsidRPr="00927302" w:rsidRDefault="0044594F" w:rsidP="0044594F">
      <w:pPr>
        <w:pStyle w:val="Heading2"/>
        <w:keepLines w:val="0"/>
        <w:numPr>
          <w:ilvl w:val="1"/>
          <w:numId w:val="16"/>
        </w:numPr>
        <w:tabs>
          <w:tab w:val="left" w:pos="851"/>
        </w:tabs>
        <w:spacing w:after="240" w:line="240" w:lineRule="auto"/>
      </w:pPr>
      <w:bookmarkStart w:id="87" w:name="_Toc420009844"/>
      <w:r w:rsidRPr="00423344">
        <w:t>Calculation of network us</w:t>
      </w:r>
      <w:r w:rsidRPr="00927302">
        <w:t>e of system tariffs</w:t>
      </w:r>
      <w:bookmarkEnd w:id="87"/>
    </w:p>
    <w:p w:rsidR="0044594F" w:rsidRDefault="0044594F" w:rsidP="0044594F">
      <w:r w:rsidRPr="00927302">
        <w:t xml:space="preserve">The following </w:t>
      </w:r>
      <w:r w:rsidR="000B7F94">
        <w:t>Section</w:t>
      </w:r>
      <w:r w:rsidRPr="00927302">
        <w:t xml:space="preserve">s provide information on the DUoS component of </w:t>
      </w:r>
      <w:r w:rsidR="00EA36E3">
        <w:t>SA Power Networks</w:t>
      </w:r>
      <w:r w:rsidRPr="00927302">
        <w:t xml:space="preserve">’ existing tariffs and the price movement proposed for </w:t>
      </w:r>
      <w:r w:rsidR="003342B3">
        <w:t>2015/16</w:t>
      </w:r>
      <w:r w:rsidRPr="00927302">
        <w:t xml:space="preserve">. </w:t>
      </w:r>
      <w:r>
        <w:t xml:space="preserve"> The following Tables do not include</w:t>
      </w:r>
      <w:r w:rsidR="00394CB1">
        <w:t xml:space="preserve"> </w:t>
      </w:r>
      <w:r>
        <w:t>TUoS or PV JSA cost recovery components.</w:t>
      </w:r>
    </w:p>
    <w:p w:rsidR="0013024C" w:rsidRDefault="0013024C" w:rsidP="0044594F"/>
    <w:p w:rsidR="0044594F" w:rsidRDefault="0044594F" w:rsidP="0044594F">
      <w:r>
        <w:t xml:space="preserve">It should be noted that this information is provided for the purpose of showing the relative change in the price of each tariff charging parameter.  Compliance with clause 6.18.2(8) of the Rules, concerning the demonstration that price changes comply with the Rules and the AER’s Determination, is set out in </w:t>
      </w:r>
      <w:r w:rsidR="000B7F94">
        <w:t>Section</w:t>
      </w:r>
      <w:r>
        <w:t xml:space="preserve"> </w:t>
      </w:r>
      <w:r w:rsidR="00575C9A">
        <w:fldChar w:fldCharType="begin"/>
      </w:r>
      <w:r>
        <w:instrText xml:space="preserve"> REF _Ref133920111 \r \h </w:instrText>
      </w:r>
      <w:r w:rsidR="00575C9A">
        <w:fldChar w:fldCharType="separate"/>
      </w:r>
      <w:r w:rsidR="00A81AFE">
        <w:t>8</w:t>
      </w:r>
      <w:r w:rsidR="00575C9A">
        <w:fldChar w:fldCharType="end"/>
      </w:r>
      <w:r>
        <w:t xml:space="preserve"> and Appendix G of this Pricing Proposal.</w:t>
      </w:r>
    </w:p>
    <w:p w:rsidR="0013024C" w:rsidRPr="00927302" w:rsidRDefault="0013024C" w:rsidP="0044594F"/>
    <w:p w:rsidR="0013024C" w:rsidRDefault="0044594F" w:rsidP="0044594F">
      <w:r w:rsidRPr="00927302">
        <w:t>All prices in th</w:t>
      </w:r>
      <w:r>
        <w:t>e following</w:t>
      </w:r>
      <w:r w:rsidRPr="00927302">
        <w:t xml:space="preserve"> </w:t>
      </w:r>
      <w:r w:rsidR="000B7F94">
        <w:t>Section</w:t>
      </w:r>
      <w:r>
        <w:t>s</w:t>
      </w:r>
      <w:r w:rsidRPr="00927302">
        <w:t xml:space="preserve"> are exclusive of GST</w:t>
      </w:r>
      <w:r>
        <w:t xml:space="preserve"> and have been rounded</w:t>
      </w:r>
      <w:r w:rsidRPr="00927302">
        <w:t>.</w:t>
      </w:r>
      <w:r w:rsidR="00394CB1">
        <w:t xml:space="preserve">  </w:t>
      </w:r>
    </w:p>
    <w:p w:rsidR="008402B7" w:rsidRPr="00927302" w:rsidRDefault="008402B7" w:rsidP="0044594F"/>
    <w:p w:rsidR="0044594F" w:rsidRPr="00073519" w:rsidRDefault="0044594F" w:rsidP="0044594F">
      <w:pPr>
        <w:pStyle w:val="Heading2"/>
        <w:keepLines w:val="0"/>
        <w:numPr>
          <w:ilvl w:val="1"/>
          <w:numId w:val="16"/>
        </w:numPr>
        <w:tabs>
          <w:tab w:val="left" w:pos="851"/>
        </w:tabs>
        <w:spacing w:after="240" w:line="240" w:lineRule="auto"/>
      </w:pPr>
      <w:bookmarkStart w:id="88" w:name="_Toc420009845"/>
      <w:r w:rsidRPr="00927302">
        <w:t>Low Vol</w:t>
      </w:r>
      <w:r w:rsidRPr="00797DA7">
        <w:t xml:space="preserve">tage </w:t>
      </w:r>
      <w:r w:rsidRPr="00927302">
        <w:t xml:space="preserve">Residential </w:t>
      </w:r>
      <w:r w:rsidRPr="00073519">
        <w:t>tariff class</w:t>
      </w:r>
      <w:bookmarkEnd w:id="88"/>
    </w:p>
    <w:p w:rsidR="0044594F" w:rsidRPr="00073519" w:rsidRDefault="0044594F" w:rsidP="009A26B4">
      <w:pPr>
        <w:pStyle w:val="Heading3"/>
      </w:pPr>
      <w:r w:rsidRPr="00073519">
        <w:t>Low voltage residential tariff</w:t>
      </w:r>
    </w:p>
    <w:p w:rsidR="0044594F" w:rsidRDefault="00575C9A" w:rsidP="0044594F">
      <w:pPr>
        <w:keepNext/>
      </w:pPr>
      <w:r>
        <w:fldChar w:fldCharType="begin"/>
      </w:r>
      <w:r w:rsidR="0044594F">
        <w:instrText xml:space="preserve"> REF _Ref164926291 \h </w:instrText>
      </w:r>
      <w:r>
        <w:fldChar w:fldCharType="separate"/>
      </w:r>
      <w:r w:rsidR="00A81AFE" w:rsidRPr="00D737B7">
        <w:t xml:space="preserve">Table </w:t>
      </w:r>
      <w:r w:rsidR="00A81AFE">
        <w:rPr>
          <w:noProof/>
        </w:rPr>
        <w:t>19</w:t>
      </w:r>
      <w:r>
        <w:fldChar w:fldCharType="end"/>
      </w:r>
      <w:r w:rsidR="0044594F" w:rsidRPr="00073519">
        <w:t xml:space="preserve"> contains the proposed </w:t>
      </w:r>
      <w:r w:rsidR="00F74C99">
        <w:t>2015/16</w:t>
      </w:r>
      <w:r w:rsidR="0044594F">
        <w:t xml:space="preserve"> </w:t>
      </w:r>
      <w:r w:rsidR="0044594F" w:rsidRPr="00073519">
        <w:t xml:space="preserve">prices for </w:t>
      </w:r>
      <w:r w:rsidR="0044594F" w:rsidRPr="00D737B7">
        <w:t>single rate residential customers.</w:t>
      </w:r>
    </w:p>
    <w:p w:rsidR="001B6579" w:rsidRDefault="001B6579" w:rsidP="0044594F">
      <w:pPr>
        <w:keepNext/>
      </w:pPr>
    </w:p>
    <w:p w:rsidR="001B6579" w:rsidRDefault="001B6579" w:rsidP="0044594F">
      <w:pPr>
        <w:keepNext/>
      </w:pPr>
      <w:r>
        <w:t>Note that t</w:t>
      </w:r>
      <w:r w:rsidR="008402B7">
        <w:t>he NUoS supply rate has been retained at 2014/15 prices</w:t>
      </w:r>
      <w:r>
        <w:t xml:space="preserve">.  The distribution price reduction shown below is off-set by a </w:t>
      </w:r>
      <w:r w:rsidR="008402B7">
        <w:t xml:space="preserve">PV FiT recovery now levied on the supply rate.  </w:t>
      </w:r>
    </w:p>
    <w:p w:rsidR="001B6579" w:rsidRDefault="001B6579" w:rsidP="0044594F">
      <w:pPr>
        <w:keepNext/>
      </w:pPr>
    </w:p>
    <w:p w:rsidR="008402B7" w:rsidRDefault="008402B7" w:rsidP="0044594F">
      <w:pPr>
        <w:keepNext/>
      </w:pPr>
      <w:r>
        <w:t xml:space="preserve">The greater reduction in block 2 usage </w:t>
      </w:r>
      <w:r w:rsidR="001B6579">
        <w:t xml:space="preserve">distribution </w:t>
      </w:r>
      <w:r>
        <w:t>rates is in line with cost-of-supply information.</w:t>
      </w:r>
    </w:p>
    <w:p w:rsidR="00997B46" w:rsidRPr="00D737B7" w:rsidRDefault="00997B46" w:rsidP="0044594F">
      <w:pPr>
        <w:keepNext/>
      </w:pPr>
    </w:p>
    <w:p w:rsidR="0044594F" w:rsidRDefault="0044594F" w:rsidP="0044594F">
      <w:pPr>
        <w:pStyle w:val="Caption"/>
        <w:keepNext/>
      </w:pPr>
      <w:bookmarkStart w:id="89" w:name="_Ref164926291"/>
      <w:r w:rsidRPr="00D737B7">
        <w:t xml:space="preserve">Table </w:t>
      </w:r>
      <w:r w:rsidR="00924A8F">
        <w:fldChar w:fldCharType="begin"/>
      </w:r>
      <w:r w:rsidR="00924A8F">
        <w:instrText xml:space="preserve"> SEQ Table \* ARABIC </w:instrText>
      </w:r>
      <w:r w:rsidR="00924A8F">
        <w:fldChar w:fldCharType="separate"/>
      </w:r>
      <w:r w:rsidR="00A81AFE">
        <w:rPr>
          <w:noProof/>
        </w:rPr>
        <w:t>19</w:t>
      </w:r>
      <w:r w:rsidR="00924A8F">
        <w:rPr>
          <w:noProof/>
        </w:rPr>
        <w:fldChar w:fldCharType="end"/>
      </w:r>
      <w:bookmarkEnd w:id="89"/>
      <w:r w:rsidRPr="00D737B7">
        <w:t xml:space="preserve"> - Proposed </w:t>
      </w:r>
      <w:r w:rsidR="003342B3">
        <w:t>2015/16</w:t>
      </w:r>
      <w:r w:rsidRPr="00D737B7">
        <w:t xml:space="preserve"> low voltage residential tariff single rate</w:t>
      </w:r>
      <w:r w:rsidRPr="00073519">
        <w:t xml:space="preserve"> </w:t>
      </w:r>
    </w:p>
    <w:p w:rsidR="00997B46" w:rsidRDefault="00E842ED" w:rsidP="0044594F">
      <w:r w:rsidRPr="00E842ED">
        <w:rPr>
          <w:noProof/>
          <w:lang w:val="en-US"/>
        </w:rPr>
        <w:drawing>
          <wp:inline distT="0" distB="0" distL="0" distR="0">
            <wp:extent cx="4905375" cy="866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905375" cy="866775"/>
                    </a:xfrm>
                    <a:prstGeom prst="rect">
                      <a:avLst/>
                    </a:prstGeom>
                    <a:noFill/>
                    <a:ln w="9525">
                      <a:noFill/>
                      <a:miter lim="800000"/>
                      <a:headEnd/>
                      <a:tailEnd/>
                    </a:ln>
                  </pic:spPr>
                </pic:pic>
              </a:graphicData>
            </a:graphic>
          </wp:inline>
        </w:drawing>
      </w:r>
    </w:p>
    <w:p w:rsidR="007B0095" w:rsidRDefault="007B0095" w:rsidP="0044594F"/>
    <w:p w:rsidR="008402B7" w:rsidRPr="00073519" w:rsidRDefault="008402B7" w:rsidP="008402B7">
      <w:pPr>
        <w:pStyle w:val="Heading3"/>
      </w:pPr>
      <w:r w:rsidRPr="00073519">
        <w:t xml:space="preserve">Low voltage </w:t>
      </w:r>
      <w:r w:rsidR="00217741">
        <w:t>residential Solar tariff</w:t>
      </w:r>
    </w:p>
    <w:p w:rsidR="008402B7" w:rsidRDefault="00575C9A" w:rsidP="008402B7">
      <w:pPr>
        <w:keepNext/>
      </w:pPr>
      <w:r>
        <w:fldChar w:fldCharType="begin"/>
      </w:r>
      <w:r w:rsidR="008402B7">
        <w:instrText xml:space="preserve"> REF _Ref164926291 \h </w:instrText>
      </w:r>
      <w:r>
        <w:fldChar w:fldCharType="separate"/>
      </w:r>
      <w:r w:rsidR="00A81AFE" w:rsidRPr="00D737B7">
        <w:t xml:space="preserve">Table </w:t>
      </w:r>
      <w:r w:rsidR="00A81AFE">
        <w:rPr>
          <w:noProof/>
        </w:rPr>
        <w:t>19</w:t>
      </w:r>
      <w:r>
        <w:fldChar w:fldCharType="end"/>
      </w:r>
      <w:r w:rsidR="008402B7" w:rsidRPr="00073519">
        <w:t xml:space="preserve"> contains proposed </w:t>
      </w:r>
      <w:r w:rsidR="008402B7">
        <w:t xml:space="preserve">2015/16 </w:t>
      </w:r>
      <w:r w:rsidR="008402B7" w:rsidRPr="00073519">
        <w:t xml:space="preserve">prices for </w:t>
      </w:r>
      <w:r w:rsidR="008402B7" w:rsidRPr="00D737B7">
        <w:t>single rate residential customers</w:t>
      </w:r>
      <w:r w:rsidR="001B6579">
        <w:t xml:space="preserve"> with solar PV</w:t>
      </w:r>
      <w:r w:rsidR="008402B7" w:rsidRPr="00D737B7">
        <w:t>.</w:t>
      </w:r>
    </w:p>
    <w:p w:rsidR="001B6579" w:rsidRDefault="001B6579" w:rsidP="008402B7">
      <w:pPr>
        <w:keepNext/>
      </w:pPr>
    </w:p>
    <w:p w:rsidR="001B6579" w:rsidRDefault="001B6579" w:rsidP="001B6579">
      <w:pPr>
        <w:keepNext/>
      </w:pPr>
      <w:r>
        <w:t xml:space="preserve">Note that the NUoS supply rate has been retained at 2014/15 prices.  The distribution price reduction shown below is off-set by a PV FiT recovery now levied on the supply rate.  </w:t>
      </w:r>
    </w:p>
    <w:p w:rsidR="001B6579" w:rsidRDefault="001B6579" w:rsidP="001B6579">
      <w:pPr>
        <w:keepNext/>
      </w:pPr>
    </w:p>
    <w:p w:rsidR="008402B7" w:rsidRDefault="001B6579" w:rsidP="008402B7">
      <w:pPr>
        <w:keepNext/>
      </w:pPr>
      <w:r>
        <w:t xml:space="preserve">The greater reduction in block 2 usage distribution rates is in line with cost-of-supply information.  Distribution usage rates are </w:t>
      </w:r>
      <w:r w:rsidR="008402B7">
        <w:t xml:space="preserve"> higher than that applied to the residential tariff because these customers have a load factor that is 80% of the residential customer group that do not have solar connected.</w:t>
      </w:r>
    </w:p>
    <w:p w:rsidR="008402B7" w:rsidRPr="00D737B7" w:rsidRDefault="008402B7" w:rsidP="008402B7">
      <w:pPr>
        <w:keepNext/>
      </w:pPr>
    </w:p>
    <w:p w:rsidR="008402B7" w:rsidRDefault="008402B7" w:rsidP="008402B7">
      <w:pPr>
        <w:pStyle w:val="Caption"/>
        <w:keepNext/>
      </w:pPr>
      <w:r w:rsidRPr="00D737B7">
        <w:t xml:space="preserve">Table </w:t>
      </w:r>
      <w:r w:rsidR="00924A8F">
        <w:fldChar w:fldCharType="begin"/>
      </w:r>
      <w:r w:rsidR="00924A8F">
        <w:instrText xml:space="preserve"> SEQ Table \* ARABIC </w:instrText>
      </w:r>
      <w:r w:rsidR="00924A8F">
        <w:fldChar w:fldCharType="separate"/>
      </w:r>
      <w:r w:rsidR="00A81AFE">
        <w:rPr>
          <w:noProof/>
        </w:rPr>
        <w:t>20</w:t>
      </w:r>
      <w:r w:rsidR="00924A8F">
        <w:rPr>
          <w:noProof/>
        </w:rPr>
        <w:fldChar w:fldCharType="end"/>
      </w:r>
      <w:r w:rsidRPr="00D737B7">
        <w:t xml:space="preserve"> - Proposed </w:t>
      </w:r>
      <w:r>
        <w:t>2015/16</w:t>
      </w:r>
      <w:r w:rsidRPr="00D737B7">
        <w:t xml:space="preserve"> low voltage </w:t>
      </w:r>
      <w:r w:rsidR="00217741">
        <w:t>residential Solar tariff</w:t>
      </w:r>
      <w:r w:rsidRPr="00D737B7">
        <w:t xml:space="preserve"> single rate</w:t>
      </w:r>
      <w:r w:rsidRPr="00073519">
        <w:t xml:space="preserve"> </w:t>
      </w:r>
    </w:p>
    <w:p w:rsidR="008402B7" w:rsidRDefault="00E842ED" w:rsidP="008402B7">
      <w:r w:rsidRPr="00E842ED">
        <w:rPr>
          <w:noProof/>
          <w:lang w:val="en-US"/>
        </w:rPr>
        <w:drawing>
          <wp:inline distT="0" distB="0" distL="0" distR="0">
            <wp:extent cx="4905375" cy="8667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905375" cy="866775"/>
                    </a:xfrm>
                    <a:prstGeom prst="rect">
                      <a:avLst/>
                    </a:prstGeom>
                    <a:noFill/>
                    <a:ln w="9525">
                      <a:noFill/>
                      <a:miter lim="800000"/>
                      <a:headEnd/>
                      <a:tailEnd/>
                    </a:ln>
                  </pic:spPr>
                </pic:pic>
              </a:graphicData>
            </a:graphic>
          </wp:inline>
        </w:drawing>
      </w:r>
    </w:p>
    <w:p w:rsidR="008402B7" w:rsidRDefault="008402B7" w:rsidP="0044594F"/>
    <w:p w:rsidR="008402B7" w:rsidRPr="00073519" w:rsidRDefault="008402B7" w:rsidP="008402B7">
      <w:pPr>
        <w:pStyle w:val="Heading3"/>
      </w:pPr>
      <w:r w:rsidRPr="00073519">
        <w:t xml:space="preserve">Low voltage </w:t>
      </w:r>
      <w:r w:rsidR="00217741">
        <w:t>residential Social tariff</w:t>
      </w:r>
    </w:p>
    <w:p w:rsidR="008402B7" w:rsidRDefault="00575C9A" w:rsidP="008402B7">
      <w:pPr>
        <w:keepNext/>
      </w:pPr>
      <w:r>
        <w:fldChar w:fldCharType="begin"/>
      </w:r>
      <w:r w:rsidR="008402B7">
        <w:instrText xml:space="preserve"> REF _Ref164926291 \h </w:instrText>
      </w:r>
      <w:r>
        <w:fldChar w:fldCharType="separate"/>
      </w:r>
      <w:r w:rsidR="00A81AFE" w:rsidRPr="00D737B7">
        <w:t xml:space="preserve">Table </w:t>
      </w:r>
      <w:r w:rsidR="00A81AFE">
        <w:rPr>
          <w:noProof/>
        </w:rPr>
        <w:t>19</w:t>
      </w:r>
      <w:r>
        <w:fldChar w:fldCharType="end"/>
      </w:r>
      <w:r w:rsidR="008402B7" w:rsidRPr="00073519">
        <w:t xml:space="preserve"> contains </w:t>
      </w:r>
      <w:r w:rsidR="002229DE">
        <w:t xml:space="preserve">the </w:t>
      </w:r>
      <w:r w:rsidR="008402B7" w:rsidRPr="00073519">
        <w:t xml:space="preserve">proposed </w:t>
      </w:r>
      <w:r w:rsidR="008402B7">
        <w:t xml:space="preserve">2015/16 </w:t>
      </w:r>
      <w:r w:rsidR="008402B7" w:rsidRPr="00073519">
        <w:t xml:space="preserve">prices for </w:t>
      </w:r>
      <w:r w:rsidR="008402B7" w:rsidRPr="00D737B7">
        <w:t xml:space="preserve">single rate </w:t>
      </w:r>
      <w:r w:rsidR="00217741">
        <w:t>residential Social tariff</w:t>
      </w:r>
      <w:r w:rsidR="008402B7">
        <w:t xml:space="preserve"> </w:t>
      </w:r>
      <w:r w:rsidR="008402B7" w:rsidRPr="00D737B7">
        <w:t>customers.</w:t>
      </w:r>
    </w:p>
    <w:p w:rsidR="008402B7" w:rsidRDefault="008402B7" w:rsidP="008402B7">
      <w:pPr>
        <w:keepNext/>
      </w:pPr>
      <w:r>
        <w:t>These customers are</w:t>
      </w:r>
      <w:r w:rsidR="00A6254D">
        <w:t xml:space="preserve"> vulnerable customers on retailer hardship programs. </w:t>
      </w:r>
      <w:r>
        <w:t xml:space="preserve">The NUoS supply rate has been </w:t>
      </w:r>
      <w:r w:rsidR="00A6254D">
        <w:t>deleted, and no PV FiT recovery is charged</w:t>
      </w:r>
      <w:r>
        <w:t xml:space="preserve">.  </w:t>
      </w:r>
      <w:r w:rsidR="00A6254D">
        <w:t>The other billing parameters are the same as the residential tariff (above)</w:t>
      </w:r>
      <w:r>
        <w:t>.</w:t>
      </w:r>
    </w:p>
    <w:p w:rsidR="008402B7" w:rsidRPr="00D737B7" w:rsidRDefault="008402B7" w:rsidP="008402B7">
      <w:pPr>
        <w:keepNext/>
      </w:pPr>
    </w:p>
    <w:p w:rsidR="008402B7" w:rsidRDefault="008402B7" w:rsidP="008402B7">
      <w:pPr>
        <w:pStyle w:val="Caption"/>
        <w:keepNext/>
      </w:pPr>
      <w:r w:rsidRPr="00D737B7">
        <w:t xml:space="preserve">Table </w:t>
      </w:r>
      <w:r w:rsidR="00924A8F">
        <w:fldChar w:fldCharType="begin"/>
      </w:r>
      <w:r w:rsidR="00924A8F">
        <w:instrText xml:space="preserve"> SEQ Table \* ARABIC </w:instrText>
      </w:r>
      <w:r w:rsidR="00924A8F">
        <w:fldChar w:fldCharType="separate"/>
      </w:r>
      <w:r w:rsidR="00A81AFE">
        <w:rPr>
          <w:noProof/>
        </w:rPr>
        <w:t>21</w:t>
      </w:r>
      <w:r w:rsidR="00924A8F">
        <w:rPr>
          <w:noProof/>
        </w:rPr>
        <w:fldChar w:fldCharType="end"/>
      </w:r>
      <w:r w:rsidRPr="00D737B7">
        <w:t xml:space="preserve"> - Proposed </w:t>
      </w:r>
      <w:r>
        <w:t>2015/16</w:t>
      </w:r>
      <w:r w:rsidRPr="00D737B7">
        <w:t xml:space="preserve"> low voltage </w:t>
      </w:r>
      <w:r w:rsidR="00217741">
        <w:t>residential Social tariff</w:t>
      </w:r>
      <w:r w:rsidRPr="00D737B7">
        <w:t xml:space="preserve"> single rate</w:t>
      </w:r>
      <w:r w:rsidRPr="00073519">
        <w:t xml:space="preserve"> </w:t>
      </w:r>
    </w:p>
    <w:p w:rsidR="008402B7" w:rsidRDefault="00E842ED" w:rsidP="008402B7">
      <w:r w:rsidRPr="00E842ED">
        <w:rPr>
          <w:noProof/>
          <w:lang w:val="en-US"/>
        </w:rPr>
        <w:drawing>
          <wp:inline distT="0" distB="0" distL="0" distR="0">
            <wp:extent cx="4905375" cy="8667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905375" cy="866775"/>
                    </a:xfrm>
                    <a:prstGeom prst="rect">
                      <a:avLst/>
                    </a:prstGeom>
                    <a:noFill/>
                    <a:ln w="9525">
                      <a:noFill/>
                      <a:miter lim="800000"/>
                      <a:headEnd/>
                      <a:tailEnd/>
                    </a:ln>
                  </pic:spPr>
                </pic:pic>
              </a:graphicData>
            </a:graphic>
          </wp:inline>
        </w:drawing>
      </w:r>
    </w:p>
    <w:p w:rsidR="008402B7" w:rsidRDefault="008402B7" w:rsidP="0044594F"/>
    <w:p w:rsidR="00154A42" w:rsidRPr="00073519" w:rsidRDefault="00154A42" w:rsidP="00154A42">
      <w:pPr>
        <w:pStyle w:val="Heading3"/>
      </w:pPr>
      <w:r w:rsidRPr="00073519">
        <w:t xml:space="preserve">Low voltage residential </w:t>
      </w:r>
      <w:r>
        <w:t xml:space="preserve">actual demand </w:t>
      </w:r>
      <w:r w:rsidRPr="00073519">
        <w:t>tariff</w:t>
      </w:r>
    </w:p>
    <w:p w:rsidR="001B6579" w:rsidRDefault="00575C9A" w:rsidP="00154A42">
      <w:pPr>
        <w:keepNext/>
      </w:pPr>
      <w:r>
        <w:fldChar w:fldCharType="begin"/>
      </w:r>
      <w:r w:rsidR="00154A42">
        <w:instrText xml:space="preserve"> REF _Ref164926291 \h </w:instrText>
      </w:r>
      <w:r>
        <w:fldChar w:fldCharType="separate"/>
      </w:r>
      <w:r w:rsidR="00A81AFE" w:rsidRPr="00D737B7">
        <w:t xml:space="preserve">Table </w:t>
      </w:r>
      <w:r w:rsidR="00A81AFE">
        <w:rPr>
          <w:noProof/>
        </w:rPr>
        <w:t>19</w:t>
      </w:r>
      <w:r>
        <w:fldChar w:fldCharType="end"/>
      </w:r>
      <w:r w:rsidR="00154A42" w:rsidRPr="00073519">
        <w:t xml:space="preserve"> contains proposed </w:t>
      </w:r>
      <w:r w:rsidR="00154A42">
        <w:t xml:space="preserve">2015/16 </w:t>
      </w:r>
      <w:r w:rsidR="00154A42" w:rsidRPr="00073519">
        <w:t xml:space="preserve">prices for </w:t>
      </w:r>
      <w:r w:rsidR="00154A42" w:rsidRPr="00D737B7">
        <w:t xml:space="preserve">residential </w:t>
      </w:r>
      <w:r w:rsidR="00154A42">
        <w:t>actual demand tariff</w:t>
      </w:r>
      <w:r w:rsidR="00154A42" w:rsidRPr="00D737B7">
        <w:t>.</w:t>
      </w:r>
      <w:r w:rsidR="001B6579">
        <w:t xml:space="preserve">  </w:t>
      </w:r>
    </w:p>
    <w:p w:rsidR="001B6579" w:rsidRDefault="001B6579" w:rsidP="00154A42">
      <w:pPr>
        <w:keepNext/>
      </w:pPr>
    </w:p>
    <w:p w:rsidR="00154A42" w:rsidRDefault="00154A42" w:rsidP="00154A42">
      <w:pPr>
        <w:keepNext/>
      </w:pPr>
      <w:r>
        <w:t>This tariff is limited to 1,000 customers in 2015/16.</w:t>
      </w:r>
    </w:p>
    <w:p w:rsidR="00154A42" w:rsidRPr="00D737B7" w:rsidRDefault="00154A42" w:rsidP="00154A42">
      <w:pPr>
        <w:keepNext/>
      </w:pPr>
    </w:p>
    <w:p w:rsidR="00154A42" w:rsidRDefault="00154A42" w:rsidP="00154A42">
      <w:pPr>
        <w:pStyle w:val="Caption"/>
        <w:keepNext/>
      </w:pPr>
      <w:r w:rsidRPr="00D737B7">
        <w:t xml:space="preserve">Table </w:t>
      </w:r>
      <w:r w:rsidR="00924A8F">
        <w:fldChar w:fldCharType="begin"/>
      </w:r>
      <w:r w:rsidR="00924A8F">
        <w:instrText xml:space="preserve"> SEQ Table \* ARABIC </w:instrText>
      </w:r>
      <w:r w:rsidR="00924A8F">
        <w:fldChar w:fldCharType="separate"/>
      </w:r>
      <w:r w:rsidR="00A81AFE">
        <w:rPr>
          <w:noProof/>
        </w:rPr>
        <w:t>22</w:t>
      </w:r>
      <w:r w:rsidR="00924A8F">
        <w:rPr>
          <w:noProof/>
        </w:rPr>
        <w:fldChar w:fldCharType="end"/>
      </w:r>
      <w:r w:rsidRPr="00D737B7">
        <w:t xml:space="preserve"> - Proposed </w:t>
      </w:r>
      <w:r>
        <w:t>2015/16</w:t>
      </w:r>
      <w:r w:rsidRPr="00D737B7">
        <w:t xml:space="preserve"> low voltage residential tariff </w:t>
      </w:r>
      <w:r>
        <w:t>actual demand</w:t>
      </w:r>
      <w:r w:rsidRPr="00073519">
        <w:t xml:space="preserve"> </w:t>
      </w:r>
    </w:p>
    <w:p w:rsidR="00154A42" w:rsidRDefault="00E842ED" w:rsidP="00154A42">
      <w:r w:rsidRPr="00E842ED">
        <w:rPr>
          <w:noProof/>
          <w:lang w:val="en-US"/>
        </w:rPr>
        <w:drawing>
          <wp:inline distT="0" distB="0" distL="0" distR="0">
            <wp:extent cx="4905375" cy="12096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4905375" cy="1209675"/>
                    </a:xfrm>
                    <a:prstGeom prst="rect">
                      <a:avLst/>
                    </a:prstGeom>
                    <a:noFill/>
                    <a:ln w="9525">
                      <a:noFill/>
                      <a:miter lim="800000"/>
                      <a:headEnd/>
                      <a:tailEnd/>
                    </a:ln>
                  </pic:spPr>
                </pic:pic>
              </a:graphicData>
            </a:graphic>
          </wp:inline>
        </w:drawing>
      </w:r>
    </w:p>
    <w:p w:rsidR="00154A42" w:rsidRDefault="00154A42" w:rsidP="00154A42"/>
    <w:p w:rsidR="0044594F" w:rsidRPr="00073519" w:rsidRDefault="0044594F" w:rsidP="009A26B4">
      <w:pPr>
        <w:pStyle w:val="Heading3"/>
      </w:pPr>
      <w:r w:rsidRPr="00073519">
        <w:t>Controlled load tariff</w:t>
      </w:r>
    </w:p>
    <w:p w:rsidR="0044594F" w:rsidRDefault="00575C9A" w:rsidP="0044594F">
      <w:pPr>
        <w:keepNext/>
      </w:pPr>
      <w:r>
        <w:fldChar w:fldCharType="begin"/>
      </w:r>
      <w:r w:rsidR="0044594F">
        <w:instrText xml:space="preserve"> REF _Ref133992916 \h </w:instrText>
      </w:r>
      <w:r>
        <w:fldChar w:fldCharType="separate"/>
      </w:r>
      <w:r w:rsidR="00A81AFE" w:rsidRPr="00D737B7">
        <w:t xml:space="preserve">Table </w:t>
      </w:r>
      <w:r w:rsidR="00A81AFE">
        <w:rPr>
          <w:noProof/>
        </w:rPr>
        <w:t>23</w:t>
      </w:r>
      <w:r>
        <w:fldChar w:fldCharType="end"/>
      </w:r>
      <w:r w:rsidR="0044594F" w:rsidRPr="00073519">
        <w:t xml:space="preserve"> contains the proposed </w:t>
      </w:r>
      <w:r w:rsidR="00F74C99">
        <w:t>2015/16</w:t>
      </w:r>
      <w:r w:rsidR="0044594F" w:rsidRPr="00D737B7">
        <w:t xml:space="preserve"> prices for controlled load customers.</w:t>
      </w:r>
    </w:p>
    <w:p w:rsidR="001B6579" w:rsidRDefault="001B6579" w:rsidP="0044594F">
      <w:pPr>
        <w:keepNext/>
      </w:pPr>
    </w:p>
    <w:p w:rsidR="00A6254D" w:rsidRDefault="00A6254D" w:rsidP="0044594F">
      <w:pPr>
        <w:keepNext/>
      </w:pPr>
      <w:r>
        <w:t xml:space="preserve">The NUoS rate for this tariff has been retained at 2014/15 levels.  The DUoS reduction shown below is offset by a higher TUoS price, determined from ElectraNet’s 2015/16 pricing structure.  The controlled load </w:t>
      </w:r>
      <w:r w:rsidR="001B6579">
        <w:t xml:space="preserve">NUoS </w:t>
      </w:r>
      <w:r>
        <w:t>price continues to be set at a low rate.</w:t>
      </w:r>
    </w:p>
    <w:p w:rsidR="00997B46" w:rsidRPr="00D737B7" w:rsidRDefault="00997B46" w:rsidP="0044594F">
      <w:pPr>
        <w:keepNext/>
      </w:pPr>
    </w:p>
    <w:p w:rsidR="0044594F" w:rsidRPr="00073519" w:rsidRDefault="0044594F" w:rsidP="0044594F">
      <w:pPr>
        <w:pStyle w:val="Caption"/>
        <w:keepNext/>
      </w:pPr>
      <w:bookmarkStart w:id="90" w:name="_Ref133992916"/>
      <w:r w:rsidRPr="00D737B7">
        <w:t xml:space="preserve">Table </w:t>
      </w:r>
      <w:r w:rsidR="00924A8F">
        <w:fldChar w:fldCharType="begin"/>
      </w:r>
      <w:r w:rsidR="00924A8F">
        <w:instrText xml:space="preserve"> SEQ Table \* ARABIC </w:instrText>
      </w:r>
      <w:r w:rsidR="00924A8F">
        <w:fldChar w:fldCharType="separate"/>
      </w:r>
      <w:r w:rsidR="00A81AFE">
        <w:rPr>
          <w:noProof/>
        </w:rPr>
        <w:t>23</w:t>
      </w:r>
      <w:r w:rsidR="00924A8F">
        <w:rPr>
          <w:noProof/>
        </w:rPr>
        <w:fldChar w:fldCharType="end"/>
      </w:r>
      <w:bookmarkEnd w:id="90"/>
      <w:r w:rsidRPr="00D737B7">
        <w:t xml:space="preserve"> - Proposed </w:t>
      </w:r>
      <w:r w:rsidR="003342B3">
        <w:t>2015/16</w:t>
      </w:r>
      <w:r w:rsidRPr="00D737B7">
        <w:t xml:space="preserve"> controlled load tariff</w:t>
      </w:r>
    </w:p>
    <w:p w:rsidR="0044594F" w:rsidRDefault="00E842ED" w:rsidP="0044594F">
      <w:r w:rsidRPr="00E842ED">
        <w:rPr>
          <w:noProof/>
          <w:lang w:val="en-US"/>
        </w:rPr>
        <w:drawing>
          <wp:inline distT="0" distB="0" distL="0" distR="0">
            <wp:extent cx="4905375" cy="523875"/>
            <wp:effectExtent l="1905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4905375" cy="523875"/>
                    </a:xfrm>
                    <a:prstGeom prst="rect">
                      <a:avLst/>
                    </a:prstGeom>
                    <a:noFill/>
                    <a:ln w="9525">
                      <a:noFill/>
                      <a:miter lim="800000"/>
                      <a:headEnd/>
                      <a:tailEnd/>
                    </a:ln>
                  </pic:spPr>
                </pic:pic>
              </a:graphicData>
            </a:graphic>
          </wp:inline>
        </w:drawing>
      </w:r>
    </w:p>
    <w:p w:rsidR="004D528F" w:rsidRPr="00073519" w:rsidRDefault="004D528F" w:rsidP="0044594F"/>
    <w:p w:rsidR="0044594F" w:rsidRPr="00073519" w:rsidRDefault="0044594F" w:rsidP="0044594F">
      <w:pPr>
        <w:pStyle w:val="Heading2"/>
        <w:keepLines w:val="0"/>
        <w:numPr>
          <w:ilvl w:val="1"/>
          <w:numId w:val="16"/>
        </w:numPr>
        <w:tabs>
          <w:tab w:val="left" w:pos="851"/>
        </w:tabs>
        <w:spacing w:after="240" w:line="240" w:lineRule="auto"/>
      </w:pPr>
      <w:bookmarkStart w:id="91" w:name="_Toc420009846"/>
      <w:r w:rsidRPr="00073519">
        <w:t>Low Voltage Business tariff class</w:t>
      </w:r>
      <w:bookmarkEnd w:id="91"/>
    </w:p>
    <w:p w:rsidR="0044594F" w:rsidRPr="00073519" w:rsidRDefault="0044594F" w:rsidP="009A26B4">
      <w:pPr>
        <w:pStyle w:val="Heading3"/>
      </w:pPr>
      <w:r w:rsidRPr="00073519">
        <w:t>Low voltage business single rate tariff</w:t>
      </w:r>
      <w:r w:rsidR="00A6254D">
        <w:t xml:space="preserve"> (obsolete)</w:t>
      </w:r>
    </w:p>
    <w:p w:rsidR="0044594F" w:rsidRDefault="00575C9A" w:rsidP="0044594F">
      <w:pPr>
        <w:keepNext/>
      </w:pPr>
      <w:r>
        <w:fldChar w:fldCharType="begin"/>
      </w:r>
      <w:r w:rsidR="0044594F">
        <w:instrText xml:space="preserve"> REF _Ref133993227 \h </w:instrText>
      </w:r>
      <w:r>
        <w:fldChar w:fldCharType="separate"/>
      </w:r>
      <w:r w:rsidR="00A81AFE" w:rsidRPr="00D737B7">
        <w:t xml:space="preserve">Table </w:t>
      </w:r>
      <w:r w:rsidR="00A81AFE">
        <w:rPr>
          <w:noProof/>
        </w:rPr>
        <w:t>24</w:t>
      </w:r>
      <w:r>
        <w:fldChar w:fldCharType="end"/>
      </w:r>
      <w:r w:rsidR="0044594F" w:rsidRPr="00073519">
        <w:t xml:space="preserve"> contains the proposed </w:t>
      </w:r>
      <w:r w:rsidR="00F74C99">
        <w:t>2015/16</w:t>
      </w:r>
      <w:r w:rsidR="0044594F">
        <w:t xml:space="preserve"> </w:t>
      </w:r>
      <w:r w:rsidR="0044594F" w:rsidRPr="00D737B7">
        <w:t xml:space="preserve">prices for low voltage business single </w:t>
      </w:r>
      <w:r w:rsidR="001B6579">
        <w:t xml:space="preserve">rate </w:t>
      </w:r>
      <w:r w:rsidR="001B6579" w:rsidRPr="00D737B7">
        <w:t xml:space="preserve">tariff </w:t>
      </w:r>
      <w:r w:rsidR="0044594F" w:rsidRPr="00D737B7">
        <w:t>customers.</w:t>
      </w:r>
      <w:r w:rsidR="00A6254D">
        <w:t xml:space="preserve">  These customers were using this tariff prior to 30 June 2010 when the tariff was made obsolete.</w:t>
      </w:r>
    </w:p>
    <w:p w:rsidR="001B6579" w:rsidRDefault="001B6579" w:rsidP="0044594F">
      <w:pPr>
        <w:keepNext/>
      </w:pPr>
    </w:p>
    <w:p w:rsidR="00997B46" w:rsidRDefault="001B6579" w:rsidP="0044594F">
      <w:pPr>
        <w:keepNext/>
      </w:pPr>
      <w:r>
        <w:t>Note that t</w:t>
      </w:r>
      <w:r w:rsidR="00A6254D">
        <w:t>he NUoS supply rate has been retained at 2014/15 prices</w:t>
      </w:r>
      <w:r>
        <w:t xml:space="preserve"> despite the distribution price reduction </w:t>
      </w:r>
      <w:r w:rsidR="00A6254D">
        <w:t>as a PV FiT recovery is now levied on the supply rate.</w:t>
      </w:r>
    </w:p>
    <w:p w:rsidR="00A6254D" w:rsidRPr="00D737B7" w:rsidRDefault="00A6254D" w:rsidP="0044594F">
      <w:pPr>
        <w:keepNext/>
      </w:pPr>
    </w:p>
    <w:p w:rsidR="0044594F" w:rsidRPr="00D737B7" w:rsidRDefault="0044594F" w:rsidP="0044594F">
      <w:pPr>
        <w:pStyle w:val="Caption"/>
        <w:keepNext/>
      </w:pPr>
      <w:bookmarkStart w:id="92" w:name="_Ref133993227"/>
      <w:r w:rsidRPr="00D737B7">
        <w:t xml:space="preserve">Table </w:t>
      </w:r>
      <w:r w:rsidR="00924A8F">
        <w:fldChar w:fldCharType="begin"/>
      </w:r>
      <w:r w:rsidR="00924A8F">
        <w:instrText xml:space="preserve"> SEQ Table \* ARABIC </w:instrText>
      </w:r>
      <w:r w:rsidR="00924A8F">
        <w:fldChar w:fldCharType="separate"/>
      </w:r>
      <w:r w:rsidR="00A81AFE">
        <w:rPr>
          <w:noProof/>
        </w:rPr>
        <w:t>24</w:t>
      </w:r>
      <w:r w:rsidR="00924A8F">
        <w:rPr>
          <w:noProof/>
        </w:rPr>
        <w:fldChar w:fldCharType="end"/>
      </w:r>
      <w:bookmarkEnd w:id="92"/>
      <w:r w:rsidRPr="00D737B7">
        <w:t xml:space="preserve"> - Proposed </w:t>
      </w:r>
      <w:r w:rsidR="003342B3">
        <w:t>2015/16</w:t>
      </w:r>
      <w:r w:rsidRPr="00D737B7">
        <w:t xml:space="preserve"> low voltage business single rate tariff</w:t>
      </w:r>
    </w:p>
    <w:p w:rsidR="0044594F" w:rsidRDefault="00E842ED" w:rsidP="0044594F">
      <w:r w:rsidRPr="00E842ED">
        <w:rPr>
          <w:noProof/>
          <w:lang w:val="en-US"/>
        </w:rPr>
        <w:drawing>
          <wp:inline distT="0" distB="0" distL="0" distR="0">
            <wp:extent cx="4905375" cy="866775"/>
            <wp:effectExtent l="19050" t="0" r="952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4905375" cy="866775"/>
                    </a:xfrm>
                    <a:prstGeom prst="rect">
                      <a:avLst/>
                    </a:prstGeom>
                    <a:noFill/>
                    <a:ln w="9525">
                      <a:noFill/>
                      <a:miter lim="800000"/>
                      <a:headEnd/>
                      <a:tailEnd/>
                    </a:ln>
                  </pic:spPr>
                </pic:pic>
              </a:graphicData>
            </a:graphic>
          </wp:inline>
        </w:drawing>
      </w:r>
    </w:p>
    <w:p w:rsidR="00997B46" w:rsidRPr="00D737B7" w:rsidRDefault="00997B46" w:rsidP="0044594F"/>
    <w:p w:rsidR="0044594F" w:rsidRPr="00D737B7" w:rsidRDefault="0044594F" w:rsidP="009A26B4">
      <w:pPr>
        <w:pStyle w:val="Heading3"/>
      </w:pPr>
      <w:r w:rsidRPr="00D737B7">
        <w:t>Low voltage business 2-rate tariff</w:t>
      </w:r>
    </w:p>
    <w:p w:rsidR="0044594F" w:rsidRDefault="00924A8F" w:rsidP="0044594F">
      <w:pPr>
        <w:keepNext/>
      </w:pPr>
      <w:r>
        <w:fldChar w:fldCharType="begin"/>
      </w:r>
      <w:r>
        <w:instrText xml:space="preserve"> REF _Ref133993430 \h  \* MERGEFORMAT </w:instrText>
      </w:r>
      <w:r>
        <w:fldChar w:fldCharType="separate"/>
      </w:r>
      <w:r w:rsidR="00A81AFE" w:rsidRPr="00D737B7">
        <w:t xml:space="preserve">Table </w:t>
      </w:r>
      <w:r w:rsidR="00A81AFE">
        <w:rPr>
          <w:noProof/>
        </w:rPr>
        <w:t>25</w:t>
      </w:r>
      <w:r>
        <w:fldChar w:fldCharType="end"/>
      </w:r>
      <w:r w:rsidR="0044594F" w:rsidRPr="00D737B7">
        <w:t xml:space="preserve"> contains the proposed </w:t>
      </w:r>
      <w:r w:rsidR="00F74C99">
        <w:t>2015/16</w:t>
      </w:r>
      <w:r w:rsidR="0044594F" w:rsidRPr="00D737B7">
        <w:t xml:space="preserve"> prices for low voltage business 2-rate tariff customers.</w:t>
      </w:r>
    </w:p>
    <w:p w:rsidR="00A6254D" w:rsidRDefault="00A6254D" w:rsidP="00A6254D">
      <w:pPr>
        <w:keepNext/>
      </w:pPr>
      <w:r>
        <w:t>The NUoS supply rate has been retained at 2014/15 prices as a PV FiT recovery is now levied on the supply rate.</w:t>
      </w:r>
    </w:p>
    <w:p w:rsidR="00A6254D" w:rsidRDefault="00A6254D" w:rsidP="00A6254D">
      <w:pPr>
        <w:keepNext/>
      </w:pPr>
      <w:r>
        <w:t>The NUoS rate for the off-peak element of this tariff has been retained at 2014/15 levels.  The DUoS reduction shown below is offset by a higher TUoS price, determined from ElectraNet’s 2015/16 pricing structure.  The off-peak price continues to be set at a low rate.</w:t>
      </w:r>
    </w:p>
    <w:p w:rsidR="00997B46" w:rsidRPr="00D737B7" w:rsidRDefault="00997B46" w:rsidP="0044594F">
      <w:pPr>
        <w:keepNext/>
      </w:pPr>
    </w:p>
    <w:p w:rsidR="0044594F" w:rsidRPr="00073519" w:rsidRDefault="0044594F" w:rsidP="0044594F">
      <w:pPr>
        <w:pStyle w:val="Caption"/>
        <w:keepNext/>
      </w:pPr>
      <w:bookmarkStart w:id="93" w:name="_Ref133993430"/>
      <w:bookmarkStart w:id="94" w:name="_Ref136512837"/>
      <w:r w:rsidRPr="00D737B7">
        <w:t xml:space="preserve">Table </w:t>
      </w:r>
      <w:r w:rsidR="00924A8F">
        <w:fldChar w:fldCharType="begin"/>
      </w:r>
      <w:r w:rsidR="00924A8F">
        <w:instrText xml:space="preserve"> SE</w:instrText>
      </w:r>
      <w:r w:rsidR="00924A8F">
        <w:instrText xml:space="preserve">Q Table \* ARABIC </w:instrText>
      </w:r>
      <w:r w:rsidR="00924A8F">
        <w:fldChar w:fldCharType="separate"/>
      </w:r>
      <w:r w:rsidR="00A81AFE">
        <w:rPr>
          <w:noProof/>
        </w:rPr>
        <w:t>25</w:t>
      </w:r>
      <w:r w:rsidR="00924A8F">
        <w:rPr>
          <w:noProof/>
        </w:rPr>
        <w:fldChar w:fldCharType="end"/>
      </w:r>
      <w:bookmarkEnd w:id="93"/>
      <w:r w:rsidRPr="00D737B7">
        <w:t xml:space="preserve"> - Proposed </w:t>
      </w:r>
      <w:r w:rsidR="003342B3">
        <w:t>2015/16</w:t>
      </w:r>
      <w:r w:rsidRPr="00D737B7">
        <w:t xml:space="preserve"> low voltage business 2-rate tariff</w:t>
      </w:r>
      <w:bookmarkEnd w:id="94"/>
    </w:p>
    <w:p w:rsidR="00997B46" w:rsidRDefault="00E842ED" w:rsidP="0044594F">
      <w:r w:rsidRPr="00E842ED">
        <w:rPr>
          <w:noProof/>
          <w:lang w:val="en-US"/>
        </w:rPr>
        <w:drawing>
          <wp:inline distT="0" distB="0" distL="0" distR="0">
            <wp:extent cx="4905375" cy="866775"/>
            <wp:effectExtent l="19050" t="0" r="952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4905375" cy="866775"/>
                    </a:xfrm>
                    <a:prstGeom prst="rect">
                      <a:avLst/>
                    </a:prstGeom>
                    <a:noFill/>
                    <a:ln w="9525">
                      <a:noFill/>
                      <a:miter lim="800000"/>
                      <a:headEnd/>
                      <a:tailEnd/>
                    </a:ln>
                  </pic:spPr>
                </pic:pic>
              </a:graphicData>
            </a:graphic>
          </wp:inline>
        </w:drawing>
      </w:r>
    </w:p>
    <w:p w:rsidR="004D528F" w:rsidRDefault="004D528F" w:rsidP="0044594F"/>
    <w:p w:rsidR="0044594F" w:rsidRPr="00073519" w:rsidRDefault="0044594F" w:rsidP="009A26B4">
      <w:pPr>
        <w:pStyle w:val="Heading3"/>
      </w:pPr>
      <w:r w:rsidRPr="00073519">
        <w:t>Low voltage business kVA demand tariff</w:t>
      </w:r>
    </w:p>
    <w:p w:rsidR="0044594F" w:rsidRDefault="00575C9A" w:rsidP="0044594F">
      <w:pPr>
        <w:keepNext/>
      </w:pPr>
      <w:r>
        <w:fldChar w:fldCharType="begin"/>
      </w:r>
      <w:r w:rsidR="0044594F">
        <w:instrText xml:space="preserve"> REF _Ref133995572 \h </w:instrText>
      </w:r>
      <w:r>
        <w:fldChar w:fldCharType="separate"/>
      </w:r>
      <w:r w:rsidR="00A81AFE" w:rsidRPr="005D0096">
        <w:t xml:space="preserve">Table </w:t>
      </w:r>
      <w:r w:rsidR="00A81AFE">
        <w:rPr>
          <w:noProof/>
        </w:rPr>
        <w:t>26</w:t>
      </w:r>
      <w:r>
        <w:fldChar w:fldCharType="end"/>
      </w:r>
      <w:r w:rsidR="0044594F" w:rsidRPr="00073519">
        <w:t xml:space="preserve"> contains the proposed </w:t>
      </w:r>
      <w:r w:rsidR="00F74C99">
        <w:t>2015/16</w:t>
      </w:r>
      <w:r w:rsidR="0044594F">
        <w:t xml:space="preserve"> </w:t>
      </w:r>
      <w:r w:rsidR="0044594F" w:rsidRPr="00073519">
        <w:t xml:space="preserve">prices low kVA </w:t>
      </w:r>
      <w:r w:rsidR="0044594F" w:rsidRPr="005D0096">
        <w:t>demand business tariff customers.</w:t>
      </w:r>
    </w:p>
    <w:p w:rsidR="00A6254D" w:rsidRDefault="00A6254D" w:rsidP="0044594F">
      <w:pPr>
        <w:keepNext/>
      </w:pPr>
      <w:r>
        <w:t xml:space="preserve">The new version of the tariff does not utilise </w:t>
      </w:r>
      <w:r w:rsidR="001B6579">
        <w:t>four</w:t>
      </w:r>
      <w:r>
        <w:t xml:space="preserve"> blocks but for comparison purposes with 2014/15 we have shown it as if it did.  The new tariff has a supply charge and a first block covering the old tariff first three blocks</w:t>
      </w:r>
      <w:r w:rsidR="00154A42">
        <w:t>.  Peak demand is measured between 12 noon and 9pm on work days between November and March.  There is no minimum level of agreed demand for this tariff from July 2015 (was 70 kVA)</w:t>
      </w:r>
    </w:p>
    <w:p w:rsidR="00997B46" w:rsidRPr="005D0096" w:rsidRDefault="00997B46" w:rsidP="0044594F">
      <w:pPr>
        <w:keepNext/>
      </w:pPr>
    </w:p>
    <w:p w:rsidR="0044594F" w:rsidRPr="00073519" w:rsidRDefault="0044594F" w:rsidP="0044594F">
      <w:pPr>
        <w:pStyle w:val="Caption"/>
        <w:keepNext/>
      </w:pPr>
      <w:bookmarkStart w:id="95" w:name="_Ref133995572"/>
      <w:r w:rsidRPr="005D0096">
        <w:t xml:space="preserve">Table </w:t>
      </w:r>
      <w:r w:rsidR="00924A8F">
        <w:fldChar w:fldCharType="begin"/>
      </w:r>
      <w:r w:rsidR="00924A8F">
        <w:instrText xml:space="preserve"> SEQ Table \* ARABIC </w:instrText>
      </w:r>
      <w:r w:rsidR="00924A8F">
        <w:fldChar w:fldCharType="separate"/>
      </w:r>
      <w:r w:rsidR="00A81AFE">
        <w:rPr>
          <w:noProof/>
        </w:rPr>
        <w:t>26</w:t>
      </w:r>
      <w:r w:rsidR="00924A8F">
        <w:rPr>
          <w:noProof/>
        </w:rPr>
        <w:fldChar w:fldCharType="end"/>
      </w:r>
      <w:bookmarkEnd w:id="95"/>
      <w:r w:rsidRPr="005D0096">
        <w:t xml:space="preserve"> - Proposed </w:t>
      </w:r>
      <w:r w:rsidR="003342B3">
        <w:t>2015/16</w:t>
      </w:r>
      <w:r w:rsidRPr="005D0096">
        <w:t xml:space="preserve"> low voltage business kVA demand tariff</w:t>
      </w:r>
    </w:p>
    <w:p w:rsidR="0044594F" w:rsidRDefault="00E842ED" w:rsidP="0044594F">
      <w:r w:rsidRPr="00E842ED">
        <w:rPr>
          <w:noProof/>
          <w:lang w:val="en-US"/>
        </w:rPr>
        <w:drawing>
          <wp:inline distT="0" distB="0" distL="0" distR="0">
            <wp:extent cx="4905375" cy="1552575"/>
            <wp:effectExtent l="19050" t="0" r="952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4905375" cy="1552575"/>
                    </a:xfrm>
                    <a:prstGeom prst="rect">
                      <a:avLst/>
                    </a:prstGeom>
                    <a:noFill/>
                    <a:ln w="9525">
                      <a:noFill/>
                      <a:miter lim="800000"/>
                      <a:headEnd/>
                      <a:tailEnd/>
                    </a:ln>
                  </pic:spPr>
                </pic:pic>
              </a:graphicData>
            </a:graphic>
          </wp:inline>
        </w:drawing>
      </w:r>
    </w:p>
    <w:p w:rsidR="00997B46" w:rsidRDefault="00997B46" w:rsidP="0044594F"/>
    <w:p w:rsidR="004D528F" w:rsidRDefault="00154A42" w:rsidP="0044594F">
      <w:r w:rsidRPr="00154A42">
        <w:t>Since July</w:t>
      </w:r>
      <w:r w:rsidR="004D528F" w:rsidRPr="00154A42">
        <w:t xml:space="preserve"> 2014, there is also a variant to this tariff available for sportsgrounds with significant</w:t>
      </w:r>
      <w:r w:rsidR="004D528F">
        <w:t xml:space="preserve"> floodlighting.  This tariff variant has a slightly different definition of peak demand period, using 12</w:t>
      </w:r>
      <w:r w:rsidR="007B0095">
        <w:t>:</w:t>
      </w:r>
      <w:r w:rsidR="004D528F">
        <w:t>01 to 19</w:t>
      </w:r>
      <w:r w:rsidR="007B0095">
        <w:t>:</w:t>
      </w:r>
      <w:r w:rsidR="004D528F">
        <w:t>00 local</w:t>
      </w:r>
      <w:r>
        <w:t xml:space="preserve"> time for December to February.  </w:t>
      </w:r>
      <w:r w:rsidR="004D528F">
        <w:t>The tariff variant is otherwise in line with the original tariff.</w:t>
      </w:r>
    </w:p>
    <w:p w:rsidR="009C1CBE" w:rsidRDefault="009C1CBE" w:rsidP="0044594F"/>
    <w:p w:rsidR="009C1CBE" w:rsidRPr="00073519" w:rsidRDefault="009C1CBE" w:rsidP="009C1CBE">
      <w:pPr>
        <w:pStyle w:val="Heading3"/>
      </w:pPr>
      <w:r w:rsidRPr="00073519">
        <w:t xml:space="preserve">Low voltage </w:t>
      </w:r>
      <w:r>
        <w:t>business</w:t>
      </w:r>
      <w:r w:rsidRPr="00073519">
        <w:t xml:space="preserve"> </w:t>
      </w:r>
      <w:r>
        <w:t xml:space="preserve">actual demand </w:t>
      </w:r>
      <w:r w:rsidRPr="00073519">
        <w:t>tariff</w:t>
      </w:r>
    </w:p>
    <w:p w:rsidR="009C1CBE" w:rsidRDefault="00575C9A" w:rsidP="009C1CBE">
      <w:pPr>
        <w:keepNext/>
      </w:pPr>
      <w:r>
        <w:fldChar w:fldCharType="begin"/>
      </w:r>
      <w:r w:rsidR="009C1CBE">
        <w:instrText xml:space="preserve"> REF _Ref133995572 \h </w:instrText>
      </w:r>
      <w:r>
        <w:fldChar w:fldCharType="separate"/>
      </w:r>
      <w:r w:rsidR="00A81AFE" w:rsidRPr="005D0096">
        <w:t xml:space="preserve">Table </w:t>
      </w:r>
      <w:r w:rsidR="00A81AFE">
        <w:rPr>
          <w:noProof/>
        </w:rPr>
        <w:t>26</w:t>
      </w:r>
      <w:r>
        <w:fldChar w:fldCharType="end"/>
      </w:r>
      <w:r w:rsidR="001B6579">
        <w:t>6a</w:t>
      </w:r>
      <w:r w:rsidR="009C1CBE">
        <w:t xml:space="preserve"> </w:t>
      </w:r>
      <w:r w:rsidR="009C1CBE" w:rsidRPr="00073519">
        <w:t xml:space="preserve">contains proposed </w:t>
      </w:r>
      <w:r w:rsidR="009C1CBE">
        <w:t xml:space="preserve">2015/16 </w:t>
      </w:r>
      <w:r w:rsidR="009C1CBE" w:rsidRPr="00073519">
        <w:t xml:space="preserve">prices for </w:t>
      </w:r>
      <w:r w:rsidR="0093085E">
        <w:t xml:space="preserve">low voltage </w:t>
      </w:r>
      <w:r w:rsidR="009C1CBE">
        <w:t>business</w:t>
      </w:r>
      <w:r w:rsidR="009C1CBE" w:rsidRPr="00D737B7">
        <w:t xml:space="preserve"> </w:t>
      </w:r>
      <w:r w:rsidR="009C1CBE">
        <w:t>actual demand tariff</w:t>
      </w:r>
      <w:r w:rsidR="009C1CBE" w:rsidRPr="00D737B7">
        <w:t>.</w:t>
      </w:r>
    </w:p>
    <w:p w:rsidR="009C1CBE" w:rsidRDefault="009C1CBE" w:rsidP="009C1CBE">
      <w:pPr>
        <w:keepNext/>
      </w:pPr>
      <w:r>
        <w:t xml:space="preserve">This is a new tariff in 2015/16 and will be used initially by large customers and some small customers previously on agreed demand tariffs.  Some small businesses currently on energy tariffs may opt-in </w:t>
      </w:r>
      <w:r w:rsidR="0093085E">
        <w:t>to</w:t>
      </w:r>
      <w:r>
        <w:t xml:space="preserve"> this tariff during 2015/16.</w:t>
      </w:r>
    </w:p>
    <w:p w:rsidR="009C1CBE" w:rsidRPr="00D737B7" w:rsidRDefault="009C1CBE" w:rsidP="009C1CBE">
      <w:pPr>
        <w:keepNext/>
      </w:pPr>
    </w:p>
    <w:p w:rsidR="009C1CBE" w:rsidRDefault="009C1CBE" w:rsidP="009C1CBE">
      <w:pPr>
        <w:pStyle w:val="Caption"/>
        <w:keepNext/>
      </w:pPr>
      <w:r w:rsidRPr="00D737B7">
        <w:t xml:space="preserve">Table </w:t>
      </w:r>
      <w:r w:rsidR="001B6579">
        <w:t>26a</w:t>
      </w:r>
      <w:r w:rsidRPr="00D737B7">
        <w:t xml:space="preserve"> - Proposed </w:t>
      </w:r>
      <w:r>
        <w:t>2015/16</w:t>
      </w:r>
      <w:r w:rsidRPr="00D737B7">
        <w:t xml:space="preserve"> low voltage </w:t>
      </w:r>
      <w:r>
        <w:t>business</w:t>
      </w:r>
      <w:r w:rsidRPr="00D737B7">
        <w:t xml:space="preserve"> tariff </w:t>
      </w:r>
      <w:r>
        <w:t>actual demand</w:t>
      </w:r>
      <w:r w:rsidRPr="00073519">
        <w:t xml:space="preserve"> </w:t>
      </w:r>
    </w:p>
    <w:p w:rsidR="009C1CBE" w:rsidRDefault="00E842ED" w:rsidP="009C1CBE">
      <w:r w:rsidRPr="00E842ED">
        <w:rPr>
          <w:noProof/>
          <w:lang w:val="en-US"/>
        </w:rPr>
        <w:drawing>
          <wp:inline distT="0" distB="0" distL="0" distR="0">
            <wp:extent cx="4905375" cy="1209675"/>
            <wp:effectExtent l="19050" t="0" r="952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4905375" cy="1209675"/>
                    </a:xfrm>
                    <a:prstGeom prst="rect">
                      <a:avLst/>
                    </a:prstGeom>
                    <a:noFill/>
                    <a:ln w="9525">
                      <a:noFill/>
                      <a:miter lim="800000"/>
                      <a:headEnd/>
                      <a:tailEnd/>
                    </a:ln>
                  </pic:spPr>
                </pic:pic>
              </a:graphicData>
            </a:graphic>
          </wp:inline>
        </w:drawing>
      </w:r>
    </w:p>
    <w:p w:rsidR="004D528F" w:rsidRDefault="004D528F" w:rsidP="0044594F"/>
    <w:p w:rsidR="002229DE" w:rsidRPr="00073519" w:rsidRDefault="002229DE" w:rsidP="002229DE">
      <w:pPr>
        <w:pStyle w:val="Heading3"/>
      </w:pPr>
      <w:r w:rsidRPr="00073519">
        <w:t xml:space="preserve">Low voltage </w:t>
      </w:r>
      <w:r>
        <w:t>business</w:t>
      </w:r>
      <w:r w:rsidRPr="00073519">
        <w:t xml:space="preserve"> </w:t>
      </w:r>
      <w:r>
        <w:t xml:space="preserve">actual demand </w:t>
      </w:r>
      <w:r w:rsidRPr="00073519">
        <w:t>tariff</w:t>
      </w:r>
      <w:r>
        <w:t xml:space="preserve"> Transition</w:t>
      </w:r>
    </w:p>
    <w:p w:rsidR="006E2AB0" w:rsidRDefault="00575C9A" w:rsidP="002229DE">
      <w:pPr>
        <w:keepNext/>
      </w:pPr>
      <w:r>
        <w:fldChar w:fldCharType="begin"/>
      </w:r>
      <w:r w:rsidR="002229DE">
        <w:instrText xml:space="preserve"> REF _Ref133995572 \h </w:instrText>
      </w:r>
      <w:r>
        <w:fldChar w:fldCharType="separate"/>
      </w:r>
      <w:r w:rsidR="00A81AFE" w:rsidRPr="005D0096">
        <w:t xml:space="preserve">Table </w:t>
      </w:r>
      <w:r w:rsidR="00A81AFE">
        <w:rPr>
          <w:noProof/>
        </w:rPr>
        <w:t>26</w:t>
      </w:r>
      <w:r>
        <w:fldChar w:fldCharType="end"/>
      </w:r>
      <w:r w:rsidR="002229DE">
        <w:t xml:space="preserve">b </w:t>
      </w:r>
      <w:r w:rsidR="002229DE" w:rsidRPr="00073519">
        <w:t xml:space="preserve">contains proposed </w:t>
      </w:r>
      <w:r w:rsidR="002229DE">
        <w:t xml:space="preserve">2015/16 </w:t>
      </w:r>
      <w:r w:rsidR="002229DE" w:rsidRPr="00073519">
        <w:t xml:space="preserve">prices for </w:t>
      </w:r>
      <w:r w:rsidR="0093085E">
        <w:t xml:space="preserve">low voltage </w:t>
      </w:r>
      <w:r w:rsidR="002229DE">
        <w:t>business</w:t>
      </w:r>
      <w:r w:rsidR="002229DE" w:rsidRPr="00D737B7">
        <w:t xml:space="preserve"> </w:t>
      </w:r>
      <w:r w:rsidR="002229DE">
        <w:t xml:space="preserve">actual demand </w:t>
      </w:r>
      <w:r w:rsidR="006E2AB0">
        <w:t>Transition tariff</w:t>
      </w:r>
      <w:r w:rsidR="002229DE" w:rsidRPr="00D737B7">
        <w:t>.</w:t>
      </w:r>
      <w:r w:rsidR="0093085E">
        <w:t xml:space="preserve">  </w:t>
      </w:r>
      <w:r w:rsidR="002229DE">
        <w:t>This is a new tariff in 2015/16 and will be used initially by</w:t>
      </w:r>
      <w:r w:rsidR="006E2AB0">
        <w:t xml:space="preserve"> large customers previously on energy</w:t>
      </w:r>
      <w:r w:rsidR="002229DE">
        <w:t xml:space="preserve"> tariffs</w:t>
      </w:r>
      <w:r w:rsidR="006E2AB0">
        <w:t xml:space="preserve"> who might otherwise have faced an increase in prices when reassigned to a cost-reflective tariff</w:t>
      </w:r>
      <w:r w:rsidR="002229DE">
        <w:t xml:space="preserve">.  </w:t>
      </w:r>
      <w:r w:rsidR="006E2AB0">
        <w:t>There are less than 100 customers that require this transition tariff.</w:t>
      </w:r>
    </w:p>
    <w:p w:rsidR="006E2AB0" w:rsidRDefault="006E2AB0" w:rsidP="002229DE">
      <w:pPr>
        <w:keepNext/>
      </w:pPr>
    </w:p>
    <w:p w:rsidR="002229DE" w:rsidRDefault="006E2AB0" w:rsidP="002229DE">
      <w:pPr>
        <w:keepNext/>
      </w:pPr>
      <w:r>
        <w:t>Each year, this tariff will progressively increase the proportion of the cost-reflective actual demand tariff and reduce the proportion of the business 2-rate tariff.  In 2015/16, the tariff weighting is 30% actual demand and 70% 2-rate</w:t>
      </w:r>
      <w:r w:rsidR="002229DE">
        <w:t>.</w:t>
      </w:r>
      <w:r>
        <w:t xml:space="preserve">  By July 2020, the transition should be complete.</w:t>
      </w:r>
    </w:p>
    <w:p w:rsidR="002229DE" w:rsidRPr="00D737B7" w:rsidRDefault="002229DE" w:rsidP="002229DE">
      <w:pPr>
        <w:keepNext/>
      </w:pPr>
    </w:p>
    <w:p w:rsidR="002229DE" w:rsidRDefault="002229DE" w:rsidP="002229DE">
      <w:pPr>
        <w:pStyle w:val="Caption"/>
        <w:keepNext/>
      </w:pPr>
      <w:r w:rsidRPr="00D737B7">
        <w:t xml:space="preserve">Table </w:t>
      </w:r>
      <w:r>
        <w:t>2</w:t>
      </w:r>
      <w:r w:rsidR="003E6D81">
        <w:t>6b</w:t>
      </w:r>
      <w:r w:rsidRPr="00D737B7">
        <w:t xml:space="preserve"> - Proposed </w:t>
      </w:r>
      <w:r>
        <w:t>2015/16</w:t>
      </w:r>
      <w:r w:rsidRPr="00D737B7">
        <w:t xml:space="preserve"> low voltage </w:t>
      </w:r>
      <w:r>
        <w:t>business</w:t>
      </w:r>
      <w:r w:rsidRPr="00D737B7">
        <w:t xml:space="preserve"> tariff </w:t>
      </w:r>
      <w:r>
        <w:t>actual demand</w:t>
      </w:r>
      <w:r w:rsidRPr="00073519">
        <w:t xml:space="preserve"> </w:t>
      </w:r>
      <w:r w:rsidR="006E2AB0">
        <w:t>Transition</w:t>
      </w:r>
    </w:p>
    <w:p w:rsidR="002229DE" w:rsidRDefault="006E2AB0" w:rsidP="0044594F">
      <w:r w:rsidRPr="006E2AB0">
        <w:rPr>
          <w:noProof/>
          <w:lang w:val="en-US"/>
        </w:rPr>
        <w:drawing>
          <wp:inline distT="0" distB="0" distL="0" distR="0">
            <wp:extent cx="4905375" cy="13811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4905375" cy="1381125"/>
                    </a:xfrm>
                    <a:prstGeom prst="rect">
                      <a:avLst/>
                    </a:prstGeom>
                    <a:noFill/>
                    <a:ln w="9525">
                      <a:noFill/>
                      <a:miter lim="800000"/>
                      <a:headEnd/>
                      <a:tailEnd/>
                    </a:ln>
                  </pic:spPr>
                </pic:pic>
              </a:graphicData>
            </a:graphic>
          </wp:inline>
        </w:drawing>
      </w:r>
    </w:p>
    <w:p w:rsidR="006E2AB0" w:rsidRPr="00073519" w:rsidRDefault="006E2AB0" w:rsidP="0044594F"/>
    <w:p w:rsidR="0044594F" w:rsidRPr="00073519" w:rsidRDefault="00154A42" w:rsidP="009A26B4">
      <w:pPr>
        <w:pStyle w:val="Heading3"/>
      </w:pPr>
      <w:r>
        <w:t xml:space="preserve">LV </w:t>
      </w:r>
      <w:r w:rsidR="0044594F" w:rsidRPr="00073519">
        <w:t>Unmetered supply tariffs</w:t>
      </w:r>
    </w:p>
    <w:p w:rsidR="0044594F" w:rsidRDefault="0044594F" w:rsidP="0044594F">
      <w:r w:rsidRPr="00073519">
        <w:t xml:space="preserve">Proposed </w:t>
      </w:r>
      <w:r w:rsidR="00F74C99">
        <w:t>2015/16</w:t>
      </w:r>
      <w:r>
        <w:t xml:space="preserve"> </w:t>
      </w:r>
      <w:r w:rsidRPr="00073519">
        <w:t xml:space="preserve">prices for the unmetered supply tariff </w:t>
      </w:r>
      <w:r w:rsidRPr="005D0096">
        <w:t xml:space="preserve">customers are set out in </w:t>
      </w:r>
      <w:r w:rsidR="00924A8F">
        <w:fldChar w:fldCharType="begin"/>
      </w:r>
      <w:r w:rsidR="00924A8F">
        <w:instrText xml:space="preserve"> REF _Ref133995336 \h  \* MERGEFORMAT </w:instrText>
      </w:r>
      <w:r w:rsidR="00924A8F">
        <w:fldChar w:fldCharType="separate"/>
      </w:r>
      <w:r w:rsidR="00A81AFE" w:rsidRPr="005D0096">
        <w:t xml:space="preserve">Table </w:t>
      </w:r>
      <w:r w:rsidR="00A81AFE">
        <w:rPr>
          <w:noProof/>
        </w:rPr>
        <w:t>27</w:t>
      </w:r>
      <w:r w:rsidR="00924A8F">
        <w:fldChar w:fldCharType="end"/>
      </w:r>
      <w:r w:rsidRPr="005D0096">
        <w:t xml:space="preserve"> and </w:t>
      </w:r>
      <w:r w:rsidR="00924A8F">
        <w:fldChar w:fldCharType="begin"/>
      </w:r>
      <w:r w:rsidR="00924A8F">
        <w:instrText xml:space="preserve"> REF _Ref133995337 \h  \* MERGEFORMAT </w:instrText>
      </w:r>
      <w:r w:rsidR="00924A8F">
        <w:fldChar w:fldCharType="separate"/>
      </w:r>
      <w:r w:rsidR="00A81AFE" w:rsidRPr="005D0096">
        <w:t xml:space="preserve">Table </w:t>
      </w:r>
      <w:r w:rsidR="00A81AFE">
        <w:rPr>
          <w:noProof/>
        </w:rPr>
        <w:t>28</w:t>
      </w:r>
      <w:r w:rsidR="00924A8F">
        <w:fldChar w:fldCharType="end"/>
      </w:r>
      <w:r w:rsidRPr="005D0096">
        <w:t>.</w:t>
      </w:r>
    </w:p>
    <w:p w:rsidR="00997B46" w:rsidRPr="005D0096" w:rsidRDefault="00997B46" w:rsidP="0044594F"/>
    <w:p w:rsidR="0044594F" w:rsidRPr="005D0096" w:rsidRDefault="0044594F" w:rsidP="0044594F">
      <w:pPr>
        <w:pStyle w:val="Caption"/>
        <w:keepNext/>
      </w:pPr>
      <w:bookmarkStart w:id="96" w:name="_Ref133995336"/>
      <w:r w:rsidRPr="005D0096">
        <w:t xml:space="preserve">Table </w:t>
      </w:r>
      <w:r w:rsidR="00924A8F">
        <w:fldChar w:fldCharType="begin"/>
      </w:r>
      <w:r w:rsidR="00924A8F">
        <w:instrText xml:space="preserve"> SEQ Table \* ARABIC </w:instrText>
      </w:r>
      <w:r w:rsidR="00924A8F">
        <w:fldChar w:fldCharType="separate"/>
      </w:r>
      <w:r w:rsidR="00A81AFE">
        <w:rPr>
          <w:noProof/>
        </w:rPr>
        <w:t>27</w:t>
      </w:r>
      <w:r w:rsidR="00924A8F">
        <w:rPr>
          <w:noProof/>
        </w:rPr>
        <w:fldChar w:fldCharType="end"/>
      </w:r>
      <w:bookmarkEnd w:id="96"/>
      <w:r w:rsidRPr="005D0096">
        <w:t xml:space="preserve"> - Proposed </w:t>
      </w:r>
      <w:r w:rsidR="003342B3">
        <w:t>2015/16</w:t>
      </w:r>
      <w:r w:rsidRPr="005D0096">
        <w:t xml:space="preserve"> Unmetered Overnight tariff</w:t>
      </w:r>
    </w:p>
    <w:p w:rsidR="00997B46" w:rsidRDefault="00E842ED" w:rsidP="0044594F">
      <w:r w:rsidRPr="00E842ED">
        <w:rPr>
          <w:noProof/>
          <w:lang w:val="en-US"/>
        </w:rPr>
        <w:drawing>
          <wp:inline distT="0" distB="0" distL="0" distR="0">
            <wp:extent cx="4905375" cy="523875"/>
            <wp:effectExtent l="19050" t="0" r="952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4905375" cy="523875"/>
                    </a:xfrm>
                    <a:prstGeom prst="rect">
                      <a:avLst/>
                    </a:prstGeom>
                    <a:noFill/>
                    <a:ln w="9525">
                      <a:noFill/>
                      <a:miter lim="800000"/>
                      <a:headEnd/>
                      <a:tailEnd/>
                    </a:ln>
                  </pic:spPr>
                </pic:pic>
              </a:graphicData>
            </a:graphic>
          </wp:inline>
        </w:drawing>
      </w:r>
    </w:p>
    <w:p w:rsidR="004D528F" w:rsidRPr="005D0096" w:rsidRDefault="004D528F" w:rsidP="0044594F"/>
    <w:p w:rsidR="0044594F" w:rsidRPr="00073519" w:rsidRDefault="0044594F" w:rsidP="0044594F">
      <w:pPr>
        <w:pStyle w:val="Caption"/>
        <w:keepNext/>
      </w:pPr>
      <w:bookmarkStart w:id="97" w:name="_Ref133995337"/>
      <w:r w:rsidRPr="005D0096">
        <w:t xml:space="preserve">Table </w:t>
      </w:r>
      <w:r w:rsidR="00924A8F">
        <w:fldChar w:fldCharType="begin"/>
      </w:r>
      <w:r w:rsidR="00924A8F">
        <w:instrText xml:space="preserve"> SEQ Table \* ARABIC </w:instrText>
      </w:r>
      <w:r w:rsidR="00924A8F">
        <w:fldChar w:fldCharType="separate"/>
      </w:r>
      <w:r w:rsidR="00A81AFE">
        <w:rPr>
          <w:noProof/>
        </w:rPr>
        <w:t>28</w:t>
      </w:r>
      <w:r w:rsidR="00924A8F">
        <w:rPr>
          <w:noProof/>
        </w:rPr>
        <w:fldChar w:fldCharType="end"/>
      </w:r>
      <w:bookmarkEnd w:id="97"/>
      <w:r w:rsidRPr="005D0096">
        <w:t xml:space="preserve"> - Proposed </w:t>
      </w:r>
      <w:r w:rsidR="003342B3">
        <w:t>2015/16</w:t>
      </w:r>
      <w:r w:rsidRPr="005D0096">
        <w:t xml:space="preserve"> Unmetered 24 hour Usage tariff</w:t>
      </w:r>
    </w:p>
    <w:p w:rsidR="0044594F" w:rsidRDefault="00E842ED" w:rsidP="0044594F">
      <w:r w:rsidRPr="00E842ED">
        <w:rPr>
          <w:noProof/>
          <w:lang w:val="en-US"/>
        </w:rPr>
        <w:drawing>
          <wp:inline distT="0" distB="0" distL="0" distR="0">
            <wp:extent cx="4905375" cy="523875"/>
            <wp:effectExtent l="19050" t="0" r="952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4905375" cy="523875"/>
                    </a:xfrm>
                    <a:prstGeom prst="rect">
                      <a:avLst/>
                    </a:prstGeom>
                    <a:noFill/>
                    <a:ln w="9525">
                      <a:noFill/>
                      <a:miter lim="800000"/>
                      <a:headEnd/>
                      <a:tailEnd/>
                    </a:ln>
                  </pic:spPr>
                </pic:pic>
              </a:graphicData>
            </a:graphic>
          </wp:inline>
        </w:drawing>
      </w:r>
    </w:p>
    <w:p w:rsidR="00997B46" w:rsidRPr="00073519" w:rsidRDefault="00997B46" w:rsidP="0044594F"/>
    <w:p w:rsidR="0044594F" w:rsidRPr="00073519" w:rsidRDefault="0044594F" w:rsidP="0044594F">
      <w:pPr>
        <w:pStyle w:val="Heading2"/>
        <w:keepLines w:val="0"/>
        <w:numPr>
          <w:ilvl w:val="1"/>
          <w:numId w:val="16"/>
        </w:numPr>
        <w:tabs>
          <w:tab w:val="left" w:pos="851"/>
        </w:tabs>
        <w:spacing w:after="240" w:line="240" w:lineRule="auto"/>
      </w:pPr>
      <w:bookmarkStart w:id="98" w:name="_Toc420009847"/>
      <w:r w:rsidRPr="00073519">
        <w:t>High Voltage Business tariff class</w:t>
      </w:r>
      <w:bookmarkEnd w:id="98"/>
    </w:p>
    <w:p w:rsidR="0044594F" w:rsidRPr="00073519" w:rsidRDefault="0044594F" w:rsidP="009A26B4">
      <w:pPr>
        <w:pStyle w:val="Heading3"/>
      </w:pPr>
      <w:r w:rsidRPr="00073519">
        <w:t>High voltage business 2-rate tariff</w:t>
      </w:r>
      <w:r w:rsidR="00154A42">
        <w:t xml:space="preserve"> (closed)</w:t>
      </w:r>
    </w:p>
    <w:p w:rsidR="0044594F" w:rsidRDefault="00154A42" w:rsidP="0044594F">
      <w:r>
        <w:t>This tariff has been closed and the few customers using it will be reassigned to another appropriate HV tariff</w:t>
      </w:r>
      <w:r w:rsidR="0044594F" w:rsidRPr="00073519">
        <w:t>.</w:t>
      </w:r>
    </w:p>
    <w:p w:rsidR="00997B46" w:rsidRPr="00073519" w:rsidRDefault="00997B46" w:rsidP="0044594F"/>
    <w:p w:rsidR="004D528F" w:rsidRDefault="004D528F" w:rsidP="009A26B4">
      <w:pPr>
        <w:pStyle w:val="Heading3"/>
      </w:pPr>
      <w:r>
        <w:t xml:space="preserve">High voltage kVA demand tariff &lt; </w:t>
      </w:r>
      <w:r w:rsidR="00154A42">
        <w:t>4</w:t>
      </w:r>
      <w:r>
        <w:t>00 kVA</w:t>
      </w:r>
    </w:p>
    <w:p w:rsidR="004D528F" w:rsidRDefault="004D528F" w:rsidP="004D528F">
      <w:r w:rsidRPr="00073519">
        <w:t xml:space="preserve">The proposed </w:t>
      </w:r>
      <w:r w:rsidR="00F74C99">
        <w:t>2015/16</w:t>
      </w:r>
      <w:r>
        <w:t xml:space="preserve"> </w:t>
      </w:r>
      <w:r w:rsidRPr="00073519">
        <w:t xml:space="preserve">prices for high voltage </w:t>
      </w:r>
      <w:r>
        <w:t xml:space="preserve">demand tariff &lt; </w:t>
      </w:r>
      <w:r w:rsidR="00154A42">
        <w:t>4</w:t>
      </w:r>
      <w:r>
        <w:t xml:space="preserve">00 kVA </w:t>
      </w:r>
      <w:r w:rsidRPr="00073519">
        <w:t xml:space="preserve">business customers are the same as those for the low voltage equivalent tariff in </w:t>
      </w:r>
      <w:r w:rsidR="00575C9A">
        <w:fldChar w:fldCharType="begin"/>
      </w:r>
      <w:r>
        <w:instrText xml:space="preserve"> REF _Ref133993430 \h </w:instrText>
      </w:r>
      <w:r w:rsidR="00575C9A">
        <w:fldChar w:fldCharType="separate"/>
      </w:r>
      <w:r w:rsidR="00A81AFE" w:rsidRPr="00D737B7">
        <w:t xml:space="preserve">Table </w:t>
      </w:r>
      <w:r w:rsidR="00A81AFE">
        <w:rPr>
          <w:noProof/>
        </w:rPr>
        <w:t>25</w:t>
      </w:r>
      <w:r w:rsidR="00575C9A">
        <w:fldChar w:fldCharType="end"/>
      </w:r>
      <w:r w:rsidRPr="00073519">
        <w:t>.</w:t>
      </w:r>
      <w:r>
        <w:t xml:space="preserve">  </w:t>
      </w:r>
      <w:r w:rsidR="00B43048">
        <w:t xml:space="preserve">  Previously this tariff was used by customers up to 1,000 kVA but the removal of tariff demand minimums has lowered the threshold typically used for this option.</w:t>
      </w:r>
    </w:p>
    <w:p w:rsidR="004D528F" w:rsidRDefault="004D528F" w:rsidP="004D528F"/>
    <w:p w:rsidR="004D528F" w:rsidRDefault="004D528F" w:rsidP="004D528F">
      <w:r>
        <w:t>There is also a variant to this tariff available for any sportsgrounds with significant floodlighting, as discussed in 6.5.3 above.</w:t>
      </w:r>
    </w:p>
    <w:p w:rsidR="004D528F" w:rsidRPr="004D528F" w:rsidRDefault="004D528F" w:rsidP="004D528F">
      <w:pPr>
        <w:rPr>
          <w:lang w:bidi="en-US"/>
        </w:rPr>
      </w:pPr>
    </w:p>
    <w:p w:rsidR="0044594F" w:rsidRPr="00073519" w:rsidRDefault="0044594F" w:rsidP="009A26B4">
      <w:pPr>
        <w:pStyle w:val="Heading3"/>
      </w:pPr>
      <w:r w:rsidRPr="00073519">
        <w:t>High Voltage kVA demand tariff</w:t>
      </w:r>
    </w:p>
    <w:p w:rsidR="0044594F" w:rsidRDefault="00575C9A" w:rsidP="0044594F">
      <w:pPr>
        <w:keepNext/>
      </w:pPr>
      <w:r>
        <w:fldChar w:fldCharType="begin"/>
      </w:r>
      <w:r w:rsidR="0044594F">
        <w:instrText xml:space="preserve"> REF _Ref133996140 \h </w:instrText>
      </w:r>
      <w:r>
        <w:fldChar w:fldCharType="separate"/>
      </w:r>
      <w:r w:rsidR="00A81AFE" w:rsidRPr="005D0096">
        <w:t xml:space="preserve">Table </w:t>
      </w:r>
      <w:r w:rsidR="00A81AFE">
        <w:rPr>
          <w:noProof/>
        </w:rPr>
        <w:t>29</w:t>
      </w:r>
      <w:r>
        <w:fldChar w:fldCharType="end"/>
      </w:r>
      <w:r w:rsidR="0044594F" w:rsidRPr="00073519">
        <w:t xml:space="preserve"> contains the proposed </w:t>
      </w:r>
      <w:r w:rsidR="00F74C99">
        <w:t>2015/16</w:t>
      </w:r>
      <w:r w:rsidR="0044594F">
        <w:t xml:space="preserve"> </w:t>
      </w:r>
      <w:r w:rsidR="0044594F" w:rsidRPr="005D0096">
        <w:t>prices for High Voltage kVA demand business tariff customers.</w:t>
      </w:r>
    </w:p>
    <w:p w:rsidR="00B43048" w:rsidRDefault="00B43048" w:rsidP="00B43048">
      <w:pPr>
        <w:keepNext/>
      </w:pPr>
      <w:r>
        <w:t>The new version of the tariff does not utilise 3 blocks but for comparison purposes with 2014/15 we have shown it as if it did.  The new tariff has a supply charge and a single block covering all of the old tariff’s three blocks.  Peak demand is measured between 12 noon and 9pm on work days between November and March.  There is no minimum level of agreed demand for this tariff from July 2015 (was 1,000 kVA).  The balance between demand and usage charges has been rebalanced this year.</w:t>
      </w:r>
    </w:p>
    <w:p w:rsidR="00997B46" w:rsidRPr="005D0096" w:rsidRDefault="00997B46" w:rsidP="0044594F">
      <w:pPr>
        <w:keepNext/>
      </w:pPr>
    </w:p>
    <w:p w:rsidR="0044594F" w:rsidRPr="00073519" w:rsidRDefault="0044594F" w:rsidP="0044594F">
      <w:pPr>
        <w:pStyle w:val="Caption"/>
        <w:keepNext/>
      </w:pPr>
      <w:bookmarkStart w:id="99" w:name="_Ref133996140"/>
      <w:r w:rsidRPr="005D0096">
        <w:t xml:space="preserve">Table </w:t>
      </w:r>
      <w:r w:rsidR="00924A8F">
        <w:fldChar w:fldCharType="begin"/>
      </w:r>
      <w:r w:rsidR="00924A8F">
        <w:instrText xml:space="preserve"> SEQ Table \* ARABIC </w:instrText>
      </w:r>
      <w:r w:rsidR="00924A8F">
        <w:fldChar w:fldCharType="separate"/>
      </w:r>
      <w:r w:rsidR="00A81AFE">
        <w:rPr>
          <w:noProof/>
        </w:rPr>
        <w:t>29</w:t>
      </w:r>
      <w:r w:rsidR="00924A8F">
        <w:rPr>
          <w:noProof/>
        </w:rPr>
        <w:fldChar w:fldCharType="end"/>
      </w:r>
      <w:bookmarkEnd w:id="99"/>
      <w:r w:rsidRPr="005D0096">
        <w:t xml:space="preserve"> - Proposed </w:t>
      </w:r>
      <w:r w:rsidR="003342B3">
        <w:t>2015/16</w:t>
      </w:r>
      <w:r w:rsidRPr="005D0096">
        <w:t xml:space="preserve"> high voltage business kVA demand tariff</w:t>
      </w:r>
    </w:p>
    <w:p w:rsidR="00997B46" w:rsidRDefault="00E842ED" w:rsidP="0044594F">
      <w:r w:rsidRPr="00E842ED">
        <w:rPr>
          <w:noProof/>
          <w:lang w:val="en-US"/>
        </w:rPr>
        <w:drawing>
          <wp:inline distT="0" distB="0" distL="0" distR="0">
            <wp:extent cx="4905375" cy="1381125"/>
            <wp:effectExtent l="19050" t="0" r="9525"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4905375" cy="1381125"/>
                    </a:xfrm>
                    <a:prstGeom prst="rect">
                      <a:avLst/>
                    </a:prstGeom>
                    <a:noFill/>
                    <a:ln w="9525">
                      <a:noFill/>
                      <a:miter lim="800000"/>
                      <a:headEnd/>
                      <a:tailEnd/>
                    </a:ln>
                  </pic:spPr>
                </pic:pic>
              </a:graphicData>
            </a:graphic>
          </wp:inline>
        </w:drawing>
      </w:r>
    </w:p>
    <w:p w:rsidR="00985A2D" w:rsidRPr="00073519" w:rsidRDefault="00985A2D" w:rsidP="0044594F"/>
    <w:p w:rsidR="0044594F" w:rsidRPr="00073519" w:rsidRDefault="0044594F" w:rsidP="0044594F">
      <w:pPr>
        <w:pStyle w:val="Heading2"/>
        <w:keepLines w:val="0"/>
        <w:numPr>
          <w:ilvl w:val="1"/>
          <w:numId w:val="16"/>
        </w:numPr>
        <w:tabs>
          <w:tab w:val="left" w:pos="851"/>
        </w:tabs>
        <w:spacing w:after="240" w:line="240" w:lineRule="auto"/>
      </w:pPr>
      <w:bookmarkStart w:id="100" w:name="_Toc420009848"/>
      <w:r w:rsidRPr="00073519">
        <w:t>Major Business tariff class</w:t>
      </w:r>
      <w:bookmarkEnd w:id="100"/>
    </w:p>
    <w:p w:rsidR="0044594F" w:rsidRPr="00073519" w:rsidRDefault="0044594F" w:rsidP="009A26B4">
      <w:pPr>
        <w:pStyle w:val="Heading3"/>
      </w:pPr>
      <w:r>
        <w:t>Z</w:t>
      </w:r>
      <w:r w:rsidRPr="00073519">
        <w:t>one substation kVA demand tariff</w:t>
      </w:r>
    </w:p>
    <w:p w:rsidR="0044594F" w:rsidRDefault="00575C9A" w:rsidP="0044594F">
      <w:pPr>
        <w:keepNext/>
      </w:pPr>
      <w:r>
        <w:fldChar w:fldCharType="begin"/>
      </w:r>
      <w:r w:rsidR="0044594F">
        <w:instrText xml:space="preserve"> REF _Ref134000982 \h </w:instrText>
      </w:r>
      <w:r>
        <w:fldChar w:fldCharType="separate"/>
      </w:r>
      <w:r w:rsidR="00A81AFE" w:rsidRPr="005D0096">
        <w:t xml:space="preserve">Table </w:t>
      </w:r>
      <w:r w:rsidR="00A81AFE">
        <w:rPr>
          <w:noProof/>
        </w:rPr>
        <w:t>30</w:t>
      </w:r>
      <w:r>
        <w:fldChar w:fldCharType="end"/>
      </w:r>
      <w:r w:rsidR="0044594F" w:rsidRPr="00073519">
        <w:t xml:space="preserve"> contains the proposed </w:t>
      </w:r>
      <w:r w:rsidR="00F74C99">
        <w:t>2015/16</w:t>
      </w:r>
      <w:r w:rsidR="0044594F">
        <w:t xml:space="preserve"> </w:t>
      </w:r>
      <w:r w:rsidR="0044594F" w:rsidRPr="005D0096">
        <w:t xml:space="preserve">prices for zone substation kVA demand business customers.  </w:t>
      </w:r>
    </w:p>
    <w:p w:rsidR="00997B46" w:rsidRDefault="00B43048" w:rsidP="0044594F">
      <w:pPr>
        <w:keepNext/>
      </w:pPr>
      <w:r>
        <w:t xml:space="preserve">Peak demand is measured between 12 noon and 9pm on work days between November and March.  The minimum level of agreed demand (annual plus additional) for this tariff from July 2015 is 5,000 kVA.  </w:t>
      </w:r>
    </w:p>
    <w:p w:rsidR="00B43048" w:rsidRPr="005D0096" w:rsidRDefault="00B43048" w:rsidP="0044594F">
      <w:pPr>
        <w:keepNext/>
      </w:pPr>
    </w:p>
    <w:p w:rsidR="0044594F" w:rsidRDefault="0044594F" w:rsidP="0044594F">
      <w:pPr>
        <w:pStyle w:val="Caption"/>
        <w:keepNext/>
      </w:pPr>
      <w:bookmarkStart w:id="101" w:name="_Ref134000982"/>
      <w:r w:rsidRPr="005D0096">
        <w:t xml:space="preserve">Table </w:t>
      </w:r>
      <w:r w:rsidR="00924A8F">
        <w:fldChar w:fldCharType="begin"/>
      </w:r>
      <w:r w:rsidR="00924A8F">
        <w:instrText xml:space="preserve"> SEQ Table \* ARABIC </w:instrText>
      </w:r>
      <w:r w:rsidR="00924A8F">
        <w:fldChar w:fldCharType="separate"/>
      </w:r>
      <w:r w:rsidR="00A81AFE">
        <w:rPr>
          <w:noProof/>
        </w:rPr>
        <w:t>30</w:t>
      </w:r>
      <w:r w:rsidR="00924A8F">
        <w:rPr>
          <w:noProof/>
        </w:rPr>
        <w:fldChar w:fldCharType="end"/>
      </w:r>
      <w:bookmarkEnd w:id="101"/>
      <w:r w:rsidRPr="005D0096">
        <w:t xml:space="preserve"> - Proposed </w:t>
      </w:r>
      <w:r w:rsidR="003342B3">
        <w:t>2015/16</w:t>
      </w:r>
      <w:r w:rsidRPr="005D0096">
        <w:t xml:space="preserve"> zone substation kVA demand business tariff</w:t>
      </w:r>
    </w:p>
    <w:p w:rsidR="00041399" w:rsidRDefault="00E842ED" w:rsidP="00041399">
      <w:r w:rsidRPr="00E842ED">
        <w:rPr>
          <w:noProof/>
          <w:lang w:val="en-US"/>
        </w:rPr>
        <w:drawing>
          <wp:inline distT="0" distB="0" distL="0" distR="0">
            <wp:extent cx="4905375" cy="1038225"/>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4905375" cy="1038225"/>
                    </a:xfrm>
                    <a:prstGeom prst="rect">
                      <a:avLst/>
                    </a:prstGeom>
                    <a:noFill/>
                    <a:ln w="9525">
                      <a:noFill/>
                      <a:miter lim="800000"/>
                      <a:headEnd/>
                      <a:tailEnd/>
                    </a:ln>
                  </pic:spPr>
                </pic:pic>
              </a:graphicData>
            </a:graphic>
          </wp:inline>
        </w:drawing>
      </w:r>
    </w:p>
    <w:p w:rsidR="00985A2D" w:rsidRPr="00041399" w:rsidRDefault="00985A2D" w:rsidP="00041399"/>
    <w:p w:rsidR="0044594F" w:rsidRPr="005D0096" w:rsidRDefault="0044594F" w:rsidP="009A26B4">
      <w:pPr>
        <w:pStyle w:val="Heading3"/>
      </w:pPr>
      <w:r>
        <w:t>Z</w:t>
      </w:r>
      <w:r w:rsidRPr="005D0096">
        <w:t>one substation kVA demand locational tariff</w:t>
      </w:r>
    </w:p>
    <w:p w:rsidR="0044594F" w:rsidRDefault="00924A8F" w:rsidP="0044594F">
      <w:pPr>
        <w:keepNext/>
      </w:pPr>
      <w:r>
        <w:fldChar w:fldCharType="begin"/>
      </w:r>
      <w:r>
        <w:instrText xml:space="preserve"> REF _Ref134000549 \h  \* MERGEFORMAT </w:instrText>
      </w:r>
      <w:r>
        <w:fldChar w:fldCharType="separate"/>
      </w:r>
      <w:r w:rsidR="00A81AFE" w:rsidRPr="00073519">
        <w:t xml:space="preserve">Table </w:t>
      </w:r>
      <w:r w:rsidR="00A81AFE">
        <w:rPr>
          <w:noProof/>
        </w:rPr>
        <w:t>31</w:t>
      </w:r>
      <w:r>
        <w:fldChar w:fldCharType="end"/>
      </w:r>
      <w:r w:rsidR="0044594F" w:rsidRPr="005D0096">
        <w:t xml:space="preserve"> contains the proposed </w:t>
      </w:r>
      <w:r w:rsidR="00F74C99">
        <w:t>2015/16</w:t>
      </w:r>
      <w:r w:rsidR="0044594F" w:rsidRPr="005D0096">
        <w:t xml:space="preserve"> prices for zone substation kVA demand locational tariff business customers.</w:t>
      </w:r>
      <w:r w:rsidR="0044594F" w:rsidRPr="00073519">
        <w:t xml:space="preserve">  </w:t>
      </w:r>
      <w:r w:rsidR="00B43048">
        <w:t>The arrangements are the same as the non-locational tariff above in 6.7.1.</w:t>
      </w:r>
    </w:p>
    <w:p w:rsidR="00997B46" w:rsidRPr="00073519" w:rsidRDefault="00997B46" w:rsidP="0044594F">
      <w:pPr>
        <w:keepNext/>
      </w:pPr>
    </w:p>
    <w:p w:rsidR="0044594F" w:rsidRPr="00073519" w:rsidRDefault="0044594F" w:rsidP="0044594F">
      <w:pPr>
        <w:pStyle w:val="Caption"/>
        <w:keepNext/>
      </w:pPr>
      <w:bookmarkStart w:id="102" w:name="_Ref134000549"/>
      <w:r w:rsidRPr="00073519">
        <w:t xml:space="preserve">Table </w:t>
      </w:r>
      <w:r w:rsidR="00924A8F">
        <w:fldChar w:fldCharType="begin"/>
      </w:r>
      <w:r w:rsidR="00924A8F">
        <w:instrText xml:space="preserve"> SEQ Table \* ARABIC </w:instrText>
      </w:r>
      <w:r w:rsidR="00924A8F">
        <w:fldChar w:fldCharType="separate"/>
      </w:r>
      <w:r w:rsidR="00A81AFE">
        <w:rPr>
          <w:noProof/>
        </w:rPr>
        <w:t>31</w:t>
      </w:r>
      <w:r w:rsidR="00924A8F">
        <w:rPr>
          <w:noProof/>
        </w:rPr>
        <w:fldChar w:fldCharType="end"/>
      </w:r>
      <w:bookmarkEnd w:id="102"/>
      <w:r w:rsidRPr="00073519">
        <w:t xml:space="preserve"> - Proposed </w:t>
      </w:r>
      <w:r w:rsidR="003342B3">
        <w:t>2015/16</w:t>
      </w:r>
      <w:r>
        <w:t xml:space="preserve"> </w:t>
      </w:r>
      <w:r w:rsidRPr="00073519">
        <w:t xml:space="preserve">Zone substation kVA demand locational tariff </w:t>
      </w:r>
    </w:p>
    <w:p w:rsidR="00997B46" w:rsidRDefault="00E842ED" w:rsidP="0044594F">
      <w:r w:rsidRPr="00E842ED">
        <w:rPr>
          <w:noProof/>
          <w:lang w:val="en-US"/>
        </w:rPr>
        <w:drawing>
          <wp:inline distT="0" distB="0" distL="0" distR="0">
            <wp:extent cx="4905375" cy="1038225"/>
            <wp:effectExtent l="1905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4905375" cy="1038225"/>
                    </a:xfrm>
                    <a:prstGeom prst="rect">
                      <a:avLst/>
                    </a:prstGeom>
                    <a:noFill/>
                    <a:ln w="9525">
                      <a:noFill/>
                      <a:miter lim="800000"/>
                      <a:headEnd/>
                      <a:tailEnd/>
                    </a:ln>
                  </pic:spPr>
                </pic:pic>
              </a:graphicData>
            </a:graphic>
          </wp:inline>
        </w:drawing>
      </w:r>
    </w:p>
    <w:p w:rsidR="00041399" w:rsidRPr="00073519" w:rsidRDefault="00041399" w:rsidP="0044594F"/>
    <w:p w:rsidR="00985A2D" w:rsidRPr="00073519" w:rsidRDefault="00985A2D" w:rsidP="00985A2D">
      <w:pPr>
        <w:pStyle w:val="Heading3"/>
      </w:pPr>
      <w:r w:rsidRPr="00073519">
        <w:t>Subtransmission kVA demand tariff</w:t>
      </w:r>
    </w:p>
    <w:p w:rsidR="00B43048" w:rsidRDefault="00924A8F" w:rsidP="00B43048">
      <w:pPr>
        <w:keepNext/>
      </w:pPr>
      <w:r>
        <w:fldChar w:fldCharType="begin"/>
      </w:r>
      <w:r>
        <w:instrText xml:space="preserve"> REF _Ref134000197 \h  \* MERGEFORMAT </w:instrText>
      </w:r>
      <w:r>
        <w:fldChar w:fldCharType="separate"/>
      </w:r>
      <w:r w:rsidR="00A81AFE" w:rsidRPr="00B43048">
        <w:t xml:space="preserve">Table </w:t>
      </w:r>
      <w:r w:rsidR="00A81AFE">
        <w:rPr>
          <w:noProof/>
        </w:rPr>
        <w:t>33</w:t>
      </w:r>
      <w:r>
        <w:fldChar w:fldCharType="end"/>
      </w:r>
      <w:r w:rsidR="00985A2D" w:rsidRPr="00B43048">
        <w:t xml:space="preserve"> contains the proposed </w:t>
      </w:r>
      <w:r w:rsidR="00F74C99" w:rsidRPr="00B43048">
        <w:t>2015/16</w:t>
      </w:r>
      <w:r w:rsidR="00985A2D" w:rsidRPr="00B43048">
        <w:t xml:space="preserve"> prices for subtransmission kVA demand business</w:t>
      </w:r>
      <w:r w:rsidR="00985A2D" w:rsidRPr="005D0096">
        <w:t xml:space="preserve"> customers.  </w:t>
      </w:r>
      <w:r w:rsidR="00985A2D">
        <w:t>It is used by those customers connected at sub-transmission that have not had a locational tariff defined for them.</w:t>
      </w:r>
      <w:r w:rsidR="00B43048">
        <w:t xml:space="preserve">  Peak demand is measured between 12 noon and 9pm on work days between November and March.  The minimum level of agreed demand (annual plus additional) for this tariff from July 2015 is 5,000 kVA (was 10,000 kVA).  </w:t>
      </w:r>
    </w:p>
    <w:p w:rsidR="00985A2D" w:rsidRPr="005D0096" w:rsidRDefault="00985A2D" w:rsidP="00985A2D">
      <w:pPr>
        <w:keepNext/>
      </w:pPr>
    </w:p>
    <w:p w:rsidR="00985A2D" w:rsidRDefault="00985A2D" w:rsidP="00985A2D">
      <w:pPr>
        <w:pStyle w:val="Caption"/>
        <w:keepNext/>
      </w:pPr>
      <w:r w:rsidRPr="005D0096">
        <w:t xml:space="preserve">Table </w:t>
      </w:r>
      <w:r w:rsidR="00924A8F">
        <w:fldChar w:fldCharType="begin"/>
      </w:r>
      <w:r w:rsidR="00924A8F">
        <w:instrText xml:space="preserve"> SEQ Table \* ARABIC </w:instrText>
      </w:r>
      <w:r w:rsidR="00924A8F">
        <w:fldChar w:fldCharType="separate"/>
      </w:r>
      <w:r w:rsidR="00A81AFE">
        <w:rPr>
          <w:noProof/>
        </w:rPr>
        <w:t>33</w:t>
      </w:r>
      <w:r w:rsidR="00924A8F">
        <w:rPr>
          <w:noProof/>
        </w:rPr>
        <w:fldChar w:fldCharType="end"/>
      </w:r>
      <w:r w:rsidRPr="005D0096">
        <w:t xml:space="preserve"> - Proposed </w:t>
      </w:r>
      <w:r w:rsidR="003342B3">
        <w:t>2015/16</w:t>
      </w:r>
      <w:r w:rsidRPr="005D0096">
        <w:t xml:space="preserve"> Subtransmission kVA demand tariff</w:t>
      </w:r>
    </w:p>
    <w:p w:rsidR="00985A2D" w:rsidRPr="00985A2D" w:rsidRDefault="00E842ED" w:rsidP="00985A2D">
      <w:r w:rsidRPr="00E842ED">
        <w:rPr>
          <w:noProof/>
          <w:lang w:val="en-US"/>
        </w:rPr>
        <w:drawing>
          <wp:inline distT="0" distB="0" distL="0" distR="0">
            <wp:extent cx="4905375" cy="1038225"/>
            <wp:effectExtent l="19050" t="0" r="9525"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4905375" cy="1038225"/>
                    </a:xfrm>
                    <a:prstGeom prst="rect">
                      <a:avLst/>
                    </a:prstGeom>
                    <a:noFill/>
                    <a:ln w="9525">
                      <a:noFill/>
                      <a:miter lim="800000"/>
                      <a:headEnd/>
                      <a:tailEnd/>
                    </a:ln>
                  </pic:spPr>
                </pic:pic>
              </a:graphicData>
            </a:graphic>
          </wp:inline>
        </w:drawing>
      </w:r>
    </w:p>
    <w:p w:rsidR="00985A2D" w:rsidRPr="00985A2D" w:rsidRDefault="00985A2D" w:rsidP="00985A2D">
      <w:pPr>
        <w:rPr>
          <w:lang w:bidi="en-US"/>
        </w:rPr>
      </w:pPr>
    </w:p>
    <w:p w:rsidR="0044594F" w:rsidRPr="00B43048" w:rsidRDefault="0044594F" w:rsidP="009A26B4">
      <w:pPr>
        <w:pStyle w:val="Heading3"/>
      </w:pPr>
      <w:r w:rsidRPr="00B43048">
        <w:t>Subtransmission kVA demand locational tariff</w:t>
      </w:r>
    </w:p>
    <w:p w:rsidR="0044594F" w:rsidRPr="00896284" w:rsidRDefault="00924A8F" w:rsidP="0044594F">
      <w:pPr>
        <w:keepNext/>
        <w:rPr>
          <w:highlight w:val="yellow"/>
        </w:rPr>
      </w:pPr>
      <w:r>
        <w:fldChar w:fldCharType="begin"/>
      </w:r>
      <w:r>
        <w:instrText xml:space="preserve"> REF _Ref134000197 \h  \* MERGEFORMAT </w:instrText>
      </w:r>
      <w:r>
        <w:fldChar w:fldCharType="separate"/>
      </w:r>
      <w:r w:rsidR="00A81AFE" w:rsidRPr="00B43048">
        <w:t xml:space="preserve">Table </w:t>
      </w:r>
      <w:r w:rsidR="00A81AFE">
        <w:rPr>
          <w:noProof/>
        </w:rPr>
        <w:t>33</w:t>
      </w:r>
      <w:r>
        <w:fldChar w:fldCharType="end"/>
      </w:r>
      <w:r w:rsidR="0044594F" w:rsidRPr="00B43048">
        <w:t xml:space="preserve"> contains the proposed </w:t>
      </w:r>
      <w:r w:rsidR="00F74C99" w:rsidRPr="00B43048">
        <w:t>2015/16</w:t>
      </w:r>
      <w:r w:rsidR="0044594F" w:rsidRPr="00B43048">
        <w:t xml:space="preserve"> prices for subtransmission kVA demand locational tariff business customers.  </w:t>
      </w:r>
      <w:r w:rsidR="00B43048" w:rsidRPr="00B43048">
        <w:t>The</w:t>
      </w:r>
      <w:r w:rsidR="00B43048">
        <w:t xml:space="preserve"> arrangements are the same as the non-locational tariff above in 6.7.3.</w:t>
      </w:r>
    </w:p>
    <w:p w:rsidR="00997B46" w:rsidRPr="00896284" w:rsidRDefault="00997B46" w:rsidP="0044594F">
      <w:pPr>
        <w:keepNext/>
        <w:rPr>
          <w:highlight w:val="yellow"/>
        </w:rPr>
      </w:pPr>
    </w:p>
    <w:p w:rsidR="0044594F" w:rsidRDefault="0044594F" w:rsidP="0044594F">
      <w:pPr>
        <w:pStyle w:val="Caption"/>
        <w:keepNext/>
      </w:pPr>
      <w:bookmarkStart w:id="103" w:name="_Ref134000197"/>
      <w:r w:rsidRPr="00B43048">
        <w:t xml:space="preserve">Table </w:t>
      </w:r>
      <w:r w:rsidR="00575C9A" w:rsidRPr="00B43048">
        <w:fldChar w:fldCharType="begin"/>
      </w:r>
      <w:r w:rsidR="009077FB" w:rsidRPr="00B43048">
        <w:instrText xml:space="preserve"> SEQ Table \* ARABIC </w:instrText>
      </w:r>
      <w:r w:rsidR="00575C9A" w:rsidRPr="00B43048">
        <w:fldChar w:fldCharType="separate"/>
      </w:r>
      <w:r w:rsidR="00A81AFE">
        <w:rPr>
          <w:noProof/>
        </w:rPr>
        <w:t>33</w:t>
      </w:r>
      <w:r w:rsidR="00575C9A" w:rsidRPr="00B43048">
        <w:fldChar w:fldCharType="end"/>
      </w:r>
      <w:bookmarkEnd w:id="103"/>
      <w:r w:rsidRPr="00B43048">
        <w:t xml:space="preserve"> - Proposed </w:t>
      </w:r>
      <w:r w:rsidR="003342B3" w:rsidRPr="00B43048">
        <w:t>2015/16</w:t>
      </w:r>
      <w:r w:rsidRPr="00B43048">
        <w:t xml:space="preserve"> Subtransmission kVA demand locational tariff</w:t>
      </w:r>
    </w:p>
    <w:p w:rsidR="00B43048" w:rsidRPr="00985A2D" w:rsidRDefault="00E842ED" w:rsidP="00B43048">
      <w:bookmarkStart w:id="104" w:name="_Ref133921593"/>
      <w:r w:rsidRPr="00E842ED">
        <w:rPr>
          <w:noProof/>
          <w:lang w:val="en-US"/>
        </w:rPr>
        <w:drawing>
          <wp:inline distT="0" distB="0" distL="0" distR="0">
            <wp:extent cx="4905375" cy="10382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4905375" cy="1038225"/>
                    </a:xfrm>
                    <a:prstGeom prst="rect">
                      <a:avLst/>
                    </a:prstGeom>
                    <a:noFill/>
                    <a:ln w="9525">
                      <a:noFill/>
                      <a:miter lim="800000"/>
                      <a:headEnd/>
                      <a:tailEnd/>
                    </a:ln>
                  </pic:spPr>
                </pic:pic>
              </a:graphicData>
            </a:graphic>
          </wp:inline>
        </w:drawing>
      </w:r>
    </w:p>
    <w:p w:rsidR="0044594F" w:rsidRPr="004A4098" w:rsidRDefault="0044594F" w:rsidP="0044594F">
      <w:pPr>
        <w:pStyle w:val="Heading1"/>
        <w:pageBreakBefore/>
        <w:numPr>
          <w:ilvl w:val="0"/>
          <w:numId w:val="16"/>
        </w:numPr>
        <w:tabs>
          <w:tab w:val="left" w:pos="851"/>
        </w:tabs>
        <w:spacing w:after="240" w:line="240" w:lineRule="auto"/>
      </w:pPr>
      <w:bookmarkStart w:id="105" w:name="_Toc420009849"/>
      <w:r w:rsidRPr="00927302">
        <w:t xml:space="preserve">Customer </w:t>
      </w:r>
      <w:r w:rsidRPr="004A4098">
        <w:t>Impacts</w:t>
      </w:r>
      <w:bookmarkEnd w:id="104"/>
      <w:bookmarkEnd w:id="105"/>
    </w:p>
    <w:p w:rsidR="0044594F" w:rsidRPr="00927302" w:rsidRDefault="0044594F" w:rsidP="0044594F">
      <w:pPr>
        <w:keepNext/>
        <w:spacing w:after="120"/>
      </w:pPr>
      <w:r w:rsidRPr="004A4098">
        <w:t xml:space="preserve">In this </w:t>
      </w:r>
      <w:r w:rsidR="000B7F94">
        <w:t>Section</w:t>
      </w:r>
      <w:r w:rsidRPr="004A4098">
        <w:t xml:space="preserve">, customer impacts are calculated for the individual components and the total of </w:t>
      </w:r>
      <w:r>
        <w:t>the</w:t>
      </w:r>
      <w:r w:rsidRPr="004A4098">
        <w:t xml:space="preserve"> proposed bundled NUoS tariffs.  The use of these network tariffs results in customer impacts that include th</w:t>
      </w:r>
      <w:r w:rsidRPr="00927302">
        <w:t>e following components:</w:t>
      </w:r>
    </w:p>
    <w:p w:rsidR="0044594F" w:rsidRDefault="0044594F" w:rsidP="0044594F">
      <w:pPr>
        <w:pStyle w:val="ListParagraph"/>
        <w:numPr>
          <w:ilvl w:val="0"/>
          <w:numId w:val="23"/>
        </w:numPr>
        <w:tabs>
          <w:tab w:val="left" w:pos="709"/>
        </w:tabs>
        <w:spacing w:after="120" w:line="240" w:lineRule="auto"/>
        <w:ind w:left="709" w:hanging="425"/>
        <w:contextualSpacing w:val="0"/>
      </w:pPr>
      <w:r w:rsidRPr="00927302">
        <w:t xml:space="preserve">DUoS charges, for </w:t>
      </w:r>
      <w:r w:rsidR="00EA36E3">
        <w:t>SA Power Networks</w:t>
      </w:r>
      <w:r w:rsidRPr="00927302">
        <w:t>’ standard control services;</w:t>
      </w:r>
    </w:p>
    <w:p w:rsidR="006B15BE" w:rsidRPr="00927302" w:rsidRDefault="003D7390" w:rsidP="0044594F">
      <w:pPr>
        <w:pStyle w:val="ListParagraph"/>
        <w:numPr>
          <w:ilvl w:val="0"/>
          <w:numId w:val="23"/>
        </w:numPr>
        <w:tabs>
          <w:tab w:val="left" w:pos="709"/>
        </w:tabs>
        <w:spacing w:after="120" w:line="240" w:lineRule="auto"/>
        <w:ind w:left="709" w:hanging="425"/>
        <w:contextualSpacing w:val="0"/>
      </w:pPr>
      <w:r>
        <w:t>Vegetation Management</w:t>
      </w:r>
      <w:r w:rsidR="006B15BE">
        <w:t xml:space="preserve"> passthrough</w:t>
      </w:r>
      <w:r w:rsidR="00B43048">
        <w:t xml:space="preserve"> (2014/15)</w:t>
      </w:r>
      <w:r w:rsidR="006B15BE">
        <w:t xml:space="preserve">, to recover the additional costs </w:t>
      </w:r>
      <w:r w:rsidR="00EA36E3">
        <w:t>SA Power Networks</w:t>
      </w:r>
      <w:r w:rsidR="006B15BE">
        <w:t>’ incurred in  meeting vegetation clearance statutory obligations over and above that provided under standard control services</w:t>
      </w:r>
      <w:r w:rsidR="00B43048">
        <w:t>.  For simplicity, this has been included with DUoS charges</w:t>
      </w:r>
      <w:r w:rsidR="006B15BE">
        <w:t>;</w:t>
      </w:r>
    </w:p>
    <w:p w:rsidR="0044594F" w:rsidRDefault="0044594F" w:rsidP="0044594F">
      <w:pPr>
        <w:pStyle w:val="ListParagraph"/>
        <w:numPr>
          <w:ilvl w:val="0"/>
          <w:numId w:val="23"/>
        </w:numPr>
        <w:tabs>
          <w:tab w:val="left" w:pos="709"/>
        </w:tabs>
        <w:spacing w:after="120" w:line="240" w:lineRule="auto"/>
        <w:ind w:left="709" w:hanging="425"/>
        <w:contextualSpacing w:val="0"/>
      </w:pPr>
      <w:r w:rsidRPr="00927302">
        <w:t>Transmission cost recovery tariffs, to recover costs associated with ElectraNet’s standard control services and</w:t>
      </w:r>
      <w:r w:rsidR="006B15BE">
        <w:t xml:space="preserve"> any</w:t>
      </w:r>
      <w:r w:rsidRPr="00927302">
        <w:t xml:space="preserve"> avoided TUoS payments made by </w:t>
      </w:r>
      <w:r w:rsidR="00EA36E3">
        <w:t>SA Power Networks</w:t>
      </w:r>
      <w:r w:rsidRPr="00927302">
        <w:t xml:space="preserve"> to embedded generators</w:t>
      </w:r>
      <w:r>
        <w:t>; and</w:t>
      </w:r>
    </w:p>
    <w:p w:rsidR="0044594F" w:rsidRPr="00927302" w:rsidRDefault="0044594F" w:rsidP="0044594F">
      <w:pPr>
        <w:pStyle w:val="ListParagraph"/>
        <w:numPr>
          <w:ilvl w:val="0"/>
          <w:numId w:val="23"/>
        </w:numPr>
        <w:tabs>
          <w:tab w:val="left" w:pos="709"/>
        </w:tabs>
        <w:spacing w:after="240" w:line="240" w:lineRule="auto"/>
        <w:ind w:left="709" w:hanging="425"/>
        <w:contextualSpacing w:val="0"/>
      </w:pPr>
      <w:r>
        <w:t xml:space="preserve">The PV Jurisdictional Scheme Amount, which recovers the cost of payments made by </w:t>
      </w:r>
      <w:r w:rsidR="00EA36E3">
        <w:t>SA Power Networks</w:t>
      </w:r>
      <w:r>
        <w:t xml:space="preserve"> for SA Government Feed-in Tariffs to customers with solar PV generators</w:t>
      </w:r>
      <w:r w:rsidRPr="00927302">
        <w:t>.</w:t>
      </w:r>
    </w:p>
    <w:p w:rsidR="00B43048" w:rsidRPr="00927302" w:rsidRDefault="0044594F" w:rsidP="00B43048">
      <w:r w:rsidRPr="00927302">
        <w:t xml:space="preserve">All of the customer </w:t>
      </w:r>
      <w:r w:rsidR="004F3FCD" w:rsidRPr="00927302">
        <w:t xml:space="preserve">impact presented in this </w:t>
      </w:r>
      <w:r w:rsidR="004F3FCD">
        <w:t>Section</w:t>
      </w:r>
      <w:r w:rsidR="004F3FCD" w:rsidRPr="00927302">
        <w:t xml:space="preserve"> is</w:t>
      </w:r>
      <w:r w:rsidRPr="00927302">
        <w:t xml:space="preserve"> GST exclusive.</w:t>
      </w:r>
      <w:r w:rsidR="00B43048" w:rsidRPr="00B43048">
        <w:t xml:space="preserve"> </w:t>
      </w:r>
      <w:r w:rsidR="00B43048" w:rsidRPr="00927302">
        <w:t xml:space="preserve">Metering charges for </w:t>
      </w:r>
      <w:r w:rsidR="00EA36E3">
        <w:t>SA Power Networks</w:t>
      </w:r>
      <w:r w:rsidR="00B43048" w:rsidRPr="00927302">
        <w:t>’ a</w:t>
      </w:r>
      <w:r w:rsidR="00B43048">
        <w:t>lternative control services</w:t>
      </w:r>
      <w:r w:rsidR="004F3FCD">
        <w:t xml:space="preserve"> may also apply, but are not included in this analysis.</w:t>
      </w:r>
    </w:p>
    <w:p w:rsidR="00997B46" w:rsidRPr="00927302" w:rsidRDefault="00997B46" w:rsidP="0044594F"/>
    <w:p w:rsidR="0044594F" w:rsidRDefault="0044594F" w:rsidP="0044594F">
      <w:r w:rsidRPr="00927302">
        <w:t xml:space="preserve">The price changes for individual tariffs have been calculated on the basis </w:t>
      </w:r>
      <w:r w:rsidR="007B2E98">
        <w:t xml:space="preserve">of </w:t>
      </w:r>
      <w:r w:rsidRPr="00927302">
        <w:t>customer consumption volume levels</w:t>
      </w:r>
      <w:r>
        <w:t>, for the 12 months to March 20</w:t>
      </w:r>
      <w:r w:rsidR="00F74C99">
        <w:t>15</w:t>
      </w:r>
      <w:r>
        <w:t>.</w:t>
      </w:r>
      <w:r w:rsidR="007B2E98">
        <w:t xml:space="preserve">This will be a reasonable proxy for likely </w:t>
      </w:r>
      <w:r w:rsidR="00F74C99">
        <w:t>2015/16</w:t>
      </w:r>
      <w:r w:rsidR="007B2E98">
        <w:t xml:space="preserve"> usage patterns.</w:t>
      </w:r>
      <w:r>
        <w:t xml:space="preserve"> </w:t>
      </w:r>
      <w:r w:rsidRPr="00927302">
        <w:t xml:space="preserve"> Where the number of customers on a tariff is sufficient, the distribution of price impacts has been presented.</w:t>
      </w:r>
    </w:p>
    <w:p w:rsidR="00997B46" w:rsidRPr="00927302" w:rsidRDefault="00997B46" w:rsidP="0044594F"/>
    <w:p w:rsidR="0044594F" w:rsidRPr="00927302" w:rsidRDefault="0044594F" w:rsidP="0044594F">
      <w:pPr>
        <w:pStyle w:val="Heading2"/>
        <w:keepLines w:val="0"/>
        <w:numPr>
          <w:ilvl w:val="1"/>
          <w:numId w:val="16"/>
        </w:numPr>
        <w:tabs>
          <w:tab w:val="left" w:pos="851"/>
        </w:tabs>
        <w:spacing w:after="240" w:line="240" w:lineRule="auto"/>
      </w:pPr>
      <w:bookmarkStart w:id="106" w:name="_Toc420009850"/>
      <w:r w:rsidRPr="00927302">
        <w:t>Regulatory Requirements</w:t>
      </w:r>
      <w:bookmarkEnd w:id="106"/>
    </w:p>
    <w:p w:rsidR="0044594F" w:rsidRPr="00927302" w:rsidRDefault="0044594F" w:rsidP="009A26B4">
      <w:pPr>
        <w:pStyle w:val="Heading3"/>
      </w:pPr>
      <w:r w:rsidRPr="00927302">
        <w:t>Rules requirements</w:t>
      </w:r>
    </w:p>
    <w:p w:rsidR="0044594F" w:rsidRDefault="0044594F" w:rsidP="0044594F">
      <w:pPr>
        <w:keepNext/>
        <w:spacing w:after="120"/>
      </w:pPr>
      <w:r w:rsidRPr="00927302">
        <w:t xml:space="preserve">Rules clause 6.18.2 imposes a requirement for the Pricing Proposal to set out the nature of variations </w:t>
      </w:r>
      <w:r>
        <w:t>that</w:t>
      </w:r>
      <w:r w:rsidRPr="00927302">
        <w:t xml:space="preserve"> may take place during </w:t>
      </w:r>
      <w:r w:rsidR="00F74C99">
        <w:t>2015/16</w:t>
      </w:r>
      <w:r w:rsidRPr="00927302">
        <w:t>.</w:t>
      </w:r>
    </w:p>
    <w:p w:rsidR="00997B46" w:rsidRPr="00927302" w:rsidRDefault="00997B46" w:rsidP="00997B46">
      <w:pPr>
        <w:keepNext/>
        <w:spacing w:line="240" w:lineRule="auto"/>
      </w:pP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6.18.2 </w:t>
      </w:r>
      <w:r w:rsidRPr="00927302">
        <w:rPr>
          <w:rFonts w:cs="Arial-BoldMT"/>
          <w:b/>
          <w:bCs/>
          <w:szCs w:val="23"/>
        </w:rPr>
        <w:tab/>
        <w:t>Pricing proposals</w:t>
      </w:r>
    </w:p>
    <w:p w:rsidR="0044594F" w:rsidRPr="00927302" w:rsidRDefault="0044594F" w:rsidP="0044594F">
      <w:pPr>
        <w:tabs>
          <w:tab w:val="left" w:pos="568"/>
        </w:tabs>
        <w:spacing w:after="120"/>
        <w:ind w:left="567" w:hanging="567"/>
      </w:pPr>
      <w:r w:rsidRPr="00927302">
        <w:rPr>
          <w:rFonts w:cs="TimesNewRomanPSMT"/>
          <w:szCs w:val="23"/>
          <w:lang w:val="en-US"/>
        </w:rPr>
        <w:t xml:space="preserve"> (b) </w:t>
      </w:r>
      <w:r w:rsidRPr="00927302">
        <w:rPr>
          <w:rFonts w:cs="TimesNewRomanPSMT"/>
          <w:szCs w:val="23"/>
          <w:lang w:val="en-US"/>
        </w:rPr>
        <w:tab/>
        <w:t xml:space="preserve">A </w:t>
      </w:r>
      <w:r w:rsidRPr="00927302">
        <w:rPr>
          <w:rFonts w:cs="TimesNewRomanPSMT"/>
          <w:i/>
          <w:iCs/>
          <w:szCs w:val="23"/>
          <w:lang w:val="en-US"/>
        </w:rPr>
        <w:t xml:space="preserve">pricing proposal </w:t>
      </w:r>
      <w:r w:rsidRPr="00927302">
        <w:rPr>
          <w:rFonts w:cs="TimesNewRomanPSMT"/>
          <w:szCs w:val="23"/>
          <w:lang w:val="en-US"/>
        </w:rPr>
        <w:t>must:</w:t>
      </w:r>
    </w:p>
    <w:p w:rsidR="0044594F" w:rsidRPr="00927302" w:rsidRDefault="0044594F" w:rsidP="0044594F">
      <w:pPr>
        <w:tabs>
          <w:tab w:val="left" w:pos="1136"/>
        </w:tabs>
        <w:ind w:left="1134" w:hanging="567"/>
      </w:pPr>
      <w:r w:rsidRPr="00927302">
        <w:rPr>
          <w:rFonts w:cs="font38"/>
          <w:szCs w:val="23"/>
          <w:lang w:val="en-US"/>
        </w:rPr>
        <w:t xml:space="preserve"> (5) </w:t>
      </w:r>
      <w:r w:rsidRPr="00927302">
        <w:rPr>
          <w:rFonts w:cs="font38"/>
          <w:szCs w:val="23"/>
          <w:lang w:val="en-US"/>
        </w:rPr>
        <w:tab/>
        <w:t xml:space="preserve">set out the nature of any variation or adjustment to the tariff that could occur during the course of the </w:t>
      </w:r>
      <w:r w:rsidRPr="00927302">
        <w:rPr>
          <w:rFonts w:cs="font38"/>
          <w:i/>
          <w:iCs/>
          <w:szCs w:val="23"/>
          <w:lang w:val="en-US"/>
        </w:rPr>
        <w:t xml:space="preserve">regulatory year </w:t>
      </w:r>
      <w:r w:rsidRPr="00927302">
        <w:rPr>
          <w:rFonts w:cs="font38"/>
          <w:szCs w:val="23"/>
          <w:lang w:val="en-US"/>
        </w:rPr>
        <w:t xml:space="preserve">and the basis on which it could occur; </w:t>
      </w:r>
    </w:p>
    <w:p w:rsidR="0044594F" w:rsidRPr="00927302" w:rsidRDefault="0044594F" w:rsidP="0044594F">
      <w:pPr>
        <w:keepNext/>
        <w:spacing w:after="120"/>
      </w:pPr>
      <w:r w:rsidRPr="00F74C99">
        <w:t xml:space="preserve">Clause 6.18.9 requires the publication of price trends over the </w:t>
      </w:r>
      <w:r w:rsidR="00F74C99">
        <w:t>2015-20</w:t>
      </w:r>
      <w:r w:rsidRPr="00F74C99">
        <w:t xml:space="preserve"> regulatory control period and the reasons for expected variations.</w:t>
      </w: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6.18.9 </w:t>
      </w:r>
      <w:r w:rsidRPr="00927302">
        <w:rPr>
          <w:rFonts w:cs="Arial-BoldMT"/>
          <w:b/>
          <w:bCs/>
          <w:szCs w:val="23"/>
        </w:rPr>
        <w:tab/>
        <w:t>Publication of information about tariffs and tariff classes</w:t>
      </w:r>
    </w:p>
    <w:p w:rsidR="0044594F" w:rsidRPr="00927302" w:rsidRDefault="0044594F" w:rsidP="0044594F">
      <w:pPr>
        <w:tabs>
          <w:tab w:val="left" w:pos="568"/>
        </w:tabs>
        <w:spacing w:after="120"/>
        <w:ind w:left="567" w:hanging="567"/>
        <w:rPr>
          <w:rFonts w:cs="Arial-BoldMT"/>
          <w:szCs w:val="23"/>
          <w:lang w:val="en-US"/>
        </w:rPr>
      </w:pPr>
      <w:r w:rsidRPr="00927302">
        <w:rPr>
          <w:rFonts w:cs="Arial-BoldMT"/>
          <w:szCs w:val="23"/>
          <w:lang w:val="en-US"/>
        </w:rPr>
        <w:t xml:space="preserve">(a) </w:t>
      </w:r>
      <w:r w:rsidRPr="00927302">
        <w:rPr>
          <w:rFonts w:cs="Arial-BoldMT"/>
          <w:szCs w:val="23"/>
          <w:lang w:val="en-US"/>
        </w:rPr>
        <w:tab/>
        <w:t xml:space="preserve">A </w:t>
      </w:r>
      <w:r w:rsidRPr="00927302">
        <w:rPr>
          <w:rFonts w:cs="Arial-BoldMT"/>
          <w:i/>
          <w:iCs/>
          <w:szCs w:val="23"/>
          <w:lang w:val="en-US"/>
        </w:rPr>
        <w:t xml:space="preserve">Distribution Network Service Provider </w:t>
      </w:r>
      <w:r w:rsidRPr="00927302">
        <w:rPr>
          <w:rFonts w:cs="Arial-BoldMT"/>
          <w:szCs w:val="23"/>
          <w:lang w:val="en-US"/>
        </w:rPr>
        <w:t>must maintain on its website:</w:t>
      </w:r>
    </w:p>
    <w:p w:rsidR="0044594F" w:rsidRPr="00927302" w:rsidRDefault="0044594F" w:rsidP="0044594F">
      <w:pPr>
        <w:tabs>
          <w:tab w:val="left" w:pos="1136"/>
        </w:tabs>
        <w:ind w:left="1134" w:hanging="567"/>
        <w:rPr>
          <w:rFonts w:cs="Arial-BoldMT"/>
          <w:szCs w:val="23"/>
          <w:lang w:val="en-US"/>
        </w:rPr>
      </w:pPr>
      <w:r w:rsidRPr="00927302">
        <w:rPr>
          <w:rFonts w:cs="Arial-BoldMT"/>
          <w:szCs w:val="23"/>
          <w:lang w:val="en-US"/>
        </w:rPr>
        <w:t xml:space="preserve">(3) </w:t>
      </w:r>
      <w:r w:rsidRPr="00927302">
        <w:rPr>
          <w:rFonts w:cs="Arial-BoldMT"/>
          <w:szCs w:val="23"/>
          <w:lang w:val="en-US"/>
        </w:rPr>
        <w:tab/>
        <w:t xml:space="preserve">a statement of expected price trends (to be updated for each </w:t>
      </w:r>
      <w:r w:rsidRPr="00927302">
        <w:rPr>
          <w:rFonts w:cs="Arial-BoldMT"/>
          <w:i/>
          <w:iCs/>
          <w:szCs w:val="23"/>
          <w:lang w:val="en-US"/>
        </w:rPr>
        <w:t>regulatory year</w:t>
      </w:r>
      <w:r w:rsidRPr="00927302">
        <w:rPr>
          <w:rFonts w:cs="Arial-BoldMT"/>
          <w:szCs w:val="23"/>
          <w:lang w:val="en-US"/>
        </w:rPr>
        <w:t xml:space="preserve">) giving an indication of how the </w:t>
      </w:r>
      <w:r w:rsidRPr="00927302">
        <w:rPr>
          <w:rFonts w:cs="Arial-BoldMT"/>
          <w:i/>
          <w:iCs/>
          <w:szCs w:val="23"/>
          <w:lang w:val="en-US"/>
        </w:rPr>
        <w:t xml:space="preserve">Distribution Network Service Provider </w:t>
      </w:r>
      <w:r w:rsidRPr="00927302">
        <w:rPr>
          <w:rFonts w:cs="Arial-BoldMT"/>
          <w:szCs w:val="23"/>
          <w:lang w:val="en-US"/>
        </w:rPr>
        <w:t xml:space="preserve">expects prices to change over the </w:t>
      </w:r>
      <w:r w:rsidRPr="00927302">
        <w:rPr>
          <w:rFonts w:cs="Arial-BoldMT"/>
          <w:i/>
          <w:iCs/>
          <w:szCs w:val="23"/>
          <w:lang w:val="en-US"/>
        </w:rPr>
        <w:t xml:space="preserve">regulatory control period </w:t>
      </w:r>
      <w:r w:rsidRPr="00927302">
        <w:rPr>
          <w:rFonts w:cs="Arial-BoldMT"/>
          <w:szCs w:val="23"/>
          <w:lang w:val="en-US"/>
        </w:rPr>
        <w:t>and the reasons for the expected changes.</w:t>
      </w:r>
    </w:p>
    <w:p w:rsidR="00997B46" w:rsidRPr="00927302" w:rsidRDefault="00997B46" w:rsidP="0044594F">
      <w:pPr>
        <w:tabs>
          <w:tab w:val="left" w:pos="568"/>
        </w:tabs>
        <w:ind w:left="1134" w:hanging="567"/>
      </w:pPr>
    </w:p>
    <w:p w:rsidR="0044594F" w:rsidRPr="00A82EA6" w:rsidRDefault="0044594F" w:rsidP="0044594F">
      <w:pPr>
        <w:pStyle w:val="Heading2"/>
        <w:keepLines w:val="0"/>
        <w:numPr>
          <w:ilvl w:val="1"/>
          <w:numId w:val="16"/>
        </w:numPr>
        <w:tabs>
          <w:tab w:val="left" w:pos="851"/>
        </w:tabs>
        <w:spacing w:after="240" w:line="240" w:lineRule="auto"/>
      </w:pPr>
      <w:bookmarkStart w:id="107" w:name="_Toc420009851"/>
      <w:r w:rsidRPr="00A82EA6">
        <w:t>Overall price trends during the 201</w:t>
      </w:r>
      <w:r w:rsidR="003E6D81">
        <w:t>5</w:t>
      </w:r>
      <w:r w:rsidRPr="00A82EA6">
        <w:noBreakHyphen/>
      </w:r>
      <w:r w:rsidR="003E6D81">
        <w:t>20</w:t>
      </w:r>
      <w:r w:rsidRPr="00A82EA6">
        <w:t xml:space="preserve"> regulatory control period</w:t>
      </w:r>
      <w:bookmarkEnd w:id="107"/>
    </w:p>
    <w:p w:rsidR="0044594F" w:rsidRPr="00A82EA6" w:rsidRDefault="0044594F" w:rsidP="0044594F">
      <w:pPr>
        <w:keepNext/>
        <w:spacing w:after="120"/>
      </w:pPr>
      <w:r w:rsidRPr="00A82EA6">
        <w:t>The expected overall price trends over the course of the determination are built up from the following components:</w:t>
      </w:r>
    </w:p>
    <w:p w:rsidR="0044594F" w:rsidRPr="00A82EA6" w:rsidRDefault="00EA36E3" w:rsidP="00997B46">
      <w:pPr>
        <w:pStyle w:val="ListParagraph"/>
        <w:numPr>
          <w:ilvl w:val="0"/>
          <w:numId w:val="23"/>
        </w:numPr>
        <w:tabs>
          <w:tab w:val="left" w:pos="851"/>
        </w:tabs>
        <w:spacing w:after="120" w:line="240" w:lineRule="auto"/>
        <w:ind w:left="851" w:hanging="567"/>
        <w:contextualSpacing w:val="0"/>
      </w:pPr>
      <w:r>
        <w:t>SA Power Networks</w:t>
      </w:r>
      <w:r w:rsidR="0044594F" w:rsidRPr="00A82EA6">
        <w:t xml:space="preserve">’ distribution prices for standard control services, in accordance with the AER’s </w:t>
      </w:r>
      <w:r w:rsidR="00477C39">
        <w:t>Preliminary Decision</w:t>
      </w:r>
      <w:r w:rsidR="00A82EA6" w:rsidRPr="00A82EA6">
        <w:t xml:space="preserve"> of a revenue cap with smoothed annual revenue for 2015/16 of $682M</w:t>
      </w:r>
      <w:r w:rsidR="0044594F" w:rsidRPr="00A82EA6">
        <w:t>;</w:t>
      </w:r>
    </w:p>
    <w:p w:rsidR="0044594F" w:rsidRPr="00A82EA6" w:rsidRDefault="00EA36E3" w:rsidP="00997B46">
      <w:pPr>
        <w:pStyle w:val="ListParagraph"/>
        <w:numPr>
          <w:ilvl w:val="0"/>
          <w:numId w:val="23"/>
        </w:numPr>
        <w:tabs>
          <w:tab w:val="left" w:pos="851"/>
        </w:tabs>
        <w:spacing w:after="120" w:line="240" w:lineRule="auto"/>
        <w:ind w:left="851" w:hanging="567"/>
        <w:contextualSpacing w:val="0"/>
      </w:pPr>
      <w:r>
        <w:t>SA Power Networks</w:t>
      </w:r>
      <w:r w:rsidR="0044594F" w:rsidRPr="00A82EA6">
        <w:t xml:space="preserve">’ prices for alternative control metering services, in accordance with the AER’s </w:t>
      </w:r>
      <w:r w:rsidR="00477C39">
        <w:t>Preliminary Decision</w:t>
      </w:r>
      <w:r w:rsidR="0044594F" w:rsidRPr="00A82EA6">
        <w:t>;</w:t>
      </w:r>
    </w:p>
    <w:p w:rsidR="0044594F" w:rsidRPr="00A82EA6" w:rsidRDefault="0044594F" w:rsidP="00997B46">
      <w:pPr>
        <w:pStyle w:val="ListParagraph"/>
        <w:numPr>
          <w:ilvl w:val="0"/>
          <w:numId w:val="23"/>
        </w:numPr>
        <w:tabs>
          <w:tab w:val="left" w:pos="851"/>
        </w:tabs>
        <w:spacing w:after="240" w:line="240" w:lineRule="auto"/>
        <w:ind w:left="851" w:hanging="567"/>
        <w:contextualSpacing w:val="0"/>
      </w:pPr>
      <w:r w:rsidRPr="00A82EA6">
        <w:t xml:space="preserve">Transmission related prices, </w:t>
      </w:r>
      <w:r w:rsidR="00640296" w:rsidRPr="00A82EA6">
        <w:t xml:space="preserve">determined </w:t>
      </w:r>
      <w:r w:rsidRPr="00A82EA6">
        <w:t xml:space="preserve">from ElectraNet’s </w:t>
      </w:r>
      <w:r w:rsidR="00640296" w:rsidRPr="00A82EA6">
        <w:t xml:space="preserve">approved </w:t>
      </w:r>
      <w:r w:rsidR="00F74C99" w:rsidRPr="00A82EA6">
        <w:t>2015/16</w:t>
      </w:r>
      <w:r w:rsidR="00640296" w:rsidRPr="00A82EA6">
        <w:t xml:space="preserve"> prices</w:t>
      </w:r>
      <w:r w:rsidRPr="00A82EA6">
        <w:t>; and</w:t>
      </w:r>
    </w:p>
    <w:p w:rsidR="0044594F" w:rsidRPr="00A82EA6" w:rsidRDefault="0044594F" w:rsidP="00997B46">
      <w:pPr>
        <w:pStyle w:val="ListParagraph"/>
        <w:numPr>
          <w:ilvl w:val="0"/>
          <w:numId w:val="23"/>
        </w:numPr>
        <w:tabs>
          <w:tab w:val="left" w:pos="851"/>
        </w:tabs>
        <w:spacing w:after="240" w:line="240" w:lineRule="auto"/>
        <w:ind w:left="851" w:hanging="567"/>
        <w:contextualSpacing w:val="0"/>
      </w:pPr>
      <w:r w:rsidRPr="00A82EA6">
        <w:t>Forecasts for future period recovery of the SA Government PV FiT payments to qualifying generators under the JS</w:t>
      </w:r>
      <w:r w:rsidR="003E6D81">
        <w:t>A</w:t>
      </w:r>
      <w:r w:rsidR="007B2E98" w:rsidRPr="00A82EA6">
        <w:t xml:space="preserve"> </w:t>
      </w:r>
      <w:r w:rsidRPr="00A82EA6">
        <w:t>arrangement.</w:t>
      </w:r>
    </w:p>
    <w:p w:rsidR="0044594F" w:rsidRDefault="0044594F" w:rsidP="0044594F">
      <w:r w:rsidRPr="00A82EA6">
        <w:t xml:space="preserve">The </w:t>
      </w:r>
      <w:r w:rsidR="006B15BE" w:rsidRPr="00A82EA6">
        <w:t xml:space="preserve">outcomes </w:t>
      </w:r>
      <w:r w:rsidRPr="00A82EA6">
        <w:t xml:space="preserve">for </w:t>
      </w:r>
      <w:r w:rsidR="00EA36E3">
        <w:t>SA Power Networks</w:t>
      </w:r>
      <w:r w:rsidRPr="00A82EA6">
        <w:t xml:space="preserve">’ charges for the </w:t>
      </w:r>
      <w:r w:rsidR="007272B8" w:rsidRPr="00A82EA6">
        <w:t xml:space="preserve">recent part of the </w:t>
      </w:r>
      <w:r w:rsidRPr="00A82EA6">
        <w:t xml:space="preserve">2010-15 regulatory period is shown below in </w:t>
      </w:r>
      <w:r w:rsidR="00924A8F">
        <w:fldChar w:fldCharType="begin"/>
      </w:r>
      <w:r w:rsidR="00924A8F">
        <w:instrText xml:space="preserve"> REF _Ref227462288 \h  \* MERGEFORMAT </w:instrText>
      </w:r>
      <w:r w:rsidR="00924A8F">
        <w:fldChar w:fldCharType="separate"/>
      </w:r>
      <w:r w:rsidR="00A81AFE" w:rsidRPr="00E558C2">
        <w:t xml:space="preserve">Table </w:t>
      </w:r>
      <w:r w:rsidR="00A81AFE">
        <w:rPr>
          <w:noProof/>
        </w:rPr>
        <w:t>35</w:t>
      </w:r>
      <w:r w:rsidR="00924A8F">
        <w:fldChar w:fldCharType="end"/>
      </w:r>
      <w:r w:rsidR="007B2E98" w:rsidRPr="00A82EA6">
        <w:t xml:space="preserve">.  </w:t>
      </w:r>
      <w:r w:rsidR="00A82EA6">
        <w:t xml:space="preserve">Charges may vary in future years following Tariff Structure Statement preparation and consultation.  At this time, we have not prepared forward forecast of prices beyond 2015/16.  We note the </w:t>
      </w:r>
      <w:r w:rsidR="00477C39">
        <w:t>Preliminary Decision</w:t>
      </w:r>
      <w:r w:rsidR="00A82EA6">
        <w:t xml:space="preserve"> predicts a 10% reduction in 2016/17 distribution prices, and that transmission and PV FiT recoveries should be at similar levels next year.</w:t>
      </w:r>
    </w:p>
    <w:p w:rsidR="00A82EA6" w:rsidRDefault="00A82EA6" w:rsidP="0044594F"/>
    <w:p w:rsidR="0044594F" w:rsidRDefault="0044594F" w:rsidP="00D63632">
      <w:pPr>
        <w:pStyle w:val="Caption"/>
        <w:keepNext/>
      </w:pPr>
      <w:bookmarkStart w:id="108" w:name="_Ref227462288"/>
      <w:bookmarkStart w:id="109" w:name="_Ref227462282"/>
      <w:r w:rsidRPr="00E558C2">
        <w:t xml:space="preserve">Table </w:t>
      </w:r>
      <w:r w:rsidR="00924A8F">
        <w:fldChar w:fldCharType="begin"/>
      </w:r>
      <w:r w:rsidR="00924A8F">
        <w:instrText xml:space="preserve"> SEQ Table \* ARABIC </w:instrText>
      </w:r>
      <w:r w:rsidR="00924A8F">
        <w:fldChar w:fldCharType="separate"/>
      </w:r>
      <w:r w:rsidR="00A81AFE">
        <w:rPr>
          <w:noProof/>
        </w:rPr>
        <w:t>35</w:t>
      </w:r>
      <w:r w:rsidR="00924A8F">
        <w:rPr>
          <w:noProof/>
        </w:rPr>
        <w:fldChar w:fldCharType="end"/>
      </w:r>
      <w:bookmarkEnd w:id="108"/>
      <w:r w:rsidRPr="00E558C2">
        <w:t xml:space="preserve"> – </w:t>
      </w:r>
      <w:bookmarkEnd w:id="109"/>
      <w:r w:rsidR="00EA36E3">
        <w:t>SA Power Networks</w:t>
      </w:r>
      <w:r>
        <w:t>’</w:t>
      </w:r>
      <w:r w:rsidRPr="00E558C2">
        <w:t xml:space="preserve"> </w:t>
      </w:r>
      <w:r>
        <w:t xml:space="preserve">distribution </w:t>
      </w:r>
      <w:r w:rsidRPr="00E558C2">
        <w:t>price trends (nominal)</w:t>
      </w:r>
      <w:r>
        <w:t xml:space="preserve">.  </w:t>
      </w:r>
    </w:p>
    <w:p w:rsidR="0044594F" w:rsidRDefault="00896284" w:rsidP="0044594F">
      <w:r w:rsidRPr="00896284">
        <w:rPr>
          <w:noProof/>
          <w:lang w:val="en-US"/>
        </w:rPr>
        <w:drawing>
          <wp:inline distT="0" distB="0" distL="0" distR="0">
            <wp:extent cx="3061335" cy="1643380"/>
            <wp:effectExtent l="19050" t="0" r="5715"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3061335" cy="1643380"/>
                    </a:xfrm>
                    <a:prstGeom prst="rect">
                      <a:avLst/>
                    </a:prstGeom>
                    <a:noFill/>
                    <a:ln w="9525">
                      <a:noFill/>
                      <a:miter lim="800000"/>
                      <a:headEnd/>
                      <a:tailEnd/>
                    </a:ln>
                  </pic:spPr>
                </pic:pic>
              </a:graphicData>
            </a:graphic>
          </wp:inline>
        </w:drawing>
      </w:r>
    </w:p>
    <w:p w:rsidR="003C6732" w:rsidRDefault="003C6732" w:rsidP="0044594F">
      <w:pPr>
        <w:keepNext/>
      </w:pPr>
    </w:p>
    <w:p w:rsidR="0044594F" w:rsidRDefault="0044594F" w:rsidP="0044594F">
      <w:pPr>
        <w:keepNext/>
      </w:pPr>
      <w:r>
        <w:t xml:space="preserve">In addition to </w:t>
      </w:r>
      <w:r w:rsidR="00EA36E3">
        <w:t>SA Power Networks</w:t>
      </w:r>
      <w:r>
        <w:t>’ distribution charges, the bundled NUoS price includes the pass-throughs of the transmission and SA Government PV feed-in payments.</w:t>
      </w:r>
    </w:p>
    <w:p w:rsidR="003C6732" w:rsidRPr="00E558C2" w:rsidRDefault="003C6732" w:rsidP="0044594F">
      <w:pPr>
        <w:keepNext/>
      </w:pPr>
    </w:p>
    <w:p w:rsidR="0044594F" w:rsidRDefault="0044594F" w:rsidP="0044594F">
      <w:pPr>
        <w:pStyle w:val="Caption"/>
        <w:keepNext/>
      </w:pPr>
      <w:bookmarkStart w:id="110" w:name="_Ref323548921"/>
      <w:r>
        <w:t xml:space="preserve">Table </w:t>
      </w:r>
      <w:r w:rsidR="00924A8F">
        <w:fldChar w:fldCharType="begin"/>
      </w:r>
      <w:r w:rsidR="00924A8F">
        <w:instrText xml:space="preserve"> SEQ Table \* ARABIC </w:instrText>
      </w:r>
      <w:r w:rsidR="00924A8F">
        <w:fldChar w:fldCharType="separate"/>
      </w:r>
      <w:r w:rsidR="00A81AFE">
        <w:rPr>
          <w:noProof/>
        </w:rPr>
        <w:t>36</w:t>
      </w:r>
      <w:r w:rsidR="00924A8F">
        <w:rPr>
          <w:noProof/>
        </w:rPr>
        <w:fldChar w:fldCharType="end"/>
      </w:r>
      <w:bookmarkEnd w:id="110"/>
      <w:r>
        <w:t xml:space="preserve"> –NUoS</w:t>
      </w:r>
      <w:r w:rsidRPr="00E558C2">
        <w:t xml:space="preserve"> price trends (nominal)</w:t>
      </w:r>
      <w:r>
        <w:t xml:space="preserve">.  Includes Pass-through costs for Transmission and SA Government PV Feed-In as well as </w:t>
      </w:r>
      <w:r w:rsidR="00EA36E3">
        <w:t>SA Power Networks</w:t>
      </w:r>
      <w:r>
        <w:t>’ charges</w:t>
      </w:r>
    </w:p>
    <w:p w:rsidR="0044594F" w:rsidRDefault="00896284" w:rsidP="0044594F">
      <w:r w:rsidRPr="00896284">
        <w:rPr>
          <w:noProof/>
          <w:lang w:val="en-US"/>
        </w:rPr>
        <w:drawing>
          <wp:inline distT="0" distB="0" distL="0" distR="0">
            <wp:extent cx="3061335" cy="1630045"/>
            <wp:effectExtent l="19050" t="0" r="5715"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3061335" cy="1630045"/>
                    </a:xfrm>
                    <a:prstGeom prst="rect">
                      <a:avLst/>
                    </a:prstGeom>
                    <a:noFill/>
                    <a:ln w="9525">
                      <a:noFill/>
                      <a:miter lim="800000"/>
                      <a:headEnd/>
                      <a:tailEnd/>
                    </a:ln>
                  </pic:spPr>
                </pic:pic>
              </a:graphicData>
            </a:graphic>
          </wp:inline>
        </w:drawing>
      </w:r>
    </w:p>
    <w:p w:rsidR="0044594F" w:rsidRDefault="0044594F" w:rsidP="0044594F"/>
    <w:p w:rsidR="0044594F" w:rsidRPr="00927302" w:rsidRDefault="0044594F" w:rsidP="0044594F">
      <w:pPr>
        <w:pStyle w:val="Heading2"/>
        <w:keepLines w:val="0"/>
        <w:numPr>
          <w:ilvl w:val="1"/>
          <w:numId w:val="16"/>
        </w:numPr>
        <w:tabs>
          <w:tab w:val="left" w:pos="851"/>
        </w:tabs>
        <w:spacing w:after="240" w:line="240" w:lineRule="auto"/>
      </w:pPr>
      <w:bookmarkStart w:id="111" w:name="_Toc420009852"/>
      <w:r w:rsidRPr="00927302">
        <w:t>Variations to prices</w:t>
      </w:r>
      <w:bookmarkEnd w:id="111"/>
    </w:p>
    <w:p w:rsidR="0044594F" w:rsidRDefault="0044594F" w:rsidP="0044594F">
      <w:r w:rsidRPr="00927302">
        <w:t xml:space="preserve">Clause 6.18.2(b)(5) requires </w:t>
      </w:r>
      <w:r w:rsidR="00EA36E3">
        <w:t>SA Power Networks</w:t>
      </w:r>
      <w:r w:rsidRPr="00927302">
        <w:t xml:space="preserve"> to set out the nature of any variations and adjustments that could occur to tariffs during the course of </w:t>
      </w:r>
      <w:r w:rsidR="006B15BE">
        <w:t xml:space="preserve">future </w:t>
      </w:r>
      <w:r w:rsidRPr="00927302">
        <w:t>year</w:t>
      </w:r>
      <w:r w:rsidR="006B15BE">
        <w:t>s</w:t>
      </w:r>
      <w:r w:rsidRPr="00927302">
        <w:t xml:space="preserve">.  In addition, clause 6.18.9(a)(3) requires an indication of how </w:t>
      </w:r>
      <w:r w:rsidR="00EA36E3">
        <w:t>SA Power Networks</w:t>
      </w:r>
      <w:r w:rsidRPr="00927302">
        <w:t xml:space="preserve"> expects prices to change over the regulatory control period and the reasons for the expected changes.</w:t>
      </w:r>
      <w:r w:rsidR="006B15BE">
        <w:t xml:space="preserve">  </w:t>
      </w:r>
      <w:r w:rsidR="0093085E">
        <w:t>Some information has been provided below, with further information being prepared for the Tariff Structure Statement</w:t>
      </w:r>
      <w:r w:rsidR="000B7F94">
        <w:t>.</w:t>
      </w:r>
      <w:r w:rsidR="0093085E">
        <w:t xml:space="preserve">  As this will address other tariff reforms and incorporate the AER’s Final Decision, we consider that limited information on future years is appropriate in this Pricing Proposal.</w:t>
      </w:r>
    </w:p>
    <w:p w:rsidR="003C6732" w:rsidRPr="00927302" w:rsidRDefault="003C6732" w:rsidP="0044594F"/>
    <w:p w:rsidR="003C6732" w:rsidRDefault="0044594F" w:rsidP="0044594F">
      <w:r w:rsidRPr="00927302">
        <w:t xml:space="preserve">The average price trends mask the variation in price that </w:t>
      </w:r>
      <w:r w:rsidR="00A82EA6">
        <w:t>has</w:t>
      </w:r>
      <w:r w:rsidR="006B15BE">
        <w:t xml:space="preserve"> </w:t>
      </w:r>
      <w:r w:rsidRPr="00927302">
        <w:t>take</w:t>
      </w:r>
      <w:r w:rsidR="006B15BE">
        <w:t>n</w:t>
      </w:r>
      <w:r w:rsidRPr="00927302">
        <w:t xml:space="preserve"> place for individual customers.  Each customer’s price will vary depending upon their level of consumption, and for business customers, the load profile and monthly demand.</w:t>
      </w:r>
    </w:p>
    <w:p w:rsidR="006B15BE" w:rsidRDefault="006B15BE" w:rsidP="0044594F"/>
    <w:p w:rsidR="0044594F" w:rsidRPr="00927302" w:rsidRDefault="0044594F" w:rsidP="0044594F">
      <w:pPr>
        <w:pStyle w:val="Heading2"/>
        <w:keepLines w:val="0"/>
        <w:numPr>
          <w:ilvl w:val="1"/>
          <w:numId w:val="16"/>
        </w:numPr>
        <w:tabs>
          <w:tab w:val="left" w:pos="851"/>
        </w:tabs>
        <w:spacing w:after="240" w:line="240" w:lineRule="auto"/>
      </w:pPr>
      <w:bookmarkStart w:id="112" w:name="_Ref134093583"/>
      <w:bookmarkStart w:id="113" w:name="_Toc420009853"/>
      <w:r w:rsidRPr="00927302">
        <w:t>Low Voltage Residential tariff class</w:t>
      </w:r>
      <w:bookmarkEnd w:id="112"/>
      <w:bookmarkEnd w:id="113"/>
    </w:p>
    <w:p w:rsidR="0044594F" w:rsidRPr="00927302" w:rsidRDefault="0044594F" w:rsidP="009A26B4">
      <w:pPr>
        <w:pStyle w:val="Heading3"/>
      </w:pPr>
      <w:r w:rsidRPr="00927302">
        <w:t>Low voltage residential tariff</w:t>
      </w:r>
    </w:p>
    <w:p w:rsidR="0044594F" w:rsidRDefault="0044594F" w:rsidP="0044594F">
      <w:pPr>
        <w:keepNext/>
      </w:pPr>
      <w:r w:rsidRPr="00927302">
        <w:t xml:space="preserve">The low voltage residential tariff has a single-rate with an inclining block structure and </w:t>
      </w:r>
      <w:r w:rsidR="006E2AB0">
        <w:t>two</w:t>
      </w:r>
      <w:r w:rsidRPr="00927302">
        <w:t xml:space="preserve"> consumption steps.  The </w:t>
      </w:r>
      <w:r w:rsidR="003342B3">
        <w:t>2015/16</w:t>
      </w:r>
      <w:r>
        <w:t xml:space="preserve"> </w:t>
      </w:r>
      <w:r w:rsidRPr="00927302">
        <w:t xml:space="preserve">annual bill </w:t>
      </w:r>
      <w:r>
        <w:t xml:space="preserve">and price change </w:t>
      </w:r>
      <w:r w:rsidRPr="00927302">
        <w:t xml:space="preserve">for this tariff is shown in </w:t>
      </w:r>
      <w:r>
        <w:br/>
      </w:r>
      <w:r w:rsidR="00575C9A">
        <w:fldChar w:fldCharType="begin"/>
      </w:r>
      <w:r>
        <w:instrText xml:space="preserve"> REF _Ref134089119 \h </w:instrText>
      </w:r>
      <w:r w:rsidR="00575C9A">
        <w:fldChar w:fldCharType="separate"/>
      </w:r>
      <w:r w:rsidR="00A81AFE" w:rsidRPr="00596FF7">
        <w:t xml:space="preserve">Table </w:t>
      </w:r>
      <w:r w:rsidR="00A81AFE">
        <w:rPr>
          <w:noProof/>
        </w:rPr>
        <w:t>37</w:t>
      </w:r>
      <w:r w:rsidR="00575C9A">
        <w:fldChar w:fldCharType="end"/>
      </w:r>
      <w:r>
        <w:t>,</w:t>
      </w:r>
      <w:r w:rsidRPr="00927302">
        <w:t xml:space="preserve"> for </w:t>
      </w:r>
      <w:r>
        <w:t xml:space="preserve">a range of </w:t>
      </w:r>
      <w:r w:rsidRPr="00927302">
        <w:t>different customer consumption levels.</w:t>
      </w:r>
    </w:p>
    <w:p w:rsidR="003C6732" w:rsidRDefault="003C6732" w:rsidP="0044594F">
      <w:pPr>
        <w:keepNext/>
      </w:pPr>
    </w:p>
    <w:p w:rsidR="0044594F" w:rsidRDefault="0044594F" w:rsidP="0044594F">
      <w:pPr>
        <w:keepNext/>
      </w:pPr>
      <w:r>
        <w:t xml:space="preserve">The table shows NUoS being the impact of distribution, transmission and PV JSA FiT pass-throughs on the annual electricity bill (inclusive of the retail charges as </w:t>
      </w:r>
      <w:r w:rsidR="000476F2">
        <w:t xml:space="preserve">submitted by AGL in </w:t>
      </w:r>
      <w:r w:rsidR="006E2AB0">
        <w:t xml:space="preserve">August </w:t>
      </w:r>
      <w:r w:rsidR="000476F2">
        <w:t>20</w:t>
      </w:r>
      <w:r w:rsidR="003342B3">
        <w:t>14</w:t>
      </w:r>
      <w:r w:rsidR="006E2AB0">
        <w:t xml:space="preserve"> after carbon tax removal</w:t>
      </w:r>
      <w:r>
        <w:t xml:space="preserve">).  The table also shows (as DUoS) the </w:t>
      </w:r>
      <w:r w:rsidR="00EA36E3">
        <w:t>SA Power Networks</w:t>
      </w:r>
      <w:r>
        <w:t>’ related price changes</w:t>
      </w:r>
      <w:r w:rsidR="002E3611">
        <w:t xml:space="preserve"> </w:t>
      </w:r>
      <w:r w:rsidR="006E2AB0">
        <w:t>(</w:t>
      </w:r>
      <w:r w:rsidR="002E3611">
        <w:t xml:space="preserve">including </w:t>
      </w:r>
      <w:r w:rsidR="006E2AB0">
        <w:t xml:space="preserve">2014/15 </w:t>
      </w:r>
      <w:r w:rsidR="003D7390">
        <w:t>Vegetation Management</w:t>
      </w:r>
      <w:r w:rsidR="006E2AB0">
        <w:t>)</w:t>
      </w:r>
      <w:r w:rsidR="002E3611">
        <w:t>.</w:t>
      </w:r>
      <w:r w:rsidR="00B50455">
        <w:t xml:space="preserve">  Note that the table does not include the </w:t>
      </w:r>
      <w:r w:rsidR="001B6579">
        <w:t xml:space="preserve">Alternative </w:t>
      </w:r>
      <w:r w:rsidR="003E6D81">
        <w:t>C</w:t>
      </w:r>
      <w:r w:rsidR="001B6579">
        <w:t>ontrol</w:t>
      </w:r>
      <w:r w:rsidR="003E6D81">
        <w:t xml:space="preserve"> Services</w:t>
      </w:r>
      <w:r w:rsidR="00B50455">
        <w:t xml:space="preserve"> </w:t>
      </w:r>
      <w:r w:rsidR="000B7F94">
        <w:t>Type 6</w:t>
      </w:r>
      <w:r w:rsidR="00B50455">
        <w:t xml:space="preserve"> metering charge typically associated with this tariff.</w:t>
      </w:r>
    </w:p>
    <w:p w:rsidR="003C6732" w:rsidRPr="00927302" w:rsidRDefault="003C6732" w:rsidP="0044594F">
      <w:pPr>
        <w:keepNext/>
      </w:pPr>
    </w:p>
    <w:p w:rsidR="0044594F" w:rsidRDefault="0044594F" w:rsidP="0044594F">
      <w:pPr>
        <w:pStyle w:val="Caption"/>
        <w:keepNext/>
      </w:pPr>
      <w:bookmarkStart w:id="114" w:name="_Ref134089119"/>
      <w:r w:rsidRPr="00596FF7">
        <w:t xml:space="preserve">Table </w:t>
      </w:r>
      <w:r w:rsidR="00924A8F">
        <w:fldChar w:fldCharType="begin"/>
      </w:r>
      <w:r w:rsidR="00924A8F">
        <w:instrText xml:space="preserve"> SEQ Table \* ARABIC </w:instrText>
      </w:r>
      <w:r w:rsidR="00924A8F">
        <w:fldChar w:fldCharType="separate"/>
      </w:r>
      <w:r w:rsidR="00A81AFE">
        <w:rPr>
          <w:noProof/>
        </w:rPr>
        <w:t>37</w:t>
      </w:r>
      <w:r w:rsidR="00924A8F">
        <w:rPr>
          <w:noProof/>
        </w:rPr>
        <w:fldChar w:fldCharType="end"/>
      </w:r>
      <w:bookmarkEnd w:id="114"/>
      <w:r w:rsidRPr="00596FF7">
        <w:t xml:space="preserve"> - Low voltage residential price change in </w:t>
      </w:r>
      <w:r w:rsidR="003342B3">
        <w:t>2015/16</w:t>
      </w:r>
    </w:p>
    <w:p w:rsidR="0044594F" w:rsidRDefault="005E1CD9" w:rsidP="0044594F">
      <w:r w:rsidRPr="005E1CD9">
        <w:rPr>
          <w:noProof/>
          <w:lang w:val="en-US"/>
        </w:rPr>
        <w:drawing>
          <wp:inline distT="0" distB="0" distL="0" distR="0">
            <wp:extent cx="5499735" cy="1630045"/>
            <wp:effectExtent l="19050" t="0" r="5715" b="0"/>
            <wp:docPr id="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5499735" cy="1630045"/>
                    </a:xfrm>
                    <a:prstGeom prst="rect">
                      <a:avLst/>
                    </a:prstGeom>
                    <a:noFill/>
                    <a:ln w="9525">
                      <a:noFill/>
                      <a:miter lim="800000"/>
                      <a:headEnd/>
                      <a:tailEnd/>
                    </a:ln>
                  </pic:spPr>
                </pic:pic>
              </a:graphicData>
            </a:graphic>
          </wp:inline>
        </w:drawing>
      </w:r>
    </w:p>
    <w:p w:rsidR="002E3611" w:rsidRPr="00927302" w:rsidRDefault="002E3611" w:rsidP="0044594F"/>
    <w:p w:rsidR="0044594F" w:rsidRDefault="00575C9A" w:rsidP="0044594F">
      <w:pPr>
        <w:keepNext/>
      </w:pPr>
      <w:r>
        <w:fldChar w:fldCharType="begin"/>
      </w:r>
      <w:r w:rsidR="0044594F">
        <w:instrText xml:space="preserve"> REF _Ref134089892 \h </w:instrText>
      </w:r>
      <w:r>
        <w:fldChar w:fldCharType="separate"/>
      </w:r>
      <w:r w:rsidR="00A81AFE" w:rsidRPr="004A4098">
        <w:t xml:space="preserve">Figure </w:t>
      </w:r>
      <w:r w:rsidR="00A81AFE">
        <w:rPr>
          <w:noProof/>
        </w:rPr>
        <w:t>4</w:t>
      </w:r>
      <w:r>
        <w:fldChar w:fldCharType="end"/>
      </w:r>
      <w:r w:rsidR="0044594F">
        <w:t xml:space="preserve"> illustrates how </w:t>
      </w:r>
      <w:r w:rsidR="0044594F" w:rsidRPr="00927302">
        <w:t xml:space="preserve">the </w:t>
      </w:r>
      <w:r w:rsidR="0044594F">
        <w:t>effect of the price change varies with customers</w:t>
      </w:r>
      <w:r w:rsidR="003E6D81">
        <w:t>’</w:t>
      </w:r>
      <w:r w:rsidR="0044594F">
        <w:t xml:space="preserve"> annual energy consumption</w:t>
      </w:r>
      <w:r w:rsidR="0044594F" w:rsidRPr="004A4098">
        <w:t>.</w:t>
      </w:r>
      <w:r w:rsidR="0044594F">
        <w:t xml:space="preserve">  Within this chart, the impacts of the DUoS change and the cumulative effects of the TUoS change and the PV JSA, recovered through NUoS are separately indicated.</w:t>
      </w:r>
    </w:p>
    <w:p w:rsidR="003C6732" w:rsidRPr="004A4098" w:rsidRDefault="003C6732" w:rsidP="0044594F">
      <w:pPr>
        <w:keepNext/>
      </w:pPr>
    </w:p>
    <w:p w:rsidR="0044594F" w:rsidRPr="00927302" w:rsidRDefault="0044594F" w:rsidP="0044594F">
      <w:pPr>
        <w:pStyle w:val="Caption"/>
        <w:keepNext/>
      </w:pPr>
      <w:bookmarkStart w:id="115" w:name="_Ref134089892"/>
      <w:r w:rsidRPr="004A4098">
        <w:t xml:space="preserve">Figure </w:t>
      </w:r>
      <w:r w:rsidR="00924A8F">
        <w:fldChar w:fldCharType="begin"/>
      </w:r>
      <w:r w:rsidR="00924A8F">
        <w:instrText xml:space="preserve"> SEQ Figure \* ARABIC </w:instrText>
      </w:r>
      <w:r w:rsidR="00924A8F">
        <w:fldChar w:fldCharType="separate"/>
      </w:r>
      <w:r w:rsidR="00A81AFE">
        <w:rPr>
          <w:noProof/>
        </w:rPr>
        <w:t>4</w:t>
      </w:r>
      <w:r w:rsidR="00924A8F">
        <w:rPr>
          <w:noProof/>
        </w:rPr>
        <w:fldChar w:fldCharType="end"/>
      </w:r>
      <w:bookmarkEnd w:id="115"/>
      <w:r w:rsidRPr="004A4098">
        <w:t xml:space="preserve"> - Low voltage residential NUoS price change in </w:t>
      </w:r>
      <w:r w:rsidR="003342B3">
        <w:t>2015/16</w:t>
      </w:r>
    </w:p>
    <w:p w:rsidR="0044594F" w:rsidRDefault="005E1CD9" w:rsidP="0044594F">
      <w:r w:rsidRPr="005E1CD9">
        <w:rPr>
          <w:noProof/>
          <w:lang w:val="en-US"/>
        </w:rPr>
        <w:drawing>
          <wp:inline distT="0" distB="0" distL="0" distR="0">
            <wp:extent cx="5732145" cy="3521728"/>
            <wp:effectExtent l="0" t="0" r="0"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44594F" w:rsidRDefault="0044594F" w:rsidP="0044594F">
      <w:pPr>
        <w:keepNext/>
      </w:pPr>
      <w:r w:rsidRPr="00D05684">
        <w:t xml:space="preserve">The equivalent impact of the </w:t>
      </w:r>
      <w:r w:rsidR="003342B3">
        <w:t>2015/16</w:t>
      </w:r>
      <w:r w:rsidRPr="00D05684">
        <w:t xml:space="preserve"> price change on the </w:t>
      </w:r>
      <w:r w:rsidR="002E3611">
        <w:t>August</w:t>
      </w:r>
      <w:r w:rsidR="00817754">
        <w:t xml:space="preserve"> 20</w:t>
      </w:r>
      <w:r w:rsidR="003342B3">
        <w:t>14</w:t>
      </w:r>
      <w:r w:rsidRPr="00D05684">
        <w:t xml:space="preserve"> </w:t>
      </w:r>
      <w:r w:rsidR="00817754">
        <w:t>AGL</w:t>
      </w:r>
      <w:r w:rsidRPr="00D05684">
        <w:t xml:space="preserve"> </w:t>
      </w:r>
      <w:r w:rsidR="002E3611">
        <w:t xml:space="preserve">transitional </w:t>
      </w:r>
      <w:r w:rsidRPr="00D05684">
        <w:t xml:space="preserve">retail rates is shown in </w:t>
      </w:r>
      <w:r w:rsidR="00924A8F">
        <w:fldChar w:fldCharType="begin"/>
      </w:r>
      <w:r w:rsidR="00924A8F">
        <w:instrText xml:space="preserve"> REF _Ref323371134 \h  \* MERGEFORMAT </w:instrText>
      </w:r>
      <w:r w:rsidR="00924A8F">
        <w:fldChar w:fldCharType="separate"/>
      </w:r>
      <w:r w:rsidR="00A81AFE">
        <w:t>Figure 5</w:t>
      </w:r>
      <w:r w:rsidR="00924A8F">
        <w:fldChar w:fldCharType="end"/>
      </w:r>
      <w:r w:rsidR="00817754">
        <w:t xml:space="preserve">. </w:t>
      </w:r>
    </w:p>
    <w:p w:rsidR="003C6732" w:rsidRDefault="003C6732" w:rsidP="0044594F">
      <w:pPr>
        <w:keepNext/>
      </w:pPr>
    </w:p>
    <w:p w:rsidR="0044594F" w:rsidRDefault="0044594F" w:rsidP="0044594F">
      <w:pPr>
        <w:pStyle w:val="Caption"/>
        <w:keepNext/>
      </w:pPr>
      <w:bookmarkStart w:id="116" w:name="_Ref323371134"/>
      <w:r>
        <w:t xml:space="preserve">Figure </w:t>
      </w:r>
      <w:r w:rsidR="00924A8F">
        <w:fldChar w:fldCharType="begin"/>
      </w:r>
      <w:r w:rsidR="00924A8F">
        <w:instrText xml:space="preserve"> SEQ Figure \* ARAB</w:instrText>
      </w:r>
      <w:r w:rsidR="00924A8F">
        <w:instrText xml:space="preserve">IC </w:instrText>
      </w:r>
      <w:r w:rsidR="00924A8F">
        <w:fldChar w:fldCharType="separate"/>
      </w:r>
      <w:r w:rsidR="00A81AFE">
        <w:rPr>
          <w:noProof/>
        </w:rPr>
        <w:t>5</w:t>
      </w:r>
      <w:r w:rsidR="00924A8F">
        <w:rPr>
          <w:noProof/>
        </w:rPr>
        <w:fldChar w:fldCharType="end"/>
      </w:r>
      <w:bookmarkEnd w:id="116"/>
      <w:r>
        <w:t xml:space="preserve"> - </w:t>
      </w:r>
      <w:r w:rsidRPr="004A4098">
        <w:t xml:space="preserve">Low voltage residential </w:t>
      </w:r>
      <w:r>
        <w:t>Retail</w:t>
      </w:r>
      <w:r w:rsidRPr="004A4098">
        <w:t xml:space="preserve"> price change in </w:t>
      </w:r>
      <w:r w:rsidR="003342B3">
        <w:t>2015/16</w:t>
      </w:r>
    </w:p>
    <w:p w:rsidR="0044594F" w:rsidRDefault="005E1CD9" w:rsidP="0044594F">
      <w:pPr>
        <w:rPr>
          <w:noProof/>
          <w:lang w:eastAsia="en-AU"/>
        </w:rPr>
      </w:pPr>
      <w:r w:rsidRPr="005E1CD9">
        <w:rPr>
          <w:noProof/>
          <w:lang w:val="en-US"/>
        </w:rPr>
        <w:drawing>
          <wp:inline distT="0" distB="0" distL="0" distR="0">
            <wp:extent cx="5732145" cy="3521728"/>
            <wp:effectExtent l="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7256E1" w:rsidRDefault="007256E1" w:rsidP="0044594F"/>
    <w:p w:rsidR="0093085E" w:rsidRDefault="0093085E" w:rsidP="0044594F"/>
    <w:p w:rsidR="007256E1" w:rsidRDefault="007256E1" w:rsidP="0044594F">
      <w:r>
        <w:t>Table 3</w:t>
      </w:r>
      <w:r w:rsidR="0093085E">
        <w:t>8</w:t>
      </w:r>
      <w:r>
        <w:t xml:space="preserve"> shows the </w:t>
      </w:r>
      <w:r w:rsidR="00217741">
        <w:t>residential Solar tariff</w:t>
      </w:r>
      <w:r w:rsidRPr="007256E1">
        <w:t xml:space="preserve"> </w:t>
      </w:r>
      <w:r>
        <w:t>outcomes, and Table 3</w:t>
      </w:r>
      <w:r w:rsidR="0093085E">
        <w:t>9</w:t>
      </w:r>
      <w:r>
        <w:t xml:space="preserve"> for the </w:t>
      </w:r>
      <w:r w:rsidR="00217741">
        <w:t>residential Social tariff</w:t>
      </w:r>
      <w:r>
        <w:t>.</w:t>
      </w:r>
    </w:p>
    <w:p w:rsidR="007256E1" w:rsidRDefault="007256E1" w:rsidP="0044594F"/>
    <w:p w:rsidR="007256E1" w:rsidRDefault="007256E1" w:rsidP="007256E1">
      <w:pPr>
        <w:pStyle w:val="Caption"/>
        <w:keepNext/>
      </w:pPr>
      <w:r w:rsidRPr="00596FF7">
        <w:t xml:space="preserve">Table </w:t>
      </w:r>
      <w:r w:rsidR="00924A8F">
        <w:fldChar w:fldCharType="begin"/>
      </w:r>
      <w:r w:rsidR="00924A8F">
        <w:instrText xml:space="preserve"> SEQ Table \* ARABIC </w:instrText>
      </w:r>
      <w:r w:rsidR="00924A8F">
        <w:fldChar w:fldCharType="separate"/>
      </w:r>
      <w:r w:rsidR="00A81AFE">
        <w:rPr>
          <w:noProof/>
        </w:rPr>
        <w:t>38</w:t>
      </w:r>
      <w:r w:rsidR="00924A8F">
        <w:rPr>
          <w:noProof/>
        </w:rPr>
        <w:fldChar w:fldCharType="end"/>
      </w:r>
      <w:r w:rsidRPr="00596FF7">
        <w:t xml:space="preserve"> - Low voltage residential </w:t>
      </w:r>
      <w:r>
        <w:t xml:space="preserve">Solar </w:t>
      </w:r>
      <w:r w:rsidRPr="00596FF7">
        <w:t xml:space="preserve">price change in </w:t>
      </w:r>
      <w:r>
        <w:t>2015/16</w:t>
      </w:r>
    </w:p>
    <w:p w:rsidR="007256E1" w:rsidRDefault="007256E1" w:rsidP="0044594F">
      <w:r w:rsidRPr="007256E1">
        <w:rPr>
          <w:noProof/>
          <w:lang w:val="en-US"/>
        </w:rPr>
        <w:drawing>
          <wp:inline distT="0" distB="0" distL="0" distR="0">
            <wp:extent cx="5495925" cy="18192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5495925" cy="1819275"/>
                    </a:xfrm>
                    <a:prstGeom prst="rect">
                      <a:avLst/>
                    </a:prstGeom>
                    <a:noFill/>
                    <a:ln w="9525">
                      <a:noFill/>
                      <a:miter lim="800000"/>
                      <a:headEnd/>
                      <a:tailEnd/>
                    </a:ln>
                  </pic:spPr>
                </pic:pic>
              </a:graphicData>
            </a:graphic>
          </wp:inline>
        </w:drawing>
      </w:r>
    </w:p>
    <w:p w:rsidR="007256E1" w:rsidRDefault="007256E1" w:rsidP="0044594F"/>
    <w:p w:rsidR="007256E1" w:rsidRDefault="007256E1" w:rsidP="007256E1">
      <w:pPr>
        <w:pStyle w:val="Caption"/>
        <w:keepNext/>
      </w:pPr>
      <w:r w:rsidRPr="00596FF7">
        <w:t xml:space="preserve">Table </w:t>
      </w:r>
      <w:r w:rsidR="00924A8F">
        <w:fldChar w:fldCharType="begin"/>
      </w:r>
      <w:r w:rsidR="00924A8F">
        <w:instrText xml:space="preserve"> SEQ Table \* ARABIC </w:instrText>
      </w:r>
      <w:r w:rsidR="00924A8F">
        <w:fldChar w:fldCharType="separate"/>
      </w:r>
      <w:r w:rsidR="00A81AFE">
        <w:rPr>
          <w:noProof/>
        </w:rPr>
        <w:t>39</w:t>
      </w:r>
      <w:r w:rsidR="00924A8F">
        <w:rPr>
          <w:noProof/>
        </w:rPr>
        <w:fldChar w:fldCharType="end"/>
      </w:r>
      <w:r w:rsidRPr="00596FF7">
        <w:t xml:space="preserve"> - Low voltage </w:t>
      </w:r>
      <w:r w:rsidR="00217741">
        <w:t>residential Social tariff</w:t>
      </w:r>
      <w:r>
        <w:t xml:space="preserve"> </w:t>
      </w:r>
      <w:r w:rsidRPr="00596FF7">
        <w:t xml:space="preserve">price change in </w:t>
      </w:r>
      <w:r>
        <w:t>2015/16</w:t>
      </w:r>
    </w:p>
    <w:p w:rsidR="007256E1" w:rsidRDefault="007256E1" w:rsidP="0044594F">
      <w:r w:rsidRPr="007256E1">
        <w:rPr>
          <w:noProof/>
          <w:lang w:val="en-US"/>
        </w:rPr>
        <w:drawing>
          <wp:inline distT="0" distB="0" distL="0" distR="0">
            <wp:extent cx="5495925" cy="18192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5495925" cy="1819275"/>
                    </a:xfrm>
                    <a:prstGeom prst="rect">
                      <a:avLst/>
                    </a:prstGeom>
                    <a:noFill/>
                    <a:ln w="9525">
                      <a:noFill/>
                      <a:miter lim="800000"/>
                      <a:headEnd/>
                      <a:tailEnd/>
                    </a:ln>
                  </pic:spPr>
                </pic:pic>
              </a:graphicData>
            </a:graphic>
          </wp:inline>
        </w:drawing>
      </w:r>
    </w:p>
    <w:p w:rsidR="007256E1" w:rsidRDefault="007256E1" w:rsidP="0044594F"/>
    <w:p w:rsidR="0044594F" w:rsidRPr="00927302" w:rsidRDefault="007256E1" w:rsidP="009A26B4">
      <w:pPr>
        <w:pStyle w:val="Heading3"/>
      </w:pPr>
      <w:r>
        <w:t xml:space="preserve">Residential with </w:t>
      </w:r>
      <w:r w:rsidR="0044594F" w:rsidRPr="00927302">
        <w:t>Controlled load tariff</w:t>
      </w:r>
    </w:p>
    <w:p w:rsidR="0044594F" w:rsidRDefault="0044594F" w:rsidP="0044594F">
      <w:r w:rsidRPr="00927302">
        <w:t xml:space="preserve">The controlled load tariff </w:t>
      </w:r>
      <w:r w:rsidR="002E3611" w:rsidRPr="006E2AB0">
        <w:t>has a single block</w:t>
      </w:r>
      <w:r w:rsidRPr="00927302">
        <w:t xml:space="preserve">.  The </w:t>
      </w:r>
      <w:r w:rsidR="003342B3">
        <w:t>2015/16</w:t>
      </w:r>
      <w:r>
        <w:t xml:space="preserve"> </w:t>
      </w:r>
      <w:r w:rsidRPr="00927302">
        <w:t xml:space="preserve">annual bill </w:t>
      </w:r>
      <w:r>
        <w:t xml:space="preserve">and price change </w:t>
      </w:r>
      <w:r w:rsidRPr="00927302">
        <w:t xml:space="preserve">shown in </w:t>
      </w:r>
      <w:r w:rsidR="00575C9A">
        <w:fldChar w:fldCharType="begin"/>
      </w:r>
      <w:r>
        <w:instrText xml:space="preserve"> REF _Ref136584857 \h </w:instrText>
      </w:r>
      <w:r w:rsidR="00575C9A">
        <w:fldChar w:fldCharType="separate"/>
      </w:r>
      <w:r w:rsidR="00A81AFE" w:rsidRPr="00596FF7">
        <w:t xml:space="preserve">Table </w:t>
      </w:r>
      <w:r w:rsidR="00A81AFE">
        <w:rPr>
          <w:noProof/>
        </w:rPr>
        <w:t>40</w:t>
      </w:r>
      <w:r w:rsidR="00575C9A">
        <w:fldChar w:fldCharType="end"/>
      </w:r>
      <w:r>
        <w:t xml:space="preserve"> for residential customers</w:t>
      </w:r>
      <w:r w:rsidRPr="00927302">
        <w:t xml:space="preserve"> </w:t>
      </w:r>
      <w:r>
        <w:t>with hot water, for a range of representative consumption levels</w:t>
      </w:r>
      <w:r w:rsidRPr="00927302">
        <w:t>.</w:t>
      </w:r>
      <w:r>
        <w:t xml:space="preserve">  The table shows NUoS being the impact of distribution, transmission and PV JSA FiT pass-throughs on the annual electricity bill (inclusive of the retail charges).  The table also shows (as DUoS) the </w:t>
      </w:r>
      <w:r w:rsidR="00EA36E3">
        <w:t>SA Power Networks</w:t>
      </w:r>
      <w:r>
        <w:t>’ related price changes.</w:t>
      </w:r>
    </w:p>
    <w:p w:rsidR="003C6732" w:rsidRPr="00927302" w:rsidRDefault="003C6732" w:rsidP="0044594F"/>
    <w:p w:rsidR="0044594F" w:rsidRDefault="0044594F" w:rsidP="0044594F">
      <w:pPr>
        <w:pStyle w:val="Caption"/>
        <w:keepNext/>
      </w:pPr>
      <w:bookmarkStart w:id="117" w:name="_Ref136584857"/>
      <w:r w:rsidRPr="00596FF7">
        <w:t xml:space="preserve">Table </w:t>
      </w:r>
      <w:r w:rsidR="00924A8F">
        <w:fldChar w:fldCharType="begin"/>
      </w:r>
      <w:r w:rsidR="00924A8F">
        <w:instrText xml:space="preserve"> SEQ Table \* ARABIC </w:instrText>
      </w:r>
      <w:r w:rsidR="00924A8F">
        <w:fldChar w:fldCharType="separate"/>
      </w:r>
      <w:r w:rsidR="00A81AFE">
        <w:rPr>
          <w:noProof/>
        </w:rPr>
        <w:t>40</w:t>
      </w:r>
      <w:r w:rsidR="00924A8F">
        <w:rPr>
          <w:noProof/>
        </w:rPr>
        <w:fldChar w:fldCharType="end"/>
      </w:r>
      <w:bookmarkEnd w:id="117"/>
      <w:r w:rsidRPr="00596FF7">
        <w:t xml:space="preserve"> - Low voltage residential + hot water price change in </w:t>
      </w:r>
      <w:r w:rsidR="003342B3">
        <w:t>2015/16</w:t>
      </w:r>
    </w:p>
    <w:p w:rsidR="0044594F" w:rsidRDefault="005E1CD9" w:rsidP="0044594F">
      <w:r w:rsidRPr="005E1CD9">
        <w:rPr>
          <w:noProof/>
          <w:lang w:val="en-US"/>
        </w:rPr>
        <w:drawing>
          <wp:inline distT="0" distB="0" distL="0" distR="0">
            <wp:extent cx="5499735" cy="1630045"/>
            <wp:effectExtent l="19050" t="0" r="5715" b="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srcRect/>
                    <a:stretch>
                      <a:fillRect/>
                    </a:stretch>
                  </pic:blipFill>
                  <pic:spPr bwMode="auto">
                    <a:xfrm>
                      <a:off x="0" y="0"/>
                      <a:ext cx="5499735" cy="1630045"/>
                    </a:xfrm>
                    <a:prstGeom prst="rect">
                      <a:avLst/>
                    </a:prstGeom>
                    <a:noFill/>
                    <a:ln w="9525">
                      <a:noFill/>
                      <a:miter lim="800000"/>
                      <a:headEnd/>
                      <a:tailEnd/>
                    </a:ln>
                  </pic:spPr>
                </pic:pic>
              </a:graphicData>
            </a:graphic>
          </wp:inline>
        </w:drawing>
      </w:r>
    </w:p>
    <w:p w:rsidR="007256E1" w:rsidRDefault="007256E1" w:rsidP="0044594F"/>
    <w:p w:rsidR="0044594F" w:rsidRDefault="00575C9A" w:rsidP="0044594F">
      <w:pPr>
        <w:keepNext/>
      </w:pPr>
      <w:r>
        <w:fldChar w:fldCharType="begin"/>
      </w:r>
      <w:r w:rsidR="0044594F">
        <w:instrText xml:space="preserve"> REF _Ref323371312 \h </w:instrText>
      </w:r>
      <w:r>
        <w:fldChar w:fldCharType="separate"/>
      </w:r>
      <w:r w:rsidR="00A81AFE" w:rsidRPr="004A4098">
        <w:t xml:space="preserve">Figure </w:t>
      </w:r>
      <w:r w:rsidR="00A81AFE">
        <w:rPr>
          <w:noProof/>
        </w:rPr>
        <w:t>6</w:t>
      </w:r>
      <w:r>
        <w:fldChar w:fldCharType="end"/>
      </w:r>
      <w:r w:rsidR="0044594F">
        <w:t xml:space="preserve"> illustrates how </w:t>
      </w:r>
      <w:r w:rsidR="0044594F" w:rsidRPr="00927302">
        <w:t xml:space="preserve">the </w:t>
      </w:r>
      <w:r w:rsidR="0044594F">
        <w:t>effect of the price change varies with customer’s annual energy consumption where hot water is used</w:t>
      </w:r>
      <w:r w:rsidR="0044594F" w:rsidRPr="004A4098">
        <w:t>.</w:t>
      </w:r>
      <w:r w:rsidR="0044594F">
        <w:t xml:space="preserve">  </w:t>
      </w:r>
      <w:r w:rsidR="0044594F" w:rsidRPr="006E2AB0">
        <w:t>Within this chart, the impacts of the DUoS change</w:t>
      </w:r>
      <w:r w:rsidR="002E3611" w:rsidRPr="006E2AB0">
        <w:t xml:space="preserve"> </w:t>
      </w:r>
      <w:r w:rsidR="0044594F" w:rsidRPr="006E2AB0">
        <w:t>and the cumulative effects of the TUoS change and the PV JSA, recovered through NUoS are separately indicated.</w:t>
      </w:r>
    </w:p>
    <w:p w:rsidR="003C6732" w:rsidRPr="004A4098" w:rsidRDefault="003C6732" w:rsidP="0044594F">
      <w:pPr>
        <w:keepNext/>
      </w:pPr>
    </w:p>
    <w:p w:rsidR="0044594F" w:rsidRPr="00927302" w:rsidRDefault="0044594F" w:rsidP="0044594F">
      <w:pPr>
        <w:pStyle w:val="Caption"/>
        <w:keepNext/>
      </w:pPr>
      <w:bookmarkStart w:id="118" w:name="_Ref323371312"/>
      <w:r w:rsidRPr="004A4098">
        <w:t xml:space="preserve">Figure </w:t>
      </w:r>
      <w:r w:rsidR="00924A8F">
        <w:fldChar w:fldCharType="begin"/>
      </w:r>
      <w:r w:rsidR="00924A8F">
        <w:instrText xml:space="preserve"> SEQ Figure \* ARABIC </w:instrText>
      </w:r>
      <w:r w:rsidR="00924A8F">
        <w:fldChar w:fldCharType="separate"/>
      </w:r>
      <w:r w:rsidR="00A81AFE">
        <w:rPr>
          <w:noProof/>
        </w:rPr>
        <w:t>6</w:t>
      </w:r>
      <w:r w:rsidR="00924A8F">
        <w:rPr>
          <w:noProof/>
        </w:rPr>
        <w:fldChar w:fldCharType="end"/>
      </w:r>
      <w:bookmarkEnd w:id="118"/>
      <w:r w:rsidRPr="004A4098">
        <w:t xml:space="preserve"> - Low voltage residential</w:t>
      </w:r>
      <w:r>
        <w:t xml:space="preserve"> + hot water</w:t>
      </w:r>
      <w:r w:rsidRPr="004A4098">
        <w:t xml:space="preserve"> NUoS price change in </w:t>
      </w:r>
      <w:r w:rsidR="003342B3">
        <w:t>2015/16</w:t>
      </w:r>
    </w:p>
    <w:p w:rsidR="0044594F" w:rsidRDefault="005E1CD9" w:rsidP="0044594F">
      <w:pPr>
        <w:keepNext/>
      </w:pPr>
      <w:r w:rsidRPr="005E1CD9">
        <w:rPr>
          <w:noProof/>
          <w:lang w:val="en-US"/>
        </w:rPr>
        <w:drawing>
          <wp:inline distT="0" distB="0" distL="0" distR="0">
            <wp:extent cx="5732145" cy="3521728"/>
            <wp:effectExtent l="0" t="0" r="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3C6732" w:rsidRDefault="003C6732" w:rsidP="0044594F">
      <w:pPr>
        <w:keepNext/>
      </w:pPr>
    </w:p>
    <w:p w:rsidR="0044594F" w:rsidRDefault="0044594F" w:rsidP="0044594F">
      <w:pPr>
        <w:keepNext/>
      </w:pPr>
      <w:r w:rsidRPr="003A7FCB">
        <w:t xml:space="preserve">The equivalent impact of the </w:t>
      </w:r>
      <w:r w:rsidR="003342B3">
        <w:t>2015/16</w:t>
      </w:r>
      <w:r w:rsidRPr="003A7FCB">
        <w:t xml:space="preserve"> price change on the current </w:t>
      </w:r>
      <w:r w:rsidR="00817754">
        <w:t xml:space="preserve">AGL </w:t>
      </w:r>
      <w:r w:rsidR="002E3611">
        <w:t>transitional contract</w:t>
      </w:r>
      <w:r w:rsidR="00817754">
        <w:t xml:space="preserve"> </w:t>
      </w:r>
      <w:r w:rsidRPr="003A7FCB">
        <w:t xml:space="preserve">retail rates is shown in </w:t>
      </w:r>
      <w:r w:rsidR="00924A8F">
        <w:fldChar w:fldCharType="begin"/>
      </w:r>
      <w:r w:rsidR="00924A8F">
        <w:instrText xml:space="preserve"> REF _Ref323371525 \h  \* MERGEFORMAT </w:instrText>
      </w:r>
      <w:r w:rsidR="00924A8F">
        <w:fldChar w:fldCharType="separate"/>
      </w:r>
      <w:r w:rsidR="00A81AFE">
        <w:t>Figure 7</w:t>
      </w:r>
      <w:r w:rsidR="00924A8F">
        <w:fldChar w:fldCharType="end"/>
      </w:r>
      <w:r w:rsidR="00817754">
        <w:t>.</w:t>
      </w:r>
    </w:p>
    <w:p w:rsidR="003C6732" w:rsidRDefault="003C6732" w:rsidP="0044594F">
      <w:pPr>
        <w:keepNext/>
      </w:pPr>
    </w:p>
    <w:p w:rsidR="0044594F" w:rsidRDefault="0044594F" w:rsidP="0044594F">
      <w:pPr>
        <w:pStyle w:val="Caption"/>
        <w:keepNext/>
      </w:pPr>
      <w:bookmarkStart w:id="119" w:name="_Ref323371525"/>
      <w:r>
        <w:t xml:space="preserve">Figure </w:t>
      </w:r>
      <w:r w:rsidR="00924A8F">
        <w:fldChar w:fldCharType="begin"/>
      </w:r>
      <w:r w:rsidR="00924A8F">
        <w:instrText xml:space="preserve"> SEQ Figure \* ARABIC </w:instrText>
      </w:r>
      <w:r w:rsidR="00924A8F">
        <w:fldChar w:fldCharType="separate"/>
      </w:r>
      <w:r w:rsidR="00A81AFE">
        <w:rPr>
          <w:noProof/>
        </w:rPr>
        <w:t>7</w:t>
      </w:r>
      <w:r w:rsidR="00924A8F">
        <w:rPr>
          <w:noProof/>
        </w:rPr>
        <w:fldChar w:fldCharType="end"/>
      </w:r>
      <w:bookmarkEnd w:id="119"/>
      <w:r>
        <w:t xml:space="preserve"> - </w:t>
      </w:r>
      <w:r w:rsidRPr="004A4098">
        <w:t>Low voltage residential</w:t>
      </w:r>
      <w:r>
        <w:t xml:space="preserve"> + hot water</w:t>
      </w:r>
      <w:r w:rsidRPr="004A4098">
        <w:t xml:space="preserve"> </w:t>
      </w:r>
      <w:r>
        <w:t>Retail</w:t>
      </w:r>
      <w:r w:rsidRPr="004A4098">
        <w:t xml:space="preserve"> price change in </w:t>
      </w:r>
      <w:r w:rsidR="003342B3">
        <w:t>2015/16</w:t>
      </w:r>
    </w:p>
    <w:p w:rsidR="0044594F" w:rsidRPr="00927302" w:rsidRDefault="005E1CD9" w:rsidP="0044594F">
      <w:r w:rsidRPr="005E1CD9">
        <w:rPr>
          <w:noProof/>
          <w:lang w:val="en-US"/>
        </w:rPr>
        <w:drawing>
          <wp:inline distT="0" distB="0" distL="0" distR="0">
            <wp:extent cx="5732145" cy="3521728"/>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44594F" w:rsidRPr="00927302" w:rsidRDefault="0044594F" w:rsidP="0044594F">
      <w:pPr>
        <w:pStyle w:val="Heading2"/>
        <w:keepLines w:val="0"/>
        <w:pageBreakBefore/>
        <w:numPr>
          <w:ilvl w:val="1"/>
          <w:numId w:val="16"/>
        </w:numPr>
        <w:tabs>
          <w:tab w:val="left" w:pos="851"/>
        </w:tabs>
        <w:spacing w:after="240" w:line="240" w:lineRule="auto"/>
      </w:pPr>
      <w:bookmarkStart w:id="120" w:name="_Toc420009854"/>
      <w:r w:rsidRPr="00927302">
        <w:t>Low Voltage Business tariff class</w:t>
      </w:r>
      <w:bookmarkEnd w:id="120"/>
    </w:p>
    <w:p w:rsidR="0044594F" w:rsidRPr="00927302" w:rsidRDefault="0044594F" w:rsidP="009A26B4">
      <w:pPr>
        <w:pStyle w:val="Heading3"/>
      </w:pPr>
      <w:r w:rsidRPr="00927302">
        <w:t>Low voltage business single rate tariff</w:t>
      </w:r>
      <w:r w:rsidR="009C379D">
        <w:t xml:space="preserve"> (obsolete)</w:t>
      </w:r>
    </w:p>
    <w:p w:rsidR="0044594F" w:rsidRDefault="0044594F" w:rsidP="0044594F">
      <w:pPr>
        <w:keepNext/>
      </w:pPr>
      <w:r w:rsidRPr="00927302">
        <w:t xml:space="preserve">The low voltage business single rate tariff has an anytime consumption charge with </w:t>
      </w:r>
      <w:r>
        <w:t xml:space="preserve">an </w:t>
      </w:r>
      <w:r w:rsidRPr="00927302">
        <w:t xml:space="preserve">inclining block structure and </w:t>
      </w:r>
      <w:r w:rsidR="006E2AB0">
        <w:t>two</w:t>
      </w:r>
      <w:r w:rsidRPr="00927302">
        <w:t xml:space="preserve"> consumption steps.</w:t>
      </w:r>
      <w:r>
        <w:t xml:space="preserve"> </w:t>
      </w:r>
      <w:r w:rsidR="002E3611">
        <w:t xml:space="preserve"> </w:t>
      </w:r>
      <w:r w:rsidR="00575C9A">
        <w:fldChar w:fldCharType="begin"/>
      </w:r>
      <w:r>
        <w:instrText xml:space="preserve"> REF _Ref134090407 \h </w:instrText>
      </w:r>
      <w:r w:rsidR="00575C9A">
        <w:fldChar w:fldCharType="separate"/>
      </w:r>
      <w:r w:rsidR="00A81AFE" w:rsidRPr="00ED766C">
        <w:t xml:space="preserve">Table </w:t>
      </w:r>
      <w:r w:rsidR="00A81AFE">
        <w:rPr>
          <w:noProof/>
        </w:rPr>
        <w:t>41</w:t>
      </w:r>
      <w:r w:rsidR="00575C9A">
        <w:fldChar w:fldCharType="end"/>
      </w:r>
      <w:r w:rsidRPr="00927302">
        <w:t xml:space="preserve"> shows the </w:t>
      </w:r>
      <w:r w:rsidR="003342B3">
        <w:t>2015/16</w:t>
      </w:r>
      <w:r>
        <w:t xml:space="preserve"> </w:t>
      </w:r>
      <w:r w:rsidRPr="00927302">
        <w:t xml:space="preserve">annual bill </w:t>
      </w:r>
      <w:r w:rsidRPr="00ED766C">
        <w:t>and price change for this tariff, for a range of annual consumption levels.</w:t>
      </w:r>
    </w:p>
    <w:p w:rsidR="003C6732" w:rsidRDefault="003C6732" w:rsidP="0044594F">
      <w:pPr>
        <w:keepNext/>
      </w:pPr>
    </w:p>
    <w:p w:rsidR="0044594F" w:rsidRDefault="0044594F" w:rsidP="0044594F">
      <w:pPr>
        <w:keepNext/>
      </w:pPr>
      <w:r>
        <w:t xml:space="preserve">The table shows NUoS being the impact of distribution, transmission and PV JSA FiT pass-throughs on the annual electricity bill (inclusive of the </w:t>
      </w:r>
      <w:r w:rsidR="00817754">
        <w:t xml:space="preserve">AGL </w:t>
      </w:r>
      <w:r w:rsidR="002E3611">
        <w:t>transitional contract</w:t>
      </w:r>
      <w:r w:rsidR="00817754">
        <w:t xml:space="preserve"> </w:t>
      </w:r>
      <w:r>
        <w:t xml:space="preserve">retail charges).  The table also shows (as DUoS) the </w:t>
      </w:r>
      <w:r w:rsidR="00EA36E3">
        <w:t>SA Power Networks</w:t>
      </w:r>
      <w:r>
        <w:t>’ related price changes</w:t>
      </w:r>
      <w:r w:rsidR="002E3611">
        <w:t xml:space="preserve"> </w:t>
      </w:r>
      <w:r w:rsidR="00F91292">
        <w:t xml:space="preserve">but excludes the </w:t>
      </w:r>
      <w:r w:rsidR="001B6579">
        <w:t xml:space="preserve">Alternative </w:t>
      </w:r>
      <w:r w:rsidR="003E6D81">
        <w:t>C</w:t>
      </w:r>
      <w:r w:rsidR="001B6579">
        <w:t>ontrol</w:t>
      </w:r>
      <w:r w:rsidR="002E3611">
        <w:t xml:space="preserve"> </w:t>
      </w:r>
      <w:r w:rsidR="003E6D81">
        <w:t xml:space="preserve">Services </w:t>
      </w:r>
      <w:r w:rsidR="000B7F94">
        <w:t>Type 6</w:t>
      </w:r>
      <w:r w:rsidR="002E3611">
        <w:t xml:space="preserve"> metering</w:t>
      </w:r>
      <w:r w:rsidR="00F91292">
        <w:t xml:space="preserve"> typically associated with this customer</w:t>
      </w:r>
      <w:r>
        <w:t>.</w:t>
      </w:r>
    </w:p>
    <w:p w:rsidR="003C6732" w:rsidRPr="00927302" w:rsidRDefault="003C6732" w:rsidP="0044594F">
      <w:pPr>
        <w:keepNext/>
      </w:pPr>
    </w:p>
    <w:p w:rsidR="0044594F" w:rsidRPr="00ED766C" w:rsidRDefault="0044594F" w:rsidP="0044594F">
      <w:pPr>
        <w:pStyle w:val="Caption"/>
        <w:keepNext/>
      </w:pPr>
      <w:bookmarkStart w:id="121" w:name="_Ref134090407"/>
      <w:r w:rsidRPr="00ED766C">
        <w:t xml:space="preserve">Table </w:t>
      </w:r>
      <w:r w:rsidR="00924A8F">
        <w:fldChar w:fldCharType="begin"/>
      </w:r>
      <w:r w:rsidR="00924A8F">
        <w:instrText xml:space="preserve"> SEQ Table \* ARABIC </w:instrText>
      </w:r>
      <w:r w:rsidR="00924A8F">
        <w:fldChar w:fldCharType="separate"/>
      </w:r>
      <w:r w:rsidR="00A81AFE">
        <w:rPr>
          <w:noProof/>
        </w:rPr>
        <w:t>41</w:t>
      </w:r>
      <w:r w:rsidR="00924A8F">
        <w:rPr>
          <w:noProof/>
        </w:rPr>
        <w:fldChar w:fldCharType="end"/>
      </w:r>
      <w:bookmarkEnd w:id="121"/>
      <w:r w:rsidRPr="00ED766C">
        <w:t xml:space="preserve"> - Low voltage business single rate NUoS price change in </w:t>
      </w:r>
      <w:r w:rsidR="003342B3">
        <w:t>2015/16</w:t>
      </w:r>
    </w:p>
    <w:p w:rsidR="0044594F" w:rsidRDefault="005E1CD9" w:rsidP="0044594F">
      <w:r w:rsidRPr="005E1CD9">
        <w:rPr>
          <w:noProof/>
          <w:lang w:val="en-US"/>
        </w:rPr>
        <w:drawing>
          <wp:inline distT="0" distB="0" distL="0" distR="0">
            <wp:extent cx="5499735" cy="1630045"/>
            <wp:effectExtent l="19050" t="0" r="5715"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a:stretch>
                      <a:fillRect/>
                    </a:stretch>
                  </pic:blipFill>
                  <pic:spPr bwMode="auto">
                    <a:xfrm>
                      <a:off x="0" y="0"/>
                      <a:ext cx="5499735" cy="1630045"/>
                    </a:xfrm>
                    <a:prstGeom prst="rect">
                      <a:avLst/>
                    </a:prstGeom>
                    <a:noFill/>
                    <a:ln w="9525">
                      <a:noFill/>
                      <a:miter lim="800000"/>
                      <a:headEnd/>
                      <a:tailEnd/>
                    </a:ln>
                  </pic:spPr>
                </pic:pic>
              </a:graphicData>
            </a:graphic>
          </wp:inline>
        </w:drawing>
      </w:r>
    </w:p>
    <w:p w:rsidR="003C6732" w:rsidRDefault="003C6732" w:rsidP="0044594F"/>
    <w:p w:rsidR="0044594F" w:rsidRPr="00ED766C" w:rsidRDefault="0044594F" w:rsidP="0044594F">
      <w:r w:rsidRPr="00ED766C">
        <w:t xml:space="preserve">The price change versus annual consumption and the distribution of customers for the low voltage business single rate tariff is illustrated in </w:t>
      </w:r>
      <w:r w:rsidR="00924A8F">
        <w:fldChar w:fldCharType="begin"/>
      </w:r>
      <w:r w:rsidR="00924A8F">
        <w:instrText xml:space="preserve"> REF _Ref134090433 \h  \* MERGEFORMAT </w:instrText>
      </w:r>
      <w:r w:rsidR="00924A8F">
        <w:fldChar w:fldCharType="separate"/>
      </w:r>
      <w:r w:rsidR="00A81AFE" w:rsidRPr="00ED766C">
        <w:t xml:space="preserve">Figure </w:t>
      </w:r>
      <w:r w:rsidR="00A81AFE">
        <w:t>8</w:t>
      </w:r>
      <w:r w:rsidR="00924A8F">
        <w:fldChar w:fldCharType="end"/>
      </w:r>
      <w:r w:rsidRPr="00ED766C">
        <w:t xml:space="preserve">. </w:t>
      </w:r>
      <w:r>
        <w:t>Within this chart, the impacts of the DUoS change and the cumulative effects of the TUoS change and the PV JSA, recovered through NUoS are separately indicated.</w:t>
      </w:r>
    </w:p>
    <w:p w:rsidR="0044594F" w:rsidRPr="00927302" w:rsidRDefault="0044594F" w:rsidP="0044594F">
      <w:pPr>
        <w:pStyle w:val="Caption"/>
        <w:keepNext/>
      </w:pPr>
      <w:bookmarkStart w:id="122" w:name="_Ref134090433"/>
      <w:r w:rsidRPr="00ED766C">
        <w:t xml:space="preserve">Figure </w:t>
      </w:r>
      <w:r w:rsidR="00924A8F">
        <w:fldChar w:fldCharType="begin"/>
      </w:r>
      <w:r w:rsidR="00924A8F">
        <w:instrText xml:space="preserve"> SEQ Figure \* ARABIC </w:instrText>
      </w:r>
      <w:r w:rsidR="00924A8F">
        <w:fldChar w:fldCharType="separate"/>
      </w:r>
      <w:r w:rsidR="00A81AFE">
        <w:rPr>
          <w:noProof/>
        </w:rPr>
        <w:t>8</w:t>
      </w:r>
      <w:r w:rsidR="00924A8F">
        <w:rPr>
          <w:noProof/>
        </w:rPr>
        <w:fldChar w:fldCharType="end"/>
      </w:r>
      <w:bookmarkEnd w:id="122"/>
      <w:r w:rsidRPr="00ED766C">
        <w:t xml:space="preserve"> - Low voltage business single rate NUoS price change in </w:t>
      </w:r>
      <w:r w:rsidR="00D46D61">
        <w:t>2015/16</w:t>
      </w:r>
    </w:p>
    <w:p w:rsidR="0044594F" w:rsidRDefault="005E1CD9" w:rsidP="0044594F">
      <w:pPr>
        <w:keepNext/>
        <w:rPr>
          <w:highlight w:val="yellow"/>
        </w:rPr>
      </w:pPr>
      <w:r w:rsidRPr="005E1CD9">
        <w:rPr>
          <w:noProof/>
          <w:lang w:val="en-US"/>
        </w:rPr>
        <w:drawing>
          <wp:inline distT="0" distB="0" distL="0" distR="0">
            <wp:extent cx="5732145" cy="3521728"/>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3C6732" w:rsidRDefault="003C6732" w:rsidP="0044594F">
      <w:pPr>
        <w:keepNext/>
      </w:pPr>
    </w:p>
    <w:p w:rsidR="0044594F" w:rsidRDefault="0044594F" w:rsidP="0044594F">
      <w:pPr>
        <w:keepNext/>
      </w:pPr>
      <w:r w:rsidRPr="006F31F6">
        <w:t xml:space="preserve">The equivalent impact of the </w:t>
      </w:r>
      <w:r w:rsidR="00D46D61">
        <w:t>2015/16</w:t>
      </w:r>
      <w:r w:rsidRPr="006F31F6">
        <w:t xml:space="preserve"> price change on the current </w:t>
      </w:r>
      <w:r w:rsidR="00817754">
        <w:t xml:space="preserve">AGL </w:t>
      </w:r>
      <w:r w:rsidR="002E3611">
        <w:t>transitional contract</w:t>
      </w:r>
      <w:r w:rsidR="00817754">
        <w:t xml:space="preserve"> </w:t>
      </w:r>
      <w:r w:rsidRPr="006F31F6">
        <w:t xml:space="preserve">retail rates for business single rate customers is shown in </w:t>
      </w:r>
      <w:r w:rsidR="00924A8F">
        <w:fldChar w:fldCharType="begin"/>
      </w:r>
      <w:r w:rsidR="00924A8F">
        <w:instrText xml:space="preserve"> REF _Ref323371525 \h  \* MERGEFORMAT </w:instrText>
      </w:r>
      <w:r w:rsidR="00924A8F">
        <w:fldChar w:fldCharType="separate"/>
      </w:r>
      <w:r w:rsidR="00A81AFE">
        <w:t>Figure 7</w:t>
      </w:r>
      <w:r w:rsidR="00924A8F">
        <w:fldChar w:fldCharType="end"/>
      </w:r>
      <w:r w:rsidR="00817754">
        <w:t>.</w:t>
      </w:r>
    </w:p>
    <w:p w:rsidR="003C6732" w:rsidRDefault="003C6732" w:rsidP="0044594F">
      <w:pPr>
        <w:keepNext/>
      </w:pPr>
    </w:p>
    <w:p w:rsidR="0099704A" w:rsidRPr="00927302" w:rsidRDefault="0044594F" w:rsidP="0099704A">
      <w:pPr>
        <w:pStyle w:val="Caption"/>
        <w:keepNext/>
      </w:pPr>
      <w:r>
        <w:t xml:space="preserve">Figure </w:t>
      </w:r>
      <w:r w:rsidR="00924A8F">
        <w:fldChar w:fldCharType="begin"/>
      </w:r>
      <w:r w:rsidR="00924A8F">
        <w:instrText xml:space="preserve"> SEQ Figure \* ARABIC </w:instrText>
      </w:r>
      <w:r w:rsidR="00924A8F">
        <w:fldChar w:fldCharType="separate"/>
      </w:r>
      <w:r w:rsidR="00A81AFE">
        <w:rPr>
          <w:noProof/>
        </w:rPr>
        <w:t>9</w:t>
      </w:r>
      <w:r w:rsidR="00924A8F">
        <w:rPr>
          <w:noProof/>
        </w:rPr>
        <w:fldChar w:fldCharType="end"/>
      </w:r>
      <w:r>
        <w:t xml:space="preserve"> - </w:t>
      </w:r>
      <w:r w:rsidR="0099704A" w:rsidRPr="00ED766C">
        <w:t xml:space="preserve">Low voltage business single rate </w:t>
      </w:r>
      <w:r w:rsidR="0099704A">
        <w:t>Retail</w:t>
      </w:r>
      <w:r w:rsidR="0099704A" w:rsidRPr="00ED766C">
        <w:t xml:space="preserve"> price change in </w:t>
      </w:r>
      <w:r w:rsidR="00D46D61">
        <w:t>2015/16</w:t>
      </w:r>
    </w:p>
    <w:p w:rsidR="0044594F" w:rsidRDefault="005E1CD9" w:rsidP="0099704A">
      <w:pPr>
        <w:pStyle w:val="Caption"/>
        <w:keepNext/>
      </w:pPr>
      <w:r w:rsidRPr="005E1CD9">
        <w:rPr>
          <w:noProof/>
          <w:lang w:val="en-US"/>
        </w:rPr>
        <w:drawing>
          <wp:inline distT="0" distB="0" distL="0" distR="0">
            <wp:extent cx="5732145" cy="3521728"/>
            <wp:effectExtent l="0" t="0" r="0" b="0"/>
            <wp:docPr id="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3C6732" w:rsidRPr="00927302" w:rsidRDefault="003C6732" w:rsidP="0044594F"/>
    <w:p w:rsidR="0044594F" w:rsidRPr="00927302" w:rsidRDefault="0044594F" w:rsidP="009A26B4">
      <w:pPr>
        <w:pStyle w:val="Heading3"/>
      </w:pPr>
      <w:r w:rsidRPr="00927302">
        <w:t>Low voltage business 2-rate tariff</w:t>
      </w:r>
    </w:p>
    <w:p w:rsidR="0044594F" w:rsidRDefault="0044594F" w:rsidP="0044594F">
      <w:pPr>
        <w:keepNext/>
      </w:pPr>
      <w:r w:rsidRPr="00927302">
        <w:t xml:space="preserve">The effect of the price change in </w:t>
      </w:r>
      <w:r w:rsidR="00D46D61">
        <w:t>2015/16</w:t>
      </w:r>
      <w:r>
        <w:t xml:space="preserve"> </w:t>
      </w:r>
      <w:r w:rsidRPr="00927302">
        <w:t xml:space="preserve">for low voltage business 2-rate will depend upon the customer consumption profile, in particular the ratio of peak to off-peak period usage. </w:t>
      </w:r>
      <w:r>
        <w:t xml:space="preserve"> </w:t>
      </w:r>
      <w:r w:rsidR="00575C9A">
        <w:fldChar w:fldCharType="begin"/>
      </w:r>
      <w:r>
        <w:instrText xml:space="preserve"> REF _Ref165606409 \h </w:instrText>
      </w:r>
      <w:r w:rsidR="00575C9A">
        <w:fldChar w:fldCharType="separate"/>
      </w:r>
      <w:r w:rsidR="00A81AFE" w:rsidRPr="006F31F6">
        <w:t xml:space="preserve">Table </w:t>
      </w:r>
      <w:r w:rsidR="00A81AFE">
        <w:rPr>
          <w:noProof/>
        </w:rPr>
        <w:t>42</w:t>
      </w:r>
      <w:r w:rsidR="00575C9A">
        <w:fldChar w:fldCharType="end"/>
      </w:r>
      <w:r w:rsidRPr="00927302">
        <w:t xml:space="preserve"> shows </w:t>
      </w:r>
      <w:r>
        <w:t xml:space="preserve">how </w:t>
      </w:r>
      <w:r w:rsidRPr="00927302">
        <w:t xml:space="preserve">the </w:t>
      </w:r>
      <w:r w:rsidR="00D46D61">
        <w:t>2015/16</w:t>
      </w:r>
      <w:r>
        <w:t xml:space="preserve"> </w:t>
      </w:r>
      <w:r w:rsidRPr="00927302">
        <w:t xml:space="preserve">annual bill </w:t>
      </w:r>
      <w:r>
        <w:t xml:space="preserve">has </w:t>
      </w:r>
      <w:r w:rsidRPr="00927302">
        <w:t>change</w:t>
      </w:r>
      <w:r>
        <w:t>d</w:t>
      </w:r>
      <w:r w:rsidRPr="00927302">
        <w:t xml:space="preserve"> for this tariff</w:t>
      </w:r>
      <w:r>
        <w:t>,</w:t>
      </w:r>
      <w:r w:rsidRPr="00927302">
        <w:t xml:space="preserve"> for different customer consumption levels</w:t>
      </w:r>
      <w:r>
        <w:t xml:space="preserve"> and average peak to off peak </w:t>
      </w:r>
      <w:r w:rsidRPr="006F31F6">
        <w:t>consumption proportions of 50%.</w:t>
      </w:r>
    </w:p>
    <w:p w:rsidR="003C6732" w:rsidRDefault="003C6732" w:rsidP="0044594F">
      <w:pPr>
        <w:keepNext/>
      </w:pPr>
    </w:p>
    <w:p w:rsidR="0044594F" w:rsidRDefault="0044594F" w:rsidP="0044594F">
      <w:pPr>
        <w:keepNext/>
      </w:pPr>
      <w:r>
        <w:t xml:space="preserve">The table shows NUoS being the impact of distribution, transmission and PV JSA FiT pass-throughs on the annual electricity bill (inclusive of the </w:t>
      </w:r>
      <w:r w:rsidR="00817754">
        <w:t xml:space="preserve">AGL </w:t>
      </w:r>
      <w:r w:rsidR="00451CFB">
        <w:t>transitional tariff</w:t>
      </w:r>
      <w:r w:rsidR="00817754">
        <w:t xml:space="preserve"> </w:t>
      </w:r>
      <w:r>
        <w:t xml:space="preserve">retail charges).  The table also shows (as DUoS) the </w:t>
      </w:r>
      <w:r w:rsidR="00EA36E3">
        <w:t>SA Power Networks</w:t>
      </w:r>
      <w:r>
        <w:t>’ related price changes</w:t>
      </w:r>
      <w:r w:rsidR="002E3611">
        <w:t xml:space="preserve"> </w:t>
      </w:r>
      <w:r w:rsidR="00451CFB">
        <w:t xml:space="preserve">but excludes the </w:t>
      </w:r>
      <w:r w:rsidR="002E3611">
        <w:t xml:space="preserve"> </w:t>
      </w:r>
      <w:r w:rsidR="001B6579">
        <w:t>Alternative control</w:t>
      </w:r>
      <w:r w:rsidR="002E3611">
        <w:t xml:space="preserve"> </w:t>
      </w:r>
      <w:r w:rsidR="000B7F94">
        <w:t>Type 6</w:t>
      </w:r>
      <w:r w:rsidR="002E3611">
        <w:t xml:space="preserve"> metering</w:t>
      </w:r>
      <w:r w:rsidR="00451CFB">
        <w:t xml:space="preserve"> charge typically associated with this customer</w:t>
      </w:r>
      <w:r>
        <w:t>.</w:t>
      </w:r>
    </w:p>
    <w:p w:rsidR="003C6732" w:rsidRPr="00927302" w:rsidRDefault="003C6732" w:rsidP="0044594F">
      <w:pPr>
        <w:keepNext/>
      </w:pPr>
    </w:p>
    <w:p w:rsidR="0044594F" w:rsidRDefault="0044594F" w:rsidP="0044594F">
      <w:pPr>
        <w:pStyle w:val="Caption"/>
        <w:keepNext/>
      </w:pPr>
      <w:bookmarkStart w:id="123" w:name="_Ref165606409"/>
      <w:r w:rsidRPr="006F31F6">
        <w:t xml:space="preserve">Table </w:t>
      </w:r>
      <w:r w:rsidR="00924A8F">
        <w:fldChar w:fldCharType="begin"/>
      </w:r>
      <w:r w:rsidR="00924A8F">
        <w:instrText xml:space="preserve"> SEQ Table \* ARABIC </w:instrText>
      </w:r>
      <w:r w:rsidR="00924A8F">
        <w:fldChar w:fldCharType="separate"/>
      </w:r>
      <w:r w:rsidR="00A81AFE">
        <w:rPr>
          <w:noProof/>
        </w:rPr>
        <w:t>42</w:t>
      </w:r>
      <w:r w:rsidR="00924A8F">
        <w:rPr>
          <w:noProof/>
        </w:rPr>
        <w:fldChar w:fldCharType="end"/>
      </w:r>
      <w:bookmarkEnd w:id="123"/>
      <w:r w:rsidRPr="006F31F6">
        <w:t xml:space="preserve"> - Low voltage business 2-rate NUoS price change in </w:t>
      </w:r>
      <w:r w:rsidR="00D46D61">
        <w:t>2015/16</w:t>
      </w:r>
    </w:p>
    <w:p w:rsidR="0044594F" w:rsidRPr="00ED766C" w:rsidRDefault="005E1CD9" w:rsidP="0044594F">
      <w:r w:rsidRPr="005E1CD9">
        <w:rPr>
          <w:noProof/>
          <w:lang w:val="en-US"/>
        </w:rPr>
        <w:drawing>
          <wp:inline distT="0" distB="0" distL="0" distR="0">
            <wp:extent cx="5499735" cy="1630045"/>
            <wp:effectExtent l="19050" t="0" r="5715"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srcRect/>
                    <a:stretch>
                      <a:fillRect/>
                    </a:stretch>
                  </pic:blipFill>
                  <pic:spPr bwMode="auto">
                    <a:xfrm>
                      <a:off x="0" y="0"/>
                      <a:ext cx="5499735" cy="1630045"/>
                    </a:xfrm>
                    <a:prstGeom prst="rect">
                      <a:avLst/>
                    </a:prstGeom>
                    <a:noFill/>
                    <a:ln w="9525">
                      <a:noFill/>
                      <a:miter lim="800000"/>
                      <a:headEnd/>
                      <a:tailEnd/>
                    </a:ln>
                  </pic:spPr>
                </pic:pic>
              </a:graphicData>
            </a:graphic>
          </wp:inline>
        </w:drawing>
      </w:r>
    </w:p>
    <w:p w:rsidR="003C6732" w:rsidRDefault="003C6732" w:rsidP="0044594F"/>
    <w:p w:rsidR="0044594F" w:rsidRDefault="0044594F" w:rsidP="0044594F">
      <w:r>
        <w:t>A</w:t>
      </w:r>
      <w:r w:rsidRPr="00927302">
        <w:t xml:space="preserve"> chart displaying the </w:t>
      </w:r>
      <w:r w:rsidRPr="0088381F">
        <w:t xml:space="preserve">bill impact vs </w:t>
      </w:r>
      <w:r w:rsidRPr="006F31F6">
        <w:t xml:space="preserve">customer consumption is shown in </w:t>
      </w:r>
      <w:r w:rsidR="00924A8F">
        <w:fldChar w:fldCharType="begin"/>
      </w:r>
      <w:r w:rsidR="00924A8F">
        <w:instrText xml:space="preserve"> REF _Ref134091491 \h  \* MERGEFORMAT </w:instrText>
      </w:r>
      <w:r w:rsidR="00924A8F">
        <w:fldChar w:fldCharType="separate"/>
      </w:r>
      <w:r w:rsidR="00A81AFE" w:rsidRPr="006F31F6">
        <w:t xml:space="preserve">Figure </w:t>
      </w:r>
      <w:r w:rsidR="00A81AFE">
        <w:rPr>
          <w:noProof/>
        </w:rPr>
        <w:t>10</w:t>
      </w:r>
      <w:r w:rsidR="00924A8F">
        <w:fldChar w:fldCharType="end"/>
      </w:r>
      <w:r w:rsidR="00451CFB">
        <w:t>.</w:t>
      </w:r>
      <w:r>
        <w:t xml:space="preserve"> </w:t>
      </w:r>
      <w:r w:rsidRPr="00D05684">
        <w:t xml:space="preserve"> </w:t>
      </w:r>
      <w:r>
        <w:t>Within this chart, the impacts of the DUoS change and the cumulative effects of the TUoS change and the PV JSA, recovered through NUoS are separately indicated.</w:t>
      </w:r>
    </w:p>
    <w:p w:rsidR="003C6732" w:rsidRPr="006F31F6" w:rsidRDefault="003C6732" w:rsidP="0044594F"/>
    <w:p w:rsidR="0044594F" w:rsidRPr="00927302" w:rsidRDefault="0044594F" w:rsidP="0044594F">
      <w:pPr>
        <w:pStyle w:val="Caption"/>
        <w:keepNext/>
      </w:pPr>
      <w:bookmarkStart w:id="124" w:name="_Ref134091491"/>
      <w:r w:rsidRPr="006F31F6">
        <w:t xml:space="preserve">Figure </w:t>
      </w:r>
      <w:r w:rsidR="00924A8F">
        <w:fldChar w:fldCharType="begin"/>
      </w:r>
      <w:r w:rsidR="00924A8F">
        <w:instrText xml:space="preserve"> SEQ Figure \* ARABIC </w:instrText>
      </w:r>
      <w:r w:rsidR="00924A8F">
        <w:fldChar w:fldCharType="separate"/>
      </w:r>
      <w:r w:rsidR="00A81AFE">
        <w:rPr>
          <w:noProof/>
        </w:rPr>
        <w:t>10</w:t>
      </w:r>
      <w:r w:rsidR="00924A8F">
        <w:rPr>
          <w:noProof/>
        </w:rPr>
        <w:fldChar w:fldCharType="end"/>
      </w:r>
      <w:bookmarkEnd w:id="124"/>
      <w:r w:rsidRPr="006F31F6">
        <w:t xml:space="preserve"> - Low voltage business 2-rate NUoS change in </w:t>
      </w:r>
      <w:r w:rsidR="00D46D61">
        <w:t>2015/16</w:t>
      </w:r>
      <w:r w:rsidRPr="006F31F6">
        <w:t>, 50% peak consumption</w:t>
      </w:r>
    </w:p>
    <w:p w:rsidR="0044594F" w:rsidRPr="00927302" w:rsidRDefault="00DB0C7B" w:rsidP="0044594F">
      <w:r w:rsidRPr="00DB0C7B">
        <w:rPr>
          <w:noProof/>
          <w:lang w:val="en-US"/>
        </w:rPr>
        <w:drawing>
          <wp:inline distT="0" distB="0" distL="0" distR="0">
            <wp:extent cx="5732145" cy="3521728"/>
            <wp:effectExtent l="0" t="0" r="0" b="0"/>
            <wp:docPr id="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3C6732" w:rsidRDefault="0044594F" w:rsidP="0044594F">
      <w:pPr>
        <w:keepNext/>
      </w:pPr>
      <w:r w:rsidRPr="006F31F6">
        <w:t xml:space="preserve">The equivalent impact of the </w:t>
      </w:r>
      <w:r w:rsidR="00D46D61">
        <w:t>2015/16</w:t>
      </w:r>
      <w:r w:rsidRPr="006F31F6">
        <w:t xml:space="preserve"> price change on the current </w:t>
      </w:r>
      <w:r w:rsidR="00817754">
        <w:t xml:space="preserve">AGL </w:t>
      </w:r>
      <w:r w:rsidR="008A19DD">
        <w:t>transitional contract</w:t>
      </w:r>
      <w:r w:rsidR="00817754">
        <w:t xml:space="preserve"> </w:t>
      </w:r>
      <w:r w:rsidRPr="006F31F6">
        <w:t xml:space="preserve">retail rates for business </w:t>
      </w:r>
      <w:r w:rsidR="008A19DD">
        <w:t xml:space="preserve">two </w:t>
      </w:r>
      <w:r w:rsidRPr="006F31F6">
        <w:t xml:space="preserve">rate customers is shown in </w:t>
      </w:r>
      <w:r w:rsidR="00924A8F">
        <w:fldChar w:fldCharType="begin"/>
      </w:r>
      <w:r w:rsidR="00924A8F">
        <w:instrText xml:space="preserve"> REF _Ref136590521 \h  \* MERGEFORMAT </w:instrText>
      </w:r>
      <w:r w:rsidR="00924A8F">
        <w:fldChar w:fldCharType="separate"/>
      </w:r>
      <w:r w:rsidR="00A81AFE" w:rsidRPr="006F31F6">
        <w:t xml:space="preserve">Figure </w:t>
      </w:r>
      <w:r w:rsidR="00A81AFE">
        <w:rPr>
          <w:noProof/>
        </w:rPr>
        <w:t>11</w:t>
      </w:r>
      <w:r w:rsidR="00924A8F">
        <w:fldChar w:fldCharType="end"/>
      </w:r>
      <w:r w:rsidRPr="006F31F6">
        <w:t xml:space="preserve">. </w:t>
      </w:r>
    </w:p>
    <w:p w:rsidR="00817754" w:rsidRPr="006F31F6" w:rsidRDefault="00817754" w:rsidP="0044594F">
      <w:pPr>
        <w:keepNext/>
      </w:pPr>
    </w:p>
    <w:p w:rsidR="0044594F" w:rsidRPr="006F31F6" w:rsidRDefault="0044594F" w:rsidP="0044594F">
      <w:pPr>
        <w:pStyle w:val="Caption"/>
        <w:keepNext/>
      </w:pPr>
      <w:bookmarkStart w:id="125" w:name="_Ref136590521"/>
      <w:r w:rsidRPr="006F31F6">
        <w:t xml:space="preserve">Figure </w:t>
      </w:r>
      <w:r w:rsidR="00924A8F">
        <w:fldChar w:fldCharType="begin"/>
      </w:r>
      <w:r w:rsidR="00924A8F">
        <w:instrText xml:space="preserve"> SEQ Figure \* ARABIC </w:instrText>
      </w:r>
      <w:r w:rsidR="00924A8F">
        <w:fldChar w:fldCharType="separate"/>
      </w:r>
      <w:r w:rsidR="00A81AFE">
        <w:rPr>
          <w:noProof/>
        </w:rPr>
        <w:t>11</w:t>
      </w:r>
      <w:r w:rsidR="00924A8F">
        <w:rPr>
          <w:noProof/>
        </w:rPr>
        <w:fldChar w:fldCharType="end"/>
      </w:r>
      <w:bookmarkEnd w:id="125"/>
      <w:r w:rsidRPr="006F31F6">
        <w:t xml:space="preserve"> - Low voltage business 2-rate Retail change in </w:t>
      </w:r>
      <w:r w:rsidR="00D46D61">
        <w:t>2015/16</w:t>
      </w:r>
      <w:r w:rsidRPr="006F31F6">
        <w:t>, 50% peak consumption</w:t>
      </w:r>
    </w:p>
    <w:p w:rsidR="0044594F" w:rsidRDefault="00DB0C7B" w:rsidP="0044594F">
      <w:pPr>
        <w:rPr>
          <w:noProof/>
          <w:lang w:eastAsia="en-AU"/>
        </w:rPr>
      </w:pPr>
      <w:r w:rsidRPr="00DB0C7B">
        <w:rPr>
          <w:noProof/>
          <w:lang w:val="en-US"/>
        </w:rPr>
        <w:drawing>
          <wp:inline distT="0" distB="0" distL="0" distR="0">
            <wp:extent cx="5732145" cy="3521728"/>
            <wp:effectExtent l="0" t="0" r="0" b="0"/>
            <wp:docPr id="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99704A" w:rsidRDefault="0099704A" w:rsidP="0044594F"/>
    <w:p w:rsidR="00B70CF3" w:rsidRDefault="008A19DD" w:rsidP="0044594F">
      <w:r>
        <w:t xml:space="preserve">Some </w:t>
      </w:r>
      <w:r w:rsidR="00451CFB">
        <w:t xml:space="preserve">business 2-rate </w:t>
      </w:r>
      <w:r>
        <w:t xml:space="preserve">customers use more than 50% of their energy during peak times.  These customers will receive a slightly </w:t>
      </w:r>
      <w:r w:rsidR="009C379D">
        <w:t>larger</w:t>
      </w:r>
      <w:r>
        <w:t xml:space="preserve"> price </w:t>
      </w:r>
      <w:r w:rsidR="0093085E">
        <w:t>de</w:t>
      </w:r>
      <w:r>
        <w:t>crease than indicated above.  Other customers use more than 50% of their energy in off-peak times</w:t>
      </w:r>
      <w:r w:rsidR="009C379D">
        <w:t xml:space="preserve"> and will receive a smaller </w:t>
      </w:r>
      <w:r w:rsidR="0093085E">
        <w:t>de</w:t>
      </w:r>
      <w:r w:rsidR="009C379D">
        <w:t>crease</w:t>
      </w:r>
      <w:r>
        <w:t xml:space="preserve">.  </w:t>
      </w:r>
      <w:r w:rsidR="009C379D">
        <w:t xml:space="preserve">Off-peak NUoS prices were held at the low 2014/15 price level whilst peak prices were reduced from a high price level.  </w:t>
      </w:r>
      <w:r>
        <w:t xml:space="preserve">The charts below indicate the outcomes for customers using 75% of their energy in off-peak times.  </w:t>
      </w:r>
    </w:p>
    <w:p w:rsidR="00B70CF3" w:rsidRDefault="00B70CF3" w:rsidP="0044594F"/>
    <w:p w:rsidR="00451CFB" w:rsidRPr="00927302" w:rsidRDefault="00451CFB" w:rsidP="00451CFB">
      <w:pPr>
        <w:pStyle w:val="Caption"/>
        <w:keepNext/>
      </w:pPr>
      <w:r w:rsidRPr="006F31F6">
        <w:t xml:space="preserve">Figure </w:t>
      </w:r>
      <w:r w:rsidR="00924A8F">
        <w:fldChar w:fldCharType="begin"/>
      </w:r>
      <w:r w:rsidR="00924A8F">
        <w:instrText xml:space="preserve"> SEQ Figure \* ARABIC </w:instrText>
      </w:r>
      <w:r w:rsidR="00924A8F">
        <w:fldChar w:fldCharType="separate"/>
      </w:r>
      <w:r w:rsidR="00A81AFE">
        <w:rPr>
          <w:noProof/>
        </w:rPr>
        <w:t>12</w:t>
      </w:r>
      <w:r w:rsidR="00924A8F">
        <w:rPr>
          <w:noProof/>
        </w:rPr>
        <w:fldChar w:fldCharType="end"/>
      </w:r>
      <w:r w:rsidRPr="006F31F6">
        <w:t xml:space="preserve"> - Low voltage business 2-rate NUoS change in </w:t>
      </w:r>
      <w:r w:rsidR="00D46D61">
        <w:t>2015/16</w:t>
      </w:r>
      <w:r w:rsidRPr="006F31F6">
        <w:t xml:space="preserve">, </w:t>
      </w:r>
      <w:r>
        <w:t>25</w:t>
      </w:r>
      <w:r w:rsidRPr="006F31F6">
        <w:t>% peak consumption</w:t>
      </w:r>
    </w:p>
    <w:p w:rsidR="00451CFB" w:rsidRPr="00927302" w:rsidRDefault="00DB0C7B" w:rsidP="00451CFB">
      <w:r w:rsidRPr="00DB0C7B">
        <w:rPr>
          <w:noProof/>
          <w:lang w:val="en-US"/>
        </w:rPr>
        <w:drawing>
          <wp:inline distT="0" distB="0" distL="0" distR="0">
            <wp:extent cx="5732145" cy="3521728"/>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8A19DD" w:rsidRDefault="008A19DD" w:rsidP="0044594F"/>
    <w:p w:rsidR="00451CFB" w:rsidRPr="006F31F6" w:rsidRDefault="00451CFB" w:rsidP="00451CFB">
      <w:pPr>
        <w:pStyle w:val="Caption"/>
        <w:keepNext/>
      </w:pPr>
      <w:r w:rsidRPr="006F31F6">
        <w:t xml:space="preserve">Figure </w:t>
      </w:r>
      <w:r w:rsidR="00924A8F">
        <w:fldChar w:fldCharType="begin"/>
      </w:r>
      <w:r w:rsidR="00924A8F">
        <w:instrText xml:space="preserve"> SEQ Figure \* ARABIC </w:instrText>
      </w:r>
      <w:r w:rsidR="00924A8F">
        <w:fldChar w:fldCharType="separate"/>
      </w:r>
      <w:r w:rsidR="00A81AFE">
        <w:rPr>
          <w:noProof/>
        </w:rPr>
        <w:t>13</w:t>
      </w:r>
      <w:r w:rsidR="00924A8F">
        <w:rPr>
          <w:noProof/>
        </w:rPr>
        <w:fldChar w:fldCharType="end"/>
      </w:r>
      <w:r w:rsidRPr="006F31F6">
        <w:t xml:space="preserve"> - Low voltage business 2-rate Retail change in </w:t>
      </w:r>
      <w:r w:rsidR="00D46D61">
        <w:t>2015/16</w:t>
      </w:r>
      <w:r w:rsidRPr="006F31F6">
        <w:t xml:space="preserve">, </w:t>
      </w:r>
      <w:r>
        <w:t>25</w:t>
      </w:r>
      <w:r w:rsidRPr="006F31F6">
        <w:t>% peak consumption</w:t>
      </w:r>
    </w:p>
    <w:p w:rsidR="00451CFB" w:rsidRDefault="00DB0C7B" w:rsidP="00451CFB">
      <w:pPr>
        <w:rPr>
          <w:noProof/>
          <w:lang w:eastAsia="en-AU"/>
        </w:rPr>
      </w:pPr>
      <w:r w:rsidRPr="00DB0C7B">
        <w:rPr>
          <w:noProof/>
          <w:lang w:val="en-US"/>
        </w:rPr>
        <w:drawing>
          <wp:inline distT="0" distB="0" distL="0" distR="0">
            <wp:extent cx="5732145" cy="3521728"/>
            <wp:effectExtent l="0" t="0" r="0" b="0"/>
            <wp:docPr id="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srcRect/>
                    <a:stretch>
                      <a:fillRect/>
                    </a:stretch>
                  </pic:blipFill>
                  <pic:spPr bwMode="auto">
                    <a:xfrm>
                      <a:off x="0" y="0"/>
                      <a:ext cx="5732145" cy="3521728"/>
                    </a:xfrm>
                    <a:prstGeom prst="rect">
                      <a:avLst/>
                    </a:prstGeom>
                    <a:noFill/>
                    <a:ln w="9525">
                      <a:noFill/>
                      <a:miter lim="800000"/>
                      <a:headEnd/>
                      <a:tailEnd/>
                    </a:ln>
                  </pic:spPr>
                </pic:pic>
              </a:graphicData>
            </a:graphic>
          </wp:inline>
        </w:drawing>
      </w:r>
    </w:p>
    <w:p w:rsidR="00DB0C7B" w:rsidRDefault="00DB0C7B" w:rsidP="00451CFB">
      <w:pPr>
        <w:rPr>
          <w:noProof/>
          <w:lang w:eastAsia="en-AU"/>
        </w:rPr>
      </w:pPr>
    </w:p>
    <w:p w:rsidR="00DB0C7B" w:rsidRDefault="00DB0C7B" w:rsidP="00451CFB">
      <w:pPr>
        <w:rPr>
          <w:noProof/>
          <w:lang w:eastAsia="en-AU"/>
        </w:rPr>
      </w:pPr>
    </w:p>
    <w:p w:rsidR="0044594F" w:rsidRPr="00927302" w:rsidRDefault="0044594F" w:rsidP="009A26B4">
      <w:pPr>
        <w:pStyle w:val="Heading3"/>
      </w:pPr>
      <w:r w:rsidRPr="00927302">
        <w:t xml:space="preserve">Low Voltage kVA </w:t>
      </w:r>
      <w:r w:rsidR="00B51717">
        <w:t xml:space="preserve">agreed </w:t>
      </w:r>
      <w:r w:rsidRPr="00927302">
        <w:t>demand</w:t>
      </w:r>
      <w:r w:rsidR="00733F75">
        <w:t>/actual demand/transition actual demand</w:t>
      </w:r>
      <w:r w:rsidRPr="00927302">
        <w:t xml:space="preserve"> tariff</w:t>
      </w:r>
    </w:p>
    <w:p w:rsidR="00733F75" w:rsidRDefault="00733F75" w:rsidP="00733F75">
      <w:r w:rsidRPr="00733F75">
        <w:t xml:space="preserve">The average NUoS price </w:t>
      </w:r>
      <w:r>
        <w:t>decrease</w:t>
      </w:r>
      <w:r w:rsidRPr="00733F75">
        <w:t xml:space="preserve"> of </w:t>
      </w:r>
      <w:r>
        <w:t xml:space="preserve">low </w:t>
      </w:r>
      <w:r w:rsidRPr="00733F75">
        <w:t xml:space="preserve">voltage kVA </w:t>
      </w:r>
      <w:r>
        <w:t>cost reflective</w:t>
      </w:r>
      <w:r w:rsidRPr="00733F75">
        <w:t xml:space="preserve"> customers in 2015/16 is </w:t>
      </w:r>
      <w:r>
        <w:t>-</w:t>
      </w:r>
      <w:r w:rsidRPr="00733F75">
        <w:t>21%.</w:t>
      </w:r>
    </w:p>
    <w:p w:rsidR="00733F75" w:rsidRDefault="00733F75" w:rsidP="00733F75">
      <w:r>
        <w:t>This will be spread across customers on actual demand transition (64), actual demand (1250) and agreed demand (3700).</w:t>
      </w:r>
    </w:p>
    <w:p w:rsidR="00B70CF3" w:rsidRDefault="00B70CF3" w:rsidP="0044594F"/>
    <w:p w:rsidR="0044594F" w:rsidRDefault="0044594F" w:rsidP="0044594F">
      <w:pPr>
        <w:keepNext/>
      </w:pPr>
      <w:r w:rsidRPr="00927302">
        <w:t xml:space="preserve">A scatter chart displaying the bill impact vs </w:t>
      </w:r>
      <w:r w:rsidRPr="006F31F6">
        <w:t xml:space="preserve">customer annual energy consumption in MWh is shown in </w:t>
      </w:r>
      <w:r w:rsidR="00924A8F">
        <w:fldChar w:fldCharType="begin"/>
      </w:r>
      <w:r w:rsidR="00924A8F">
        <w:instrText xml:space="preserve"> REF _Ref136589362 \h  \* MERGEFORMAT </w:instrText>
      </w:r>
      <w:r w:rsidR="00924A8F">
        <w:fldChar w:fldCharType="separate"/>
      </w:r>
      <w:r w:rsidR="00A81AFE" w:rsidRPr="009865B2">
        <w:t xml:space="preserve">Figure </w:t>
      </w:r>
      <w:r w:rsidR="00A81AFE">
        <w:rPr>
          <w:noProof/>
        </w:rPr>
        <w:t>14</w:t>
      </w:r>
      <w:r w:rsidR="00924A8F">
        <w:fldChar w:fldCharType="end"/>
      </w:r>
      <w:r w:rsidRPr="006F31F6">
        <w:t>.</w:t>
      </w:r>
      <w:r>
        <w:t xml:space="preserve">  Within this chart, the cumulative effects of the TUoS change and the PV JSA, recovered through NUoS are indicated.</w:t>
      </w:r>
    </w:p>
    <w:p w:rsidR="003C6732" w:rsidRPr="006F31F6" w:rsidRDefault="003C6732" w:rsidP="0044594F">
      <w:pPr>
        <w:keepNext/>
      </w:pPr>
    </w:p>
    <w:p w:rsidR="0044594F" w:rsidRPr="00927302" w:rsidRDefault="0044594F" w:rsidP="0044594F">
      <w:pPr>
        <w:pStyle w:val="Caption"/>
        <w:keepNext/>
      </w:pPr>
      <w:bookmarkStart w:id="126" w:name="_Ref136589362"/>
      <w:r w:rsidRPr="009865B2">
        <w:t xml:space="preserve">Figure </w:t>
      </w:r>
      <w:r w:rsidR="00924A8F">
        <w:fldChar w:fldCharType="begin"/>
      </w:r>
      <w:r w:rsidR="00924A8F">
        <w:instrText xml:space="preserve"> SEQ Figure \* ARABIC </w:instrText>
      </w:r>
      <w:r w:rsidR="00924A8F">
        <w:fldChar w:fldCharType="separate"/>
      </w:r>
      <w:r w:rsidR="00A81AFE">
        <w:rPr>
          <w:noProof/>
        </w:rPr>
        <w:t>14</w:t>
      </w:r>
      <w:r w:rsidR="00924A8F">
        <w:rPr>
          <w:noProof/>
        </w:rPr>
        <w:fldChar w:fldCharType="end"/>
      </w:r>
      <w:bookmarkEnd w:id="126"/>
      <w:r w:rsidRPr="009865B2">
        <w:t xml:space="preserve"> - Low voltage business kVA NUoS change vs consumption in </w:t>
      </w:r>
      <w:r w:rsidR="00D46D61" w:rsidRPr="009865B2">
        <w:t>2015/16</w:t>
      </w:r>
    </w:p>
    <w:p w:rsidR="0044594F" w:rsidRDefault="009865B2" w:rsidP="0044594F">
      <w:pPr>
        <w:rPr>
          <w:noProof/>
          <w:lang w:eastAsia="en-AU"/>
        </w:rPr>
      </w:pPr>
      <w:r w:rsidRPr="009865B2">
        <w:rPr>
          <w:noProof/>
          <w:lang w:val="en-US"/>
        </w:rPr>
        <w:drawing>
          <wp:inline distT="0" distB="0" distL="0" distR="0">
            <wp:extent cx="5732145" cy="3743202"/>
            <wp:effectExtent l="19050" t="0" r="1905"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5732145" cy="3743202"/>
                    </a:xfrm>
                    <a:prstGeom prst="rect">
                      <a:avLst/>
                    </a:prstGeom>
                    <a:noFill/>
                    <a:ln w="9525">
                      <a:noFill/>
                      <a:miter lim="800000"/>
                      <a:headEnd/>
                      <a:tailEnd/>
                    </a:ln>
                  </pic:spPr>
                </pic:pic>
              </a:graphicData>
            </a:graphic>
          </wp:inline>
        </w:drawing>
      </w:r>
    </w:p>
    <w:p w:rsidR="0099704A" w:rsidRPr="00927302" w:rsidRDefault="0099704A" w:rsidP="0044594F"/>
    <w:p w:rsidR="0044594F" w:rsidRPr="00927302" w:rsidRDefault="0044594F" w:rsidP="009A26B4">
      <w:pPr>
        <w:pStyle w:val="Heading3"/>
      </w:pPr>
      <w:r w:rsidRPr="00927302">
        <w:t>Unmetered supply tariffs</w:t>
      </w:r>
    </w:p>
    <w:p w:rsidR="0044594F" w:rsidRDefault="0044594F" w:rsidP="0044594F">
      <w:r w:rsidRPr="00927302">
        <w:t xml:space="preserve">The average </w:t>
      </w:r>
      <w:r w:rsidR="00304620">
        <w:t>2015/16</w:t>
      </w:r>
      <w:r>
        <w:t xml:space="preserve"> </w:t>
      </w:r>
      <w:r w:rsidRPr="00927302">
        <w:t xml:space="preserve">price </w:t>
      </w:r>
      <w:r>
        <w:t xml:space="preserve">and price change from </w:t>
      </w:r>
      <w:r w:rsidR="00304620">
        <w:t>2014/15</w:t>
      </w:r>
      <w:r w:rsidR="001F6387">
        <w:t xml:space="preserve"> </w:t>
      </w:r>
      <w:r w:rsidRPr="00927302">
        <w:t xml:space="preserve">for the </w:t>
      </w:r>
      <w:r>
        <w:t>two</w:t>
      </w:r>
      <w:r w:rsidRPr="00927302">
        <w:t xml:space="preserve"> unmetered supply tariffs is shown </w:t>
      </w:r>
      <w:r>
        <w:t xml:space="preserve">in </w:t>
      </w:r>
      <w:r w:rsidR="00575C9A">
        <w:fldChar w:fldCharType="begin"/>
      </w:r>
      <w:r>
        <w:instrText xml:space="preserve"> REF _Ref136593227 \h </w:instrText>
      </w:r>
      <w:r w:rsidR="00575C9A">
        <w:fldChar w:fldCharType="separate"/>
      </w:r>
      <w:r w:rsidR="00A81AFE" w:rsidRPr="00F146D2">
        <w:t xml:space="preserve">Table </w:t>
      </w:r>
      <w:r w:rsidR="00A81AFE">
        <w:rPr>
          <w:noProof/>
        </w:rPr>
        <w:t>43</w:t>
      </w:r>
      <w:r w:rsidR="00575C9A">
        <w:fldChar w:fldCharType="end"/>
      </w:r>
      <w:r>
        <w:t>.</w:t>
      </w:r>
    </w:p>
    <w:p w:rsidR="003C6732" w:rsidRDefault="003C6732" w:rsidP="0044594F"/>
    <w:p w:rsidR="0044594F" w:rsidRDefault="0044594F" w:rsidP="0044594F">
      <w:pPr>
        <w:keepNext/>
      </w:pPr>
      <w:r>
        <w:t xml:space="preserve">The table shows (as NUoS) the impact of all network related charges (including transmission </w:t>
      </w:r>
      <w:r w:rsidR="00B51717">
        <w:t>and PV JSA FiT pass-throughs).</w:t>
      </w:r>
    </w:p>
    <w:p w:rsidR="003C6732" w:rsidRPr="00927302" w:rsidRDefault="003C6732" w:rsidP="0044594F">
      <w:pPr>
        <w:keepNext/>
      </w:pPr>
    </w:p>
    <w:p w:rsidR="00A059AD" w:rsidRPr="00A059AD" w:rsidRDefault="0044594F" w:rsidP="00A059AD">
      <w:pPr>
        <w:pStyle w:val="Caption"/>
      </w:pPr>
      <w:bookmarkStart w:id="127" w:name="_Ref136593227"/>
      <w:bookmarkStart w:id="128" w:name="_Ref136593196"/>
      <w:r w:rsidRPr="00F146D2">
        <w:t xml:space="preserve">Table </w:t>
      </w:r>
      <w:r w:rsidR="00924A8F">
        <w:fldChar w:fldCharType="begin"/>
      </w:r>
      <w:r w:rsidR="00924A8F">
        <w:instrText xml:space="preserve"> SEQ Table \* ARABIC </w:instrText>
      </w:r>
      <w:r w:rsidR="00924A8F">
        <w:fldChar w:fldCharType="separate"/>
      </w:r>
      <w:r w:rsidR="00A81AFE">
        <w:rPr>
          <w:noProof/>
        </w:rPr>
        <w:t>43</w:t>
      </w:r>
      <w:r w:rsidR="00924A8F">
        <w:rPr>
          <w:noProof/>
        </w:rPr>
        <w:fldChar w:fldCharType="end"/>
      </w:r>
      <w:bookmarkEnd w:id="127"/>
      <w:r w:rsidRPr="00F146D2">
        <w:t xml:space="preserve"> - Unmetered supply NUoS </w:t>
      </w:r>
      <w:r w:rsidR="00304620">
        <w:t>2015/16</w:t>
      </w:r>
      <w:r w:rsidRPr="00F146D2">
        <w:t xml:space="preserve"> average price and price change</w:t>
      </w:r>
      <w:bookmarkEnd w:id="128"/>
    </w:p>
    <w:p w:rsidR="0044594F" w:rsidRPr="00E86966" w:rsidRDefault="00593CC9" w:rsidP="0044594F">
      <w:r w:rsidRPr="00593CC9">
        <w:rPr>
          <w:noProof/>
          <w:lang w:val="en-US"/>
        </w:rPr>
        <w:drawing>
          <wp:inline distT="0" distB="0" distL="0" distR="0">
            <wp:extent cx="5247640" cy="1033780"/>
            <wp:effectExtent l="19050" t="0" r="0" b="0"/>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srcRect/>
                    <a:stretch>
                      <a:fillRect/>
                    </a:stretch>
                  </pic:blipFill>
                  <pic:spPr bwMode="auto">
                    <a:xfrm>
                      <a:off x="0" y="0"/>
                      <a:ext cx="5247640" cy="1033780"/>
                    </a:xfrm>
                    <a:prstGeom prst="rect">
                      <a:avLst/>
                    </a:prstGeom>
                    <a:noFill/>
                    <a:ln w="9525">
                      <a:noFill/>
                      <a:miter lim="800000"/>
                      <a:headEnd/>
                      <a:tailEnd/>
                    </a:ln>
                  </pic:spPr>
                </pic:pic>
              </a:graphicData>
            </a:graphic>
          </wp:inline>
        </w:drawing>
      </w:r>
    </w:p>
    <w:p w:rsidR="0044594F" w:rsidRPr="00927302" w:rsidRDefault="0044594F" w:rsidP="0044594F">
      <w:pPr>
        <w:pStyle w:val="Heading2"/>
        <w:keepLines w:val="0"/>
        <w:pageBreakBefore/>
        <w:numPr>
          <w:ilvl w:val="1"/>
          <w:numId w:val="16"/>
        </w:numPr>
        <w:tabs>
          <w:tab w:val="left" w:pos="851"/>
        </w:tabs>
        <w:spacing w:after="240" w:line="240" w:lineRule="auto"/>
      </w:pPr>
      <w:bookmarkStart w:id="129" w:name="_Toc420009855"/>
      <w:r w:rsidRPr="00927302">
        <w:t>High Voltage Business tariff class</w:t>
      </w:r>
      <w:bookmarkEnd w:id="129"/>
    </w:p>
    <w:p w:rsidR="0044594F" w:rsidRPr="00927302" w:rsidRDefault="0044594F" w:rsidP="009A26B4">
      <w:pPr>
        <w:pStyle w:val="Heading3"/>
      </w:pPr>
      <w:r w:rsidRPr="00927302">
        <w:t>High voltage business 2-rate tariff</w:t>
      </w:r>
      <w:r w:rsidR="00B51717">
        <w:t xml:space="preserve"> (closed)</w:t>
      </w:r>
    </w:p>
    <w:p w:rsidR="0044594F" w:rsidRDefault="00B51717" w:rsidP="0044594F">
      <w:r>
        <w:t>This tariff has been closed and all customers reassigned to another HV tariff</w:t>
      </w:r>
      <w:r w:rsidR="0044594F" w:rsidRPr="00927302">
        <w:t>.</w:t>
      </w:r>
    </w:p>
    <w:p w:rsidR="00CA18B0" w:rsidRDefault="00CA18B0" w:rsidP="0044594F"/>
    <w:p w:rsidR="00CA18B0" w:rsidRPr="00927302" w:rsidRDefault="00CA18B0" w:rsidP="00CA18B0">
      <w:pPr>
        <w:pStyle w:val="Heading3"/>
      </w:pPr>
      <w:r w:rsidRPr="00927302">
        <w:t xml:space="preserve">High voltage </w:t>
      </w:r>
      <w:r>
        <w:t xml:space="preserve">kVA </w:t>
      </w:r>
      <w:r w:rsidR="00B51717">
        <w:t xml:space="preserve">agreed </w:t>
      </w:r>
      <w:r>
        <w:t xml:space="preserve">demand &lt; </w:t>
      </w:r>
      <w:r w:rsidR="00B51717">
        <w:t>4</w:t>
      </w:r>
      <w:r>
        <w:t xml:space="preserve">00 kVA </w:t>
      </w:r>
      <w:r w:rsidRPr="00927302">
        <w:t>tariff</w:t>
      </w:r>
    </w:p>
    <w:p w:rsidR="00CA18B0" w:rsidRDefault="00CA18B0" w:rsidP="00CA18B0">
      <w:r w:rsidRPr="00927302">
        <w:t>The rates of the high voltage</w:t>
      </w:r>
      <w:r w:rsidR="007921B5">
        <w:t xml:space="preserve"> </w:t>
      </w:r>
      <w:r>
        <w:t>&lt;</w:t>
      </w:r>
      <w:r w:rsidR="007921B5">
        <w:t xml:space="preserve"> </w:t>
      </w:r>
      <w:r w:rsidR="00B51717">
        <w:t>4</w:t>
      </w:r>
      <w:r>
        <w:t>00 kVA</w:t>
      </w:r>
      <w:r w:rsidRPr="00927302">
        <w:t xml:space="preserve"> and </w:t>
      </w:r>
      <w:r>
        <w:t xml:space="preserve">the </w:t>
      </w:r>
      <w:r w:rsidRPr="00927302">
        <w:t xml:space="preserve">low voltage </w:t>
      </w:r>
      <w:r>
        <w:t xml:space="preserve">kVA </w:t>
      </w:r>
      <w:r w:rsidR="00B51717">
        <w:t xml:space="preserve">agreed </w:t>
      </w:r>
      <w:r>
        <w:t xml:space="preserve">demand </w:t>
      </w:r>
      <w:r w:rsidRPr="00927302">
        <w:t xml:space="preserve">tariffs are the same.  </w:t>
      </w:r>
      <w:r>
        <w:t xml:space="preserve">The information in </w:t>
      </w:r>
      <w:r w:rsidR="000B7F94">
        <w:t>Section</w:t>
      </w:r>
      <w:r>
        <w:t xml:space="preserve"> 7.5.3 above mimics the outcome for these customers</w:t>
      </w:r>
      <w:r w:rsidRPr="00927302">
        <w:t>.</w:t>
      </w:r>
    </w:p>
    <w:p w:rsidR="003C6732" w:rsidRPr="00927302" w:rsidRDefault="003C6732" w:rsidP="0044594F"/>
    <w:p w:rsidR="0044594F" w:rsidRPr="00927302" w:rsidRDefault="0044594F" w:rsidP="009A26B4">
      <w:pPr>
        <w:pStyle w:val="Heading3"/>
      </w:pPr>
      <w:r w:rsidRPr="00927302">
        <w:t xml:space="preserve">High Voltage kVA </w:t>
      </w:r>
      <w:r w:rsidR="00B51717">
        <w:t xml:space="preserve">agreed </w:t>
      </w:r>
      <w:r w:rsidRPr="00927302">
        <w:t>demand</w:t>
      </w:r>
      <w:r w:rsidR="00733F75">
        <w:t>/actual demand</w:t>
      </w:r>
      <w:r w:rsidRPr="00927302">
        <w:t xml:space="preserve"> tariff</w:t>
      </w:r>
    </w:p>
    <w:p w:rsidR="0044594F" w:rsidRDefault="0044594F" w:rsidP="0044594F">
      <w:r w:rsidRPr="00733F75">
        <w:t xml:space="preserve">The average </w:t>
      </w:r>
      <w:r w:rsidR="00817754" w:rsidRPr="00733F75">
        <w:t xml:space="preserve">NUoS </w:t>
      </w:r>
      <w:r w:rsidRPr="00733F75">
        <w:t xml:space="preserve">price </w:t>
      </w:r>
      <w:r w:rsidR="00733F75">
        <w:t>decrease</w:t>
      </w:r>
      <w:r w:rsidRPr="00733F75">
        <w:t xml:space="preserve"> of high voltage kVA </w:t>
      </w:r>
      <w:r w:rsidR="00B51717" w:rsidRPr="00733F75">
        <w:t xml:space="preserve">agreed </w:t>
      </w:r>
      <w:r w:rsidRPr="00733F75">
        <w:t xml:space="preserve">demand customers in </w:t>
      </w:r>
      <w:r w:rsidR="00304620" w:rsidRPr="00733F75">
        <w:t>2015/16</w:t>
      </w:r>
      <w:r w:rsidRPr="00733F75">
        <w:t xml:space="preserve"> is </w:t>
      </w:r>
      <w:r w:rsidR="00733F75">
        <w:t>-</w:t>
      </w:r>
      <w:r w:rsidR="00733F75" w:rsidRPr="00733F75">
        <w:t>21</w:t>
      </w:r>
      <w:r w:rsidRPr="00733F75">
        <w:t>%</w:t>
      </w:r>
      <w:r w:rsidR="00733F75" w:rsidRPr="00733F75">
        <w:t>.</w:t>
      </w:r>
    </w:p>
    <w:p w:rsidR="00733F75" w:rsidRDefault="00733F75" w:rsidP="00733F75">
      <w:r>
        <w:t xml:space="preserve">This will be spread across customers on actual demand (28), agreed demand </w:t>
      </w:r>
      <w:r w:rsidR="001016F2">
        <w:t xml:space="preserve">&lt;400 kVA </w:t>
      </w:r>
      <w:r>
        <w:t>(</w:t>
      </w:r>
      <w:r w:rsidR="001016F2">
        <w:t>39</w:t>
      </w:r>
      <w:r>
        <w:t xml:space="preserve">) and </w:t>
      </w:r>
      <w:r w:rsidR="001016F2">
        <w:t xml:space="preserve">HV </w:t>
      </w:r>
      <w:r>
        <w:t>agreed demand (</w:t>
      </w:r>
      <w:r w:rsidR="001016F2">
        <w:t>124</w:t>
      </w:r>
      <w:r>
        <w:t>).</w:t>
      </w:r>
    </w:p>
    <w:p w:rsidR="003C6732" w:rsidRDefault="003C6732" w:rsidP="0044594F"/>
    <w:p w:rsidR="0044594F" w:rsidRDefault="0044594F" w:rsidP="0044594F">
      <w:r w:rsidRPr="00927302">
        <w:t xml:space="preserve">A scatter chart </w:t>
      </w:r>
      <w:r w:rsidRPr="006F31F6">
        <w:t xml:space="preserve">displaying the bill impact vs customer annual energy consumption in MWh is shown in </w:t>
      </w:r>
      <w:r w:rsidR="00924A8F">
        <w:fldChar w:fldCharType="begin"/>
      </w:r>
      <w:r w:rsidR="00924A8F">
        <w:instrText xml:space="preserve"> REF _Ref136588827 \h  \* MERGEFORMAT </w:instrText>
      </w:r>
      <w:r w:rsidR="00924A8F">
        <w:fldChar w:fldCharType="separate"/>
      </w:r>
      <w:r w:rsidR="00A81AFE" w:rsidRPr="006F31F6">
        <w:t xml:space="preserve">Figure </w:t>
      </w:r>
      <w:r w:rsidR="00A81AFE">
        <w:rPr>
          <w:noProof/>
        </w:rPr>
        <w:t>15</w:t>
      </w:r>
      <w:r w:rsidR="00924A8F">
        <w:fldChar w:fldCharType="end"/>
      </w:r>
      <w:r w:rsidRPr="006F31F6">
        <w:t>.</w:t>
      </w:r>
      <w:r>
        <w:t xml:space="preserve">  Within this chart, the cumulative effects of the TUoS change and the PV JSA, recovered through NUoS are indicated.</w:t>
      </w:r>
    </w:p>
    <w:p w:rsidR="003C6732" w:rsidRPr="006F31F6" w:rsidRDefault="003C6732" w:rsidP="0044594F"/>
    <w:p w:rsidR="0044594F" w:rsidRPr="006F31F6" w:rsidRDefault="0044594F" w:rsidP="0044594F">
      <w:pPr>
        <w:pStyle w:val="Caption"/>
        <w:keepNext/>
      </w:pPr>
      <w:bookmarkStart w:id="130" w:name="_Ref136588827"/>
      <w:r w:rsidRPr="006F31F6">
        <w:t xml:space="preserve">Figure </w:t>
      </w:r>
      <w:r w:rsidR="00924A8F">
        <w:fldChar w:fldCharType="begin"/>
      </w:r>
      <w:r w:rsidR="00924A8F">
        <w:instrText xml:space="preserve"> SEQ Figure \* ARABIC </w:instrText>
      </w:r>
      <w:r w:rsidR="00924A8F">
        <w:fldChar w:fldCharType="separate"/>
      </w:r>
      <w:r w:rsidR="00A81AFE">
        <w:rPr>
          <w:noProof/>
        </w:rPr>
        <w:t>15</w:t>
      </w:r>
      <w:r w:rsidR="00924A8F">
        <w:rPr>
          <w:noProof/>
        </w:rPr>
        <w:fldChar w:fldCharType="end"/>
      </w:r>
      <w:bookmarkEnd w:id="130"/>
      <w:r w:rsidRPr="006F31F6">
        <w:t xml:space="preserve"> - High voltage business kVA NUoS change vs annual consumption in </w:t>
      </w:r>
      <w:r w:rsidR="00304620">
        <w:t>2015/16</w:t>
      </w:r>
    </w:p>
    <w:p w:rsidR="0044594F" w:rsidRDefault="009865B2" w:rsidP="0044594F">
      <w:pPr>
        <w:rPr>
          <w:noProof/>
          <w:lang w:eastAsia="en-AU"/>
        </w:rPr>
      </w:pPr>
      <w:r w:rsidRPr="009865B2">
        <w:rPr>
          <w:noProof/>
          <w:lang w:val="en-US"/>
        </w:rPr>
        <w:drawing>
          <wp:inline distT="0" distB="0" distL="0" distR="0">
            <wp:extent cx="5732145" cy="3743202"/>
            <wp:effectExtent l="19050" t="0" r="1905"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srcRect/>
                    <a:stretch>
                      <a:fillRect/>
                    </a:stretch>
                  </pic:blipFill>
                  <pic:spPr bwMode="auto">
                    <a:xfrm>
                      <a:off x="0" y="0"/>
                      <a:ext cx="5732145" cy="3743202"/>
                    </a:xfrm>
                    <a:prstGeom prst="rect">
                      <a:avLst/>
                    </a:prstGeom>
                    <a:noFill/>
                    <a:ln w="9525">
                      <a:noFill/>
                      <a:miter lim="800000"/>
                      <a:headEnd/>
                      <a:tailEnd/>
                    </a:ln>
                  </pic:spPr>
                </pic:pic>
              </a:graphicData>
            </a:graphic>
          </wp:inline>
        </w:drawing>
      </w:r>
    </w:p>
    <w:p w:rsidR="00953B2E" w:rsidRPr="00927302" w:rsidRDefault="00953B2E" w:rsidP="0044594F"/>
    <w:p w:rsidR="0044594F" w:rsidRPr="00E154F3" w:rsidRDefault="0044594F" w:rsidP="0044594F">
      <w:pPr>
        <w:pStyle w:val="Heading2"/>
        <w:keepLines w:val="0"/>
        <w:numPr>
          <w:ilvl w:val="1"/>
          <w:numId w:val="16"/>
        </w:numPr>
        <w:tabs>
          <w:tab w:val="left" w:pos="851"/>
        </w:tabs>
        <w:spacing w:after="240" w:line="240" w:lineRule="auto"/>
      </w:pPr>
      <w:bookmarkStart w:id="131" w:name="_Ref134093588"/>
      <w:bookmarkStart w:id="132" w:name="_Toc420009856"/>
      <w:r w:rsidRPr="00E154F3">
        <w:t>Major Business tariff class</w:t>
      </w:r>
      <w:bookmarkEnd w:id="131"/>
      <w:bookmarkEnd w:id="132"/>
    </w:p>
    <w:p w:rsidR="0044594F" w:rsidRPr="00E154F3" w:rsidRDefault="0044594F" w:rsidP="009A26B4">
      <w:pPr>
        <w:pStyle w:val="Heading3"/>
      </w:pPr>
      <w:r>
        <w:t>Z</w:t>
      </w:r>
      <w:r w:rsidRPr="00E154F3">
        <w:t xml:space="preserve">one substation and Subtransmission kVA </w:t>
      </w:r>
      <w:r w:rsidR="00B51717">
        <w:t xml:space="preserve">agreed </w:t>
      </w:r>
      <w:r w:rsidRPr="00E154F3">
        <w:t>demand locational tariffs</w:t>
      </w:r>
    </w:p>
    <w:p w:rsidR="0044594F" w:rsidRDefault="0044594F" w:rsidP="0044594F">
      <w:r w:rsidRPr="00E154F3">
        <w:t xml:space="preserve">There are a relatively small number of major business customers </w:t>
      </w:r>
      <w:r>
        <w:t>(most with</w:t>
      </w:r>
      <w:r w:rsidRPr="00E154F3">
        <w:t xml:space="preserve"> locational TUoS charges</w:t>
      </w:r>
      <w:r>
        <w:t>)</w:t>
      </w:r>
      <w:r w:rsidRPr="00E154F3">
        <w:t xml:space="preserve"> and accordingly these are not amenable to a scatter chart illustration of the </w:t>
      </w:r>
      <w:r w:rsidR="00304620">
        <w:t>2015/16</w:t>
      </w:r>
      <w:r>
        <w:t xml:space="preserve"> </w:t>
      </w:r>
      <w:r w:rsidRPr="00E154F3">
        <w:t>price change.</w:t>
      </w:r>
      <w:r w:rsidR="001328F2">
        <w:t xml:space="preserve">  For simplicity, the DUoS outcomes only are </w:t>
      </w:r>
      <w:r w:rsidR="00B51717">
        <w:t>detailed</w:t>
      </w:r>
      <w:r w:rsidR="001328F2">
        <w:t xml:space="preserve"> below.</w:t>
      </w:r>
    </w:p>
    <w:p w:rsidR="003C6732" w:rsidRPr="00E154F3" w:rsidRDefault="003C6732" w:rsidP="0044594F"/>
    <w:p w:rsidR="0044594F" w:rsidRDefault="0044594F" w:rsidP="0044594F">
      <w:r w:rsidRPr="00262C91">
        <w:t xml:space="preserve">There is little variability between the individual price changes for these customers and the averages </w:t>
      </w:r>
      <w:r w:rsidRPr="001016F2">
        <w:t xml:space="preserve">for the tariff.   The average </w:t>
      </w:r>
      <w:r w:rsidR="001328F2" w:rsidRPr="001016F2">
        <w:t>D</w:t>
      </w:r>
      <w:r w:rsidRPr="001016F2">
        <w:t xml:space="preserve">UoS price change for these customers in </w:t>
      </w:r>
      <w:r w:rsidR="00304620" w:rsidRPr="001016F2">
        <w:t>2015/16</w:t>
      </w:r>
      <w:r w:rsidRPr="001016F2">
        <w:t xml:space="preserve"> is </w:t>
      </w:r>
      <w:r w:rsidR="001016F2" w:rsidRPr="001016F2">
        <w:t>a de</w:t>
      </w:r>
      <w:r w:rsidR="001328F2" w:rsidRPr="001016F2">
        <w:t>crease</w:t>
      </w:r>
      <w:r w:rsidR="0069720C" w:rsidRPr="001016F2">
        <w:t xml:space="preserve"> of</w:t>
      </w:r>
      <w:r w:rsidR="00CA18B0" w:rsidRPr="001016F2">
        <w:t xml:space="preserve"> </w:t>
      </w:r>
      <w:r w:rsidR="001016F2" w:rsidRPr="001016F2">
        <w:t>-33</w:t>
      </w:r>
      <w:r w:rsidRPr="001016F2">
        <w:t xml:space="preserve">% for </w:t>
      </w:r>
      <w:r w:rsidR="001016F2" w:rsidRPr="001016F2">
        <w:t>the major businesses</w:t>
      </w:r>
      <w:r w:rsidR="001328F2" w:rsidRPr="001016F2">
        <w:t>.</w:t>
      </w:r>
    </w:p>
    <w:p w:rsidR="003C6732" w:rsidRPr="00F96955" w:rsidRDefault="003C6732" w:rsidP="0044594F"/>
    <w:p w:rsidR="0044594F" w:rsidRPr="00927302" w:rsidRDefault="0044594F" w:rsidP="0044594F">
      <w:pPr>
        <w:pStyle w:val="Heading1"/>
        <w:pageBreakBefore/>
        <w:numPr>
          <w:ilvl w:val="0"/>
          <w:numId w:val="16"/>
        </w:numPr>
        <w:tabs>
          <w:tab w:val="left" w:pos="851"/>
        </w:tabs>
        <w:spacing w:after="240" w:line="240" w:lineRule="auto"/>
      </w:pPr>
      <w:bookmarkStart w:id="133" w:name="_Ref133920111"/>
      <w:bookmarkStart w:id="134" w:name="_Toc420009857"/>
      <w:r w:rsidRPr="00927302">
        <w:t>Pricing of standard control services</w:t>
      </w:r>
      <w:bookmarkEnd w:id="133"/>
      <w:bookmarkEnd w:id="134"/>
    </w:p>
    <w:p w:rsidR="0044594F" w:rsidRDefault="0044594F" w:rsidP="0044594F">
      <w:r w:rsidRPr="00927302">
        <w:t xml:space="preserve">This </w:t>
      </w:r>
      <w:r w:rsidR="000B7F94">
        <w:t>Section</w:t>
      </w:r>
      <w:r w:rsidRPr="00927302">
        <w:t xml:space="preserve"> demonstrates how </w:t>
      </w:r>
      <w:r w:rsidR="00EA36E3">
        <w:t>SA Power Networks</w:t>
      </w:r>
      <w:r w:rsidRPr="00927302">
        <w:t xml:space="preserve">’ network tariffs for </w:t>
      </w:r>
      <w:r w:rsidR="009E3CA8">
        <w:t>2015/16</w:t>
      </w:r>
      <w:r>
        <w:t xml:space="preserve"> </w:t>
      </w:r>
      <w:r w:rsidRPr="00927302">
        <w:t xml:space="preserve">comply with the requirements of the Rules and the AER’s </w:t>
      </w:r>
      <w:r w:rsidR="00477C39">
        <w:t>Preliminary Decision</w:t>
      </w:r>
      <w:r w:rsidRPr="00927302">
        <w:t xml:space="preserve"> in respect of the pricing X factors, side constraints and pricing principles.</w:t>
      </w:r>
    </w:p>
    <w:p w:rsidR="00503BC2" w:rsidRDefault="00503BC2" w:rsidP="0044594F"/>
    <w:p w:rsidR="0044594F" w:rsidRPr="00927302" w:rsidRDefault="0044594F" w:rsidP="0044594F">
      <w:pPr>
        <w:pStyle w:val="Heading2"/>
        <w:keepLines w:val="0"/>
        <w:numPr>
          <w:ilvl w:val="1"/>
          <w:numId w:val="16"/>
        </w:numPr>
        <w:tabs>
          <w:tab w:val="left" w:pos="851"/>
        </w:tabs>
        <w:spacing w:after="240" w:line="240" w:lineRule="auto"/>
      </w:pPr>
      <w:bookmarkStart w:id="135" w:name="_Toc420009858"/>
      <w:r w:rsidRPr="00927302">
        <w:t>Regulatory requirements</w:t>
      </w:r>
      <w:bookmarkEnd w:id="135"/>
    </w:p>
    <w:p w:rsidR="0044594F" w:rsidRPr="00927302" w:rsidRDefault="0044594F" w:rsidP="009A26B4">
      <w:pPr>
        <w:pStyle w:val="Heading3"/>
      </w:pPr>
      <w:r w:rsidRPr="00927302">
        <w:t>Rules requirements</w:t>
      </w:r>
    </w:p>
    <w:p w:rsidR="0044594F" w:rsidRDefault="0044594F" w:rsidP="0044594F">
      <w:r w:rsidRPr="00927302">
        <w:t xml:space="preserve">Rules clause 6.18.2(b) specifies that </w:t>
      </w:r>
      <w:r w:rsidR="00EA36E3">
        <w:t>SA Power Networks</w:t>
      </w:r>
      <w:r w:rsidRPr="00927302">
        <w:t xml:space="preserve">’ Pricing Proposal must contain information concerning the expected revenue to be derived from its tariff classes and tariffs, as follows. </w:t>
      </w:r>
    </w:p>
    <w:p w:rsidR="00503BC2" w:rsidRPr="00927302" w:rsidRDefault="00503BC2" w:rsidP="0044594F"/>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6.18.2 </w:t>
      </w:r>
      <w:r w:rsidRPr="00927302">
        <w:rPr>
          <w:rFonts w:cs="Arial-BoldMT"/>
          <w:b/>
          <w:bCs/>
          <w:szCs w:val="23"/>
        </w:rPr>
        <w:tab/>
        <w:t>Pricing proposals</w:t>
      </w:r>
    </w:p>
    <w:p w:rsidR="0044594F" w:rsidRPr="00927302" w:rsidRDefault="0044594F" w:rsidP="0044594F">
      <w:pPr>
        <w:tabs>
          <w:tab w:val="left" w:pos="568"/>
        </w:tabs>
        <w:spacing w:after="120"/>
        <w:ind w:left="567" w:hanging="567"/>
      </w:pPr>
      <w:r w:rsidRPr="00927302">
        <w:rPr>
          <w:rFonts w:cs="TimesNewRomanPSMT"/>
          <w:szCs w:val="23"/>
          <w:lang w:val="en-US"/>
        </w:rPr>
        <w:t xml:space="preserve"> (b) </w:t>
      </w:r>
      <w:r w:rsidRPr="00927302">
        <w:rPr>
          <w:rFonts w:cs="TimesNewRomanPSMT"/>
          <w:szCs w:val="23"/>
          <w:lang w:val="en-US"/>
        </w:rPr>
        <w:tab/>
        <w:t xml:space="preserve">A </w:t>
      </w:r>
      <w:r w:rsidRPr="00927302">
        <w:rPr>
          <w:rFonts w:cs="TimesNewRomanPSMT"/>
          <w:i/>
          <w:iCs/>
          <w:szCs w:val="23"/>
          <w:lang w:val="en-US"/>
        </w:rPr>
        <w:t xml:space="preserve">pricing proposal </w:t>
      </w:r>
      <w:r w:rsidRPr="00927302">
        <w:rPr>
          <w:rFonts w:cs="TimesNewRomanPSMT"/>
          <w:szCs w:val="23"/>
          <w:lang w:val="en-US"/>
        </w:rPr>
        <w:t>must:</w:t>
      </w:r>
    </w:p>
    <w:p w:rsidR="0044594F" w:rsidRDefault="0044594F" w:rsidP="0044594F">
      <w:pPr>
        <w:tabs>
          <w:tab w:val="left" w:pos="1136"/>
        </w:tabs>
        <w:ind w:left="1134" w:hanging="567"/>
        <w:rPr>
          <w:rFonts w:cs="font38"/>
          <w:szCs w:val="23"/>
          <w:lang w:val="en-US"/>
        </w:rPr>
      </w:pPr>
      <w:r w:rsidRPr="00927302">
        <w:rPr>
          <w:rFonts w:cs="font38"/>
          <w:szCs w:val="23"/>
          <w:lang w:val="en-US"/>
        </w:rPr>
        <w:t>(4)</w:t>
      </w:r>
      <w:r w:rsidRPr="00927302">
        <w:rPr>
          <w:rFonts w:cs="font38"/>
          <w:szCs w:val="23"/>
          <w:lang w:val="en-US"/>
        </w:rPr>
        <w:tab/>
        <w:t xml:space="preserve">set out, for each </w:t>
      </w:r>
      <w:r w:rsidRPr="00927302">
        <w:rPr>
          <w:rFonts w:cs="font38"/>
          <w:i/>
          <w:iCs/>
          <w:szCs w:val="23"/>
          <w:lang w:val="en-US"/>
        </w:rPr>
        <w:t xml:space="preserve">tariff class </w:t>
      </w:r>
      <w:r w:rsidRPr="00927302">
        <w:rPr>
          <w:rFonts w:cs="font38"/>
          <w:szCs w:val="23"/>
          <w:lang w:val="en-US"/>
        </w:rPr>
        <w:t xml:space="preserve">related to </w:t>
      </w:r>
      <w:r w:rsidRPr="00927302">
        <w:rPr>
          <w:rFonts w:cs="font38"/>
          <w:i/>
          <w:iCs/>
          <w:szCs w:val="23"/>
          <w:lang w:val="en-US"/>
        </w:rPr>
        <w:t>standard control services</w:t>
      </w:r>
      <w:r w:rsidRPr="00927302">
        <w:rPr>
          <w:rFonts w:cs="font38"/>
          <w:szCs w:val="23"/>
          <w:lang w:val="en-US"/>
        </w:rPr>
        <w:t xml:space="preserve">, the expected weighted average revenue for the relevant </w:t>
      </w:r>
      <w:r w:rsidRPr="00927302">
        <w:rPr>
          <w:rFonts w:cs="font38"/>
          <w:i/>
          <w:iCs/>
          <w:szCs w:val="23"/>
          <w:lang w:val="en-US"/>
        </w:rPr>
        <w:t xml:space="preserve">regulatory year </w:t>
      </w:r>
      <w:r w:rsidRPr="00927302">
        <w:rPr>
          <w:rFonts w:cs="font38"/>
          <w:szCs w:val="23"/>
          <w:lang w:val="en-US"/>
        </w:rPr>
        <w:t xml:space="preserve">and also for the current </w:t>
      </w:r>
      <w:r w:rsidRPr="00927302">
        <w:rPr>
          <w:rFonts w:cs="font38"/>
          <w:i/>
          <w:iCs/>
          <w:szCs w:val="23"/>
          <w:lang w:val="en-US"/>
        </w:rPr>
        <w:t>regulatory year</w:t>
      </w:r>
      <w:r w:rsidRPr="00927302">
        <w:rPr>
          <w:rFonts w:cs="font38"/>
          <w:szCs w:val="23"/>
          <w:lang w:val="en-US"/>
        </w:rPr>
        <w:t>; and</w:t>
      </w:r>
    </w:p>
    <w:p w:rsidR="00503BC2" w:rsidRPr="00927302" w:rsidRDefault="00503BC2" w:rsidP="0044594F">
      <w:pPr>
        <w:tabs>
          <w:tab w:val="left" w:pos="1136"/>
        </w:tabs>
        <w:ind w:left="1134" w:hanging="567"/>
        <w:rPr>
          <w:rFonts w:cs="font38"/>
          <w:szCs w:val="23"/>
          <w:lang w:val="en-US"/>
        </w:rPr>
      </w:pPr>
    </w:p>
    <w:p w:rsidR="0044594F" w:rsidRDefault="0044594F" w:rsidP="0044594F">
      <w:pPr>
        <w:rPr>
          <w:rFonts w:cs="ArialMT"/>
        </w:rPr>
      </w:pPr>
      <w:r w:rsidRPr="00927302">
        <w:t xml:space="preserve">In setting its prices for standard control services, clause 6.18.5 of the Rules requires </w:t>
      </w:r>
      <w:r w:rsidR="00EA36E3">
        <w:t>SA Power Networks</w:t>
      </w:r>
      <w:r w:rsidRPr="00927302">
        <w:t xml:space="preserve"> to comply with the </w:t>
      </w:r>
      <w:r w:rsidRPr="00927302">
        <w:rPr>
          <w:rFonts w:cs="ArialMT"/>
        </w:rPr>
        <w:t>following pricing principles.</w:t>
      </w:r>
    </w:p>
    <w:p w:rsidR="00503BC2" w:rsidRPr="00927302" w:rsidRDefault="00503BC2" w:rsidP="0044594F">
      <w:pPr>
        <w:rPr>
          <w:rFonts w:cs="ArialMT"/>
        </w:rPr>
      </w:pP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6.18.5 </w:t>
      </w:r>
      <w:r w:rsidRPr="00927302">
        <w:rPr>
          <w:rFonts w:cs="Arial-BoldMT"/>
          <w:b/>
          <w:bCs/>
          <w:szCs w:val="23"/>
        </w:rPr>
        <w:tab/>
        <w:t>Pricing principles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(a)</w:t>
      </w:r>
      <w:r w:rsidRPr="00927302">
        <w:rPr>
          <w:rFonts w:cs="Arial-BoldMT"/>
          <w:szCs w:val="23"/>
        </w:rPr>
        <w:tab/>
        <w:t xml:space="preserve">For each </w:t>
      </w:r>
      <w:r w:rsidRPr="00927302">
        <w:rPr>
          <w:rFonts w:cs="Arial-BoldMT"/>
          <w:i/>
          <w:iCs/>
          <w:szCs w:val="23"/>
        </w:rPr>
        <w:t>tariff class</w:t>
      </w:r>
      <w:r w:rsidRPr="00927302">
        <w:rPr>
          <w:rFonts w:cs="Arial-BoldMT"/>
          <w:szCs w:val="23"/>
        </w:rPr>
        <w:t>, the revenue expected to be recovered should lie on or between:</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an upper bound representing the stand alone cost of serving the customers who belong to that class;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(2)</w:t>
      </w:r>
      <w:r w:rsidRPr="00927302">
        <w:rPr>
          <w:rFonts w:cs="Arial-BoldMT"/>
          <w:szCs w:val="23"/>
        </w:rPr>
        <w:tab/>
        <w:t>a lower bound representing the avoidable cost of not serving those customers.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(b)</w:t>
      </w:r>
      <w:r w:rsidRPr="00927302">
        <w:rPr>
          <w:rFonts w:cs="Arial-BoldMT"/>
          <w:szCs w:val="23"/>
        </w:rPr>
        <w:tab/>
        <w:t xml:space="preserve">A tariff, and if it consists of 2 or more </w:t>
      </w:r>
      <w:r w:rsidRPr="00927302">
        <w:rPr>
          <w:rFonts w:cs="Arial-BoldMT"/>
          <w:i/>
          <w:iCs/>
          <w:szCs w:val="23"/>
        </w:rPr>
        <w:t>charging parameters</w:t>
      </w:r>
      <w:r w:rsidRPr="00927302">
        <w:rPr>
          <w:rFonts w:cs="Arial-BoldMT"/>
          <w:szCs w:val="23"/>
        </w:rPr>
        <w:t xml:space="preserve">, each </w:t>
      </w:r>
      <w:r w:rsidRPr="00927302">
        <w:rPr>
          <w:rFonts w:cs="Arial-BoldMT"/>
          <w:i/>
          <w:iCs/>
          <w:szCs w:val="23"/>
        </w:rPr>
        <w:t xml:space="preserve">charging parameter </w:t>
      </w:r>
      <w:r w:rsidRPr="00927302">
        <w:rPr>
          <w:rFonts w:cs="Arial-BoldMT"/>
          <w:szCs w:val="23"/>
        </w:rPr>
        <w:t xml:space="preserve">for a </w:t>
      </w:r>
      <w:r w:rsidRPr="00927302">
        <w:rPr>
          <w:rFonts w:cs="Arial-BoldMT"/>
          <w:i/>
          <w:iCs/>
          <w:szCs w:val="23"/>
        </w:rPr>
        <w:t>tariff class</w:t>
      </w:r>
      <w:r w:rsidRPr="00927302">
        <w:rPr>
          <w:rFonts w:cs="Arial-BoldMT"/>
          <w:szCs w:val="23"/>
        </w:rPr>
        <w:t>:</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 xml:space="preserve">must take into account the long run marginal cost for the service or, in the case of a </w:t>
      </w:r>
      <w:r w:rsidRPr="00927302">
        <w:rPr>
          <w:rFonts w:cs="Arial-BoldMT"/>
          <w:i/>
          <w:iCs/>
          <w:szCs w:val="23"/>
        </w:rPr>
        <w:t>charging parameter</w:t>
      </w:r>
      <w:r w:rsidRPr="00927302">
        <w:rPr>
          <w:rFonts w:cs="Arial-BoldMT"/>
          <w:szCs w:val="23"/>
        </w:rPr>
        <w:t xml:space="preserve">, for the element of the service to which the </w:t>
      </w:r>
      <w:r w:rsidRPr="00927302">
        <w:rPr>
          <w:rFonts w:cs="Arial-BoldMT"/>
          <w:i/>
          <w:iCs/>
          <w:szCs w:val="23"/>
        </w:rPr>
        <w:t xml:space="preserve">charging parameter </w:t>
      </w:r>
      <w:r w:rsidRPr="00927302">
        <w:rPr>
          <w:rFonts w:cs="Arial-BoldMT"/>
          <w:szCs w:val="23"/>
        </w:rPr>
        <w:t>relates; and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(2)</w:t>
      </w:r>
      <w:r w:rsidRPr="00927302">
        <w:rPr>
          <w:rFonts w:cs="Arial-BoldMT"/>
          <w:szCs w:val="23"/>
        </w:rPr>
        <w:tab/>
        <w:t>must be determined having regard to:</w:t>
      </w:r>
    </w:p>
    <w:p w:rsidR="0044594F" w:rsidRPr="00927302" w:rsidRDefault="0044594F" w:rsidP="0044594F">
      <w:pPr>
        <w:tabs>
          <w:tab w:val="left" w:pos="1704"/>
        </w:tabs>
        <w:autoSpaceDE w:val="0"/>
        <w:autoSpaceDN w:val="0"/>
        <w:adjustRightInd w:val="0"/>
        <w:spacing w:after="120"/>
        <w:ind w:left="1704" w:hanging="568"/>
        <w:rPr>
          <w:rFonts w:cs="Arial-BoldMT"/>
          <w:szCs w:val="23"/>
        </w:rPr>
      </w:pPr>
      <w:r w:rsidRPr="00927302">
        <w:rPr>
          <w:rFonts w:cs="Arial-BoldMT"/>
          <w:szCs w:val="23"/>
        </w:rPr>
        <w:t>(i)</w:t>
      </w:r>
      <w:r w:rsidRPr="00927302">
        <w:rPr>
          <w:rFonts w:cs="Arial-BoldMT"/>
          <w:szCs w:val="23"/>
        </w:rPr>
        <w:tab/>
        <w:t xml:space="preserve">transaction costs associated with the tariff or each </w:t>
      </w:r>
      <w:r w:rsidRPr="00927302">
        <w:rPr>
          <w:rFonts w:cs="Arial-BoldMT"/>
          <w:i/>
          <w:iCs/>
          <w:szCs w:val="23"/>
        </w:rPr>
        <w:t>charging parameter</w:t>
      </w:r>
      <w:r w:rsidRPr="00927302">
        <w:rPr>
          <w:rFonts w:cs="Arial-BoldMT"/>
          <w:szCs w:val="23"/>
        </w:rPr>
        <w:t>; and</w:t>
      </w:r>
    </w:p>
    <w:p w:rsidR="0044594F" w:rsidRPr="00927302" w:rsidRDefault="0044594F" w:rsidP="0044594F">
      <w:pPr>
        <w:tabs>
          <w:tab w:val="left" w:pos="1704"/>
        </w:tabs>
        <w:autoSpaceDE w:val="0"/>
        <w:autoSpaceDN w:val="0"/>
        <w:adjustRightInd w:val="0"/>
        <w:spacing w:after="120"/>
        <w:ind w:left="1704" w:hanging="568"/>
        <w:rPr>
          <w:rFonts w:cs="Arial-BoldMT"/>
          <w:szCs w:val="23"/>
        </w:rPr>
      </w:pPr>
      <w:r w:rsidRPr="00927302">
        <w:rPr>
          <w:rFonts w:cs="Arial-BoldMT"/>
          <w:szCs w:val="23"/>
        </w:rPr>
        <w:t>(ii)</w:t>
      </w:r>
      <w:r w:rsidRPr="00927302">
        <w:rPr>
          <w:rFonts w:cs="Arial-BoldMT"/>
          <w:szCs w:val="23"/>
        </w:rPr>
        <w:tab/>
        <w:t xml:space="preserve">whether customers of the relevant </w:t>
      </w:r>
      <w:r w:rsidRPr="00927302">
        <w:rPr>
          <w:rFonts w:cs="Arial-BoldMT"/>
          <w:i/>
          <w:iCs/>
          <w:szCs w:val="23"/>
        </w:rPr>
        <w:t xml:space="preserve">tariff class </w:t>
      </w:r>
      <w:r w:rsidRPr="00927302">
        <w:rPr>
          <w:rFonts w:cs="Arial-BoldMT"/>
          <w:szCs w:val="23"/>
        </w:rPr>
        <w:t>are able or likely to respond to price signals.</w:t>
      </w:r>
    </w:p>
    <w:p w:rsidR="0044594F" w:rsidRPr="00927302" w:rsidRDefault="0044594F" w:rsidP="0044594F">
      <w:pPr>
        <w:tabs>
          <w:tab w:val="left" w:pos="568"/>
        </w:tabs>
        <w:spacing w:after="120"/>
        <w:ind w:left="568" w:hanging="568"/>
        <w:rPr>
          <w:rFonts w:cs="Arial-BoldMT"/>
          <w:szCs w:val="23"/>
        </w:rPr>
      </w:pPr>
      <w:r w:rsidRPr="00927302">
        <w:rPr>
          <w:rFonts w:cs="Arial-BoldMT"/>
          <w:szCs w:val="23"/>
        </w:rPr>
        <w:t>(c)</w:t>
      </w:r>
      <w:r w:rsidRPr="00927302">
        <w:rPr>
          <w:rFonts w:cs="Arial-BoldMT"/>
          <w:szCs w:val="23"/>
        </w:rPr>
        <w:tab/>
        <w:t xml:space="preserve">If, however, as a result of the operation of paragraph (b), the </w:t>
      </w:r>
      <w:r w:rsidRPr="00927302">
        <w:rPr>
          <w:rFonts w:cs="Arial-BoldMT"/>
          <w:i/>
          <w:iCs/>
          <w:szCs w:val="23"/>
        </w:rPr>
        <w:t xml:space="preserve">Distribution Network Service Provider </w:t>
      </w:r>
      <w:r w:rsidRPr="00927302">
        <w:rPr>
          <w:rFonts w:cs="Arial-BoldMT"/>
          <w:szCs w:val="23"/>
        </w:rPr>
        <w:t>may not recover the expected revenue, the provider must adjust its tariffs so as to ensure recovery of expected revenue with minimum distortion to efficient patterns of consumption.</w:t>
      </w:r>
    </w:p>
    <w:p w:rsidR="0044594F" w:rsidRDefault="0044594F" w:rsidP="0044594F">
      <w:pPr>
        <w:keepNext/>
      </w:pPr>
      <w:r w:rsidRPr="00927302">
        <w:t xml:space="preserve">In respect of pricing side constraints, </w:t>
      </w:r>
      <w:r w:rsidR="00EA36E3">
        <w:t>SA Power Networks</w:t>
      </w:r>
      <w:r w:rsidRPr="00927302">
        <w:t xml:space="preserve"> is required to comply with clause 6.18.6 of the Rules:</w:t>
      </w:r>
    </w:p>
    <w:p w:rsidR="00607C67" w:rsidRPr="00927302" w:rsidRDefault="00607C67" w:rsidP="0044594F">
      <w:pPr>
        <w:keepNext/>
      </w:pPr>
    </w:p>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6.18.6 </w:t>
      </w:r>
      <w:r w:rsidRPr="00927302">
        <w:rPr>
          <w:rFonts w:cs="Arial-BoldMT"/>
          <w:b/>
          <w:bCs/>
          <w:szCs w:val="23"/>
        </w:rPr>
        <w:tab/>
        <w:t>Side constraints on tariffs for standard control services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(a)</w:t>
      </w:r>
      <w:r w:rsidRPr="00927302">
        <w:rPr>
          <w:rFonts w:cs="Arial-BoldMT"/>
          <w:szCs w:val="23"/>
        </w:rPr>
        <w:tab/>
        <w:t xml:space="preserve">This clause applies only to </w:t>
      </w:r>
      <w:r w:rsidRPr="00927302">
        <w:rPr>
          <w:rFonts w:cs="Arial-BoldMT"/>
          <w:i/>
          <w:iCs/>
          <w:szCs w:val="23"/>
        </w:rPr>
        <w:t xml:space="preserve">tariff classes </w:t>
      </w:r>
      <w:r w:rsidRPr="00927302">
        <w:rPr>
          <w:rFonts w:cs="Arial-BoldMT"/>
          <w:szCs w:val="23"/>
        </w:rPr>
        <w:t xml:space="preserve">related to the provision of </w:t>
      </w:r>
      <w:r w:rsidRPr="00927302">
        <w:rPr>
          <w:rFonts w:cs="Arial-BoldMT"/>
          <w:i/>
          <w:iCs/>
          <w:szCs w:val="23"/>
        </w:rPr>
        <w:t>standard control services</w:t>
      </w:r>
      <w:r w:rsidRPr="00927302">
        <w:rPr>
          <w:rFonts w:cs="Arial-BoldMT"/>
          <w:szCs w:val="23"/>
        </w:rPr>
        <w:t>.</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(b)</w:t>
      </w:r>
      <w:r w:rsidRPr="00927302">
        <w:rPr>
          <w:rFonts w:cs="Arial-BoldMT"/>
          <w:szCs w:val="23"/>
        </w:rPr>
        <w:tab/>
        <w:t xml:space="preserve">The expected weighted average revenue to be raised from a </w:t>
      </w:r>
      <w:r w:rsidRPr="00927302">
        <w:rPr>
          <w:rFonts w:cs="Arial-BoldMT"/>
          <w:i/>
          <w:iCs/>
          <w:szCs w:val="23"/>
        </w:rPr>
        <w:t xml:space="preserve">tariff class </w:t>
      </w:r>
      <w:r w:rsidRPr="00927302">
        <w:rPr>
          <w:rFonts w:cs="Arial-BoldMT"/>
          <w:szCs w:val="23"/>
        </w:rPr>
        <w:t xml:space="preserve">for a particular </w:t>
      </w:r>
      <w:r w:rsidRPr="00927302">
        <w:rPr>
          <w:rFonts w:cs="Arial-BoldMT"/>
          <w:i/>
          <w:iCs/>
          <w:szCs w:val="23"/>
        </w:rPr>
        <w:t xml:space="preserve">regulatory year </w:t>
      </w:r>
      <w:r w:rsidRPr="00927302">
        <w:rPr>
          <w:rFonts w:cs="Arial-BoldMT"/>
          <w:szCs w:val="23"/>
        </w:rPr>
        <w:t xml:space="preserve">of a </w:t>
      </w:r>
      <w:r w:rsidRPr="00927302">
        <w:rPr>
          <w:rFonts w:cs="Arial-BoldMT"/>
          <w:i/>
          <w:iCs/>
          <w:szCs w:val="23"/>
        </w:rPr>
        <w:t xml:space="preserve">regulatory control period </w:t>
      </w:r>
      <w:r w:rsidRPr="00927302">
        <w:rPr>
          <w:rFonts w:cs="Arial-BoldMT"/>
          <w:szCs w:val="23"/>
        </w:rPr>
        <w:t xml:space="preserve">must not exceed the corresponding expected weighted average revenue for the preceding </w:t>
      </w:r>
      <w:r w:rsidRPr="00927302">
        <w:rPr>
          <w:rFonts w:cs="Arial-BoldMT"/>
          <w:i/>
          <w:iCs/>
          <w:szCs w:val="23"/>
        </w:rPr>
        <w:t xml:space="preserve">regulatory year </w:t>
      </w:r>
      <w:r w:rsidRPr="00927302">
        <w:rPr>
          <w:rFonts w:cs="Arial-BoldMT"/>
          <w:szCs w:val="23"/>
        </w:rPr>
        <w:t>by more than the permissible percentage.</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(c)</w:t>
      </w:r>
      <w:r w:rsidRPr="00927302">
        <w:rPr>
          <w:rFonts w:cs="Arial-BoldMT"/>
          <w:szCs w:val="23"/>
        </w:rPr>
        <w:tab/>
        <w:t>The permissible percentage is the greater of the following:</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 xml:space="preserve">the CPI-X limitation on any increase in the </w:t>
      </w:r>
      <w:r w:rsidRPr="00927302">
        <w:rPr>
          <w:rFonts w:cs="Arial-BoldMT"/>
          <w:i/>
          <w:iCs/>
          <w:szCs w:val="23"/>
        </w:rPr>
        <w:t>Distribution Network Service Provider</w:t>
      </w:r>
      <w:r w:rsidRPr="00927302">
        <w:rPr>
          <w:rFonts w:cs="Arial-BoldMT"/>
          <w:szCs w:val="23"/>
        </w:rPr>
        <w:t xml:space="preserve">'s expected weighted average revenue between the two </w:t>
      </w:r>
      <w:r w:rsidRPr="00927302">
        <w:rPr>
          <w:rFonts w:cs="Arial-BoldMT"/>
          <w:i/>
          <w:iCs/>
          <w:szCs w:val="23"/>
        </w:rPr>
        <w:t>regulatory year</w:t>
      </w:r>
      <w:r w:rsidRPr="00927302">
        <w:rPr>
          <w:rFonts w:cs="Arial-BoldMT"/>
          <w:szCs w:val="23"/>
        </w:rPr>
        <w:t>s plus 2%;</w:t>
      </w:r>
    </w:p>
    <w:p w:rsidR="0044594F" w:rsidRPr="00927302" w:rsidRDefault="0044594F" w:rsidP="0044594F">
      <w:pPr>
        <w:autoSpaceDE w:val="0"/>
        <w:autoSpaceDN w:val="0"/>
        <w:adjustRightInd w:val="0"/>
        <w:spacing w:after="120"/>
        <w:ind w:left="1136"/>
        <w:rPr>
          <w:rFonts w:cs="Arial-BoldMT"/>
          <w:i/>
          <w:iCs/>
          <w:szCs w:val="23"/>
        </w:rPr>
      </w:pPr>
      <w:r w:rsidRPr="00927302">
        <w:rPr>
          <w:rFonts w:cs="Arial-BoldMT"/>
          <w:i/>
          <w:iCs/>
          <w:szCs w:val="23"/>
        </w:rPr>
        <w:t>Note:</w:t>
      </w:r>
    </w:p>
    <w:p w:rsidR="0044594F" w:rsidRPr="00927302" w:rsidRDefault="0044594F" w:rsidP="0044594F">
      <w:pPr>
        <w:autoSpaceDE w:val="0"/>
        <w:autoSpaceDN w:val="0"/>
        <w:adjustRightInd w:val="0"/>
        <w:spacing w:after="120"/>
        <w:ind w:left="1136"/>
        <w:rPr>
          <w:rFonts w:cs="Arial-BoldMT"/>
          <w:i/>
          <w:iCs/>
          <w:szCs w:val="23"/>
        </w:rPr>
      </w:pPr>
      <w:r w:rsidRPr="00927302">
        <w:rPr>
          <w:rFonts w:cs="Arial-BoldMT"/>
          <w:i/>
          <w:iCs/>
          <w:szCs w:val="23"/>
        </w:rPr>
        <w:t>The calculation is of the form (1 + CPI)(1 – X)(1 + 2%)</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(2)</w:t>
      </w:r>
      <w:r w:rsidRPr="00927302">
        <w:rPr>
          <w:rFonts w:cs="Arial-BoldMT"/>
          <w:szCs w:val="23"/>
        </w:rPr>
        <w:tab/>
        <w:t>CPI plus 2%.</w:t>
      </w:r>
    </w:p>
    <w:p w:rsidR="0044594F" w:rsidRPr="00927302" w:rsidRDefault="0044594F" w:rsidP="0044594F">
      <w:pPr>
        <w:keepNext/>
        <w:autoSpaceDE w:val="0"/>
        <w:autoSpaceDN w:val="0"/>
        <w:adjustRightInd w:val="0"/>
        <w:spacing w:after="120"/>
        <w:ind w:left="1134"/>
        <w:rPr>
          <w:rFonts w:cs="Arial-BoldMT"/>
          <w:i/>
          <w:iCs/>
          <w:szCs w:val="23"/>
        </w:rPr>
      </w:pPr>
      <w:r w:rsidRPr="00927302">
        <w:rPr>
          <w:rFonts w:cs="Arial-BoldMT"/>
          <w:i/>
          <w:iCs/>
          <w:szCs w:val="23"/>
        </w:rPr>
        <w:t>Note:</w:t>
      </w:r>
    </w:p>
    <w:p w:rsidR="0044594F" w:rsidRPr="00927302" w:rsidRDefault="0044594F" w:rsidP="0044594F">
      <w:pPr>
        <w:autoSpaceDE w:val="0"/>
        <w:autoSpaceDN w:val="0"/>
        <w:adjustRightInd w:val="0"/>
        <w:spacing w:after="120"/>
        <w:ind w:left="1136"/>
        <w:rPr>
          <w:rFonts w:cs="Arial-BoldMT"/>
          <w:i/>
          <w:iCs/>
          <w:szCs w:val="23"/>
        </w:rPr>
      </w:pPr>
      <w:r w:rsidRPr="00927302">
        <w:rPr>
          <w:rFonts w:cs="Arial-BoldMT"/>
          <w:i/>
          <w:iCs/>
          <w:szCs w:val="23"/>
        </w:rPr>
        <w:t>The calculation is of the form (1 + CPI)(1 + 2%)</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(d)</w:t>
      </w:r>
      <w:r w:rsidRPr="00927302">
        <w:rPr>
          <w:rFonts w:cs="Arial-BoldMT"/>
          <w:szCs w:val="23"/>
        </w:rPr>
        <w:tab/>
        <w:t xml:space="preserve">In deciding whether the permissible percentage has been exceeded in a particular </w:t>
      </w:r>
      <w:r w:rsidRPr="00927302">
        <w:rPr>
          <w:rFonts w:cs="Arial-BoldMT"/>
          <w:i/>
          <w:iCs/>
          <w:szCs w:val="23"/>
        </w:rPr>
        <w:t>regulatory year</w:t>
      </w:r>
      <w:r w:rsidRPr="00927302">
        <w:rPr>
          <w:rFonts w:cs="Arial-BoldMT"/>
          <w:szCs w:val="23"/>
        </w:rPr>
        <w:t>, the following are to be disregarded:</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the recovery of revenue to accommodate a variation to the distribution determination under rule 6.6 or 6.13;</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(2)</w:t>
      </w:r>
      <w:r w:rsidRPr="00927302">
        <w:rPr>
          <w:rFonts w:cs="Arial-BoldMT"/>
          <w:szCs w:val="23"/>
        </w:rPr>
        <w:tab/>
        <w:t xml:space="preserve">the recovery of revenue to accommodate pass through of charges for </w:t>
      </w:r>
      <w:r w:rsidRPr="00927302">
        <w:rPr>
          <w:rFonts w:cs="Arial-BoldMT"/>
          <w:i/>
          <w:iCs/>
          <w:szCs w:val="23"/>
        </w:rPr>
        <w:t xml:space="preserve">transmission use of system services </w:t>
      </w:r>
      <w:r w:rsidRPr="00927302">
        <w:rPr>
          <w:rFonts w:cs="Arial-BoldMT"/>
          <w:szCs w:val="23"/>
        </w:rPr>
        <w:t>to customers.</w:t>
      </w:r>
    </w:p>
    <w:p w:rsidR="0044594F" w:rsidRPr="00927302" w:rsidRDefault="0044594F" w:rsidP="0044594F">
      <w:pPr>
        <w:tabs>
          <w:tab w:val="left" w:pos="568"/>
        </w:tabs>
        <w:ind w:left="567" w:hanging="567"/>
      </w:pPr>
      <w:r w:rsidRPr="00927302">
        <w:rPr>
          <w:rFonts w:cs="Arial-BoldMT"/>
          <w:szCs w:val="23"/>
        </w:rPr>
        <w:t>(e)</w:t>
      </w:r>
      <w:r w:rsidRPr="00927302">
        <w:rPr>
          <w:rFonts w:cs="Arial-BoldMT"/>
          <w:szCs w:val="23"/>
        </w:rPr>
        <w:tab/>
        <w:t>This clause does not, however, limit the extent a tariff for customers with remotely-read interval metering or other similar metering technology may vary according to the time or other circumstances of the customer's usage.</w:t>
      </w:r>
    </w:p>
    <w:p w:rsidR="00607C67" w:rsidRDefault="00607C67" w:rsidP="0044594F"/>
    <w:p w:rsidR="0044594F" w:rsidRPr="00927302" w:rsidRDefault="0044594F" w:rsidP="003B1FC2">
      <w:pPr>
        <w:pStyle w:val="Heading3"/>
      </w:pPr>
      <w:r>
        <w:br w:type="page"/>
      </w:r>
      <w:r w:rsidRPr="00927302">
        <w:t>Requirements of the AER’s Decision</w:t>
      </w:r>
    </w:p>
    <w:p w:rsidR="0044594F" w:rsidRPr="00927302" w:rsidRDefault="0044594F" w:rsidP="0044594F">
      <w:pPr>
        <w:keepNext/>
        <w:spacing w:after="120"/>
      </w:pPr>
      <w:r w:rsidRPr="00927302">
        <w:t xml:space="preserve">The principal elements of the AER’s </w:t>
      </w:r>
      <w:r w:rsidR="00477C39">
        <w:t>Preliminary Decision</w:t>
      </w:r>
      <w:r w:rsidR="003B1FC2">
        <w:t xml:space="preserve"> are set out in Attachment 14 (Control Mechanisms)</w:t>
      </w:r>
      <w:r w:rsidRPr="00927302">
        <w:t xml:space="preserve"> Decision and form the major determinants of prices for standard control services </w:t>
      </w:r>
      <w:r w:rsidR="003B1FC2">
        <w:t>for 2015/16.  Sections 2.2 and 2.3 of this Pricing Proposal have set out the specific formulae.</w:t>
      </w:r>
    </w:p>
    <w:p w:rsidR="00607C67" w:rsidRPr="004E7EF5" w:rsidRDefault="00607C67" w:rsidP="0044594F"/>
    <w:p w:rsidR="0044594F" w:rsidRPr="005D0096" w:rsidRDefault="009E3CA8" w:rsidP="0044594F">
      <w:pPr>
        <w:pStyle w:val="Heading2"/>
        <w:keepLines w:val="0"/>
        <w:numPr>
          <w:ilvl w:val="1"/>
          <w:numId w:val="16"/>
        </w:numPr>
        <w:tabs>
          <w:tab w:val="left" w:pos="851"/>
        </w:tabs>
        <w:spacing w:after="240" w:line="240" w:lineRule="auto"/>
      </w:pPr>
      <w:bookmarkStart w:id="136" w:name="_Ref133920961"/>
      <w:bookmarkStart w:id="137" w:name="_Toc420009859"/>
      <w:r>
        <w:t>2015/16</w:t>
      </w:r>
      <w:r w:rsidR="0044594F">
        <w:t xml:space="preserve"> </w:t>
      </w:r>
      <w:r w:rsidR="0044594F" w:rsidRPr="004E7EF5">
        <w:t xml:space="preserve">prices for standard </w:t>
      </w:r>
      <w:r w:rsidR="0044594F" w:rsidRPr="005D0096">
        <w:t>control services</w:t>
      </w:r>
      <w:bookmarkEnd w:id="136"/>
      <w:bookmarkEnd w:id="137"/>
    </w:p>
    <w:p w:rsidR="003B1FC2" w:rsidRDefault="0044594F" w:rsidP="0044594F">
      <w:r w:rsidRPr="005D0096">
        <w:t xml:space="preserve">The fundamental pricing criteria that </w:t>
      </w:r>
      <w:r w:rsidR="00EA36E3">
        <w:t>SA Power Networks</w:t>
      </w:r>
      <w:r w:rsidRPr="005D0096">
        <w:t xml:space="preserve"> has factored into this Pricing Proposal are </w:t>
      </w:r>
      <w:r w:rsidR="003B1FC2">
        <w:t>that prices should be set to recover the allowed revenue of $682 M assuming forecast quantities.</w:t>
      </w:r>
    </w:p>
    <w:p w:rsidR="003B1FC2" w:rsidRDefault="003B1FC2" w:rsidP="0044594F"/>
    <w:p w:rsidR="0044594F" w:rsidRDefault="00EA36E3" w:rsidP="0044594F">
      <w:r>
        <w:t>SA Power Networks</w:t>
      </w:r>
      <w:r w:rsidR="003B1FC2">
        <w:t xml:space="preserve"> has determined the likely sales volumes by customer segment for 2015/16 and utilised them in the sales forecast attached to this proposal.  The demand quantities forecast to be billed include the various large customer initiative outcomes from the reassigning of customers to different tariffs </w:t>
      </w:r>
      <w:r w:rsidR="00A633EA">
        <w:t>plus the agreed demand reset adjustments.  We have also allowed for the</w:t>
      </w:r>
      <w:r w:rsidR="003B1FC2">
        <w:t xml:space="preserve"> residentia</w:t>
      </w:r>
      <w:r w:rsidR="00A633EA">
        <w:t>l solar PV tariff reassignments</w:t>
      </w:r>
      <w:r w:rsidR="0044594F" w:rsidRPr="005D0096">
        <w:t>.</w:t>
      </w:r>
    </w:p>
    <w:p w:rsidR="00A633EA" w:rsidRDefault="00A633EA" w:rsidP="0044594F"/>
    <w:p w:rsidR="00A633EA" w:rsidRDefault="00A633EA" w:rsidP="0044594F">
      <w:r>
        <w:t>We have not made any adjustment for Service Incentive Scheme outcomes from 2013/14, as we propose to bank that outcome until 2016/17.  We are expecting a favourable outcome for 2014/15 which will offset the 2013/14 outcome.  Banking the 2013/14 outcome this year will reduce the price volatility associated from dropping prices this year and then increasing prices significantly next year.</w:t>
      </w:r>
    </w:p>
    <w:p w:rsidR="00A633EA" w:rsidRDefault="00A633EA" w:rsidP="0044594F"/>
    <w:p w:rsidR="00A633EA" w:rsidRDefault="00A633EA" w:rsidP="0044594F">
      <w:r>
        <w:t xml:space="preserve">There are no other parameters to consider in this first year of 2015-20.  Even the CPI adjustment was determined when the AER set the </w:t>
      </w:r>
      <w:r w:rsidR="00477C39">
        <w:t>Preliminary Decision</w:t>
      </w:r>
      <w:r>
        <w:t xml:space="preserve"> smoothed revenue allowance of $682M.</w:t>
      </w:r>
    </w:p>
    <w:p w:rsidR="00607C67" w:rsidRDefault="00607C67" w:rsidP="0044594F">
      <w:pPr>
        <w:keepNext/>
        <w:spacing w:after="120"/>
      </w:pPr>
    </w:p>
    <w:p w:rsidR="0044594F" w:rsidRPr="00927302" w:rsidRDefault="0044594F" w:rsidP="0044594F">
      <w:pPr>
        <w:pStyle w:val="Heading2"/>
        <w:keepLines w:val="0"/>
        <w:numPr>
          <w:ilvl w:val="1"/>
          <w:numId w:val="16"/>
        </w:numPr>
        <w:tabs>
          <w:tab w:val="left" w:pos="851"/>
        </w:tabs>
        <w:spacing w:after="240" w:line="240" w:lineRule="auto"/>
      </w:pPr>
      <w:bookmarkStart w:id="138" w:name="_Ref134011283"/>
      <w:bookmarkStart w:id="139" w:name="_Ref134012253"/>
      <w:bookmarkStart w:id="140" w:name="_Toc420009860"/>
      <w:r w:rsidRPr="00927302">
        <w:t xml:space="preserve">Compliance with the </w:t>
      </w:r>
      <w:r w:rsidR="00A633EA">
        <w:t>Revenue</w:t>
      </w:r>
      <w:r w:rsidRPr="00927302">
        <w:t xml:space="preserve"> Cap</w:t>
      </w:r>
      <w:bookmarkEnd w:id="138"/>
      <w:bookmarkEnd w:id="139"/>
      <w:bookmarkEnd w:id="140"/>
    </w:p>
    <w:p w:rsidR="0044594F" w:rsidRDefault="0044594F" w:rsidP="0044594F">
      <w:r w:rsidRPr="00927302">
        <w:t>The AER’s WAPC model has been used</w:t>
      </w:r>
      <w:r w:rsidR="00A633EA">
        <w:t xml:space="preserve"> and amended </w:t>
      </w:r>
      <w:r w:rsidRPr="00927302">
        <w:t xml:space="preserve"> for the purposes of demonstrating compliance with the provisions of the </w:t>
      </w:r>
      <w:r w:rsidR="00A633EA">
        <w:t>2015-20 Revenue Cap</w:t>
      </w:r>
      <w:r w:rsidRPr="00927302">
        <w:t xml:space="preserve">.  This model is submitted as </w:t>
      </w:r>
      <w:r>
        <w:t>Appendix G</w:t>
      </w:r>
      <w:r w:rsidRPr="004071DF">
        <w:t xml:space="preserve"> (</w:t>
      </w:r>
      <w:r w:rsidRPr="00927302">
        <w:t xml:space="preserve">confidential) and forms part of this </w:t>
      </w:r>
      <w:r w:rsidR="00A633EA">
        <w:t>P</w:t>
      </w:r>
      <w:r w:rsidRPr="00927302">
        <w:t>ricing Proposal.</w:t>
      </w:r>
    </w:p>
    <w:p w:rsidR="00607C67" w:rsidRDefault="00607C67" w:rsidP="0044594F"/>
    <w:p w:rsidR="0044594F" w:rsidRDefault="0044594F" w:rsidP="0044594F">
      <w:r w:rsidRPr="00927302">
        <w:t xml:space="preserve">A summary of the tariff </w:t>
      </w:r>
      <w:r w:rsidRPr="005D0096">
        <w:t xml:space="preserve">class revenue is presented in </w:t>
      </w:r>
      <w:r w:rsidR="00924A8F">
        <w:fldChar w:fldCharType="begin"/>
      </w:r>
      <w:r w:rsidR="00924A8F">
        <w:instrText xml:space="preserve"> REF _Ref262141406 \h  \* MERGEFORMAT </w:instrText>
      </w:r>
      <w:r w:rsidR="00924A8F">
        <w:fldChar w:fldCharType="separate"/>
      </w:r>
      <w:r w:rsidR="00A81AFE" w:rsidRPr="005D0096">
        <w:t xml:space="preserve">Table </w:t>
      </w:r>
      <w:r w:rsidR="00A81AFE">
        <w:rPr>
          <w:noProof/>
        </w:rPr>
        <w:t>44</w:t>
      </w:r>
      <w:r w:rsidR="00924A8F">
        <w:fldChar w:fldCharType="end"/>
      </w:r>
      <w:r w:rsidRPr="005D0096">
        <w:t>.</w:t>
      </w:r>
      <w:r w:rsidR="00A633EA">
        <w:t xml:space="preserve">  This uses estimated outcomes for 2014/15 and forecast outcomes for 2015/16.</w:t>
      </w:r>
    </w:p>
    <w:p w:rsidR="0044594F" w:rsidRDefault="0044594F" w:rsidP="0044594F"/>
    <w:p w:rsidR="0044594F" w:rsidRDefault="0044594F" w:rsidP="0044594F">
      <w:pPr>
        <w:pStyle w:val="Caption"/>
      </w:pPr>
      <w:bookmarkStart w:id="141" w:name="_Ref262141406"/>
      <w:r w:rsidRPr="005D0096">
        <w:t xml:space="preserve">Table </w:t>
      </w:r>
      <w:r w:rsidR="00924A8F">
        <w:fldChar w:fldCharType="begin"/>
      </w:r>
      <w:r w:rsidR="00924A8F">
        <w:instrText xml:space="preserve"> SEQ Table \* ARABIC </w:instrText>
      </w:r>
      <w:r w:rsidR="00924A8F">
        <w:fldChar w:fldCharType="separate"/>
      </w:r>
      <w:r w:rsidR="00A81AFE">
        <w:rPr>
          <w:noProof/>
        </w:rPr>
        <w:t>44</w:t>
      </w:r>
      <w:r w:rsidR="00924A8F">
        <w:rPr>
          <w:noProof/>
        </w:rPr>
        <w:fldChar w:fldCharType="end"/>
      </w:r>
      <w:bookmarkEnd w:id="141"/>
      <w:r w:rsidRPr="005D0096">
        <w:t xml:space="preserve"> – Weighted Average Revenue</w:t>
      </w:r>
      <w:r w:rsidRPr="005D0096">
        <w:rPr>
          <w:rStyle w:val="FootnoteReference"/>
        </w:rPr>
        <w:footnoteReference w:id="10"/>
      </w:r>
    </w:p>
    <w:p w:rsidR="00A633EA" w:rsidRDefault="00B62555" w:rsidP="0044594F">
      <w:r w:rsidRPr="00B62555">
        <w:rPr>
          <w:noProof/>
          <w:lang w:val="en-US"/>
        </w:rPr>
        <w:drawing>
          <wp:inline distT="0" distB="0" distL="0" distR="0">
            <wp:extent cx="3571240" cy="114744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3571240" cy="1147445"/>
                    </a:xfrm>
                    <a:prstGeom prst="rect">
                      <a:avLst/>
                    </a:prstGeom>
                    <a:noFill/>
                    <a:ln w="9525">
                      <a:noFill/>
                      <a:miter lim="800000"/>
                      <a:headEnd/>
                      <a:tailEnd/>
                    </a:ln>
                  </pic:spPr>
                </pic:pic>
              </a:graphicData>
            </a:graphic>
          </wp:inline>
        </w:drawing>
      </w:r>
    </w:p>
    <w:p w:rsidR="0044594F" w:rsidRPr="00927302" w:rsidRDefault="00575C9A" w:rsidP="0044594F">
      <w:r>
        <w:fldChar w:fldCharType="begin"/>
      </w:r>
      <w:r w:rsidR="0044594F">
        <w:instrText xml:space="preserve"> REF _Ref262141406 \h </w:instrText>
      </w:r>
      <w:r>
        <w:fldChar w:fldCharType="separate"/>
      </w:r>
      <w:r w:rsidR="00A81AFE" w:rsidRPr="005D0096">
        <w:t xml:space="preserve">Table </w:t>
      </w:r>
      <w:r w:rsidR="00A81AFE">
        <w:rPr>
          <w:noProof/>
        </w:rPr>
        <w:t>44</w:t>
      </w:r>
      <w:r>
        <w:fldChar w:fldCharType="end"/>
      </w:r>
      <w:r w:rsidR="0044594F">
        <w:t xml:space="preserve"> </w:t>
      </w:r>
      <w:r w:rsidR="0044594F" w:rsidRPr="00927302">
        <w:t xml:space="preserve">demonstrates that </w:t>
      </w:r>
      <w:r w:rsidR="00EA36E3">
        <w:t>SA Power Networks</w:t>
      </w:r>
      <w:r w:rsidR="0044594F" w:rsidRPr="00927302">
        <w:t xml:space="preserve">’ </w:t>
      </w:r>
      <w:r w:rsidR="009E3CA8">
        <w:t>2015/16</w:t>
      </w:r>
      <w:r w:rsidR="0044594F">
        <w:t xml:space="preserve"> </w:t>
      </w:r>
      <w:r w:rsidR="00631EDB">
        <w:t>N</w:t>
      </w:r>
      <w:r w:rsidR="0044594F" w:rsidRPr="00927302">
        <w:t xml:space="preserve">etwork Pricing Proposal complies with the </w:t>
      </w:r>
      <w:r w:rsidR="00A633EA">
        <w:t xml:space="preserve">Revenue Cap </w:t>
      </w:r>
      <w:r w:rsidR="0044594F" w:rsidRPr="00927302">
        <w:t>constraint</w:t>
      </w:r>
      <w:r w:rsidR="0044594F">
        <w:t xml:space="preserve"> </w:t>
      </w:r>
      <w:r w:rsidR="00A633EA">
        <w:t>of $682 M, with forecast recoveries of $682.</w:t>
      </w:r>
      <w:r w:rsidR="00B62555">
        <w:t>0</w:t>
      </w:r>
      <w:r w:rsidR="00A633EA">
        <w:t> M</w:t>
      </w:r>
      <w:r w:rsidR="0044594F" w:rsidRPr="00927302">
        <w:t>.</w:t>
      </w:r>
      <w:r w:rsidR="00A633EA">
        <w:t xml:space="preserve">  The use of simpler tariffs with fewer significant figures has resulted in the immaterial  rounding outcome of $0.</w:t>
      </w:r>
      <w:r w:rsidR="00B62555">
        <w:t>021</w:t>
      </w:r>
      <w:r w:rsidR="00A633EA">
        <w:t> M.</w:t>
      </w:r>
    </w:p>
    <w:p w:rsidR="0044594F" w:rsidRPr="00927302" w:rsidRDefault="0044594F" w:rsidP="0044594F">
      <w:pPr>
        <w:pStyle w:val="Heading2"/>
        <w:keepLines w:val="0"/>
        <w:numPr>
          <w:ilvl w:val="1"/>
          <w:numId w:val="16"/>
        </w:numPr>
        <w:tabs>
          <w:tab w:val="left" w:pos="851"/>
        </w:tabs>
        <w:spacing w:after="240" w:line="240" w:lineRule="auto"/>
      </w:pPr>
      <w:bookmarkStart w:id="142" w:name="_Ref134011247"/>
      <w:bookmarkStart w:id="143" w:name="_Ref134012256"/>
      <w:bookmarkStart w:id="144" w:name="_Ref134012723"/>
      <w:bookmarkStart w:id="145" w:name="_Toc420009861"/>
      <w:r w:rsidRPr="00927302">
        <w:t>Tariff class side constraints</w:t>
      </w:r>
      <w:bookmarkEnd w:id="142"/>
      <w:bookmarkEnd w:id="143"/>
      <w:bookmarkEnd w:id="144"/>
      <w:bookmarkEnd w:id="145"/>
    </w:p>
    <w:p w:rsidR="0044594F" w:rsidRPr="00927302" w:rsidRDefault="0044594F" w:rsidP="009A26B4">
      <w:pPr>
        <w:pStyle w:val="Heading3"/>
      </w:pPr>
      <w:r w:rsidRPr="00927302">
        <w:t xml:space="preserve">Tariff class movement side constraint </w:t>
      </w:r>
    </w:p>
    <w:p w:rsidR="0044594F" w:rsidRDefault="0044594F" w:rsidP="0044594F">
      <w:pPr>
        <w:keepNext/>
      </w:pPr>
      <w:r w:rsidRPr="00927302">
        <w:t xml:space="preserve">The side constraint formula </w:t>
      </w:r>
      <w:r w:rsidR="00A633EA">
        <w:t>does not apply in the first year of the Reset.</w:t>
      </w:r>
    </w:p>
    <w:p w:rsidR="00607C67" w:rsidRPr="002941FE" w:rsidRDefault="00607C67" w:rsidP="0044594F"/>
    <w:p w:rsidR="002941FE" w:rsidRPr="002941FE" w:rsidRDefault="002941FE" w:rsidP="002941FE">
      <w:pPr>
        <w:keepNext/>
      </w:pPr>
      <w:r w:rsidRPr="002941FE">
        <w:t>That said, table 43 in section 8.3 above shows that all tariff classes have received significant reduction in distribution charges in 2015/16 which would meet any side constraint rule</w:t>
      </w:r>
      <w:r w:rsidR="00837F49">
        <w:t>.</w:t>
      </w:r>
    </w:p>
    <w:p w:rsidR="002941FE" w:rsidRPr="00927302" w:rsidRDefault="002941FE" w:rsidP="0044594F"/>
    <w:p w:rsidR="0044594F" w:rsidRPr="00927302" w:rsidRDefault="0044594F" w:rsidP="009A26B4">
      <w:pPr>
        <w:pStyle w:val="Heading3"/>
      </w:pPr>
      <w:bookmarkStart w:id="146" w:name="_Toc224632012"/>
      <w:bookmarkStart w:id="147" w:name="_Ref165707789"/>
      <w:r w:rsidRPr="00927302">
        <w:t>Fixed supply charge side constraint for small customers</w:t>
      </w:r>
      <w:bookmarkEnd w:id="146"/>
      <w:bookmarkEnd w:id="147"/>
    </w:p>
    <w:p w:rsidR="0044594F" w:rsidRDefault="0044594F" w:rsidP="002941FE">
      <w:r w:rsidRPr="00927302">
        <w:t>In the transitional Rules, Clause 9.29.5(d) limit</w:t>
      </w:r>
      <w:r w:rsidR="002941FE">
        <w:t>ed</w:t>
      </w:r>
      <w:r w:rsidRPr="00927302">
        <w:t xml:space="preserve"> the maximum increase in the fixed supply charge component for small customers to $10 per annum.  </w:t>
      </w:r>
      <w:r w:rsidR="002941FE">
        <w:t>This obligation no longer applies from July 2015.  However, we have attached Table 4</w:t>
      </w:r>
      <w:r w:rsidR="00837F49">
        <w:t>5</w:t>
      </w:r>
      <w:r w:rsidR="002941FE">
        <w:t xml:space="preserve"> below to show that, despite the removal of the fixed charge side constraint for small customers, the </w:t>
      </w:r>
      <w:r w:rsidR="00BE2520">
        <w:t xml:space="preserve">annual </w:t>
      </w:r>
      <w:r w:rsidR="002941FE">
        <w:t xml:space="preserve">supply charge has been reduced </w:t>
      </w:r>
      <w:r w:rsidR="00BE2520">
        <w:t xml:space="preserve">by $11.79 </w:t>
      </w:r>
      <w:r w:rsidR="002941FE">
        <w:t xml:space="preserve">in 2015/16.  </w:t>
      </w:r>
    </w:p>
    <w:p w:rsidR="002941FE" w:rsidRDefault="002941FE" w:rsidP="002941FE"/>
    <w:p w:rsidR="0044594F" w:rsidRDefault="0044594F" w:rsidP="0044594F">
      <w:pPr>
        <w:keepNext/>
      </w:pPr>
      <w:r w:rsidRPr="00927302">
        <w:t xml:space="preserve">The fixed </w:t>
      </w:r>
      <w:r w:rsidR="002941FE">
        <w:t>N</w:t>
      </w:r>
      <w:r>
        <w:t xml:space="preserve">UoS </w:t>
      </w:r>
      <w:r w:rsidRPr="00927302">
        <w:t xml:space="preserve">charges for small customers are illustrated in </w:t>
      </w:r>
      <w:r w:rsidR="00575C9A">
        <w:fldChar w:fldCharType="begin"/>
      </w:r>
      <w:r>
        <w:instrText xml:space="preserve"> REF _Ref131927426 \h </w:instrText>
      </w:r>
      <w:r w:rsidR="00575C9A">
        <w:fldChar w:fldCharType="separate"/>
      </w:r>
      <w:r w:rsidR="00A81AFE" w:rsidRPr="005D0096">
        <w:t xml:space="preserve">Table </w:t>
      </w:r>
      <w:r w:rsidR="00A81AFE">
        <w:rPr>
          <w:noProof/>
        </w:rPr>
        <w:t>45</w:t>
      </w:r>
      <w:r w:rsidR="00575C9A">
        <w:fldChar w:fldCharType="end"/>
      </w:r>
      <w:r w:rsidRPr="00927302">
        <w:t>.</w:t>
      </w:r>
    </w:p>
    <w:p w:rsidR="00607C67" w:rsidRPr="00927302" w:rsidRDefault="00607C67" w:rsidP="0044594F">
      <w:pPr>
        <w:keepNext/>
      </w:pPr>
    </w:p>
    <w:p w:rsidR="0044594F" w:rsidRPr="00927302" w:rsidRDefault="0044594F" w:rsidP="0044594F">
      <w:pPr>
        <w:pStyle w:val="Caption"/>
        <w:keepNext/>
      </w:pPr>
      <w:bookmarkStart w:id="148" w:name="_Ref131927426"/>
      <w:r w:rsidRPr="005D0096">
        <w:t xml:space="preserve">Table </w:t>
      </w:r>
      <w:r w:rsidR="00924A8F">
        <w:fldChar w:fldCharType="begin"/>
      </w:r>
      <w:r w:rsidR="00924A8F">
        <w:instrText xml:space="preserve"> SEQ Table \* ARABIC </w:instrText>
      </w:r>
      <w:r w:rsidR="00924A8F">
        <w:fldChar w:fldCharType="separate"/>
      </w:r>
      <w:r w:rsidR="00A81AFE">
        <w:rPr>
          <w:noProof/>
        </w:rPr>
        <w:t>45</w:t>
      </w:r>
      <w:r w:rsidR="00924A8F">
        <w:rPr>
          <w:noProof/>
        </w:rPr>
        <w:fldChar w:fldCharType="end"/>
      </w:r>
      <w:bookmarkEnd w:id="148"/>
      <w:r w:rsidRPr="005D0096">
        <w:t xml:space="preserve"> – Compliance with the fixed charge side constraint for small customers</w:t>
      </w:r>
    </w:p>
    <w:p w:rsidR="0044594F" w:rsidRPr="00927302" w:rsidRDefault="00BE2520" w:rsidP="0044594F">
      <w:r w:rsidRPr="00BE2520">
        <w:rPr>
          <w:noProof/>
          <w:lang w:val="en-US"/>
        </w:rPr>
        <w:drawing>
          <wp:inline distT="0" distB="0" distL="0" distR="0">
            <wp:extent cx="4829175" cy="29146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srcRect/>
                    <a:stretch>
                      <a:fillRect/>
                    </a:stretch>
                  </pic:blipFill>
                  <pic:spPr bwMode="auto">
                    <a:xfrm>
                      <a:off x="0" y="0"/>
                      <a:ext cx="4829175" cy="2914650"/>
                    </a:xfrm>
                    <a:prstGeom prst="rect">
                      <a:avLst/>
                    </a:prstGeom>
                    <a:noFill/>
                    <a:ln w="9525">
                      <a:noFill/>
                      <a:miter lim="800000"/>
                      <a:headEnd/>
                      <a:tailEnd/>
                    </a:ln>
                  </pic:spPr>
                </pic:pic>
              </a:graphicData>
            </a:graphic>
          </wp:inline>
        </w:drawing>
      </w:r>
    </w:p>
    <w:p w:rsidR="00607C67" w:rsidRPr="00927302" w:rsidRDefault="00607C67" w:rsidP="0044594F"/>
    <w:p w:rsidR="0044594F" w:rsidRPr="00927302" w:rsidRDefault="0044594F" w:rsidP="0044594F">
      <w:pPr>
        <w:pStyle w:val="Heading2"/>
        <w:keepLines w:val="0"/>
        <w:numPr>
          <w:ilvl w:val="1"/>
          <w:numId w:val="16"/>
        </w:numPr>
        <w:spacing w:after="240" w:line="240" w:lineRule="auto"/>
      </w:pPr>
      <w:bookmarkStart w:id="149" w:name="_Ref226961218"/>
      <w:bookmarkStart w:id="150" w:name="_Ref226961226"/>
      <w:bookmarkStart w:id="151" w:name="_Toc420009862"/>
      <w:r>
        <w:t>Compliance with</w:t>
      </w:r>
      <w:r w:rsidRPr="00927302">
        <w:t xml:space="preserve"> pricing principles</w:t>
      </w:r>
      <w:bookmarkEnd w:id="149"/>
      <w:bookmarkEnd w:id="150"/>
      <w:bookmarkEnd w:id="151"/>
    </w:p>
    <w:p w:rsidR="0044594F" w:rsidRDefault="0044594F" w:rsidP="0044594F">
      <w:pPr>
        <w:keepNext/>
        <w:spacing w:after="120"/>
      </w:pPr>
      <w:r w:rsidRPr="00927302">
        <w:t xml:space="preserve">This </w:t>
      </w:r>
      <w:r w:rsidR="000B7F94">
        <w:t>Section</w:t>
      </w:r>
      <w:r w:rsidRPr="00927302">
        <w:t xml:space="preserve"> demonstrates </w:t>
      </w:r>
      <w:r w:rsidR="00EA36E3">
        <w:t>SA Power Networks</w:t>
      </w:r>
      <w:r w:rsidRPr="00927302">
        <w:t>’ compliance with the pricing principles set out in clause 6.18.5 of the Rules</w:t>
      </w:r>
      <w:r>
        <w:t xml:space="preserve">, which </w:t>
      </w:r>
      <w:r w:rsidRPr="00A65B91">
        <w:t xml:space="preserve">requires </w:t>
      </w:r>
      <w:r w:rsidR="00EA36E3">
        <w:t>SA Power Networks</w:t>
      </w:r>
      <w:r w:rsidRPr="00A65B91">
        <w:t xml:space="preserve"> to </w:t>
      </w:r>
      <w:r>
        <w:t>ensure that the revenue recovered for each tariff class lies between:</w:t>
      </w:r>
    </w:p>
    <w:p w:rsidR="0044594F" w:rsidRPr="00C95FDA" w:rsidRDefault="0044594F" w:rsidP="00607C67">
      <w:pPr>
        <w:pStyle w:val="ListParagraph"/>
        <w:numPr>
          <w:ilvl w:val="0"/>
          <w:numId w:val="22"/>
        </w:numPr>
        <w:tabs>
          <w:tab w:val="left" w:pos="851"/>
        </w:tabs>
        <w:spacing w:after="120" w:line="240" w:lineRule="auto"/>
        <w:ind w:left="850" w:hanging="425"/>
        <w:contextualSpacing w:val="0"/>
      </w:pPr>
      <w:r w:rsidRPr="004312C3">
        <w:rPr>
          <w:rFonts w:cs="ArialMT"/>
        </w:rPr>
        <w:t xml:space="preserve">An upper bound, </w:t>
      </w:r>
      <w:r>
        <w:t>representing the stand-</w:t>
      </w:r>
      <w:r w:rsidRPr="00C95FDA">
        <w:t>alone cost of serving the customers who belong to that class</w:t>
      </w:r>
      <w:r>
        <w:t xml:space="preserve">; </w:t>
      </w:r>
      <w:r w:rsidRPr="00C95FDA">
        <w:t>and</w:t>
      </w:r>
    </w:p>
    <w:p w:rsidR="0044594F" w:rsidRPr="00770C9B" w:rsidRDefault="0044594F" w:rsidP="00607C67">
      <w:pPr>
        <w:pStyle w:val="ListParagraph"/>
        <w:numPr>
          <w:ilvl w:val="0"/>
          <w:numId w:val="22"/>
        </w:numPr>
        <w:tabs>
          <w:tab w:val="left" w:pos="851"/>
        </w:tabs>
        <w:spacing w:after="240" w:line="240" w:lineRule="auto"/>
        <w:ind w:left="850" w:hanging="425"/>
        <w:contextualSpacing w:val="0"/>
        <w:rPr>
          <w:rFonts w:cs="ArialMT"/>
        </w:rPr>
      </w:pPr>
      <w:r>
        <w:t>A</w:t>
      </w:r>
      <w:r w:rsidRPr="00C95FDA">
        <w:t xml:space="preserve"> lower bound</w:t>
      </w:r>
      <w:r>
        <w:t>,</w:t>
      </w:r>
      <w:r w:rsidRPr="00C95FDA">
        <w:t xml:space="preserve"> representing</w:t>
      </w:r>
      <w:r w:rsidRPr="00770C9B">
        <w:rPr>
          <w:rFonts w:cs="ArialMT"/>
        </w:rPr>
        <w:t xml:space="preserve"> the avoidable cost of not serving those customers.</w:t>
      </w:r>
      <w:r w:rsidRPr="00770C9B">
        <w:t xml:space="preserve"> </w:t>
      </w:r>
      <w:r>
        <w:t xml:space="preserve"> </w:t>
      </w:r>
    </w:p>
    <w:p w:rsidR="0044594F" w:rsidRDefault="0044594F" w:rsidP="0044594F">
      <w:pPr>
        <w:rPr>
          <w:rFonts w:cs="ArialMT"/>
        </w:rPr>
      </w:pPr>
      <w:r>
        <w:rPr>
          <w:rFonts w:cs="ArialMT"/>
        </w:rPr>
        <w:t xml:space="preserve">The Stand-alone and Avoidable cost methodologies are described in detail in Appendix F of this Proposal.  These approaches are used to calculate the revenues for each standard control services tariff class associated with each cost methodology.  These costs are compared with the weighted average revenue derived from </w:t>
      </w:r>
      <w:r w:rsidR="00EA36E3">
        <w:rPr>
          <w:rFonts w:cs="ArialMT"/>
        </w:rPr>
        <w:t>SA Power Networks</w:t>
      </w:r>
      <w:r>
        <w:rPr>
          <w:rFonts w:cs="ArialMT"/>
        </w:rPr>
        <w:t xml:space="preserve">’ proposed tariffs.  </w:t>
      </w:r>
    </w:p>
    <w:p w:rsidR="00607C67" w:rsidRPr="00A65B91" w:rsidRDefault="00607C67" w:rsidP="0044594F">
      <w:pPr>
        <w:rPr>
          <w:rFonts w:cs="ArialMT"/>
        </w:rPr>
      </w:pPr>
    </w:p>
    <w:p w:rsidR="0044594F" w:rsidRDefault="0044594F" w:rsidP="009A26B4">
      <w:pPr>
        <w:pStyle w:val="Heading3"/>
      </w:pPr>
      <w:bookmarkStart w:id="152" w:name="_Toc134505055"/>
      <w:r>
        <w:t>Definition of Stand-alone and Avoidable costs</w:t>
      </w:r>
      <w:bookmarkEnd w:id="152"/>
    </w:p>
    <w:p w:rsidR="0044594F" w:rsidRDefault="0044594F" w:rsidP="0044594F">
      <w:pPr>
        <w:keepNext/>
        <w:spacing w:after="120"/>
      </w:pPr>
      <w:r>
        <w:t>These two categories of cost may be defined for tariff classes, as follows:</w:t>
      </w:r>
    </w:p>
    <w:p w:rsidR="0044594F" w:rsidRDefault="0044594F" w:rsidP="0044594F">
      <w:pPr>
        <w:pStyle w:val="ListParagraph"/>
        <w:numPr>
          <w:ilvl w:val="0"/>
          <w:numId w:val="22"/>
        </w:numPr>
        <w:tabs>
          <w:tab w:val="left" w:pos="851"/>
        </w:tabs>
        <w:spacing w:after="120" w:line="240" w:lineRule="auto"/>
        <w:ind w:left="850" w:hanging="425"/>
        <w:contextualSpacing w:val="0"/>
      </w:pPr>
      <w:r w:rsidRPr="00A41BE8">
        <w:t xml:space="preserve">The </w:t>
      </w:r>
      <w:r w:rsidRPr="008F0221">
        <w:rPr>
          <w:b/>
          <w:i/>
        </w:rPr>
        <w:t>Stand-alone cost</w:t>
      </w:r>
      <w:r>
        <w:t xml:space="preserve"> for a </w:t>
      </w:r>
      <w:r w:rsidRPr="008F0221">
        <w:rPr>
          <w:rFonts w:cs="ArialMT"/>
        </w:rPr>
        <w:t>tariff</w:t>
      </w:r>
      <w:r>
        <w:t xml:space="preserve"> class is the cost of supplying only the tariff class concerned, with all other tariff classes not being supplied.</w:t>
      </w:r>
      <w:r w:rsidRPr="004312C3">
        <w:t xml:space="preserve"> </w:t>
      </w:r>
      <w:r>
        <w:t xml:space="preserve"> If customers were to pay above the stand-alone cost then it would be economically beneficial for customers to switch to an alternative provider, and economically feasible for an alternative provider to operate.  This creates the possibility of inefficient bypass of the existing infrastructure; and</w:t>
      </w:r>
    </w:p>
    <w:p w:rsidR="0044594F" w:rsidRDefault="0044594F" w:rsidP="0044594F">
      <w:pPr>
        <w:pStyle w:val="ListParagraph"/>
        <w:numPr>
          <w:ilvl w:val="0"/>
          <w:numId w:val="22"/>
        </w:numPr>
        <w:tabs>
          <w:tab w:val="left" w:pos="851"/>
        </w:tabs>
        <w:spacing w:after="240" w:line="240" w:lineRule="auto"/>
        <w:ind w:left="850" w:hanging="425"/>
        <w:contextualSpacing w:val="0"/>
      </w:pPr>
      <w:r w:rsidRPr="00A41BE8">
        <w:t xml:space="preserve">The </w:t>
      </w:r>
      <w:r w:rsidRPr="008F0221">
        <w:rPr>
          <w:b/>
          <w:i/>
        </w:rPr>
        <w:t>Avoidable cost</w:t>
      </w:r>
      <w:r w:rsidRPr="00CB25C1">
        <w:t xml:space="preserve"> </w:t>
      </w:r>
      <w:r>
        <w:t>for a tariff class is the reduction in network cost that would take place if the tariff class were not supplied (whilst all other tariff classes remained supplied).</w:t>
      </w:r>
      <w:r w:rsidRPr="004312C3">
        <w:t xml:space="preserve"> </w:t>
      </w:r>
      <w:r>
        <w:t xml:space="preserve"> I</w:t>
      </w:r>
      <w:r w:rsidRPr="00770C9B">
        <w:rPr>
          <w:rFonts w:cs="ArialMT"/>
        </w:rPr>
        <w:t xml:space="preserve">f customers were </w:t>
      </w:r>
      <w:r>
        <w:rPr>
          <w:rFonts w:cs="ArialMT"/>
        </w:rPr>
        <w:t xml:space="preserve">to be </w:t>
      </w:r>
      <w:r w:rsidRPr="00770C9B">
        <w:rPr>
          <w:rFonts w:cs="ArialMT"/>
        </w:rPr>
        <w:t>charged below the avoidable cost, it would be economically beneficial for the business to stop supplying the customer</w:t>
      </w:r>
      <w:r>
        <w:rPr>
          <w:rFonts w:cs="ArialMT"/>
        </w:rPr>
        <w:t>s</w:t>
      </w:r>
      <w:r w:rsidRPr="00770C9B">
        <w:rPr>
          <w:rFonts w:cs="ArialMT"/>
        </w:rPr>
        <w:t xml:space="preserve"> and </w:t>
      </w:r>
      <w:r>
        <w:rPr>
          <w:rFonts w:cs="ArialMT"/>
        </w:rPr>
        <w:t>as</w:t>
      </w:r>
      <w:r w:rsidRPr="00770C9B">
        <w:rPr>
          <w:rFonts w:cs="ArialMT"/>
        </w:rPr>
        <w:t xml:space="preserve"> the associated costs would exceed </w:t>
      </w:r>
      <w:r>
        <w:rPr>
          <w:rFonts w:cs="ArialMT"/>
        </w:rPr>
        <w:t xml:space="preserve">the </w:t>
      </w:r>
      <w:r w:rsidRPr="00770C9B">
        <w:rPr>
          <w:rFonts w:cs="ArialMT"/>
        </w:rPr>
        <w:t>revenue obtained from the customer.</w:t>
      </w:r>
    </w:p>
    <w:p w:rsidR="0044594F" w:rsidRDefault="0044594F" w:rsidP="0044594F">
      <w:pPr>
        <w:keepNext/>
        <w:spacing w:after="120"/>
      </w:pPr>
      <w:r>
        <w:t>There are two alternative concepts that could be used to calculate these costs:</w:t>
      </w:r>
    </w:p>
    <w:p w:rsidR="0044594F" w:rsidRDefault="0044594F" w:rsidP="0044594F">
      <w:pPr>
        <w:pStyle w:val="ListParagraph"/>
        <w:numPr>
          <w:ilvl w:val="0"/>
          <w:numId w:val="22"/>
        </w:numPr>
        <w:tabs>
          <w:tab w:val="left" w:pos="851"/>
        </w:tabs>
        <w:spacing w:after="120" w:line="240" w:lineRule="auto"/>
        <w:ind w:left="850" w:hanging="425"/>
        <w:contextualSpacing w:val="0"/>
      </w:pPr>
      <w:r>
        <w:t>To ignore the sunk nature of the existing network and estimate the costs which would be associated with an optimally designed network, constructed to supply standard control services to the tariff class(es) concerned; or</w:t>
      </w:r>
    </w:p>
    <w:p w:rsidR="0044594F" w:rsidRDefault="0044594F" w:rsidP="0044594F">
      <w:pPr>
        <w:pStyle w:val="ListParagraph"/>
        <w:numPr>
          <w:ilvl w:val="0"/>
          <w:numId w:val="22"/>
        </w:numPr>
        <w:tabs>
          <w:tab w:val="left" w:pos="851"/>
        </w:tabs>
        <w:spacing w:after="240" w:line="240" w:lineRule="auto"/>
        <w:ind w:left="850" w:hanging="425"/>
        <w:contextualSpacing w:val="0"/>
      </w:pPr>
      <w:r>
        <w:t>To base the estimation of costs on the modification of the existing network to provide standard control services to the tariff class(es) concerned</w:t>
      </w:r>
    </w:p>
    <w:p w:rsidR="0044594F" w:rsidRDefault="0044594F" w:rsidP="0044594F">
      <w:pPr>
        <w:keepNext/>
        <w:spacing w:after="120"/>
      </w:pPr>
      <w:r w:rsidRPr="00502710">
        <w:t>The Rules do not prescribe the methodology that should be used to calculate the Stand-alone and Avoidable costs of tariff classes of the network.</w:t>
      </w:r>
      <w:r>
        <w:t xml:space="preserve">  </w:t>
      </w:r>
      <w:r w:rsidR="00EA36E3">
        <w:t>SA Power Networks</w:t>
      </w:r>
      <w:r>
        <w:t xml:space="preserve"> has chosen to base its cost estimations on the second concept, with hypothetical modification of the existing network, rather than by devising and costing optimal new network structures.  This has been done for two reasons:</w:t>
      </w:r>
    </w:p>
    <w:p w:rsidR="0044594F" w:rsidRDefault="0044594F" w:rsidP="0044594F">
      <w:pPr>
        <w:pStyle w:val="ListParagraph"/>
        <w:numPr>
          <w:ilvl w:val="0"/>
          <w:numId w:val="22"/>
        </w:numPr>
        <w:tabs>
          <w:tab w:val="left" w:pos="851"/>
        </w:tabs>
        <w:spacing w:after="120" w:line="240" w:lineRule="auto"/>
        <w:ind w:left="850" w:hanging="425"/>
        <w:contextualSpacing w:val="0"/>
      </w:pPr>
      <w:r>
        <w:t>To avoid the very substantial resource requirements that would be involved in a full network redesign; and</w:t>
      </w:r>
    </w:p>
    <w:p w:rsidR="0044594F" w:rsidRDefault="0044594F" w:rsidP="0044594F">
      <w:pPr>
        <w:pStyle w:val="ListParagraph"/>
        <w:numPr>
          <w:ilvl w:val="0"/>
          <w:numId w:val="22"/>
        </w:numPr>
        <w:tabs>
          <w:tab w:val="left" w:pos="851"/>
        </w:tabs>
        <w:spacing w:after="240" w:line="240" w:lineRule="auto"/>
        <w:ind w:left="850" w:hanging="425"/>
        <w:contextualSpacing w:val="0"/>
      </w:pPr>
      <w:r>
        <w:t>In recognition that the economic regulatory framework for distribution supports the existence and value of existing (sunk) network investments and does not support the optimisation of existing networks.</w:t>
      </w:r>
    </w:p>
    <w:p w:rsidR="0044594F" w:rsidRDefault="0044594F" w:rsidP="0044594F">
      <w:r w:rsidRPr="00927302">
        <w:t xml:space="preserve">The derivation of the stand-alone and avoidable cost for tariff classes uses a methodology based on </w:t>
      </w:r>
      <w:r w:rsidR="00EA36E3">
        <w:t>SA Power Networks</w:t>
      </w:r>
      <w:r w:rsidRPr="00927302">
        <w:t>’ cost of supply model.  This model has been in use for a decade and was formulated to permit the efficient allocation of network costs to tariff classes and the formulation of network prices.</w:t>
      </w:r>
      <w:r>
        <w:t xml:space="preserve">  The cost allocation model has been adapted to include the allocation of non system costs to tariff classes.</w:t>
      </w:r>
    </w:p>
    <w:p w:rsidR="00607C67" w:rsidRPr="00927302" w:rsidRDefault="00607C67" w:rsidP="0044594F"/>
    <w:p w:rsidR="0044594F" w:rsidRDefault="0044594F" w:rsidP="0044594F">
      <w:r w:rsidRPr="0054245E">
        <w:t xml:space="preserve">This model is described in the following </w:t>
      </w:r>
      <w:r w:rsidR="000B7F94">
        <w:t>Section</w:t>
      </w:r>
      <w:r w:rsidRPr="0054245E">
        <w:t xml:space="preserve">s.  This approach was independently reviewed by KPMG, and certified to be compliant with the Rules in 2010.  The approach has not been altered from that used in the 2010/11 Pricing Proposal and the sole change has been to index the outcomes by CPI </w:t>
      </w:r>
      <w:r w:rsidR="00631EDB">
        <w:t>each year</w:t>
      </w:r>
      <w:r w:rsidRPr="0054245E">
        <w:t>.</w:t>
      </w:r>
    </w:p>
    <w:p w:rsidR="00BE2520" w:rsidRDefault="00BE2520" w:rsidP="0044594F"/>
    <w:p w:rsidR="00607C67" w:rsidRPr="00927302" w:rsidRDefault="00607C67" w:rsidP="0044594F"/>
    <w:p w:rsidR="0044594F" w:rsidRPr="00927302" w:rsidRDefault="0044594F" w:rsidP="0044594F">
      <w:pPr>
        <w:pStyle w:val="Heading2"/>
        <w:keepLines w:val="0"/>
        <w:numPr>
          <w:ilvl w:val="1"/>
          <w:numId w:val="16"/>
        </w:numPr>
        <w:spacing w:after="240" w:line="240" w:lineRule="auto"/>
      </w:pPr>
      <w:bookmarkStart w:id="153" w:name="_Ref131853146"/>
      <w:bookmarkStart w:id="154" w:name="_Toc420009863"/>
      <w:r w:rsidRPr="00927302">
        <w:t>Stand-alone costs</w:t>
      </w:r>
      <w:bookmarkEnd w:id="153"/>
      <w:bookmarkEnd w:id="154"/>
    </w:p>
    <w:p w:rsidR="0044594F" w:rsidRDefault="0044594F" w:rsidP="0044594F">
      <w:r w:rsidRPr="00927302">
        <w:t>The stand-alone cost for each tariff class was derived from an engineering estimate of the proportions of the cost of providing network capacity that would need to remain in place to service the load in each of the four tariff classes in turn if the other three tariff classes were no longer required to be suppl</w:t>
      </w:r>
      <w:r>
        <w:t>i</w:t>
      </w:r>
      <w:r w:rsidRPr="00927302">
        <w:t xml:space="preserve">ed.  </w:t>
      </w:r>
    </w:p>
    <w:p w:rsidR="00607C67" w:rsidRPr="00927302" w:rsidRDefault="00607C67" w:rsidP="0044594F"/>
    <w:p w:rsidR="0044594F" w:rsidRDefault="0044594F" w:rsidP="0044594F">
      <w:r w:rsidRPr="00927302">
        <w:t xml:space="preserve">The resulting cost allocation for each tariff class has been expressed in $/kVA, using the estimated coincident contribution to </w:t>
      </w:r>
      <w:r w:rsidR="00EA36E3">
        <w:t>SA Power Networks</w:t>
      </w:r>
      <w:r w:rsidRPr="00927302">
        <w:t>’ peak system demand and after adjustment for the average power factor of the tariff class.</w:t>
      </w:r>
    </w:p>
    <w:p w:rsidR="00607C67" w:rsidRPr="00927302" w:rsidRDefault="00607C67" w:rsidP="0044594F"/>
    <w:p w:rsidR="0044594F" w:rsidRDefault="0044594F" w:rsidP="0044594F">
      <w:pPr>
        <w:rPr>
          <w:noProof/>
        </w:rPr>
      </w:pPr>
      <w:r w:rsidRPr="00927302">
        <w:t xml:space="preserve">The </w:t>
      </w:r>
      <w:r>
        <w:t xml:space="preserve">detailed </w:t>
      </w:r>
      <w:r w:rsidRPr="00927302">
        <w:t xml:space="preserve">procedure used to calculate the stand-alone cost of tariff classes is set out in Appendix </w:t>
      </w:r>
      <w:r>
        <w:t>F</w:t>
      </w:r>
      <w:r w:rsidRPr="00927302">
        <w:t xml:space="preserve"> of this Pricing Proposal.</w:t>
      </w:r>
      <w:r w:rsidRPr="00F90095">
        <w:rPr>
          <w:noProof/>
        </w:rPr>
        <w:t xml:space="preserve"> </w:t>
      </w:r>
      <w:r>
        <w:rPr>
          <w:noProof/>
        </w:rPr>
        <w:t xml:space="preserve"> </w:t>
      </w:r>
    </w:p>
    <w:p w:rsidR="00607C67" w:rsidRPr="00927302" w:rsidRDefault="00607C67" w:rsidP="0044594F"/>
    <w:p w:rsidR="0044594F" w:rsidRPr="00927302" w:rsidRDefault="0044594F" w:rsidP="0044594F">
      <w:pPr>
        <w:pStyle w:val="Heading2"/>
        <w:keepLines w:val="0"/>
        <w:numPr>
          <w:ilvl w:val="1"/>
          <w:numId w:val="16"/>
        </w:numPr>
        <w:spacing w:after="240" w:line="240" w:lineRule="auto"/>
      </w:pPr>
      <w:bookmarkStart w:id="155" w:name="_Ref131853149"/>
      <w:bookmarkStart w:id="156" w:name="_Toc420009864"/>
      <w:r w:rsidRPr="00927302">
        <w:t>Avoidable costs</w:t>
      </w:r>
      <w:bookmarkEnd w:id="155"/>
      <w:bookmarkEnd w:id="156"/>
    </w:p>
    <w:p w:rsidR="0044594F" w:rsidRDefault="0044594F" w:rsidP="0044594F">
      <w:r w:rsidRPr="00927302">
        <w:t xml:space="preserve">In similar manner to the stand-alone cost, the avoidable cost associated with each of the four tariff classes were derived from an engineering estimate made of the network cost that could be avoided, in the event that each of the four tariff classes were to be removed in turn.  </w:t>
      </w:r>
    </w:p>
    <w:p w:rsidR="00607C67" w:rsidRPr="00927302" w:rsidRDefault="00607C67" w:rsidP="0044594F"/>
    <w:p w:rsidR="0044594F" w:rsidRDefault="0044594F" w:rsidP="0044594F">
      <w:r w:rsidRPr="00927302">
        <w:t xml:space="preserve">As with the stand-alone cost, the avoidable network cost was expressed in $/kVA for each tariff class.  The procedure used to calculate the avoidable cost of tariff classes is </w:t>
      </w:r>
      <w:r>
        <w:t xml:space="preserve">also </w:t>
      </w:r>
      <w:r w:rsidRPr="00927302">
        <w:t xml:space="preserve">set out in </w:t>
      </w:r>
      <w:r w:rsidRPr="002A49F5">
        <w:t xml:space="preserve">Appendix </w:t>
      </w:r>
      <w:r>
        <w:t>F</w:t>
      </w:r>
      <w:r w:rsidRPr="00927302">
        <w:t xml:space="preserve"> of this Pricing Proposal.</w:t>
      </w:r>
      <w:r>
        <w:t xml:space="preserve">  </w:t>
      </w:r>
    </w:p>
    <w:p w:rsidR="00631EDB" w:rsidRPr="00927302" w:rsidRDefault="00631EDB" w:rsidP="0044594F"/>
    <w:p w:rsidR="0044594F" w:rsidRPr="00927302" w:rsidRDefault="0044594F" w:rsidP="0044594F">
      <w:pPr>
        <w:pStyle w:val="Heading2"/>
        <w:keepLines w:val="0"/>
        <w:numPr>
          <w:ilvl w:val="1"/>
          <w:numId w:val="16"/>
        </w:numPr>
        <w:spacing w:after="240" w:line="240" w:lineRule="auto"/>
      </w:pPr>
      <w:bookmarkStart w:id="157" w:name="_Toc420009865"/>
      <w:r w:rsidRPr="00927302">
        <w:t>Compliance with Rules clause 6.18.5(a)</w:t>
      </w:r>
      <w:bookmarkEnd w:id="157"/>
    </w:p>
    <w:p w:rsidR="0044594F" w:rsidRDefault="0044594F" w:rsidP="0044594F">
      <w:r w:rsidRPr="00927302">
        <w:t xml:space="preserve">The revenue expected to be recovered from each of </w:t>
      </w:r>
      <w:r w:rsidR="00EA36E3">
        <w:t>SA Power Networks</w:t>
      </w:r>
      <w:r w:rsidRPr="00927302">
        <w:t xml:space="preserve">’ tariff classes in </w:t>
      </w:r>
      <w:r w:rsidR="009E3CA8">
        <w:t>2015/16</w:t>
      </w:r>
      <w:r>
        <w:t xml:space="preserve"> </w:t>
      </w:r>
      <w:r w:rsidRPr="00927302">
        <w:t xml:space="preserve">is compared with the stand-alone and avoidable costs calculated in </w:t>
      </w:r>
      <w:r w:rsidR="000B7F94">
        <w:t>Section</w:t>
      </w:r>
      <w:r w:rsidRPr="00C416F5">
        <w:t xml:space="preserve">s </w:t>
      </w:r>
      <w:r w:rsidR="00575C9A" w:rsidRPr="00C416F5">
        <w:fldChar w:fldCharType="begin"/>
      </w:r>
      <w:r w:rsidRPr="00C416F5">
        <w:instrText xml:space="preserve"> REF _Ref131853146 \r \h </w:instrText>
      </w:r>
      <w:r w:rsidR="00575C9A" w:rsidRPr="00C416F5">
        <w:fldChar w:fldCharType="separate"/>
      </w:r>
      <w:r w:rsidR="00A81AFE">
        <w:t>8.6</w:t>
      </w:r>
      <w:r w:rsidR="00575C9A" w:rsidRPr="00C416F5">
        <w:fldChar w:fldCharType="end"/>
      </w:r>
      <w:r w:rsidRPr="00C416F5">
        <w:t xml:space="preserve"> and </w:t>
      </w:r>
      <w:r w:rsidR="00575C9A" w:rsidRPr="00C416F5">
        <w:fldChar w:fldCharType="begin"/>
      </w:r>
      <w:r w:rsidRPr="00C416F5">
        <w:instrText xml:space="preserve"> REF _Ref131853149 \r \h </w:instrText>
      </w:r>
      <w:r w:rsidR="00575C9A" w:rsidRPr="00C416F5">
        <w:fldChar w:fldCharType="separate"/>
      </w:r>
      <w:r w:rsidR="00A81AFE">
        <w:t>8.7</w:t>
      </w:r>
      <w:r w:rsidR="00575C9A" w:rsidRPr="00C416F5">
        <w:fldChar w:fldCharType="end"/>
      </w:r>
      <w:r w:rsidRPr="00C416F5">
        <w:t xml:space="preserve"> in</w:t>
      </w:r>
      <w:r>
        <w:t xml:space="preserve"> </w:t>
      </w:r>
      <w:r w:rsidR="00575C9A">
        <w:fldChar w:fldCharType="begin"/>
      </w:r>
      <w:r>
        <w:instrText xml:space="preserve"> REF _Ref131925929 \h </w:instrText>
      </w:r>
      <w:r w:rsidR="00575C9A">
        <w:fldChar w:fldCharType="separate"/>
      </w:r>
      <w:r w:rsidR="00A81AFE" w:rsidRPr="00FC6696">
        <w:t xml:space="preserve">Table </w:t>
      </w:r>
      <w:r w:rsidR="00A81AFE">
        <w:rPr>
          <w:noProof/>
        </w:rPr>
        <w:t>46</w:t>
      </w:r>
      <w:r w:rsidR="00575C9A">
        <w:fldChar w:fldCharType="end"/>
      </w:r>
      <w:r w:rsidRPr="00C416F5">
        <w:t>.</w:t>
      </w:r>
    </w:p>
    <w:p w:rsidR="00607C67" w:rsidRPr="00C416F5" w:rsidRDefault="00607C67" w:rsidP="0044594F"/>
    <w:p w:rsidR="0044594F" w:rsidRPr="00FC6696" w:rsidRDefault="0044594F" w:rsidP="0044594F">
      <w:pPr>
        <w:pStyle w:val="Caption"/>
        <w:keepNext/>
      </w:pPr>
      <w:bookmarkStart w:id="158" w:name="_Ref131925929"/>
      <w:r w:rsidRPr="00FC6696">
        <w:t xml:space="preserve">Table </w:t>
      </w:r>
      <w:r w:rsidR="00575C9A" w:rsidRPr="00FC6696">
        <w:fldChar w:fldCharType="begin"/>
      </w:r>
      <w:r w:rsidR="0096185A" w:rsidRPr="00FC6696">
        <w:instrText xml:space="preserve"> SEQ Table \* ARABIC </w:instrText>
      </w:r>
      <w:r w:rsidR="00575C9A" w:rsidRPr="00FC6696">
        <w:fldChar w:fldCharType="separate"/>
      </w:r>
      <w:r w:rsidR="00A81AFE">
        <w:rPr>
          <w:noProof/>
        </w:rPr>
        <w:t>46</w:t>
      </w:r>
      <w:r w:rsidR="00575C9A" w:rsidRPr="00FC6696">
        <w:fldChar w:fldCharType="end"/>
      </w:r>
      <w:bookmarkEnd w:id="158"/>
      <w:r w:rsidRPr="00FC6696">
        <w:t xml:space="preserve"> - Stand-alone and avoidable distribution network costs ($ M)</w:t>
      </w:r>
    </w:p>
    <w:p w:rsidR="00607C67" w:rsidRDefault="00B62555" w:rsidP="0044594F">
      <w:r w:rsidRPr="00B62555">
        <w:rPr>
          <w:noProof/>
          <w:lang w:val="en-US"/>
        </w:rPr>
        <w:drawing>
          <wp:inline distT="0" distB="0" distL="0" distR="0">
            <wp:extent cx="3390265" cy="1121410"/>
            <wp:effectExtent l="19050" t="0" r="63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a:stretch>
                      <a:fillRect/>
                    </a:stretch>
                  </pic:blipFill>
                  <pic:spPr bwMode="auto">
                    <a:xfrm>
                      <a:off x="0" y="0"/>
                      <a:ext cx="3390265" cy="1121410"/>
                    </a:xfrm>
                    <a:prstGeom prst="rect">
                      <a:avLst/>
                    </a:prstGeom>
                    <a:noFill/>
                    <a:ln w="9525">
                      <a:noFill/>
                      <a:miter lim="800000"/>
                      <a:headEnd/>
                      <a:tailEnd/>
                    </a:ln>
                  </pic:spPr>
                </pic:pic>
              </a:graphicData>
            </a:graphic>
          </wp:inline>
        </w:drawing>
      </w:r>
    </w:p>
    <w:p w:rsidR="0044594F" w:rsidRDefault="00EA36E3" w:rsidP="0044594F">
      <w:r>
        <w:t>SA Power Networks</w:t>
      </w:r>
      <w:r w:rsidR="0044594F" w:rsidRPr="00927302">
        <w:t xml:space="preserve">’ network tariff classes lie within the subsidy free range, in that the expected DUoS revenue collected from the tariff class lies between the avoidable and stand alone costs of supply and therefore meet the requirements of </w:t>
      </w:r>
      <w:r w:rsidR="000B7F94">
        <w:t>Section</w:t>
      </w:r>
      <w:r w:rsidR="0044594F" w:rsidRPr="00927302">
        <w:t xml:space="preserve"> 6.18.5(a) of the Rules.</w:t>
      </w:r>
    </w:p>
    <w:p w:rsidR="00607C67" w:rsidRPr="00927302" w:rsidRDefault="00607C67" w:rsidP="0044594F"/>
    <w:p w:rsidR="0044594F" w:rsidRPr="00927302" w:rsidRDefault="0044594F" w:rsidP="0044594F">
      <w:pPr>
        <w:pStyle w:val="Heading2"/>
        <w:keepLines w:val="0"/>
        <w:numPr>
          <w:ilvl w:val="1"/>
          <w:numId w:val="16"/>
        </w:numPr>
        <w:spacing w:after="240" w:line="240" w:lineRule="auto"/>
      </w:pPr>
      <w:bookmarkStart w:id="159" w:name="_Ref131938594"/>
      <w:bookmarkStart w:id="160" w:name="_Toc420009866"/>
      <w:r w:rsidRPr="00927302">
        <w:t>Long Run Marginal Costs</w:t>
      </w:r>
      <w:bookmarkEnd w:id="159"/>
      <w:bookmarkEnd w:id="160"/>
    </w:p>
    <w:p w:rsidR="0044594F" w:rsidRDefault="0044594F" w:rsidP="0044594F">
      <w:r w:rsidRPr="00927302">
        <w:t xml:space="preserve">In the context of an infrastructure business with assets lives of typically 40 years, short run costs are effectively zero up to the point where the capacity of the network is exceeded.  It is therefore important to use the Long Run Marginal Cost (LRMC) in any consideration of the marginal cost of providing network service.  </w:t>
      </w:r>
    </w:p>
    <w:p w:rsidR="00607C67" w:rsidRDefault="00607C67" w:rsidP="0044594F"/>
    <w:p w:rsidR="0044594F" w:rsidRPr="003E581B" w:rsidRDefault="0044594F" w:rsidP="0044594F">
      <w:pPr>
        <w:keepNext/>
        <w:spacing w:after="120"/>
      </w:pPr>
      <w:r>
        <w:t xml:space="preserve">There are three general approaches to the calculation of LRMC. Marsden Jacob Associates articulated these alternatives in its review of possible approaches, for the </w:t>
      </w:r>
      <w:r w:rsidRPr="00E40C10">
        <w:t>Queensland Competition Authority</w:t>
      </w:r>
      <w:r>
        <w:t>.  This review was undertaken in the context of determining efficient prices for the Gladstone Area water Board.  The alternatives are as follows</w:t>
      </w:r>
      <w:r>
        <w:rPr>
          <w:rStyle w:val="FootnoteReference"/>
        </w:rPr>
        <w:footnoteReference w:id="11"/>
      </w:r>
      <w:r>
        <w:t>:</w:t>
      </w:r>
    </w:p>
    <w:p w:rsidR="0044594F" w:rsidRDefault="0044594F" w:rsidP="0044594F">
      <w:pPr>
        <w:pStyle w:val="ListParagraph"/>
        <w:numPr>
          <w:ilvl w:val="0"/>
          <w:numId w:val="22"/>
        </w:numPr>
        <w:tabs>
          <w:tab w:val="left" w:pos="851"/>
        </w:tabs>
        <w:spacing w:after="120" w:line="240" w:lineRule="auto"/>
        <w:ind w:left="850" w:hanging="425"/>
        <w:contextualSpacing w:val="0"/>
      </w:pPr>
      <w:r w:rsidRPr="0061395E">
        <w:rPr>
          <w:b/>
          <w:i/>
        </w:rPr>
        <w:t>Marginal Incremental Cost</w:t>
      </w:r>
      <w:r>
        <w:t xml:space="preserve"> (MIC) - where a scenario involving increased demand is tested for its incremental effect on capex.  The associated marginal cost is calculated as the difference between the present value of the investment programs divided by the increment in demand;</w:t>
      </w:r>
    </w:p>
    <w:p w:rsidR="0044594F" w:rsidRDefault="0044594F" w:rsidP="0044594F">
      <w:pPr>
        <w:pStyle w:val="ListParagraph"/>
        <w:numPr>
          <w:ilvl w:val="0"/>
          <w:numId w:val="22"/>
        </w:numPr>
        <w:tabs>
          <w:tab w:val="left" w:pos="851"/>
        </w:tabs>
        <w:spacing w:after="120" w:line="240" w:lineRule="auto"/>
        <w:ind w:left="850" w:hanging="425"/>
        <w:contextualSpacing w:val="0"/>
      </w:pPr>
      <w:r w:rsidRPr="002C533E">
        <w:rPr>
          <w:b/>
          <w:i/>
        </w:rPr>
        <w:t>Average Incremental Cost</w:t>
      </w:r>
      <w:r>
        <w:t xml:space="preserve"> (AIC) - is the present value of the incremental investment associated with increasing demand divided by the present value of the increment in demand; and</w:t>
      </w:r>
    </w:p>
    <w:p w:rsidR="0044594F" w:rsidRDefault="0044594F" w:rsidP="0044594F">
      <w:pPr>
        <w:pStyle w:val="ListParagraph"/>
        <w:numPr>
          <w:ilvl w:val="0"/>
          <w:numId w:val="22"/>
        </w:numPr>
        <w:tabs>
          <w:tab w:val="left" w:pos="851"/>
        </w:tabs>
        <w:spacing w:after="240" w:line="240" w:lineRule="auto"/>
        <w:ind w:left="850" w:hanging="425"/>
        <w:contextualSpacing w:val="0"/>
      </w:pPr>
      <w:r w:rsidRPr="002C533E">
        <w:rPr>
          <w:b/>
          <w:i/>
        </w:rPr>
        <w:t>Long Run Incremental Cost</w:t>
      </w:r>
      <w:r>
        <w:t xml:space="preserve"> (LRIC) - is the annuitised value of the capital expenditure divided by the increment in demand.</w:t>
      </w:r>
    </w:p>
    <w:p w:rsidR="0044594F" w:rsidRDefault="0044594F" w:rsidP="0044594F">
      <w:r>
        <w:t>In comparing the suitability of these three approaches, the first requires scenario definition and analysis, which although not impracticable would be very resource intensive in the context of a distribution business.  Marsden Jacob make the point that because the AIC approach is based on a long term planning period, it takes a longer view of costs and provides more stable prices than the LRIC approach</w:t>
      </w:r>
      <w:r>
        <w:rPr>
          <w:rStyle w:val="FootnoteReference"/>
        </w:rPr>
        <w:footnoteReference w:id="12"/>
      </w:r>
      <w:r>
        <w:t>.</w:t>
      </w:r>
    </w:p>
    <w:p w:rsidR="00607C67" w:rsidRDefault="00607C67" w:rsidP="0044594F"/>
    <w:p w:rsidR="0044594F" w:rsidRDefault="0044594F" w:rsidP="0044594F">
      <w:r>
        <w:t xml:space="preserve">The approach used by </w:t>
      </w:r>
      <w:r w:rsidR="00EA36E3">
        <w:t>SA Power Networks</w:t>
      </w:r>
      <w:r>
        <w:t xml:space="preserve"> in this Pricing Proposal to determine the LRMC of its tariff classes may be characterised as the AIC.  However, the calculation has been extended to incorporate the incremental operating cost associated with new capital investment.  This is the same as the approach taken by Energy Australia in its 2009 Pricing Proposal</w:t>
      </w:r>
      <w:r>
        <w:rPr>
          <w:rStyle w:val="FootnoteReference"/>
        </w:rPr>
        <w:footnoteReference w:id="13"/>
      </w:r>
      <w:r>
        <w:t>.</w:t>
      </w:r>
    </w:p>
    <w:p w:rsidR="00607C67" w:rsidRPr="00927302" w:rsidRDefault="00607C67" w:rsidP="0044594F"/>
    <w:p w:rsidR="0044594F" w:rsidRPr="00927302" w:rsidRDefault="00EA36E3" w:rsidP="0044594F">
      <w:r>
        <w:t>SA Power Networks</w:t>
      </w:r>
      <w:r w:rsidR="0044594F" w:rsidRPr="00927302">
        <w:t xml:space="preserve">’ approach to the calculation of the network LRMC for its tariff classes is set out </w:t>
      </w:r>
      <w:r w:rsidR="0044594F">
        <w:t>in Appendix E</w:t>
      </w:r>
      <w:r w:rsidR="0044594F" w:rsidRPr="002A49F5">
        <w:t xml:space="preserve"> of this Proposal.</w:t>
      </w:r>
      <w:r w:rsidR="0044594F" w:rsidRPr="00927302">
        <w:t xml:space="preserve">  </w:t>
      </w:r>
      <w:r w:rsidR="0044594F" w:rsidRPr="0054245E">
        <w:t xml:space="preserve">The approach has not been altered from that used in the 2010/11 Pricing Proposal and the sole change has been to index the outcomes by CPI </w:t>
      </w:r>
      <w:r w:rsidR="00631EDB">
        <w:t>each year</w:t>
      </w:r>
      <w:r w:rsidR="0044594F" w:rsidRPr="0054245E">
        <w:t>.</w:t>
      </w:r>
    </w:p>
    <w:p w:rsidR="0044594F" w:rsidRPr="00927302" w:rsidRDefault="0044594F" w:rsidP="0044594F">
      <w:pPr>
        <w:keepNext/>
        <w:spacing w:after="120"/>
      </w:pPr>
      <w:r w:rsidRPr="00927302">
        <w:t>These calculations are carried out at the following voltage levels of the network:</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Subtransmission;</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High voltage; and</w:t>
      </w:r>
    </w:p>
    <w:p w:rsidR="0044594F" w:rsidRPr="00927302" w:rsidRDefault="0044594F" w:rsidP="0044594F">
      <w:pPr>
        <w:pStyle w:val="ListParagraph"/>
        <w:numPr>
          <w:ilvl w:val="0"/>
          <w:numId w:val="22"/>
        </w:numPr>
        <w:tabs>
          <w:tab w:val="left" w:pos="851"/>
        </w:tabs>
        <w:spacing w:after="240" w:line="240" w:lineRule="auto"/>
        <w:ind w:left="850" w:hanging="425"/>
        <w:contextualSpacing w:val="0"/>
      </w:pPr>
      <w:r w:rsidRPr="00927302">
        <w:t xml:space="preserve">Low voltage.  </w:t>
      </w:r>
    </w:p>
    <w:p w:rsidR="0044594F" w:rsidRPr="00927302" w:rsidRDefault="0044594F" w:rsidP="0044594F">
      <w:pPr>
        <w:keepNext/>
        <w:spacing w:after="120"/>
      </w:pPr>
      <w:r w:rsidRPr="00927302">
        <w:t>The marginal cost at each network voltage level has been determined using the following relationship:</w:t>
      </w:r>
    </w:p>
    <w:p w:rsidR="0044594F" w:rsidRPr="00927302" w:rsidRDefault="0044594F" w:rsidP="0044594F">
      <w:r>
        <w:rPr>
          <w:noProof/>
          <w:position w:val="-24"/>
          <w:lang w:val="en-US"/>
        </w:rPr>
        <w:drawing>
          <wp:inline distT="0" distB="0" distL="0" distR="0">
            <wp:extent cx="4457700" cy="393700"/>
            <wp:effectExtent l="1905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a:stretch>
                      <a:fillRect/>
                    </a:stretch>
                  </pic:blipFill>
                  <pic:spPr bwMode="auto">
                    <a:xfrm>
                      <a:off x="0" y="0"/>
                      <a:ext cx="4457700" cy="393700"/>
                    </a:xfrm>
                    <a:prstGeom prst="rect">
                      <a:avLst/>
                    </a:prstGeom>
                    <a:noFill/>
                    <a:ln w="9525">
                      <a:noFill/>
                      <a:miter lim="800000"/>
                      <a:headEnd/>
                      <a:tailEnd/>
                    </a:ln>
                  </pic:spPr>
                </pic:pic>
              </a:graphicData>
            </a:graphic>
          </wp:inline>
        </w:drawing>
      </w:r>
    </w:p>
    <w:p w:rsidR="0044594F" w:rsidRDefault="0044594F" w:rsidP="0044594F">
      <w:pPr>
        <w:spacing w:after="120"/>
      </w:pPr>
      <w:r>
        <w:t>Where:</w:t>
      </w:r>
    </w:p>
    <w:p w:rsidR="0044594F" w:rsidRDefault="0044594F" w:rsidP="0044594F">
      <w:pPr>
        <w:spacing w:after="120"/>
        <w:ind w:left="720"/>
      </w:pPr>
      <w:r w:rsidRPr="00F4050D">
        <w:rPr>
          <w:i/>
        </w:rPr>
        <w:t>growth related capex</w:t>
      </w:r>
      <w:r>
        <w:t xml:space="preserve"> is the annualised capital expenditure to meet the additional demand and new customer connections forecast over the forecast period;</w:t>
      </w:r>
    </w:p>
    <w:p w:rsidR="0044594F" w:rsidRDefault="0044594F" w:rsidP="0044594F">
      <w:pPr>
        <w:spacing w:after="120"/>
        <w:ind w:left="720"/>
      </w:pPr>
      <w:r w:rsidRPr="00F4050D">
        <w:rPr>
          <w:i/>
        </w:rPr>
        <w:t>growth related opex</w:t>
      </w:r>
      <w:r>
        <w:t xml:space="preserve"> is the incremental annual cost of operating and maintaining the newly constructed network and connection assets over the forecast period; and</w:t>
      </w:r>
    </w:p>
    <w:p w:rsidR="0044594F" w:rsidRDefault="0044594F" w:rsidP="0044594F">
      <w:pPr>
        <w:ind w:left="720"/>
      </w:pPr>
      <w:r w:rsidRPr="00D064B0">
        <w:rPr>
          <w:i/>
        </w:rPr>
        <w:t>incremental demand</w:t>
      </w:r>
      <w:r>
        <w:t xml:space="preserve"> is the forecast change in kVA demand compared with the base year of 2009/10</w:t>
      </w:r>
    </w:p>
    <w:p w:rsidR="00607C67" w:rsidRDefault="00607C67" w:rsidP="0044594F">
      <w:pPr>
        <w:ind w:left="720"/>
      </w:pPr>
    </w:p>
    <w:p w:rsidR="00607C67" w:rsidRDefault="0044594F" w:rsidP="00607C67">
      <w:r w:rsidRPr="00927302">
        <w:t xml:space="preserve">The LRMC outcomes at the subtransmission and high voltage levels are directly applicable to the Major Business and High Voltage Business tariff classes.  At low voltage, a small difference between the LRMC of the Low Voltage Business and Residential tariff classes arises because of their </w:t>
      </w:r>
      <w:r w:rsidRPr="00C416F5">
        <w:t xml:space="preserve">different power factors. </w:t>
      </w:r>
    </w:p>
    <w:p w:rsidR="00607C67" w:rsidRDefault="00607C67" w:rsidP="00607C67"/>
    <w:p w:rsidR="0044594F" w:rsidRPr="00C416F5" w:rsidRDefault="0044594F" w:rsidP="00607C67">
      <w:r w:rsidRPr="00C416F5">
        <w:t xml:space="preserve">A comparison of the stand-alone, avoidable, LRMC and </w:t>
      </w:r>
      <w:r w:rsidR="009E3CA8">
        <w:t>2015/16</w:t>
      </w:r>
      <w:r w:rsidRPr="00C416F5">
        <w:t xml:space="preserve"> tariff rates for </w:t>
      </w:r>
      <w:r w:rsidR="00EA36E3">
        <w:t>SA Power Networks</w:t>
      </w:r>
      <w:r w:rsidRPr="00C416F5">
        <w:t xml:space="preserve">’ four tariff classes are shown in </w:t>
      </w:r>
      <w:r w:rsidR="00924A8F">
        <w:fldChar w:fldCharType="begin"/>
      </w:r>
      <w:r w:rsidR="00924A8F">
        <w:instrText xml:space="preserve"> REF _Ref227396534 \h  \* MERGEFORMAT </w:instrText>
      </w:r>
      <w:r w:rsidR="00924A8F">
        <w:fldChar w:fldCharType="separate"/>
      </w:r>
      <w:r w:rsidR="00A81AFE" w:rsidRPr="00FC6696">
        <w:t xml:space="preserve">Figure </w:t>
      </w:r>
      <w:r w:rsidR="00A81AFE">
        <w:rPr>
          <w:noProof/>
        </w:rPr>
        <w:t>16</w:t>
      </w:r>
      <w:r w:rsidR="00924A8F">
        <w:fldChar w:fldCharType="end"/>
      </w:r>
      <w:r w:rsidRPr="00C416F5">
        <w:rPr>
          <w:rStyle w:val="FootnoteReference"/>
        </w:rPr>
        <w:footnoteReference w:id="14"/>
      </w:r>
      <w:r w:rsidRPr="00C416F5">
        <w:t xml:space="preserve">. </w:t>
      </w:r>
    </w:p>
    <w:p w:rsidR="0044594F" w:rsidRPr="00FC6696" w:rsidRDefault="0044594F" w:rsidP="0044594F">
      <w:pPr>
        <w:pStyle w:val="Caption"/>
        <w:keepNext/>
      </w:pPr>
      <w:bookmarkStart w:id="161" w:name="_Ref227396534"/>
      <w:r w:rsidRPr="00FC6696">
        <w:t xml:space="preserve">Figure </w:t>
      </w:r>
      <w:r w:rsidR="00575C9A" w:rsidRPr="00FC6696">
        <w:fldChar w:fldCharType="begin"/>
      </w:r>
      <w:r w:rsidR="0096185A" w:rsidRPr="00FC6696">
        <w:instrText xml:space="preserve"> SEQ Figure \* ARABIC </w:instrText>
      </w:r>
      <w:r w:rsidR="00575C9A" w:rsidRPr="00FC6696">
        <w:fldChar w:fldCharType="separate"/>
      </w:r>
      <w:r w:rsidR="00A81AFE">
        <w:rPr>
          <w:noProof/>
        </w:rPr>
        <w:t>16</w:t>
      </w:r>
      <w:r w:rsidR="00575C9A" w:rsidRPr="00FC6696">
        <w:fldChar w:fldCharType="end"/>
      </w:r>
      <w:bookmarkEnd w:id="161"/>
      <w:r w:rsidRPr="00FC6696">
        <w:t xml:space="preserve"> - Cost comparison ($/kVA per annum</w:t>
      </w:r>
      <w:r w:rsidR="0069720C">
        <w:t>)</w:t>
      </w:r>
    </w:p>
    <w:p w:rsidR="0044594F" w:rsidRPr="00D81E53" w:rsidRDefault="007B43E4" w:rsidP="0044594F">
      <w:r w:rsidRPr="007B43E4">
        <w:rPr>
          <w:noProof/>
          <w:lang w:val="en-US"/>
        </w:rPr>
        <w:drawing>
          <wp:inline distT="0" distB="0" distL="0" distR="0">
            <wp:extent cx="5732145" cy="3431780"/>
            <wp:effectExtent l="19050" t="0" r="1905" b="0"/>
            <wp:docPr id="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srcRect/>
                    <a:stretch>
                      <a:fillRect/>
                    </a:stretch>
                  </pic:blipFill>
                  <pic:spPr bwMode="auto">
                    <a:xfrm>
                      <a:off x="0" y="0"/>
                      <a:ext cx="5732145" cy="3431780"/>
                    </a:xfrm>
                    <a:prstGeom prst="rect">
                      <a:avLst/>
                    </a:prstGeom>
                    <a:noFill/>
                    <a:ln w="9525">
                      <a:noFill/>
                      <a:miter lim="800000"/>
                      <a:headEnd/>
                      <a:tailEnd/>
                    </a:ln>
                  </pic:spPr>
                </pic:pic>
              </a:graphicData>
            </a:graphic>
          </wp:inline>
        </w:drawing>
      </w:r>
    </w:p>
    <w:p w:rsidR="00607C67" w:rsidRDefault="00607C67" w:rsidP="0044594F">
      <w:pPr>
        <w:keepNext/>
        <w:spacing w:after="120"/>
      </w:pPr>
    </w:p>
    <w:p w:rsidR="0044594F" w:rsidRPr="00927302" w:rsidRDefault="0044594F" w:rsidP="0044594F">
      <w:pPr>
        <w:keepNext/>
        <w:spacing w:after="120"/>
      </w:pPr>
      <w:r w:rsidRPr="00927302">
        <w:t xml:space="preserve">It can be noted from Figure </w:t>
      </w:r>
      <w:r>
        <w:rPr>
          <w:noProof/>
        </w:rPr>
        <w:t>1</w:t>
      </w:r>
      <w:r w:rsidR="00837F49">
        <w:rPr>
          <w:noProof/>
        </w:rPr>
        <w:t>6</w:t>
      </w:r>
      <w:r w:rsidRPr="00927302">
        <w:t xml:space="preserve"> that:</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 xml:space="preserve">The </w:t>
      </w:r>
      <w:r w:rsidR="009E3CA8">
        <w:t>2015/16</w:t>
      </w:r>
      <w:r>
        <w:t xml:space="preserve"> </w:t>
      </w:r>
      <w:r w:rsidRPr="00927302">
        <w:t xml:space="preserve">prices for each network tariff class fall within the bounds of the stand-alone and avoidable costs and hence are subsidy-free; </w:t>
      </w:r>
    </w:p>
    <w:p w:rsidR="0044594F" w:rsidRDefault="0044594F" w:rsidP="0044594F">
      <w:pPr>
        <w:pStyle w:val="ListParagraph"/>
        <w:numPr>
          <w:ilvl w:val="0"/>
          <w:numId w:val="22"/>
        </w:numPr>
        <w:tabs>
          <w:tab w:val="left" w:pos="851"/>
        </w:tabs>
        <w:spacing w:after="120" w:line="240" w:lineRule="auto"/>
        <w:ind w:left="850" w:hanging="425"/>
        <w:contextualSpacing w:val="0"/>
      </w:pPr>
      <w:r w:rsidRPr="00927302">
        <w:t xml:space="preserve">The LRMC of each tariff class determined from the approach described above yields a cost that </w:t>
      </w:r>
      <w:r>
        <w:t xml:space="preserve">is less than </w:t>
      </w:r>
      <w:r w:rsidRPr="00927302">
        <w:t xml:space="preserve">that </w:t>
      </w:r>
      <w:r>
        <w:t xml:space="preserve">expected to be </w:t>
      </w:r>
      <w:r w:rsidRPr="00927302">
        <w:t xml:space="preserve">recovered through the </w:t>
      </w:r>
      <w:r w:rsidR="009E3CA8">
        <w:t>2015/16</w:t>
      </w:r>
      <w:r>
        <w:t xml:space="preserve"> </w:t>
      </w:r>
      <w:r w:rsidRPr="00927302">
        <w:t>prices</w:t>
      </w:r>
      <w:r>
        <w:t xml:space="preserve"> in the case of all tariff classes.  The tariffs therefore do not over signal the incremental cost imposed by the customer on the network; and</w:t>
      </w:r>
    </w:p>
    <w:p w:rsidR="0044594F" w:rsidRPr="00927302" w:rsidRDefault="0044594F" w:rsidP="0044594F">
      <w:pPr>
        <w:pStyle w:val="ListParagraph"/>
        <w:numPr>
          <w:ilvl w:val="0"/>
          <w:numId w:val="22"/>
        </w:numPr>
        <w:tabs>
          <w:tab w:val="left" w:pos="851"/>
        </w:tabs>
        <w:spacing w:after="240" w:line="240" w:lineRule="auto"/>
        <w:ind w:left="850" w:hanging="425"/>
        <w:contextualSpacing w:val="0"/>
      </w:pPr>
      <w:r>
        <w:t xml:space="preserve">For the formulation of these estimates, kVA peak demands coincidental with </w:t>
      </w:r>
      <w:r w:rsidR="00EA36E3">
        <w:t>SA Power Networks</w:t>
      </w:r>
      <w:r>
        <w:t xml:space="preserve">’ peak were estimated for each tariff.  In the case of the low voltage business tariff class, its relatively lower contribution to </w:t>
      </w:r>
      <w:r w:rsidR="00EA36E3">
        <w:t>SA Power Networks</w:t>
      </w:r>
      <w:r>
        <w:t>’ coincidental peak demand (compared with residential tariff which tends to drive a greater proportion of the overall peak) has resulted in a tariff rate which is higher in $/kVA terms</w:t>
      </w:r>
      <w:r w:rsidRPr="00927302">
        <w:t>.</w:t>
      </w:r>
    </w:p>
    <w:p w:rsidR="0044594F" w:rsidRPr="00927302" w:rsidRDefault="0044594F" w:rsidP="009A26B4">
      <w:pPr>
        <w:pStyle w:val="Heading3"/>
      </w:pPr>
      <w:r w:rsidRPr="00927302">
        <w:t>Application of the LRMC to price formulation</w:t>
      </w:r>
    </w:p>
    <w:p w:rsidR="0044594F" w:rsidRDefault="0044594F" w:rsidP="0044594F">
      <w:r w:rsidRPr="00927302">
        <w:t>As required by clause</w:t>
      </w:r>
      <w:r>
        <w:t>s</w:t>
      </w:r>
      <w:r w:rsidRPr="00927302">
        <w:t xml:space="preserve"> 6.18.5(b)(1) </w:t>
      </w:r>
      <w:r>
        <w:t xml:space="preserve">and 6.18.5(c) </w:t>
      </w:r>
      <w:r w:rsidRPr="00927302">
        <w:t xml:space="preserve">of the Rules, </w:t>
      </w:r>
      <w:r w:rsidR="00EA36E3">
        <w:t>SA Power Networks</w:t>
      </w:r>
      <w:r>
        <w:t xml:space="preserve"> has </w:t>
      </w:r>
      <w:r w:rsidRPr="00927302">
        <w:t xml:space="preserve">taken into account the calculated values of LRMC in establishing the charging parameters for each of </w:t>
      </w:r>
      <w:r w:rsidR="00EA36E3">
        <w:t>SA Power Networks</w:t>
      </w:r>
      <w:r w:rsidRPr="00927302">
        <w:t xml:space="preserve">’ </w:t>
      </w:r>
      <w:r w:rsidR="009E3CA8">
        <w:t>2015/16</w:t>
      </w:r>
      <w:r>
        <w:t xml:space="preserve"> network </w:t>
      </w:r>
      <w:r w:rsidRPr="00927302">
        <w:t xml:space="preserve">tariffs. </w:t>
      </w:r>
    </w:p>
    <w:p w:rsidR="00422B41" w:rsidRDefault="00422B41" w:rsidP="0044594F"/>
    <w:p w:rsidR="0044594F" w:rsidRDefault="0044594F" w:rsidP="0044594F">
      <w:pPr>
        <w:keepNext/>
        <w:spacing w:after="120"/>
      </w:pPr>
      <w:r>
        <w:t>C</w:t>
      </w:r>
      <w:r w:rsidRPr="00724ACC">
        <w:t xml:space="preserve">harging parameters of tariffs </w:t>
      </w:r>
      <w:r>
        <w:t>that</w:t>
      </w:r>
      <w:r w:rsidRPr="00724ACC">
        <w:t xml:space="preserve"> are related to volume </w:t>
      </w:r>
      <w:r>
        <w:t>may be expected to influence c</w:t>
      </w:r>
      <w:r w:rsidRPr="00724ACC">
        <w:t>ustomers’ consumption decisions</w:t>
      </w:r>
      <w:r>
        <w:t>.  Those parameters are:</w:t>
      </w:r>
    </w:p>
    <w:p w:rsidR="0044594F" w:rsidRDefault="0044594F" w:rsidP="0044594F">
      <w:pPr>
        <w:pStyle w:val="ListParagraph"/>
        <w:numPr>
          <w:ilvl w:val="0"/>
          <w:numId w:val="22"/>
        </w:numPr>
        <w:tabs>
          <w:tab w:val="left" w:pos="851"/>
        </w:tabs>
        <w:spacing w:after="120" w:line="240" w:lineRule="auto"/>
        <w:ind w:left="850" w:hanging="425"/>
        <w:contextualSpacing w:val="0"/>
      </w:pPr>
      <w:r>
        <w:t>Monthly demand;</w:t>
      </w:r>
    </w:p>
    <w:p w:rsidR="0044594F" w:rsidRDefault="0044594F" w:rsidP="0044594F">
      <w:pPr>
        <w:pStyle w:val="ListParagraph"/>
        <w:numPr>
          <w:ilvl w:val="0"/>
          <w:numId w:val="22"/>
        </w:numPr>
        <w:tabs>
          <w:tab w:val="left" w:pos="851"/>
        </w:tabs>
        <w:spacing w:after="120" w:line="240" w:lineRule="auto"/>
        <w:ind w:left="850" w:hanging="425"/>
        <w:contextualSpacing w:val="0"/>
      </w:pPr>
      <w:r>
        <w:t>Peak period energy; and</w:t>
      </w:r>
    </w:p>
    <w:p w:rsidR="0044594F" w:rsidRDefault="0044594F" w:rsidP="0044594F">
      <w:pPr>
        <w:pStyle w:val="ListParagraph"/>
        <w:numPr>
          <w:ilvl w:val="0"/>
          <w:numId w:val="22"/>
        </w:numPr>
        <w:tabs>
          <w:tab w:val="left" w:pos="851"/>
        </w:tabs>
        <w:spacing w:after="120" w:line="240" w:lineRule="auto"/>
        <w:ind w:left="850" w:hanging="425"/>
        <w:contextualSpacing w:val="0"/>
      </w:pPr>
      <w:r>
        <w:t>To a much less significant extent, anytime energy</w:t>
      </w:r>
      <w:r w:rsidRPr="00724ACC">
        <w:t>.</w:t>
      </w:r>
    </w:p>
    <w:p w:rsidR="0044594F" w:rsidRPr="00607C67" w:rsidRDefault="0044594F" w:rsidP="0044594F">
      <w:r>
        <w:t>On the other hand, charging parameters that are effectively f</w:t>
      </w:r>
      <w:r w:rsidRPr="00724ACC">
        <w:t xml:space="preserve">ixed would be unlikely to affect </w:t>
      </w:r>
      <w:r w:rsidRPr="00607C67">
        <w:t>customer consumption patterns, throughout a very broad range.</w:t>
      </w:r>
    </w:p>
    <w:p w:rsidR="00607C67" w:rsidRPr="00607C67" w:rsidRDefault="00607C67" w:rsidP="0044594F"/>
    <w:p w:rsidR="000F35F0" w:rsidRDefault="00EA36E3" w:rsidP="0044594F">
      <w:pPr>
        <w:pStyle w:val="Caption"/>
        <w:rPr>
          <w:b w:val="0"/>
          <w:sz w:val="22"/>
          <w:szCs w:val="22"/>
        </w:rPr>
      </w:pPr>
      <w:r>
        <w:rPr>
          <w:b w:val="0"/>
          <w:sz w:val="22"/>
          <w:szCs w:val="22"/>
        </w:rPr>
        <w:t>SA Power Networks</w:t>
      </w:r>
      <w:r w:rsidR="0044594F" w:rsidRPr="00607C67">
        <w:rPr>
          <w:b w:val="0"/>
          <w:sz w:val="22"/>
          <w:szCs w:val="22"/>
        </w:rPr>
        <w:t xml:space="preserve">’ tariffs for larger business customers have a ToU structure, having demand charges that apply or are higher during a defined peak consumption period.  </w:t>
      </w:r>
      <w:r w:rsidR="000F35F0">
        <w:rPr>
          <w:b w:val="0"/>
          <w:sz w:val="22"/>
          <w:szCs w:val="22"/>
        </w:rPr>
        <w:t>Business 2-rate has energy charges that are higher during what has traditionally regarded as peak times.</w:t>
      </w:r>
    </w:p>
    <w:p w:rsidR="000F35F0" w:rsidRDefault="000F35F0" w:rsidP="0044594F">
      <w:pPr>
        <w:pStyle w:val="Caption"/>
        <w:rPr>
          <w:b w:val="0"/>
          <w:sz w:val="22"/>
          <w:szCs w:val="22"/>
        </w:rPr>
      </w:pPr>
    </w:p>
    <w:p w:rsidR="00A81AFE" w:rsidRPr="00A81AFE" w:rsidRDefault="0044594F" w:rsidP="00A81AFE">
      <w:pPr>
        <w:pStyle w:val="Caption"/>
        <w:rPr>
          <w:b w:val="0"/>
          <w:sz w:val="22"/>
          <w:szCs w:val="22"/>
        </w:rPr>
      </w:pPr>
      <w:r w:rsidRPr="00607C67">
        <w:rPr>
          <w:b w:val="0"/>
          <w:sz w:val="22"/>
          <w:szCs w:val="22"/>
        </w:rPr>
        <w:t xml:space="preserve">The revenue that is forecast to be recovered in </w:t>
      </w:r>
      <w:r w:rsidR="00CB5ADF">
        <w:rPr>
          <w:b w:val="0"/>
          <w:sz w:val="22"/>
          <w:szCs w:val="22"/>
        </w:rPr>
        <w:t>201</w:t>
      </w:r>
      <w:r w:rsidR="00837F49">
        <w:rPr>
          <w:b w:val="0"/>
          <w:sz w:val="22"/>
          <w:szCs w:val="22"/>
        </w:rPr>
        <w:t>5</w:t>
      </w:r>
      <w:r w:rsidR="00CB5ADF">
        <w:rPr>
          <w:b w:val="0"/>
          <w:sz w:val="22"/>
          <w:szCs w:val="22"/>
        </w:rPr>
        <w:t>/1</w:t>
      </w:r>
      <w:r w:rsidR="00837F49">
        <w:rPr>
          <w:b w:val="0"/>
          <w:sz w:val="22"/>
          <w:szCs w:val="22"/>
        </w:rPr>
        <w:t>6</w:t>
      </w:r>
      <w:r w:rsidRPr="00607C67">
        <w:rPr>
          <w:b w:val="0"/>
          <w:sz w:val="22"/>
          <w:szCs w:val="22"/>
        </w:rPr>
        <w:t xml:space="preserve"> from these peak period business kVA demand and 2-rate tariff components is compared with the LRMC for tariff classes in </w:t>
      </w:r>
      <w:r w:rsidR="00924A8F">
        <w:fldChar w:fldCharType="begin"/>
      </w:r>
      <w:r w:rsidR="00924A8F">
        <w:instrText xml:space="preserve"> REF _Ref323568901 \h  \* MERGEFORMAT </w:instrText>
      </w:r>
      <w:r w:rsidR="00924A8F">
        <w:fldChar w:fldCharType="separate"/>
      </w:r>
      <w:r w:rsidR="00A81AFE" w:rsidRPr="00A81AFE">
        <w:rPr>
          <w:b w:val="0"/>
          <w:sz w:val="22"/>
          <w:szCs w:val="22"/>
        </w:rPr>
        <w:t xml:space="preserve">Table </w:t>
      </w:r>
      <w:r w:rsidR="00A81AFE" w:rsidRPr="00A81AFE">
        <w:rPr>
          <w:b w:val="0"/>
          <w:noProof/>
          <w:sz w:val="22"/>
          <w:szCs w:val="22"/>
        </w:rPr>
        <w:t>47</w:t>
      </w:r>
      <w:r w:rsidR="00924A8F">
        <w:fldChar w:fldCharType="end"/>
      </w:r>
      <w:r w:rsidRPr="00607C67">
        <w:rPr>
          <w:b w:val="0"/>
          <w:sz w:val="22"/>
          <w:szCs w:val="22"/>
        </w:rPr>
        <w:t xml:space="preserve"> and </w:t>
      </w:r>
      <w:r w:rsidR="00575C9A" w:rsidRPr="00837F49">
        <w:rPr>
          <w:b w:val="0"/>
          <w:sz w:val="22"/>
          <w:szCs w:val="22"/>
        </w:rPr>
        <w:fldChar w:fldCharType="begin"/>
      </w:r>
      <w:r w:rsidR="007A50FF" w:rsidRPr="00837F49">
        <w:rPr>
          <w:b w:val="0"/>
          <w:sz w:val="22"/>
          <w:szCs w:val="22"/>
        </w:rPr>
        <w:instrText xml:space="preserve"> REF _Ref323568919 \h  \* MERGEFORMAT </w:instrText>
      </w:r>
      <w:r w:rsidR="00575C9A" w:rsidRPr="00837F49">
        <w:rPr>
          <w:b w:val="0"/>
          <w:sz w:val="22"/>
          <w:szCs w:val="22"/>
        </w:rPr>
      </w:r>
      <w:r w:rsidR="00575C9A" w:rsidRPr="00837F49">
        <w:rPr>
          <w:b w:val="0"/>
          <w:sz w:val="22"/>
          <w:szCs w:val="22"/>
        </w:rPr>
        <w:fldChar w:fldCharType="separate"/>
      </w:r>
    </w:p>
    <w:p w:rsidR="0044594F" w:rsidRPr="00607C67" w:rsidRDefault="00A81AFE" w:rsidP="0044594F">
      <w:pPr>
        <w:pStyle w:val="Caption"/>
        <w:rPr>
          <w:b w:val="0"/>
          <w:sz w:val="22"/>
          <w:szCs w:val="22"/>
        </w:rPr>
      </w:pPr>
      <w:r w:rsidRPr="00A81AFE">
        <w:rPr>
          <w:b w:val="0"/>
          <w:noProof/>
          <w:sz w:val="22"/>
          <w:szCs w:val="22"/>
        </w:rPr>
        <w:t>Table</w:t>
      </w:r>
      <w:r w:rsidRPr="00A81AFE">
        <w:rPr>
          <w:b w:val="0"/>
          <w:sz w:val="22"/>
          <w:szCs w:val="22"/>
        </w:rPr>
        <w:t xml:space="preserve"> </w:t>
      </w:r>
      <w:r w:rsidRPr="00A81AFE">
        <w:rPr>
          <w:b w:val="0"/>
          <w:noProof/>
          <w:sz w:val="22"/>
          <w:szCs w:val="22"/>
        </w:rPr>
        <w:t>48</w:t>
      </w:r>
      <w:r w:rsidR="00575C9A" w:rsidRPr="00837F49">
        <w:rPr>
          <w:b w:val="0"/>
          <w:sz w:val="22"/>
          <w:szCs w:val="22"/>
        </w:rPr>
        <w:fldChar w:fldCharType="end"/>
      </w:r>
      <w:r w:rsidR="0044594F" w:rsidRPr="00837F49">
        <w:rPr>
          <w:b w:val="0"/>
          <w:sz w:val="22"/>
          <w:szCs w:val="22"/>
        </w:rPr>
        <w:t>.</w:t>
      </w:r>
      <w:r w:rsidR="0044594F" w:rsidRPr="00607C67">
        <w:rPr>
          <w:b w:val="0"/>
          <w:sz w:val="22"/>
          <w:szCs w:val="22"/>
        </w:rPr>
        <w:t xml:space="preserve">  This Table also illustrates the proportions of tariff revenue recovered from peak period </w:t>
      </w:r>
      <w:r w:rsidR="000F35F0">
        <w:rPr>
          <w:b w:val="0"/>
          <w:sz w:val="22"/>
          <w:szCs w:val="22"/>
        </w:rPr>
        <w:t xml:space="preserve">demand </w:t>
      </w:r>
      <w:r w:rsidR="0044594F" w:rsidRPr="00607C67">
        <w:rPr>
          <w:b w:val="0"/>
          <w:sz w:val="22"/>
          <w:szCs w:val="22"/>
        </w:rPr>
        <w:t xml:space="preserve">charges and </w:t>
      </w:r>
      <w:r w:rsidR="000F35F0">
        <w:rPr>
          <w:b w:val="0"/>
          <w:sz w:val="22"/>
          <w:szCs w:val="22"/>
        </w:rPr>
        <w:t>peak energy usage rates</w:t>
      </w:r>
      <w:r w:rsidR="0044594F" w:rsidRPr="00607C67">
        <w:rPr>
          <w:b w:val="0"/>
          <w:sz w:val="22"/>
          <w:szCs w:val="22"/>
        </w:rPr>
        <w:t>.</w:t>
      </w:r>
    </w:p>
    <w:p w:rsidR="00607C67" w:rsidRPr="00607C67" w:rsidRDefault="00607C67" w:rsidP="00607C67"/>
    <w:p w:rsidR="0044594F" w:rsidRDefault="0044594F" w:rsidP="0044594F">
      <w:r w:rsidRPr="00607C67">
        <w:t>In order to convert the price signalling components of tariffs to the equivalent annual $/kVA charges in this price comparison, the revenue per annum derived from the application of each price</w:t>
      </w:r>
      <w:r>
        <w:t xml:space="preserve"> component during peak periods was divided by the kVA demand for the tariff.  The associated </w:t>
      </w:r>
      <w:r w:rsidRPr="00C416F5">
        <w:t>calculations are described in Appendix E.</w:t>
      </w:r>
    </w:p>
    <w:p w:rsidR="0044594F" w:rsidRDefault="0044594F" w:rsidP="0044594F"/>
    <w:p w:rsidR="0044594F" w:rsidRPr="005A79C5" w:rsidRDefault="0044594F" w:rsidP="0044594F">
      <w:pPr>
        <w:pStyle w:val="Caption"/>
      </w:pPr>
      <w:bookmarkStart w:id="162" w:name="_Ref323568901"/>
      <w:r w:rsidRPr="00837F49">
        <w:t xml:space="preserve">Table </w:t>
      </w:r>
      <w:r w:rsidR="00575C9A" w:rsidRPr="00837F49">
        <w:fldChar w:fldCharType="begin"/>
      </w:r>
      <w:r w:rsidR="0096185A" w:rsidRPr="00837F49">
        <w:instrText xml:space="preserve"> SEQ Table \* ARABIC </w:instrText>
      </w:r>
      <w:r w:rsidR="00575C9A" w:rsidRPr="00837F49">
        <w:fldChar w:fldCharType="separate"/>
      </w:r>
      <w:r w:rsidR="00A81AFE">
        <w:rPr>
          <w:noProof/>
        </w:rPr>
        <w:t>47</w:t>
      </w:r>
      <w:r w:rsidR="00575C9A" w:rsidRPr="00837F49">
        <w:fldChar w:fldCharType="end"/>
      </w:r>
      <w:bookmarkEnd w:id="162"/>
      <w:r w:rsidRPr="00837F49">
        <w:t>- LRMC and volume related charging parameters for Time of Use</w:t>
      </w:r>
    </w:p>
    <w:p w:rsidR="0044594F" w:rsidRDefault="00BE2520" w:rsidP="0044594F">
      <w:pPr>
        <w:pStyle w:val="ListParagraph"/>
        <w:tabs>
          <w:tab w:val="left" w:pos="568"/>
        </w:tabs>
        <w:ind w:left="568" w:hanging="568"/>
        <w:contextualSpacing w:val="0"/>
      </w:pPr>
      <w:r w:rsidRPr="00BE2520">
        <w:rPr>
          <w:noProof/>
          <w:lang w:val="en-US"/>
        </w:rPr>
        <w:drawing>
          <wp:inline distT="0" distB="0" distL="0" distR="0">
            <wp:extent cx="5562600" cy="16764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srcRect/>
                    <a:stretch>
                      <a:fillRect/>
                    </a:stretch>
                  </pic:blipFill>
                  <pic:spPr bwMode="auto">
                    <a:xfrm>
                      <a:off x="0" y="0"/>
                      <a:ext cx="5562600" cy="1676400"/>
                    </a:xfrm>
                    <a:prstGeom prst="rect">
                      <a:avLst/>
                    </a:prstGeom>
                    <a:noFill/>
                    <a:ln w="9525">
                      <a:noFill/>
                      <a:miter lim="800000"/>
                      <a:headEnd/>
                      <a:tailEnd/>
                    </a:ln>
                  </pic:spPr>
                </pic:pic>
              </a:graphicData>
            </a:graphic>
          </wp:inline>
        </w:drawing>
      </w:r>
      <w:r w:rsidR="0087178A">
        <w:t>N</w:t>
      </w:r>
      <w:r w:rsidR="001F6387">
        <w:t>ote</w:t>
      </w:r>
      <w:r w:rsidR="0044594F">
        <w:tab/>
      </w:r>
      <w:r w:rsidR="0044594F" w:rsidRPr="00DE0D59">
        <w:t xml:space="preserve">Energy rate </w:t>
      </w:r>
      <w:r w:rsidR="0044594F">
        <w:t xml:space="preserve">is charged </w:t>
      </w:r>
      <w:r w:rsidR="0044594F" w:rsidRPr="00DE0D59">
        <w:t xml:space="preserve">in $/MWh </w:t>
      </w:r>
      <w:r w:rsidR="0044594F">
        <w:t xml:space="preserve">but is </w:t>
      </w:r>
      <w:r w:rsidR="0044594F" w:rsidRPr="00DE0D59">
        <w:t xml:space="preserve">expressed </w:t>
      </w:r>
      <w:r w:rsidR="0044594F">
        <w:t xml:space="preserve">here </w:t>
      </w:r>
      <w:r w:rsidR="0044594F" w:rsidRPr="00DE0D59">
        <w:t>in equivalent $/kVA terms</w:t>
      </w:r>
      <w:r w:rsidR="0044594F">
        <w:t xml:space="preserve"> over the period of peak demand</w:t>
      </w:r>
      <w:r w:rsidR="0044594F" w:rsidRPr="00DE0D59">
        <w:t>.</w:t>
      </w:r>
      <w:r w:rsidR="0044594F">
        <w:t xml:space="preserve">  The revenue recovery forecast by each charge during the peak period is divided by the associated peak kVA demand.</w:t>
      </w:r>
    </w:p>
    <w:p w:rsidR="0044594F" w:rsidRDefault="0044594F" w:rsidP="0044594F">
      <w:pPr>
        <w:keepNext/>
      </w:pPr>
    </w:p>
    <w:p w:rsidR="00A81AFE" w:rsidRPr="00A81AFE" w:rsidRDefault="0044594F" w:rsidP="00A81AFE">
      <w:pPr>
        <w:keepNext/>
      </w:pPr>
      <w:r w:rsidRPr="000E6924">
        <w:t xml:space="preserve">The equivalent LRMC and revenue information for </w:t>
      </w:r>
      <w:r w:rsidR="00EA36E3">
        <w:t>SA Power Networks</w:t>
      </w:r>
      <w:r w:rsidRPr="000E6924">
        <w:t xml:space="preserve">’ single rate energy tariffs is illustrated in </w:t>
      </w:r>
      <w:r w:rsidR="00575C9A">
        <w:fldChar w:fldCharType="begin"/>
      </w:r>
      <w:r w:rsidR="00575C9A">
        <w:instrText xml:space="preserve"> REF _Ref323569056 \h  \* MERGEFORMAT </w:instrText>
      </w:r>
      <w:r w:rsidR="00575C9A">
        <w:fldChar w:fldCharType="separate"/>
      </w:r>
    </w:p>
    <w:p w:rsidR="00C41877" w:rsidRPr="000E6924" w:rsidRDefault="00A81AFE" w:rsidP="0044594F">
      <w:pPr>
        <w:keepNext/>
        <w:rPr>
          <w:noProof/>
        </w:rPr>
      </w:pPr>
      <w:r w:rsidRPr="00FA6672">
        <w:rPr>
          <w:noProof/>
        </w:rPr>
        <w:t xml:space="preserve">Table </w:t>
      </w:r>
      <w:r>
        <w:rPr>
          <w:noProof/>
        </w:rPr>
        <w:t>48</w:t>
      </w:r>
      <w:r w:rsidR="00575C9A">
        <w:fldChar w:fldCharType="end"/>
      </w:r>
      <w:r w:rsidR="0044594F" w:rsidRPr="000E6924">
        <w:t xml:space="preserve">.  For the purpose of estimating an equivalent $/kVA rate, it was assumed that </w:t>
      </w:r>
      <w:r w:rsidR="00C41877" w:rsidRPr="000E6924">
        <w:t>all traditional peak energy (ie 0700-2100 work days) should be used.  This is a broad definition that reflects a historic view of peak, but it doesn’t reflect the true peak demand periods of the low voltage</w:t>
      </w:r>
    </w:p>
    <w:p w:rsidR="00C41877" w:rsidRPr="000E6924" w:rsidRDefault="00C41877" w:rsidP="0044594F">
      <w:pPr>
        <w:keepNext/>
      </w:pPr>
    </w:p>
    <w:p w:rsidR="0044594F" w:rsidRDefault="00C41877" w:rsidP="0044594F">
      <w:pPr>
        <w:keepNext/>
      </w:pPr>
      <w:r w:rsidRPr="000E6924">
        <w:t>If the Peak energy rate effective $/kVA/year was to be amended to better reflect the proportion of tariff charged at true times of peak demand</w:t>
      </w:r>
      <w:r w:rsidR="00467C3C" w:rsidRPr="000E6924">
        <w:t xml:space="preserve">, then </w:t>
      </w:r>
      <w:r w:rsidR="00A96357" w:rsidRPr="000E6924">
        <w:t>that number would only be a small fraction of that shown below, perhaps 5% to 10% depending on assumptions.  This reflects the lack of granularity available from energy-based charges when dealing with occasional demand spikes, as experienced in a generally mild climate with the occasional extreme weather event like South Australia.  The residential monthly demand tariff has a summer demand charge of about $</w:t>
      </w:r>
      <w:r w:rsidR="00BE2520">
        <w:t>88</w:t>
      </w:r>
      <w:r w:rsidR="00A96357" w:rsidRPr="000E6924">
        <w:t>/kW (</w:t>
      </w:r>
      <w:r w:rsidR="00BE2520">
        <w:t xml:space="preserve">$11/kW for 5 months for a customer with 50% diversity and 80% average monthly demand vs peak) </w:t>
      </w:r>
      <w:r w:rsidR="00A96357" w:rsidRPr="000E6924">
        <w:t>and a winter demand charge of about $</w:t>
      </w:r>
      <w:r w:rsidR="00BE2520">
        <w:t>62</w:t>
      </w:r>
      <w:r w:rsidR="00A96357" w:rsidRPr="000E6924">
        <w:t>/kW</w:t>
      </w:r>
      <w:r w:rsidR="00BE2520">
        <w:t xml:space="preserve"> ($5.60/kW for 7 months at 50% diversity and 80% average monthly demand vs peak)</w:t>
      </w:r>
      <w:r w:rsidR="00A96357" w:rsidRPr="000E6924">
        <w:t xml:space="preserve">.  This is much closer to the LRMC figures than the existing energy usage </w:t>
      </w:r>
      <w:r w:rsidR="000E6924" w:rsidRPr="000E6924">
        <w:t>tariff</w:t>
      </w:r>
      <w:r w:rsidR="00BE2520">
        <w:t>.  The balance of charges is recovered by a usage charge on the residential actual demand tariff</w:t>
      </w:r>
      <w:r w:rsidR="000B7F94">
        <w:t>.</w:t>
      </w:r>
    </w:p>
    <w:p w:rsidR="00DB7038" w:rsidRDefault="00DB7038">
      <w:pPr>
        <w:rPr>
          <w:b/>
          <w:bCs/>
          <w:color w:val="000000" w:themeColor="accent1"/>
          <w:sz w:val="18"/>
          <w:szCs w:val="18"/>
        </w:rPr>
      </w:pPr>
      <w:bookmarkStart w:id="163" w:name="_Ref323568919"/>
      <w:bookmarkStart w:id="164" w:name="_Ref323569056"/>
    </w:p>
    <w:p w:rsidR="0044594F" w:rsidRPr="005A79C5" w:rsidRDefault="0044594F" w:rsidP="0044594F">
      <w:pPr>
        <w:pStyle w:val="Caption"/>
      </w:pPr>
      <w:r w:rsidRPr="00FA6672">
        <w:t xml:space="preserve">Table </w:t>
      </w:r>
      <w:r w:rsidR="00575C9A" w:rsidRPr="00FA6672">
        <w:fldChar w:fldCharType="begin"/>
      </w:r>
      <w:r w:rsidR="0096185A" w:rsidRPr="00FA6672">
        <w:instrText xml:space="preserve"> SEQ Table \* ARABIC </w:instrText>
      </w:r>
      <w:r w:rsidR="00575C9A" w:rsidRPr="00FA6672">
        <w:fldChar w:fldCharType="separate"/>
      </w:r>
      <w:r w:rsidR="00A81AFE">
        <w:rPr>
          <w:noProof/>
        </w:rPr>
        <w:t>48</w:t>
      </w:r>
      <w:r w:rsidR="00575C9A" w:rsidRPr="00FA6672">
        <w:fldChar w:fldCharType="end"/>
      </w:r>
      <w:bookmarkEnd w:id="163"/>
      <w:bookmarkEnd w:id="164"/>
      <w:r w:rsidRPr="00FA6672">
        <w:t>- LRMC and volume related charging parameters for single rate</w:t>
      </w:r>
    </w:p>
    <w:p w:rsidR="00FA6672" w:rsidRDefault="00FA6672" w:rsidP="0044594F">
      <w:pPr>
        <w:pStyle w:val="ListParagraph"/>
        <w:tabs>
          <w:tab w:val="left" w:pos="568"/>
        </w:tabs>
        <w:ind w:left="568" w:hanging="568"/>
        <w:contextualSpacing w:val="0"/>
      </w:pPr>
      <w:r w:rsidRPr="00FA6672">
        <w:rPr>
          <w:noProof/>
          <w:lang w:val="en-US"/>
        </w:rPr>
        <w:drawing>
          <wp:inline distT="0" distB="0" distL="0" distR="0">
            <wp:extent cx="4495800" cy="96202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srcRect/>
                    <a:stretch>
                      <a:fillRect/>
                    </a:stretch>
                  </pic:blipFill>
                  <pic:spPr bwMode="auto">
                    <a:xfrm>
                      <a:off x="0" y="0"/>
                      <a:ext cx="4495800" cy="962025"/>
                    </a:xfrm>
                    <a:prstGeom prst="rect">
                      <a:avLst/>
                    </a:prstGeom>
                    <a:noFill/>
                    <a:ln w="9525">
                      <a:noFill/>
                      <a:miter lim="800000"/>
                      <a:headEnd/>
                      <a:tailEnd/>
                    </a:ln>
                  </pic:spPr>
                </pic:pic>
              </a:graphicData>
            </a:graphic>
          </wp:inline>
        </w:drawing>
      </w:r>
    </w:p>
    <w:p w:rsidR="0044594F" w:rsidRDefault="0087178A" w:rsidP="0044594F">
      <w:pPr>
        <w:pStyle w:val="ListParagraph"/>
        <w:tabs>
          <w:tab w:val="left" w:pos="568"/>
        </w:tabs>
        <w:ind w:left="568" w:hanging="568"/>
        <w:contextualSpacing w:val="0"/>
      </w:pPr>
      <w:r>
        <w:t>N</w:t>
      </w:r>
      <w:r w:rsidR="001F6387">
        <w:t>ote</w:t>
      </w:r>
      <w:r w:rsidR="0044594F">
        <w:tab/>
      </w:r>
      <w:r w:rsidR="0044594F" w:rsidRPr="00DE0D59">
        <w:t xml:space="preserve">Energy rate </w:t>
      </w:r>
      <w:r w:rsidR="0044594F">
        <w:t xml:space="preserve">is charged </w:t>
      </w:r>
      <w:r w:rsidR="0044594F" w:rsidRPr="00DE0D59">
        <w:t xml:space="preserve">in $/MWh </w:t>
      </w:r>
      <w:r w:rsidR="0044594F">
        <w:t xml:space="preserve">but is </w:t>
      </w:r>
      <w:r w:rsidR="0044594F" w:rsidRPr="00DE0D59">
        <w:t xml:space="preserve">expressed </w:t>
      </w:r>
      <w:r w:rsidR="0044594F">
        <w:t xml:space="preserve">here </w:t>
      </w:r>
      <w:r w:rsidR="0044594F" w:rsidRPr="00DE0D59">
        <w:t>in equivalent $/kVA terms</w:t>
      </w:r>
      <w:r w:rsidR="0044594F">
        <w:t xml:space="preserve"> over the period of peak demand</w:t>
      </w:r>
      <w:r w:rsidR="0044594F" w:rsidRPr="00DE0D59">
        <w:t>.</w:t>
      </w:r>
      <w:r w:rsidR="0044594F">
        <w:t xml:space="preserve">  The revenue recovery forecast by each charge during the peak period is divided by the associated peak kVA demand.</w:t>
      </w:r>
    </w:p>
    <w:p w:rsidR="0044594F" w:rsidRDefault="0044594F" w:rsidP="0044594F">
      <w:pPr>
        <w:pStyle w:val="ListParagraph"/>
        <w:tabs>
          <w:tab w:val="left" w:pos="568"/>
        </w:tabs>
        <w:ind w:left="567" w:hanging="567"/>
        <w:contextualSpacing w:val="0"/>
      </w:pPr>
    </w:p>
    <w:p w:rsidR="0044594F" w:rsidRDefault="0044594F" w:rsidP="0044594F">
      <w:pPr>
        <w:keepNext/>
        <w:spacing w:after="120"/>
      </w:pPr>
      <w:r>
        <w:t xml:space="preserve">The way in which the tariff class LRMC has been taken into account by </w:t>
      </w:r>
      <w:r w:rsidR="00EA36E3">
        <w:t>SA Power Networks</w:t>
      </w:r>
      <w:r>
        <w:t xml:space="preserve"> in establishing the </w:t>
      </w:r>
      <w:r w:rsidR="009E3CA8">
        <w:t>2015/16</w:t>
      </w:r>
      <w:r>
        <w:t xml:space="preserve"> tariff components has in</w:t>
      </w:r>
      <w:r w:rsidRPr="00927302">
        <w:t>volved the following considerations</w:t>
      </w:r>
      <w:r>
        <w:t>:</w:t>
      </w:r>
    </w:p>
    <w:p w:rsidR="0044594F" w:rsidRDefault="0044594F" w:rsidP="0044594F">
      <w:pPr>
        <w:pStyle w:val="ListParagraph"/>
        <w:numPr>
          <w:ilvl w:val="0"/>
          <w:numId w:val="22"/>
        </w:numPr>
        <w:tabs>
          <w:tab w:val="left" w:pos="851"/>
        </w:tabs>
        <w:spacing w:after="120" w:line="240" w:lineRule="auto"/>
        <w:ind w:left="850" w:hanging="425"/>
        <w:contextualSpacing w:val="0"/>
      </w:pPr>
      <w:r w:rsidRPr="00643F0D">
        <w:rPr>
          <w:b/>
          <w:i/>
        </w:rPr>
        <w:t>Ensuring that price</w:t>
      </w:r>
      <w:r>
        <w:rPr>
          <w:b/>
          <w:i/>
        </w:rPr>
        <w:t xml:space="preserve"> signalling</w:t>
      </w:r>
      <w:r w:rsidRPr="00643F0D">
        <w:rPr>
          <w:b/>
          <w:i/>
        </w:rPr>
        <w:t xml:space="preserve"> components do not over signal the LRMC: </w:t>
      </w:r>
      <w:r>
        <w:rPr>
          <w:b/>
          <w:i/>
        </w:rPr>
        <w:t xml:space="preserve"> </w:t>
      </w:r>
      <w:r w:rsidRPr="00B02191">
        <w:t xml:space="preserve">As </w:t>
      </w:r>
      <w:r>
        <w:t>c</w:t>
      </w:r>
      <w:r w:rsidRPr="00643F0D">
        <w:t xml:space="preserve">ustomers’ </w:t>
      </w:r>
      <w:r>
        <w:t xml:space="preserve">consumption decisions will be influenced by the charging parameters of tariffs related to volume, </w:t>
      </w:r>
      <w:r w:rsidR="00EA36E3">
        <w:t>SA Power Networks</w:t>
      </w:r>
      <w:r>
        <w:t xml:space="preserve"> has confirmed that, expressed on a common basis, the price signalling </w:t>
      </w:r>
      <w:r w:rsidRPr="00643F0D">
        <w:t>tariff component</w:t>
      </w:r>
      <w:r>
        <w:t>s</w:t>
      </w:r>
      <w:r w:rsidRPr="00643F0D">
        <w:t xml:space="preserve"> ha</w:t>
      </w:r>
      <w:r>
        <w:t>ve</w:t>
      </w:r>
      <w:r w:rsidRPr="00643F0D">
        <w:t xml:space="preserve"> </w:t>
      </w:r>
      <w:r>
        <w:t xml:space="preserve">all </w:t>
      </w:r>
      <w:r w:rsidRPr="00643F0D">
        <w:t xml:space="preserve">been set </w:t>
      </w:r>
      <w:r>
        <w:t xml:space="preserve">less than </w:t>
      </w:r>
      <w:r w:rsidRPr="00927302">
        <w:t>the LRMC of supply</w:t>
      </w:r>
      <w:r>
        <w:t xml:space="preserve">.  The network tariffs will </w:t>
      </w:r>
      <w:r w:rsidRPr="00927302">
        <w:t xml:space="preserve">therefore </w:t>
      </w:r>
      <w:r>
        <w:t xml:space="preserve">not </w:t>
      </w:r>
      <w:r w:rsidRPr="00927302">
        <w:t>over-signal the marginal cost of supply</w:t>
      </w:r>
      <w:r>
        <w:t>;</w:t>
      </w:r>
    </w:p>
    <w:p w:rsidR="0044594F" w:rsidRDefault="0044594F" w:rsidP="0044594F">
      <w:pPr>
        <w:pStyle w:val="ListParagraph"/>
        <w:numPr>
          <w:ilvl w:val="0"/>
          <w:numId w:val="22"/>
        </w:numPr>
        <w:tabs>
          <w:tab w:val="left" w:pos="851"/>
        </w:tabs>
        <w:spacing w:after="120" w:line="240" w:lineRule="auto"/>
        <w:ind w:left="850" w:hanging="425"/>
        <w:contextualSpacing w:val="0"/>
      </w:pPr>
      <w:r w:rsidRPr="001417AF">
        <w:rPr>
          <w:b/>
          <w:i/>
        </w:rPr>
        <w:t>Use of price signalling components where practicable:</w:t>
      </w:r>
      <w:r>
        <w:t xml:space="preserve">  Where permitted by the metering arrangements, volume related </w:t>
      </w:r>
      <w:r w:rsidRPr="00927302">
        <w:t xml:space="preserve">charges that reflect the customers’ demand or incremental energy consumption have been used to </w:t>
      </w:r>
      <w:r>
        <w:t xml:space="preserve">improve </w:t>
      </w:r>
      <w:r w:rsidRPr="00927302">
        <w:t>signal</w:t>
      </w:r>
      <w:r>
        <w:t>ling of</w:t>
      </w:r>
      <w:r w:rsidRPr="00927302">
        <w:t xml:space="preserve"> the tariff class </w:t>
      </w:r>
      <w:r>
        <w:t>LRMC;</w:t>
      </w:r>
      <w:r w:rsidR="00837F49">
        <w:t xml:space="preserve"> and</w:t>
      </w:r>
    </w:p>
    <w:p w:rsidR="0044594F" w:rsidRPr="000E6924" w:rsidRDefault="0044594F" w:rsidP="0044594F">
      <w:pPr>
        <w:pStyle w:val="ListParagraph"/>
        <w:numPr>
          <w:ilvl w:val="0"/>
          <w:numId w:val="22"/>
        </w:numPr>
        <w:tabs>
          <w:tab w:val="left" w:pos="851"/>
        </w:tabs>
        <w:spacing w:after="240" w:line="240" w:lineRule="auto"/>
        <w:ind w:left="850" w:hanging="425"/>
        <w:contextualSpacing w:val="0"/>
      </w:pPr>
      <w:r w:rsidRPr="000E6924">
        <w:rPr>
          <w:b/>
          <w:i/>
        </w:rPr>
        <w:t>Revenue recovery through non-distortionary charging parameters:</w:t>
      </w:r>
      <w:r w:rsidRPr="000E6924">
        <w:t xml:space="preserve"> For each tariff, price signalling charging parameters recover a proportion of the total revenue during peak consumption periods.  The balance of revenue recovery takes place in the least distortionary manner possible, through fixed </w:t>
      </w:r>
      <w:r w:rsidR="000E6924" w:rsidRPr="000E6924">
        <w:t>supply</w:t>
      </w:r>
      <w:r w:rsidRPr="000E6924">
        <w:t xml:space="preserve"> charges and through the single rate energy rates that apply during off peak periods.</w:t>
      </w:r>
    </w:p>
    <w:p w:rsidR="0044594F" w:rsidRDefault="00EA36E3" w:rsidP="0044594F">
      <w:r>
        <w:t>SA Power Networks</w:t>
      </w:r>
      <w:r w:rsidR="0044594F" w:rsidRPr="00927302">
        <w:t xml:space="preserve">’ </w:t>
      </w:r>
      <w:r w:rsidR="009E3CA8">
        <w:t>2015/16</w:t>
      </w:r>
      <w:r w:rsidR="0044594F">
        <w:t xml:space="preserve"> </w:t>
      </w:r>
      <w:r w:rsidR="0044594F" w:rsidRPr="00927302">
        <w:t xml:space="preserve">tariffs </w:t>
      </w:r>
      <w:r w:rsidR="0044594F">
        <w:t>have</w:t>
      </w:r>
      <w:r w:rsidR="0044594F" w:rsidRPr="00927302">
        <w:t xml:space="preserve"> </w:t>
      </w:r>
      <w:r w:rsidR="0044594F">
        <w:t xml:space="preserve">therefore been established in </w:t>
      </w:r>
      <w:r w:rsidR="0044594F" w:rsidRPr="00927302">
        <w:t>complian</w:t>
      </w:r>
      <w:r w:rsidR="0044594F">
        <w:t>ce</w:t>
      </w:r>
      <w:r w:rsidR="0044594F" w:rsidRPr="00927302">
        <w:t xml:space="preserve"> with th</w:t>
      </w:r>
      <w:r w:rsidR="0044594F">
        <w:t>e</w:t>
      </w:r>
      <w:r w:rsidR="0044594F" w:rsidRPr="00927302">
        <w:t xml:space="preserve"> provision</w:t>
      </w:r>
      <w:r w:rsidR="0044594F">
        <w:t>s</w:t>
      </w:r>
      <w:r w:rsidR="0044594F" w:rsidRPr="00927302">
        <w:t xml:space="preserve"> of clause</w:t>
      </w:r>
      <w:r w:rsidR="0044594F">
        <w:t>s</w:t>
      </w:r>
      <w:r w:rsidR="0044594F" w:rsidRPr="00927302">
        <w:t xml:space="preserve"> 6.18.5(b)(1) </w:t>
      </w:r>
      <w:r w:rsidR="0044594F">
        <w:t xml:space="preserve">and 6.18.5(c) </w:t>
      </w:r>
      <w:r w:rsidR="0044594F" w:rsidRPr="00927302">
        <w:t>of the Rules.</w:t>
      </w:r>
    </w:p>
    <w:p w:rsidR="00607C67" w:rsidRDefault="00607C67" w:rsidP="0044594F"/>
    <w:p w:rsidR="0044594F" w:rsidRPr="00927302" w:rsidRDefault="0044594F" w:rsidP="0044594F">
      <w:pPr>
        <w:pStyle w:val="Heading2"/>
        <w:keepLines w:val="0"/>
        <w:numPr>
          <w:ilvl w:val="1"/>
          <w:numId w:val="16"/>
        </w:numPr>
        <w:tabs>
          <w:tab w:val="left" w:pos="851"/>
        </w:tabs>
        <w:spacing w:after="240" w:line="240" w:lineRule="auto"/>
      </w:pPr>
      <w:bookmarkStart w:id="165" w:name="_Ref134012635"/>
      <w:bookmarkStart w:id="166" w:name="_Toc420009867"/>
      <w:r w:rsidRPr="00927302">
        <w:t>Transaction costs</w:t>
      </w:r>
      <w:bookmarkEnd w:id="165"/>
      <w:bookmarkEnd w:id="166"/>
    </w:p>
    <w:p w:rsidR="0044594F" w:rsidRDefault="0044594F" w:rsidP="0044594F">
      <w:r w:rsidRPr="00927302">
        <w:t xml:space="preserve">Clause 6.18.5(b)(2)(i) of the Rules requires </w:t>
      </w:r>
      <w:r w:rsidR="00EA36E3">
        <w:t>SA Power Networks</w:t>
      </w:r>
      <w:r w:rsidRPr="00927302">
        <w:t xml:space="preserve"> to have regard to the transaction costs arising from its network tariffs, by limiting the complexity of tariff structures and the number of charging parameters within each tariff.  The charging parameters applicable to each tariff are provided in </w:t>
      </w:r>
      <w:r w:rsidR="000B7F94">
        <w:t>Section</w:t>
      </w:r>
      <w:r w:rsidRPr="00927302">
        <w:t xml:space="preserve"> </w:t>
      </w:r>
      <w:r>
        <w:t>4</w:t>
      </w:r>
      <w:r w:rsidRPr="00927302">
        <w:t xml:space="preserve"> of this Pricing Proposal.</w:t>
      </w:r>
    </w:p>
    <w:p w:rsidR="00607C67" w:rsidRPr="00927302" w:rsidRDefault="00607C67" w:rsidP="0044594F"/>
    <w:p w:rsidR="000E6924" w:rsidRPr="003C2319" w:rsidRDefault="00EA36E3" w:rsidP="0044594F">
      <w:r>
        <w:t>SA Power Networks</w:t>
      </w:r>
      <w:r w:rsidR="0044594F" w:rsidRPr="003C2319">
        <w:t xml:space="preserve"> has </w:t>
      </w:r>
      <w:r w:rsidR="000E6924" w:rsidRPr="003C2319">
        <w:t>simplified the legacy tariffs (residential usage, controlled load, business single and business 2-rate) and has also reduced the number of significant values in each tariff element.  This should reduce some transaction costs and improve the comprehension of these tariffs by customers.</w:t>
      </w:r>
    </w:p>
    <w:p w:rsidR="000E6924" w:rsidRDefault="000E6924" w:rsidP="0044594F">
      <w:pPr>
        <w:rPr>
          <w:highlight w:val="yellow"/>
        </w:rPr>
      </w:pPr>
    </w:p>
    <w:p w:rsidR="0044594F" w:rsidRDefault="00EA36E3" w:rsidP="0044594F">
      <w:r>
        <w:t>SA Power Networks</w:t>
      </w:r>
      <w:r w:rsidR="000E6924" w:rsidRPr="003C2319">
        <w:t xml:space="preserve"> will be reviewing the response by customers and retailers to the opt-in residential monthly demand tariff.  The tariff has been </w:t>
      </w:r>
      <w:r w:rsidR="003C2319" w:rsidRPr="003C2319">
        <w:t>structured</w:t>
      </w:r>
      <w:r w:rsidR="000E6924" w:rsidRPr="003C2319">
        <w:t xml:space="preserve"> as simply as possible within key design criteria, having two elements only each month – a monthly demand charge based on peak demand between 4pm and 9pm daily, and a usage charge.  The quantum of the network bill is evenly split between the two items.  The absence of any time-of-use energy signals in the network tariff leaves such developments to a retailer if they so choose, to reflect whatever </w:t>
      </w:r>
      <w:r w:rsidR="003C2319" w:rsidRPr="003C2319">
        <w:t xml:space="preserve">pricing </w:t>
      </w:r>
      <w:r w:rsidR="000E6924" w:rsidRPr="003C2319">
        <w:t xml:space="preserve"> signals are relevant from the energy market.</w:t>
      </w:r>
    </w:p>
    <w:p w:rsidR="00FA6672" w:rsidRDefault="00FA6672" w:rsidP="0044594F"/>
    <w:p w:rsidR="00FA6672" w:rsidRDefault="00FA6672" w:rsidP="0044594F">
      <w:r>
        <w:t>Retailers have advised through consultation that they would prefer the actual demand tariffs to be structured around a “$/kVA per day” basis rather than a “$/kVA per month” basis.  The pricing outcome is effectively the same as if monthly billing/reading is undertaken, as the actual demand charged is the maximum between the monthly reads.  It is just the number of days between reads that can vary.  Given the retailer support for this initiative and its importance to the large customer cost-reflective initiative, we are endeavouring to have this alternate format of the actual demand tariff available from 1 July 2015.</w:t>
      </w:r>
    </w:p>
    <w:p w:rsidR="00607C67" w:rsidRPr="00927302" w:rsidRDefault="00607C67" w:rsidP="0044594F"/>
    <w:p w:rsidR="0044594F" w:rsidRPr="00927302" w:rsidRDefault="0044594F" w:rsidP="0044594F">
      <w:pPr>
        <w:pStyle w:val="Heading2"/>
        <w:keepLines w:val="0"/>
        <w:numPr>
          <w:ilvl w:val="1"/>
          <w:numId w:val="16"/>
        </w:numPr>
        <w:tabs>
          <w:tab w:val="left" w:pos="851"/>
        </w:tabs>
        <w:spacing w:after="240" w:line="240" w:lineRule="auto"/>
      </w:pPr>
      <w:bookmarkStart w:id="167" w:name="_Ref134012639"/>
      <w:bookmarkStart w:id="168" w:name="_Toc420009868"/>
      <w:r w:rsidRPr="00927302">
        <w:t>Customer response to price signals</w:t>
      </w:r>
      <w:bookmarkEnd w:id="167"/>
      <w:bookmarkEnd w:id="168"/>
    </w:p>
    <w:p w:rsidR="0044594F" w:rsidRDefault="00EA36E3" w:rsidP="0044594F">
      <w:r>
        <w:t>SA Power Networks</w:t>
      </w:r>
      <w:r w:rsidR="0044594F" w:rsidRPr="00927302">
        <w:t xml:space="preserve"> is required to have regard to the ability of customers to respond to the price signals provided by its network tariffs, in accordance with clause 6.18.5(b)(2)(ii) of the Rules.  The efficiency gains of marginal cost pricing are realised when a tariff based on the marginal cost of supply induces the customer to make behavioural change. </w:t>
      </w:r>
    </w:p>
    <w:p w:rsidR="00FA6672" w:rsidRDefault="00FA6672" w:rsidP="0044594F"/>
    <w:p w:rsidR="00FA6672" w:rsidRDefault="00FA6672" w:rsidP="0044594F">
      <w:r>
        <w:t xml:space="preserve">Part of the rationale for proposing the </w:t>
      </w:r>
      <w:r w:rsidR="00217741">
        <w:t>residential Solar tariff</w:t>
      </w:r>
      <w:r>
        <w:t xml:space="preserve"> was the concern of how financially vulnerable customers on hardship programs were responding to electricity prices.  These customers have a high price elasticity response to </w:t>
      </w:r>
      <w:r w:rsidR="002C556A">
        <w:t>electricity bills so we need to be carefu</w:t>
      </w:r>
      <w:r w:rsidR="0093085E">
        <w:t xml:space="preserve">l about the degree to which we </w:t>
      </w:r>
      <w:r w:rsidR="002C556A">
        <w:t>recover more costs than just LRMC from such customers.</w:t>
      </w:r>
    </w:p>
    <w:p w:rsidR="00607C67" w:rsidRPr="00927302" w:rsidRDefault="00607C67" w:rsidP="0044594F"/>
    <w:p w:rsidR="0044594F" w:rsidRDefault="0044594F" w:rsidP="0044594F">
      <w:r w:rsidRPr="00927302">
        <w:t xml:space="preserve">To the extent possible within the limitations imposed by network tariff structures and metering constraints, </w:t>
      </w:r>
      <w:r w:rsidR="00EA36E3">
        <w:t>SA Power Networks</w:t>
      </w:r>
      <w:r w:rsidRPr="00927302">
        <w:t xml:space="preserve"> signals the long run marginal cost of supply through those tariff charging parameters with the greatest price elasticity of demand, namely the variable consumption charges that are based on the customers energy use and maximum demand.</w:t>
      </w:r>
    </w:p>
    <w:p w:rsidR="00607C67" w:rsidRPr="00927302" w:rsidRDefault="00607C67" w:rsidP="0044594F"/>
    <w:p w:rsidR="0044594F" w:rsidRDefault="0044594F" w:rsidP="0044594F">
      <w:r>
        <w:t>In relation to the operation of clause 6.18.5(c) of the Rules, it is noted that</w:t>
      </w:r>
      <w:r w:rsidRPr="002E1389">
        <w:t xml:space="preserve"> </w:t>
      </w:r>
      <w:r w:rsidR="00EA36E3">
        <w:t>SA Power Networks</w:t>
      </w:r>
      <w:r>
        <w:t>’</w:t>
      </w:r>
      <w:r w:rsidRPr="002E1389">
        <w:t xml:space="preserve"> current estimate of LRMC falls </w:t>
      </w:r>
      <w:r w:rsidR="0093085E">
        <w:t>near</w:t>
      </w:r>
      <w:r w:rsidRPr="002E1389">
        <w:t xml:space="preserve"> </w:t>
      </w:r>
      <w:r w:rsidR="00FA6672">
        <w:t>most</w:t>
      </w:r>
      <w:r>
        <w:t xml:space="preserve"> of the </w:t>
      </w:r>
      <w:r w:rsidRPr="002E1389">
        <w:t>price</w:t>
      </w:r>
      <w:r>
        <w:t xml:space="preserve"> signalling charging parameters </w:t>
      </w:r>
      <w:r w:rsidR="0093085E">
        <w:t>for most of the</w:t>
      </w:r>
      <w:r w:rsidRPr="002E1389">
        <w:t xml:space="preserve"> tariff class</w:t>
      </w:r>
      <w:r w:rsidR="0093085E">
        <w:t>es</w:t>
      </w:r>
      <w:r w:rsidRPr="002E1389">
        <w:t xml:space="preserve">, as described in </w:t>
      </w:r>
      <w:r w:rsidR="000B7F94">
        <w:t>Section</w:t>
      </w:r>
      <w:r w:rsidRPr="002E1389">
        <w:t xml:space="preserve"> </w:t>
      </w:r>
      <w:r w:rsidR="00575C9A">
        <w:fldChar w:fldCharType="begin"/>
      </w:r>
      <w:r>
        <w:instrText xml:space="preserve"> REF _Ref131938594 \r \h </w:instrText>
      </w:r>
      <w:r w:rsidR="00575C9A">
        <w:fldChar w:fldCharType="separate"/>
      </w:r>
      <w:r w:rsidR="00A81AFE">
        <w:t>8.9</w:t>
      </w:r>
      <w:r w:rsidR="00575C9A">
        <w:fldChar w:fldCharType="end"/>
      </w:r>
      <w:r w:rsidR="0093085E">
        <w:t xml:space="preserve"> .</w:t>
      </w:r>
    </w:p>
    <w:p w:rsidR="00607C67" w:rsidRDefault="00607C67" w:rsidP="0044594F"/>
    <w:p w:rsidR="0044594F" w:rsidRDefault="0044594F" w:rsidP="0044594F">
      <w:pPr>
        <w:keepNext/>
        <w:spacing w:after="120"/>
      </w:pPr>
      <w:r>
        <w:t xml:space="preserve">If the price signalling charging parameters alone (which were set taking into account the LRMC) were used, the revenue for each tariff class would be insufficient to recover the expected revenue.  </w:t>
      </w:r>
      <w:r w:rsidRPr="002E1389">
        <w:t xml:space="preserve">The </w:t>
      </w:r>
      <w:r>
        <w:t xml:space="preserve">revenue </w:t>
      </w:r>
      <w:r w:rsidRPr="002E1389">
        <w:t>shortfall</w:t>
      </w:r>
      <w:r>
        <w:t xml:space="preserve"> is recovered through the use of tariff components which would cause minimal distortion in efficient patterns of consumption, namely:</w:t>
      </w:r>
    </w:p>
    <w:p w:rsidR="0044594F" w:rsidRDefault="0044594F" w:rsidP="0044594F">
      <w:pPr>
        <w:pStyle w:val="ListParagraph"/>
        <w:numPr>
          <w:ilvl w:val="0"/>
          <w:numId w:val="22"/>
        </w:numPr>
        <w:tabs>
          <w:tab w:val="left" w:pos="851"/>
        </w:tabs>
        <w:spacing w:after="120" w:line="240" w:lineRule="auto"/>
        <w:ind w:left="850" w:hanging="425"/>
        <w:contextualSpacing w:val="0"/>
      </w:pPr>
      <w:r>
        <w:t>Fixed charges; and</w:t>
      </w:r>
    </w:p>
    <w:p w:rsidR="0044594F" w:rsidRPr="00927302" w:rsidRDefault="0044594F" w:rsidP="0044594F">
      <w:pPr>
        <w:pStyle w:val="ListParagraph"/>
        <w:numPr>
          <w:ilvl w:val="0"/>
          <w:numId w:val="22"/>
        </w:numPr>
        <w:tabs>
          <w:tab w:val="left" w:pos="851"/>
        </w:tabs>
        <w:spacing w:after="240" w:line="240" w:lineRule="auto"/>
        <w:ind w:left="850" w:hanging="425"/>
        <w:contextualSpacing w:val="0"/>
      </w:pPr>
      <w:r>
        <w:t>Anytime energy charges during off peak periods</w:t>
      </w:r>
      <w:r w:rsidRPr="00927302">
        <w:t>.</w:t>
      </w:r>
    </w:p>
    <w:p w:rsidR="0044594F" w:rsidRPr="00365A57" w:rsidRDefault="00EA36E3" w:rsidP="0044594F">
      <w:r>
        <w:t>SA Power Networks</w:t>
      </w:r>
      <w:r w:rsidR="0044594F" w:rsidRPr="00365A57">
        <w:t xml:space="preserve"> is therefore compliant with this Rules provision.</w:t>
      </w:r>
      <w:r w:rsidR="00FA6672">
        <w:t xml:space="preserve">  We will be undertaking further analysis of our pricing structures as part of the imminent Tariff Structure Statement submission, due for lodgement in November 2015.  We will also be updating our calculations</w:t>
      </w:r>
      <w:r w:rsidR="002C556A">
        <w:t xml:space="preserve"> of LRMC for that submission.</w:t>
      </w:r>
    </w:p>
    <w:p w:rsidR="0044594F" w:rsidRPr="00365A57" w:rsidRDefault="0044594F" w:rsidP="0044594F">
      <w:pPr>
        <w:pStyle w:val="Heading1"/>
        <w:keepLines w:val="0"/>
        <w:pageBreakBefore/>
        <w:numPr>
          <w:ilvl w:val="0"/>
          <w:numId w:val="16"/>
        </w:numPr>
        <w:spacing w:after="240" w:line="240" w:lineRule="auto"/>
        <w:ind w:left="431" w:hanging="431"/>
        <w:contextualSpacing/>
      </w:pPr>
      <w:bookmarkStart w:id="169" w:name="_Ref133826788"/>
      <w:bookmarkStart w:id="170" w:name="_Ref165717107"/>
      <w:bookmarkStart w:id="171" w:name="_Toc420009869"/>
      <w:r w:rsidRPr="00365A57">
        <w:t>Transmission cost recovery tariffs</w:t>
      </w:r>
      <w:bookmarkEnd w:id="169"/>
      <w:bookmarkEnd w:id="170"/>
      <w:bookmarkEnd w:id="171"/>
    </w:p>
    <w:p w:rsidR="0044594F" w:rsidRDefault="0044594F" w:rsidP="0044594F">
      <w:r w:rsidRPr="00365A57">
        <w:t xml:space="preserve">This </w:t>
      </w:r>
      <w:r w:rsidR="000B7F94">
        <w:t>Section</w:t>
      </w:r>
      <w:r w:rsidRPr="00365A57">
        <w:t xml:space="preserve"> sets out the procedures that </w:t>
      </w:r>
      <w:r w:rsidR="00EA36E3">
        <w:t>SA Power Networks</w:t>
      </w:r>
      <w:r w:rsidRPr="00365A57">
        <w:t xml:space="preserve"> will follow to enable the recovery of transmission related charges, including </w:t>
      </w:r>
      <w:r>
        <w:t xml:space="preserve">any </w:t>
      </w:r>
      <w:r w:rsidRPr="00365A57">
        <w:t xml:space="preserve">avoided TUoS charges paid to the embedded generators connected to </w:t>
      </w:r>
      <w:r w:rsidR="00EA36E3">
        <w:t>SA Power Networks</w:t>
      </w:r>
      <w:r w:rsidRPr="00365A57">
        <w:t xml:space="preserve">’ distribution network. </w:t>
      </w:r>
    </w:p>
    <w:p w:rsidR="001F4F19" w:rsidRPr="00365A57" w:rsidRDefault="001F4F19" w:rsidP="0044594F"/>
    <w:p w:rsidR="0044594F" w:rsidRDefault="0044594F" w:rsidP="0044594F">
      <w:r w:rsidRPr="00365A57">
        <w:t xml:space="preserve">ElectraNet is the Transmission Network Service Provider in South Australia and calculates location specific transmission prices for the connection points to </w:t>
      </w:r>
      <w:r w:rsidR="00EA36E3">
        <w:t>SA Power Networks</w:t>
      </w:r>
      <w:r w:rsidRPr="00365A57">
        <w:t xml:space="preserve">’ network, in accordance with the provisions of the Rules. </w:t>
      </w:r>
    </w:p>
    <w:p w:rsidR="001F4F19" w:rsidRPr="00365A57" w:rsidRDefault="001F4F19" w:rsidP="0044594F"/>
    <w:p w:rsidR="001F4F19" w:rsidRDefault="0044594F" w:rsidP="0044594F">
      <w:r w:rsidRPr="00365A57">
        <w:t xml:space="preserve">ElectraNet’s </w:t>
      </w:r>
      <w:r w:rsidR="009E3CA8">
        <w:t>2015/16</w:t>
      </w:r>
      <w:r>
        <w:t xml:space="preserve"> </w:t>
      </w:r>
      <w:r w:rsidRPr="00365A57">
        <w:t xml:space="preserve">revenue will again be offset </w:t>
      </w:r>
      <w:r>
        <w:t xml:space="preserve">by some amount for </w:t>
      </w:r>
      <w:r w:rsidRPr="00365A57">
        <w:t xml:space="preserve">revenue from settlement residue auctions.  </w:t>
      </w:r>
      <w:r w:rsidRPr="0082473F">
        <w:t xml:space="preserve">ElectraNet has not advised </w:t>
      </w:r>
      <w:r>
        <w:t>the amount of discount that has been applied in</w:t>
      </w:r>
      <w:r w:rsidR="000F35F0">
        <w:t xml:space="preserve"> tariffs</w:t>
      </w:r>
      <w:r w:rsidR="00A84A26">
        <w:t>.</w:t>
      </w:r>
    </w:p>
    <w:p w:rsidR="00A84A26" w:rsidRPr="00365A57" w:rsidRDefault="00A84A26" w:rsidP="0044594F"/>
    <w:p w:rsidR="0044594F" w:rsidRDefault="0044594F" w:rsidP="0044594F">
      <w:r w:rsidRPr="00365A57">
        <w:t xml:space="preserve">This </w:t>
      </w:r>
      <w:r w:rsidR="000B7F94">
        <w:t>Section</w:t>
      </w:r>
      <w:r w:rsidRPr="00365A57">
        <w:t xml:space="preserve"> </w:t>
      </w:r>
      <w:r w:rsidR="00575C9A" w:rsidRPr="00365A57">
        <w:fldChar w:fldCharType="begin"/>
      </w:r>
      <w:r w:rsidRPr="00365A57">
        <w:instrText xml:space="preserve"> REF _Ref165717107 \r \h </w:instrText>
      </w:r>
      <w:r w:rsidR="00575C9A" w:rsidRPr="00365A57">
        <w:fldChar w:fldCharType="separate"/>
      </w:r>
      <w:r w:rsidR="00A81AFE">
        <w:t>9</w:t>
      </w:r>
      <w:r w:rsidR="00575C9A" w:rsidRPr="00365A57">
        <w:fldChar w:fldCharType="end"/>
      </w:r>
      <w:r w:rsidRPr="00365A57">
        <w:t xml:space="preserve"> has been prepared using </w:t>
      </w:r>
      <w:r>
        <w:t xml:space="preserve">the </w:t>
      </w:r>
      <w:r w:rsidR="00B351E7">
        <w:t>May</w:t>
      </w:r>
      <w:r w:rsidR="00791CED">
        <w:t xml:space="preserve"> </w:t>
      </w:r>
      <w:r w:rsidR="009E3CA8">
        <w:t xml:space="preserve">2015 </w:t>
      </w:r>
      <w:r w:rsidR="00B351E7">
        <w:t>approved prices</w:t>
      </w:r>
      <w:r w:rsidRPr="00365A57">
        <w:t xml:space="preserve"> from ElectraNet</w:t>
      </w:r>
      <w:r>
        <w:t xml:space="preserve"> which </w:t>
      </w:r>
      <w:r w:rsidRPr="0069779A">
        <w:t xml:space="preserve">advised of a </w:t>
      </w:r>
      <w:r w:rsidR="0069779A" w:rsidRPr="0069779A">
        <w:t>-2.7% de</w:t>
      </w:r>
      <w:r w:rsidR="00B351E7" w:rsidRPr="0069779A">
        <w:t>crease in charges</w:t>
      </w:r>
      <w:r w:rsidR="00B351E7">
        <w:t>.</w:t>
      </w:r>
    </w:p>
    <w:p w:rsidR="001F4F19" w:rsidRPr="00927302" w:rsidRDefault="001F4F19" w:rsidP="0044594F"/>
    <w:p w:rsidR="0044594F" w:rsidRPr="00927302" w:rsidRDefault="0044594F" w:rsidP="0044594F">
      <w:pPr>
        <w:pStyle w:val="Heading2"/>
        <w:keepLines w:val="0"/>
        <w:numPr>
          <w:ilvl w:val="1"/>
          <w:numId w:val="16"/>
        </w:numPr>
        <w:tabs>
          <w:tab w:val="left" w:pos="851"/>
        </w:tabs>
        <w:spacing w:after="240" w:line="240" w:lineRule="auto"/>
      </w:pPr>
      <w:bookmarkStart w:id="172" w:name="_Toc420009870"/>
      <w:r w:rsidRPr="00927302">
        <w:t>Regulatory Requirements</w:t>
      </w:r>
      <w:bookmarkEnd w:id="172"/>
    </w:p>
    <w:p w:rsidR="0044594F" w:rsidRPr="00927302" w:rsidRDefault="0044594F" w:rsidP="009A26B4">
      <w:pPr>
        <w:pStyle w:val="Heading3"/>
      </w:pPr>
      <w:r w:rsidRPr="00927302">
        <w:t>Rules requirements</w:t>
      </w:r>
    </w:p>
    <w:p w:rsidR="0044594F" w:rsidRDefault="00EA36E3" w:rsidP="0044594F">
      <w:r>
        <w:t>SA Power Networks</w:t>
      </w:r>
      <w:r w:rsidR="0044594F" w:rsidRPr="00927302">
        <w:t>’ Pricing Proposal is required under clause 6.18.2(b) of the Rules to set out how the TUoS charges it incurs are passed on to customers.</w:t>
      </w:r>
    </w:p>
    <w:p w:rsidR="001F4F19" w:rsidRPr="00927302" w:rsidRDefault="001F4F19" w:rsidP="0044594F"/>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6.18.2</w:t>
      </w:r>
      <w:r w:rsidRPr="00927302">
        <w:rPr>
          <w:rFonts w:cs="Arial-BoldMT"/>
          <w:b/>
          <w:bCs/>
          <w:szCs w:val="23"/>
        </w:rPr>
        <w:tab/>
        <w:t>Pricing proposals</w:t>
      </w:r>
    </w:p>
    <w:p w:rsidR="0044594F" w:rsidRPr="00927302" w:rsidRDefault="0044594F" w:rsidP="0044594F">
      <w:pPr>
        <w:tabs>
          <w:tab w:val="left" w:pos="568"/>
        </w:tabs>
        <w:spacing w:after="120"/>
        <w:ind w:left="567" w:hanging="567"/>
        <w:rPr>
          <w:rFonts w:cs="font38"/>
          <w:szCs w:val="23"/>
          <w:lang w:val="en-US"/>
        </w:rPr>
      </w:pPr>
      <w:r w:rsidRPr="00927302">
        <w:rPr>
          <w:rFonts w:cs="font38"/>
          <w:szCs w:val="23"/>
          <w:lang w:val="en-US"/>
        </w:rPr>
        <w:t>(b)</w:t>
      </w:r>
      <w:r w:rsidRPr="00927302">
        <w:rPr>
          <w:rFonts w:cs="font38"/>
          <w:szCs w:val="23"/>
          <w:lang w:val="en-US"/>
        </w:rPr>
        <w:tab/>
        <w:t xml:space="preserve">A </w:t>
      </w:r>
      <w:r w:rsidRPr="00927302">
        <w:rPr>
          <w:rFonts w:cs="font38"/>
          <w:i/>
          <w:iCs/>
          <w:szCs w:val="23"/>
          <w:lang w:val="en-US"/>
        </w:rPr>
        <w:t xml:space="preserve">pricing proposal </w:t>
      </w:r>
      <w:r w:rsidRPr="00927302">
        <w:rPr>
          <w:rFonts w:cs="font38"/>
          <w:szCs w:val="23"/>
          <w:lang w:val="en-US"/>
        </w:rPr>
        <w:t>must:</w:t>
      </w:r>
    </w:p>
    <w:p w:rsidR="0044594F" w:rsidRPr="00927302" w:rsidRDefault="0044594F" w:rsidP="0044594F">
      <w:pPr>
        <w:tabs>
          <w:tab w:val="left" w:pos="1136"/>
        </w:tabs>
        <w:spacing w:after="120"/>
        <w:ind w:left="1136" w:hanging="568"/>
        <w:rPr>
          <w:rFonts w:cs="font38"/>
          <w:szCs w:val="23"/>
          <w:lang w:val="en-US"/>
        </w:rPr>
      </w:pPr>
      <w:r w:rsidRPr="00927302">
        <w:rPr>
          <w:rFonts w:cs="font38"/>
          <w:szCs w:val="23"/>
          <w:lang w:val="en-US"/>
        </w:rPr>
        <w:t>(3)</w:t>
      </w:r>
      <w:r w:rsidRPr="00927302">
        <w:rPr>
          <w:rFonts w:cs="font38"/>
          <w:szCs w:val="23"/>
          <w:lang w:val="en-US"/>
        </w:rPr>
        <w:tab/>
        <w:t xml:space="preserve">set out, for each proposed tariff, the </w:t>
      </w:r>
      <w:r w:rsidRPr="00927302">
        <w:rPr>
          <w:rFonts w:cs="font38"/>
          <w:i/>
          <w:iCs/>
          <w:szCs w:val="23"/>
          <w:lang w:val="en-US"/>
        </w:rPr>
        <w:t xml:space="preserve">charging parameters </w:t>
      </w:r>
      <w:r w:rsidRPr="00927302">
        <w:rPr>
          <w:rFonts w:cs="font38"/>
          <w:szCs w:val="23"/>
          <w:lang w:val="en-US"/>
        </w:rPr>
        <w:t xml:space="preserve">and the elements of service to which each </w:t>
      </w:r>
      <w:r w:rsidRPr="00927302">
        <w:rPr>
          <w:rFonts w:cs="font38"/>
          <w:i/>
          <w:iCs/>
          <w:szCs w:val="23"/>
          <w:lang w:val="en-US"/>
        </w:rPr>
        <w:t xml:space="preserve">charging parameter </w:t>
      </w:r>
      <w:r w:rsidRPr="00927302">
        <w:rPr>
          <w:rFonts w:cs="font38"/>
          <w:szCs w:val="23"/>
          <w:lang w:val="en-US"/>
        </w:rPr>
        <w:t>relates; and</w:t>
      </w:r>
    </w:p>
    <w:p w:rsidR="0044594F" w:rsidRPr="00927302" w:rsidRDefault="0044594F" w:rsidP="0044594F">
      <w:pPr>
        <w:tabs>
          <w:tab w:val="left" w:pos="1136"/>
        </w:tabs>
        <w:ind w:left="1134" w:hanging="567"/>
      </w:pPr>
      <w:r w:rsidRPr="00927302">
        <w:rPr>
          <w:rFonts w:cs="font38"/>
          <w:szCs w:val="23"/>
          <w:lang w:val="en-US"/>
        </w:rPr>
        <w:t>(6)</w:t>
      </w:r>
      <w:r w:rsidRPr="00927302">
        <w:rPr>
          <w:rFonts w:cs="font38"/>
          <w:szCs w:val="23"/>
          <w:lang w:val="en-US"/>
        </w:rPr>
        <w:tab/>
        <w:t xml:space="preserve">set out how charges incurred by the </w:t>
      </w:r>
      <w:r w:rsidRPr="00927302">
        <w:rPr>
          <w:rFonts w:cs="font38"/>
          <w:i/>
          <w:iCs/>
          <w:szCs w:val="23"/>
          <w:lang w:val="en-US"/>
        </w:rPr>
        <w:t xml:space="preserve">Distribution Network Service Provider </w:t>
      </w:r>
      <w:r w:rsidRPr="00927302">
        <w:rPr>
          <w:rFonts w:cs="font38"/>
          <w:szCs w:val="23"/>
          <w:lang w:val="en-US"/>
        </w:rPr>
        <w:t xml:space="preserve">for </w:t>
      </w:r>
      <w:r w:rsidRPr="00927302">
        <w:rPr>
          <w:rFonts w:cs="font38"/>
          <w:i/>
          <w:iCs/>
          <w:szCs w:val="23"/>
          <w:lang w:val="en-US"/>
        </w:rPr>
        <w:t xml:space="preserve">transmission use of system services </w:t>
      </w:r>
      <w:r w:rsidRPr="00927302">
        <w:rPr>
          <w:rFonts w:cs="font38"/>
          <w:szCs w:val="23"/>
          <w:lang w:val="en-US"/>
        </w:rPr>
        <w:t xml:space="preserve">are to be passed on to customers and any adjustments to tariffs resulting from over or under recovery of those charges in the previous </w:t>
      </w:r>
      <w:r w:rsidRPr="00927302">
        <w:rPr>
          <w:rFonts w:cs="font38"/>
          <w:i/>
          <w:iCs/>
          <w:szCs w:val="23"/>
          <w:lang w:val="en-US"/>
        </w:rPr>
        <w:t>regulatory year</w:t>
      </w:r>
      <w:r w:rsidRPr="00927302">
        <w:rPr>
          <w:rFonts w:cs="font38"/>
          <w:szCs w:val="23"/>
          <w:lang w:val="en-US"/>
        </w:rPr>
        <w:t>;</w:t>
      </w:r>
    </w:p>
    <w:p w:rsidR="001F4F19" w:rsidRDefault="001F4F19" w:rsidP="0044594F"/>
    <w:p w:rsidR="0044594F" w:rsidRDefault="0044594F" w:rsidP="0044594F">
      <w:r w:rsidRPr="00927302">
        <w:t xml:space="preserve">Clause 6.18.7 of the Rules sets out the requirement concerning the recovery of transmission related charges by </w:t>
      </w:r>
      <w:r w:rsidR="00EA36E3">
        <w:t>SA Power Networks</w:t>
      </w:r>
      <w:r w:rsidRPr="00927302">
        <w:t>.</w:t>
      </w:r>
    </w:p>
    <w:p w:rsidR="001F4F19" w:rsidRPr="00927302" w:rsidRDefault="001F4F19" w:rsidP="0044594F"/>
    <w:p w:rsidR="0044594F" w:rsidRPr="00927302" w:rsidRDefault="0044594F" w:rsidP="0044594F">
      <w:pPr>
        <w:keepNext/>
        <w:tabs>
          <w:tab w:val="left" w:pos="852"/>
        </w:tabs>
        <w:spacing w:after="120"/>
        <w:ind w:left="852" w:hanging="852"/>
        <w:rPr>
          <w:rFonts w:cs="Arial-BoldMT"/>
          <w:b/>
          <w:bCs/>
          <w:szCs w:val="23"/>
        </w:rPr>
      </w:pPr>
      <w:r w:rsidRPr="00927302">
        <w:rPr>
          <w:rFonts w:cs="Arial-BoldMT"/>
          <w:b/>
          <w:bCs/>
          <w:szCs w:val="23"/>
        </w:rPr>
        <w:t xml:space="preserve">6.18.7 </w:t>
      </w:r>
      <w:r w:rsidRPr="00927302">
        <w:rPr>
          <w:rFonts w:cs="Arial-BoldMT"/>
          <w:b/>
          <w:bCs/>
          <w:szCs w:val="23"/>
        </w:rPr>
        <w:tab/>
        <w:t>Recovery of charges for transmission use of system services</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(a)</w:t>
      </w:r>
      <w:r w:rsidRPr="00927302">
        <w:rPr>
          <w:rFonts w:cs="Arial-BoldMT"/>
          <w:szCs w:val="23"/>
        </w:rPr>
        <w:tab/>
        <w:t xml:space="preserve">A </w:t>
      </w:r>
      <w:r w:rsidRPr="00927302">
        <w:rPr>
          <w:rFonts w:cs="Arial-BoldMT"/>
          <w:i/>
          <w:iCs/>
          <w:szCs w:val="23"/>
        </w:rPr>
        <w:t xml:space="preserve">pricing proposal </w:t>
      </w:r>
      <w:r w:rsidRPr="00927302">
        <w:rPr>
          <w:rFonts w:cs="Arial-BoldMT"/>
          <w:szCs w:val="23"/>
        </w:rPr>
        <w:t xml:space="preserve">must provide for tariffs designed to pass on to customers the charges to be incurred by the </w:t>
      </w:r>
      <w:r w:rsidRPr="00927302">
        <w:rPr>
          <w:rFonts w:cs="Arial-BoldMT"/>
          <w:i/>
          <w:iCs/>
          <w:szCs w:val="23"/>
        </w:rPr>
        <w:t xml:space="preserve">Distribution Network Service Provider </w:t>
      </w:r>
      <w:r w:rsidRPr="00927302">
        <w:rPr>
          <w:rFonts w:cs="Arial-BoldMT"/>
          <w:szCs w:val="23"/>
        </w:rPr>
        <w:t xml:space="preserve">for </w:t>
      </w:r>
      <w:r w:rsidRPr="00927302">
        <w:rPr>
          <w:rFonts w:cs="Arial-BoldMT"/>
          <w:i/>
          <w:iCs/>
          <w:szCs w:val="23"/>
        </w:rPr>
        <w:t>transmission use of system services</w:t>
      </w:r>
      <w:r w:rsidRPr="00927302">
        <w:rPr>
          <w:rFonts w:cs="Arial-BoldMT"/>
          <w:szCs w:val="23"/>
        </w:rPr>
        <w:t>.</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(b)</w:t>
      </w:r>
      <w:r w:rsidRPr="00927302">
        <w:rPr>
          <w:rFonts w:cs="Arial-BoldMT"/>
          <w:szCs w:val="23"/>
        </w:rPr>
        <w:tab/>
        <w:t xml:space="preserve">The amount to be passed on to customers for a particular </w:t>
      </w:r>
      <w:r w:rsidRPr="00927302">
        <w:rPr>
          <w:rFonts w:cs="Arial-BoldMT"/>
          <w:i/>
          <w:iCs/>
          <w:szCs w:val="23"/>
        </w:rPr>
        <w:t xml:space="preserve">regulatory year </w:t>
      </w:r>
      <w:r w:rsidRPr="00927302">
        <w:rPr>
          <w:rFonts w:cs="Arial-BoldMT"/>
          <w:szCs w:val="23"/>
        </w:rPr>
        <w:t xml:space="preserve">must not exceed the estimated amount of the </w:t>
      </w:r>
      <w:r w:rsidRPr="00927302">
        <w:rPr>
          <w:rFonts w:cs="Arial-BoldMT"/>
          <w:i/>
          <w:iCs/>
          <w:szCs w:val="23"/>
        </w:rPr>
        <w:t xml:space="preserve">transmission use of system </w:t>
      </w:r>
      <w:r w:rsidRPr="00927302">
        <w:rPr>
          <w:rFonts w:cs="Arial-BoldMT"/>
          <w:szCs w:val="23"/>
        </w:rPr>
        <w:t xml:space="preserve">charges for the relevant </w:t>
      </w:r>
      <w:r w:rsidRPr="00927302">
        <w:rPr>
          <w:rFonts w:cs="Arial-BoldMT"/>
          <w:i/>
          <w:iCs/>
          <w:szCs w:val="23"/>
        </w:rPr>
        <w:t xml:space="preserve">regulatory year </w:t>
      </w:r>
      <w:r w:rsidRPr="00927302">
        <w:rPr>
          <w:rFonts w:cs="Arial-BoldMT"/>
          <w:szCs w:val="23"/>
        </w:rPr>
        <w:t xml:space="preserve">adjusted for over or under recovery in the previous </w:t>
      </w:r>
      <w:r w:rsidRPr="00927302">
        <w:rPr>
          <w:rFonts w:cs="Arial-BoldMT"/>
          <w:i/>
          <w:iCs/>
          <w:szCs w:val="23"/>
        </w:rPr>
        <w:t>regulatory year</w:t>
      </w:r>
      <w:r w:rsidRPr="00927302">
        <w:rPr>
          <w:rFonts w:cs="Arial-BoldMT"/>
          <w:szCs w:val="23"/>
        </w:rPr>
        <w:t>.</w:t>
      </w:r>
    </w:p>
    <w:p w:rsidR="0044594F" w:rsidRPr="00927302" w:rsidRDefault="0044594F" w:rsidP="0044594F">
      <w:pPr>
        <w:tabs>
          <w:tab w:val="left" w:pos="568"/>
        </w:tabs>
        <w:spacing w:after="120"/>
        <w:ind w:left="567" w:hanging="567"/>
        <w:rPr>
          <w:rFonts w:cs="Arial-BoldMT"/>
          <w:szCs w:val="23"/>
        </w:rPr>
      </w:pPr>
      <w:r w:rsidRPr="00927302">
        <w:rPr>
          <w:rFonts w:cs="Arial-BoldMT"/>
          <w:szCs w:val="23"/>
        </w:rPr>
        <w:t>(c)</w:t>
      </w:r>
      <w:r w:rsidRPr="00927302">
        <w:rPr>
          <w:rFonts w:cs="Arial-BoldMT"/>
          <w:szCs w:val="23"/>
        </w:rPr>
        <w:tab/>
        <w:t>The extent of the over or under recovery is the difference between:</w:t>
      </w:r>
    </w:p>
    <w:p w:rsidR="0044594F" w:rsidRPr="00927302" w:rsidRDefault="0044594F" w:rsidP="0044594F">
      <w:pPr>
        <w:tabs>
          <w:tab w:val="left" w:pos="1136"/>
        </w:tabs>
        <w:spacing w:after="120"/>
        <w:ind w:left="1136" w:hanging="568"/>
        <w:rPr>
          <w:rFonts w:cs="Arial-BoldMT"/>
          <w:szCs w:val="23"/>
        </w:rPr>
      </w:pPr>
      <w:r w:rsidRPr="00927302">
        <w:rPr>
          <w:rFonts w:cs="Arial-BoldMT"/>
          <w:szCs w:val="23"/>
        </w:rPr>
        <w:t>(1)</w:t>
      </w:r>
      <w:r w:rsidRPr="00927302">
        <w:rPr>
          <w:rFonts w:cs="Arial-BoldMT"/>
          <w:szCs w:val="23"/>
        </w:rPr>
        <w:tab/>
        <w:t xml:space="preserve">the amount actually paid by the </w:t>
      </w:r>
      <w:r w:rsidRPr="00927302">
        <w:rPr>
          <w:rFonts w:cs="Arial-BoldMT"/>
          <w:i/>
          <w:iCs/>
          <w:szCs w:val="23"/>
        </w:rPr>
        <w:t xml:space="preserve">Distribution Network Service Provider </w:t>
      </w:r>
      <w:r w:rsidRPr="00927302">
        <w:rPr>
          <w:rFonts w:cs="Arial-BoldMT"/>
          <w:szCs w:val="23"/>
        </w:rPr>
        <w:t xml:space="preserve">by way of </w:t>
      </w:r>
      <w:r w:rsidRPr="00927302">
        <w:rPr>
          <w:rFonts w:cs="Arial-BoldMT"/>
          <w:i/>
          <w:iCs/>
          <w:szCs w:val="23"/>
        </w:rPr>
        <w:t xml:space="preserve">transmission use of system </w:t>
      </w:r>
      <w:r w:rsidRPr="00927302">
        <w:rPr>
          <w:rFonts w:cs="Arial-BoldMT"/>
          <w:szCs w:val="23"/>
        </w:rPr>
        <w:t xml:space="preserve">charges in the previous </w:t>
      </w:r>
      <w:r w:rsidRPr="00927302">
        <w:rPr>
          <w:rFonts w:cs="Arial-BoldMT"/>
          <w:i/>
          <w:iCs/>
          <w:szCs w:val="23"/>
        </w:rPr>
        <w:t>regulatory year</w:t>
      </w:r>
      <w:r w:rsidRPr="00927302">
        <w:rPr>
          <w:rFonts w:cs="Arial-BoldMT"/>
          <w:szCs w:val="23"/>
        </w:rPr>
        <w:t>; and</w:t>
      </w:r>
    </w:p>
    <w:p w:rsidR="0044594F" w:rsidRDefault="0044594F" w:rsidP="0044594F">
      <w:pPr>
        <w:tabs>
          <w:tab w:val="left" w:pos="1136"/>
        </w:tabs>
        <w:ind w:left="1134" w:hanging="567"/>
        <w:rPr>
          <w:rFonts w:cs="Arial-BoldMT"/>
          <w:szCs w:val="23"/>
        </w:rPr>
      </w:pPr>
      <w:r w:rsidRPr="00927302">
        <w:rPr>
          <w:rFonts w:cs="Arial-BoldMT"/>
          <w:szCs w:val="23"/>
        </w:rPr>
        <w:t>(2)</w:t>
      </w:r>
      <w:r w:rsidRPr="00927302">
        <w:rPr>
          <w:rFonts w:cs="Arial-BoldMT"/>
          <w:szCs w:val="23"/>
        </w:rPr>
        <w:tab/>
        <w:t xml:space="preserve">the amount passed on to customers by way of </w:t>
      </w:r>
      <w:r w:rsidRPr="00927302">
        <w:rPr>
          <w:rFonts w:cs="Arial-BoldMT"/>
          <w:i/>
          <w:iCs/>
          <w:szCs w:val="23"/>
        </w:rPr>
        <w:t xml:space="preserve">transmission use of system </w:t>
      </w:r>
      <w:r w:rsidRPr="00927302">
        <w:rPr>
          <w:rFonts w:cs="Arial-BoldMT"/>
          <w:szCs w:val="23"/>
        </w:rPr>
        <w:t xml:space="preserve">charges by the </w:t>
      </w:r>
      <w:r w:rsidRPr="00927302">
        <w:rPr>
          <w:rFonts w:cs="Arial-BoldMT"/>
          <w:i/>
          <w:iCs/>
          <w:szCs w:val="23"/>
        </w:rPr>
        <w:t xml:space="preserve">Distribution Network Service Provider </w:t>
      </w:r>
      <w:r w:rsidRPr="00927302">
        <w:rPr>
          <w:rFonts w:cs="Arial-BoldMT"/>
          <w:szCs w:val="23"/>
        </w:rPr>
        <w:t xml:space="preserve">in the previous </w:t>
      </w:r>
      <w:r w:rsidRPr="00927302">
        <w:rPr>
          <w:rFonts w:cs="Arial-BoldMT"/>
          <w:i/>
          <w:iCs/>
          <w:szCs w:val="23"/>
        </w:rPr>
        <w:t>regulatory year</w:t>
      </w:r>
      <w:r w:rsidRPr="00927302">
        <w:rPr>
          <w:rFonts w:cs="Arial-BoldMT"/>
          <w:szCs w:val="23"/>
        </w:rPr>
        <w:t>.</w:t>
      </w:r>
    </w:p>
    <w:p w:rsidR="001F4F19" w:rsidRPr="00927302" w:rsidRDefault="001F4F19" w:rsidP="0044594F">
      <w:pPr>
        <w:tabs>
          <w:tab w:val="left" w:pos="1136"/>
        </w:tabs>
        <w:ind w:left="1134" w:hanging="567"/>
      </w:pPr>
    </w:p>
    <w:p w:rsidR="0044594F" w:rsidRPr="00673D52" w:rsidRDefault="0044594F" w:rsidP="009A26B4">
      <w:pPr>
        <w:pStyle w:val="Heading3"/>
      </w:pPr>
      <w:bookmarkStart w:id="173" w:name="_Ref323559261"/>
      <w:r w:rsidRPr="00673D52">
        <w:t>Requirements of the AER’s Decision</w:t>
      </w:r>
      <w:bookmarkEnd w:id="173"/>
    </w:p>
    <w:p w:rsidR="0044594F" w:rsidRPr="00927302" w:rsidRDefault="0044594F" w:rsidP="0044594F">
      <w:pPr>
        <w:keepNext/>
        <w:spacing w:after="120"/>
      </w:pPr>
      <w:r w:rsidRPr="00927302">
        <w:t xml:space="preserve">The AER </w:t>
      </w:r>
      <w:r w:rsidR="0069779A">
        <w:t>requires</w:t>
      </w:r>
      <w:r w:rsidRPr="00927302">
        <w:t xml:space="preserve"> </w:t>
      </w:r>
      <w:r w:rsidR="00EA36E3">
        <w:t>SA Power Networks</w:t>
      </w:r>
      <w:r w:rsidRPr="00927302">
        <w:t xml:space="preserve"> as part of its Pricing Proposal to provide the amounts for the following entries in its TUoS unders and overs account for the most recently completed regulatory year, the current regulatory year and the next regulatory year</w:t>
      </w:r>
      <w:r>
        <w:rPr>
          <w:rStyle w:val="FootnoteReference"/>
        </w:rPr>
        <w:footnoteReference w:id="15"/>
      </w:r>
      <w:r w:rsidRPr="00927302">
        <w:t>:</w:t>
      </w:r>
    </w:p>
    <w:p w:rsidR="0044594F" w:rsidRPr="00927302" w:rsidRDefault="0044594F" w:rsidP="0044594F">
      <w:pPr>
        <w:pStyle w:val="ListParagraph"/>
        <w:numPr>
          <w:ilvl w:val="0"/>
          <w:numId w:val="28"/>
        </w:numPr>
        <w:tabs>
          <w:tab w:val="left" w:pos="852"/>
        </w:tabs>
        <w:spacing w:after="120" w:line="240" w:lineRule="auto"/>
        <w:ind w:left="852" w:hanging="426"/>
        <w:contextualSpacing w:val="0"/>
      </w:pPr>
      <w:r>
        <w:t>O</w:t>
      </w:r>
      <w:r w:rsidRPr="00927302">
        <w:t>pening balance for each year</w:t>
      </w:r>
      <w:r>
        <w:t>.</w:t>
      </w:r>
    </w:p>
    <w:p w:rsidR="0044594F" w:rsidRPr="00927302" w:rsidRDefault="0044594F" w:rsidP="0044594F">
      <w:pPr>
        <w:pStyle w:val="ListParagraph"/>
        <w:numPr>
          <w:ilvl w:val="0"/>
          <w:numId w:val="28"/>
        </w:numPr>
        <w:tabs>
          <w:tab w:val="left" w:pos="852"/>
        </w:tabs>
        <w:spacing w:after="120" w:line="240" w:lineRule="auto"/>
        <w:ind w:left="852" w:hanging="426"/>
        <w:contextualSpacing w:val="0"/>
      </w:pPr>
      <w:r>
        <w:t>I</w:t>
      </w:r>
      <w:r w:rsidRPr="00927302">
        <w:t>nterest accrued on the opening balance for each year, calculated at the rate of the post–tax nominal rate of return as approved by the AER in its distribution determination</w:t>
      </w:r>
      <w:r>
        <w:t>.</w:t>
      </w:r>
    </w:p>
    <w:p w:rsidR="0044594F" w:rsidRPr="00927302" w:rsidRDefault="0044594F" w:rsidP="0044594F">
      <w:pPr>
        <w:pStyle w:val="ListParagraph"/>
        <w:numPr>
          <w:ilvl w:val="0"/>
          <w:numId w:val="28"/>
        </w:numPr>
        <w:tabs>
          <w:tab w:val="left" w:pos="852"/>
        </w:tabs>
        <w:spacing w:after="120" w:line="240" w:lineRule="auto"/>
        <w:ind w:left="852" w:hanging="426"/>
        <w:contextualSpacing w:val="0"/>
      </w:pPr>
      <w:r>
        <w:t>T</w:t>
      </w:r>
      <w:r w:rsidRPr="00927302">
        <w:t>he amount of revenue recovered from TUOS charges applied in respect of that year, less the amounts of all transmission related payments made by the DNSP in respect of that year</w:t>
      </w:r>
      <w:r>
        <w:t>.</w:t>
      </w:r>
    </w:p>
    <w:p w:rsidR="0044594F" w:rsidRPr="00927302" w:rsidRDefault="0044594F" w:rsidP="0044594F">
      <w:pPr>
        <w:pStyle w:val="ListParagraph"/>
        <w:numPr>
          <w:ilvl w:val="0"/>
          <w:numId w:val="28"/>
        </w:numPr>
        <w:tabs>
          <w:tab w:val="left" w:pos="852"/>
        </w:tabs>
        <w:spacing w:after="120" w:line="240" w:lineRule="auto"/>
        <w:ind w:left="852" w:hanging="426"/>
        <w:contextualSpacing w:val="0"/>
      </w:pPr>
      <w:r>
        <w:t>S</w:t>
      </w:r>
      <w:r w:rsidRPr="00927302">
        <w:t>ix months interest on the net amount in item 3, accrued at the approved post–tax nominal rate of return</w:t>
      </w:r>
      <w:r>
        <w:t>.</w:t>
      </w:r>
    </w:p>
    <w:p w:rsidR="0044594F" w:rsidRPr="00927302" w:rsidRDefault="0044594F" w:rsidP="0044594F">
      <w:pPr>
        <w:pStyle w:val="ListParagraph"/>
        <w:numPr>
          <w:ilvl w:val="0"/>
          <w:numId w:val="28"/>
        </w:numPr>
        <w:tabs>
          <w:tab w:val="left" w:pos="852"/>
        </w:tabs>
        <w:spacing w:after="240" w:line="240" w:lineRule="auto"/>
        <w:ind w:left="852" w:hanging="426"/>
        <w:contextualSpacing w:val="0"/>
      </w:pPr>
      <w:r>
        <w:t>S</w:t>
      </w:r>
      <w:r w:rsidRPr="00927302">
        <w:t>ummation of the above amounts to derive the closing balance for each year.</w:t>
      </w:r>
    </w:p>
    <w:p w:rsidR="0044594F" w:rsidRDefault="0044594F" w:rsidP="0044594F">
      <w:r w:rsidRPr="009E3CA8">
        <w:t xml:space="preserve">In the </w:t>
      </w:r>
      <w:r w:rsidR="00477C39">
        <w:t>Preliminary Decision</w:t>
      </w:r>
      <w:r w:rsidRPr="009E3CA8">
        <w:t xml:space="preserve">, the AER </w:t>
      </w:r>
      <w:r w:rsidR="0069779A">
        <w:t>reiterated (in Attachment 14 B)</w:t>
      </w:r>
      <w:r w:rsidRPr="009E3CA8">
        <w:t xml:space="preserve"> the requirement for </w:t>
      </w:r>
      <w:r w:rsidR="00EA36E3">
        <w:t>SA Power Networks</w:t>
      </w:r>
      <w:r w:rsidRPr="009E3CA8">
        <w:t xml:space="preserve"> to maintain a TUoS unders and overs account in a specific format.  The AER also requires </w:t>
      </w:r>
      <w:r w:rsidR="00EA36E3">
        <w:t>SA Power Networks</w:t>
      </w:r>
      <w:r w:rsidRPr="009E3CA8">
        <w:t xml:space="preserve"> to target a zero expected balance on its TUoS unders and overs account in each </w:t>
      </w:r>
      <w:r w:rsidR="0069779A">
        <w:t>Pricing Proposal</w:t>
      </w:r>
      <w:r w:rsidRPr="009E3CA8">
        <w:t>.</w:t>
      </w:r>
      <w:r w:rsidRPr="00927302">
        <w:t xml:space="preserve">  </w:t>
      </w:r>
    </w:p>
    <w:p w:rsidR="001F4F19" w:rsidRPr="00927302" w:rsidRDefault="001F4F19" w:rsidP="0044594F"/>
    <w:p w:rsidR="0044594F" w:rsidRPr="00927302" w:rsidRDefault="0044594F" w:rsidP="0044594F">
      <w:pPr>
        <w:pStyle w:val="Heading2"/>
        <w:keepLines w:val="0"/>
        <w:numPr>
          <w:ilvl w:val="1"/>
          <w:numId w:val="16"/>
        </w:numPr>
        <w:tabs>
          <w:tab w:val="left" w:pos="851"/>
        </w:tabs>
        <w:spacing w:after="240" w:line="240" w:lineRule="auto"/>
      </w:pPr>
      <w:bookmarkStart w:id="174" w:name="_Toc420009871"/>
      <w:r w:rsidRPr="00927302">
        <w:t>Transmission cost recovery tariff methodology</w:t>
      </w:r>
      <w:bookmarkEnd w:id="174"/>
    </w:p>
    <w:p w:rsidR="0044594F" w:rsidRPr="00927302" w:rsidRDefault="0044594F" w:rsidP="0044594F">
      <w:pPr>
        <w:keepNext/>
        <w:spacing w:after="120"/>
      </w:pPr>
      <w:r w:rsidRPr="00927302">
        <w:t xml:space="preserve">The key principles of </w:t>
      </w:r>
      <w:r w:rsidR="00EA36E3">
        <w:t>SA Power Networks</w:t>
      </w:r>
      <w:r w:rsidRPr="00927302">
        <w:t>’ transmission cost recovery tariff (TCR) methodology are:</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 xml:space="preserve">The total TUoS allocated to network tariffs aligns with the total estimated transmission charge to be paid by </w:t>
      </w:r>
      <w:r w:rsidR="00EA36E3">
        <w:t>SA Power Networks</w:t>
      </w:r>
      <w:r w:rsidRPr="00927302">
        <w:t>, adjusted for any overs and unders account balance;</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To the extent possible given the constraints of metering and tariff structures, transmission charges are allocated to network tariffs in a manner that reflects the cost drivers present in transmission pricing;</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 xml:space="preserve">Customers with a demand of 10 MW or consumption in excess of 40 GWh have individually calculated tariffs with transmission charges allocated in a manner that preserves the location and time signals of transmission pricing in accordance with the principles in Part J of </w:t>
      </w:r>
      <w:r w:rsidR="000B7F94">
        <w:t>C</w:t>
      </w:r>
      <w:r w:rsidRPr="00927302">
        <w:t>hapter 6A of the Rules; and</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Network tariffs for smaller customer classes have transmission charges allocated on an energy basis, as location signals cannot be preserved.</w:t>
      </w:r>
      <w:r w:rsidR="0069779A">
        <w:t xml:space="preserve">  Small customers are assumed to have a load factor better suited to using ElectraNet’s Non-locational energy prices than the capacity-based price.  Large business cost-reflective tariffs have costs allocated on a capacity basis, but is then priced partly as demand and partly as energy.  This ensures a reasonable outcome across the large business tariff classes that do not receive an individually calculated transmission price.</w:t>
      </w:r>
    </w:p>
    <w:p w:rsidR="0044594F" w:rsidRPr="00927302" w:rsidRDefault="0044594F" w:rsidP="009A26B4">
      <w:pPr>
        <w:pStyle w:val="Heading3"/>
      </w:pPr>
      <w:r w:rsidRPr="00927302">
        <w:t>Avoided TUoS payments</w:t>
      </w:r>
    </w:p>
    <w:p w:rsidR="0044594F" w:rsidRDefault="0044594F" w:rsidP="0044594F">
      <w:r w:rsidRPr="00927302">
        <w:t xml:space="preserve">With respect to avoided TUoS for embedded generators, </w:t>
      </w:r>
      <w:r w:rsidR="00EA36E3">
        <w:t>SA Power Networks</w:t>
      </w:r>
      <w:r w:rsidRPr="00927302">
        <w:t xml:space="preserve"> calculates the avoided TUoS for all embedded generators that export to its distribution network at the same rates for the locational component which would be applied to a load of similar size at the same connection point.  </w:t>
      </w:r>
      <w:r w:rsidR="00CD3873">
        <w:t>These calculations are prepared on a with/without basis.</w:t>
      </w:r>
    </w:p>
    <w:p w:rsidR="001F4F19" w:rsidRPr="00927302" w:rsidRDefault="001F4F19" w:rsidP="0044594F"/>
    <w:p w:rsidR="0044594F" w:rsidRDefault="0044594F" w:rsidP="0044594F">
      <w:r w:rsidRPr="00927302">
        <w:t xml:space="preserve">This payment of avoided TUoS charges to embedded generators is as required under clauses 5.5(h), 5.5(i) and 5.5(j) of the Rules.  These avoided TUoS payments to embedded generators </w:t>
      </w:r>
      <w:r w:rsidR="00CD3873">
        <w:t>would be</w:t>
      </w:r>
      <w:r w:rsidRPr="00927302">
        <w:t xml:space="preserve"> recouped through the recovery mechanism for the TUoS charges.</w:t>
      </w:r>
    </w:p>
    <w:p w:rsidR="00CD3873" w:rsidRDefault="00CD3873" w:rsidP="0044594F"/>
    <w:p w:rsidR="00CD3873" w:rsidRDefault="00EA36E3" w:rsidP="0044594F">
      <w:r>
        <w:t>SA Power Networks</w:t>
      </w:r>
      <w:r w:rsidR="00CD3873">
        <w:t xml:space="preserve"> </w:t>
      </w:r>
      <w:r w:rsidR="0069779A">
        <w:t>proposes to make payments in 2015/16 to the Adelaide-based land-fill gas generators and to the Bordertown generator, but only to the extent that these generators are providing network support or have historically reliable generation</w:t>
      </w:r>
      <w:r w:rsidR="00CD3873">
        <w:t>.</w:t>
      </w:r>
      <w:r w:rsidR="0069779A">
        <w:t xml:space="preserve">  These payments will be at the T</w:t>
      </w:r>
      <w:r w:rsidR="00837F49">
        <w:t>UoS</w:t>
      </w:r>
      <w:r w:rsidR="0069779A">
        <w:t xml:space="preserve"> locational price for the level of reliable generation.</w:t>
      </w:r>
    </w:p>
    <w:p w:rsidR="001F4F19" w:rsidRPr="00927302" w:rsidRDefault="001F4F19" w:rsidP="0044594F"/>
    <w:p w:rsidR="0044594F" w:rsidRPr="00927302" w:rsidRDefault="0044594F" w:rsidP="0044594F">
      <w:pPr>
        <w:pStyle w:val="Heading2"/>
        <w:keepLines w:val="0"/>
        <w:numPr>
          <w:ilvl w:val="1"/>
          <w:numId w:val="16"/>
        </w:numPr>
        <w:tabs>
          <w:tab w:val="left" w:pos="851"/>
        </w:tabs>
        <w:spacing w:after="240" w:line="240" w:lineRule="auto"/>
      </w:pPr>
      <w:bookmarkStart w:id="175" w:name="_Toc420009872"/>
      <w:r w:rsidRPr="00927302">
        <w:t>Transmission use of system overs and unders account balance</w:t>
      </w:r>
      <w:bookmarkEnd w:id="175"/>
    </w:p>
    <w:p w:rsidR="0044594F" w:rsidRDefault="0044594F" w:rsidP="0044594F">
      <w:r w:rsidRPr="00927302">
        <w:t xml:space="preserve">In accordance with </w:t>
      </w:r>
      <w:r w:rsidR="0069779A" w:rsidRPr="00174B51">
        <w:t>Attachment 14 B</w:t>
      </w:r>
      <w:r w:rsidRPr="00174B51">
        <w:t xml:space="preserve"> of the 201</w:t>
      </w:r>
      <w:r w:rsidR="0069779A" w:rsidRPr="00174B51">
        <w:t>5-20</w:t>
      </w:r>
      <w:r w:rsidRPr="00174B51">
        <w:t xml:space="preserve"> </w:t>
      </w:r>
      <w:r w:rsidR="00477C39">
        <w:t>Preliminary Decision</w:t>
      </w:r>
      <w:r w:rsidR="00837F49">
        <w:t>,</w:t>
      </w:r>
      <w:r w:rsidRPr="00174B51">
        <w:t xml:space="preserve"> </w:t>
      </w:r>
      <w:r w:rsidR="00924A8F">
        <w:fldChar w:fldCharType="begin"/>
      </w:r>
      <w:r w:rsidR="00924A8F">
        <w:instrText xml:space="preserve"> REF _Ref132080993 \h  \* MERGEFORMAT </w:instrText>
      </w:r>
      <w:r w:rsidR="00924A8F">
        <w:fldChar w:fldCharType="separate"/>
      </w:r>
      <w:r w:rsidR="00A81AFE" w:rsidRPr="00C416F5">
        <w:t xml:space="preserve">Table </w:t>
      </w:r>
      <w:r w:rsidR="00A81AFE">
        <w:rPr>
          <w:noProof/>
        </w:rPr>
        <w:t>49</w:t>
      </w:r>
      <w:r w:rsidR="00924A8F">
        <w:fldChar w:fldCharType="end"/>
      </w:r>
      <w:r w:rsidRPr="00174B51">
        <w:t xml:space="preserve"> provides the forecast </w:t>
      </w:r>
      <w:r w:rsidR="00174B51" w:rsidRPr="00174B51">
        <w:t>30 June 2016</w:t>
      </w:r>
      <w:r w:rsidRPr="00174B51">
        <w:t xml:space="preserve"> balance of </w:t>
      </w:r>
      <w:r w:rsidR="00EA36E3">
        <w:t>SA Power Networks</w:t>
      </w:r>
      <w:r w:rsidRPr="00927302">
        <w:t xml:space="preserve">’ transmission use of system overs and </w:t>
      </w:r>
      <w:r w:rsidRPr="00C416F5">
        <w:t>unders amounts.</w:t>
      </w:r>
      <w:r w:rsidR="00174B51">
        <w:t xml:space="preserve">  It is close to zero.</w:t>
      </w:r>
    </w:p>
    <w:p w:rsidR="001F4F19" w:rsidRPr="00C416F5" w:rsidRDefault="001F4F19" w:rsidP="0044594F"/>
    <w:p w:rsidR="0044594F" w:rsidRPr="00C416F5" w:rsidRDefault="0044594F" w:rsidP="0044594F">
      <w:pPr>
        <w:pStyle w:val="Caption"/>
        <w:keepNext/>
      </w:pPr>
      <w:bookmarkStart w:id="176" w:name="_Ref132080993"/>
      <w:r w:rsidRPr="00C416F5">
        <w:t xml:space="preserve">Table </w:t>
      </w:r>
      <w:r w:rsidR="00924A8F">
        <w:fldChar w:fldCharType="begin"/>
      </w:r>
      <w:r w:rsidR="00924A8F">
        <w:instrText xml:space="preserve"> SEQ Table \* ARABIC </w:instrText>
      </w:r>
      <w:r w:rsidR="00924A8F">
        <w:fldChar w:fldCharType="separate"/>
      </w:r>
      <w:r w:rsidR="00A81AFE">
        <w:rPr>
          <w:noProof/>
        </w:rPr>
        <w:t>49</w:t>
      </w:r>
      <w:r w:rsidR="00924A8F">
        <w:rPr>
          <w:noProof/>
        </w:rPr>
        <w:fldChar w:fldCharType="end"/>
      </w:r>
      <w:bookmarkEnd w:id="176"/>
      <w:r w:rsidRPr="00C416F5">
        <w:t xml:space="preserve"> - Transmission overs and unders account balance ($’000)</w:t>
      </w:r>
    </w:p>
    <w:p w:rsidR="00A570AF" w:rsidRDefault="00B62555" w:rsidP="0044594F">
      <w:r w:rsidRPr="00B62555">
        <w:rPr>
          <w:noProof/>
          <w:lang w:val="en-US"/>
        </w:rPr>
        <w:drawing>
          <wp:inline distT="0" distB="0" distL="0" distR="0">
            <wp:extent cx="5702300" cy="3096895"/>
            <wp:effectExtent l="1905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srcRect/>
                    <a:stretch>
                      <a:fillRect/>
                    </a:stretch>
                  </pic:blipFill>
                  <pic:spPr bwMode="auto">
                    <a:xfrm>
                      <a:off x="0" y="0"/>
                      <a:ext cx="5702300" cy="3096895"/>
                    </a:xfrm>
                    <a:prstGeom prst="rect">
                      <a:avLst/>
                    </a:prstGeom>
                    <a:noFill/>
                    <a:ln w="9525">
                      <a:noFill/>
                      <a:miter lim="800000"/>
                      <a:headEnd/>
                      <a:tailEnd/>
                    </a:ln>
                  </pic:spPr>
                </pic:pic>
              </a:graphicData>
            </a:graphic>
          </wp:inline>
        </w:drawing>
      </w:r>
    </w:p>
    <w:p w:rsidR="0044594F" w:rsidRDefault="00A570AF" w:rsidP="0044594F">
      <w:r>
        <w:t>Note that as a result of reducing the number of significant figures used in pricing, the June 201</w:t>
      </w:r>
      <w:r w:rsidR="00174B51">
        <w:t>6</w:t>
      </w:r>
      <w:r>
        <w:t xml:space="preserve"> closing balance cannot be predicted at $0.  However, a forecast closing balance of minus</w:t>
      </w:r>
      <w:r w:rsidR="00DB7038">
        <w:t xml:space="preserve"> </w:t>
      </w:r>
      <w:r>
        <w:t>$0.</w:t>
      </w:r>
      <w:r w:rsidR="00B62555">
        <w:t>583</w:t>
      </w:r>
      <w:r>
        <w:t xml:space="preserve"> M compared to </w:t>
      </w:r>
      <w:r w:rsidR="00D40EDD">
        <w:t>forecast annual recovery of $26</w:t>
      </w:r>
      <w:r w:rsidR="00B62555">
        <w:t>2</w:t>
      </w:r>
      <w:r>
        <w:t>.</w:t>
      </w:r>
      <w:r w:rsidR="00B62555">
        <w:t>925</w:t>
      </w:r>
      <w:r>
        <w:t> M is effectively a zero balance.</w:t>
      </w:r>
    </w:p>
    <w:p w:rsidR="001F4F19" w:rsidRPr="00927302" w:rsidRDefault="001F4F19" w:rsidP="0044594F"/>
    <w:p w:rsidR="0044594F" w:rsidRPr="00927302" w:rsidRDefault="0044594F" w:rsidP="0044594F">
      <w:pPr>
        <w:pStyle w:val="Heading2"/>
        <w:keepLines w:val="0"/>
        <w:numPr>
          <w:ilvl w:val="1"/>
          <w:numId w:val="16"/>
        </w:numPr>
        <w:tabs>
          <w:tab w:val="left" w:pos="851"/>
        </w:tabs>
        <w:spacing w:after="240" w:line="240" w:lineRule="auto"/>
      </w:pPr>
      <w:bookmarkStart w:id="177" w:name="_Toc420009873"/>
      <w:r w:rsidRPr="00927302">
        <w:t>Charging parameters for transmission recovery tariffs</w:t>
      </w:r>
      <w:bookmarkEnd w:id="177"/>
    </w:p>
    <w:p w:rsidR="0044594F" w:rsidRDefault="00EA36E3" w:rsidP="0044594F">
      <w:pPr>
        <w:keepNext/>
      </w:pPr>
      <w:r>
        <w:t>SA Power Networks</w:t>
      </w:r>
      <w:r w:rsidR="0044594F" w:rsidRPr="00927302">
        <w:t xml:space="preserve">’ transmission recovery tariffs are included in the bundled NUoS Rates of customer tariffs.  The charging parameters associated with transmission cost recovery tariffs are shown in </w:t>
      </w:r>
      <w:r w:rsidR="000B7F94">
        <w:t>Section</w:t>
      </w:r>
      <w:r w:rsidR="0044594F" w:rsidRPr="00927302">
        <w:t xml:space="preserve">s </w:t>
      </w:r>
      <w:r w:rsidR="00575C9A">
        <w:fldChar w:fldCharType="begin"/>
      </w:r>
      <w:r w:rsidR="0044594F">
        <w:instrText xml:space="preserve"> REF _Ref134004736 \r \h </w:instrText>
      </w:r>
      <w:r w:rsidR="00575C9A">
        <w:fldChar w:fldCharType="separate"/>
      </w:r>
      <w:r w:rsidR="00A81AFE">
        <w:t>4.3</w:t>
      </w:r>
      <w:r w:rsidR="00575C9A">
        <w:fldChar w:fldCharType="end"/>
      </w:r>
      <w:r w:rsidR="0044594F" w:rsidRPr="00E51E67">
        <w:t xml:space="preserve"> </w:t>
      </w:r>
      <w:r w:rsidR="0044594F" w:rsidRPr="00927302">
        <w:t xml:space="preserve">to </w:t>
      </w:r>
      <w:r w:rsidR="00575C9A">
        <w:fldChar w:fldCharType="begin"/>
      </w:r>
      <w:r w:rsidR="0044594F">
        <w:instrText xml:space="preserve"> REF _Ref134004747 \r \h </w:instrText>
      </w:r>
      <w:r w:rsidR="00575C9A">
        <w:fldChar w:fldCharType="separate"/>
      </w:r>
      <w:r w:rsidR="00A81AFE">
        <w:t>4.6</w:t>
      </w:r>
      <w:r w:rsidR="00575C9A">
        <w:fldChar w:fldCharType="end"/>
      </w:r>
      <w:r w:rsidR="0044594F" w:rsidRPr="00927302">
        <w:t xml:space="preserve">, in </w:t>
      </w:r>
      <w:r w:rsidR="00575C9A">
        <w:fldChar w:fldCharType="begin"/>
      </w:r>
      <w:r w:rsidR="0044594F">
        <w:instrText xml:space="preserve"> REF _Ref133813903 \h </w:instrText>
      </w:r>
      <w:r w:rsidR="00575C9A">
        <w:fldChar w:fldCharType="separate"/>
      </w:r>
      <w:r w:rsidR="00A81AFE" w:rsidRPr="00927302">
        <w:t xml:space="preserve">Table </w:t>
      </w:r>
      <w:r w:rsidR="00A81AFE">
        <w:rPr>
          <w:noProof/>
        </w:rPr>
        <w:t>5</w:t>
      </w:r>
      <w:r w:rsidR="00575C9A">
        <w:fldChar w:fldCharType="end"/>
      </w:r>
      <w:r w:rsidR="0044594F" w:rsidRPr="00E51E67">
        <w:t xml:space="preserve"> </w:t>
      </w:r>
      <w:r w:rsidR="0044594F" w:rsidRPr="00927302">
        <w:t xml:space="preserve">through to </w:t>
      </w:r>
      <w:r w:rsidR="00575C9A">
        <w:fldChar w:fldCharType="begin"/>
      </w:r>
      <w:r w:rsidR="0044594F">
        <w:instrText xml:space="preserve"> REF _Ref133817868 \h </w:instrText>
      </w:r>
      <w:r w:rsidR="00575C9A">
        <w:fldChar w:fldCharType="separate"/>
      </w:r>
      <w:r w:rsidR="00A81AFE" w:rsidRPr="00927302">
        <w:t xml:space="preserve">Table </w:t>
      </w:r>
      <w:r w:rsidR="00A81AFE">
        <w:rPr>
          <w:noProof/>
        </w:rPr>
        <w:t>18</w:t>
      </w:r>
      <w:r w:rsidR="00575C9A">
        <w:fldChar w:fldCharType="end"/>
      </w:r>
      <w:r w:rsidR="0044594F" w:rsidRPr="00927302">
        <w:t xml:space="preserve">.  For customers with a demand greater than 10 MW or consumption in excess of 40 MWh the transmission cost recovery tariff is location specific; for </w:t>
      </w:r>
      <w:r w:rsidR="0044594F">
        <w:t xml:space="preserve">all other customers including </w:t>
      </w:r>
      <w:r w:rsidR="0044594F" w:rsidRPr="00927302">
        <w:t>small customers it is averaged.</w:t>
      </w:r>
    </w:p>
    <w:p w:rsidR="001F4F19" w:rsidRPr="00927302" w:rsidRDefault="001F4F19" w:rsidP="0044594F">
      <w:pPr>
        <w:keepNext/>
      </w:pPr>
    </w:p>
    <w:p w:rsidR="0044594F" w:rsidRDefault="0044594F" w:rsidP="0044594F">
      <w:r w:rsidRPr="00927302">
        <w:t>Transmission co</w:t>
      </w:r>
      <w:r w:rsidRPr="00D37042">
        <w:t>st recovery amounts are billed at the same frequency as the relevant tariff for standard control services.</w:t>
      </w:r>
    </w:p>
    <w:p w:rsidR="00A570AF" w:rsidRPr="00D37042" w:rsidRDefault="00A570AF" w:rsidP="0044594F"/>
    <w:p w:rsidR="0044594F" w:rsidRPr="00D37042" w:rsidRDefault="0044594F" w:rsidP="0044594F">
      <w:pPr>
        <w:pStyle w:val="Heading2"/>
        <w:keepLines w:val="0"/>
        <w:numPr>
          <w:ilvl w:val="1"/>
          <w:numId w:val="16"/>
        </w:numPr>
        <w:tabs>
          <w:tab w:val="left" w:pos="851"/>
        </w:tabs>
        <w:spacing w:after="240" w:line="240" w:lineRule="auto"/>
      </w:pPr>
      <w:bookmarkStart w:id="178" w:name="_Toc420009874"/>
      <w:r w:rsidRPr="00D37042">
        <w:t xml:space="preserve">Transmission recovery tariffs for </w:t>
      </w:r>
      <w:r w:rsidR="00AF223A">
        <w:t>2015/16</w:t>
      </w:r>
      <w:bookmarkEnd w:id="178"/>
    </w:p>
    <w:p w:rsidR="0044594F" w:rsidRPr="00B467D9" w:rsidRDefault="00EA36E3" w:rsidP="0044594F">
      <w:pPr>
        <w:keepNext/>
        <w:spacing w:after="120"/>
      </w:pPr>
      <w:r>
        <w:t>SA Power Networks</w:t>
      </w:r>
      <w:r w:rsidR="0044594F" w:rsidRPr="00D37042">
        <w:t xml:space="preserve">’ </w:t>
      </w:r>
      <w:r w:rsidR="00AF223A">
        <w:t>2015/16</w:t>
      </w:r>
      <w:r w:rsidR="0044594F">
        <w:t xml:space="preserve"> </w:t>
      </w:r>
      <w:r w:rsidR="0044594F" w:rsidRPr="00B467D9">
        <w:t xml:space="preserve">recovery through transmission tariffs is forecast to </w:t>
      </w:r>
      <w:r w:rsidR="00A570AF">
        <w:t>in</w:t>
      </w:r>
      <w:r w:rsidR="0044594F" w:rsidRPr="00B467D9">
        <w:t xml:space="preserve">crease from </w:t>
      </w:r>
      <w:r w:rsidR="0044594F">
        <w:t xml:space="preserve">an estimated </w:t>
      </w:r>
      <w:r w:rsidR="0044594F" w:rsidRPr="00B467D9">
        <w:t>$</w:t>
      </w:r>
      <w:r w:rsidR="0044594F">
        <w:t>2</w:t>
      </w:r>
      <w:r w:rsidR="00A570AF">
        <w:t>6</w:t>
      </w:r>
      <w:r w:rsidR="00174B51">
        <w:t>0</w:t>
      </w:r>
      <w:r w:rsidR="0044594F" w:rsidRPr="00B467D9">
        <w:t> M</w:t>
      </w:r>
      <w:r w:rsidR="0044594F">
        <w:t xml:space="preserve"> in </w:t>
      </w:r>
      <w:r w:rsidR="00CB5ADF">
        <w:t>2014/15</w:t>
      </w:r>
      <w:r w:rsidR="00AF223A">
        <w:t xml:space="preserve"> to $</w:t>
      </w:r>
      <w:r w:rsidR="00174B51">
        <w:t>263 </w:t>
      </w:r>
      <w:r w:rsidR="00AF223A">
        <w:t>M in 2015/16</w:t>
      </w:r>
      <w:r w:rsidR="0044594F" w:rsidRPr="00B467D9">
        <w:t xml:space="preserve">.  This is a </w:t>
      </w:r>
      <w:r w:rsidR="00174B51" w:rsidRPr="00174B51">
        <w:t>1.</w:t>
      </w:r>
      <w:r w:rsidR="00D40EDD" w:rsidRPr="00174B51">
        <w:t>2</w:t>
      </w:r>
      <w:r w:rsidR="00791CED" w:rsidRPr="00174B51">
        <w:t xml:space="preserve">% </w:t>
      </w:r>
      <w:r w:rsidR="00A570AF" w:rsidRPr="00174B51">
        <w:t>in</w:t>
      </w:r>
      <w:r w:rsidR="0044594F" w:rsidRPr="00174B51">
        <w:t>crease</w:t>
      </w:r>
      <w:r w:rsidR="0044594F" w:rsidRPr="00B467D9">
        <w:t xml:space="preserve">, </w:t>
      </w:r>
      <w:r w:rsidR="0044594F">
        <w:t>which</w:t>
      </w:r>
      <w:r w:rsidR="0044594F" w:rsidRPr="00B467D9">
        <w:t xml:space="preserve"> </w:t>
      </w:r>
      <w:r w:rsidR="0044594F">
        <w:t>arises for the following</w:t>
      </w:r>
      <w:r w:rsidR="0044594F" w:rsidRPr="00B467D9">
        <w:t xml:space="preserve"> reasons:</w:t>
      </w:r>
    </w:p>
    <w:p w:rsidR="00174B51" w:rsidRPr="00174B51" w:rsidRDefault="0044594F" w:rsidP="0044594F">
      <w:pPr>
        <w:pStyle w:val="ListParagraph"/>
        <w:numPr>
          <w:ilvl w:val="0"/>
          <w:numId w:val="22"/>
        </w:numPr>
        <w:tabs>
          <w:tab w:val="left" w:pos="851"/>
        </w:tabs>
        <w:spacing w:after="120" w:line="240" w:lineRule="auto"/>
        <w:ind w:left="850" w:hanging="425"/>
        <w:contextualSpacing w:val="0"/>
      </w:pPr>
      <w:r w:rsidRPr="00174B51">
        <w:t xml:space="preserve">The </w:t>
      </w:r>
      <w:r w:rsidR="00791CED" w:rsidRPr="00174B51">
        <w:t>forecast</w:t>
      </w:r>
      <w:r w:rsidRPr="00174B51">
        <w:t xml:space="preserve"> </w:t>
      </w:r>
      <w:r w:rsidR="00174B51" w:rsidRPr="00174B51">
        <w:t>$7 M</w:t>
      </w:r>
      <w:r w:rsidRPr="00174B51">
        <w:t xml:space="preserve"> </w:t>
      </w:r>
      <w:r w:rsidR="00791CED" w:rsidRPr="00174B51">
        <w:t>de</w:t>
      </w:r>
      <w:r w:rsidRPr="00174B51">
        <w:t xml:space="preserve">crease in annual ElectraNet </w:t>
      </w:r>
      <w:r w:rsidR="00174B51" w:rsidRPr="00174B51">
        <w:t>charges.  These result from either;</w:t>
      </w:r>
    </w:p>
    <w:p w:rsidR="00174B51" w:rsidRPr="00174B51" w:rsidRDefault="00174B51" w:rsidP="00174B51">
      <w:pPr>
        <w:pStyle w:val="ListParagraph"/>
        <w:numPr>
          <w:ilvl w:val="1"/>
          <w:numId w:val="22"/>
        </w:numPr>
        <w:tabs>
          <w:tab w:val="left" w:pos="851"/>
        </w:tabs>
        <w:spacing w:after="120" w:line="240" w:lineRule="auto"/>
        <w:contextualSpacing w:val="0"/>
      </w:pPr>
      <w:r w:rsidRPr="00174B51">
        <w:t xml:space="preserve">Different revenues </w:t>
      </w:r>
      <w:r w:rsidR="0044594F" w:rsidRPr="00174B51">
        <w:t xml:space="preserve"> under their 20</w:t>
      </w:r>
      <w:r w:rsidR="00791CED" w:rsidRPr="00174B51">
        <w:t>13</w:t>
      </w:r>
      <w:r w:rsidR="0044594F" w:rsidRPr="00174B51">
        <w:t>-201</w:t>
      </w:r>
      <w:r w:rsidR="00791CED" w:rsidRPr="00174B51">
        <w:t>8</w:t>
      </w:r>
      <w:r w:rsidR="0044594F" w:rsidRPr="00174B51">
        <w:t xml:space="preserve"> Price Reset, and also the recovery of approved MurrayLink revenue</w:t>
      </w:r>
      <w:r w:rsidRPr="00174B51">
        <w:t xml:space="preserve">, </w:t>
      </w:r>
    </w:p>
    <w:p w:rsidR="00174B51" w:rsidRPr="00174B51" w:rsidRDefault="00174B51" w:rsidP="00174B51">
      <w:pPr>
        <w:pStyle w:val="ListParagraph"/>
        <w:numPr>
          <w:ilvl w:val="1"/>
          <w:numId w:val="22"/>
        </w:numPr>
        <w:tabs>
          <w:tab w:val="left" w:pos="851"/>
        </w:tabs>
        <w:spacing w:after="120" w:line="240" w:lineRule="auto"/>
        <w:contextualSpacing w:val="0"/>
      </w:pPr>
      <w:r w:rsidRPr="00174B51">
        <w:t xml:space="preserve"> any</w:t>
      </w:r>
      <w:r w:rsidR="0044594F" w:rsidRPr="00174B51">
        <w:t xml:space="preserve"> change in  ‘discount’ and ‘surcharge’ in ElectraNet’s charges in </w:t>
      </w:r>
      <w:r w:rsidR="00CB5ADF" w:rsidRPr="00174B51">
        <w:t>201</w:t>
      </w:r>
      <w:r w:rsidRPr="00174B51">
        <w:t>5</w:t>
      </w:r>
      <w:r w:rsidR="00CB5ADF" w:rsidRPr="00174B51">
        <w:t>/1</w:t>
      </w:r>
      <w:r w:rsidRPr="00174B51">
        <w:t>6</w:t>
      </w:r>
      <w:r w:rsidR="0044594F" w:rsidRPr="00174B51">
        <w:t>, due to settlement residues and payments for interstate networks</w:t>
      </w:r>
      <w:r w:rsidRPr="00174B51">
        <w:t xml:space="preserve"> (new arrangements for interstate networks charges have started in 2015/16)</w:t>
      </w:r>
      <w:r w:rsidR="0044594F" w:rsidRPr="00174B51">
        <w:t>;</w:t>
      </w:r>
      <w:r w:rsidRPr="00174B51">
        <w:t xml:space="preserve"> and</w:t>
      </w:r>
    </w:p>
    <w:p w:rsidR="0044594F" w:rsidRPr="00174B51" w:rsidRDefault="0044594F" w:rsidP="00174B51">
      <w:pPr>
        <w:pStyle w:val="ListParagraph"/>
        <w:numPr>
          <w:ilvl w:val="1"/>
          <w:numId w:val="22"/>
        </w:numPr>
        <w:tabs>
          <w:tab w:val="left" w:pos="851"/>
        </w:tabs>
        <w:spacing w:after="120" w:line="240" w:lineRule="auto"/>
        <w:contextualSpacing w:val="0"/>
      </w:pPr>
      <w:r w:rsidRPr="00174B51">
        <w:t xml:space="preserve">The level of over/under-recovery by ElectraNet of the allowed annual revenue in </w:t>
      </w:r>
      <w:r w:rsidR="00CB5ADF" w:rsidRPr="00174B51">
        <w:t>201</w:t>
      </w:r>
      <w:r w:rsidR="00174B51" w:rsidRPr="00174B51">
        <w:t>5</w:t>
      </w:r>
      <w:r w:rsidR="00CB5ADF" w:rsidRPr="00174B51">
        <w:t>/1</w:t>
      </w:r>
      <w:r w:rsidR="00174B51" w:rsidRPr="00174B51">
        <w:t>6</w:t>
      </w:r>
      <w:r w:rsidRPr="00174B51">
        <w:t xml:space="preserve"> versus </w:t>
      </w:r>
      <w:r w:rsidR="00CB5ADF" w:rsidRPr="00174B51">
        <w:t>201</w:t>
      </w:r>
      <w:r w:rsidR="00174B51" w:rsidRPr="00174B51">
        <w:t>4</w:t>
      </w:r>
      <w:r w:rsidR="00CB5ADF" w:rsidRPr="00174B51">
        <w:t>/1</w:t>
      </w:r>
      <w:r w:rsidR="00174B51" w:rsidRPr="00174B51">
        <w:t>5</w:t>
      </w:r>
      <w:r w:rsidRPr="00174B51">
        <w:t>.  ElectraNet endeavour to set their prices each year to achieve a zero balance at the end of each year but variations in revenue recovery and settlements residue occur every year.</w:t>
      </w:r>
    </w:p>
    <w:p w:rsidR="0044594F" w:rsidRPr="00174B51" w:rsidRDefault="0044594F" w:rsidP="0044594F">
      <w:pPr>
        <w:pStyle w:val="ListParagraph"/>
        <w:numPr>
          <w:ilvl w:val="0"/>
          <w:numId w:val="22"/>
        </w:numPr>
        <w:tabs>
          <w:tab w:val="left" w:pos="851"/>
        </w:tabs>
        <w:spacing w:after="240" w:line="240" w:lineRule="auto"/>
        <w:ind w:left="850" w:hanging="425"/>
        <w:contextualSpacing w:val="0"/>
      </w:pPr>
      <w:r w:rsidRPr="00174B51">
        <w:t xml:space="preserve">The </w:t>
      </w:r>
      <w:r w:rsidR="00174B51" w:rsidRPr="00174B51">
        <w:t>$6 M over</w:t>
      </w:r>
      <w:r w:rsidR="00CD3873" w:rsidRPr="00174B51">
        <w:t xml:space="preserve"> -</w:t>
      </w:r>
      <w:r w:rsidRPr="00174B51">
        <w:t xml:space="preserve">recovery in pricing required by </w:t>
      </w:r>
      <w:r w:rsidR="00EA36E3">
        <w:t>SA Power Networks</w:t>
      </w:r>
      <w:r w:rsidRPr="00174B51">
        <w:t xml:space="preserve"> in </w:t>
      </w:r>
      <w:r w:rsidR="00CB5ADF" w:rsidRPr="00174B51">
        <w:t>201</w:t>
      </w:r>
      <w:r w:rsidR="00174B51" w:rsidRPr="00174B51">
        <w:t>5</w:t>
      </w:r>
      <w:r w:rsidR="00CB5ADF" w:rsidRPr="00174B51">
        <w:t>/1</w:t>
      </w:r>
      <w:r w:rsidR="00174B51" w:rsidRPr="00174B51">
        <w:t>6</w:t>
      </w:r>
      <w:r w:rsidRPr="00174B51">
        <w:t xml:space="preserve"> to achieve a </w:t>
      </w:r>
      <w:r w:rsidR="00174B51" w:rsidRPr="00174B51">
        <w:t xml:space="preserve">near </w:t>
      </w:r>
      <w:r w:rsidRPr="00174B51">
        <w:t>nil balance.</w:t>
      </w:r>
      <w:r w:rsidR="00174B51" w:rsidRPr="00174B51">
        <w:t xml:space="preserve">  Prices in 2014/15 are expected to under-recover by -$4 M.</w:t>
      </w:r>
    </w:p>
    <w:p w:rsidR="0044594F" w:rsidRDefault="00EA36E3" w:rsidP="001F4F19">
      <w:pPr>
        <w:tabs>
          <w:tab w:val="left" w:pos="851"/>
        </w:tabs>
        <w:spacing w:line="240" w:lineRule="auto"/>
      </w:pPr>
      <w:r>
        <w:t>SA Power Networks</w:t>
      </w:r>
      <w:r w:rsidR="0044594F" w:rsidRPr="00B467D9">
        <w:t xml:space="preserve"> has prepared prices for </w:t>
      </w:r>
      <w:r w:rsidR="00AF223A">
        <w:t>2015/16</w:t>
      </w:r>
      <w:r w:rsidR="0044594F">
        <w:t xml:space="preserve"> </w:t>
      </w:r>
      <w:r w:rsidR="0044594F" w:rsidRPr="00B467D9">
        <w:t>that recover the</w:t>
      </w:r>
      <w:r w:rsidR="0044594F">
        <w:t>se</w:t>
      </w:r>
      <w:r w:rsidR="0044594F" w:rsidRPr="00B467D9">
        <w:t xml:space="preserve"> ElectraNet charges.  Locational customers have </w:t>
      </w:r>
      <w:r w:rsidR="00D40EDD">
        <w:t xml:space="preserve">had </w:t>
      </w:r>
      <w:r w:rsidR="0044594F" w:rsidRPr="00B467D9">
        <w:t>prices developed directly from the ElectraNet price list according to their location and usage parameters</w:t>
      </w:r>
      <w:r w:rsidR="0044594F">
        <w:t>.</w:t>
      </w:r>
    </w:p>
    <w:p w:rsidR="001F4F19" w:rsidRDefault="001F4F19" w:rsidP="001F4F19">
      <w:pPr>
        <w:tabs>
          <w:tab w:val="left" w:pos="851"/>
        </w:tabs>
        <w:spacing w:line="240" w:lineRule="auto"/>
      </w:pPr>
    </w:p>
    <w:p w:rsidR="00174B51" w:rsidRDefault="0044594F" w:rsidP="001F4F19">
      <w:pPr>
        <w:tabs>
          <w:tab w:val="left" w:pos="851"/>
        </w:tabs>
        <w:spacing w:line="240" w:lineRule="auto"/>
      </w:pPr>
      <w:r w:rsidRPr="00B467D9">
        <w:t>All other customers have had prices applied on a State-wide non-locational basis, using the pricing signals provided by ElectraNet, the billing parameters available for that customer segment and the customer demand assumptions for that customer segment.</w:t>
      </w:r>
      <w:r>
        <w:t xml:space="preserve">  </w:t>
      </w:r>
    </w:p>
    <w:p w:rsidR="00174B51" w:rsidRDefault="00174B51" w:rsidP="001F4F19">
      <w:pPr>
        <w:tabs>
          <w:tab w:val="left" w:pos="851"/>
        </w:tabs>
        <w:spacing w:line="240" w:lineRule="auto"/>
      </w:pPr>
    </w:p>
    <w:p w:rsidR="00287E70" w:rsidRDefault="0044594F" w:rsidP="001F4F19">
      <w:pPr>
        <w:tabs>
          <w:tab w:val="left" w:pos="851"/>
        </w:tabs>
        <w:spacing w:line="240" w:lineRule="auto"/>
      </w:pPr>
      <w:r>
        <w:t xml:space="preserve">For example, business customers on a demand tariff will incur a mixture of demand and energy charges for transmission, whilst residential and small business customers will incur an energy-based charge.  </w:t>
      </w:r>
      <w:r w:rsidR="00174B51">
        <w:t>In 2015/16, the prices for all non-locational customers have been revisited</w:t>
      </w:r>
      <w:r w:rsidR="00287E70">
        <w:t xml:space="preserve"> with proportional increases to:</w:t>
      </w:r>
    </w:p>
    <w:p w:rsidR="00287E70" w:rsidRDefault="00174B51" w:rsidP="00287E70">
      <w:pPr>
        <w:pStyle w:val="ListParagraph"/>
        <w:numPr>
          <w:ilvl w:val="0"/>
          <w:numId w:val="46"/>
        </w:numPr>
        <w:tabs>
          <w:tab w:val="left" w:pos="851"/>
        </w:tabs>
        <w:spacing w:line="240" w:lineRule="auto"/>
      </w:pPr>
      <w:r>
        <w:t>residential first block of usage</w:t>
      </w:r>
      <w:r w:rsidR="00287E70">
        <w:t xml:space="preserve"> (from 2.48 c/kWh in 2014/15 to 3.0 c/kWh in 2015/16)</w:t>
      </w:r>
      <w:r>
        <w:t xml:space="preserve">, </w:t>
      </w:r>
    </w:p>
    <w:p w:rsidR="00287E70" w:rsidRDefault="00174B51" w:rsidP="00287E70">
      <w:pPr>
        <w:pStyle w:val="ListParagraph"/>
        <w:numPr>
          <w:ilvl w:val="0"/>
          <w:numId w:val="46"/>
        </w:numPr>
        <w:tabs>
          <w:tab w:val="left" w:pos="851"/>
        </w:tabs>
        <w:spacing w:line="240" w:lineRule="auto"/>
      </w:pPr>
      <w:r>
        <w:t>controlled load</w:t>
      </w:r>
      <w:r w:rsidR="00287E70">
        <w:t xml:space="preserve"> (from 0.83 c/kWh to 1.75 c/kWh) ; </w:t>
      </w:r>
      <w:r>
        <w:t xml:space="preserve"> and </w:t>
      </w:r>
    </w:p>
    <w:p w:rsidR="0044594F" w:rsidRDefault="00174B51" w:rsidP="00287E70">
      <w:pPr>
        <w:pStyle w:val="ListParagraph"/>
        <w:numPr>
          <w:ilvl w:val="0"/>
          <w:numId w:val="46"/>
        </w:numPr>
        <w:tabs>
          <w:tab w:val="left" w:pos="851"/>
        </w:tabs>
        <w:spacing w:line="240" w:lineRule="auto"/>
      </w:pPr>
      <w:r>
        <w:t>business 2-rate off-peak</w:t>
      </w:r>
      <w:r w:rsidR="00287E70">
        <w:t xml:space="preserve"> (from 0.76 c/kWh to 1.75 c/kWh)</w:t>
      </w:r>
      <w:r>
        <w:t>.</w:t>
      </w:r>
    </w:p>
    <w:p w:rsidR="00287E70" w:rsidRPr="00927302" w:rsidRDefault="00287E70" w:rsidP="00287E70">
      <w:pPr>
        <w:tabs>
          <w:tab w:val="left" w:pos="851"/>
        </w:tabs>
        <w:spacing w:line="240" w:lineRule="auto"/>
      </w:pPr>
      <w:r>
        <w:t>These increases have been offset by the reductions in DUoS and PV FiT charges.  Other tariffs have had reductions to their transmission charges, with a simplification to the agreed demand tariff charges (all of these have had similar prices before, they now have the same price, ie $3.25/kVA/month for agreed demand and 0.89 c/kWh for usage).</w:t>
      </w:r>
    </w:p>
    <w:p w:rsidR="0044594F" w:rsidRPr="00732F12" w:rsidRDefault="0044594F" w:rsidP="0044594F">
      <w:pPr>
        <w:pStyle w:val="Heading1"/>
        <w:pageBreakBefore/>
        <w:numPr>
          <w:ilvl w:val="0"/>
          <w:numId w:val="16"/>
        </w:numPr>
        <w:tabs>
          <w:tab w:val="left" w:pos="851"/>
        </w:tabs>
        <w:spacing w:after="240" w:line="240" w:lineRule="auto"/>
      </w:pPr>
      <w:bookmarkStart w:id="179" w:name="_Ref323292278"/>
      <w:bookmarkStart w:id="180" w:name="_Ref323294194"/>
      <w:bookmarkStart w:id="181" w:name="_Toc420009875"/>
      <w:bookmarkStart w:id="182" w:name="_Ref134007830"/>
      <w:r w:rsidRPr="00732F12">
        <w:t>Recovery of the PV Jurisdictional Scheme Amount</w:t>
      </w:r>
      <w:bookmarkEnd w:id="179"/>
      <w:bookmarkEnd w:id="180"/>
      <w:bookmarkEnd w:id="181"/>
    </w:p>
    <w:p w:rsidR="0044594F" w:rsidRDefault="0044594F" w:rsidP="0044594F">
      <w:r w:rsidRPr="00732F12">
        <w:t xml:space="preserve">The solar feed-in scheme is a South Australian Government initiative which commenced on 1 July 2008 and </w:t>
      </w:r>
      <w:r w:rsidR="00997AA5">
        <w:t>i</w:t>
      </w:r>
      <w:r w:rsidRPr="00732F12">
        <w:t>s to apply for 20 years.  It was reviewed by the SA Government in 2009/10 and amendments to the legislation took effect from 29 July 2011</w:t>
      </w:r>
      <w:r w:rsidRPr="00732F12">
        <w:rPr>
          <w:rStyle w:val="FootnoteReference"/>
        </w:rPr>
        <w:footnoteReference w:id="16"/>
      </w:r>
      <w:r w:rsidRPr="00732F12">
        <w:t>.  The amendments to the legislation introduced t</w:t>
      </w:r>
      <w:r>
        <w:t>w</w:t>
      </w:r>
      <w:r w:rsidRPr="00732F12">
        <w:t>o further schemes – one which required application by September 2011 which also appl</w:t>
      </w:r>
      <w:r w:rsidR="00997AA5">
        <w:t>ies</w:t>
      </w:r>
      <w:r w:rsidRPr="00732F12">
        <w:t xml:space="preserve"> till June 2028 and a further scheme for subsequent applications </w:t>
      </w:r>
      <w:r w:rsidR="003C2319" w:rsidRPr="00732F12">
        <w:t>which applies</w:t>
      </w:r>
      <w:r w:rsidRPr="00732F12">
        <w:t xml:space="preserve"> till </w:t>
      </w:r>
      <w:r w:rsidR="00B17E77">
        <w:t>September </w:t>
      </w:r>
      <w:r w:rsidR="00997AA5">
        <w:t xml:space="preserve"> </w:t>
      </w:r>
      <w:r w:rsidRPr="00732F12">
        <w:t xml:space="preserve">2016.  </w:t>
      </w:r>
      <w:r w:rsidR="00997AA5">
        <w:t xml:space="preserve">Entry to these schemes has now closed.  </w:t>
      </w:r>
      <w:r w:rsidRPr="00732F12">
        <w:t>Under th</w:t>
      </w:r>
      <w:r w:rsidR="00997AA5">
        <w:t>e</w:t>
      </w:r>
      <w:r w:rsidRPr="00732F12">
        <w:t xml:space="preserve"> SA Government legislation, </w:t>
      </w:r>
      <w:r w:rsidR="00EA36E3">
        <w:t>SA Power Networks</w:t>
      </w:r>
      <w:r w:rsidRPr="00732F12">
        <w:t xml:space="preserve"> is obliged to make FiT payments to qualifying customers that have solar PV generators, for energy they export to the grid.</w:t>
      </w:r>
    </w:p>
    <w:p w:rsidR="001F4F19" w:rsidRPr="00732F12" w:rsidRDefault="001F4F19" w:rsidP="0044594F"/>
    <w:p w:rsidR="0044594F" w:rsidRDefault="0044594F" w:rsidP="0044594F">
      <w:r w:rsidRPr="00732F12">
        <w:t xml:space="preserve">The purpose for the PV Jurisdictional Scheme Amount is to allow </w:t>
      </w:r>
      <w:r w:rsidR="00EA36E3">
        <w:t>SA Power Networks</w:t>
      </w:r>
      <w:r w:rsidRPr="00732F12">
        <w:t xml:space="preserve"> to recover from all of its customers the cost of the SA Government legislated Feed-in Tariff payments that </w:t>
      </w:r>
      <w:r w:rsidR="00EA36E3">
        <w:t>SA Power Networks</w:t>
      </w:r>
      <w:r w:rsidRPr="00732F12">
        <w:t xml:space="preserve"> is required to make to those customers that have qualifying solar PV generators. </w:t>
      </w:r>
    </w:p>
    <w:p w:rsidR="001F4F19" w:rsidRPr="00732F12" w:rsidRDefault="001F4F19" w:rsidP="0044594F"/>
    <w:p w:rsidR="0044594F" w:rsidRDefault="0044594F" w:rsidP="0044594F">
      <w:r w:rsidRPr="00732F12">
        <w:t xml:space="preserve">Under the Jurisdictional Scheme Amount arrangements, </w:t>
      </w:r>
      <w:r w:rsidR="00EA36E3">
        <w:t>SA Power Networks</w:t>
      </w:r>
      <w:r w:rsidRPr="00732F12">
        <w:t xml:space="preserve"> is required to provide information on the payments and recoveries of PV FiT in the same manner to that used for transmission</w:t>
      </w:r>
      <w:r>
        <w:t xml:space="preserve"> (see </w:t>
      </w:r>
      <w:r w:rsidR="00575C9A">
        <w:fldChar w:fldCharType="begin"/>
      </w:r>
      <w:r>
        <w:instrText xml:space="preserve"> REF _Ref323559261 \r \h </w:instrText>
      </w:r>
      <w:r w:rsidR="00575C9A">
        <w:fldChar w:fldCharType="separate"/>
      </w:r>
      <w:r w:rsidR="00A81AFE">
        <w:t>9.1.2</w:t>
      </w:r>
      <w:r w:rsidR="00575C9A">
        <w:fldChar w:fldCharType="end"/>
      </w:r>
      <w:r>
        <w:t xml:space="preserve"> above for these requirements)</w:t>
      </w:r>
      <w:r w:rsidRPr="00732F12">
        <w:t xml:space="preserve">.  </w:t>
      </w:r>
      <w:r w:rsidR="00B17E77">
        <w:t xml:space="preserve">The AER has confirmed in the </w:t>
      </w:r>
      <w:r w:rsidR="00477C39">
        <w:t>Preliminary Decision</w:t>
      </w:r>
      <w:r w:rsidR="00B17E77">
        <w:t xml:space="preserve"> (Attachment 14 C) that these requirements continue. </w:t>
      </w:r>
      <w:r w:rsidRPr="00AF223A">
        <w:t xml:space="preserve"> </w:t>
      </w:r>
      <w:r w:rsidR="00EA36E3">
        <w:t>SA Power Networks</w:t>
      </w:r>
      <w:r w:rsidRPr="00AF223A">
        <w:t xml:space="preserve"> recover</w:t>
      </w:r>
      <w:r w:rsidR="00997AA5" w:rsidRPr="00AF223A">
        <w:t>s the PV JSA</w:t>
      </w:r>
      <w:r w:rsidRPr="00AF223A">
        <w:t xml:space="preserve"> as an additional component of its bundled NUoS charges.</w:t>
      </w:r>
    </w:p>
    <w:p w:rsidR="001F4F19" w:rsidRPr="00732F12" w:rsidRDefault="001F4F19" w:rsidP="0044594F"/>
    <w:p w:rsidR="0044594F" w:rsidRDefault="0044594F" w:rsidP="0044594F">
      <w:r>
        <w:t xml:space="preserve">The PV JSA </w:t>
      </w:r>
      <w:r w:rsidR="00791CED">
        <w:t>is being</w:t>
      </w:r>
      <w:r>
        <w:t xml:space="preserve"> recovered</w:t>
      </w:r>
      <w:r w:rsidRPr="00732F12">
        <w:t xml:space="preserve"> as </w:t>
      </w:r>
      <w:r w:rsidR="00997AA5">
        <w:t>uniform</w:t>
      </w:r>
      <w:r w:rsidRPr="00732F12">
        <w:t xml:space="preserve"> percentage uplift across all customer groups on each component of their DUoS charge.  This has resulted in a further charge for all customers to recover the amounts incurred under the SA Government legislation.  </w:t>
      </w:r>
      <w:r w:rsidR="00B17E77">
        <w:t>All tariff elements receive the same +17.2% uplift to their distribution charge, including supply charges</w:t>
      </w:r>
      <w:r w:rsidRPr="00732F12">
        <w:t>.</w:t>
      </w:r>
      <w:r w:rsidR="00B17E77">
        <w:t xml:space="preserve">  The exception to this is the new </w:t>
      </w:r>
      <w:r w:rsidR="00217741">
        <w:t>residential Social tariff</w:t>
      </w:r>
      <w:r w:rsidR="00B17E77">
        <w:t xml:space="preserve"> which does not incur PV FiT recovery charges (note that the shortfall is recovered from other residential customers who incur a +17.4% uplift to their distribution charges).</w:t>
      </w:r>
    </w:p>
    <w:p w:rsidR="0044594F" w:rsidRPr="00732F12" w:rsidRDefault="0044594F" w:rsidP="0044594F"/>
    <w:p w:rsidR="0044594F" w:rsidRPr="00732F12" w:rsidRDefault="0044594F" w:rsidP="0044594F">
      <w:pPr>
        <w:keepNext/>
        <w:spacing w:after="120"/>
      </w:pPr>
      <w:r w:rsidRPr="00732F12">
        <w:t xml:space="preserve">This approach to the recovery of the </w:t>
      </w:r>
      <w:r>
        <w:t xml:space="preserve">PV </w:t>
      </w:r>
      <w:r w:rsidRPr="00732F12">
        <w:t>JSA has the following characteristics:</w:t>
      </w:r>
    </w:p>
    <w:p w:rsidR="0044594F" w:rsidRPr="00732F12" w:rsidRDefault="0044594F" w:rsidP="003C07A2">
      <w:pPr>
        <w:numPr>
          <w:ilvl w:val="0"/>
          <w:numId w:val="35"/>
        </w:numPr>
        <w:spacing w:after="120" w:line="240" w:lineRule="auto"/>
      </w:pPr>
      <w:r w:rsidRPr="00732F12">
        <w:t>It is simple, and readily understood;</w:t>
      </w:r>
    </w:p>
    <w:p w:rsidR="0044594F" w:rsidRPr="00732F12" w:rsidRDefault="0044594F" w:rsidP="003C07A2">
      <w:pPr>
        <w:numPr>
          <w:ilvl w:val="0"/>
          <w:numId w:val="35"/>
        </w:numPr>
        <w:spacing w:after="120" w:line="240" w:lineRule="auto"/>
      </w:pPr>
      <w:r w:rsidRPr="00732F12">
        <w:t>By being applied as a uniform uplift to all charging components, it is not likely to unduly influence customers’ consumption decisions;</w:t>
      </w:r>
    </w:p>
    <w:p w:rsidR="0044594F" w:rsidRPr="00732F12" w:rsidRDefault="0044594F" w:rsidP="003C07A2">
      <w:pPr>
        <w:numPr>
          <w:ilvl w:val="0"/>
          <w:numId w:val="35"/>
        </w:numPr>
        <w:spacing w:after="240" w:line="240" w:lineRule="auto"/>
      </w:pPr>
      <w:r w:rsidRPr="00732F12">
        <w:t>As it is scaled to the customer’s DUoS charge</w:t>
      </w:r>
    </w:p>
    <w:p w:rsidR="0044594F" w:rsidRPr="00732F12" w:rsidRDefault="001F4F19" w:rsidP="003C07A2">
      <w:pPr>
        <w:numPr>
          <w:ilvl w:val="1"/>
          <w:numId w:val="35"/>
        </w:numPr>
        <w:spacing w:after="240" w:line="240" w:lineRule="auto"/>
      </w:pPr>
      <w:r>
        <w:t>I</w:t>
      </w:r>
      <w:r w:rsidR="0044594F" w:rsidRPr="00732F12">
        <w:t>t does not unduly penalise high load factor commercial and industrial customers,</w:t>
      </w:r>
    </w:p>
    <w:p w:rsidR="0044594F" w:rsidRPr="00732F12" w:rsidRDefault="0044594F" w:rsidP="003C07A2">
      <w:pPr>
        <w:numPr>
          <w:ilvl w:val="1"/>
          <w:numId w:val="35"/>
        </w:numPr>
        <w:spacing w:after="240" w:line="240" w:lineRule="auto"/>
      </w:pPr>
      <w:r w:rsidRPr="00732F12">
        <w:t>It can be applied to each and every customer, and</w:t>
      </w:r>
    </w:p>
    <w:p w:rsidR="0044594F" w:rsidRPr="00732F12" w:rsidRDefault="001F4F19" w:rsidP="003C07A2">
      <w:pPr>
        <w:numPr>
          <w:ilvl w:val="1"/>
          <w:numId w:val="35"/>
        </w:numPr>
        <w:spacing w:after="240" w:line="240" w:lineRule="auto"/>
      </w:pPr>
      <w:r>
        <w:t>I</w:t>
      </w:r>
      <w:r w:rsidR="0044594F" w:rsidRPr="00732F12">
        <w:t>s therefore equitable.</w:t>
      </w:r>
    </w:p>
    <w:p w:rsidR="0044594F" w:rsidRDefault="0044594F" w:rsidP="0044594F">
      <w:r w:rsidRPr="00732F12">
        <w:t xml:space="preserve">The recovery of the PV JSA has been included as an additional charging component in the NUoS tariffs, as described in </w:t>
      </w:r>
      <w:r w:rsidR="000B7F94">
        <w:t>Section</w:t>
      </w:r>
      <w:r w:rsidRPr="00732F12">
        <w:t xml:space="preserve"> </w:t>
      </w:r>
      <w:r w:rsidR="00924A8F">
        <w:fldChar w:fldCharType="begin"/>
      </w:r>
      <w:r w:rsidR="00924A8F">
        <w:instrText xml:space="preserve"> REF _Ref131848147 \r \h  \* MERGEFORMAT </w:instrText>
      </w:r>
      <w:r w:rsidR="00924A8F">
        <w:fldChar w:fldCharType="separate"/>
      </w:r>
      <w:r w:rsidR="00A81AFE">
        <w:t>4</w:t>
      </w:r>
      <w:r w:rsidR="00924A8F">
        <w:fldChar w:fldCharType="end"/>
      </w:r>
      <w:r w:rsidRPr="00732F12">
        <w:t>.</w:t>
      </w:r>
    </w:p>
    <w:p w:rsidR="007800C8" w:rsidRDefault="007800C8" w:rsidP="0044594F"/>
    <w:p w:rsidR="0044594F" w:rsidRPr="00927302" w:rsidRDefault="0044594F" w:rsidP="0044594F">
      <w:pPr>
        <w:pStyle w:val="Heading2"/>
        <w:keepLines w:val="0"/>
        <w:numPr>
          <w:ilvl w:val="1"/>
          <w:numId w:val="16"/>
        </w:numPr>
        <w:tabs>
          <w:tab w:val="left" w:pos="851"/>
        </w:tabs>
        <w:spacing w:after="240" w:line="240" w:lineRule="auto"/>
      </w:pPr>
      <w:bookmarkStart w:id="183" w:name="_Toc420009876"/>
      <w:r>
        <w:t xml:space="preserve">PV Jurisdictional Scheme Amount </w:t>
      </w:r>
      <w:r w:rsidRPr="00927302">
        <w:t>overs and unders account balance</w:t>
      </w:r>
      <w:bookmarkEnd w:id="183"/>
    </w:p>
    <w:p w:rsidR="0044594F" w:rsidRDefault="0044594F" w:rsidP="0044594F">
      <w:r w:rsidRPr="00927302">
        <w:t xml:space="preserve">In accordance with </w:t>
      </w:r>
      <w:r w:rsidR="00B17E77">
        <w:t>Attachment 14 C</w:t>
      </w:r>
      <w:r w:rsidRPr="00927302">
        <w:t xml:space="preserve"> of the </w:t>
      </w:r>
      <w:r w:rsidR="00477C39">
        <w:t>Preliminary Decision</w:t>
      </w:r>
      <w:r w:rsidRPr="00522CAB">
        <w:t>,</w:t>
      </w:r>
      <w:r w:rsidRPr="00927302">
        <w:t xml:space="preserve"> </w:t>
      </w:r>
      <w:r w:rsidR="00575C9A">
        <w:fldChar w:fldCharType="begin"/>
      </w:r>
      <w:r>
        <w:instrText xml:space="preserve"> REF _Ref323559588 \h </w:instrText>
      </w:r>
      <w:r w:rsidR="00575C9A">
        <w:fldChar w:fldCharType="separate"/>
      </w:r>
      <w:r w:rsidR="00A81AFE" w:rsidRPr="00C416F5">
        <w:t xml:space="preserve">Table </w:t>
      </w:r>
      <w:r w:rsidR="00A81AFE">
        <w:rPr>
          <w:noProof/>
        </w:rPr>
        <w:t>50</w:t>
      </w:r>
      <w:r w:rsidR="00575C9A">
        <w:fldChar w:fldCharType="end"/>
      </w:r>
      <w:r>
        <w:t xml:space="preserve"> </w:t>
      </w:r>
      <w:r w:rsidRPr="00927302">
        <w:t xml:space="preserve">provides the forecast </w:t>
      </w:r>
      <w:r w:rsidR="00AF223A">
        <w:t>2015/16</w:t>
      </w:r>
      <w:r>
        <w:t xml:space="preserve"> </w:t>
      </w:r>
      <w:r w:rsidRPr="00927302">
        <w:t xml:space="preserve">balance of </w:t>
      </w:r>
      <w:r w:rsidR="00EA36E3">
        <w:t>SA Power Networks</w:t>
      </w:r>
      <w:r w:rsidRPr="00927302">
        <w:t xml:space="preserve">’ </w:t>
      </w:r>
      <w:r>
        <w:t>PV JSA</w:t>
      </w:r>
      <w:r w:rsidRPr="00927302">
        <w:t xml:space="preserve"> overs and </w:t>
      </w:r>
      <w:r w:rsidRPr="00C416F5">
        <w:t>unders amounts.</w:t>
      </w:r>
    </w:p>
    <w:p w:rsidR="007800C8" w:rsidRDefault="007800C8" w:rsidP="0044594F"/>
    <w:p w:rsidR="007800C8" w:rsidRPr="00C416F5" w:rsidRDefault="007800C8" w:rsidP="0044594F"/>
    <w:p w:rsidR="0044594F" w:rsidRPr="00C416F5" w:rsidRDefault="0044594F" w:rsidP="0044594F">
      <w:pPr>
        <w:pStyle w:val="Caption"/>
        <w:keepNext/>
      </w:pPr>
      <w:bookmarkStart w:id="184" w:name="_Ref323559588"/>
      <w:r w:rsidRPr="00C416F5">
        <w:t xml:space="preserve">Table </w:t>
      </w:r>
      <w:r w:rsidR="00924A8F">
        <w:fldChar w:fldCharType="begin"/>
      </w:r>
      <w:r w:rsidR="00924A8F">
        <w:instrText xml:space="preserve"> SEQ Table \* ARABIC </w:instrText>
      </w:r>
      <w:r w:rsidR="00924A8F">
        <w:fldChar w:fldCharType="separate"/>
      </w:r>
      <w:r w:rsidR="00A81AFE">
        <w:rPr>
          <w:noProof/>
        </w:rPr>
        <w:t>50</w:t>
      </w:r>
      <w:r w:rsidR="00924A8F">
        <w:rPr>
          <w:noProof/>
        </w:rPr>
        <w:fldChar w:fldCharType="end"/>
      </w:r>
      <w:bookmarkEnd w:id="184"/>
      <w:r w:rsidRPr="00C416F5">
        <w:t xml:space="preserve"> </w:t>
      </w:r>
      <w:r>
        <w:t>–</w:t>
      </w:r>
      <w:r w:rsidRPr="00C416F5">
        <w:t xml:space="preserve"> </w:t>
      </w:r>
      <w:r>
        <w:t>PV JSA</w:t>
      </w:r>
      <w:r w:rsidRPr="00C416F5">
        <w:t xml:space="preserve"> overs and unders account balance ($’000)</w:t>
      </w:r>
    </w:p>
    <w:p w:rsidR="007800C8" w:rsidRDefault="00B62555" w:rsidP="0044594F">
      <w:r w:rsidRPr="00B62555">
        <w:rPr>
          <w:noProof/>
          <w:lang w:val="en-US"/>
        </w:rPr>
        <w:drawing>
          <wp:inline distT="0" distB="0" distL="0" distR="0">
            <wp:extent cx="5732145" cy="2900554"/>
            <wp:effectExtent l="19050" t="0" r="190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5732145" cy="2900554"/>
                    </a:xfrm>
                    <a:prstGeom prst="rect">
                      <a:avLst/>
                    </a:prstGeom>
                    <a:noFill/>
                    <a:ln w="9525">
                      <a:noFill/>
                      <a:miter lim="800000"/>
                      <a:headEnd/>
                      <a:tailEnd/>
                    </a:ln>
                  </pic:spPr>
                </pic:pic>
              </a:graphicData>
            </a:graphic>
          </wp:inline>
        </w:drawing>
      </w:r>
    </w:p>
    <w:p w:rsidR="00B62555" w:rsidRDefault="00B62555" w:rsidP="0044594F"/>
    <w:p w:rsidR="0044594F" w:rsidRDefault="0044594F" w:rsidP="0044594F">
      <w:r w:rsidRPr="00927302">
        <w:t xml:space="preserve">The reconciliation in </w:t>
      </w:r>
      <w:r w:rsidR="00575C9A">
        <w:fldChar w:fldCharType="begin"/>
      </w:r>
      <w:r>
        <w:instrText xml:space="preserve"> REF _Ref323559588 \h </w:instrText>
      </w:r>
      <w:r w:rsidR="00575C9A">
        <w:fldChar w:fldCharType="separate"/>
      </w:r>
      <w:r w:rsidR="00A81AFE" w:rsidRPr="00C416F5">
        <w:t xml:space="preserve">Table </w:t>
      </w:r>
      <w:r w:rsidR="00A81AFE">
        <w:rPr>
          <w:noProof/>
        </w:rPr>
        <w:t>50</w:t>
      </w:r>
      <w:r w:rsidR="00575C9A">
        <w:fldChar w:fldCharType="end"/>
      </w:r>
      <w:r>
        <w:t xml:space="preserve"> </w:t>
      </w:r>
      <w:r w:rsidRPr="00927302">
        <w:t xml:space="preserve">demonstrates </w:t>
      </w:r>
      <w:r>
        <w:t xml:space="preserve">a </w:t>
      </w:r>
      <w:r w:rsidR="00997AA5">
        <w:t>near-</w:t>
      </w:r>
      <w:r w:rsidRPr="00422B41">
        <w:t>zero</w:t>
      </w:r>
      <w:r>
        <w:t xml:space="preserve"> closing balance </w:t>
      </w:r>
      <w:r w:rsidR="00B62555">
        <w:t xml:space="preserve">of $0.052 M </w:t>
      </w:r>
      <w:r>
        <w:t xml:space="preserve">for the overs and unders account in </w:t>
      </w:r>
      <w:r w:rsidR="00AF223A">
        <w:t>2015/16</w:t>
      </w:r>
      <w:r>
        <w:t xml:space="preserve"> and thence </w:t>
      </w:r>
      <w:r w:rsidR="00EA36E3">
        <w:t>SA Power Networks</w:t>
      </w:r>
      <w:r w:rsidRPr="00927302">
        <w:t>’ compliance with the provision</w:t>
      </w:r>
      <w:r>
        <w:t>s of clause 6.18.7 of the Rules</w:t>
      </w:r>
      <w:r w:rsidR="00B17E77">
        <w:t xml:space="preserve"> and</w:t>
      </w:r>
      <w:r>
        <w:t xml:space="preserve"> the </w:t>
      </w:r>
      <w:r w:rsidR="00477C39">
        <w:t>AER’s Preliminary Decision</w:t>
      </w:r>
      <w:r w:rsidRPr="00927302">
        <w:t>.</w:t>
      </w:r>
      <w:r w:rsidR="00997AA5">
        <w:t xml:space="preserve">  Forecasting a zero balance is more difficult to achieve with the simplified approach to pricing now being used, as less significant figures in prices result in larger steps in tariff recovery.</w:t>
      </w:r>
    </w:p>
    <w:p w:rsidR="007800C8" w:rsidRPr="00927302" w:rsidRDefault="007800C8" w:rsidP="0044594F"/>
    <w:p w:rsidR="0044594F" w:rsidRPr="00927302" w:rsidRDefault="0044594F" w:rsidP="0044594F">
      <w:pPr>
        <w:pStyle w:val="Heading2"/>
        <w:keepLines w:val="0"/>
        <w:numPr>
          <w:ilvl w:val="1"/>
          <w:numId w:val="16"/>
        </w:numPr>
        <w:tabs>
          <w:tab w:val="left" w:pos="851"/>
        </w:tabs>
        <w:spacing w:after="240" w:line="240" w:lineRule="auto"/>
      </w:pPr>
      <w:bookmarkStart w:id="185" w:name="_Toc420009877"/>
      <w:r w:rsidRPr="00927302">
        <w:t xml:space="preserve">Charging parameters for </w:t>
      </w:r>
      <w:r>
        <w:t>PV JSA cost</w:t>
      </w:r>
      <w:r w:rsidRPr="00927302">
        <w:t xml:space="preserve"> recovery tariffs</w:t>
      </w:r>
      <w:bookmarkEnd w:id="185"/>
    </w:p>
    <w:p w:rsidR="0044594F" w:rsidRDefault="00EA36E3" w:rsidP="0044594F">
      <w:pPr>
        <w:keepNext/>
      </w:pPr>
      <w:r>
        <w:t>SA Power Networks</w:t>
      </w:r>
      <w:r w:rsidR="0044594F" w:rsidRPr="00927302">
        <w:t xml:space="preserve">’ </w:t>
      </w:r>
      <w:r w:rsidR="0044594F">
        <w:t>PV JSA cost</w:t>
      </w:r>
      <w:r w:rsidR="0044594F" w:rsidRPr="00927302">
        <w:t xml:space="preserve"> recovery tariffs are included in the bundled NUoS Rates of customer tariffs.  The charging parameters associated with </w:t>
      </w:r>
      <w:r w:rsidR="0044594F">
        <w:t>PV JSA</w:t>
      </w:r>
      <w:r w:rsidR="0044594F" w:rsidRPr="00927302">
        <w:t xml:space="preserve"> cost recovery tariffs are shown in </w:t>
      </w:r>
      <w:r w:rsidR="000B7F94">
        <w:t>Section</w:t>
      </w:r>
      <w:r w:rsidR="0044594F" w:rsidRPr="00927302">
        <w:t xml:space="preserve">s </w:t>
      </w:r>
      <w:r w:rsidR="00575C9A">
        <w:fldChar w:fldCharType="begin"/>
      </w:r>
      <w:r w:rsidR="0044594F">
        <w:instrText xml:space="preserve"> REF _Ref134004736 \r \h </w:instrText>
      </w:r>
      <w:r w:rsidR="00575C9A">
        <w:fldChar w:fldCharType="separate"/>
      </w:r>
      <w:r w:rsidR="00A81AFE">
        <w:t>4.3</w:t>
      </w:r>
      <w:r w:rsidR="00575C9A">
        <w:fldChar w:fldCharType="end"/>
      </w:r>
      <w:r w:rsidR="0044594F" w:rsidRPr="00E51E67">
        <w:t xml:space="preserve"> </w:t>
      </w:r>
      <w:r w:rsidR="0044594F" w:rsidRPr="00927302">
        <w:t xml:space="preserve">to </w:t>
      </w:r>
      <w:r w:rsidR="00575C9A">
        <w:fldChar w:fldCharType="begin"/>
      </w:r>
      <w:r w:rsidR="0044594F">
        <w:instrText xml:space="preserve"> REF _Ref134004747 \r \h </w:instrText>
      </w:r>
      <w:r w:rsidR="00575C9A">
        <w:fldChar w:fldCharType="separate"/>
      </w:r>
      <w:r w:rsidR="00A81AFE">
        <w:t>4.6</w:t>
      </w:r>
      <w:r w:rsidR="00575C9A">
        <w:fldChar w:fldCharType="end"/>
      </w:r>
      <w:r w:rsidR="0044594F" w:rsidRPr="00927302">
        <w:t xml:space="preserve">, in </w:t>
      </w:r>
      <w:r w:rsidR="00575C9A">
        <w:fldChar w:fldCharType="begin"/>
      </w:r>
      <w:r w:rsidR="0044594F">
        <w:instrText xml:space="preserve"> REF _Ref133813903 \h </w:instrText>
      </w:r>
      <w:r w:rsidR="00575C9A">
        <w:fldChar w:fldCharType="separate"/>
      </w:r>
      <w:r w:rsidR="00A81AFE" w:rsidRPr="00927302">
        <w:t xml:space="preserve">Table </w:t>
      </w:r>
      <w:r w:rsidR="00A81AFE">
        <w:rPr>
          <w:noProof/>
        </w:rPr>
        <w:t>5</w:t>
      </w:r>
      <w:r w:rsidR="00575C9A">
        <w:fldChar w:fldCharType="end"/>
      </w:r>
      <w:r w:rsidR="0044594F" w:rsidRPr="00E51E67">
        <w:t xml:space="preserve"> </w:t>
      </w:r>
      <w:r w:rsidR="0044594F" w:rsidRPr="00927302">
        <w:t xml:space="preserve">through to </w:t>
      </w:r>
      <w:r w:rsidR="00575C9A">
        <w:fldChar w:fldCharType="begin"/>
      </w:r>
      <w:r w:rsidR="0044594F">
        <w:instrText xml:space="preserve"> REF _Ref133817868 \h </w:instrText>
      </w:r>
      <w:r w:rsidR="00575C9A">
        <w:fldChar w:fldCharType="separate"/>
      </w:r>
      <w:r w:rsidR="00A81AFE" w:rsidRPr="00927302">
        <w:t xml:space="preserve">Table </w:t>
      </w:r>
      <w:r w:rsidR="00A81AFE">
        <w:rPr>
          <w:noProof/>
        </w:rPr>
        <w:t>18</w:t>
      </w:r>
      <w:r w:rsidR="00575C9A">
        <w:fldChar w:fldCharType="end"/>
      </w:r>
      <w:r w:rsidR="008E4D01">
        <w:t>.</w:t>
      </w:r>
    </w:p>
    <w:p w:rsidR="007800C8" w:rsidRPr="00927302" w:rsidRDefault="007800C8" w:rsidP="0044594F">
      <w:pPr>
        <w:keepNext/>
      </w:pPr>
    </w:p>
    <w:p w:rsidR="0044594F" w:rsidRDefault="0044594F" w:rsidP="0044594F">
      <w:r>
        <w:t xml:space="preserve">PV JSA cost </w:t>
      </w:r>
      <w:r w:rsidRPr="00D37042">
        <w:t>recovery amounts are billed at the same frequency as the relevant tariff for standard control services.</w:t>
      </w:r>
    </w:p>
    <w:p w:rsidR="008E4D01" w:rsidRDefault="008E4D01" w:rsidP="0044594F"/>
    <w:p w:rsidR="008E4D01" w:rsidRDefault="008E4D01" w:rsidP="0044594F">
      <w:r>
        <w:t>The charging parameters are those used for distribution services, with prices set at 17.2% of the standard control price (17.4% for residential excluding the Social tariff).</w:t>
      </w:r>
    </w:p>
    <w:p w:rsidR="004A6A4E" w:rsidRPr="00D37042" w:rsidRDefault="004A6A4E" w:rsidP="0044594F"/>
    <w:p w:rsidR="0044594F" w:rsidRPr="00D37042" w:rsidRDefault="0044594F" w:rsidP="0044594F">
      <w:pPr>
        <w:pStyle w:val="Heading2"/>
        <w:keepLines w:val="0"/>
        <w:numPr>
          <w:ilvl w:val="1"/>
          <w:numId w:val="16"/>
        </w:numPr>
        <w:tabs>
          <w:tab w:val="left" w:pos="851"/>
        </w:tabs>
        <w:spacing w:after="240" w:line="240" w:lineRule="auto"/>
      </w:pPr>
      <w:bookmarkStart w:id="186" w:name="_Toc420009878"/>
      <w:r>
        <w:t>PV JSA</w:t>
      </w:r>
      <w:r w:rsidRPr="00D37042">
        <w:t xml:space="preserve"> </w:t>
      </w:r>
      <w:r>
        <w:t xml:space="preserve">cost </w:t>
      </w:r>
      <w:r w:rsidRPr="00D37042">
        <w:t xml:space="preserve">recovery tariffs for </w:t>
      </w:r>
      <w:r w:rsidR="00AF223A">
        <w:t>2015/16</w:t>
      </w:r>
      <w:bookmarkEnd w:id="186"/>
    </w:p>
    <w:p w:rsidR="0044594F" w:rsidRPr="008E4D01" w:rsidRDefault="00EA36E3" w:rsidP="0044594F">
      <w:pPr>
        <w:keepNext/>
        <w:spacing w:after="120"/>
      </w:pPr>
      <w:r>
        <w:t>SA Power Networks</w:t>
      </w:r>
      <w:r w:rsidR="0044594F" w:rsidRPr="008E4D01">
        <w:t xml:space="preserve">’ </w:t>
      </w:r>
      <w:r w:rsidR="00AF223A" w:rsidRPr="008E4D01">
        <w:t>2015/16</w:t>
      </w:r>
      <w:r w:rsidR="0044594F" w:rsidRPr="008E4D01">
        <w:t xml:space="preserve"> PV JSA recovery tariffs are forecast to recover $</w:t>
      </w:r>
      <w:r w:rsidR="008E4D01" w:rsidRPr="008E4D01">
        <w:t>117 </w:t>
      </w:r>
      <w:r w:rsidR="0044594F" w:rsidRPr="008E4D01">
        <w:t xml:space="preserve">M in </w:t>
      </w:r>
      <w:r w:rsidR="00AF223A" w:rsidRPr="008E4D01">
        <w:t>2015/16</w:t>
      </w:r>
      <w:r w:rsidR="00FC03E8" w:rsidRPr="008E4D01">
        <w:t xml:space="preserve"> (</w:t>
      </w:r>
      <w:r w:rsidR="00895747" w:rsidRPr="008E4D01">
        <w:t>$</w:t>
      </w:r>
      <w:r w:rsidR="00AF223A" w:rsidRPr="008E4D01">
        <w:t>16</w:t>
      </w:r>
      <w:r w:rsidR="008E4D01" w:rsidRPr="008E4D01">
        <w:t>4 </w:t>
      </w:r>
      <w:r w:rsidR="00895747" w:rsidRPr="008E4D01">
        <w:t xml:space="preserve">M </w:t>
      </w:r>
      <w:r w:rsidR="00407DE0" w:rsidRPr="008E4D01">
        <w:t xml:space="preserve">is estimated for </w:t>
      </w:r>
      <w:r w:rsidR="00AF223A" w:rsidRPr="008E4D01">
        <w:t>2014/15</w:t>
      </w:r>
      <w:r w:rsidR="00895747" w:rsidRPr="008E4D01">
        <w:t>)</w:t>
      </w:r>
      <w:r w:rsidR="0044594F" w:rsidRPr="008E4D01">
        <w:t xml:space="preserve">.  This will recover </w:t>
      </w:r>
      <w:r w:rsidR="003C2319" w:rsidRPr="008E4D01">
        <w:t>three series</w:t>
      </w:r>
      <w:r w:rsidR="0044594F" w:rsidRPr="008E4D01">
        <w:t xml:space="preserve"> of payments:</w:t>
      </w:r>
    </w:p>
    <w:p w:rsidR="0044594F" w:rsidRPr="008E4D01" w:rsidRDefault="0044594F" w:rsidP="0044594F">
      <w:pPr>
        <w:pStyle w:val="ListParagraph"/>
        <w:numPr>
          <w:ilvl w:val="0"/>
          <w:numId w:val="22"/>
        </w:numPr>
        <w:tabs>
          <w:tab w:val="left" w:pos="851"/>
        </w:tabs>
        <w:spacing w:after="120" w:line="240" w:lineRule="auto"/>
        <w:ind w:left="850" w:hanging="425"/>
        <w:contextualSpacing w:val="0"/>
      </w:pPr>
      <w:r w:rsidRPr="008E4D01">
        <w:t>Payments under the original scheme (the ‘2028’ Scheme).  This scheme closed to new applicants in August 2010.  Payments of $1</w:t>
      </w:r>
      <w:r w:rsidR="00407DE0" w:rsidRPr="008E4D01">
        <w:t>6</w:t>
      </w:r>
      <w:r w:rsidR="008E4D01" w:rsidRPr="008E4D01">
        <w:t>.3 </w:t>
      </w:r>
      <w:r w:rsidRPr="008E4D01">
        <w:t xml:space="preserve">M are estimated for </w:t>
      </w:r>
      <w:r w:rsidR="00AF223A" w:rsidRPr="008E4D01">
        <w:t>2014/15</w:t>
      </w:r>
      <w:r w:rsidRPr="008E4D01">
        <w:t xml:space="preserve"> and $</w:t>
      </w:r>
      <w:r w:rsidR="008E4D01" w:rsidRPr="008E4D01">
        <w:t>16.5 </w:t>
      </w:r>
      <w:r w:rsidRPr="008E4D01">
        <w:t xml:space="preserve">M  forecast for </w:t>
      </w:r>
      <w:r w:rsidR="00AF223A" w:rsidRPr="008E4D01">
        <w:t>2015/16</w:t>
      </w:r>
      <w:r w:rsidRPr="008E4D01">
        <w:t>;</w:t>
      </w:r>
    </w:p>
    <w:p w:rsidR="0044594F" w:rsidRPr="008E4D01" w:rsidRDefault="0044594F" w:rsidP="0044594F">
      <w:pPr>
        <w:pStyle w:val="ListParagraph"/>
        <w:numPr>
          <w:ilvl w:val="0"/>
          <w:numId w:val="22"/>
        </w:numPr>
        <w:tabs>
          <w:tab w:val="left" w:pos="851"/>
        </w:tabs>
        <w:spacing w:after="120" w:line="240" w:lineRule="auto"/>
        <w:ind w:left="850" w:hanging="425"/>
        <w:contextualSpacing w:val="0"/>
      </w:pPr>
      <w:r w:rsidRPr="008E4D01">
        <w:t xml:space="preserve">Payments under the subsequent scheme (the ‘2028 Stepped’ Scheme).  This scheme opened to new applicants when the 2028 scheme closed, and required applications to be approved by September 2011.  The number of generators approved under this scheme is much higher than under the 2028 scheme, and the size of the PV generation in each installation is also much higher.  As a result, payments under this scheme are significantly higher, with estimated payments in </w:t>
      </w:r>
      <w:r w:rsidR="007C61A5" w:rsidRPr="008E4D01">
        <w:t>2014/15</w:t>
      </w:r>
      <w:r w:rsidRPr="008E4D01">
        <w:t xml:space="preserve"> of $</w:t>
      </w:r>
      <w:r w:rsidR="00407DE0" w:rsidRPr="008E4D01">
        <w:t>72</w:t>
      </w:r>
      <w:r w:rsidR="008E4D01" w:rsidRPr="008E4D01">
        <w:t>.7 </w:t>
      </w:r>
      <w:r w:rsidRPr="008E4D01">
        <w:t xml:space="preserve">M and forecast payments in </w:t>
      </w:r>
      <w:r w:rsidR="007C61A5" w:rsidRPr="008E4D01">
        <w:t>2015/16</w:t>
      </w:r>
      <w:r w:rsidRPr="008E4D01">
        <w:t xml:space="preserve"> of $</w:t>
      </w:r>
      <w:r w:rsidR="008E4D01" w:rsidRPr="008E4D01">
        <w:t>73.6 </w:t>
      </w:r>
      <w:r w:rsidRPr="008E4D01">
        <w:t>M.</w:t>
      </w:r>
    </w:p>
    <w:p w:rsidR="0044594F" w:rsidRPr="008E4D01" w:rsidRDefault="0044594F" w:rsidP="0044594F">
      <w:pPr>
        <w:pStyle w:val="ListParagraph"/>
        <w:numPr>
          <w:ilvl w:val="0"/>
          <w:numId w:val="22"/>
        </w:numPr>
        <w:tabs>
          <w:tab w:val="left" w:pos="851"/>
        </w:tabs>
        <w:spacing w:after="240" w:line="240" w:lineRule="auto"/>
        <w:ind w:left="850" w:hanging="425"/>
        <w:contextualSpacing w:val="0"/>
      </w:pPr>
      <w:r w:rsidRPr="008E4D01">
        <w:t xml:space="preserve">Payments under the third scheme (the ‘2016’ Scheme).  This scheme opened to new applicants when the 2028 Stepped scheme closed, ie from 30 September 2011.  Payments are at the rate of 16 cents/kWh until </w:t>
      </w:r>
      <w:r w:rsidR="008E4D01" w:rsidRPr="008E4D01">
        <w:t>September 2016</w:t>
      </w:r>
      <w:r w:rsidRPr="008E4D01">
        <w:t>, whereas the other two schemes have payments at 44 cents/kWh for qualifying generation</w:t>
      </w:r>
      <w:r w:rsidR="00407DE0" w:rsidRPr="008E4D01">
        <w:t xml:space="preserve"> until June 2028</w:t>
      </w:r>
      <w:r w:rsidRPr="008E4D01">
        <w:t xml:space="preserve">.  Applications </w:t>
      </w:r>
      <w:r w:rsidR="00407DE0" w:rsidRPr="008E4D01">
        <w:t>were</w:t>
      </w:r>
      <w:r w:rsidRPr="008E4D01">
        <w:t xml:space="preserve"> at a </w:t>
      </w:r>
      <w:r w:rsidR="00895747" w:rsidRPr="008E4D01">
        <w:t>high</w:t>
      </w:r>
      <w:r w:rsidRPr="008E4D01">
        <w:t xml:space="preserve"> rate for this scheme, with the size of installation </w:t>
      </w:r>
      <w:r w:rsidR="00895747" w:rsidRPr="008E4D01">
        <w:t>continuing to grow, resulting in increasing levels of export</w:t>
      </w:r>
      <w:r w:rsidRPr="008E4D01">
        <w:t>.  As a result, payments under this scheme are significant</w:t>
      </w:r>
      <w:r w:rsidR="00895747" w:rsidRPr="008E4D01">
        <w:t xml:space="preserve"> despite the lower FiT rate of 16 cents/kWh. </w:t>
      </w:r>
      <w:r w:rsidRPr="008E4D01">
        <w:t xml:space="preserve"> </w:t>
      </w:r>
      <w:r w:rsidR="00895747" w:rsidRPr="008E4D01">
        <w:t>E</w:t>
      </w:r>
      <w:r w:rsidRPr="008E4D01">
        <w:t xml:space="preserve">stimated payments in </w:t>
      </w:r>
      <w:r w:rsidR="007C61A5" w:rsidRPr="008E4D01">
        <w:t>2014/15</w:t>
      </w:r>
      <w:r w:rsidRPr="008E4D01">
        <w:t xml:space="preserve"> </w:t>
      </w:r>
      <w:r w:rsidR="00895747" w:rsidRPr="008E4D01">
        <w:t>are</w:t>
      </w:r>
      <w:r w:rsidRPr="008E4D01">
        <w:t xml:space="preserve"> $</w:t>
      </w:r>
      <w:r w:rsidR="008E4D01" w:rsidRPr="008E4D01">
        <w:t>39.4 </w:t>
      </w:r>
      <w:r w:rsidRPr="008E4D01">
        <w:t xml:space="preserve">M and forecast payments in </w:t>
      </w:r>
      <w:r w:rsidR="007C61A5" w:rsidRPr="008E4D01">
        <w:t>2015/16</w:t>
      </w:r>
      <w:r w:rsidRPr="008E4D01">
        <w:t xml:space="preserve"> </w:t>
      </w:r>
      <w:r w:rsidR="00895747" w:rsidRPr="008E4D01">
        <w:t>are</w:t>
      </w:r>
      <w:r w:rsidRPr="008E4D01">
        <w:t xml:space="preserve"> $</w:t>
      </w:r>
      <w:r w:rsidR="008E4D01" w:rsidRPr="008E4D01">
        <w:t>40.4 </w:t>
      </w:r>
      <w:r w:rsidRPr="008E4D01">
        <w:t>M</w:t>
      </w:r>
      <w:r w:rsidR="008E4D01" w:rsidRPr="008E4D01">
        <w:t>.</w:t>
      </w:r>
    </w:p>
    <w:p w:rsidR="0044594F" w:rsidRDefault="0044594F" w:rsidP="007800C8">
      <w:pPr>
        <w:tabs>
          <w:tab w:val="left" w:pos="851"/>
        </w:tabs>
        <w:ind w:right="-45"/>
      </w:pPr>
      <w:r>
        <w:t xml:space="preserve">There is also an interest allowance for the timing of these cashflows, as shown in </w:t>
      </w:r>
      <w:r w:rsidR="00575C9A">
        <w:fldChar w:fldCharType="begin"/>
      </w:r>
      <w:r>
        <w:instrText xml:space="preserve"> REF _Ref323559588 \h </w:instrText>
      </w:r>
      <w:r w:rsidR="00575C9A">
        <w:fldChar w:fldCharType="separate"/>
      </w:r>
      <w:r w:rsidR="00A81AFE" w:rsidRPr="00C416F5">
        <w:t xml:space="preserve">Table </w:t>
      </w:r>
      <w:r w:rsidR="00A81AFE">
        <w:rPr>
          <w:noProof/>
        </w:rPr>
        <w:t>50</w:t>
      </w:r>
      <w:r w:rsidR="00575C9A">
        <w:fldChar w:fldCharType="end"/>
      </w:r>
      <w:r>
        <w:t xml:space="preserve"> above.</w:t>
      </w:r>
    </w:p>
    <w:p w:rsidR="007800C8" w:rsidRDefault="007800C8" w:rsidP="007800C8">
      <w:pPr>
        <w:tabs>
          <w:tab w:val="left" w:pos="851"/>
        </w:tabs>
        <w:ind w:right="-45"/>
      </w:pPr>
    </w:p>
    <w:p w:rsidR="0044594F" w:rsidRPr="00927302" w:rsidRDefault="0044594F" w:rsidP="0044594F">
      <w:pPr>
        <w:pStyle w:val="Heading1"/>
        <w:pageBreakBefore/>
        <w:numPr>
          <w:ilvl w:val="0"/>
          <w:numId w:val="16"/>
        </w:numPr>
        <w:tabs>
          <w:tab w:val="left" w:pos="851"/>
        </w:tabs>
        <w:spacing w:after="240" w:line="240" w:lineRule="auto"/>
      </w:pPr>
      <w:bookmarkStart w:id="187" w:name="_Ref323292305"/>
      <w:bookmarkStart w:id="188" w:name="_Toc420009879"/>
      <w:r w:rsidRPr="00927302">
        <w:t>Customer tariff class assignment and reassignment</w:t>
      </w:r>
      <w:bookmarkEnd w:id="182"/>
      <w:bookmarkEnd w:id="187"/>
      <w:bookmarkEnd w:id="188"/>
    </w:p>
    <w:p w:rsidR="0044594F" w:rsidRDefault="0044594F" w:rsidP="0044594F">
      <w:r w:rsidRPr="00927302">
        <w:t xml:space="preserve">The requirements concerning the assignment and reassignment of customer to tariff classes are set out in clause 6.18.4 of the Rules and </w:t>
      </w:r>
      <w:r w:rsidR="005C0764">
        <w:t xml:space="preserve">Attachment 14 </w:t>
      </w:r>
      <w:r w:rsidRPr="00927302">
        <w:t xml:space="preserve">Appendix </w:t>
      </w:r>
      <w:r w:rsidR="005C0764">
        <w:t>D</w:t>
      </w:r>
      <w:r w:rsidRPr="00927302">
        <w:t xml:space="preserve"> of the AER’s </w:t>
      </w:r>
      <w:r w:rsidR="00477C39">
        <w:t>Preliminary Decision</w:t>
      </w:r>
      <w:r w:rsidRPr="00927302">
        <w:t>.</w:t>
      </w:r>
    </w:p>
    <w:p w:rsidR="007800C8" w:rsidRPr="00927302" w:rsidRDefault="007800C8" w:rsidP="0044594F"/>
    <w:p w:rsidR="0044594F" w:rsidRPr="00927302" w:rsidRDefault="0044594F" w:rsidP="0044594F">
      <w:pPr>
        <w:pStyle w:val="Heading2"/>
        <w:keepLines w:val="0"/>
        <w:numPr>
          <w:ilvl w:val="1"/>
          <w:numId w:val="16"/>
        </w:numPr>
        <w:tabs>
          <w:tab w:val="left" w:pos="851"/>
        </w:tabs>
        <w:spacing w:after="240" w:line="240" w:lineRule="auto"/>
      </w:pPr>
      <w:bookmarkStart w:id="189" w:name="_Ref133745503"/>
      <w:bookmarkStart w:id="190" w:name="_Ref133745514"/>
      <w:bookmarkStart w:id="191" w:name="_Ref165618202"/>
      <w:bookmarkStart w:id="192" w:name="_Toc420009880"/>
      <w:r w:rsidRPr="00927302">
        <w:t>Regulatory Requirement</w:t>
      </w:r>
      <w:bookmarkEnd w:id="189"/>
      <w:bookmarkEnd w:id="190"/>
      <w:r w:rsidRPr="00927302">
        <w:t>s</w:t>
      </w:r>
      <w:bookmarkEnd w:id="191"/>
      <w:bookmarkEnd w:id="192"/>
    </w:p>
    <w:p w:rsidR="0044594F" w:rsidRPr="00927302" w:rsidRDefault="0044594F" w:rsidP="009A26B4">
      <w:pPr>
        <w:pStyle w:val="Heading3"/>
      </w:pPr>
      <w:r w:rsidRPr="00927302">
        <w:t>Rules requirements</w:t>
      </w:r>
    </w:p>
    <w:p w:rsidR="0044594F" w:rsidRPr="00927302" w:rsidRDefault="0044594F" w:rsidP="0044594F">
      <w:pPr>
        <w:keepNext/>
        <w:spacing w:after="120"/>
      </w:pPr>
      <w:r w:rsidRPr="00927302">
        <w:t>In making a distribution determination, the AER is required to formulate provisions for the assignment and reassignment of customers to tariff classes, in accordance with the principles set out in clause 6.18.4 of the Rules.  This Rule covers the following matters:</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Factors governing the assignment of customers to tariff classes</w:t>
      </w:r>
      <w:r>
        <w:t>;</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Equitable treatment of customers with micro-generation</w:t>
      </w:r>
      <w:r>
        <w:t>;</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The review of the DNSP decision on tariff class assignment</w:t>
      </w:r>
      <w:r>
        <w:t>; and</w:t>
      </w:r>
    </w:p>
    <w:p w:rsidR="0044594F" w:rsidRPr="00927302" w:rsidRDefault="0044594F" w:rsidP="0044594F">
      <w:pPr>
        <w:pStyle w:val="ListParagraph"/>
        <w:numPr>
          <w:ilvl w:val="0"/>
          <w:numId w:val="22"/>
        </w:numPr>
        <w:tabs>
          <w:tab w:val="left" w:pos="851"/>
        </w:tabs>
        <w:spacing w:after="240" w:line="240" w:lineRule="auto"/>
        <w:ind w:left="850" w:hanging="425"/>
        <w:contextualSpacing w:val="0"/>
      </w:pPr>
      <w:r w:rsidRPr="00927302">
        <w:t>The review of DNSPs’ tariff structures containing e</w:t>
      </w:r>
      <w:r>
        <w:t>nergy or demand related charges.</w:t>
      </w:r>
    </w:p>
    <w:p w:rsidR="0044594F" w:rsidRPr="00927302" w:rsidRDefault="0044594F" w:rsidP="009A26B4">
      <w:pPr>
        <w:pStyle w:val="Heading3"/>
      </w:pPr>
      <w:bookmarkStart w:id="193" w:name="_Ref133916190"/>
      <w:bookmarkStart w:id="194" w:name="_Ref133747134"/>
      <w:r w:rsidRPr="00927302">
        <w:t>Requirements of the AER’s Decision</w:t>
      </w:r>
      <w:bookmarkEnd w:id="193"/>
    </w:p>
    <w:p w:rsidR="0044594F" w:rsidRPr="00927302" w:rsidRDefault="0044594F" w:rsidP="0044594F">
      <w:pPr>
        <w:keepNext/>
        <w:spacing w:after="120"/>
      </w:pPr>
      <w:r w:rsidRPr="00927302">
        <w:t xml:space="preserve">In accordance with the principles in clause 6.18.4 of the Rules, </w:t>
      </w:r>
      <w:r w:rsidR="005C0764">
        <w:t>Attachment 14, Appendix D</w:t>
      </w:r>
      <w:r w:rsidRPr="00927302">
        <w:t xml:space="preserve"> of the AER’s decision sets out the procedures to apply to assigning or reassigning customers to tariff classes</w:t>
      </w:r>
      <w:r>
        <w:rPr>
          <w:rStyle w:val="FootnoteReference"/>
        </w:rPr>
        <w:footnoteReference w:id="17"/>
      </w:r>
      <w:r w:rsidRPr="00927302">
        <w:t>.  These provisions are in several parts, covering the following aspects:</w:t>
      </w:r>
    </w:p>
    <w:p w:rsidR="00CF2BD9" w:rsidRPr="00927302" w:rsidRDefault="00CF2BD9" w:rsidP="00CF2BD9">
      <w:pPr>
        <w:pStyle w:val="ListParagraph"/>
        <w:numPr>
          <w:ilvl w:val="0"/>
          <w:numId w:val="22"/>
        </w:numPr>
        <w:tabs>
          <w:tab w:val="left" w:pos="851"/>
        </w:tabs>
        <w:spacing w:after="120" w:line="240" w:lineRule="auto"/>
        <w:ind w:left="850" w:hanging="425"/>
        <w:contextualSpacing w:val="0"/>
      </w:pPr>
      <w:r>
        <w:t>Assignment</w:t>
      </w:r>
      <w:r w:rsidRPr="00927302">
        <w:t xml:space="preserve"> of </w:t>
      </w:r>
      <w:r>
        <w:t xml:space="preserve">existing retail </w:t>
      </w:r>
      <w:r w:rsidRPr="00927302">
        <w:t xml:space="preserve">customers </w:t>
      </w:r>
      <w:r>
        <w:t xml:space="preserve">to tariff classes </w:t>
      </w:r>
      <w:r w:rsidRPr="00927302">
        <w:t xml:space="preserve">at the commencement of the </w:t>
      </w:r>
      <w:r w:rsidR="006564D9">
        <w:t xml:space="preserve">forthcoming </w:t>
      </w:r>
      <w:r w:rsidRPr="00927302">
        <w:t xml:space="preserve"> regulatory control period;</w:t>
      </w:r>
    </w:p>
    <w:p w:rsidR="00CF2BD9" w:rsidRPr="00927302" w:rsidRDefault="00CF2BD9" w:rsidP="00CF2BD9">
      <w:pPr>
        <w:pStyle w:val="ListParagraph"/>
        <w:numPr>
          <w:ilvl w:val="0"/>
          <w:numId w:val="22"/>
        </w:numPr>
        <w:tabs>
          <w:tab w:val="left" w:pos="851"/>
        </w:tabs>
        <w:spacing w:after="120" w:line="240" w:lineRule="auto"/>
        <w:ind w:left="850" w:hanging="425"/>
        <w:contextualSpacing w:val="0"/>
      </w:pPr>
      <w:r w:rsidRPr="00927302">
        <w:t xml:space="preserve">Assignment of new </w:t>
      </w:r>
      <w:r>
        <w:t xml:space="preserve">retail </w:t>
      </w:r>
      <w:r w:rsidRPr="00927302">
        <w:t xml:space="preserve">customers to a tariff class during the next regulatory control period; </w:t>
      </w:r>
    </w:p>
    <w:p w:rsidR="00CF2BD9" w:rsidRPr="00927302" w:rsidRDefault="00CF2BD9" w:rsidP="00CF2BD9">
      <w:pPr>
        <w:pStyle w:val="ListParagraph"/>
        <w:numPr>
          <w:ilvl w:val="0"/>
          <w:numId w:val="22"/>
        </w:numPr>
        <w:tabs>
          <w:tab w:val="left" w:pos="851"/>
        </w:tabs>
        <w:spacing w:after="120" w:line="240" w:lineRule="auto"/>
        <w:ind w:left="850" w:hanging="425"/>
        <w:contextualSpacing w:val="0"/>
      </w:pPr>
      <w:r w:rsidRPr="00927302">
        <w:t>Reassignment of existing</w:t>
      </w:r>
      <w:r>
        <w:t xml:space="preserve"> retail</w:t>
      </w:r>
      <w:r w:rsidRPr="00927302">
        <w:t xml:space="preserve"> customers to another existing or a new tariff during the next regulatory control period;</w:t>
      </w:r>
    </w:p>
    <w:p w:rsidR="00CF2BD9" w:rsidRPr="00927302" w:rsidRDefault="00CF2BD9" w:rsidP="00CF2BD9">
      <w:pPr>
        <w:pStyle w:val="ListParagraph"/>
        <w:numPr>
          <w:ilvl w:val="0"/>
          <w:numId w:val="22"/>
        </w:numPr>
        <w:tabs>
          <w:tab w:val="left" w:pos="851"/>
        </w:tabs>
        <w:spacing w:after="120" w:line="240" w:lineRule="auto"/>
        <w:ind w:left="850" w:hanging="425"/>
        <w:contextualSpacing w:val="0"/>
      </w:pPr>
      <w:r w:rsidRPr="00927302">
        <w:t>Objections to proposed assignments and reassignments; and</w:t>
      </w:r>
    </w:p>
    <w:p w:rsidR="00CF2BD9" w:rsidRPr="00927302" w:rsidRDefault="00CF2BD9" w:rsidP="00CF2BD9">
      <w:pPr>
        <w:pStyle w:val="ListParagraph"/>
        <w:numPr>
          <w:ilvl w:val="0"/>
          <w:numId w:val="22"/>
        </w:numPr>
        <w:tabs>
          <w:tab w:val="left" w:pos="851"/>
        </w:tabs>
        <w:spacing w:after="240" w:line="240" w:lineRule="auto"/>
        <w:ind w:left="850" w:hanging="425"/>
        <w:contextualSpacing w:val="0"/>
      </w:pPr>
      <w:r w:rsidRPr="00927302">
        <w:t xml:space="preserve">System of assessment and review of the basis on which a </w:t>
      </w:r>
      <w:r>
        <w:t xml:space="preserve">retail </w:t>
      </w:r>
      <w:r w:rsidRPr="00927302">
        <w:t>customer is charged.</w:t>
      </w:r>
    </w:p>
    <w:p w:rsidR="00CF2BD9" w:rsidRDefault="00CF2BD9" w:rsidP="00CF2BD9">
      <w:pPr>
        <w:rPr>
          <w:b/>
        </w:rPr>
      </w:pPr>
      <w:r w:rsidRPr="00CF2BD9">
        <w:rPr>
          <w:b/>
        </w:rPr>
        <w:t xml:space="preserve">Assignment of </w:t>
      </w:r>
      <w:r>
        <w:rPr>
          <w:b/>
        </w:rPr>
        <w:t>existing retail</w:t>
      </w:r>
      <w:r w:rsidRPr="00CF2BD9">
        <w:rPr>
          <w:b/>
        </w:rPr>
        <w:t xml:space="preserve"> customers to a tariff class</w:t>
      </w:r>
      <w:r>
        <w:rPr>
          <w:b/>
        </w:rPr>
        <w:t>es at the commencement of</w:t>
      </w:r>
      <w:r w:rsidRPr="00CF2BD9">
        <w:rPr>
          <w:b/>
        </w:rPr>
        <w:t xml:space="preserve"> the forthcoming regulatory control period</w:t>
      </w:r>
    </w:p>
    <w:p w:rsidR="00CF2BD9" w:rsidRDefault="00EA36E3" w:rsidP="003C07A2">
      <w:pPr>
        <w:pStyle w:val="ListParagraph"/>
        <w:numPr>
          <w:ilvl w:val="0"/>
          <w:numId w:val="36"/>
        </w:numPr>
        <w:ind w:left="1134" w:hanging="624"/>
      </w:pPr>
      <w:r>
        <w:t>SA Power Networks</w:t>
      </w:r>
      <w:r w:rsidR="00CF2BD9">
        <w:t xml:space="preserve">’ retail customers will be taken to be “assigned” to the tariff class to which </w:t>
      </w:r>
      <w:r>
        <w:t>SA Power Networks</w:t>
      </w:r>
      <w:r w:rsidR="00CF2BD9">
        <w:t xml:space="preserve"> was charging that retail customer immediately prior to 1 July 2015 if:</w:t>
      </w:r>
    </w:p>
    <w:p w:rsidR="00CF2BD9" w:rsidRDefault="00CF2BD9" w:rsidP="005B4468">
      <w:pPr>
        <w:pStyle w:val="ListParagraph"/>
        <w:numPr>
          <w:ilvl w:val="0"/>
          <w:numId w:val="22"/>
        </w:numPr>
        <w:tabs>
          <w:tab w:val="left" w:pos="851"/>
        </w:tabs>
        <w:spacing w:after="120" w:line="240" w:lineRule="auto"/>
        <w:ind w:left="850" w:hanging="425"/>
        <w:contextualSpacing w:val="0"/>
      </w:pPr>
      <w:r>
        <w:t xml:space="preserve">they were an </w:t>
      </w:r>
      <w:r w:rsidR="00EA36E3">
        <w:t>SA Power Networks</w:t>
      </w:r>
      <w:r>
        <w:t xml:space="preserve"> retail customer prior to 1 July 2015</w:t>
      </w:r>
    </w:p>
    <w:p w:rsidR="00CF2BD9" w:rsidRPr="00CF2BD9" w:rsidRDefault="00CF2BD9" w:rsidP="005B4468">
      <w:pPr>
        <w:pStyle w:val="ListParagraph"/>
        <w:numPr>
          <w:ilvl w:val="0"/>
          <w:numId w:val="22"/>
        </w:numPr>
        <w:tabs>
          <w:tab w:val="left" w:pos="851"/>
        </w:tabs>
        <w:spacing w:after="120" w:line="240" w:lineRule="auto"/>
        <w:ind w:left="850" w:hanging="425"/>
        <w:contextualSpacing w:val="0"/>
      </w:pPr>
      <w:r>
        <w:t xml:space="preserve">they continue to be a retail customer of </w:t>
      </w:r>
      <w:r w:rsidR="00EA36E3">
        <w:t>SA Power Networks</w:t>
      </w:r>
      <w:r>
        <w:t xml:space="preserve"> as at 1 July 2015.</w:t>
      </w:r>
    </w:p>
    <w:p w:rsidR="007800C8" w:rsidRPr="00927302" w:rsidRDefault="007800C8" w:rsidP="0044594F"/>
    <w:p w:rsidR="00CF2BD9" w:rsidRPr="00927302" w:rsidRDefault="00CF2BD9" w:rsidP="00CF2BD9">
      <w:pPr>
        <w:rPr>
          <w:b/>
        </w:rPr>
      </w:pPr>
      <w:r w:rsidRPr="00927302">
        <w:rPr>
          <w:b/>
        </w:rPr>
        <w:t xml:space="preserve">Assignment of new </w:t>
      </w:r>
      <w:r>
        <w:rPr>
          <w:b/>
        </w:rPr>
        <w:t xml:space="preserve">retail </w:t>
      </w:r>
      <w:r w:rsidRPr="00927302">
        <w:rPr>
          <w:b/>
        </w:rPr>
        <w:t xml:space="preserve">customers to a tariff class during the </w:t>
      </w:r>
      <w:r>
        <w:rPr>
          <w:b/>
        </w:rPr>
        <w:t xml:space="preserve">forthcoming </w:t>
      </w:r>
      <w:r w:rsidRPr="00927302">
        <w:rPr>
          <w:b/>
        </w:rPr>
        <w:t>regulatory control period</w:t>
      </w:r>
    </w:p>
    <w:p w:rsidR="00CF2BD9" w:rsidRPr="00927302" w:rsidRDefault="00CF2BD9" w:rsidP="00CF2BD9">
      <w:pPr>
        <w:tabs>
          <w:tab w:val="left" w:pos="568"/>
        </w:tabs>
        <w:spacing w:after="120"/>
        <w:ind w:left="1134" w:hanging="567"/>
        <w:rPr>
          <w:rFonts w:cs="Arial-BoldMT"/>
          <w:szCs w:val="23"/>
        </w:rPr>
      </w:pPr>
      <w:r w:rsidRPr="00927302">
        <w:t>2.</w:t>
      </w:r>
      <w:r w:rsidRPr="00927302">
        <w:tab/>
      </w:r>
      <w:r w:rsidRPr="003D2E5E">
        <w:t xml:space="preserve">If, </w:t>
      </w:r>
      <w:r w:rsidRPr="003D2E5E">
        <w:rPr>
          <w:rFonts w:cs="Arial-BoldMT"/>
          <w:szCs w:val="23"/>
        </w:rPr>
        <w:t xml:space="preserve">after 1 July 2015, </w:t>
      </w:r>
      <w:r w:rsidR="00EA36E3">
        <w:rPr>
          <w:rFonts w:cs="Arial-BoldMT"/>
          <w:szCs w:val="23"/>
        </w:rPr>
        <w:t>SA Power Networks</w:t>
      </w:r>
      <w:r w:rsidRPr="003D2E5E">
        <w:rPr>
          <w:rFonts w:cs="Arial-BoldMT"/>
          <w:szCs w:val="23"/>
        </w:rPr>
        <w:t xml:space="preserve"> becomes aware that a person will become a customer, then </w:t>
      </w:r>
      <w:r w:rsidR="00EA36E3">
        <w:rPr>
          <w:rFonts w:cs="Arial-BoldMT"/>
          <w:szCs w:val="23"/>
        </w:rPr>
        <w:t>SA Power Networks</w:t>
      </w:r>
      <w:r w:rsidRPr="003D2E5E">
        <w:rPr>
          <w:rFonts w:cs="Arial-BoldMT"/>
          <w:szCs w:val="23"/>
        </w:rPr>
        <w:t xml:space="preserve"> must determine the tariff class to which the new customer will be assigned.</w:t>
      </w:r>
    </w:p>
    <w:p w:rsidR="00CF2BD9" w:rsidRPr="00927302" w:rsidRDefault="00CF2BD9" w:rsidP="00CF2BD9">
      <w:pPr>
        <w:keepNext/>
        <w:tabs>
          <w:tab w:val="left" w:pos="568"/>
        </w:tabs>
        <w:spacing w:after="120"/>
        <w:ind w:left="1134" w:hanging="567"/>
        <w:rPr>
          <w:rFonts w:cs="Arial-BoldMT"/>
          <w:szCs w:val="23"/>
        </w:rPr>
      </w:pPr>
      <w:r w:rsidRPr="00927302">
        <w:rPr>
          <w:rFonts w:cs="Arial-BoldMT"/>
          <w:szCs w:val="23"/>
        </w:rPr>
        <w:t>3.</w:t>
      </w:r>
      <w:r w:rsidRPr="00927302">
        <w:rPr>
          <w:rFonts w:cs="Arial-BoldMT"/>
          <w:szCs w:val="23"/>
        </w:rPr>
        <w:tab/>
        <w:t xml:space="preserve">In determining the tariff class to which a </w:t>
      </w:r>
      <w:r>
        <w:rPr>
          <w:rFonts w:cs="Arial-BoldMT"/>
          <w:szCs w:val="23"/>
        </w:rPr>
        <w:t xml:space="preserve">retail </w:t>
      </w:r>
      <w:r w:rsidRPr="00927302">
        <w:rPr>
          <w:rFonts w:cs="Arial-BoldMT"/>
          <w:szCs w:val="23"/>
        </w:rPr>
        <w:t xml:space="preserve">customer or potential </w:t>
      </w:r>
      <w:r>
        <w:rPr>
          <w:rFonts w:cs="Arial-BoldMT"/>
          <w:szCs w:val="23"/>
        </w:rPr>
        <w:t xml:space="preserve">retail </w:t>
      </w:r>
      <w:r w:rsidRPr="00927302">
        <w:rPr>
          <w:rFonts w:cs="Arial-BoldMT"/>
          <w:szCs w:val="23"/>
        </w:rPr>
        <w:t xml:space="preserve">customer will be assigned, or reassigned, in accordance with </w:t>
      </w:r>
      <w:r>
        <w:rPr>
          <w:rFonts w:cs="Arial-BoldMT"/>
          <w:szCs w:val="23"/>
        </w:rPr>
        <w:t>paragraph 2</w:t>
      </w:r>
      <w:r w:rsidRPr="00E51E67">
        <w:rPr>
          <w:rFonts w:cs="Arial-BoldMT"/>
          <w:szCs w:val="23"/>
        </w:rPr>
        <w:t xml:space="preserve"> </w:t>
      </w:r>
      <w:r w:rsidRPr="00927302">
        <w:rPr>
          <w:rFonts w:cs="Arial-BoldMT"/>
          <w:szCs w:val="23"/>
        </w:rPr>
        <w:t xml:space="preserve">or </w:t>
      </w:r>
      <w:r w:rsidR="00575C9A">
        <w:rPr>
          <w:rFonts w:cs="Arial-BoldMT"/>
          <w:szCs w:val="23"/>
        </w:rPr>
        <w:fldChar w:fldCharType="begin"/>
      </w:r>
      <w:r>
        <w:rPr>
          <w:rFonts w:cs="Arial-BoldMT"/>
          <w:szCs w:val="23"/>
        </w:rPr>
        <w:instrText xml:space="preserve"> REF _Ref134069703 \r \h </w:instrText>
      </w:r>
      <w:r w:rsidR="00575C9A">
        <w:rPr>
          <w:rFonts w:cs="Arial-BoldMT"/>
          <w:szCs w:val="23"/>
        </w:rPr>
      </w:r>
      <w:r w:rsidR="00575C9A">
        <w:rPr>
          <w:rFonts w:cs="Arial-BoldMT"/>
          <w:szCs w:val="23"/>
        </w:rPr>
        <w:fldChar w:fldCharType="separate"/>
      </w:r>
      <w:r w:rsidR="00A81AFE">
        <w:rPr>
          <w:rFonts w:cs="Arial-BoldMT"/>
          <w:szCs w:val="23"/>
        </w:rPr>
        <w:t>5</w:t>
      </w:r>
      <w:r w:rsidR="00575C9A">
        <w:rPr>
          <w:rFonts w:cs="Arial-BoldMT"/>
          <w:szCs w:val="23"/>
        </w:rPr>
        <w:fldChar w:fldCharType="end"/>
      </w:r>
      <w:r>
        <w:rPr>
          <w:rFonts w:cs="Arial-BoldMT"/>
          <w:szCs w:val="23"/>
        </w:rPr>
        <w:t xml:space="preserve"> of this section</w:t>
      </w:r>
      <w:r w:rsidRPr="00927302">
        <w:rPr>
          <w:rFonts w:cs="Arial-BoldMT"/>
          <w:szCs w:val="23"/>
        </w:rPr>
        <w:t xml:space="preserve">, </w:t>
      </w:r>
      <w:r w:rsidR="00EA36E3">
        <w:rPr>
          <w:rFonts w:cs="Arial-BoldMT"/>
          <w:szCs w:val="23"/>
        </w:rPr>
        <w:t>SA Power Networks</w:t>
      </w:r>
      <w:r w:rsidRPr="00927302">
        <w:rPr>
          <w:rFonts w:cs="Arial-BoldMT"/>
          <w:szCs w:val="23"/>
        </w:rPr>
        <w:t xml:space="preserve"> must take into account one or more of the following factors:</w:t>
      </w:r>
    </w:p>
    <w:p w:rsidR="00CF2BD9" w:rsidRPr="00927302" w:rsidRDefault="00CF2BD9" w:rsidP="00CF2BD9">
      <w:pPr>
        <w:tabs>
          <w:tab w:val="left" w:pos="1136"/>
        </w:tabs>
        <w:spacing w:after="120"/>
        <w:ind w:left="1703" w:hanging="567"/>
        <w:rPr>
          <w:rFonts w:cs="Arial-BoldMT"/>
          <w:szCs w:val="23"/>
        </w:rPr>
      </w:pPr>
      <w:r w:rsidRPr="00927302">
        <w:rPr>
          <w:rFonts w:cs="Arial-BoldMT"/>
          <w:szCs w:val="23"/>
        </w:rPr>
        <w:t>(a)</w:t>
      </w:r>
      <w:r w:rsidRPr="00927302">
        <w:rPr>
          <w:rFonts w:cs="Arial-BoldMT"/>
          <w:szCs w:val="23"/>
        </w:rPr>
        <w:tab/>
        <w:t xml:space="preserve">the nature and extent of the </w:t>
      </w:r>
      <w:r>
        <w:rPr>
          <w:rFonts w:cs="Arial-BoldMT"/>
          <w:szCs w:val="23"/>
        </w:rPr>
        <w:t xml:space="preserve">retail </w:t>
      </w:r>
      <w:r w:rsidRPr="00927302">
        <w:rPr>
          <w:rFonts w:cs="Arial-BoldMT"/>
          <w:szCs w:val="23"/>
        </w:rPr>
        <w:t>customer’s usage</w:t>
      </w:r>
    </w:p>
    <w:p w:rsidR="00CF2BD9" w:rsidRPr="00927302" w:rsidRDefault="00CF2BD9" w:rsidP="00CF2BD9">
      <w:pPr>
        <w:tabs>
          <w:tab w:val="left" w:pos="1136"/>
        </w:tabs>
        <w:spacing w:after="120"/>
        <w:ind w:left="1703" w:hanging="567"/>
        <w:rPr>
          <w:rFonts w:cs="Arial-BoldMT"/>
          <w:szCs w:val="23"/>
        </w:rPr>
      </w:pPr>
      <w:r w:rsidRPr="00927302">
        <w:rPr>
          <w:rFonts w:cs="Arial-BoldMT"/>
          <w:szCs w:val="23"/>
        </w:rPr>
        <w:t>(b)</w:t>
      </w:r>
      <w:r w:rsidRPr="00927302">
        <w:rPr>
          <w:rFonts w:cs="Arial-BoldMT"/>
          <w:szCs w:val="23"/>
        </w:rPr>
        <w:tab/>
        <w:t xml:space="preserve">the nature of the </w:t>
      </w:r>
      <w:r>
        <w:rPr>
          <w:rFonts w:cs="Arial-BoldMT"/>
          <w:szCs w:val="23"/>
        </w:rPr>
        <w:t xml:space="preserve">retail </w:t>
      </w:r>
      <w:r w:rsidRPr="00927302">
        <w:rPr>
          <w:rFonts w:cs="Arial-BoldMT"/>
          <w:szCs w:val="23"/>
        </w:rPr>
        <w:t>customer’s connection to the network</w:t>
      </w:r>
      <w:r w:rsidRPr="00927302">
        <w:rPr>
          <w:rStyle w:val="FootnoteReference"/>
          <w:rFonts w:cs="Arial-BoldMT"/>
          <w:szCs w:val="23"/>
        </w:rPr>
        <w:footnoteReference w:id="18"/>
      </w:r>
    </w:p>
    <w:p w:rsidR="00CF2BD9" w:rsidRPr="00927302" w:rsidRDefault="00CF2BD9" w:rsidP="00CF2BD9">
      <w:pPr>
        <w:tabs>
          <w:tab w:val="left" w:pos="1136"/>
        </w:tabs>
        <w:spacing w:after="120"/>
        <w:ind w:left="1703" w:hanging="567"/>
        <w:rPr>
          <w:rFonts w:cs="Arial-BoldMT"/>
          <w:szCs w:val="23"/>
        </w:rPr>
      </w:pPr>
      <w:r w:rsidRPr="00927302">
        <w:rPr>
          <w:rFonts w:cs="Arial-BoldMT"/>
          <w:szCs w:val="23"/>
        </w:rPr>
        <w:t>(c)</w:t>
      </w:r>
      <w:r w:rsidRPr="00927302">
        <w:rPr>
          <w:rFonts w:cs="Arial-BoldMT"/>
          <w:szCs w:val="23"/>
        </w:rPr>
        <w:tab/>
        <w:t xml:space="preserve">whether remotely–read interval metering or other similar metering technology has been installed at the </w:t>
      </w:r>
      <w:r w:rsidR="006564D9">
        <w:rPr>
          <w:rFonts w:cs="Arial-BoldMT"/>
          <w:szCs w:val="23"/>
        </w:rPr>
        <w:t xml:space="preserve">retail </w:t>
      </w:r>
      <w:r w:rsidRPr="00927302">
        <w:rPr>
          <w:rFonts w:cs="Arial-BoldMT"/>
          <w:szCs w:val="23"/>
        </w:rPr>
        <w:t>customer’s premises as a result of a regulatory obligation or requirement.</w:t>
      </w:r>
    </w:p>
    <w:p w:rsidR="00CF2BD9" w:rsidRPr="00927302" w:rsidRDefault="00CF2BD9" w:rsidP="00CF2BD9">
      <w:pPr>
        <w:tabs>
          <w:tab w:val="left" w:pos="568"/>
        </w:tabs>
        <w:spacing w:after="120"/>
        <w:ind w:left="1134" w:hanging="567"/>
        <w:rPr>
          <w:rFonts w:cs="Arial-BoldMT"/>
          <w:szCs w:val="23"/>
        </w:rPr>
      </w:pPr>
      <w:r w:rsidRPr="00927302">
        <w:rPr>
          <w:rFonts w:cs="Arial-BoldMT"/>
          <w:szCs w:val="23"/>
        </w:rPr>
        <w:t>4.</w:t>
      </w:r>
      <w:r w:rsidRPr="00927302">
        <w:rPr>
          <w:rFonts w:cs="Arial-BoldMT"/>
          <w:szCs w:val="23"/>
        </w:rPr>
        <w:tab/>
        <w:t xml:space="preserve">In addition to the requirements under </w:t>
      </w:r>
      <w:r>
        <w:rPr>
          <w:rFonts w:cs="Arial-BoldMT"/>
          <w:szCs w:val="23"/>
        </w:rPr>
        <w:t xml:space="preserve">paragraph </w:t>
      </w:r>
      <w:r w:rsidRPr="00927302">
        <w:rPr>
          <w:rFonts w:cs="Arial-BoldMT"/>
          <w:szCs w:val="23"/>
        </w:rPr>
        <w:t>3</w:t>
      </w:r>
      <w:r>
        <w:rPr>
          <w:rFonts w:cs="Arial-BoldMT"/>
          <w:szCs w:val="23"/>
        </w:rPr>
        <w:t xml:space="preserve"> above</w:t>
      </w:r>
      <w:r w:rsidRPr="00927302">
        <w:rPr>
          <w:rFonts w:cs="Arial-BoldMT"/>
          <w:szCs w:val="23"/>
        </w:rPr>
        <w:t xml:space="preserve">, </w:t>
      </w:r>
      <w:r w:rsidR="00EA36E3">
        <w:rPr>
          <w:rFonts w:cs="Arial-BoldMT"/>
          <w:szCs w:val="23"/>
        </w:rPr>
        <w:t>SA Power Networks</w:t>
      </w:r>
      <w:r w:rsidRPr="00927302">
        <w:rPr>
          <w:rFonts w:cs="Arial-BoldMT"/>
          <w:szCs w:val="23"/>
        </w:rPr>
        <w:t>, when assigning or reassigning a</w:t>
      </w:r>
      <w:r>
        <w:rPr>
          <w:rFonts w:cs="Arial-BoldMT"/>
          <w:szCs w:val="23"/>
        </w:rPr>
        <w:t xml:space="preserve"> retail </w:t>
      </w:r>
      <w:r w:rsidRPr="00927302">
        <w:rPr>
          <w:rFonts w:cs="Arial-BoldMT"/>
          <w:szCs w:val="23"/>
        </w:rPr>
        <w:t>customer to a tariff class, must ensure:</w:t>
      </w:r>
    </w:p>
    <w:p w:rsidR="00CF2BD9" w:rsidRPr="00927302" w:rsidRDefault="00CF2BD9" w:rsidP="00CF2BD9">
      <w:pPr>
        <w:tabs>
          <w:tab w:val="left" w:pos="1136"/>
        </w:tabs>
        <w:spacing w:after="120"/>
        <w:ind w:left="1703" w:hanging="567"/>
        <w:rPr>
          <w:rFonts w:cs="Arial-BoldMT"/>
          <w:szCs w:val="23"/>
        </w:rPr>
      </w:pPr>
      <w:r>
        <w:rPr>
          <w:rFonts w:cs="Arial-BoldMT"/>
          <w:szCs w:val="23"/>
        </w:rPr>
        <w:t>(a)</w:t>
      </w:r>
      <w:r>
        <w:rPr>
          <w:rFonts w:cs="Arial-BoldMT"/>
          <w:szCs w:val="23"/>
        </w:rPr>
        <w:tab/>
        <w:t>retail</w:t>
      </w:r>
      <w:r w:rsidRPr="00927302">
        <w:rPr>
          <w:rFonts w:cs="Arial-BoldMT"/>
          <w:szCs w:val="23"/>
        </w:rPr>
        <w:t xml:space="preserve"> customers with similar connection and usage profiles are treated equally</w:t>
      </w:r>
    </w:p>
    <w:p w:rsidR="00CF2BD9" w:rsidRPr="00927302" w:rsidRDefault="00CF2BD9" w:rsidP="00CF2BD9">
      <w:pPr>
        <w:tabs>
          <w:tab w:val="left" w:pos="1136"/>
        </w:tabs>
        <w:spacing w:after="120"/>
        <w:ind w:left="1703" w:hanging="567"/>
        <w:rPr>
          <w:rFonts w:cs="Arial-BoldMT"/>
          <w:szCs w:val="23"/>
        </w:rPr>
      </w:pPr>
      <w:r w:rsidRPr="00927302">
        <w:rPr>
          <w:rFonts w:cs="Arial-BoldMT"/>
          <w:szCs w:val="23"/>
        </w:rPr>
        <w:t>(b)</w:t>
      </w:r>
      <w:r w:rsidRPr="00927302">
        <w:rPr>
          <w:rFonts w:cs="Arial-BoldMT"/>
          <w:szCs w:val="23"/>
        </w:rPr>
        <w:tab/>
      </w:r>
      <w:r>
        <w:rPr>
          <w:rFonts w:cs="Arial-BoldMT"/>
          <w:szCs w:val="23"/>
        </w:rPr>
        <w:t>retail</w:t>
      </w:r>
      <w:r w:rsidRPr="00927302">
        <w:rPr>
          <w:rFonts w:cs="Arial-BoldMT"/>
          <w:szCs w:val="23"/>
        </w:rPr>
        <w:t xml:space="preserve"> customers who have micro–generation facilities are not treated less favourably than </w:t>
      </w:r>
      <w:r w:rsidR="006564D9">
        <w:rPr>
          <w:rFonts w:cs="Arial-BoldMT"/>
          <w:szCs w:val="23"/>
        </w:rPr>
        <w:t xml:space="preserve">retail </w:t>
      </w:r>
      <w:r w:rsidRPr="00927302">
        <w:rPr>
          <w:rFonts w:cs="Arial-BoldMT"/>
          <w:szCs w:val="23"/>
        </w:rPr>
        <w:t>customers with similar load profiles without such facilities.</w:t>
      </w:r>
    </w:p>
    <w:p w:rsidR="005C0764" w:rsidRPr="00927302" w:rsidRDefault="005C0764" w:rsidP="005C0764">
      <w:pPr>
        <w:rPr>
          <w:b/>
        </w:rPr>
      </w:pPr>
      <w:r w:rsidRPr="00927302">
        <w:rPr>
          <w:b/>
        </w:rPr>
        <w:t xml:space="preserve">Reassignment of existing </w:t>
      </w:r>
      <w:r>
        <w:rPr>
          <w:b/>
        </w:rPr>
        <w:t xml:space="preserve">retail </w:t>
      </w:r>
      <w:r w:rsidRPr="00927302">
        <w:rPr>
          <w:b/>
        </w:rPr>
        <w:t>customers to another existing or a new tariff during the next regulatory control period</w:t>
      </w:r>
    </w:p>
    <w:p w:rsidR="0044594F" w:rsidRPr="00927302" w:rsidRDefault="0044594F" w:rsidP="0044594F">
      <w:pPr>
        <w:tabs>
          <w:tab w:val="left" w:pos="568"/>
        </w:tabs>
        <w:spacing w:after="120"/>
        <w:ind w:left="1134" w:hanging="567"/>
      </w:pPr>
      <w:r w:rsidRPr="00927302">
        <w:rPr>
          <w:rFonts w:cs="Arial-BoldMT"/>
          <w:szCs w:val="23"/>
        </w:rPr>
        <w:t xml:space="preserve">5. </w:t>
      </w:r>
      <w:r w:rsidRPr="00927302">
        <w:rPr>
          <w:rFonts w:cs="Arial-BoldMT"/>
          <w:szCs w:val="23"/>
        </w:rPr>
        <w:tab/>
      </w:r>
      <w:r w:rsidR="00EA36E3">
        <w:rPr>
          <w:rFonts w:cs="Arial-BoldMT"/>
          <w:szCs w:val="23"/>
        </w:rPr>
        <w:t>SA Power Networks</w:t>
      </w:r>
      <w:r w:rsidR="005C0764" w:rsidRPr="005C0764">
        <w:rPr>
          <w:rFonts w:cs="Arial-BoldMT"/>
          <w:szCs w:val="23"/>
        </w:rPr>
        <w:t xml:space="preserve"> may reassign a retail customer to another tariff class if the existing retail customer’s load characteristics or connection characteristics (or both) have changed such that it is no longer appropriate for that retail customer to be assigned to the tariff class to which the retail customer is currently assigned or a retail customer no longer has the same or materially similar load or connection characteristics as other retail customers on the retail customer’s existing tariff class, then it may reassign that retail customer to another tariff class. In determining the tariff class to which a retail customer will be reassigned, </w:t>
      </w:r>
      <w:r w:rsidR="00EA36E3">
        <w:rPr>
          <w:rFonts w:cs="Arial-BoldMT"/>
          <w:szCs w:val="23"/>
        </w:rPr>
        <w:t>SA Power Networks</w:t>
      </w:r>
      <w:r w:rsidR="005C0764" w:rsidRPr="005C0764">
        <w:rPr>
          <w:rFonts w:cs="Arial-BoldMT"/>
          <w:szCs w:val="23"/>
        </w:rPr>
        <w:t xml:space="preserve"> must take into account paragraphs 3 and 4 above.</w:t>
      </w:r>
    </w:p>
    <w:p w:rsidR="0044594F" w:rsidRPr="00927302" w:rsidRDefault="0044594F" w:rsidP="007800C8">
      <w:pPr>
        <w:rPr>
          <w:b/>
        </w:rPr>
      </w:pPr>
      <w:r w:rsidRPr="00927302">
        <w:rPr>
          <w:b/>
        </w:rPr>
        <w:t>Objections to proposed assignments and reassignments</w:t>
      </w:r>
    </w:p>
    <w:p w:rsidR="0044594F" w:rsidRPr="00927302" w:rsidRDefault="0044594F" w:rsidP="00780863">
      <w:pPr>
        <w:tabs>
          <w:tab w:val="left" w:pos="568"/>
        </w:tabs>
        <w:spacing w:after="120"/>
        <w:ind w:left="1134" w:hanging="567"/>
        <w:rPr>
          <w:rFonts w:cs="Arial-BoldMT"/>
          <w:szCs w:val="23"/>
        </w:rPr>
      </w:pPr>
      <w:r w:rsidRPr="00927302">
        <w:t xml:space="preserve">6. </w:t>
      </w:r>
      <w:r w:rsidRPr="00927302">
        <w:tab/>
      </w:r>
      <w:r w:rsidR="00EA36E3">
        <w:rPr>
          <w:rFonts w:cs="Arial-BoldMT"/>
          <w:szCs w:val="23"/>
        </w:rPr>
        <w:t>SA Power Networks</w:t>
      </w:r>
      <w:r w:rsidR="00780863" w:rsidRPr="00927302">
        <w:rPr>
          <w:rFonts w:cs="Arial-BoldMT"/>
          <w:szCs w:val="23"/>
        </w:rPr>
        <w:t xml:space="preserve"> must notify </w:t>
      </w:r>
      <w:r w:rsidR="00780863">
        <w:rPr>
          <w:rFonts w:cs="Arial-BoldMT"/>
          <w:szCs w:val="23"/>
        </w:rPr>
        <w:t xml:space="preserve">a </w:t>
      </w:r>
      <w:r w:rsidR="00780863" w:rsidRPr="00927302">
        <w:rPr>
          <w:rFonts w:cs="Arial-BoldMT"/>
          <w:szCs w:val="23"/>
        </w:rPr>
        <w:t>customer</w:t>
      </w:r>
      <w:r w:rsidR="00780863">
        <w:rPr>
          <w:rFonts w:cs="Arial-BoldMT"/>
          <w:szCs w:val="23"/>
        </w:rPr>
        <w:t xml:space="preserve">’s retailer in </w:t>
      </w:r>
      <w:r w:rsidR="00780863" w:rsidRPr="00927302">
        <w:rPr>
          <w:rFonts w:cs="Arial-BoldMT"/>
          <w:szCs w:val="23"/>
        </w:rPr>
        <w:t xml:space="preserve">writing of the tariff class to which the </w:t>
      </w:r>
      <w:r w:rsidR="00780863">
        <w:rPr>
          <w:rFonts w:cs="Arial-BoldMT"/>
          <w:szCs w:val="23"/>
        </w:rPr>
        <w:t xml:space="preserve">retail </w:t>
      </w:r>
      <w:r w:rsidR="00780863" w:rsidRPr="00927302">
        <w:rPr>
          <w:rFonts w:cs="Arial-BoldMT"/>
          <w:szCs w:val="23"/>
        </w:rPr>
        <w:t>customer has been assigned or reassigned, prior to the assignm</w:t>
      </w:r>
      <w:r w:rsidR="00780863">
        <w:rPr>
          <w:rFonts w:cs="Arial-BoldMT"/>
          <w:szCs w:val="23"/>
        </w:rPr>
        <w:t xml:space="preserve">ent or reassignment occurring. </w:t>
      </w:r>
    </w:p>
    <w:p w:rsidR="0044594F" w:rsidRPr="00927302" w:rsidRDefault="0044594F" w:rsidP="0044594F">
      <w:pPr>
        <w:tabs>
          <w:tab w:val="left" w:pos="568"/>
        </w:tabs>
        <w:spacing w:after="120"/>
        <w:ind w:left="1134" w:hanging="567"/>
      </w:pPr>
      <w:r w:rsidRPr="00927302">
        <w:rPr>
          <w:rFonts w:cs="Arial-BoldMT"/>
          <w:szCs w:val="23"/>
        </w:rPr>
        <w:t xml:space="preserve">7. </w:t>
      </w:r>
      <w:r w:rsidRPr="00927302">
        <w:rPr>
          <w:rFonts w:cs="Arial-BoldMT"/>
          <w:szCs w:val="23"/>
        </w:rPr>
        <w:tab/>
      </w:r>
      <w:r w:rsidR="007F4BCA">
        <w:rPr>
          <w:rFonts w:cs="Arial-BoldMT"/>
          <w:szCs w:val="23"/>
        </w:rPr>
        <w:t>A</w:t>
      </w:r>
      <w:r w:rsidR="00780863" w:rsidRPr="00927302">
        <w:rPr>
          <w:rFonts w:cs="Arial-BoldMT"/>
          <w:szCs w:val="23"/>
        </w:rPr>
        <w:t xml:space="preserve"> notice under </w:t>
      </w:r>
      <w:r w:rsidR="00780863">
        <w:rPr>
          <w:rFonts w:cs="Arial-BoldMT"/>
          <w:szCs w:val="23"/>
        </w:rPr>
        <w:t>paragraph</w:t>
      </w:r>
      <w:r w:rsidR="00780863" w:rsidRPr="00927302">
        <w:rPr>
          <w:rFonts w:cs="Arial-BoldMT"/>
          <w:szCs w:val="23"/>
        </w:rPr>
        <w:t xml:space="preserve"> 6 </w:t>
      </w:r>
      <w:r w:rsidR="00780863">
        <w:rPr>
          <w:rFonts w:cs="Arial-BoldMT"/>
          <w:szCs w:val="23"/>
        </w:rPr>
        <w:t xml:space="preserve">above </w:t>
      </w:r>
      <w:r w:rsidR="00780863" w:rsidRPr="00927302">
        <w:rPr>
          <w:rFonts w:cs="Arial-BoldMT"/>
          <w:szCs w:val="23"/>
        </w:rPr>
        <w:t xml:space="preserve">must include advice </w:t>
      </w:r>
      <w:r w:rsidR="00780863">
        <w:rPr>
          <w:rFonts w:cs="Arial-BoldMT"/>
          <w:szCs w:val="23"/>
        </w:rPr>
        <w:t>informing the</w:t>
      </w:r>
      <w:r w:rsidR="00780863" w:rsidRPr="00927302">
        <w:rPr>
          <w:rFonts w:cs="Arial-BoldMT"/>
          <w:szCs w:val="23"/>
        </w:rPr>
        <w:t xml:space="preserve"> customer</w:t>
      </w:r>
      <w:r w:rsidR="00780863">
        <w:rPr>
          <w:rFonts w:cs="Arial-BoldMT"/>
          <w:szCs w:val="23"/>
        </w:rPr>
        <w:t>’s retailer that they</w:t>
      </w:r>
      <w:r w:rsidR="00780863" w:rsidRPr="00927302">
        <w:rPr>
          <w:rFonts w:cs="Arial-BoldMT"/>
          <w:szCs w:val="23"/>
        </w:rPr>
        <w:t xml:space="preserve"> may request further information from </w:t>
      </w:r>
      <w:r w:rsidR="00EA36E3">
        <w:rPr>
          <w:rFonts w:cs="Arial-BoldMT"/>
          <w:szCs w:val="23"/>
        </w:rPr>
        <w:t>SA Power Networks</w:t>
      </w:r>
      <w:r w:rsidR="00780863" w:rsidRPr="00927302">
        <w:rPr>
          <w:rFonts w:cs="Arial-BoldMT"/>
          <w:szCs w:val="23"/>
        </w:rPr>
        <w:t xml:space="preserve"> and that </w:t>
      </w:r>
      <w:r w:rsidR="00780863">
        <w:rPr>
          <w:rFonts w:cs="Arial-BoldMT"/>
          <w:szCs w:val="23"/>
        </w:rPr>
        <w:t>the retail customer</w:t>
      </w:r>
      <w:r w:rsidR="00780863" w:rsidRPr="00927302">
        <w:rPr>
          <w:rFonts w:cs="Arial-BoldMT"/>
          <w:szCs w:val="23"/>
        </w:rPr>
        <w:t xml:space="preserve"> may object to the proposed reassignment</w:t>
      </w:r>
      <w:r w:rsidR="00780863" w:rsidRPr="00927302">
        <w:t>. This notice must specifically include:</w:t>
      </w:r>
    </w:p>
    <w:p w:rsidR="0044594F" w:rsidRPr="00927302" w:rsidRDefault="0044594F" w:rsidP="00780863">
      <w:pPr>
        <w:tabs>
          <w:tab w:val="left" w:pos="1136"/>
        </w:tabs>
        <w:spacing w:after="120"/>
        <w:ind w:left="1703" w:hanging="567"/>
        <w:rPr>
          <w:rFonts w:cs="Arial-BoldMT"/>
          <w:szCs w:val="23"/>
        </w:rPr>
      </w:pPr>
      <w:r w:rsidRPr="00927302">
        <w:t xml:space="preserve">a. </w:t>
      </w:r>
      <w:r w:rsidRPr="00927302">
        <w:tab/>
      </w:r>
      <w:r w:rsidR="00780863">
        <w:t>a written document describing</w:t>
      </w:r>
      <w:r w:rsidR="00780863" w:rsidRPr="00927302">
        <w:rPr>
          <w:rFonts w:cs="Arial-BoldMT"/>
          <w:szCs w:val="23"/>
        </w:rPr>
        <w:t xml:space="preserve"> </w:t>
      </w:r>
      <w:r w:rsidR="00EA36E3">
        <w:rPr>
          <w:rFonts w:cs="Arial-BoldMT"/>
          <w:szCs w:val="23"/>
        </w:rPr>
        <w:t>SA Power Networks</w:t>
      </w:r>
      <w:r w:rsidR="007F4BCA">
        <w:rPr>
          <w:rFonts w:cs="Arial-BoldMT"/>
          <w:szCs w:val="23"/>
        </w:rPr>
        <w:t>’</w:t>
      </w:r>
      <w:r w:rsidR="00780863" w:rsidRPr="00927302">
        <w:rPr>
          <w:rFonts w:cs="Arial-BoldMT"/>
          <w:szCs w:val="23"/>
        </w:rPr>
        <w:t xml:space="preserve"> internal proc</w:t>
      </w:r>
      <w:r w:rsidR="00780863">
        <w:rPr>
          <w:rFonts w:cs="Arial-BoldMT"/>
          <w:szCs w:val="23"/>
        </w:rPr>
        <w:t>edures for reviewing objections, if the customer’s retailer provides express consent, a soft copy of such information may be provided via email</w:t>
      </w:r>
    </w:p>
    <w:p w:rsidR="0044594F" w:rsidRPr="00927302" w:rsidRDefault="0044594F" w:rsidP="0044594F">
      <w:pPr>
        <w:tabs>
          <w:tab w:val="left" w:pos="1136"/>
        </w:tabs>
        <w:spacing w:after="120"/>
        <w:ind w:left="1703" w:hanging="567"/>
        <w:rPr>
          <w:rFonts w:cs="Arial-BoldMT"/>
          <w:szCs w:val="23"/>
        </w:rPr>
      </w:pPr>
      <w:r w:rsidRPr="00927302">
        <w:rPr>
          <w:rFonts w:cs="Arial-BoldMT"/>
          <w:szCs w:val="23"/>
        </w:rPr>
        <w:t xml:space="preserve">b. </w:t>
      </w:r>
      <w:r w:rsidRPr="00927302">
        <w:rPr>
          <w:rFonts w:cs="Arial-BoldMT"/>
          <w:szCs w:val="23"/>
        </w:rPr>
        <w:tab/>
      </w:r>
      <w:r w:rsidR="00780863" w:rsidRPr="00927302">
        <w:rPr>
          <w:rFonts w:cs="Arial-BoldMT"/>
          <w:szCs w:val="23"/>
        </w:rPr>
        <w:t>that if the objection is not resolved to the satisfaction of the customer</w:t>
      </w:r>
      <w:r w:rsidR="00780863">
        <w:rPr>
          <w:rFonts w:cs="Arial-BoldMT"/>
          <w:szCs w:val="23"/>
        </w:rPr>
        <w:t>’s retailer</w:t>
      </w:r>
      <w:r w:rsidR="00780863" w:rsidRPr="00927302">
        <w:rPr>
          <w:rFonts w:cs="Arial-BoldMT"/>
          <w:szCs w:val="23"/>
        </w:rPr>
        <w:t xml:space="preserve"> under </w:t>
      </w:r>
      <w:r w:rsidR="00EA36E3">
        <w:rPr>
          <w:rFonts w:cs="Arial-BoldMT"/>
          <w:szCs w:val="23"/>
        </w:rPr>
        <w:t>SA Power Networks</w:t>
      </w:r>
      <w:r w:rsidR="00780863" w:rsidRPr="00927302">
        <w:rPr>
          <w:rFonts w:cs="Arial-BoldMT"/>
          <w:szCs w:val="23"/>
        </w:rPr>
        <w:t>’ internal review system</w:t>
      </w:r>
      <w:r w:rsidR="00780863">
        <w:rPr>
          <w:rFonts w:cs="Arial-BoldMT"/>
          <w:szCs w:val="23"/>
        </w:rPr>
        <w:t xml:space="preserve"> within a reasonable timeframe</w:t>
      </w:r>
      <w:r w:rsidR="00780863" w:rsidRPr="00927302">
        <w:rPr>
          <w:rFonts w:cs="Arial-BoldMT"/>
          <w:szCs w:val="23"/>
        </w:rPr>
        <w:t>, then</w:t>
      </w:r>
      <w:r w:rsidR="00780863">
        <w:rPr>
          <w:rFonts w:cs="Arial-BoldMT"/>
          <w:szCs w:val="23"/>
        </w:rPr>
        <w:t xml:space="preserve">, </w:t>
      </w:r>
      <w:r w:rsidR="00780863" w:rsidRPr="00927302">
        <w:rPr>
          <w:rFonts w:cs="Arial-BoldMT"/>
          <w:szCs w:val="23"/>
        </w:rPr>
        <w:t xml:space="preserve">to the extent that resolution of such disputes are within the jurisdiction of </w:t>
      </w:r>
      <w:r w:rsidR="00780863">
        <w:rPr>
          <w:rFonts w:cs="Arial-BoldMT"/>
          <w:szCs w:val="23"/>
        </w:rPr>
        <w:t xml:space="preserve">the South Australian Energy Industry Ombudsman, or like officer, </w:t>
      </w:r>
      <w:r w:rsidR="00780863" w:rsidRPr="00927302">
        <w:rPr>
          <w:rFonts w:cs="Arial-BoldMT"/>
          <w:szCs w:val="23"/>
        </w:rPr>
        <w:t>the customer</w:t>
      </w:r>
      <w:r w:rsidR="00780863">
        <w:rPr>
          <w:rFonts w:cs="Arial-BoldMT"/>
          <w:szCs w:val="23"/>
        </w:rPr>
        <w:t>’s retailer</w:t>
      </w:r>
      <w:r w:rsidR="00780863" w:rsidRPr="00927302">
        <w:rPr>
          <w:rFonts w:cs="Arial-BoldMT"/>
          <w:szCs w:val="23"/>
        </w:rPr>
        <w:t xml:space="preserve"> is entitled to escalate the matter to such a body</w:t>
      </w:r>
    </w:p>
    <w:p w:rsidR="00780863" w:rsidRPr="00927302" w:rsidRDefault="0044594F" w:rsidP="00780863">
      <w:pPr>
        <w:tabs>
          <w:tab w:val="left" w:pos="1136"/>
        </w:tabs>
        <w:spacing w:after="120"/>
        <w:ind w:left="1703" w:hanging="567"/>
      </w:pPr>
      <w:r w:rsidRPr="00927302">
        <w:rPr>
          <w:rFonts w:cs="Arial-BoldMT"/>
          <w:szCs w:val="23"/>
        </w:rPr>
        <w:t xml:space="preserve">c. </w:t>
      </w:r>
      <w:r w:rsidRPr="00927302">
        <w:rPr>
          <w:rFonts w:cs="Arial-BoldMT"/>
          <w:szCs w:val="23"/>
        </w:rPr>
        <w:tab/>
      </w:r>
      <w:r w:rsidR="00780863" w:rsidRPr="00927302">
        <w:rPr>
          <w:rFonts w:cs="Arial-BoldMT"/>
          <w:szCs w:val="23"/>
        </w:rPr>
        <w:t>that if the objection is not resolved to the satisfaction of the customer</w:t>
      </w:r>
      <w:r w:rsidR="00780863">
        <w:rPr>
          <w:rFonts w:cs="Arial-BoldMT"/>
          <w:szCs w:val="23"/>
        </w:rPr>
        <w:t>’s retailer</w:t>
      </w:r>
      <w:r w:rsidR="00780863" w:rsidRPr="00927302">
        <w:rPr>
          <w:rFonts w:cs="Arial-BoldMT"/>
          <w:szCs w:val="23"/>
        </w:rPr>
        <w:t xml:space="preserve"> under </w:t>
      </w:r>
      <w:r w:rsidR="00EA36E3">
        <w:rPr>
          <w:rFonts w:cs="Arial-BoldMT"/>
          <w:szCs w:val="23"/>
        </w:rPr>
        <w:t>SA Power Networks</w:t>
      </w:r>
      <w:r w:rsidR="00780863">
        <w:rPr>
          <w:rFonts w:cs="Arial-BoldMT"/>
          <w:szCs w:val="23"/>
        </w:rPr>
        <w:t>’</w:t>
      </w:r>
      <w:r w:rsidR="00780863" w:rsidRPr="00927302">
        <w:rPr>
          <w:rFonts w:cs="Arial-BoldMT"/>
          <w:szCs w:val="23"/>
        </w:rPr>
        <w:t xml:space="preserve"> internal review system</w:t>
      </w:r>
      <w:r w:rsidR="00780863">
        <w:rPr>
          <w:rFonts w:cs="Arial-BoldMT"/>
          <w:szCs w:val="23"/>
        </w:rPr>
        <w:t xml:space="preserve"> and the body noted in clause7.b above,</w:t>
      </w:r>
      <w:r w:rsidR="00780863" w:rsidRPr="00927302">
        <w:rPr>
          <w:rFonts w:cs="Arial-BoldMT"/>
          <w:szCs w:val="23"/>
        </w:rPr>
        <w:t xml:space="preserve"> then the customer</w:t>
      </w:r>
      <w:r w:rsidR="00780863">
        <w:rPr>
          <w:rFonts w:cs="Arial-BoldMT"/>
          <w:szCs w:val="23"/>
        </w:rPr>
        <w:t xml:space="preserve"> or its retailer </w:t>
      </w:r>
      <w:r w:rsidR="00780863" w:rsidRPr="00927302">
        <w:rPr>
          <w:rFonts w:cs="Arial-BoldMT"/>
          <w:szCs w:val="23"/>
        </w:rPr>
        <w:t xml:space="preserve"> is entitled to seek </w:t>
      </w:r>
      <w:r w:rsidR="00780863">
        <w:rPr>
          <w:rFonts w:cs="Arial-BoldMT"/>
          <w:szCs w:val="23"/>
        </w:rPr>
        <w:t>a decision of the AER</w:t>
      </w:r>
      <w:r w:rsidR="00780863" w:rsidRPr="00927302">
        <w:rPr>
          <w:rFonts w:cs="Arial-BoldMT"/>
          <w:szCs w:val="23"/>
        </w:rPr>
        <w:t xml:space="preserve"> via the dispute resolution process</w:t>
      </w:r>
      <w:r w:rsidR="00780863" w:rsidRPr="00927302">
        <w:t xml:space="preserve"> available under Part 10 of the NEL.</w:t>
      </w:r>
    </w:p>
    <w:p w:rsidR="0044594F" w:rsidRPr="00927302" w:rsidRDefault="0044594F" w:rsidP="0044594F">
      <w:pPr>
        <w:tabs>
          <w:tab w:val="left" w:pos="1136"/>
        </w:tabs>
        <w:spacing w:after="120"/>
        <w:ind w:left="1703" w:hanging="567"/>
      </w:pPr>
    </w:p>
    <w:p w:rsidR="0044594F" w:rsidRPr="00927302" w:rsidRDefault="0044594F" w:rsidP="0044594F">
      <w:pPr>
        <w:tabs>
          <w:tab w:val="left" w:pos="568"/>
        </w:tabs>
        <w:spacing w:after="120"/>
        <w:ind w:left="1134" w:hanging="567"/>
        <w:rPr>
          <w:rFonts w:cs="Arial-BoldMT"/>
          <w:szCs w:val="23"/>
        </w:rPr>
      </w:pPr>
      <w:r w:rsidRPr="00927302">
        <w:t xml:space="preserve">8. </w:t>
      </w:r>
      <w:r w:rsidRPr="00927302">
        <w:tab/>
      </w:r>
      <w:r w:rsidR="00780863" w:rsidRPr="00927302">
        <w:t>If</w:t>
      </w:r>
      <w:r w:rsidR="00780863" w:rsidRPr="00927302">
        <w:rPr>
          <w:rFonts w:cs="Arial-BoldMT"/>
          <w:szCs w:val="23"/>
        </w:rPr>
        <w:t xml:space="preserve">, in response to a notice issued in accordance with </w:t>
      </w:r>
      <w:r w:rsidR="00780863">
        <w:rPr>
          <w:rFonts w:cs="Arial-BoldMT"/>
          <w:szCs w:val="23"/>
        </w:rPr>
        <w:t>paragraph 7 above</w:t>
      </w:r>
      <w:r w:rsidR="00780863" w:rsidRPr="00927302">
        <w:rPr>
          <w:rFonts w:cs="Arial-BoldMT"/>
          <w:szCs w:val="23"/>
        </w:rPr>
        <w:t xml:space="preserve">, </w:t>
      </w:r>
      <w:r w:rsidR="00EA36E3">
        <w:rPr>
          <w:rFonts w:cs="Arial-BoldMT"/>
          <w:szCs w:val="23"/>
        </w:rPr>
        <w:t>SA Power Networks</w:t>
      </w:r>
      <w:r w:rsidR="007F4BCA">
        <w:rPr>
          <w:rFonts w:cs="Arial-BoldMT"/>
          <w:szCs w:val="23"/>
        </w:rPr>
        <w:t xml:space="preserve"> </w:t>
      </w:r>
      <w:r w:rsidR="007F4BCA" w:rsidRPr="00927302">
        <w:rPr>
          <w:rFonts w:cs="Arial-BoldMT"/>
          <w:szCs w:val="23"/>
        </w:rPr>
        <w:t>receives</w:t>
      </w:r>
      <w:r w:rsidR="00780863" w:rsidRPr="00927302">
        <w:rPr>
          <w:rFonts w:cs="Arial-BoldMT"/>
          <w:szCs w:val="23"/>
        </w:rPr>
        <w:t xml:space="preserve"> a request for further information from a customer</w:t>
      </w:r>
      <w:r w:rsidR="00780863">
        <w:rPr>
          <w:rFonts w:cs="Arial-BoldMT"/>
          <w:szCs w:val="23"/>
        </w:rPr>
        <w:t>’s retailer</w:t>
      </w:r>
      <w:r w:rsidR="00780863" w:rsidRPr="00927302">
        <w:rPr>
          <w:rFonts w:cs="Arial-BoldMT"/>
          <w:szCs w:val="23"/>
        </w:rPr>
        <w:t>, then it must provide such information</w:t>
      </w:r>
      <w:r w:rsidR="00780863">
        <w:rPr>
          <w:rFonts w:cs="Arial-BoldMT"/>
          <w:szCs w:val="23"/>
        </w:rPr>
        <w:t xml:space="preserve"> within a reasonable timeframe</w:t>
      </w:r>
      <w:r w:rsidR="00780863" w:rsidRPr="00927302">
        <w:rPr>
          <w:rFonts w:cs="Arial-BoldMT"/>
          <w:szCs w:val="23"/>
        </w:rPr>
        <w:t xml:space="preserve">. If </w:t>
      </w:r>
      <w:r w:rsidR="00EA36E3">
        <w:rPr>
          <w:rFonts w:cs="Arial-BoldMT"/>
          <w:szCs w:val="23"/>
        </w:rPr>
        <w:t>SA Power Networks</w:t>
      </w:r>
      <w:r w:rsidR="00780863">
        <w:rPr>
          <w:rFonts w:cs="Arial-BoldMT"/>
          <w:szCs w:val="23"/>
        </w:rPr>
        <w:t xml:space="preserve"> reasonably claims confidentiality over any of the information requested by the customer’s retailer, then it is not</w:t>
      </w:r>
      <w:r w:rsidR="00780863" w:rsidRPr="00927302">
        <w:rPr>
          <w:rFonts w:cs="Arial-BoldMT"/>
          <w:szCs w:val="23"/>
        </w:rPr>
        <w:t xml:space="preserve"> required to provide that information to the customer</w:t>
      </w:r>
      <w:r w:rsidR="00780863">
        <w:rPr>
          <w:rFonts w:cs="Arial-BoldMT"/>
          <w:szCs w:val="23"/>
        </w:rPr>
        <w:t>’s retailer</w:t>
      </w:r>
      <w:r w:rsidR="00780863" w:rsidRPr="00927302">
        <w:rPr>
          <w:rFonts w:cs="Arial-BoldMT"/>
          <w:szCs w:val="23"/>
        </w:rPr>
        <w:t>.</w:t>
      </w:r>
      <w:r w:rsidR="00780863">
        <w:rPr>
          <w:rFonts w:cs="Arial-BoldMT"/>
          <w:szCs w:val="23"/>
        </w:rPr>
        <w:t xml:space="preserve"> If the customer’s retailer disagrees with such confidentiality claims, he or she may have resort to the dispute resolution procedures referred to in </w:t>
      </w:r>
      <w:r w:rsidR="0082589E">
        <w:rPr>
          <w:rFonts w:cs="Arial-BoldMT"/>
          <w:szCs w:val="23"/>
        </w:rPr>
        <w:t>paragraph 7</w:t>
      </w:r>
      <w:r w:rsidR="0082589E">
        <w:rPr>
          <w:rStyle w:val="CommentReference"/>
        </w:rPr>
        <w:t xml:space="preserve"> (</w:t>
      </w:r>
      <w:r w:rsidR="00780863">
        <w:rPr>
          <w:rFonts w:cs="Arial-BoldMT"/>
          <w:szCs w:val="23"/>
        </w:rPr>
        <w:t>as modified for a confidentiality dispute).</w:t>
      </w:r>
    </w:p>
    <w:p w:rsidR="00780863" w:rsidRDefault="0044594F" w:rsidP="0044594F">
      <w:pPr>
        <w:tabs>
          <w:tab w:val="left" w:pos="568"/>
        </w:tabs>
        <w:spacing w:after="120"/>
        <w:ind w:left="1134" w:hanging="567"/>
        <w:rPr>
          <w:rFonts w:cs="Arial-BoldMT"/>
          <w:szCs w:val="23"/>
        </w:rPr>
      </w:pPr>
      <w:r w:rsidRPr="00927302">
        <w:rPr>
          <w:rFonts w:cs="Arial-BoldMT"/>
          <w:szCs w:val="23"/>
        </w:rPr>
        <w:t xml:space="preserve">9. </w:t>
      </w:r>
      <w:r w:rsidRPr="00927302">
        <w:rPr>
          <w:rFonts w:cs="Arial-BoldMT"/>
          <w:szCs w:val="23"/>
        </w:rPr>
        <w:tab/>
      </w:r>
      <w:r w:rsidR="00780863" w:rsidRPr="00927302">
        <w:rPr>
          <w:rFonts w:cs="Arial-BoldMT"/>
          <w:szCs w:val="23"/>
        </w:rPr>
        <w:t xml:space="preserve">If, in response to a notice issued in accordance with </w:t>
      </w:r>
      <w:r w:rsidR="00780863">
        <w:rPr>
          <w:rFonts w:cs="Arial-BoldMT"/>
          <w:szCs w:val="23"/>
        </w:rPr>
        <w:t>paragraph</w:t>
      </w:r>
      <w:r w:rsidR="00780863" w:rsidRPr="00927302">
        <w:rPr>
          <w:rFonts w:cs="Arial-BoldMT"/>
          <w:szCs w:val="23"/>
        </w:rPr>
        <w:t xml:space="preserve"> 7</w:t>
      </w:r>
      <w:r w:rsidR="00780863">
        <w:rPr>
          <w:rFonts w:cs="Arial-BoldMT"/>
          <w:szCs w:val="23"/>
        </w:rPr>
        <w:t xml:space="preserve"> above, a customer’s retailer </w:t>
      </w:r>
      <w:r w:rsidR="00780863" w:rsidRPr="00927302">
        <w:rPr>
          <w:rFonts w:cs="Arial-BoldMT"/>
          <w:szCs w:val="23"/>
        </w:rPr>
        <w:t xml:space="preserve">makes an objection to </w:t>
      </w:r>
      <w:r w:rsidR="00EA36E3">
        <w:rPr>
          <w:rFonts w:cs="Arial-BoldMT"/>
          <w:szCs w:val="23"/>
        </w:rPr>
        <w:t>SA Power Networks</w:t>
      </w:r>
      <w:r w:rsidR="00780863" w:rsidRPr="00927302">
        <w:rPr>
          <w:rFonts w:cs="Arial-BoldMT"/>
          <w:szCs w:val="23"/>
        </w:rPr>
        <w:t xml:space="preserve"> about the proposed assignment or reassignment, </w:t>
      </w:r>
      <w:r w:rsidR="00EA36E3">
        <w:rPr>
          <w:rFonts w:cs="Arial-BoldMT"/>
          <w:szCs w:val="23"/>
        </w:rPr>
        <w:t>SA Power Networks</w:t>
      </w:r>
      <w:r w:rsidR="00780863" w:rsidRPr="00927302">
        <w:rPr>
          <w:rFonts w:cs="Arial-BoldMT"/>
          <w:szCs w:val="23"/>
        </w:rPr>
        <w:t xml:space="preserve"> must reconsider the proposed assignment or reassignment</w:t>
      </w:r>
      <w:r w:rsidR="00780863">
        <w:rPr>
          <w:rFonts w:cs="Arial-BoldMT"/>
          <w:szCs w:val="23"/>
        </w:rPr>
        <w:t xml:space="preserve">. In doing so </w:t>
      </w:r>
      <w:r w:rsidR="00EA36E3">
        <w:rPr>
          <w:rFonts w:cs="Arial-BoldMT"/>
          <w:szCs w:val="23"/>
        </w:rPr>
        <w:t>SA Power Networks</w:t>
      </w:r>
      <w:r w:rsidR="00780863">
        <w:rPr>
          <w:rFonts w:cs="Arial-BoldMT"/>
          <w:szCs w:val="23"/>
        </w:rPr>
        <w:t xml:space="preserve"> must take</w:t>
      </w:r>
      <w:r w:rsidR="00780863" w:rsidRPr="00927302">
        <w:rPr>
          <w:rFonts w:cs="Arial-BoldMT"/>
          <w:szCs w:val="23"/>
        </w:rPr>
        <w:t xml:space="preserve"> into consideration the factors in </w:t>
      </w:r>
      <w:r w:rsidR="00780863">
        <w:rPr>
          <w:rFonts w:cs="Arial-BoldMT"/>
          <w:szCs w:val="23"/>
        </w:rPr>
        <w:t>paragraphs</w:t>
      </w:r>
      <w:r w:rsidR="00780863" w:rsidRPr="00927302">
        <w:rPr>
          <w:rFonts w:cs="Arial-BoldMT"/>
          <w:szCs w:val="23"/>
        </w:rPr>
        <w:t xml:space="preserve"> 3 and 4 above, and notify the customer</w:t>
      </w:r>
      <w:r w:rsidR="00780863">
        <w:rPr>
          <w:rFonts w:cs="Arial-BoldMT"/>
          <w:szCs w:val="23"/>
        </w:rPr>
        <w:t>’s retailer</w:t>
      </w:r>
      <w:r w:rsidR="00780863" w:rsidRPr="00927302">
        <w:rPr>
          <w:rFonts w:cs="Arial-BoldMT"/>
          <w:szCs w:val="23"/>
        </w:rPr>
        <w:t xml:space="preserve"> in writing of its decision and the reasons for that decision.</w:t>
      </w:r>
    </w:p>
    <w:p w:rsidR="00780863" w:rsidRDefault="0044594F" w:rsidP="00780863">
      <w:pPr>
        <w:tabs>
          <w:tab w:val="left" w:pos="568"/>
        </w:tabs>
        <w:spacing w:after="120"/>
        <w:ind w:left="1134" w:hanging="567"/>
      </w:pPr>
      <w:r w:rsidRPr="00927302">
        <w:rPr>
          <w:rFonts w:cs="Arial-BoldMT"/>
          <w:szCs w:val="23"/>
        </w:rPr>
        <w:t xml:space="preserve">10. </w:t>
      </w:r>
      <w:r w:rsidRPr="00927302">
        <w:rPr>
          <w:rFonts w:cs="Arial-BoldMT"/>
          <w:szCs w:val="23"/>
        </w:rPr>
        <w:tab/>
      </w:r>
      <w:r w:rsidR="00780863" w:rsidRPr="00927302">
        <w:rPr>
          <w:rFonts w:cs="Arial-BoldMT"/>
          <w:szCs w:val="23"/>
        </w:rPr>
        <w:t xml:space="preserve">If a customer’s </w:t>
      </w:r>
      <w:r w:rsidR="00780863">
        <w:rPr>
          <w:rFonts w:cs="Arial-BoldMT"/>
          <w:szCs w:val="23"/>
        </w:rPr>
        <w:t xml:space="preserve">retailer’s </w:t>
      </w:r>
      <w:r w:rsidR="00780863" w:rsidRPr="00927302">
        <w:rPr>
          <w:rFonts w:cs="Arial-BoldMT"/>
          <w:szCs w:val="23"/>
        </w:rPr>
        <w:t xml:space="preserve">objection to a tariff assignment or reassignment is upheld by the relevant </w:t>
      </w:r>
      <w:r w:rsidR="00780863">
        <w:rPr>
          <w:rFonts w:cs="Arial-BoldMT"/>
          <w:szCs w:val="23"/>
        </w:rPr>
        <w:t>body noted in paragraph 7.b and 7.c above</w:t>
      </w:r>
      <w:r w:rsidR="00780863" w:rsidRPr="00927302">
        <w:rPr>
          <w:rFonts w:cs="Arial-BoldMT"/>
          <w:szCs w:val="23"/>
        </w:rPr>
        <w:t>, then any adjustment which needs to be made t</w:t>
      </w:r>
      <w:r w:rsidR="00780863" w:rsidRPr="00385AC5">
        <w:rPr>
          <w:rFonts w:cs="Arial-BoldMT"/>
          <w:szCs w:val="23"/>
        </w:rPr>
        <w:t xml:space="preserve">o </w:t>
      </w:r>
      <w:r w:rsidR="00780863">
        <w:rPr>
          <w:rFonts w:cs="Arial-BoldMT"/>
          <w:szCs w:val="23"/>
        </w:rPr>
        <w:t xml:space="preserve">tariffs </w:t>
      </w:r>
      <w:r w:rsidR="00780863" w:rsidRPr="00385AC5">
        <w:rPr>
          <w:rFonts w:cs="Arial-BoldMT"/>
          <w:szCs w:val="23"/>
        </w:rPr>
        <w:t>will be done by</w:t>
      </w:r>
      <w:r w:rsidR="00780863" w:rsidRPr="00385AC5">
        <w:t xml:space="preserve"> </w:t>
      </w:r>
      <w:r w:rsidR="00EA36E3">
        <w:t>SA Power Networks</w:t>
      </w:r>
      <w:r w:rsidR="00780863" w:rsidRPr="00385AC5">
        <w:t xml:space="preserve"> as part of the next annual review of prices.</w:t>
      </w:r>
    </w:p>
    <w:p w:rsidR="0044594F" w:rsidRPr="00385AC5" w:rsidRDefault="00780863" w:rsidP="0044594F">
      <w:pPr>
        <w:tabs>
          <w:tab w:val="left" w:pos="568"/>
        </w:tabs>
        <w:spacing w:after="120"/>
        <w:ind w:left="1134" w:hanging="567"/>
      </w:pPr>
      <w:r>
        <w:t>11.</w:t>
      </w:r>
      <w:r>
        <w:tab/>
        <w:t xml:space="preserve">If a customer’s retailer objects to </w:t>
      </w:r>
      <w:r w:rsidR="00EA36E3">
        <w:t>SA Power Networks</w:t>
      </w:r>
      <w:r>
        <w:t xml:space="preserve">’ tariff class assignment </w:t>
      </w:r>
      <w:r w:rsidR="00EA36E3">
        <w:t>SA Power Networks</w:t>
      </w:r>
      <w:r>
        <w:t xml:space="preserve"> must provide the information set out in paragraph 7 above and adopt and comply with the arrangements set out in paragraph 8, 9 and 10 above in respect of requests for further information by the customer’s retailer and resolution of the objection.</w:t>
      </w:r>
    </w:p>
    <w:p w:rsidR="0044594F" w:rsidRPr="00385AC5" w:rsidRDefault="0044594F" w:rsidP="0044594F">
      <w:pPr>
        <w:pStyle w:val="Heading2"/>
        <w:keepLines w:val="0"/>
        <w:numPr>
          <w:ilvl w:val="1"/>
          <w:numId w:val="16"/>
        </w:numPr>
        <w:spacing w:after="240" w:line="240" w:lineRule="auto"/>
      </w:pPr>
      <w:bookmarkStart w:id="195" w:name="_Ref133920408"/>
      <w:bookmarkStart w:id="196" w:name="_Toc420009881"/>
      <w:r w:rsidRPr="00385AC5">
        <w:t>Assignment of new customers to a tariff class during the next regulatory control period</w:t>
      </w:r>
      <w:bookmarkEnd w:id="195"/>
      <w:bookmarkEnd w:id="196"/>
    </w:p>
    <w:p w:rsidR="0044594F" w:rsidRDefault="0044594F" w:rsidP="0044594F">
      <w:r w:rsidRPr="00385AC5">
        <w:t xml:space="preserve">The approach that </w:t>
      </w:r>
      <w:r w:rsidR="00EA36E3">
        <w:t>SA Power Networks</w:t>
      </w:r>
      <w:r w:rsidRPr="00385AC5">
        <w:t xml:space="preserve"> applies to the tariff assignment of new and upgraded customer con</w:t>
      </w:r>
      <w:r w:rsidRPr="00927302">
        <w:t xml:space="preserve">nections has been developed over the years since the formation of the NEM.  </w:t>
      </w:r>
    </w:p>
    <w:p w:rsidR="007800C8" w:rsidRPr="00927302" w:rsidRDefault="007800C8" w:rsidP="0044594F"/>
    <w:p w:rsidR="0044594F" w:rsidRDefault="0044594F" w:rsidP="0044594F">
      <w:r w:rsidRPr="00927302">
        <w:t xml:space="preserve">In this </w:t>
      </w:r>
      <w:r w:rsidR="000B7F94">
        <w:t>Section</w:t>
      </w:r>
      <w:r w:rsidRPr="00927302">
        <w:t xml:space="preserve"> of the Pricing Proposal, </w:t>
      </w:r>
      <w:r w:rsidR="00EA36E3">
        <w:t>SA Power Networks</w:t>
      </w:r>
      <w:r w:rsidRPr="00927302">
        <w:t xml:space="preserve"> describes the process it applies to the initial assignment of customers to tariffs and to their reassignment.  Notwithstanding that the individual tariffs have been grouped within tariff classes in this Pricing Proposal, the existing approach to managing tariff assignment and reassignment is demonstrated to align with the requirements established by the AER.  Accordingly, no change is required to current practices.</w:t>
      </w:r>
    </w:p>
    <w:p w:rsidR="007800C8" w:rsidRPr="00927302" w:rsidRDefault="007800C8" w:rsidP="0044594F"/>
    <w:p w:rsidR="0044594F" w:rsidRDefault="0044594F" w:rsidP="0044594F">
      <w:pPr>
        <w:keepNext/>
      </w:pPr>
      <w:r w:rsidRPr="00927302">
        <w:t xml:space="preserve">The process whereby new customers are assigned to tariff classes and tariffs, following the receipt of a connection application by the customer or their retailer, follows the decision tree shown in </w:t>
      </w:r>
      <w:r w:rsidR="00575C9A">
        <w:fldChar w:fldCharType="begin"/>
      </w:r>
      <w:r>
        <w:instrText xml:space="preserve"> REF _Ref133839937 \h </w:instrText>
      </w:r>
      <w:r w:rsidR="00575C9A">
        <w:fldChar w:fldCharType="separate"/>
      </w:r>
      <w:r w:rsidR="00A81AFE" w:rsidRPr="00927302">
        <w:t xml:space="preserve">Figure </w:t>
      </w:r>
      <w:r w:rsidR="00A81AFE">
        <w:rPr>
          <w:noProof/>
        </w:rPr>
        <w:t>17</w:t>
      </w:r>
      <w:r w:rsidR="00575C9A">
        <w:fldChar w:fldCharType="end"/>
      </w:r>
      <w:r w:rsidRPr="00927302">
        <w:t>.  In the application of this process, a customer that lodges an application to modify or upgrade an existing network connection is treated in the same manner as a new customer.</w:t>
      </w:r>
    </w:p>
    <w:p w:rsidR="007800C8" w:rsidRPr="00927302" w:rsidRDefault="007800C8" w:rsidP="0044594F">
      <w:pPr>
        <w:keepNext/>
      </w:pPr>
    </w:p>
    <w:p w:rsidR="0044594F" w:rsidRPr="00927302" w:rsidRDefault="0044594F" w:rsidP="0044594F">
      <w:pPr>
        <w:pStyle w:val="Caption"/>
        <w:keepNext/>
      </w:pPr>
      <w:bookmarkStart w:id="197" w:name="_Ref133839937"/>
      <w:r w:rsidRPr="00927302">
        <w:t xml:space="preserve">Figure </w:t>
      </w:r>
      <w:r w:rsidR="00924A8F">
        <w:fldChar w:fldCharType="begin"/>
      </w:r>
      <w:r w:rsidR="00924A8F">
        <w:instrText xml:space="preserve"> SEQ Figure \* ARABIC </w:instrText>
      </w:r>
      <w:r w:rsidR="00924A8F">
        <w:fldChar w:fldCharType="separate"/>
      </w:r>
      <w:r w:rsidR="00A81AFE">
        <w:rPr>
          <w:noProof/>
        </w:rPr>
        <w:t>17</w:t>
      </w:r>
      <w:r w:rsidR="00924A8F">
        <w:rPr>
          <w:noProof/>
        </w:rPr>
        <w:fldChar w:fldCharType="end"/>
      </w:r>
      <w:bookmarkEnd w:id="197"/>
      <w:r w:rsidRPr="00927302">
        <w:t xml:space="preserve"> – Assignment of new and upgraded customer connections to tariff classes</w:t>
      </w:r>
    </w:p>
    <w:p w:rsidR="0044594F" w:rsidRPr="00927302" w:rsidRDefault="0044594F" w:rsidP="0044594F">
      <w:r>
        <w:rPr>
          <w:noProof/>
          <w:lang w:val="en-US"/>
        </w:rPr>
        <w:drawing>
          <wp:inline distT="0" distB="0" distL="0" distR="0">
            <wp:extent cx="5727700" cy="3530600"/>
            <wp:effectExtent l="19050" t="0" r="6350" b="0"/>
            <wp:docPr id="5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0" cstate="print"/>
                    <a:srcRect/>
                    <a:stretch>
                      <a:fillRect/>
                    </a:stretch>
                  </pic:blipFill>
                  <pic:spPr bwMode="auto">
                    <a:xfrm>
                      <a:off x="0" y="0"/>
                      <a:ext cx="5727700" cy="3530600"/>
                    </a:xfrm>
                    <a:prstGeom prst="rect">
                      <a:avLst/>
                    </a:prstGeom>
                    <a:noFill/>
                    <a:ln w="9525">
                      <a:noFill/>
                      <a:miter lim="800000"/>
                      <a:headEnd/>
                      <a:tailEnd/>
                    </a:ln>
                  </pic:spPr>
                </pic:pic>
              </a:graphicData>
            </a:graphic>
          </wp:inline>
        </w:drawing>
      </w:r>
    </w:p>
    <w:p w:rsidR="007800C8" w:rsidRDefault="007800C8" w:rsidP="0044594F"/>
    <w:p w:rsidR="0044594F" w:rsidRDefault="0044594F" w:rsidP="0044594F">
      <w:r w:rsidRPr="00927302">
        <w:t xml:space="preserve">This decision tree in </w:t>
      </w:r>
      <w:r w:rsidR="00575C9A">
        <w:fldChar w:fldCharType="begin"/>
      </w:r>
      <w:r>
        <w:instrText xml:space="preserve"> REF _Ref133839937 \h </w:instrText>
      </w:r>
      <w:r w:rsidR="00575C9A">
        <w:fldChar w:fldCharType="separate"/>
      </w:r>
      <w:r w:rsidR="00A81AFE" w:rsidRPr="00927302">
        <w:t xml:space="preserve">Figure </w:t>
      </w:r>
      <w:r w:rsidR="00A81AFE">
        <w:rPr>
          <w:noProof/>
        </w:rPr>
        <w:t>17</w:t>
      </w:r>
      <w:r w:rsidR="00575C9A">
        <w:fldChar w:fldCharType="end"/>
      </w:r>
      <w:r>
        <w:t xml:space="preserve"> </w:t>
      </w:r>
      <w:r w:rsidRPr="00927302">
        <w:t xml:space="preserve">highlights the existing process whereby customers are assigned to a tariff class and then to an individual tariff.  The process relies upon a systematic sequence of decisions based on the information provided with the customer’s application for supply.  Decisions associated with assignment to the four tariff classes have been separately identified in red. Second-order decisions on individual tariffs are also shown.  These relate to type of meter, load size and billing frequency, and lead to the customer’s assignment to a specific tariff within the tariff class. </w:t>
      </w:r>
    </w:p>
    <w:p w:rsidR="007800C8" w:rsidRPr="00927302" w:rsidRDefault="007800C8" w:rsidP="0044594F"/>
    <w:p w:rsidR="0044594F" w:rsidRPr="00927302" w:rsidRDefault="0044594F" w:rsidP="0044594F">
      <w:pPr>
        <w:keepNext/>
        <w:spacing w:after="120"/>
      </w:pPr>
      <w:r w:rsidRPr="00927302">
        <w:t>The two major decisions that determine the tariff class assessment are as follows:</w:t>
      </w:r>
    </w:p>
    <w:p w:rsidR="0044594F" w:rsidRPr="00927302" w:rsidRDefault="0044594F" w:rsidP="0044594F">
      <w:pPr>
        <w:pStyle w:val="ListParagraph"/>
        <w:numPr>
          <w:ilvl w:val="0"/>
          <w:numId w:val="22"/>
        </w:numPr>
        <w:tabs>
          <w:tab w:val="left" w:pos="851"/>
        </w:tabs>
        <w:spacing w:after="120" w:line="240" w:lineRule="auto"/>
        <w:ind w:left="850" w:hanging="425"/>
        <w:contextualSpacing w:val="0"/>
      </w:pPr>
      <w:r w:rsidRPr="00927302">
        <w:t>The nature of a customer’s usage: (</w:t>
      </w:r>
      <w:r w:rsidR="000B7F94">
        <w:t>ie</w:t>
      </w:r>
      <w:r w:rsidRPr="00927302">
        <w:t xml:space="preserve"> residential, business, or unmetered); and</w:t>
      </w:r>
    </w:p>
    <w:p w:rsidR="0044594F" w:rsidRPr="00927302" w:rsidRDefault="0044594F" w:rsidP="0044594F">
      <w:pPr>
        <w:pStyle w:val="ListParagraph"/>
        <w:numPr>
          <w:ilvl w:val="0"/>
          <w:numId w:val="22"/>
        </w:numPr>
        <w:tabs>
          <w:tab w:val="left" w:pos="851"/>
        </w:tabs>
        <w:spacing w:after="240" w:line="240" w:lineRule="auto"/>
        <w:ind w:left="850" w:hanging="425"/>
        <w:contextualSpacing w:val="0"/>
      </w:pPr>
      <w:r w:rsidRPr="00927302">
        <w:t>For business customers only, the nature and extent of the associated connection to the network (the connection voltage, whether located within in the network or directly connected to a zone substation).</w:t>
      </w:r>
    </w:p>
    <w:p w:rsidR="0044594F" w:rsidRDefault="0044594F" w:rsidP="0044594F">
      <w:r w:rsidRPr="00927302">
        <w:t xml:space="preserve">The process employed by </w:t>
      </w:r>
      <w:r w:rsidR="00EA36E3">
        <w:t>SA Power Networks</w:t>
      </w:r>
      <w:r w:rsidRPr="00927302">
        <w:t xml:space="preserve"> therefore appropriately takes account the factors in clause 3(a) and 3(b) of the AER’s Appendix </w:t>
      </w:r>
      <w:r w:rsidR="0082589E">
        <w:t>D</w:t>
      </w:r>
      <w:r w:rsidRPr="00927302">
        <w:t xml:space="preserve">.  </w:t>
      </w:r>
    </w:p>
    <w:p w:rsidR="007800C8" w:rsidRPr="00927302" w:rsidRDefault="007800C8" w:rsidP="0044594F"/>
    <w:p w:rsidR="0044594F" w:rsidRDefault="0044594F" w:rsidP="0044594F">
      <w:r w:rsidRPr="00927302">
        <w:t xml:space="preserve">Moreover, in the event that remotely–read interval metering or other similar metering technology is installed at the customer’s premises as a result of a regulatory obligation or requirement during the </w:t>
      </w:r>
      <w:r w:rsidR="0082589E">
        <w:t>2015-20</w:t>
      </w:r>
      <w:r w:rsidRPr="00927302">
        <w:t xml:space="preserve"> regulatory control period, </w:t>
      </w:r>
      <w:r w:rsidR="00EA36E3">
        <w:t>SA Power Networks</w:t>
      </w:r>
      <w:r w:rsidRPr="00927302">
        <w:t xml:space="preserve"> will review this procedure.</w:t>
      </w:r>
    </w:p>
    <w:p w:rsidR="007800C8" w:rsidRPr="00927302" w:rsidRDefault="007800C8" w:rsidP="0044594F"/>
    <w:p w:rsidR="0044594F" w:rsidRPr="00927302" w:rsidRDefault="0044594F" w:rsidP="009A26B4">
      <w:pPr>
        <w:pStyle w:val="Heading3"/>
      </w:pPr>
      <w:r>
        <w:t>Customers with micro-generation</w:t>
      </w:r>
    </w:p>
    <w:p w:rsidR="005B4468" w:rsidRDefault="0044594F" w:rsidP="0044594F">
      <w:r>
        <w:t xml:space="preserve">As </w:t>
      </w:r>
      <w:r w:rsidR="00EA36E3">
        <w:t>SA Power Networks</w:t>
      </w:r>
      <w:r>
        <w:t xml:space="preserve">’ </w:t>
      </w:r>
      <w:r w:rsidRPr="00927302">
        <w:t xml:space="preserve">tariff class assignment process is applied to the </w:t>
      </w:r>
      <w:r w:rsidRPr="003505B3">
        <w:rPr>
          <w:b/>
          <w:i/>
        </w:rPr>
        <w:t>net</w:t>
      </w:r>
      <w:r w:rsidRPr="00927302">
        <w:t xml:space="preserve"> customer demand on the network</w:t>
      </w:r>
      <w:r>
        <w:t>,</w:t>
      </w:r>
      <w:r w:rsidRPr="00927302">
        <w:t xml:space="preserve"> it does not distinguish between customer</w:t>
      </w:r>
      <w:r>
        <w:t>s</w:t>
      </w:r>
      <w:r w:rsidRPr="00927302">
        <w:t xml:space="preserve"> that have micro-generation and those without.</w:t>
      </w:r>
      <w:r w:rsidRPr="00A323C2">
        <w:t xml:space="preserve"> </w:t>
      </w:r>
      <w:r>
        <w:t xml:space="preserve"> </w:t>
      </w:r>
    </w:p>
    <w:p w:rsidR="005B4468" w:rsidRDefault="005B4468" w:rsidP="0044594F"/>
    <w:p w:rsidR="0044594F" w:rsidRDefault="0044594F" w:rsidP="0044594F">
      <w:r>
        <w:t>The only aspects of the connection process that distinguish customers with micro-generation are technical requirements, principally to ensure public and employee safety in the event of disconnection of supply to a site with generation.</w:t>
      </w:r>
    </w:p>
    <w:p w:rsidR="005B4468" w:rsidRDefault="005B4468" w:rsidP="0044594F"/>
    <w:p w:rsidR="005B4468" w:rsidRDefault="005B4468" w:rsidP="0044594F">
      <w:r>
        <w:t>We have created a separate tariff within the Residential tariff class for those customers with PV installed.  These customers have a significantly different load profile with a load factor that is 20% poorer than typical residential customers, so a different tariff is used to correctly price their usage.</w:t>
      </w:r>
    </w:p>
    <w:p w:rsidR="007800C8" w:rsidRDefault="007800C8" w:rsidP="0044594F"/>
    <w:p w:rsidR="0044594F" w:rsidRDefault="00EA36E3" w:rsidP="0044594F">
      <w:r>
        <w:t>SA Power Networks</w:t>
      </w:r>
      <w:r w:rsidR="0044594F" w:rsidRPr="00927302">
        <w:t xml:space="preserve">’ </w:t>
      </w:r>
      <w:r w:rsidR="0044594F">
        <w:t>tariff assignment</w:t>
      </w:r>
      <w:r w:rsidR="0044594F" w:rsidRPr="00927302">
        <w:t xml:space="preserve"> process t</w:t>
      </w:r>
      <w:r w:rsidR="0044594F" w:rsidRPr="004E7EF5">
        <w:t xml:space="preserve">herefore ensures that the requirements in clause 4(a) and 4(b) of the AER’s Appendix </w:t>
      </w:r>
      <w:r w:rsidR="0082589E">
        <w:t xml:space="preserve">D </w:t>
      </w:r>
      <w:r w:rsidR="0044594F" w:rsidRPr="004E7EF5">
        <w:t>are met.</w:t>
      </w:r>
    </w:p>
    <w:p w:rsidR="007800C8" w:rsidRPr="004E7EF5" w:rsidRDefault="007800C8" w:rsidP="0044594F"/>
    <w:p w:rsidR="0044594F" w:rsidRPr="004E7EF5" w:rsidRDefault="0044594F" w:rsidP="0044594F">
      <w:pPr>
        <w:pStyle w:val="Heading2"/>
        <w:keepLines w:val="0"/>
        <w:numPr>
          <w:ilvl w:val="1"/>
          <w:numId w:val="16"/>
        </w:numPr>
        <w:spacing w:after="240" w:line="240" w:lineRule="auto"/>
      </w:pPr>
      <w:bookmarkStart w:id="198" w:name="_Ref134011391"/>
      <w:bookmarkStart w:id="199" w:name="_Toc420009882"/>
      <w:r w:rsidRPr="004E7EF5">
        <w:t>Reassignment of existing customers to another existing or a new tariff during the next regulatory control period</w:t>
      </w:r>
      <w:bookmarkEnd w:id="198"/>
      <w:bookmarkEnd w:id="199"/>
    </w:p>
    <w:p w:rsidR="007800C8" w:rsidRDefault="0044594F" w:rsidP="0044594F">
      <w:r w:rsidRPr="004E7EF5">
        <w:t>Within each tariff class, there has been and will</w:t>
      </w:r>
      <w:r w:rsidRPr="00927302">
        <w:t xml:space="preserve"> continue to be movement between individual tariffs.  This is particularly the case with the customers on the Low </w:t>
      </w:r>
      <w:r w:rsidR="003C2319">
        <w:t>Voltage Business tariff class</w:t>
      </w:r>
    </w:p>
    <w:p w:rsidR="005B4468" w:rsidRPr="00927302" w:rsidRDefault="005B4468" w:rsidP="0044594F"/>
    <w:p w:rsidR="0044594F" w:rsidRDefault="0044594F" w:rsidP="0044594F">
      <w:r w:rsidRPr="00927302">
        <w:t xml:space="preserve">The four tariff classes that </w:t>
      </w:r>
      <w:r w:rsidR="00EA36E3">
        <w:t>SA Power Networks</w:t>
      </w:r>
      <w:r w:rsidRPr="00927302">
        <w:t xml:space="preserve"> has established are sufficiently broad to ensure that all the existing customers are within the appropriate tariff class and that it is unlikely that customers will seek to migrate or be reclassified to a different tariff class during the course of the determination.  Transfer between tariff classes would be limited to circumstances where the nature of usage or level of consumption changed significantly, for example where a residence was redeveloped to become a small business such as a medical surgery or office.</w:t>
      </w:r>
    </w:p>
    <w:p w:rsidR="007800C8" w:rsidRPr="00927302" w:rsidRDefault="007800C8" w:rsidP="0044594F"/>
    <w:p w:rsidR="0044594F" w:rsidRDefault="0044594F" w:rsidP="0044594F">
      <w:r w:rsidRPr="00927302">
        <w:t>Notwithstanding that the reassignment of customers’ tariff classes is unlikely during the 20</w:t>
      </w:r>
      <w:r>
        <w:t>1</w:t>
      </w:r>
      <w:r w:rsidR="005B4468">
        <w:t>5-20</w:t>
      </w:r>
      <w:r w:rsidRPr="00927302">
        <w:t xml:space="preserve"> regulatory control period, </w:t>
      </w:r>
      <w:r w:rsidR="00EA36E3">
        <w:t>SA Power Networks</w:t>
      </w:r>
      <w:r w:rsidRPr="00927302">
        <w:t xml:space="preserve"> would do so in accordance with the provisions of </w:t>
      </w:r>
      <w:r w:rsidR="00766E67">
        <w:t>the AER’s Decision</w:t>
      </w:r>
      <w:r w:rsidRPr="00DE0584">
        <w:t xml:space="preserve">. </w:t>
      </w:r>
    </w:p>
    <w:p w:rsidR="007800C8" w:rsidRPr="00DE0584" w:rsidRDefault="007800C8" w:rsidP="0044594F"/>
    <w:p w:rsidR="0044594F" w:rsidRPr="00927302" w:rsidRDefault="0044594F" w:rsidP="0044594F">
      <w:pPr>
        <w:pStyle w:val="Heading2"/>
        <w:keepLines w:val="0"/>
        <w:numPr>
          <w:ilvl w:val="1"/>
          <w:numId w:val="16"/>
        </w:numPr>
        <w:spacing w:after="240" w:line="240" w:lineRule="auto"/>
      </w:pPr>
      <w:bookmarkStart w:id="200" w:name="_Toc420009883"/>
      <w:r w:rsidRPr="00DE0584">
        <w:t>Objections to pro</w:t>
      </w:r>
      <w:r w:rsidRPr="00927302">
        <w:t>posed assignments and reassignments</w:t>
      </w:r>
      <w:bookmarkEnd w:id="200"/>
    </w:p>
    <w:p w:rsidR="0044594F" w:rsidRDefault="0044594F" w:rsidP="0044594F">
      <w:r w:rsidRPr="00927302">
        <w:t xml:space="preserve">The AER has established requirements that </w:t>
      </w:r>
      <w:r w:rsidR="00EA36E3">
        <w:t>SA Power Networks</w:t>
      </w:r>
      <w:r w:rsidRPr="00927302">
        <w:t xml:space="preserve"> must follow in assigning or reassigning customers to tariff classes and in responding to objections to </w:t>
      </w:r>
      <w:r w:rsidR="00EA36E3">
        <w:t>SA Power Networks</w:t>
      </w:r>
      <w:r w:rsidR="008E4D01">
        <w:t>’ tariff class assignments.</w:t>
      </w:r>
    </w:p>
    <w:p w:rsidR="007800C8" w:rsidRPr="00927302" w:rsidRDefault="007800C8" w:rsidP="0044594F"/>
    <w:p w:rsidR="0044594F" w:rsidRDefault="0044594F" w:rsidP="0044594F">
      <w:r w:rsidRPr="00927302">
        <w:t xml:space="preserve">The requirements that </w:t>
      </w:r>
      <w:r w:rsidR="00EA36E3">
        <w:t>SA Power Networks</w:t>
      </w:r>
      <w:r w:rsidRPr="00927302">
        <w:t xml:space="preserve"> must follow have been documented in an internal procedure </w:t>
      </w:r>
      <w:r w:rsidR="003C2319" w:rsidRPr="00927302">
        <w:t>entitled</w:t>
      </w:r>
      <w:r w:rsidR="003C2319">
        <w:t xml:space="preserve"> </w:t>
      </w:r>
      <w:r w:rsidR="003C2319" w:rsidRPr="00927302">
        <w:t>”</w:t>
      </w:r>
      <w:r>
        <w:t>Manual 18, Network Tariff Manual”.</w:t>
      </w:r>
    </w:p>
    <w:p w:rsidR="007800C8" w:rsidRPr="00927302" w:rsidRDefault="007800C8" w:rsidP="0044594F"/>
    <w:p w:rsidR="0044594F" w:rsidRPr="00927302" w:rsidRDefault="0044594F" w:rsidP="0044594F">
      <w:pPr>
        <w:rPr>
          <w:b/>
        </w:rPr>
      </w:pPr>
      <w:r w:rsidRPr="00927302">
        <w:t xml:space="preserve">This document is attached as to this Pricing Proposal as </w:t>
      </w:r>
      <w:r w:rsidRPr="002A49F5">
        <w:t xml:space="preserve">Appendix </w:t>
      </w:r>
      <w:r>
        <w:t>K</w:t>
      </w:r>
      <w:r w:rsidRPr="002A49F5">
        <w:t xml:space="preserve"> and </w:t>
      </w:r>
      <w:r>
        <w:t>is</w:t>
      </w:r>
      <w:r w:rsidRPr="00927302">
        <w:t xml:space="preserve"> published on </w:t>
      </w:r>
      <w:r w:rsidR="00EA36E3">
        <w:t>SA Power Networks</w:t>
      </w:r>
      <w:r w:rsidRPr="00927302">
        <w:t>’ web site.</w:t>
      </w:r>
      <w:r w:rsidRPr="00927302">
        <w:rPr>
          <w:b/>
        </w:rPr>
        <w:t xml:space="preserve"> </w:t>
      </w:r>
    </w:p>
    <w:p w:rsidR="0044594F" w:rsidRPr="00F129C6" w:rsidRDefault="0044594F" w:rsidP="0044594F">
      <w:pPr>
        <w:pStyle w:val="Heading1"/>
        <w:pageBreakBefore/>
        <w:numPr>
          <w:ilvl w:val="0"/>
          <w:numId w:val="16"/>
        </w:numPr>
        <w:tabs>
          <w:tab w:val="left" w:pos="851"/>
        </w:tabs>
        <w:spacing w:after="240" w:line="240" w:lineRule="auto"/>
      </w:pPr>
      <w:bookmarkStart w:id="201" w:name="_Ref133659116"/>
      <w:bookmarkStart w:id="202" w:name="_Toc420009884"/>
      <w:bookmarkEnd w:id="194"/>
      <w:r w:rsidRPr="00F129C6">
        <w:t>Alternative Control Services – metering services</w:t>
      </w:r>
      <w:bookmarkEnd w:id="201"/>
      <w:bookmarkEnd w:id="202"/>
    </w:p>
    <w:p w:rsidR="002C556A" w:rsidRDefault="0044594F" w:rsidP="002C556A">
      <w:pPr>
        <w:keepNext/>
        <w:spacing w:after="120"/>
      </w:pPr>
      <w:r w:rsidRPr="00F129C6">
        <w:t xml:space="preserve">In the </w:t>
      </w:r>
      <w:r w:rsidR="00477C39">
        <w:t>Preliminary Decision</w:t>
      </w:r>
      <w:r w:rsidR="002C556A">
        <w:t xml:space="preserve">, </w:t>
      </w:r>
      <w:r w:rsidRPr="00927302">
        <w:t xml:space="preserve">the AER has </w:t>
      </w:r>
      <w:r w:rsidR="002C556A">
        <w:t>determined a price cap for Alternative control services (metering services).  Attachment 16 sets out all of the pricing arrangements and the final prices that will apply.  Part A of Attachment 16 sets out the annual metering charges (AER Table 16.13) and the upfront capital charges (table 16.15, with annual X-factors set out in AER Table 16.16).</w:t>
      </w:r>
    </w:p>
    <w:p w:rsidR="00356448" w:rsidRDefault="00F91AAE" w:rsidP="0044594F">
      <w:r>
        <w:t xml:space="preserve">The annual metering charges contain a Capital and a non-Capital charge, with different prices applying to the three categories of </w:t>
      </w:r>
      <w:r w:rsidR="001B6579">
        <w:t>alternative control</w:t>
      </w:r>
      <w:r>
        <w:t xml:space="preserve"> </w:t>
      </w:r>
      <w:r w:rsidR="00837F49">
        <w:t xml:space="preserve">services </w:t>
      </w:r>
      <w:r>
        <w:t>metering, ie WC, CT and Exceptional meters.</w:t>
      </w:r>
    </w:p>
    <w:p w:rsidR="00F91AAE" w:rsidRDefault="00F91AAE" w:rsidP="0044594F">
      <w:r>
        <w:t>There are four different combinations of metering fees possible:</w:t>
      </w:r>
    </w:p>
    <w:p w:rsidR="00F91AAE" w:rsidRDefault="00F91AAE" w:rsidP="00F91AAE">
      <w:pPr>
        <w:pStyle w:val="ListParagraph"/>
        <w:numPr>
          <w:ilvl w:val="0"/>
          <w:numId w:val="51"/>
        </w:numPr>
      </w:pPr>
      <w:r>
        <w:t xml:space="preserve">Existing customers using </w:t>
      </w:r>
      <w:r w:rsidR="00EA36E3">
        <w:t>SA Power Networks</w:t>
      </w:r>
      <w:r>
        <w:t>’ meters.  These customers continue to pay the capital and non-Capital charges.</w:t>
      </w:r>
    </w:p>
    <w:p w:rsidR="00F91AAE" w:rsidRDefault="00F91AAE" w:rsidP="00F91AAE">
      <w:pPr>
        <w:pStyle w:val="ListParagraph"/>
        <w:numPr>
          <w:ilvl w:val="0"/>
          <w:numId w:val="51"/>
        </w:numPr>
      </w:pPr>
      <w:r>
        <w:t>Where an existing customer at June 2015 has the meter replaced by an alternate meter provider eg a type 4 meter, the customer will continue to pay the Capital-related charge, but will cease paying the non-Capital related charge.</w:t>
      </w:r>
    </w:p>
    <w:p w:rsidR="00F91AAE" w:rsidRDefault="00F91AAE" w:rsidP="00F91AAE">
      <w:pPr>
        <w:pStyle w:val="ListParagraph"/>
        <w:numPr>
          <w:ilvl w:val="0"/>
          <w:numId w:val="51"/>
        </w:numPr>
      </w:pPr>
      <w:r>
        <w:t xml:space="preserve">Where a new customer connects to the network and elects to use an </w:t>
      </w:r>
      <w:r w:rsidR="00EA36E3">
        <w:t>SA Power Networks</w:t>
      </w:r>
      <w:r>
        <w:t xml:space="preserve"> meter, the customer incurs an upfront capital charge, </w:t>
      </w:r>
      <w:r w:rsidR="00837F49">
        <w:t>and also incurs the annual non-C</w:t>
      </w:r>
      <w:r>
        <w:t>apital charge.  The customer is not liable for any ongoing capital charges.</w:t>
      </w:r>
    </w:p>
    <w:p w:rsidR="00F91AAE" w:rsidRDefault="00F91AAE" w:rsidP="00F91AAE">
      <w:pPr>
        <w:pStyle w:val="ListParagraph"/>
        <w:numPr>
          <w:ilvl w:val="0"/>
          <w:numId w:val="51"/>
        </w:numPr>
      </w:pPr>
      <w:r>
        <w:t xml:space="preserve">Where an existing customer at June 2015 was not using an </w:t>
      </w:r>
      <w:r w:rsidR="00EA36E3">
        <w:t>SA Power Networks</w:t>
      </w:r>
      <w:r>
        <w:t xml:space="preserve"> meter but</w:t>
      </w:r>
      <w:r w:rsidR="003C5318">
        <w:t xml:space="preserve"> that of </w:t>
      </w:r>
      <w:r>
        <w:t xml:space="preserve">an alternate meter provider, eg a type 4 meter, the customer is not liable for any annual metering charges to </w:t>
      </w:r>
      <w:r w:rsidR="00EA36E3">
        <w:t>SA Power Networks</w:t>
      </w:r>
      <w:r>
        <w:t>.</w:t>
      </w:r>
    </w:p>
    <w:p w:rsidR="00F91AAE" w:rsidRDefault="00F91AAE" w:rsidP="0044594F"/>
    <w:p w:rsidR="00F91AAE" w:rsidRDefault="00F91AAE" w:rsidP="0044594F">
      <w:r>
        <w:t xml:space="preserve">We will be implementing the AER’s preferred system of meter service pricing.  We are planning on implementing a new meter charging system which can be separated from the standard control </w:t>
      </w:r>
      <w:r w:rsidR="003C5318">
        <w:t xml:space="preserve">services </w:t>
      </w:r>
      <w:r>
        <w:t>tariffs.  However, in the meantime, we will be using a mixture of bundled tariffs to manage the appropriate pricing of WC meters (the significant majority of customers)</w:t>
      </w:r>
      <w:r w:rsidR="00867451">
        <w:t>.  We will use separate, more manual systems to manage the exceptional and CT metering pricing, as occurs at present.  We will also probably use a separate manual process to manage the pricing where an existing customer’s meter churns to another meter provider.  We will need nearly three times as many bundled network prices for the small customer tariffs to cater for t</w:t>
      </w:r>
      <w:r w:rsidR="003C5318">
        <w:t>he difference between charging C</w:t>
      </w:r>
      <w:r w:rsidR="00867451">
        <w:t>apital and non-</w:t>
      </w:r>
      <w:r w:rsidR="003C5318">
        <w:t>Capital, non-C</w:t>
      </w:r>
      <w:r w:rsidR="00867451">
        <w:t>apital only (new customers) and no charge (existing customers with alternate meter providers already).  We will work with retailers to endeavour having a smooth implementation for customers of the new AER-determined arrangements.</w:t>
      </w:r>
    </w:p>
    <w:p w:rsidR="00867451" w:rsidRDefault="00867451" w:rsidP="0044594F"/>
    <w:p w:rsidR="0044594F" w:rsidRDefault="00924A8F" w:rsidP="0044594F">
      <w:pPr>
        <w:keepNext/>
      </w:pPr>
      <w:r>
        <w:fldChar w:fldCharType="begin"/>
      </w:r>
      <w:r>
        <w:instrText xml:space="preserve"> REF _Ref260905553 \h  \* MERGEFORMAT </w:instrText>
      </w:r>
      <w:r>
        <w:fldChar w:fldCharType="separate"/>
      </w:r>
      <w:r w:rsidR="00A81AFE" w:rsidRPr="002C556A">
        <w:t xml:space="preserve">Table </w:t>
      </w:r>
      <w:r w:rsidR="00A81AFE">
        <w:rPr>
          <w:noProof/>
        </w:rPr>
        <w:t>51</w:t>
      </w:r>
      <w:r>
        <w:fldChar w:fldCharType="end"/>
      </w:r>
      <w:r w:rsidR="0044594F">
        <w:t xml:space="preserve"> sets out the tariffs that correspond to the price terms contained in the alternative control services metering services </w:t>
      </w:r>
      <w:r w:rsidR="002C556A">
        <w:t>in 2014/15 and 2015/16</w:t>
      </w:r>
      <w:r w:rsidR="0044594F" w:rsidRPr="00797D96">
        <w:t>.</w:t>
      </w:r>
      <w:r w:rsidR="002C556A">
        <w:t xml:space="preserve">  The table shows the change in price outcome for those customers who use a type 5-6 WC meter.  This is the overwhelming majority of our customers today.</w:t>
      </w:r>
    </w:p>
    <w:p w:rsidR="00356448" w:rsidRPr="00797D96" w:rsidRDefault="00356448" w:rsidP="0044594F">
      <w:pPr>
        <w:keepNext/>
      </w:pPr>
    </w:p>
    <w:p w:rsidR="0044594F" w:rsidRPr="003E581B" w:rsidRDefault="0044594F" w:rsidP="0044594F">
      <w:pPr>
        <w:pStyle w:val="Caption"/>
        <w:keepNext/>
      </w:pPr>
      <w:bookmarkStart w:id="203" w:name="_Ref260905553"/>
      <w:r w:rsidRPr="002C556A">
        <w:t xml:space="preserve">Table </w:t>
      </w:r>
      <w:r w:rsidR="00575C9A" w:rsidRPr="002C556A">
        <w:fldChar w:fldCharType="begin"/>
      </w:r>
      <w:r w:rsidR="009077FB" w:rsidRPr="002C556A">
        <w:instrText xml:space="preserve"> SEQ Table \* ARABIC </w:instrText>
      </w:r>
      <w:r w:rsidR="00575C9A" w:rsidRPr="002C556A">
        <w:fldChar w:fldCharType="separate"/>
      </w:r>
      <w:r w:rsidR="00A81AFE">
        <w:rPr>
          <w:noProof/>
        </w:rPr>
        <w:t>51</w:t>
      </w:r>
      <w:r w:rsidR="00575C9A" w:rsidRPr="002C556A">
        <w:fldChar w:fldCharType="end"/>
      </w:r>
      <w:bookmarkEnd w:id="203"/>
      <w:r w:rsidRPr="002C556A">
        <w:t xml:space="preserve"> – Alternative control services tariffs for </w:t>
      </w:r>
      <w:r w:rsidR="006263E8" w:rsidRPr="002C556A">
        <w:t>2015/16</w:t>
      </w:r>
    </w:p>
    <w:p w:rsidR="0044594F" w:rsidRDefault="002C556A" w:rsidP="0044594F">
      <w:r w:rsidRPr="002C556A">
        <w:rPr>
          <w:noProof/>
          <w:lang w:val="en-US"/>
        </w:rPr>
        <w:drawing>
          <wp:inline distT="0" distB="0" distL="0" distR="0">
            <wp:extent cx="5732145" cy="194876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srcRect/>
                    <a:stretch>
                      <a:fillRect/>
                    </a:stretch>
                  </pic:blipFill>
                  <pic:spPr bwMode="auto">
                    <a:xfrm>
                      <a:off x="0" y="0"/>
                      <a:ext cx="5732145" cy="1948766"/>
                    </a:xfrm>
                    <a:prstGeom prst="rect">
                      <a:avLst/>
                    </a:prstGeom>
                    <a:noFill/>
                    <a:ln w="9525">
                      <a:noFill/>
                      <a:miter lim="800000"/>
                      <a:headEnd/>
                      <a:tailEnd/>
                    </a:ln>
                  </pic:spPr>
                </pic:pic>
              </a:graphicData>
            </a:graphic>
          </wp:inline>
        </w:drawing>
      </w:r>
    </w:p>
    <w:p w:rsidR="00867451" w:rsidRDefault="00867451" w:rsidP="0044594F"/>
    <w:p w:rsidR="00867451" w:rsidRDefault="00867451" w:rsidP="0001646B">
      <w:pPr>
        <w:keepNext/>
      </w:pPr>
      <w:r>
        <w:t>Table 5</w:t>
      </w:r>
      <w:r w:rsidR="003C5318">
        <w:t>2</w:t>
      </w:r>
      <w:r w:rsidR="0001646B">
        <w:t xml:space="preserve"> a</w:t>
      </w:r>
      <w:r>
        <w:t xml:space="preserve"> shows the annual metering charges that apply in 2015-16.</w:t>
      </w:r>
    </w:p>
    <w:p w:rsidR="0001646B" w:rsidRDefault="0001646B" w:rsidP="0044594F"/>
    <w:p w:rsidR="00867451" w:rsidRPr="0001646B" w:rsidRDefault="0001646B" w:rsidP="0044594F">
      <w:pPr>
        <w:rPr>
          <w:b/>
          <w:bCs/>
          <w:color w:val="000000" w:themeColor="accent1"/>
          <w:sz w:val="18"/>
          <w:szCs w:val="18"/>
        </w:rPr>
      </w:pPr>
      <w:r w:rsidRPr="0001646B">
        <w:rPr>
          <w:b/>
          <w:bCs/>
          <w:color w:val="000000" w:themeColor="accent1"/>
          <w:sz w:val="18"/>
          <w:szCs w:val="18"/>
        </w:rPr>
        <w:t>Table 5</w:t>
      </w:r>
      <w:r w:rsidR="003C5318">
        <w:rPr>
          <w:b/>
          <w:bCs/>
          <w:color w:val="000000" w:themeColor="accent1"/>
          <w:sz w:val="18"/>
          <w:szCs w:val="18"/>
        </w:rPr>
        <w:t>2</w:t>
      </w:r>
      <w:r>
        <w:rPr>
          <w:b/>
          <w:bCs/>
          <w:color w:val="000000" w:themeColor="accent1"/>
          <w:sz w:val="18"/>
          <w:szCs w:val="18"/>
        </w:rPr>
        <w:t xml:space="preserve"> – Alternative Control</w:t>
      </w:r>
      <w:r w:rsidR="003C5318">
        <w:rPr>
          <w:b/>
          <w:bCs/>
          <w:color w:val="000000" w:themeColor="accent1"/>
          <w:sz w:val="18"/>
          <w:szCs w:val="18"/>
        </w:rPr>
        <w:t xml:space="preserve"> Services </w:t>
      </w:r>
      <w:r>
        <w:rPr>
          <w:b/>
          <w:bCs/>
          <w:color w:val="000000" w:themeColor="accent1"/>
          <w:sz w:val="18"/>
          <w:szCs w:val="18"/>
        </w:rPr>
        <w:t xml:space="preserve"> – Annual metering charges</w:t>
      </w:r>
    </w:p>
    <w:p w:rsidR="00867451" w:rsidRPr="003E581B" w:rsidRDefault="00111648" w:rsidP="0044594F">
      <w:r w:rsidRPr="00111648">
        <w:rPr>
          <w:noProof/>
          <w:lang w:val="en-US"/>
        </w:rPr>
        <w:drawing>
          <wp:inline distT="0" distB="0" distL="0" distR="0">
            <wp:extent cx="5365750" cy="2173605"/>
            <wp:effectExtent l="1905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srcRect/>
                    <a:stretch>
                      <a:fillRect/>
                    </a:stretch>
                  </pic:blipFill>
                  <pic:spPr bwMode="auto">
                    <a:xfrm>
                      <a:off x="0" y="0"/>
                      <a:ext cx="5365750" cy="2173605"/>
                    </a:xfrm>
                    <a:prstGeom prst="rect">
                      <a:avLst/>
                    </a:prstGeom>
                    <a:noFill/>
                    <a:ln w="9525">
                      <a:noFill/>
                      <a:miter lim="800000"/>
                      <a:headEnd/>
                      <a:tailEnd/>
                    </a:ln>
                  </pic:spPr>
                </pic:pic>
              </a:graphicData>
            </a:graphic>
          </wp:inline>
        </w:drawing>
      </w:r>
    </w:p>
    <w:p w:rsidR="00356448" w:rsidRDefault="00356448" w:rsidP="0044594F"/>
    <w:p w:rsidR="003C5318" w:rsidRDefault="003C5318">
      <w:r>
        <w:br w:type="page"/>
      </w:r>
    </w:p>
    <w:p w:rsidR="00483B67" w:rsidRDefault="00483B67" w:rsidP="0044594F"/>
    <w:p w:rsidR="0001646B" w:rsidRDefault="0001646B" w:rsidP="0001646B">
      <w:pPr>
        <w:keepNext/>
      </w:pPr>
      <w:r>
        <w:t>Table 5</w:t>
      </w:r>
      <w:r w:rsidR="003C5318">
        <w:t>3</w:t>
      </w:r>
      <w:r>
        <w:t xml:space="preserve"> shows the derivation of the 2015/16 Upfront capital charges.</w:t>
      </w:r>
      <w:r w:rsidR="00483B67">
        <w:t xml:space="preserve">  The AER prices have been escalated by CPI from December 2014 values and by the application of the X-factor.</w:t>
      </w:r>
    </w:p>
    <w:p w:rsidR="0001646B" w:rsidRDefault="0001646B" w:rsidP="0001646B">
      <w:pPr>
        <w:keepNext/>
      </w:pPr>
    </w:p>
    <w:p w:rsidR="0001646B" w:rsidRPr="0001646B" w:rsidRDefault="0001646B" w:rsidP="0001646B">
      <w:pPr>
        <w:rPr>
          <w:b/>
          <w:bCs/>
          <w:color w:val="000000" w:themeColor="accent1"/>
          <w:sz w:val="18"/>
          <w:szCs w:val="18"/>
        </w:rPr>
      </w:pPr>
      <w:r w:rsidRPr="0001646B">
        <w:rPr>
          <w:b/>
          <w:bCs/>
          <w:color w:val="000000" w:themeColor="accent1"/>
          <w:sz w:val="18"/>
          <w:szCs w:val="18"/>
        </w:rPr>
        <w:t>Table 5</w:t>
      </w:r>
      <w:r w:rsidR="003C5318">
        <w:rPr>
          <w:b/>
          <w:bCs/>
          <w:color w:val="000000" w:themeColor="accent1"/>
          <w:sz w:val="18"/>
          <w:szCs w:val="18"/>
        </w:rPr>
        <w:t>3</w:t>
      </w:r>
      <w:r w:rsidRPr="0001646B">
        <w:rPr>
          <w:b/>
          <w:bCs/>
          <w:color w:val="000000" w:themeColor="accent1"/>
          <w:sz w:val="18"/>
          <w:szCs w:val="18"/>
        </w:rPr>
        <w:t xml:space="preserve"> – Alternative Control </w:t>
      </w:r>
      <w:r w:rsidR="003C5318">
        <w:rPr>
          <w:b/>
          <w:bCs/>
          <w:color w:val="000000" w:themeColor="accent1"/>
          <w:sz w:val="18"/>
          <w:szCs w:val="18"/>
        </w:rPr>
        <w:t xml:space="preserve">Services </w:t>
      </w:r>
      <w:r w:rsidRPr="0001646B">
        <w:rPr>
          <w:b/>
          <w:bCs/>
          <w:color w:val="000000" w:themeColor="accent1"/>
          <w:sz w:val="18"/>
          <w:szCs w:val="18"/>
        </w:rPr>
        <w:t xml:space="preserve">– Upfront </w:t>
      </w:r>
      <w:r w:rsidR="003C5318">
        <w:rPr>
          <w:b/>
          <w:bCs/>
          <w:color w:val="000000" w:themeColor="accent1"/>
          <w:sz w:val="18"/>
          <w:szCs w:val="18"/>
        </w:rPr>
        <w:t>C</w:t>
      </w:r>
      <w:r w:rsidRPr="0001646B">
        <w:rPr>
          <w:b/>
          <w:bCs/>
          <w:color w:val="000000" w:themeColor="accent1"/>
          <w:sz w:val="18"/>
          <w:szCs w:val="18"/>
        </w:rPr>
        <w:t>apital charges</w:t>
      </w:r>
    </w:p>
    <w:p w:rsidR="0001646B" w:rsidRDefault="0001646B" w:rsidP="0001646B">
      <w:pPr>
        <w:keepNext/>
      </w:pPr>
      <w:r w:rsidRPr="0001646B">
        <w:rPr>
          <w:noProof/>
          <w:lang w:val="en-US"/>
        </w:rPr>
        <w:drawing>
          <wp:inline distT="0" distB="0" distL="0" distR="0">
            <wp:extent cx="5365750" cy="2199640"/>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srcRect/>
                    <a:stretch>
                      <a:fillRect/>
                    </a:stretch>
                  </pic:blipFill>
                  <pic:spPr bwMode="auto">
                    <a:xfrm>
                      <a:off x="0" y="0"/>
                      <a:ext cx="5365750" cy="2199640"/>
                    </a:xfrm>
                    <a:prstGeom prst="rect">
                      <a:avLst/>
                    </a:prstGeom>
                    <a:noFill/>
                    <a:ln w="9525">
                      <a:noFill/>
                      <a:miter lim="800000"/>
                      <a:headEnd/>
                      <a:tailEnd/>
                    </a:ln>
                  </pic:spPr>
                </pic:pic>
              </a:graphicData>
            </a:graphic>
          </wp:inline>
        </w:drawing>
      </w:r>
    </w:p>
    <w:p w:rsidR="0001646B" w:rsidRDefault="0001646B" w:rsidP="0044594F"/>
    <w:p w:rsidR="0044594F" w:rsidRDefault="0044594F" w:rsidP="00356448">
      <w:pPr>
        <w:pStyle w:val="Heading1"/>
      </w:pPr>
      <w:r w:rsidRPr="00927302">
        <w:br w:type="page"/>
      </w:r>
      <w:bookmarkStart w:id="204" w:name="_Toc386622107"/>
      <w:bookmarkStart w:id="205" w:name="_Toc420009885"/>
      <w:r w:rsidRPr="00927302">
        <w:t>Appendices</w:t>
      </w:r>
      <w:bookmarkEnd w:id="204"/>
      <w:bookmarkEnd w:id="205"/>
    </w:p>
    <w:p w:rsidR="00356448" w:rsidRPr="00927302" w:rsidRDefault="00356448" w:rsidP="0044594F">
      <w:pPr>
        <w:rPr>
          <w:b/>
          <w:sz w:val="28"/>
        </w:rPr>
      </w:pPr>
    </w:p>
    <w:p w:rsidR="0044594F" w:rsidRPr="00356448" w:rsidRDefault="0044594F" w:rsidP="0044594F">
      <w:pPr>
        <w:pStyle w:val="Heading2"/>
        <w:keepNext w:val="0"/>
        <w:keepLines w:val="0"/>
        <w:numPr>
          <w:ilvl w:val="1"/>
          <w:numId w:val="29"/>
        </w:numPr>
        <w:spacing w:after="240" w:line="240" w:lineRule="auto"/>
        <w:rPr>
          <w:b w:val="0"/>
        </w:rPr>
      </w:pPr>
      <w:bookmarkStart w:id="206" w:name="_Toc386622108"/>
      <w:bookmarkStart w:id="207" w:name="_Toc420009886"/>
      <w:r w:rsidRPr="00356448">
        <w:rPr>
          <w:b w:val="0"/>
        </w:rPr>
        <w:t>Network Use of System Tariffs and explanatory notes</w:t>
      </w:r>
      <w:bookmarkEnd w:id="206"/>
      <w:bookmarkEnd w:id="207"/>
    </w:p>
    <w:p w:rsidR="0044594F" w:rsidRPr="008E4D01" w:rsidRDefault="0044594F" w:rsidP="0044594F">
      <w:pPr>
        <w:pStyle w:val="Heading2"/>
        <w:keepNext w:val="0"/>
        <w:keepLines w:val="0"/>
        <w:numPr>
          <w:ilvl w:val="1"/>
          <w:numId w:val="29"/>
        </w:numPr>
        <w:spacing w:after="240" w:line="240" w:lineRule="auto"/>
        <w:rPr>
          <w:b w:val="0"/>
        </w:rPr>
      </w:pPr>
      <w:bookmarkStart w:id="208" w:name="_Toc386622109"/>
      <w:bookmarkStart w:id="209" w:name="_Toc420009887"/>
      <w:r w:rsidRPr="00356448">
        <w:rPr>
          <w:b w:val="0"/>
          <w:noProof/>
        </w:rPr>
        <w:t xml:space="preserve">CONFIDENTIAL – </w:t>
      </w:r>
      <w:r w:rsidRPr="008E4D01">
        <w:rPr>
          <w:b w:val="0"/>
        </w:rPr>
        <w:t xml:space="preserve">Audit of </w:t>
      </w:r>
      <w:r w:rsidR="00CB5ADF" w:rsidRPr="008E4D01">
        <w:rPr>
          <w:b w:val="0"/>
        </w:rPr>
        <w:t>201</w:t>
      </w:r>
      <w:r w:rsidR="008E4D01" w:rsidRPr="008E4D01">
        <w:rPr>
          <w:b w:val="0"/>
        </w:rPr>
        <w:t>3</w:t>
      </w:r>
      <w:r w:rsidR="00CB5ADF" w:rsidRPr="008E4D01">
        <w:rPr>
          <w:b w:val="0"/>
        </w:rPr>
        <w:t>/1</w:t>
      </w:r>
      <w:r w:rsidR="008E4D01" w:rsidRPr="008E4D01">
        <w:rPr>
          <w:b w:val="0"/>
        </w:rPr>
        <w:t>4</w:t>
      </w:r>
      <w:r w:rsidRPr="008E4D01">
        <w:rPr>
          <w:b w:val="0"/>
        </w:rPr>
        <w:t xml:space="preserve"> quantities</w:t>
      </w:r>
      <w:bookmarkEnd w:id="208"/>
      <w:bookmarkEnd w:id="209"/>
    </w:p>
    <w:p w:rsidR="0044594F" w:rsidRPr="00C9650E" w:rsidRDefault="00673D52" w:rsidP="0044594F">
      <w:pPr>
        <w:pStyle w:val="Heading2"/>
        <w:keepNext w:val="0"/>
        <w:keepLines w:val="0"/>
        <w:numPr>
          <w:ilvl w:val="1"/>
          <w:numId w:val="29"/>
        </w:numPr>
        <w:spacing w:after="240" w:line="240" w:lineRule="auto"/>
        <w:rPr>
          <w:b w:val="0"/>
        </w:rPr>
      </w:pPr>
      <w:bookmarkStart w:id="210" w:name="_Toc386622110"/>
      <w:bookmarkStart w:id="211" w:name="_Toc420009888"/>
      <w:r>
        <w:rPr>
          <w:b w:val="0"/>
          <w:noProof/>
        </w:rPr>
        <w:t xml:space="preserve">CONFIDENTIAL </w:t>
      </w:r>
      <w:r w:rsidR="00C9650E" w:rsidRPr="00C9650E">
        <w:rPr>
          <w:b w:val="0"/>
          <w:noProof/>
        </w:rPr>
        <w:t xml:space="preserve">STPIS Approval </w:t>
      </w:r>
      <w:r>
        <w:rPr>
          <w:b w:val="0"/>
          <w:noProof/>
        </w:rPr>
        <w:t>Advice</w:t>
      </w:r>
      <w:r w:rsidR="00C9650E" w:rsidRPr="00C9650E">
        <w:rPr>
          <w:b w:val="0"/>
          <w:noProof/>
        </w:rPr>
        <w:t xml:space="preserve"> from the AER </w:t>
      </w:r>
      <w:r w:rsidR="00C9650E" w:rsidRPr="008E4D01">
        <w:rPr>
          <w:b w:val="0"/>
          <w:noProof/>
        </w:rPr>
        <w:t xml:space="preserve">–  </w:t>
      </w:r>
      <w:r w:rsidR="00304553" w:rsidRPr="008E4D01">
        <w:rPr>
          <w:b w:val="0"/>
          <w:noProof/>
        </w:rPr>
        <w:t>201</w:t>
      </w:r>
      <w:r w:rsidR="008E4D01" w:rsidRPr="008E4D01">
        <w:rPr>
          <w:b w:val="0"/>
          <w:noProof/>
        </w:rPr>
        <w:t>3</w:t>
      </w:r>
      <w:r w:rsidR="00304553" w:rsidRPr="008E4D01">
        <w:rPr>
          <w:b w:val="0"/>
          <w:noProof/>
        </w:rPr>
        <w:t>/1</w:t>
      </w:r>
      <w:r w:rsidR="008E4D01" w:rsidRPr="008E4D01">
        <w:rPr>
          <w:b w:val="0"/>
          <w:noProof/>
        </w:rPr>
        <w:t>4</w:t>
      </w:r>
      <w:r w:rsidR="00C9650E" w:rsidRPr="008E4D01">
        <w:rPr>
          <w:b w:val="0"/>
          <w:noProof/>
        </w:rPr>
        <w:t xml:space="preserve"> for </w:t>
      </w:r>
      <w:r w:rsidR="00CB5ADF" w:rsidRPr="008E4D01">
        <w:rPr>
          <w:b w:val="0"/>
          <w:noProof/>
        </w:rPr>
        <w:t>201</w:t>
      </w:r>
      <w:r w:rsidR="008E4D01" w:rsidRPr="008E4D01">
        <w:rPr>
          <w:b w:val="0"/>
          <w:noProof/>
        </w:rPr>
        <w:t>5</w:t>
      </w:r>
      <w:r w:rsidR="00CB5ADF" w:rsidRPr="008E4D01">
        <w:rPr>
          <w:b w:val="0"/>
          <w:noProof/>
        </w:rPr>
        <w:t>/1</w:t>
      </w:r>
      <w:r w:rsidR="008E4D01" w:rsidRPr="008E4D01">
        <w:rPr>
          <w:b w:val="0"/>
          <w:noProof/>
        </w:rPr>
        <w:t>6</w:t>
      </w:r>
      <w:r w:rsidR="00C9650E" w:rsidRPr="008E4D01">
        <w:rPr>
          <w:b w:val="0"/>
          <w:noProof/>
        </w:rPr>
        <w:t xml:space="preserve"> tariffs</w:t>
      </w:r>
      <w:bookmarkEnd w:id="210"/>
      <w:bookmarkEnd w:id="211"/>
    </w:p>
    <w:p w:rsidR="0044594F" w:rsidRPr="00C9650E" w:rsidRDefault="00FF7A93" w:rsidP="0044594F">
      <w:pPr>
        <w:pStyle w:val="Heading2"/>
        <w:keepNext w:val="0"/>
        <w:keepLines w:val="0"/>
        <w:numPr>
          <w:ilvl w:val="1"/>
          <w:numId w:val="29"/>
        </w:numPr>
        <w:spacing w:after="240" w:line="240" w:lineRule="auto"/>
        <w:rPr>
          <w:b w:val="0"/>
        </w:rPr>
      </w:pPr>
      <w:bookmarkStart w:id="212" w:name="_Toc386622111"/>
      <w:bookmarkStart w:id="213" w:name="_Toc420009889"/>
      <w:bookmarkStart w:id="214" w:name="_Ref133830882"/>
      <w:r>
        <w:rPr>
          <w:b w:val="0"/>
        </w:rPr>
        <w:t xml:space="preserve">Transmission Prices from ElectraNet – </w:t>
      </w:r>
      <w:r w:rsidR="006263E8">
        <w:rPr>
          <w:b w:val="0"/>
        </w:rPr>
        <w:t>2015/16</w:t>
      </w:r>
      <w:r>
        <w:rPr>
          <w:b w:val="0"/>
        </w:rPr>
        <w:t xml:space="preserve"> TUoS </w:t>
      </w:r>
      <w:r w:rsidR="005261EC">
        <w:rPr>
          <w:b w:val="0"/>
        </w:rPr>
        <w:t>price</w:t>
      </w:r>
      <w:r w:rsidR="008E4D01">
        <w:rPr>
          <w:b w:val="0"/>
        </w:rPr>
        <w:t>s</w:t>
      </w:r>
      <w:bookmarkEnd w:id="212"/>
      <w:bookmarkEnd w:id="213"/>
    </w:p>
    <w:p w:rsidR="0044594F" w:rsidRPr="00C9650E" w:rsidRDefault="0044594F" w:rsidP="0044594F">
      <w:pPr>
        <w:pStyle w:val="Heading2"/>
        <w:keepNext w:val="0"/>
        <w:keepLines w:val="0"/>
        <w:numPr>
          <w:ilvl w:val="1"/>
          <w:numId w:val="29"/>
        </w:numPr>
        <w:spacing w:after="240" w:line="240" w:lineRule="auto"/>
        <w:rPr>
          <w:b w:val="0"/>
        </w:rPr>
      </w:pPr>
      <w:bookmarkStart w:id="215" w:name="_Toc386622112"/>
      <w:bookmarkStart w:id="216" w:name="_Toc420009890"/>
      <w:r w:rsidRPr="00C9650E">
        <w:rPr>
          <w:b w:val="0"/>
        </w:rPr>
        <w:t>Long Run Marginal Cost Methodology</w:t>
      </w:r>
      <w:bookmarkEnd w:id="214"/>
      <w:bookmarkEnd w:id="215"/>
      <w:bookmarkEnd w:id="216"/>
    </w:p>
    <w:p w:rsidR="0044594F" w:rsidRPr="00C9650E" w:rsidRDefault="0044594F" w:rsidP="0044594F">
      <w:pPr>
        <w:pStyle w:val="Heading2"/>
        <w:keepNext w:val="0"/>
        <w:keepLines w:val="0"/>
        <w:numPr>
          <w:ilvl w:val="1"/>
          <w:numId w:val="29"/>
        </w:numPr>
        <w:spacing w:after="240" w:line="240" w:lineRule="auto"/>
        <w:rPr>
          <w:b w:val="0"/>
        </w:rPr>
      </w:pPr>
      <w:bookmarkStart w:id="217" w:name="_Ref133830804"/>
      <w:bookmarkStart w:id="218" w:name="_Toc386622113"/>
      <w:bookmarkStart w:id="219" w:name="_Toc420009891"/>
      <w:r w:rsidRPr="00C9650E">
        <w:rPr>
          <w:b w:val="0"/>
        </w:rPr>
        <w:t>Stand-</w:t>
      </w:r>
      <w:r w:rsidR="007E5F08">
        <w:rPr>
          <w:b w:val="0"/>
        </w:rPr>
        <w:t>alone and Avoided Cost M</w:t>
      </w:r>
      <w:r w:rsidRPr="00C9650E">
        <w:rPr>
          <w:b w:val="0"/>
        </w:rPr>
        <w:t>ethodologies</w:t>
      </w:r>
      <w:bookmarkEnd w:id="217"/>
      <w:bookmarkEnd w:id="218"/>
      <w:bookmarkEnd w:id="219"/>
    </w:p>
    <w:p w:rsidR="0044594F" w:rsidRPr="00C9650E" w:rsidRDefault="0044594F" w:rsidP="0044594F">
      <w:pPr>
        <w:pStyle w:val="Heading2"/>
        <w:keepNext w:val="0"/>
        <w:keepLines w:val="0"/>
        <w:numPr>
          <w:ilvl w:val="1"/>
          <w:numId w:val="29"/>
        </w:numPr>
        <w:spacing w:after="240" w:line="240" w:lineRule="auto"/>
        <w:rPr>
          <w:b w:val="0"/>
        </w:rPr>
      </w:pPr>
      <w:bookmarkStart w:id="220" w:name="_Ref134010241"/>
      <w:bookmarkStart w:id="221" w:name="_Ref136432883"/>
      <w:bookmarkStart w:id="222" w:name="_Toc386622114"/>
      <w:bookmarkStart w:id="223" w:name="_Toc420009892"/>
      <w:r w:rsidRPr="00C9650E">
        <w:rPr>
          <w:b w:val="0"/>
        </w:rPr>
        <w:t xml:space="preserve">CONFIDENTIAL – </w:t>
      </w:r>
      <w:r w:rsidR="008E4D01">
        <w:rPr>
          <w:b w:val="0"/>
        </w:rPr>
        <w:t>Revenue and</w:t>
      </w:r>
      <w:r w:rsidRPr="00C9650E">
        <w:rPr>
          <w:b w:val="0"/>
        </w:rPr>
        <w:t xml:space="preserve"> Price Compliance Model</w:t>
      </w:r>
      <w:bookmarkEnd w:id="220"/>
      <w:r w:rsidRPr="00C9650E">
        <w:rPr>
          <w:b w:val="0"/>
        </w:rPr>
        <w:t xml:space="preserve"> (standard control)</w:t>
      </w:r>
      <w:bookmarkEnd w:id="221"/>
      <w:bookmarkEnd w:id="222"/>
      <w:bookmarkEnd w:id="223"/>
    </w:p>
    <w:p w:rsidR="0044594F" w:rsidRPr="00C9650E" w:rsidRDefault="008E4D01" w:rsidP="0044594F">
      <w:pPr>
        <w:pStyle w:val="Heading2"/>
        <w:keepNext w:val="0"/>
        <w:keepLines w:val="0"/>
        <w:numPr>
          <w:ilvl w:val="1"/>
          <w:numId w:val="29"/>
        </w:numPr>
        <w:spacing w:after="240" w:line="240" w:lineRule="auto"/>
        <w:rPr>
          <w:b w:val="0"/>
        </w:rPr>
      </w:pPr>
      <w:bookmarkStart w:id="224" w:name="_Toc420009893"/>
      <w:r>
        <w:rPr>
          <w:b w:val="0"/>
        </w:rPr>
        <w:t>Not used</w:t>
      </w:r>
      <w:bookmarkEnd w:id="224"/>
    </w:p>
    <w:p w:rsidR="0044594F" w:rsidRPr="00C9650E" w:rsidRDefault="008E4D01" w:rsidP="0044594F">
      <w:pPr>
        <w:pStyle w:val="Heading2"/>
        <w:keepNext w:val="0"/>
        <w:keepLines w:val="0"/>
        <w:numPr>
          <w:ilvl w:val="1"/>
          <w:numId w:val="29"/>
        </w:numPr>
        <w:spacing w:after="240" w:line="240" w:lineRule="auto"/>
        <w:rPr>
          <w:b w:val="0"/>
        </w:rPr>
      </w:pPr>
      <w:bookmarkStart w:id="225" w:name="_Toc386622116"/>
      <w:bookmarkStart w:id="226" w:name="_Toc420009894"/>
      <w:r>
        <w:rPr>
          <w:b w:val="0"/>
          <w:noProof/>
        </w:rPr>
        <w:t>Not used</w:t>
      </w:r>
      <w:bookmarkEnd w:id="225"/>
      <w:bookmarkEnd w:id="226"/>
    </w:p>
    <w:p w:rsidR="0044594F" w:rsidRDefault="00EA36E3" w:rsidP="0044594F">
      <w:pPr>
        <w:pStyle w:val="Heading2"/>
        <w:keepNext w:val="0"/>
        <w:keepLines w:val="0"/>
        <w:numPr>
          <w:ilvl w:val="1"/>
          <w:numId w:val="29"/>
        </w:numPr>
        <w:spacing w:after="240" w:line="240" w:lineRule="auto"/>
        <w:rPr>
          <w:b w:val="0"/>
        </w:rPr>
      </w:pPr>
      <w:bookmarkStart w:id="227" w:name="_Ref133918444"/>
      <w:bookmarkStart w:id="228" w:name="_Toc386622117"/>
      <w:bookmarkStart w:id="229" w:name="_Toc420009895"/>
      <w:bookmarkStart w:id="230" w:name="_Ref226961135"/>
      <w:bookmarkStart w:id="231" w:name="_Ref226961150"/>
      <w:r>
        <w:rPr>
          <w:b w:val="0"/>
        </w:rPr>
        <w:t>SA Power Networks</w:t>
      </w:r>
      <w:r w:rsidR="00947CBC">
        <w:rPr>
          <w:b w:val="0"/>
        </w:rPr>
        <w:t>’</w:t>
      </w:r>
      <w:r w:rsidR="0044594F" w:rsidRPr="00C9650E">
        <w:rPr>
          <w:b w:val="0"/>
        </w:rPr>
        <w:t xml:space="preserve"> procedure for assigning and reassigning customers to tariff classes</w:t>
      </w:r>
      <w:bookmarkEnd w:id="227"/>
      <w:r w:rsidR="0044594F" w:rsidRPr="00C9650E">
        <w:rPr>
          <w:b w:val="0"/>
        </w:rPr>
        <w:t xml:space="preserve"> (Tariff Manual)</w:t>
      </w:r>
      <w:bookmarkEnd w:id="228"/>
      <w:bookmarkEnd w:id="229"/>
    </w:p>
    <w:p w:rsidR="00947CBC" w:rsidRDefault="00947CBC" w:rsidP="00947CBC">
      <w:pPr>
        <w:pStyle w:val="Heading2"/>
        <w:keepNext w:val="0"/>
        <w:keepLines w:val="0"/>
        <w:numPr>
          <w:ilvl w:val="1"/>
          <w:numId w:val="29"/>
        </w:numPr>
        <w:spacing w:after="240" w:line="240" w:lineRule="auto"/>
        <w:rPr>
          <w:b w:val="0"/>
        </w:rPr>
      </w:pPr>
      <w:r>
        <w:rPr>
          <w:b w:val="0"/>
        </w:rPr>
        <w:t>SA Power Networks’</w:t>
      </w:r>
      <w:r w:rsidRPr="00C9650E">
        <w:rPr>
          <w:b w:val="0"/>
        </w:rPr>
        <w:t xml:space="preserve"> </w:t>
      </w:r>
      <w:r>
        <w:rPr>
          <w:b w:val="0"/>
        </w:rPr>
        <w:t>Regulatory Compliance Checklist</w:t>
      </w:r>
    </w:p>
    <w:p w:rsidR="00947CBC" w:rsidRPr="00947CBC" w:rsidRDefault="00947CBC" w:rsidP="00947CBC">
      <w:pPr>
        <w:rPr>
          <w:lang w:bidi="en-US"/>
        </w:rPr>
      </w:pPr>
    </w:p>
    <w:p w:rsidR="00947CBC" w:rsidRPr="00947CBC" w:rsidRDefault="00947CBC" w:rsidP="00947CBC">
      <w:pPr>
        <w:rPr>
          <w:lang w:bidi="en-US"/>
        </w:rPr>
      </w:pPr>
    </w:p>
    <w:bookmarkEnd w:id="230"/>
    <w:bookmarkEnd w:id="231"/>
    <w:p w:rsidR="00C42785" w:rsidRDefault="00C42785" w:rsidP="00BA5C91"/>
    <w:sectPr w:rsidR="00C42785" w:rsidSect="00661D4F">
      <w:headerReference w:type="default" r:id="rId94"/>
      <w:pgSz w:w="11907" w:h="16839" w:code="9"/>
      <w:pgMar w:top="1440" w:right="1440" w:bottom="1440" w:left="1440" w:header="72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AFE" w:rsidRDefault="00A81AFE">
      <w:pPr>
        <w:spacing w:line="240" w:lineRule="auto"/>
      </w:pPr>
      <w:r>
        <w:separator/>
      </w:r>
    </w:p>
  </w:endnote>
  <w:endnote w:type="continuationSeparator" w:id="0">
    <w:p w:rsidR="00A81AFE" w:rsidRDefault="00A81A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notTrueType/>
    <w:pitch w:val="variable"/>
    <w:sig w:usb0="00000003" w:usb1="00000000" w:usb2="00000000" w:usb3="00000000" w:csb0="00000001" w:csb1="00000000"/>
  </w:font>
  <w:font w:name="Arial-BoldMT">
    <w:altName w:val="Arial Bold"/>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ont38">
    <w:altName w:val="Cambria"/>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70426C" w:rsidRDefault="00A81AFE" w:rsidP="00393E4F">
    <w:pPr>
      <w:pStyle w:val="Footer"/>
      <w:tabs>
        <w:tab w:val="left" w:pos="4933"/>
      </w:tabs>
    </w:pPr>
    <w:r>
      <w:t>Pricing Proposal</w:t>
    </w:r>
    <w:r>
      <w:tab/>
    </w:r>
    <w:r w:rsidR="00924A8F">
      <w:fldChar w:fldCharType="begin"/>
    </w:r>
    <w:r w:rsidR="00924A8F">
      <w:instrText xml:space="preserve"> PAGE   \* MERGEFORMAT </w:instrText>
    </w:r>
    <w:r w:rsidR="00924A8F">
      <w:fldChar w:fldCharType="separate"/>
    </w:r>
    <w:r w:rsidRPr="005915F3">
      <w:rPr>
        <w:noProof/>
        <w:sz w:val="22"/>
      </w:rPr>
      <w:t>vi</w:t>
    </w:r>
    <w:r w:rsidR="00924A8F">
      <w:rPr>
        <w:noProof/>
        <w:sz w:val="22"/>
      </w:rPr>
      <w:fldChar w:fldCharType="end"/>
    </w:r>
    <w:r>
      <w:tab/>
    </w:r>
    <w:r>
      <w:tab/>
      <w:t>May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Footer"/>
      <w:tabs>
        <w:tab w:val="right" w:pos="9072"/>
      </w:tabs>
    </w:pPr>
    <w:r>
      <w:t>Pricing Proposal</w:t>
    </w:r>
    <w:r>
      <w:tab/>
    </w:r>
    <w:r w:rsidR="00924A8F">
      <w:fldChar w:fldCharType="begin"/>
    </w:r>
    <w:r w:rsidR="00924A8F">
      <w:instrText xml:space="preserve"> PAGE   \* MERGEFORMAT </w:instrText>
    </w:r>
    <w:r w:rsidR="00924A8F">
      <w:fldChar w:fldCharType="separate"/>
    </w:r>
    <w:r w:rsidR="00924A8F" w:rsidRPr="00924A8F">
      <w:rPr>
        <w:noProof/>
        <w:sz w:val="22"/>
      </w:rPr>
      <w:t>ix</w:t>
    </w:r>
    <w:r w:rsidR="00924A8F">
      <w:rPr>
        <w:noProof/>
        <w:sz w:val="22"/>
      </w:rPr>
      <w:fldChar w:fldCharType="end"/>
    </w:r>
    <w:r>
      <w:tab/>
    </w:r>
    <w:r w:rsidR="00924A8F">
      <w:fldChar w:fldCharType="begin"/>
    </w:r>
    <w:r w:rsidR="00924A8F">
      <w:instrText xml:space="preserve"> DATE \@ "d/MM/yyyy" </w:instrText>
    </w:r>
    <w:r w:rsidR="00924A8F">
      <w:fldChar w:fldCharType="separate"/>
    </w:r>
    <w:r w:rsidR="00924A8F">
      <w:rPr>
        <w:noProof/>
      </w:rPr>
      <w:t>26/05/2015</w:t>
    </w:r>
    <w:r w:rsidR="00924A8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Footer"/>
    </w:pPr>
    <w:r>
      <w:t>Pricing Proposal</w:t>
    </w:r>
    <w:r>
      <w:tab/>
    </w:r>
    <w:r w:rsidR="00924A8F">
      <w:fldChar w:fldCharType="begin"/>
    </w:r>
    <w:r w:rsidR="00924A8F">
      <w:instrText xml:space="preserve"> PAGE   \* MERGEFORMAT </w:instrText>
    </w:r>
    <w:r w:rsidR="00924A8F">
      <w:fldChar w:fldCharType="separate"/>
    </w:r>
    <w:r w:rsidR="00924A8F" w:rsidRPr="00924A8F">
      <w:rPr>
        <w:noProof/>
        <w:sz w:val="22"/>
      </w:rPr>
      <w:t>iii</w:t>
    </w:r>
    <w:r w:rsidR="00924A8F">
      <w:rPr>
        <w:noProof/>
        <w:sz w:val="22"/>
      </w:rPr>
      <w:fldChar w:fldCharType="end"/>
    </w:r>
    <w:r>
      <w:tab/>
    </w:r>
    <w:r w:rsidR="00924A8F">
      <w:fldChar w:fldCharType="begin"/>
    </w:r>
    <w:r w:rsidR="00924A8F">
      <w:instrText xml:space="preserve"> DATE \@ "d/MM/yyyy" </w:instrText>
    </w:r>
    <w:r w:rsidR="00924A8F">
      <w:fldChar w:fldCharType="separate"/>
    </w:r>
    <w:r w:rsidR="00924A8F">
      <w:rPr>
        <w:noProof/>
      </w:rPr>
      <w:t>26/05/2015</w:t>
    </w:r>
    <w:r w:rsidR="00924A8F">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70426C" w:rsidRDefault="00A81AFE" w:rsidP="00393E4F">
    <w:pPr>
      <w:pStyle w:val="Footer"/>
      <w:tabs>
        <w:tab w:val="left" w:pos="4933"/>
      </w:tabs>
    </w:pPr>
    <w:r>
      <w:t>Pricing Proposal</w:t>
    </w:r>
    <w:r>
      <w:tab/>
    </w:r>
    <w:r w:rsidR="00924A8F">
      <w:fldChar w:fldCharType="begin"/>
    </w:r>
    <w:r w:rsidR="00924A8F">
      <w:instrText xml:space="preserve"> PAGE   \* MERGEFORMAT </w:instrText>
    </w:r>
    <w:r w:rsidR="00924A8F">
      <w:fldChar w:fldCharType="separate"/>
    </w:r>
    <w:r w:rsidRPr="005915F3">
      <w:rPr>
        <w:noProof/>
        <w:sz w:val="22"/>
      </w:rPr>
      <w:t>ii</w:t>
    </w:r>
    <w:r w:rsidR="00924A8F">
      <w:rPr>
        <w:noProof/>
        <w:sz w:val="22"/>
      </w:rPr>
      <w:fldChar w:fldCharType="end"/>
    </w:r>
    <w:r>
      <w:tab/>
    </w:r>
    <w:r>
      <w:tab/>
      <w:t>May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Footer"/>
      <w:tabs>
        <w:tab w:val="right" w:pos="9072"/>
      </w:tabs>
    </w:pPr>
    <w:r>
      <w:t>Pricing Proposal</w:t>
    </w:r>
    <w:r>
      <w:tab/>
    </w:r>
    <w:r w:rsidR="00924A8F">
      <w:fldChar w:fldCharType="begin"/>
    </w:r>
    <w:r w:rsidR="00924A8F">
      <w:instrText xml:space="preserve"> PAGE   \* MERGEFORMAT </w:instrText>
    </w:r>
    <w:r w:rsidR="00924A8F">
      <w:fldChar w:fldCharType="separate"/>
    </w:r>
    <w:r w:rsidR="00924A8F" w:rsidRPr="00924A8F">
      <w:rPr>
        <w:noProof/>
        <w:sz w:val="22"/>
      </w:rPr>
      <w:t>iii</w:t>
    </w:r>
    <w:r w:rsidR="00924A8F">
      <w:rPr>
        <w:noProof/>
        <w:sz w:val="22"/>
      </w:rPr>
      <w:fldChar w:fldCharType="end"/>
    </w:r>
    <w:r>
      <w:tab/>
      <w:t>May 2014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Footer"/>
      <w:tabs>
        <w:tab w:val="left" w:pos="4933"/>
      </w:tabs>
    </w:pPr>
    <w:r>
      <w:t>Pricing Proposal</w:t>
    </w:r>
    <w:r>
      <w:tab/>
    </w:r>
    <w:r w:rsidR="00924A8F">
      <w:fldChar w:fldCharType="begin"/>
    </w:r>
    <w:r w:rsidR="00924A8F">
      <w:instrText xml:space="preserve"> PAGE   \* MERGEFORMAT </w:instrText>
    </w:r>
    <w:r w:rsidR="00924A8F">
      <w:fldChar w:fldCharType="separate"/>
    </w:r>
    <w:r w:rsidR="00924A8F" w:rsidRPr="00924A8F">
      <w:rPr>
        <w:noProof/>
        <w:sz w:val="22"/>
      </w:rPr>
      <w:t>i</w:t>
    </w:r>
    <w:r w:rsidR="00924A8F">
      <w:rPr>
        <w:noProof/>
        <w:sz w:val="22"/>
      </w:rPr>
      <w:fldChar w:fldCharType="end"/>
    </w:r>
    <w:r>
      <w:tab/>
    </w:r>
    <w:r>
      <w:tab/>
      <w:t>May 2014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5B1807" w:rsidRDefault="00A81AFE" w:rsidP="00393E4F">
    <w:pPr>
      <w:pStyle w:val="Footer"/>
    </w:pPr>
    <w:r>
      <w:t>Pricing Proposal</w:t>
    </w:r>
    <w:r>
      <w:tab/>
    </w:r>
    <w:r w:rsidR="00924A8F">
      <w:fldChar w:fldCharType="begin"/>
    </w:r>
    <w:r w:rsidR="00924A8F">
      <w:instrText xml:space="preserve"> PAGE   \* MERGEFORMAT </w:instrText>
    </w:r>
    <w:r w:rsidR="00924A8F">
      <w:fldChar w:fldCharType="separate"/>
    </w:r>
    <w:r w:rsidRPr="005915F3">
      <w:rPr>
        <w:noProof/>
        <w:sz w:val="22"/>
      </w:rPr>
      <w:t>36</w:t>
    </w:r>
    <w:r w:rsidR="00924A8F">
      <w:rPr>
        <w:noProof/>
        <w:sz w:val="22"/>
      </w:rPr>
      <w:fldChar w:fldCharType="end"/>
    </w:r>
    <w:r>
      <w:tab/>
      <w:t>May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Footer"/>
      <w:tabs>
        <w:tab w:val="right" w:pos="9072"/>
      </w:tabs>
    </w:pPr>
    <w:r>
      <w:t>Pricing Proposal</w:t>
    </w:r>
    <w:r>
      <w:tab/>
    </w:r>
    <w:r w:rsidR="00924A8F">
      <w:fldChar w:fldCharType="begin"/>
    </w:r>
    <w:r w:rsidR="00924A8F">
      <w:instrText xml:space="preserve"> PAGE   \* MERGEFORMAT </w:instrText>
    </w:r>
    <w:r w:rsidR="00924A8F">
      <w:fldChar w:fldCharType="separate"/>
    </w:r>
    <w:r w:rsidR="00924A8F" w:rsidRPr="00924A8F">
      <w:rPr>
        <w:noProof/>
        <w:sz w:val="22"/>
      </w:rPr>
      <w:t>8</w:t>
    </w:r>
    <w:r w:rsidR="00924A8F">
      <w:rPr>
        <w:noProof/>
        <w:sz w:val="22"/>
      </w:rPr>
      <w:fldChar w:fldCharType="end"/>
    </w:r>
    <w:r>
      <w:tab/>
    </w:r>
    <w:sdt>
      <w:sdtPr>
        <w:rPr>
          <w:noProof/>
        </w:rPr>
        <w:alias w:val="Publish Date"/>
        <w:id w:val="99858159"/>
        <w:dataBinding w:prefixMappings="xmlns:ns0='http://schemas.microsoft.com/office/2006/coverPageProps' " w:xpath="/ns0:CoverPageProperties[1]/ns0:PublishDate[1]" w:storeItemID="{55AF091B-3C7A-41E3-B477-F2FDAA23CFDA}"/>
        <w:date w:fullDate="2015-05-21T00:00:00Z">
          <w:dateFormat w:val="d/MM/yyyy"/>
          <w:lid w:val="en-AU"/>
          <w:storeMappedDataAs w:val="dateTime"/>
          <w:calendar w:val="gregorian"/>
        </w:date>
      </w:sdtPr>
      <w:sdtEndPr/>
      <w:sdtContent>
        <w:r>
          <w:rPr>
            <w:noProof/>
          </w:rPr>
          <w:t>21/05/2015</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Footer"/>
      <w:tabs>
        <w:tab w:val="right" w:pos="9072"/>
      </w:tabs>
    </w:pPr>
    <w:r>
      <w:t>Pricing Proposal</w:t>
    </w:r>
    <w:r>
      <w:tab/>
    </w:r>
    <w:r w:rsidR="00924A8F">
      <w:fldChar w:fldCharType="begin"/>
    </w:r>
    <w:r w:rsidR="00924A8F">
      <w:instrText xml:space="preserve"> PAGE   \* MERGEFORMAT </w:instrText>
    </w:r>
    <w:r w:rsidR="00924A8F">
      <w:fldChar w:fldCharType="separate"/>
    </w:r>
    <w:r w:rsidR="00924A8F" w:rsidRPr="00924A8F">
      <w:rPr>
        <w:noProof/>
        <w:sz w:val="22"/>
      </w:rPr>
      <w:t>1</w:t>
    </w:r>
    <w:r w:rsidR="00924A8F">
      <w:rPr>
        <w:noProof/>
        <w:sz w:val="22"/>
      </w:rPr>
      <w:fldChar w:fldCharType="end"/>
    </w:r>
    <w:r>
      <w:tab/>
    </w:r>
    <w:r w:rsidR="00924A8F">
      <w:fldChar w:fldCharType="begin"/>
    </w:r>
    <w:r w:rsidR="00924A8F">
      <w:instrText xml:space="preserve"> DATE \@ "d/MM/yyyy" </w:instrText>
    </w:r>
    <w:r w:rsidR="00924A8F">
      <w:fldChar w:fldCharType="separate"/>
    </w:r>
    <w:r w:rsidR="00924A8F">
      <w:rPr>
        <w:noProof/>
      </w:rPr>
      <w:t>26/05/2015</w:t>
    </w:r>
    <w:r w:rsidR="00924A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AFE" w:rsidRDefault="00A81AFE">
      <w:pPr>
        <w:spacing w:line="240" w:lineRule="auto"/>
      </w:pPr>
      <w:r>
        <w:separator/>
      </w:r>
    </w:p>
  </w:footnote>
  <w:footnote w:type="continuationSeparator" w:id="0">
    <w:p w:rsidR="00A81AFE" w:rsidRDefault="00A81AFE">
      <w:pPr>
        <w:spacing w:line="240" w:lineRule="auto"/>
      </w:pPr>
      <w:r>
        <w:continuationSeparator/>
      </w:r>
    </w:p>
  </w:footnote>
  <w:footnote w:id="1">
    <w:p w:rsidR="00A81AFE" w:rsidRDefault="00A81AFE" w:rsidP="0044594F">
      <w:pPr>
        <w:pStyle w:val="FootnoteText"/>
      </w:pPr>
      <w:r w:rsidRPr="004E2D05">
        <w:rPr>
          <w:rStyle w:val="FootnoteReference"/>
          <w:szCs w:val="18"/>
        </w:rPr>
        <w:footnoteRef/>
      </w:r>
      <w:r w:rsidRPr="004E2D05">
        <w:rPr>
          <w:szCs w:val="18"/>
        </w:rPr>
        <w:t xml:space="preserve"> </w:t>
      </w:r>
      <w:r w:rsidRPr="004E2D05">
        <w:rPr>
          <w:szCs w:val="18"/>
        </w:rPr>
        <w:tab/>
        <w:t>Australian Energy Market Commission, National Electricity Rules, version 35, 25 March 2010.</w:t>
      </w:r>
    </w:p>
  </w:footnote>
  <w:footnote w:id="2">
    <w:p w:rsidR="00A81AFE" w:rsidRPr="00791F09" w:rsidRDefault="00A81AFE" w:rsidP="00791F09">
      <w:pPr>
        <w:pStyle w:val="FootnoteText"/>
      </w:pPr>
      <w:r w:rsidRPr="00791F09">
        <w:rPr>
          <w:rStyle w:val="FootnoteReference"/>
        </w:rPr>
        <w:footnoteRef/>
      </w:r>
      <w:r w:rsidRPr="00791F09">
        <w:t xml:space="preserve"> </w:t>
      </w:r>
      <w:r w:rsidRPr="00791F09">
        <w:tab/>
        <w:t xml:space="preserve">AER, </w:t>
      </w:r>
      <w:r>
        <w:t>Preliminary Decision</w:t>
      </w:r>
      <w:r w:rsidRPr="00791F09">
        <w:t>, April 2015, Attachment 14 pp.12.</w:t>
      </w:r>
    </w:p>
  </w:footnote>
  <w:footnote w:id="3">
    <w:p w:rsidR="00A81AFE" w:rsidRDefault="00A81AFE" w:rsidP="00791F09">
      <w:pPr>
        <w:pStyle w:val="FootnoteText"/>
      </w:pPr>
      <w:r w:rsidRPr="00791F09">
        <w:rPr>
          <w:rStyle w:val="FootnoteReference"/>
        </w:rPr>
        <w:footnoteRef/>
      </w:r>
      <w:r w:rsidRPr="00791F09">
        <w:t xml:space="preserve"> </w:t>
      </w:r>
      <w:r w:rsidRPr="00791F09">
        <w:tab/>
        <w:t xml:space="preserve">In the formulas in the STPIS attachment, the </w:t>
      </w:r>
      <m:oMath>
        <m:sSub>
          <m:sSubPr>
            <m:ctrlPr>
              <w:rPr>
                <w:rFonts w:ascii="Cambria Math" w:hAnsi="Cambria Math"/>
                <w:i/>
              </w:rPr>
            </m:ctrlPr>
          </m:sSubPr>
          <m:e>
            <m:r>
              <w:rPr>
                <w:rFonts w:ascii="Cambria Math" w:hAnsi="Cambria Math"/>
              </w:rPr>
              <m:t>AR</m:t>
            </m:r>
          </m:e>
          <m:sub>
            <m:r>
              <w:rPr>
                <w:rFonts w:ascii="Cambria Math" w:hAnsi="Cambria Math"/>
              </w:rPr>
              <m:t>t+1</m:t>
            </m:r>
          </m:sub>
        </m:sSub>
        <m:r>
          <m:rPr>
            <m:sty m:val="p"/>
          </m:rPr>
          <w:rPr>
            <w:rStyle w:val="AERbody"/>
            <w:rFonts w:ascii="Cambria Math" w:hAnsi="Cambria Math"/>
          </w:rPr>
          <m:t xml:space="preserve"> </m:t>
        </m:r>
      </m:oMath>
      <w:r w:rsidRPr="00791F09">
        <w:t xml:space="preserve">is equivalent to </w:t>
      </w:r>
      <m:oMath>
        <m:sSub>
          <m:sSubPr>
            <m:ctrlPr>
              <w:rPr>
                <w:rFonts w:ascii="Cambria Math" w:hAnsi="Cambria Math"/>
                <w:i/>
              </w:rPr>
            </m:ctrlPr>
          </m:sSubPr>
          <m:e>
            <m:r>
              <w:rPr>
                <w:rFonts w:ascii="Cambria Math" w:hAnsi="Cambria Math"/>
              </w:rPr>
              <m:t>AR</m:t>
            </m:r>
          </m:e>
          <m:sub>
            <m:r>
              <w:rPr>
                <w:rFonts w:ascii="Cambria Math" w:hAnsi="Cambria Math"/>
              </w:rPr>
              <m:t>t</m:t>
            </m:r>
          </m:sub>
        </m:sSub>
      </m:oMath>
      <w:r w:rsidRPr="00791F09">
        <w:t xml:space="preserve">  in this formula. Calculations of the S factor adjustment are to be made accordingly.</w:t>
      </w:r>
      <w:r>
        <w:t xml:space="preserve"> </w:t>
      </w:r>
    </w:p>
  </w:footnote>
  <w:footnote w:id="4">
    <w:p w:rsidR="00A81AFE" w:rsidRPr="00791F09" w:rsidRDefault="00A81AFE" w:rsidP="00791F09">
      <w:pPr>
        <w:pStyle w:val="FootnoteText"/>
      </w:pPr>
      <w:r>
        <w:rPr>
          <w:rStyle w:val="FootnoteReference"/>
        </w:rPr>
        <w:footnoteRef/>
      </w:r>
      <w:r>
        <w:t xml:space="preserve"> </w:t>
      </w:r>
      <w:r>
        <w:tab/>
      </w:r>
      <w:r w:rsidRPr="00791F09">
        <w:t xml:space="preserve">AER, </w:t>
      </w:r>
      <w:r>
        <w:t>Preliminary Decision</w:t>
      </w:r>
      <w:r w:rsidRPr="00791F09">
        <w:t>, April 2015, Attachment 14 pp.13.</w:t>
      </w:r>
    </w:p>
  </w:footnote>
  <w:footnote w:id="5">
    <w:p w:rsidR="00A81AFE" w:rsidRDefault="00A81AFE" w:rsidP="00791F09">
      <w:pPr>
        <w:pStyle w:val="FootnoteText"/>
      </w:pPr>
      <w:r w:rsidRPr="00791F09">
        <w:rPr>
          <w:rStyle w:val="FootnoteReference"/>
        </w:rPr>
        <w:footnoteRef/>
      </w:r>
      <w:r w:rsidRPr="00791F09">
        <w:t xml:space="preserve"> </w:t>
      </w:r>
      <w:r w:rsidRPr="00791F09">
        <w:tab/>
        <w:t xml:space="preserve">In the formulas in the STPIS attachment, the </w:t>
      </w:r>
      <m:oMath>
        <m:sSub>
          <m:sSubPr>
            <m:ctrlPr>
              <w:rPr>
                <w:rFonts w:ascii="Cambria Math" w:hAnsi="Cambria Math"/>
              </w:rPr>
            </m:ctrlPr>
          </m:sSubPr>
          <m:e>
            <m:r>
              <w:rPr>
                <w:rFonts w:ascii="Cambria Math" w:hAnsi="Cambria Math"/>
              </w:rPr>
              <m:t>AR</m:t>
            </m:r>
          </m:e>
          <m:sub>
            <m:r>
              <w:rPr>
                <w:rFonts w:ascii="Cambria Math" w:hAnsi="Cambria Math"/>
              </w:rPr>
              <m:t>t+1</m:t>
            </m:r>
          </m:sub>
        </m:sSub>
      </m:oMath>
      <w:r w:rsidRPr="00791F09">
        <w:t xml:space="preserve"> is equivalent to  </w:t>
      </w:r>
      <m:oMath>
        <m:sSub>
          <m:sSubPr>
            <m:ctrlPr>
              <w:rPr>
                <w:rFonts w:ascii="Cambria Math" w:hAnsi="Cambria Math"/>
              </w:rPr>
            </m:ctrlPr>
          </m:sSubPr>
          <m:e>
            <m:r>
              <w:rPr>
                <w:rFonts w:ascii="Cambria Math" w:hAnsi="Cambria Math"/>
              </w:rPr>
              <m:t>AR</m:t>
            </m:r>
          </m:e>
          <m:sub>
            <m:r>
              <w:rPr>
                <w:rFonts w:ascii="Cambria Math" w:hAnsi="Cambria Math"/>
              </w:rPr>
              <m:t>t</m:t>
            </m:r>
          </m:sub>
        </m:sSub>
      </m:oMath>
      <w:r w:rsidRPr="00791F09">
        <w:t xml:space="preserve">  in this formula. Calculations of the S factor adjustment are to be made accordingly.</w:t>
      </w:r>
    </w:p>
  </w:footnote>
  <w:footnote w:id="6">
    <w:p w:rsidR="00A81AFE" w:rsidRDefault="00A81AFE" w:rsidP="00791F09">
      <w:pPr>
        <w:pStyle w:val="FootnoteText"/>
      </w:pPr>
      <w:r>
        <w:rPr>
          <w:rStyle w:val="FootnoteReference"/>
        </w:rPr>
        <w:footnoteRef/>
      </w:r>
      <w:r>
        <w:t xml:space="preserve"> </w:t>
      </w:r>
      <w:r>
        <w:tab/>
      </w:r>
      <w:r w:rsidRPr="003C07A2">
        <w:t xml:space="preserve">AER, </w:t>
      </w:r>
      <w:r>
        <w:t>Preliminary Decision</w:t>
      </w:r>
      <w:r w:rsidRPr="003C07A2">
        <w:t>, April 2015, Attachment 16  pp.52.</w:t>
      </w:r>
    </w:p>
  </w:footnote>
  <w:footnote w:id="7">
    <w:p w:rsidR="00A81AFE" w:rsidRDefault="00A81AFE" w:rsidP="0044594F">
      <w:pPr>
        <w:pStyle w:val="FootnoteText"/>
      </w:pPr>
      <w:r w:rsidRPr="00723E8B">
        <w:rPr>
          <w:rStyle w:val="FootnoteReference"/>
          <w:szCs w:val="18"/>
        </w:rPr>
        <w:footnoteRef/>
      </w:r>
      <w:r w:rsidRPr="00206C9B">
        <w:rPr>
          <w:szCs w:val="18"/>
        </w:rPr>
        <w:t xml:space="preserve"> </w:t>
      </w:r>
      <w:r w:rsidRPr="00206C9B">
        <w:rPr>
          <w:szCs w:val="18"/>
        </w:rPr>
        <w:tab/>
        <w:t xml:space="preserve">South Australian Treasurer, Electricity Act 1996 </w:t>
      </w:r>
      <w:r>
        <w:rPr>
          <w:szCs w:val="18"/>
        </w:rPr>
        <w:t>Section</w:t>
      </w:r>
      <w:r w:rsidRPr="00206C9B">
        <w:rPr>
          <w:szCs w:val="18"/>
        </w:rPr>
        <w:t xml:space="preserve"> 35B Electricity Pricing Order, 11 October 1999.</w:t>
      </w:r>
      <w:r>
        <w:rPr>
          <w:szCs w:val="18"/>
        </w:rPr>
        <w:t xml:space="preserve"> Cl 7.3 (f)-(h)</w:t>
      </w:r>
    </w:p>
  </w:footnote>
  <w:footnote w:id="8">
    <w:p w:rsidR="00A81AFE" w:rsidRDefault="00A81AFE" w:rsidP="0044594F">
      <w:pPr>
        <w:pStyle w:val="FootnoteText"/>
      </w:pPr>
      <w:r w:rsidRPr="00206C9B">
        <w:rPr>
          <w:rStyle w:val="FootnoteReference"/>
          <w:szCs w:val="18"/>
        </w:rPr>
        <w:footnoteRef/>
      </w:r>
      <w:r w:rsidRPr="006F0B00">
        <w:rPr>
          <w:szCs w:val="18"/>
        </w:rPr>
        <w:t xml:space="preserve"> </w:t>
      </w:r>
      <w:r w:rsidRPr="006F0B00">
        <w:rPr>
          <w:szCs w:val="18"/>
        </w:rPr>
        <w:tab/>
        <w:t xml:space="preserve">AER, </w:t>
      </w:r>
      <w:r>
        <w:rPr>
          <w:szCs w:val="18"/>
        </w:rPr>
        <w:t>Preliminary Decision</w:t>
      </w:r>
      <w:r w:rsidRPr="006F0B00">
        <w:rPr>
          <w:szCs w:val="18"/>
        </w:rPr>
        <w:t xml:space="preserve">, </w:t>
      </w:r>
      <w:r>
        <w:rPr>
          <w:szCs w:val="18"/>
        </w:rPr>
        <w:t>April 2015</w:t>
      </w:r>
      <w:r w:rsidRPr="006F0B00">
        <w:rPr>
          <w:szCs w:val="18"/>
        </w:rPr>
        <w:t>,</w:t>
      </w:r>
      <w:r>
        <w:rPr>
          <w:szCs w:val="18"/>
        </w:rPr>
        <w:t xml:space="preserve"> Attachment 13,</w:t>
      </w:r>
      <w:r w:rsidRPr="006F0B00">
        <w:rPr>
          <w:szCs w:val="18"/>
        </w:rPr>
        <w:t xml:space="preserve"> pp. </w:t>
      </w:r>
      <w:r>
        <w:rPr>
          <w:szCs w:val="18"/>
        </w:rPr>
        <w:t>17</w:t>
      </w:r>
      <w:r w:rsidRPr="006F0B00">
        <w:rPr>
          <w:szCs w:val="18"/>
        </w:rPr>
        <w:t>.</w:t>
      </w:r>
    </w:p>
  </w:footnote>
  <w:footnote w:id="9">
    <w:p w:rsidR="00A81AFE" w:rsidRDefault="00A81AFE" w:rsidP="0020322C">
      <w:pPr>
        <w:pStyle w:val="FootnoteText"/>
      </w:pPr>
      <w:r w:rsidRPr="00863D46">
        <w:rPr>
          <w:rStyle w:val="FootnoteReference"/>
          <w:szCs w:val="18"/>
        </w:rPr>
        <w:footnoteRef/>
      </w:r>
      <w:r w:rsidRPr="00863D46">
        <w:rPr>
          <w:szCs w:val="18"/>
        </w:rPr>
        <w:t xml:space="preserve"> </w:t>
      </w:r>
      <w:r w:rsidRPr="00863D46">
        <w:rPr>
          <w:szCs w:val="18"/>
        </w:rPr>
        <w:tab/>
      </w:r>
      <w:r w:rsidRPr="0020322C">
        <w:rPr>
          <w:szCs w:val="18"/>
        </w:rPr>
        <w:t xml:space="preserve">AER, </w:t>
      </w:r>
      <w:r>
        <w:rPr>
          <w:szCs w:val="18"/>
        </w:rPr>
        <w:t>Preliminary Decision</w:t>
      </w:r>
      <w:r w:rsidRPr="0020322C">
        <w:rPr>
          <w:szCs w:val="18"/>
        </w:rPr>
        <w:t>, April 2015, Attachment 14,  p. 21.</w:t>
      </w:r>
    </w:p>
  </w:footnote>
  <w:footnote w:id="10">
    <w:p w:rsidR="00A81AFE" w:rsidRDefault="00A81AFE" w:rsidP="0044594F">
      <w:pPr>
        <w:pStyle w:val="FootnoteText"/>
      </w:pPr>
      <w:r w:rsidRPr="00CB736C">
        <w:rPr>
          <w:rStyle w:val="FootnoteReference"/>
          <w:szCs w:val="18"/>
        </w:rPr>
        <w:footnoteRef/>
      </w:r>
      <w:r w:rsidRPr="00CB736C">
        <w:rPr>
          <w:szCs w:val="18"/>
        </w:rPr>
        <w:t xml:space="preserve"> </w:t>
      </w:r>
      <w:r w:rsidRPr="00CB736C">
        <w:rPr>
          <w:szCs w:val="18"/>
        </w:rPr>
        <w:tab/>
        <w:t>Utilising t-2 quantities, as required by the WAPC formula.</w:t>
      </w:r>
    </w:p>
  </w:footnote>
  <w:footnote w:id="11">
    <w:p w:rsidR="00A81AFE" w:rsidRDefault="00A81AFE" w:rsidP="0044594F">
      <w:pPr>
        <w:pStyle w:val="FootnoteText"/>
      </w:pPr>
      <w:r w:rsidRPr="001E7E77">
        <w:rPr>
          <w:rStyle w:val="FootnoteReference"/>
          <w:szCs w:val="18"/>
        </w:rPr>
        <w:footnoteRef/>
      </w:r>
      <w:r w:rsidRPr="001E7E77">
        <w:rPr>
          <w:szCs w:val="18"/>
        </w:rPr>
        <w:t xml:space="preserve"> </w:t>
      </w:r>
      <w:r w:rsidRPr="001E7E77">
        <w:rPr>
          <w:szCs w:val="18"/>
        </w:rPr>
        <w:tab/>
        <w:t>Marsden Jacob Associates, Estimation of Long Run Marginal C</w:t>
      </w:r>
      <w:r w:rsidRPr="00894099">
        <w:rPr>
          <w:szCs w:val="18"/>
        </w:rPr>
        <w:t>ost (LRMC) - A report prepared by the Queensland Competition Authority - Final, 3 November 2004</w:t>
      </w:r>
    </w:p>
  </w:footnote>
  <w:footnote w:id="12">
    <w:p w:rsidR="00A81AFE" w:rsidRDefault="00A81AFE" w:rsidP="0044594F">
      <w:pPr>
        <w:pStyle w:val="FootnoteText"/>
      </w:pPr>
      <w:r w:rsidRPr="00894099">
        <w:rPr>
          <w:rStyle w:val="FootnoteReference"/>
          <w:szCs w:val="18"/>
        </w:rPr>
        <w:footnoteRef/>
      </w:r>
      <w:r w:rsidRPr="00A96CAC">
        <w:rPr>
          <w:szCs w:val="18"/>
        </w:rPr>
        <w:t xml:space="preserve"> </w:t>
      </w:r>
      <w:r w:rsidRPr="00A96CAC">
        <w:rPr>
          <w:szCs w:val="18"/>
        </w:rPr>
        <w:tab/>
        <w:t>Marsden Jacob, LRMC, November 2004, p.16.</w:t>
      </w:r>
    </w:p>
  </w:footnote>
  <w:footnote w:id="13">
    <w:p w:rsidR="00A81AFE" w:rsidRDefault="00A81AFE" w:rsidP="0044594F">
      <w:pPr>
        <w:pStyle w:val="FootnoteText"/>
      </w:pPr>
      <w:r w:rsidRPr="004601D6">
        <w:rPr>
          <w:rStyle w:val="FootnoteReference"/>
          <w:szCs w:val="18"/>
        </w:rPr>
        <w:footnoteRef/>
      </w:r>
      <w:r w:rsidRPr="004601D6">
        <w:rPr>
          <w:szCs w:val="18"/>
        </w:rPr>
        <w:t xml:space="preserve"> </w:t>
      </w:r>
      <w:r w:rsidRPr="004601D6">
        <w:rPr>
          <w:szCs w:val="18"/>
        </w:rPr>
        <w:tab/>
        <w:t>EnergyAustralia, Network Pricing Proposal, May 2009.</w:t>
      </w:r>
    </w:p>
  </w:footnote>
  <w:footnote w:id="14">
    <w:p w:rsidR="00A81AFE" w:rsidRDefault="00A81AFE" w:rsidP="0044594F">
      <w:pPr>
        <w:pStyle w:val="FootnoteText"/>
      </w:pPr>
      <w:r w:rsidRPr="001A25A9">
        <w:rPr>
          <w:rStyle w:val="FootnoteReference"/>
          <w:szCs w:val="18"/>
        </w:rPr>
        <w:footnoteRef/>
      </w:r>
      <w:r w:rsidRPr="001F115B">
        <w:rPr>
          <w:szCs w:val="18"/>
        </w:rPr>
        <w:t xml:space="preserve"> </w:t>
      </w:r>
      <w:r w:rsidRPr="001F115B">
        <w:rPr>
          <w:szCs w:val="18"/>
        </w:rPr>
        <w:tab/>
        <w:t>The stand-alone, 201</w:t>
      </w:r>
      <w:r>
        <w:rPr>
          <w:szCs w:val="18"/>
        </w:rPr>
        <w:t>5</w:t>
      </w:r>
      <w:r w:rsidRPr="001F115B">
        <w:rPr>
          <w:szCs w:val="18"/>
        </w:rPr>
        <w:t>/1</w:t>
      </w:r>
      <w:r>
        <w:rPr>
          <w:szCs w:val="18"/>
        </w:rPr>
        <w:t>6</w:t>
      </w:r>
      <w:r w:rsidRPr="001F115B">
        <w:rPr>
          <w:szCs w:val="18"/>
        </w:rPr>
        <w:t xml:space="preserve"> tariff and avoidable tariff class rates are expressed as their $ contribution divided by the forecast coincident peak kVA for </w:t>
      </w:r>
      <w:r>
        <w:rPr>
          <w:szCs w:val="18"/>
        </w:rPr>
        <w:t>SA Power Networks</w:t>
      </w:r>
      <w:r w:rsidRPr="001F115B">
        <w:rPr>
          <w:szCs w:val="18"/>
        </w:rPr>
        <w:t>’ system demand in 201</w:t>
      </w:r>
      <w:r>
        <w:rPr>
          <w:szCs w:val="18"/>
        </w:rPr>
        <w:t>5</w:t>
      </w:r>
      <w:r w:rsidRPr="001F115B">
        <w:rPr>
          <w:szCs w:val="18"/>
        </w:rPr>
        <w:t>/1</w:t>
      </w:r>
      <w:r>
        <w:rPr>
          <w:szCs w:val="18"/>
        </w:rPr>
        <w:t>6</w:t>
      </w:r>
      <w:r w:rsidRPr="001F115B">
        <w:rPr>
          <w:szCs w:val="18"/>
        </w:rPr>
        <w:t>, wi</w:t>
      </w:r>
      <w:r w:rsidRPr="00545E9C">
        <w:rPr>
          <w:szCs w:val="18"/>
        </w:rPr>
        <w:t>th a 10% PoE.</w:t>
      </w:r>
    </w:p>
  </w:footnote>
  <w:footnote w:id="15">
    <w:p w:rsidR="00A81AFE" w:rsidRDefault="00A81AFE" w:rsidP="0044594F">
      <w:pPr>
        <w:pStyle w:val="FootnoteText"/>
      </w:pPr>
      <w:r w:rsidRPr="0007111B">
        <w:rPr>
          <w:rStyle w:val="FootnoteReference"/>
          <w:szCs w:val="18"/>
        </w:rPr>
        <w:footnoteRef/>
      </w:r>
      <w:r w:rsidRPr="0007111B">
        <w:rPr>
          <w:szCs w:val="18"/>
        </w:rPr>
        <w:t xml:space="preserve"> </w:t>
      </w:r>
      <w:r w:rsidRPr="0007111B">
        <w:rPr>
          <w:szCs w:val="18"/>
        </w:rPr>
        <w:tab/>
        <w:t>AER, Final Decision - South Australia distribution determination 2010–11 to 2014–15, May 2010, pp. 322-323.</w:t>
      </w:r>
    </w:p>
  </w:footnote>
  <w:footnote w:id="16">
    <w:p w:rsidR="00A81AFE" w:rsidRDefault="00A81AFE" w:rsidP="0044594F">
      <w:pPr>
        <w:pStyle w:val="FootnoteText"/>
      </w:pPr>
      <w:r>
        <w:rPr>
          <w:rStyle w:val="FootnoteReference"/>
        </w:rPr>
        <w:footnoteRef/>
      </w:r>
      <w:r>
        <w:t xml:space="preserve"> </w:t>
      </w:r>
      <w:r>
        <w:tab/>
        <w:t>Government of South Australia, Electricity (Feed-In Scheme—Solar Systems) Amendment Act 2008.</w:t>
      </w:r>
    </w:p>
  </w:footnote>
  <w:footnote w:id="17">
    <w:p w:rsidR="00A81AFE" w:rsidRDefault="00A81AFE" w:rsidP="0044594F">
      <w:pPr>
        <w:pStyle w:val="FootnoteText"/>
      </w:pPr>
      <w:r w:rsidRPr="0007111B">
        <w:rPr>
          <w:rStyle w:val="FootnoteReference"/>
          <w:szCs w:val="18"/>
        </w:rPr>
        <w:footnoteRef/>
      </w:r>
      <w:r w:rsidRPr="0007111B">
        <w:rPr>
          <w:szCs w:val="18"/>
        </w:rPr>
        <w:t xml:space="preserve"> </w:t>
      </w:r>
      <w:r w:rsidRPr="0007111B">
        <w:rPr>
          <w:szCs w:val="18"/>
        </w:rPr>
        <w:tab/>
      </w:r>
      <w:r w:rsidRPr="00A30C36">
        <w:rPr>
          <w:szCs w:val="18"/>
        </w:rPr>
        <w:t xml:space="preserve">AER, </w:t>
      </w:r>
      <w:r>
        <w:rPr>
          <w:szCs w:val="18"/>
        </w:rPr>
        <w:t>Preliminary Decision</w:t>
      </w:r>
      <w:r w:rsidRPr="00170F26">
        <w:rPr>
          <w:szCs w:val="18"/>
        </w:rPr>
        <w:t xml:space="preserve">, </w:t>
      </w:r>
      <w:r>
        <w:rPr>
          <w:szCs w:val="18"/>
        </w:rPr>
        <w:t>April 2015,</w:t>
      </w:r>
      <w:r w:rsidRPr="005E30EF">
        <w:rPr>
          <w:szCs w:val="18"/>
        </w:rPr>
        <w:t xml:space="preserve"> </w:t>
      </w:r>
      <w:r>
        <w:rPr>
          <w:szCs w:val="18"/>
        </w:rPr>
        <w:t xml:space="preserve">Attachment 14 </w:t>
      </w:r>
      <w:r w:rsidRPr="005E30EF">
        <w:rPr>
          <w:szCs w:val="18"/>
        </w:rPr>
        <w:t xml:space="preserve">pp. </w:t>
      </w:r>
      <w:r>
        <w:rPr>
          <w:szCs w:val="18"/>
        </w:rPr>
        <w:t>21-23</w:t>
      </w:r>
      <w:r w:rsidRPr="005E30EF">
        <w:rPr>
          <w:szCs w:val="18"/>
        </w:rPr>
        <w:t>.</w:t>
      </w:r>
    </w:p>
  </w:footnote>
  <w:footnote w:id="18">
    <w:p w:rsidR="00A81AFE" w:rsidRDefault="00A81AFE" w:rsidP="00CF2BD9">
      <w:pPr>
        <w:pStyle w:val="FootnoteText"/>
      </w:pPr>
      <w:r w:rsidRPr="005E30EF">
        <w:rPr>
          <w:rStyle w:val="FootnoteReference"/>
          <w:szCs w:val="18"/>
        </w:rPr>
        <w:footnoteRef/>
      </w:r>
      <w:r w:rsidRPr="005E30EF">
        <w:rPr>
          <w:szCs w:val="18"/>
        </w:rPr>
        <w:t xml:space="preserve"> </w:t>
      </w:r>
      <w:r w:rsidRPr="005E30EF">
        <w:rPr>
          <w:szCs w:val="18"/>
        </w:rPr>
        <w:tab/>
        <w:t>The AER interprets ‘</w:t>
      </w:r>
      <w:r>
        <w:rPr>
          <w:szCs w:val="18"/>
        </w:rPr>
        <w:t>nature</w:t>
      </w:r>
      <w:r w:rsidRPr="005E30EF">
        <w:rPr>
          <w:szCs w:val="18"/>
        </w:rPr>
        <w:t>’ to include the installation of any technology capable of supporting time based tariffs.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924A8F" w:rsidP="00393E4F">
    <w:pPr>
      <w:pStyle w:val="Header"/>
      <w:jc w:val="righ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75pt;height:29.9pt;visibility:visible">
          <v:imagedata r:id="rId1" o:titl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F22D36" w:rsidRDefault="00A81AFE" w:rsidP="005C320A">
    <w:pPr>
      <w:pStyle w:val="Header"/>
      <w:rPr>
        <w:color w:val="525252" w:themeColor="text1"/>
      </w:rPr>
    </w:pPr>
    <w:r>
      <w:rPr>
        <w:color w:val="525252" w:themeColor="text1"/>
      </w:rPr>
      <w:t>SA Power Networks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9A26B4" w:rsidRDefault="00A81AFE" w:rsidP="009A26B4">
    <w:pPr>
      <w:pStyle w:val="Header"/>
      <w:rPr>
        <w:color w:val="525252" w:themeColor="text1"/>
        <w:sz w:val="24"/>
        <w:szCs w:val="24"/>
      </w:rPr>
    </w:pPr>
    <w:r>
      <w:rPr>
        <w:color w:val="525252" w:themeColor="text1"/>
        <w:sz w:val="24"/>
        <w:szCs w:val="24"/>
      </w:rPr>
      <w:t>SA Power Networks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393E4F" w:rsidRDefault="00A81AFE" w:rsidP="00393E4F">
    <w:pPr>
      <w:pStyle w:val="Header"/>
      <w:spacing w:line="240" w:lineRule="auto"/>
      <w:rPr>
        <w:color w:val="525252" w:themeColor="text1"/>
        <w:sz w:val="24"/>
        <w:szCs w:val="24"/>
      </w:rPr>
    </w:pPr>
    <w:r>
      <w:rPr>
        <w:color w:val="525252" w:themeColor="text1"/>
        <w:sz w:val="24"/>
        <w:szCs w:val="24"/>
      </w:rPr>
      <w:t>SA Power Networks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924A8F" w:rsidP="00393E4F">
    <w:pPr>
      <w:pStyle w:val="Header"/>
      <w:jc w:val="righ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75pt;height:29.9pt;visibility:visible">
          <v:imagedata r:id="rId1" o:titl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Default="00A81AFE" w:rsidP="00393E4F">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270477" w:rsidRDefault="00924A8F" w:rsidP="00393E4F">
    <w:pPr>
      <w:pStyle w:val="Header"/>
      <w:jc w:val="right"/>
      <w:rPr>
        <w:szCs w:val="1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6.75pt;height:29.9pt;visibility:visible">
          <v:imagedata r:id="rId1" o:titl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9A26B4" w:rsidRDefault="00A81AFE" w:rsidP="009A26B4">
    <w:pPr>
      <w:pStyle w:val="Header"/>
      <w:rPr>
        <w:color w:val="525252" w:themeColor="text1"/>
        <w:szCs w:val="18"/>
      </w:rPr>
    </w:pPr>
    <w:r>
      <w:rPr>
        <w:noProof/>
        <w:color w:val="525252" w:themeColor="text1"/>
        <w:lang w:eastAsia="en-AU"/>
      </w:rPr>
      <w:t>SA Power Networks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FE" w:rsidRPr="009A26B4" w:rsidRDefault="00A81AFE" w:rsidP="009A26B4">
    <w:pPr>
      <w:pStyle w:val="Header"/>
      <w:rPr>
        <w:color w:val="525252" w:themeColor="text1"/>
      </w:rPr>
    </w:pPr>
    <w:r>
      <w:rPr>
        <w:noProof/>
        <w:color w:val="525252" w:themeColor="text1"/>
        <w:lang w:eastAsia="en-AU"/>
      </w:rPr>
      <w:t>SA Power Networks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38EF98"/>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6A8AB0F0"/>
    <w:lvl w:ilvl="0">
      <w:start w:val="1"/>
      <w:numFmt w:val="decimal"/>
      <w:pStyle w:val="ListNumber3"/>
      <w:lvlText w:val="%1."/>
      <w:lvlJc w:val="left"/>
      <w:pPr>
        <w:tabs>
          <w:tab w:val="num" w:pos="926"/>
        </w:tabs>
        <w:ind w:left="926" w:hanging="360"/>
      </w:pPr>
    </w:lvl>
  </w:abstractNum>
  <w:abstractNum w:abstractNumId="2">
    <w:nsid w:val="FFFFFF7F"/>
    <w:multiLevelType w:val="singleLevel"/>
    <w:tmpl w:val="F42822CE"/>
    <w:lvl w:ilvl="0">
      <w:start w:val="1"/>
      <w:numFmt w:val="decimal"/>
      <w:pStyle w:val="ListNumber2"/>
      <w:lvlText w:val="%1."/>
      <w:lvlJc w:val="left"/>
      <w:pPr>
        <w:tabs>
          <w:tab w:val="num" w:pos="643"/>
        </w:tabs>
        <w:ind w:left="643" w:hanging="360"/>
      </w:pPr>
    </w:lvl>
  </w:abstractNum>
  <w:abstractNum w:abstractNumId="3">
    <w:nsid w:val="FFFFFF82"/>
    <w:multiLevelType w:val="singleLevel"/>
    <w:tmpl w:val="12128F92"/>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2E224CA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6C14D068"/>
    <w:lvl w:ilvl="0">
      <w:start w:val="1"/>
      <w:numFmt w:val="decimal"/>
      <w:pStyle w:val="ListNumber"/>
      <w:lvlText w:val="%1."/>
      <w:lvlJc w:val="left"/>
      <w:pPr>
        <w:tabs>
          <w:tab w:val="num" w:pos="360"/>
        </w:tabs>
        <w:ind w:left="360" w:hanging="360"/>
      </w:pPr>
    </w:lvl>
  </w:abstractNum>
  <w:abstractNum w:abstractNumId="6">
    <w:nsid w:val="FFFFFF89"/>
    <w:multiLevelType w:val="singleLevel"/>
    <w:tmpl w:val="EEF4895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16B249C"/>
    <w:multiLevelType w:val="hybridMultilevel"/>
    <w:tmpl w:val="53900DF8"/>
    <w:lvl w:ilvl="0" w:tplc="7B468CEE">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2826EF3"/>
    <w:multiLevelType w:val="hybridMultilevel"/>
    <w:tmpl w:val="3B966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60758E0"/>
    <w:multiLevelType w:val="hybridMultilevel"/>
    <w:tmpl w:val="B8FAEEBE"/>
    <w:lvl w:ilvl="0" w:tplc="04090011">
      <w:start w:val="1"/>
      <w:numFmt w:val="decimal"/>
      <w:lvlText w:val="%1)"/>
      <w:lvlJc w:val="left"/>
      <w:pPr>
        <w:ind w:left="720" w:hanging="360"/>
      </w:pPr>
      <w:rPr>
        <w:rFonts w:cs="Times New Roman"/>
      </w:rPr>
    </w:lvl>
    <w:lvl w:ilvl="1" w:tplc="04090019">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7103262"/>
    <w:multiLevelType w:val="hybridMultilevel"/>
    <w:tmpl w:val="23083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FD17A1"/>
    <w:multiLevelType w:val="multilevel"/>
    <w:tmpl w:val="60DC6694"/>
    <w:styleLink w:val="KeyHeadingNumbered"/>
    <w:lvl w:ilvl="0">
      <w:start w:val="1"/>
      <w:numFmt w:val="decimal"/>
      <w:lvlText w:val="%1."/>
      <w:lvlJc w:val="left"/>
      <w:pPr>
        <w:ind w:left="510" w:hanging="510"/>
      </w:pPr>
      <w:rPr>
        <w:rFonts w:ascii="Calibri" w:hAnsi="Calibri" w:hint="default"/>
        <w:b/>
        <w:i w:val="0"/>
        <w:color w:val="525252" w:themeColor="text1"/>
        <w:sz w:val="32"/>
      </w:rPr>
    </w:lvl>
    <w:lvl w:ilvl="1">
      <w:start w:val="1"/>
      <w:numFmt w:val="decimal"/>
      <w:lvlText w:val="%1.%2"/>
      <w:lvlJc w:val="left"/>
      <w:pPr>
        <w:ind w:left="510" w:hanging="510"/>
      </w:pPr>
      <w:rPr>
        <w:rFonts w:ascii="Calibri" w:hAnsi="Calibri" w:hint="default"/>
        <w:b/>
        <w:i w:val="0"/>
        <w:color w:val="000000" w:themeColor="accent1"/>
        <w:sz w:val="28"/>
      </w:rPr>
    </w:lvl>
    <w:lvl w:ilvl="2">
      <w:start w:val="1"/>
      <w:numFmt w:val="decimal"/>
      <w:lvlText w:val="%1.%2.%3"/>
      <w:lvlJc w:val="left"/>
      <w:pPr>
        <w:ind w:left="1304" w:hanging="794"/>
      </w:pPr>
      <w:rPr>
        <w:rFonts w:ascii="Calibri" w:hAnsi="Calibri" w:hint="default"/>
        <w:b/>
        <w:i w:val="0"/>
        <w:color w:val="000000" w:themeColor="accent1"/>
        <w:sz w:val="24"/>
      </w:rPr>
    </w:lvl>
    <w:lvl w:ilvl="3">
      <w:start w:val="1"/>
      <w:numFmt w:val="decimal"/>
      <w:lvlText w:val="%1.%2.%3.%4"/>
      <w:lvlJc w:val="left"/>
      <w:pPr>
        <w:ind w:left="1304" w:hanging="794"/>
      </w:pPr>
      <w:rPr>
        <w:rFonts w:ascii="Calibri" w:hAnsi="Calibri" w:hint="default"/>
        <w:b/>
        <w:i/>
        <w:color w:val="000000" w:themeColor="accent1"/>
        <w:sz w:val="22"/>
      </w:rPr>
    </w:lvl>
    <w:lvl w:ilvl="4">
      <w:start w:val="1"/>
      <w:numFmt w:val="decimal"/>
      <w:lvlText w:val="%1.%2.%3.%4.%5"/>
      <w:lvlJc w:val="left"/>
      <w:pPr>
        <w:tabs>
          <w:tab w:val="num" w:pos="1474"/>
        </w:tabs>
        <w:ind w:left="1701" w:hanging="397"/>
      </w:pPr>
      <w:rPr>
        <w:rFonts w:ascii="Calibri" w:hAnsi="Calibri" w:hint="default"/>
        <w:b/>
        <w:i w:val="0"/>
        <w:sz w:val="22"/>
      </w:rPr>
    </w:lvl>
    <w:lvl w:ilvl="5">
      <w:start w:val="1"/>
      <w:numFmt w:val="decimal"/>
      <w:lvlText w:val="%1.%2.%3.%4.%5.%6"/>
      <w:lvlJc w:val="left"/>
      <w:pPr>
        <w:ind w:left="2098" w:hanging="397"/>
      </w:pPr>
      <w:rPr>
        <w:rFonts w:ascii="Calibri" w:hAnsi="Calibri" w:hint="default"/>
        <w:b/>
        <w:i w:val="0"/>
        <w:sz w:val="22"/>
      </w:rPr>
    </w:lvl>
    <w:lvl w:ilvl="6">
      <w:start w:val="1"/>
      <w:numFmt w:val="decimal"/>
      <w:lvlText w:val="%1.%2.%3.%4.%5.%6.%7"/>
      <w:lvlJc w:val="left"/>
      <w:pPr>
        <w:ind w:left="2495" w:hanging="397"/>
      </w:pPr>
      <w:rPr>
        <w:rFonts w:ascii="Calibri" w:hAnsi="Calibri" w:hint="default"/>
        <w:b/>
        <w:i w:val="0"/>
        <w:sz w:val="22"/>
      </w:rPr>
    </w:lvl>
    <w:lvl w:ilvl="7">
      <w:start w:val="1"/>
      <w:numFmt w:val="decimal"/>
      <w:lvlText w:val="%1.%2.%3.%4.%5.%6.%7.%8"/>
      <w:lvlJc w:val="left"/>
      <w:pPr>
        <w:ind w:left="2892" w:hanging="397"/>
      </w:pPr>
      <w:rPr>
        <w:rFonts w:ascii="Calibri" w:hAnsi="Calibri" w:hint="default"/>
        <w:b/>
        <w:i w:val="0"/>
        <w:sz w:val="22"/>
      </w:rPr>
    </w:lvl>
    <w:lvl w:ilvl="8">
      <w:start w:val="1"/>
      <w:numFmt w:val="decimal"/>
      <w:lvlText w:val="%1.%2.%3.%4.%5.%6.%7.%8.%9"/>
      <w:lvlJc w:val="left"/>
      <w:pPr>
        <w:ind w:left="3289" w:hanging="397"/>
      </w:pPr>
      <w:rPr>
        <w:rFonts w:ascii="Calibri" w:hAnsi="Calibri" w:hint="default"/>
        <w:b/>
        <w:i w:val="0"/>
        <w:sz w:val="22"/>
      </w:rPr>
    </w:lvl>
  </w:abstractNum>
  <w:abstractNum w:abstractNumId="12">
    <w:nsid w:val="18620C80"/>
    <w:multiLevelType w:val="singleLevel"/>
    <w:tmpl w:val="CF28CC5E"/>
    <w:lvl w:ilvl="0">
      <w:start w:val="1"/>
      <w:numFmt w:val="bullet"/>
      <w:pStyle w:val="bullet"/>
      <w:lvlText w:val=""/>
      <w:lvlJc w:val="left"/>
      <w:pPr>
        <w:tabs>
          <w:tab w:val="num" w:pos="360"/>
        </w:tabs>
        <w:ind w:left="360" w:hanging="360"/>
      </w:pPr>
      <w:rPr>
        <w:rFonts w:ascii="Symbol" w:hAnsi="Symbol" w:hint="default"/>
      </w:rPr>
    </w:lvl>
  </w:abstractNum>
  <w:abstractNum w:abstractNumId="13">
    <w:nsid w:val="19C2511C"/>
    <w:multiLevelType w:val="hybridMultilevel"/>
    <w:tmpl w:val="C158C59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4">
    <w:nsid w:val="2B10419B"/>
    <w:multiLevelType w:val="hybridMultilevel"/>
    <w:tmpl w:val="436E65DC"/>
    <w:lvl w:ilvl="0" w:tplc="0409000F">
      <w:start w:val="1"/>
      <w:numFmt w:val="decimal"/>
      <w:lvlText w:val="%1."/>
      <w:lvlJc w:val="left"/>
      <w:pPr>
        <w:ind w:left="720" w:hanging="360"/>
      </w:pPr>
      <w:rPr>
        <w:rFonts w:cs="Times New Roman" w:hint="default"/>
      </w:rPr>
    </w:lvl>
    <w:lvl w:ilvl="1" w:tplc="5296B4BA" w:tentative="1">
      <w:start w:val="1"/>
      <w:numFmt w:val="lowerLetter"/>
      <w:lvlText w:val="%2."/>
      <w:lvlJc w:val="left"/>
      <w:pPr>
        <w:ind w:left="2520" w:hanging="360"/>
      </w:pPr>
      <w:rPr>
        <w:rFonts w:cs="Times New Roman"/>
      </w:rPr>
    </w:lvl>
    <w:lvl w:ilvl="2" w:tplc="F4D4F270" w:tentative="1">
      <w:start w:val="1"/>
      <w:numFmt w:val="lowerRoman"/>
      <w:lvlText w:val="%3."/>
      <w:lvlJc w:val="right"/>
      <w:pPr>
        <w:ind w:left="3240" w:hanging="180"/>
      </w:pPr>
      <w:rPr>
        <w:rFonts w:cs="Times New Roman"/>
      </w:rPr>
    </w:lvl>
    <w:lvl w:ilvl="3" w:tplc="673CF76A" w:tentative="1">
      <w:start w:val="1"/>
      <w:numFmt w:val="decimal"/>
      <w:lvlText w:val="%4."/>
      <w:lvlJc w:val="left"/>
      <w:pPr>
        <w:ind w:left="3960" w:hanging="360"/>
      </w:pPr>
      <w:rPr>
        <w:rFonts w:cs="Times New Roman"/>
      </w:rPr>
    </w:lvl>
    <w:lvl w:ilvl="4" w:tplc="3E107D4A" w:tentative="1">
      <w:start w:val="1"/>
      <w:numFmt w:val="lowerLetter"/>
      <w:lvlText w:val="%5."/>
      <w:lvlJc w:val="left"/>
      <w:pPr>
        <w:ind w:left="4680" w:hanging="360"/>
      </w:pPr>
      <w:rPr>
        <w:rFonts w:cs="Times New Roman"/>
      </w:rPr>
    </w:lvl>
    <w:lvl w:ilvl="5" w:tplc="17789A66" w:tentative="1">
      <w:start w:val="1"/>
      <w:numFmt w:val="lowerRoman"/>
      <w:lvlText w:val="%6."/>
      <w:lvlJc w:val="right"/>
      <w:pPr>
        <w:ind w:left="5400" w:hanging="180"/>
      </w:pPr>
      <w:rPr>
        <w:rFonts w:cs="Times New Roman"/>
      </w:rPr>
    </w:lvl>
    <w:lvl w:ilvl="6" w:tplc="BACCBEBC" w:tentative="1">
      <w:start w:val="1"/>
      <w:numFmt w:val="decimal"/>
      <w:lvlText w:val="%7."/>
      <w:lvlJc w:val="left"/>
      <w:pPr>
        <w:ind w:left="6120" w:hanging="360"/>
      </w:pPr>
      <w:rPr>
        <w:rFonts w:cs="Times New Roman"/>
      </w:rPr>
    </w:lvl>
    <w:lvl w:ilvl="7" w:tplc="DB0E368C" w:tentative="1">
      <w:start w:val="1"/>
      <w:numFmt w:val="lowerLetter"/>
      <w:lvlText w:val="%8."/>
      <w:lvlJc w:val="left"/>
      <w:pPr>
        <w:ind w:left="6840" w:hanging="360"/>
      </w:pPr>
      <w:rPr>
        <w:rFonts w:cs="Times New Roman"/>
      </w:rPr>
    </w:lvl>
    <w:lvl w:ilvl="8" w:tplc="1EF64A84" w:tentative="1">
      <w:start w:val="1"/>
      <w:numFmt w:val="lowerRoman"/>
      <w:lvlText w:val="%9."/>
      <w:lvlJc w:val="right"/>
      <w:pPr>
        <w:ind w:left="7560" w:hanging="180"/>
      </w:pPr>
      <w:rPr>
        <w:rFonts w:cs="Times New Roman"/>
      </w:r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4"/>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02A6E29"/>
    <w:multiLevelType w:val="hybridMultilevel"/>
    <w:tmpl w:val="F8FEE6B0"/>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7">
    <w:nsid w:val="350D5EB1"/>
    <w:multiLevelType w:val="singleLevel"/>
    <w:tmpl w:val="74E4B120"/>
    <w:lvl w:ilvl="0">
      <w:start w:val="1"/>
      <w:numFmt w:val="decimal"/>
      <w:pStyle w:val="numbering"/>
      <w:lvlText w:val="%1"/>
      <w:lvlJc w:val="left"/>
      <w:pPr>
        <w:tabs>
          <w:tab w:val="num" w:pos="454"/>
        </w:tabs>
        <w:ind w:left="454" w:hanging="454"/>
      </w:pPr>
      <w:rPr>
        <w:rFonts w:cs="Times New Roman"/>
      </w:rPr>
    </w:lvl>
  </w:abstractNum>
  <w:abstractNum w:abstractNumId="18">
    <w:nsid w:val="35A537A5"/>
    <w:multiLevelType w:val="hybridMultilevel"/>
    <w:tmpl w:val="E3224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120097"/>
    <w:multiLevelType w:val="hybridMultilevel"/>
    <w:tmpl w:val="BBA66F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7AB64FC"/>
    <w:multiLevelType w:val="hybridMultilevel"/>
    <w:tmpl w:val="B2F4F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C13DC4"/>
    <w:multiLevelType w:val="hybridMultilevel"/>
    <w:tmpl w:val="8AC880C4"/>
    <w:lvl w:ilvl="0" w:tplc="98E2C68C">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CE437B6"/>
    <w:multiLevelType w:val="hybridMultilevel"/>
    <w:tmpl w:val="FC389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BB6903"/>
    <w:multiLevelType w:val="singleLevel"/>
    <w:tmpl w:val="CE38F770"/>
    <w:lvl w:ilvl="0">
      <w:start w:val="1"/>
      <w:numFmt w:val="bullet"/>
      <w:pStyle w:val="Bullet0"/>
      <w:lvlText w:val=""/>
      <w:lvlJc w:val="left"/>
      <w:pPr>
        <w:tabs>
          <w:tab w:val="num" w:pos="737"/>
        </w:tabs>
        <w:ind w:left="737" w:hanging="453"/>
      </w:pPr>
      <w:rPr>
        <w:rFonts w:ascii="Symbol" w:hAnsi="Symbol" w:hint="default"/>
        <w:sz w:val="16"/>
      </w:rPr>
    </w:lvl>
  </w:abstractNum>
  <w:abstractNum w:abstractNumId="24">
    <w:nsid w:val="415C381D"/>
    <w:multiLevelType w:val="hybridMultilevel"/>
    <w:tmpl w:val="7BA270B2"/>
    <w:lvl w:ilvl="0" w:tplc="0C090015">
      <w:start w:val="1"/>
      <w:numFmt w:val="upperLetter"/>
      <w:lvlText w:val="%1."/>
      <w:lvlJc w:val="left"/>
      <w:pPr>
        <w:ind w:left="720" w:hanging="360"/>
      </w:pPr>
      <w:rPr>
        <w:rFonts w:cs="Times New Roman"/>
      </w:rPr>
    </w:lvl>
    <w:lvl w:ilvl="1" w:tplc="5A560080">
      <w:start w:val="1"/>
      <w:numFmt w:val="upperLetter"/>
      <w:lvlText w:val="Appendix %2."/>
      <w:lvlJc w:val="left"/>
      <w:pPr>
        <w:tabs>
          <w:tab w:val="num" w:pos="1418"/>
        </w:tabs>
        <w:ind w:left="1418" w:hanging="1418"/>
      </w:pPr>
      <w:rPr>
        <w:rFonts w:cs="Times New Roman" w:hint="default"/>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46097CD9"/>
    <w:multiLevelType w:val="hybridMultilevel"/>
    <w:tmpl w:val="D874521E"/>
    <w:lvl w:ilvl="0" w:tplc="3C222EA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48412476"/>
    <w:multiLevelType w:val="hybridMultilevel"/>
    <w:tmpl w:val="F4945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8FD5BBE"/>
    <w:multiLevelType w:val="hybridMultilevel"/>
    <w:tmpl w:val="C9D816A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nsid w:val="4D353590"/>
    <w:multiLevelType w:val="hybridMultilevel"/>
    <w:tmpl w:val="32821AC4"/>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0546F0A"/>
    <w:multiLevelType w:val="hybridMultilevel"/>
    <w:tmpl w:val="6682D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1446115"/>
    <w:multiLevelType w:val="hybridMultilevel"/>
    <w:tmpl w:val="70A4A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4104245"/>
    <w:multiLevelType w:val="multilevel"/>
    <w:tmpl w:val="02024DBE"/>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851"/>
        </w:tabs>
        <w:ind w:left="851" w:hanging="851"/>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3">
    <w:nsid w:val="566A6CA9"/>
    <w:multiLevelType w:val="hybridMultilevel"/>
    <w:tmpl w:val="D874521E"/>
    <w:lvl w:ilvl="0" w:tplc="3C222EA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5C2421B3"/>
    <w:multiLevelType w:val="hybridMultilevel"/>
    <w:tmpl w:val="0ABC3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283518"/>
    <w:multiLevelType w:val="hybridMultilevel"/>
    <w:tmpl w:val="19B6D39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nsid w:val="608805AA"/>
    <w:multiLevelType w:val="hybridMultilevel"/>
    <w:tmpl w:val="731A142A"/>
    <w:lvl w:ilvl="0" w:tplc="6DCA3E1E">
      <w:start w:val="1"/>
      <w:numFmt w:val="decimal"/>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37">
    <w:nsid w:val="61972D43"/>
    <w:multiLevelType w:val="hybridMultilevel"/>
    <w:tmpl w:val="5DE2234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38">
    <w:nsid w:val="634510A1"/>
    <w:multiLevelType w:val="multilevel"/>
    <w:tmpl w:val="ECD08EA0"/>
    <w:styleLink w:val="BulletList"/>
    <w:lvl w:ilvl="0">
      <w:start w:val="1"/>
      <w:numFmt w:val="bullet"/>
      <w:pStyle w:val="BulletPoint"/>
      <w:lvlText w:val=""/>
      <w:lvlJc w:val="left"/>
      <w:pPr>
        <w:ind w:left="284" w:hanging="284"/>
      </w:pPr>
      <w:rPr>
        <w:rFonts w:ascii="Symbol" w:hAnsi="Symbol" w:hint="default"/>
        <w:color w:val="auto"/>
      </w:rPr>
    </w:lvl>
    <w:lvl w:ilvl="1">
      <w:start w:val="1"/>
      <w:numFmt w:val="bullet"/>
      <w:pStyle w:val="BulletPoint2"/>
      <w:lvlText w:val=""/>
      <w:lvlJc w:val="left"/>
      <w:pPr>
        <w:ind w:left="568" w:hanging="284"/>
      </w:pPr>
      <w:rPr>
        <w:rFonts w:ascii="Symbol" w:hAnsi="Symbol" w:hint="default"/>
        <w:color w:val="auto"/>
      </w:rPr>
    </w:lvl>
    <w:lvl w:ilvl="2">
      <w:start w:val="1"/>
      <w:numFmt w:val="bullet"/>
      <w:pStyle w:val="BulletPoint3"/>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39">
    <w:nsid w:val="657E5C4C"/>
    <w:multiLevelType w:val="hybridMultilevel"/>
    <w:tmpl w:val="1FE26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66F05E0"/>
    <w:multiLevelType w:val="hybridMultilevel"/>
    <w:tmpl w:val="37365BD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nsid w:val="6DED69F9"/>
    <w:multiLevelType w:val="hybridMultilevel"/>
    <w:tmpl w:val="6E46E5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194174F"/>
    <w:multiLevelType w:val="singleLevel"/>
    <w:tmpl w:val="16CAA268"/>
    <w:lvl w:ilvl="0">
      <w:start w:val="1"/>
      <w:numFmt w:val="lowerLetter"/>
      <w:pStyle w:val="abc"/>
      <w:lvlText w:val="%1"/>
      <w:lvlJc w:val="left"/>
      <w:pPr>
        <w:tabs>
          <w:tab w:val="num" w:pos="454"/>
        </w:tabs>
        <w:ind w:left="454" w:hanging="454"/>
      </w:pPr>
      <w:rPr>
        <w:rFonts w:cs="Times New Roman"/>
      </w:rPr>
    </w:lvl>
  </w:abstractNum>
  <w:abstractNum w:abstractNumId="43">
    <w:nsid w:val="78041073"/>
    <w:multiLevelType w:val="hybridMultilevel"/>
    <w:tmpl w:val="C2E2CE36"/>
    <w:lvl w:ilvl="0" w:tplc="0409000F">
      <w:start w:val="1"/>
      <w:numFmt w:val="decimal"/>
      <w:lvlText w:val="%1."/>
      <w:lvlJc w:val="left"/>
      <w:pPr>
        <w:ind w:left="720" w:hanging="360"/>
      </w:pPr>
      <w:rPr>
        <w:rFonts w:cs="Times New Roman" w:hint="default"/>
      </w:rPr>
    </w:lvl>
    <w:lvl w:ilvl="1" w:tplc="9ACC2BB6">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96B40ED"/>
    <w:multiLevelType w:val="multilevel"/>
    <w:tmpl w:val="C1A0CF44"/>
    <w:styleLink w:val="KeyHeadingAlpha-Numeric"/>
    <w:lvl w:ilvl="0">
      <w:start w:val="1"/>
      <w:numFmt w:val="upperLetter"/>
      <w:pStyle w:val="Alpha-NumericHeading"/>
      <w:lvlText w:val="%1."/>
      <w:lvlJc w:val="left"/>
      <w:pPr>
        <w:ind w:left="510" w:hanging="510"/>
      </w:pPr>
      <w:rPr>
        <w:rFonts w:ascii="Calibri" w:hAnsi="Calibri" w:hint="default"/>
        <w:b/>
        <w:i w:val="0"/>
        <w:color w:val="FA820F" w:themeColor="text2"/>
        <w:sz w:val="32"/>
      </w:rPr>
    </w:lvl>
    <w:lvl w:ilvl="1">
      <w:start w:val="1"/>
      <w:numFmt w:val="decimal"/>
      <w:pStyle w:val="Alpha-numericSub1"/>
      <w:lvlText w:val="%1.%2"/>
      <w:lvlJc w:val="left"/>
      <w:pPr>
        <w:ind w:left="510" w:hanging="510"/>
      </w:pPr>
      <w:rPr>
        <w:rFonts w:ascii="Calibri" w:hAnsi="Calibri" w:hint="default"/>
        <w:b/>
        <w:i w:val="0"/>
        <w:sz w:val="28"/>
      </w:rPr>
    </w:lvl>
    <w:lvl w:ilvl="2">
      <w:start w:val="1"/>
      <w:numFmt w:val="decimal"/>
      <w:pStyle w:val="Alpha-numericSub2"/>
      <w:lvlText w:val="%1.%2.%3"/>
      <w:lvlJc w:val="left"/>
      <w:pPr>
        <w:ind w:left="1304" w:hanging="794"/>
      </w:pPr>
      <w:rPr>
        <w:rFonts w:ascii="Calibri" w:hAnsi="Calibri" w:hint="default"/>
        <w:b/>
        <w:i w:val="0"/>
        <w:sz w:val="24"/>
      </w:rPr>
    </w:lvl>
    <w:lvl w:ilvl="3">
      <w:start w:val="1"/>
      <w:numFmt w:val="decimal"/>
      <w:pStyle w:val="Alpha-numericSub3"/>
      <w:lvlText w:val="%1.%2.%3.%4"/>
      <w:lvlJc w:val="left"/>
      <w:pPr>
        <w:ind w:left="1304" w:hanging="794"/>
      </w:pPr>
      <w:rPr>
        <w:rFonts w:ascii="Calibri" w:hAnsi="Calibri" w:hint="default"/>
        <w:b/>
        <w:i/>
        <w:sz w:val="22"/>
      </w:rPr>
    </w:lvl>
    <w:lvl w:ilvl="4">
      <w:start w:val="1"/>
      <w:numFmt w:val="decimal"/>
      <w:lvlText w:val="%1.%2.%3.%4.%5"/>
      <w:lvlJc w:val="left"/>
      <w:pPr>
        <w:ind w:left="1701" w:hanging="397"/>
      </w:pPr>
      <w:rPr>
        <w:rFonts w:ascii="Calibri" w:hAnsi="Calibri" w:hint="default"/>
        <w:b/>
        <w:i w:val="0"/>
        <w:sz w:val="22"/>
      </w:rPr>
    </w:lvl>
    <w:lvl w:ilvl="5">
      <w:start w:val="1"/>
      <w:numFmt w:val="decimal"/>
      <w:lvlText w:val="%1.%2.%3.%4.%5.%6"/>
      <w:lvlJc w:val="left"/>
      <w:pPr>
        <w:ind w:left="2098" w:hanging="397"/>
      </w:pPr>
      <w:rPr>
        <w:rFonts w:ascii="Calibri" w:hAnsi="Calibri" w:hint="default"/>
        <w:b/>
        <w:i w:val="0"/>
        <w:sz w:val="22"/>
      </w:rPr>
    </w:lvl>
    <w:lvl w:ilvl="6">
      <w:start w:val="1"/>
      <w:numFmt w:val="decimal"/>
      <w:lvlText w:val="%1.%2.%3.%4.%5.%6.%7."/>
      <w:lvlJc w:val="left"/>
      <w:pPr>
        <w:ind w:left="2495" w:hanging="397"/>
      </w:pPr>
      <w:rPr>
        <w:rFonts w:ascii="Calibri" w:hAnsi="Calibri" w:hint="default"/>
        <w:b/>
        <w:i w:val="0"/>
        <w:sz w:val="22"/>
      </w:rPr>
    </w:lvl>
    <w:lvl w:ilvl="7">
      <w:start w:val="1"/>
      <w:numFmt w:val="decimal"/>
      <w:lvlText w:val="%1.%2.%3.%4.%5.%6.%7.%8."/>
      <w:lvlJc w:val="left"/>
      <w:pPr>
        <w:ind w:left="2892" w:hanging="397"/>
      </w:pPr>
      <w:rPr>
        <w:rFonts w:ascii="Calibri" w:hAnsi="Calibri" w:hint="default"/>
        <w:b/>
        <w:i w:val="0"/>
        <w:sz w:val="22"/>
      </w:rPr>
    </w:lvl>
    <w:lvl w:ilvl="8">
      <w:start w:val="1"/>
      <w:numFmt w:val="decimal"/>
      <w:lvlText w:val="%1.%2.%3.%4.%5.%6.%7.%8.%9."/>
      <w:lvlJc w:val="left"/>
      <w:pPr>
        <w:ind w:left="3289" w:hanging="397"/>
      </w:pPr>
      <w:rPr>
        <w:rFonts w:ascii="Calibri" w:hAnsi="Calibri" w:hint="default"/>
        <w:b/>
        <w:i w:val="0"/>
        <w:sz w:val="22"/>
      </w:rPr>
    </w:lvl>
  </w:abstractNum>
  <w:abstractNum w:abstractNumId="45">
    <w:nsid w:val="7C9D59B1"/>
    <w:multiLevelType w:val="multilevel"/>
    <w:tmpl w:val="389C111C"/>
    <w:lvl w:ilvl="0">
      <w:start w:val="1"/>
      <w:numFmt w:val="decimal"/>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6">
    <w:nsid w:val="7FD74288"/>
    <w:multiLevelType w:val="multilevel"/>
    <w:tmpl w:val="A2E6BFB4"/>
    <w:styleLink w:val="BulletNumberedLists"/>
    <w:lvl w:ilvl="0">
      <w:start w:val="1"/>
      <w:numFmt w:val="decimal"/>
      <w:pStyle w:val="NumberedHeading"/>
      <w:lvlText w:val="%1."/>
      <w:lvlJc w:val="left"/>
      <w:pPr>
        <w:ind w:left="510" w:hanging="510"/>
      </w:pPr>
      <w:rPr>
        <w:rFonts w:ascii="Calibri" w:hAnsi="Calibri" w:hint="default"/>
        <w:b/>
        <w:i w:val="0"/>
        <w:color w:val="FA820F" w:themeColor="text2"/>
        <w:sz w:val="32"/>
      </w:rPr>
    </w:lvl>
    <w:lvl w:ilvl="1">
      <w:start w:val="1"/>
      <w:numFmt w:val="decimal"/>
      <w:pStyle w:val="NumberedSubheading1"/>
      <w:lvlText w:val="%1.%2"/>
      <w:lvlJc w:val="left"/>
      <w:pPr>
        <w:ind w:left="510" w:hanging="510"/>
      </w:pPr>
      <w:rPr>
        <w:rFonts w:ascii="Calibri" w:hAnsi="Calibri" w:hint="default"/>
        <w:b/>
        <w:i w:val="0"/>
        <w:color w:val="000000" w:themeColor="accent1"/>
        <w:sz w:val="28"/>
      </w:rPr>
    </w:lvl>
    <w:lvl w:ilvl="2">
      <w:start w:val="1"/>
      <w:numFmt w:val="decimal"/>
      <w:pStyle w:val="NumberedSubheading2"/>
      <w:lvlText w:val="%1.%2.%3"/>
      <w:lvlJc w:val="left"/>
      <w:pPr>
        <w:ind w:left="1304" w:hanging="794"/>
      </w:pPr>
      <w:rPr>
        <w:rFonts w:ascii="Calibri" w:hAnsi="Calibri" w:hint="default"/>
        <w:b/>
        <w:i w:val="0"/>
        <w:color w:val="000000" w:themeColor="accent1"/>
        <w:sz w:val="24"/>
      </w:rPr>
    </w:lvl>
    <w:lvl w:ilvl="3">
      <w:start w:val="1"/>
      <w:numFmt w:val="decimal"/>
      <w:pStyle w:val="NumberedSubheading3"/>
      <w:lvlText w:val="%1.%2.%3.%4"/>
      <w:lvlJc w:val="left"/>
      <w:pPr>
        <w:ind w:left="1304" w:hanging="794"/>
      </w:pPr>
      <w:rPr>
        <w:rFonts w:ascii="Calibri" w:hAnsi="Calibri" w:hint="default"/>
        <w:b/>
        <w:i/>
        <w:color w:val="000000" w:themeColor="accent1"/>
        <w:sz w:val="22"/>
      </w:rPr>
    </w:lvl>
    <w:lvl w:ilvl="4">
      <w:start w:val="1"/>
      <w:numFmt w:val="decimal"/>
      <w:lvlText w:val="%1.%2.%3.%4.%5"/>
      <w:lvlJc w:val="left"/>
      <w:pPr>
        <w:tabs>
          <w:tab w:val="num" w:pos="1474"/>
        </w:tabs>
        <w:ind w:left="1701" w:hanging="397"/>
      </w:pPr>
      <w:rPr>
        <w:rFonts w:ascii="Calibri" w:hAnsi="Calibri" w:hint="default"/>
        <w:b/>
        <w:i w:val="0"/>
        <w:sz w:val="22"/>
      </w:rPr>
    </w:lvl>
    <w:lvl w:ilvl="5">
      <w:start w:val="1"/>
      <w:numFmt w:val="decimal"/>
      <w:lvlText w:val="%1.%2.%3.%4.%5.%6"/>
      <w:lvlJc w:val="left"/>
      <w:pPr>
        <w:ind w:left="2098" w:hanging="397"/>
      </w:pPr>
      <w:rPr>
        <w:rFonts w:ascii="Calibri" w:hAnsi="Calibri" w:hint="default"/>
        <w:b/>
        <w:i w:val="0"/>
        <w:sz w:val="22"/>
      </w:rPr>
    </w:lvl>
    <w:lvl w:ilvl="6">
      <w:start w:val="1"/>
      <w:numFmt w:val="decimal"/>
      <w:lvlText w:val="%1.%2.%3.%4.%5.%6.%7"/>
      <w:lvlJc w:val="left"/>
      <w:pPr>
        <w:ind w:left="2495" w:hanging="397"/>
      </w:pPr>
      <w:rPr>
        <w:rFonts w:ascii="Calibri" w:hAnsi="Calibri" w:hint="default"/>
        <w:b/>
        <w:i w:val="0"/>
        <w:sz w:val="22"/>
      </w:rPr>
    </w:lvl>
    <w:lvl w:ilvl="7">
      <w:start w:val="1"/>
      <w:numFmt w:val="decimal"/>
      <w:lvlText w:val="%1.%2.%3.%4.%5.%6.%7.%8"/>
      <w:lvlJc w:val="left"/>
      <w:pPr>
        <w:ind w:left="2892" w:hanging="397"/>
      </w:pPr>
      <w:rPr>
        <w:rFonts w:ascii="Calibri" w:hAnsi="Calibri" w:hint="default"/>
        <w:b/>
        <w:i w:val="0"/>
        <w:sz w:val="22"/>
      </w:rPr>
    </w:lvl>
    <w:lvl w:ilvl="8">
      <w:start w:val="1"/>
      <w:numFmt w:val="decimal"/>
      <w:lvlText w:val="%1.%2.%3.%4.%5.%6.%7.%8.%9"/>
      <w:lvlJc w:val="left"/>
      <w:pPr>
        <w:ind w:left="3289" w:hanging="397"/>
      </w:pPr>
      <w:rPr>
        <w:rFonts w:ascii="Calibri" w:hAnsi="Calibri" w:hint="default"/>
        <w:b/>
        <w:i w:val="0"/>
        <w:sz w:val="22"/>
      </w:rPr>
    </w:lvl>
  </w:abstractNum>
  <w:num w:numId="1">
    <w:abstractNumId w:val="45"/>
  </w:num>
  <w:num w:numId="2">
    <w:abstractNumId w:val="11"/>
  </w:num>
  <w:num w:numId="3">
    <w:abstractNumId w:val="44"/>
  </w:num>
  <w:num w:numId="4">
    <w:abstractNumId w:val="44"/>
  </w:num>
  <w:num w:numId="5">
    <w:abstractNumId w:val="46"/>
  </w:num>
  <w:num w:numId="6">
    <w:abstractNumId w:val="38"/>
  </w:num>
  <w:num w:numId="7">
    <w:abstractNumId w:val="6"/>
  </w:num>
  <w:num w:numId="8">
    <w:abstractNumId w:val="4"/>
  </w:num>
  <w:num w:numId="9">
    <w:abstractNumId w:val="3"/>
  </w:num>
  <w:num w:numId="10">
    <w:abstractNumId w:val="38"/>
  </w:num>
  <w:num w:numId="11">
    <w:abstractNumId w:val="5"/>
  </w:num>
  <w:num w:numId="12">
    <w:abstractNumId w:val="2"/>
  </w:num>
  <w:num w:numId="13">
    <w:abstractNumId w:val="1"/>
  </w:num>
  <w:num w:numId="14">
    <w:abstractNumId w:val="0"/>
  </w:num>
  <w:num w:numId="15">
    <w:abstractNumId w:val="46"/>
  </w:num>
  <w:num w:numId="16">
    <w:abstractNumId w:val="32"/>
  </w:num>
  <w:num w:numId="17">
    <w:abstractNumId w:val="17"/>
  </w:num>
  <w:num w:numId="18">
    <w:abstractNumId w:val="23"/>
  </w:num>
  <w:num w:numId="19">
    <w:abstractNumId w:val="42"/>
  </w:num>
  <w:num w:numId="20">
    <w:abstractNumId w:val="12"/>
  </w:num>
  <w:num w:numId="21">
    <w:abstractNumId w:val="27"/>
  </w:num>
  <w:num w:numId="22">
    <w:abstractNumId w:val="16"/>
  </w:num>
  <w:num w:numId="23">
    <w:abstractNumId w:val="35"/>
  </w:num>
  <w:num w:numId="24">
    <w:abstractNumId w:val="20"/>
  </w:num>
  <w:num w:numId="25">
    <w:abstractNumId w:val="41"/>
  </w:num>
  <w:num w:numId="26">
    <w:abstractNumId w:val="14"/>
  </w:num>
  <w:num w:numId="27">
    <w:abstractNumId w:val="19"/>
  </w:num>
  <w:num w:numId="28">
    <w:abstractNumId w:val="43"/>
  </w:num>
  <w:num w:numId="29">
    <w:abstractNumId w:val="24"/>
  </w:num>
  <w:num w:numId="30">
    <w:abstractNumId w:val="9"/>
  </w:num>
  <w:num w:numId="31">
    <w:abstractNumId w:val="28"/>
  </w:num>
  <w:num w:numId="32">
    <w:abstractNumId w:val="40"/>
  </w:num>
  <w:num w:numId="33">
    <w:abstractNumId w:val="25"/>
  </w:num>
  <w:num w:numId="34">
    <w:abstractNumId w:val="37"/>
  </w:num>
  <w:num w:numId="35">
    <w:abstractNumId w:val="30"/>
  </w:num>
  <w:num w:numId="36">
    <w:abstractNumId w:val="36"/>
  </w:num>
  <w:num w:numId="37">
    <w:abstractNumId w:val="13"/>
  </w:num>
  <w:num w:numId="38">
    <w:abstractNumId w:val="7"/>
  </w:num>
  <w:num w:numId="39">
    <w:abstractNumId w:val="29"/>
  </w:num>
  <w:num w:numId="40">
    <w:abstractNumId w:val="31"/>
  </w:num>
  <w:num w:numId="41">
    <w:abstractNumId w:val="15"/>
  </w:num>
  <w:num w:numId="42">
    <w:abstractNumId w:val="34"/>
  </w:num>
  <w:num w:numId="43">
    <w:abstractNumId w:val="26"/>
  </w:num>
  <w:num w:numId="44">
    <w:abstractNumId w:val="21"/>
  </w:num>
  <w:num w:numId="45">
    <w:abstractNumId w:val="22"/>
  </w:num>
  <w:num w:numId="46">
    <w:abstractNumId w:val="39"/>
  </w:num>
  <w:num w:numId="47">
    <w:abstractNumId w:val="33"/>
  </w:num>
  <w:num w:numId="48">
    <w:abstractNumId w:val="10"/>
  </w:num>
  <w:num w:numId="49">
    <w:abstractNumId w:val="8"/>
  </w:num>
  <w:num w:numId="50">
    <w:abstractNumId w:val="32"/>
  </w:num>
  <w:num w:numId="51">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510"/>
  <w:drawingGridHorizontalSpacing w:val="110"/>
  <w:displayHorizontalDrawingGridEvery w:val="2"/>
  <w:characterSpacingControl w:val="doNotCompress"/>
  <w:hdrShapeDefaults>
    <o:shapedefaults v:ext="edit" spidmax="97284"/>
  </w:hdrShapeDefaults>
  <w:footnotePr>
    <w:footnote w:id="-1"/>
    <w:footnote w:id="0"/>
  </w:footnotePr>
  <w:endnotePr>
    <w:endnote w:id="-1"/>
    <w:endnote w:id="0"/>
  </w:endnotePr>
  <w:compat>
    <w:useFELayout/>
    <w:compatSetting w:name="compatibilityMode" w:uri="http://schemas.microsoft.com/office/word" w:val="12"/>
  </w:compat>
  <w:docVars>
    <w:docVar w:name="currentname" w:val="C:\Users\smoff\AppData\Local\Microsoft\Windows\Temporary Internet Files\Content.Outlook\9WGNU0L6\SA Power Networks Pricing Proposal 2015-16 v0 1.docx"/>
  </w:docVars>
  <w:rsids>
    <w:rsidRoot w:val="0044594F"/>
    <w:rsid w:val="00006E37"/>
    <w:rsid w:val="00013EF5"/>
    <w:rsid w:val="0001646B"/>
    <w:rsid w:val="00016A02"/>
    <w:rsid w:val="00022A18"/>
    <w:rsid w:val="00041399"/>
    <w:rsid w:val="000476F2"/>
    <w:rsid w:val="00052993"/>
    <w:rsid w:val="000564D0"/>
    <w:rsid w:val="00061DB0"/>
    <w:rsid w:val="000637FA"/>
    <w:rsid w:val="000718FC"/>
    <w:rsid w:val="00075975"/>
    <w:rsid w:val="00076541"/>
    <w:rsid w:val="00076893"/>
    <w:rsid w:val="00083A4F"/>
    <w:rsid w:val="00085744"/>
    <w:rsid w:val="00090B6B"/>
    <w:rsid w:val="0009108D"/>
    <w:rsid w:val="00095FD2"/>
    <w:rsid w:val="00097DAC"/>
    <w:rsid w:val="000A55C2"/>
    <w:rsid w:val="000B102A"/>
    <w:rsid w:val="000B1906"/>
    <w:rsid w:val="000B22CD"/>
    <w:rsid w:val="000B7F94"/>
    <w:rsid w:val="000C2215"/>
    <w:rsid w:val="000C334C"/>
    <w:rsid w:val="000C4130"/>
    <w:rsid w:val="000D3242"/>
    <w:rsid w:val="000D76D3"/>
    <w:rsid w:val="000E6924"/>
    <w:rsid w:val="000E7A08"/>
    <w:rsid w:val="000F35F0"/>
    <w:rsid w:val="000F6C27"/>
    <w:rsid w:val="001016F2"/>
    <w:rsid w:val="001054B4"/>
    <w:rsid w:val="0010564D"/>
    <w:rsid w:val="00105B0A"/>
    <w:rsid w:val="00111648"/>
    <w:rsid w:val="001158C6"/>
    <w:rsid w:val="00115AB4"/>
    <w:rsid w:val="00117722"/>
    <w:rsid w:val="0012270B"/>
    <w:rsid w:val="001242EB"/>
    <w:rsid w:val="001267D5"/>
    <w:rsid w:val="0013024C"/>
    <w:rsid w:val="001328F2"/>
    <w:rsid w:val="001414A1"/>
    <w:rsid w:val="00143690"/>
    <w:rsid w:val="001440E3"/>
    <w:rsid w:val="001462D3"/>
    <w:rsid w:val="001513CA"/>
    <w:rsid w:val="00151F81"/>
    <w:rsid w:val="001520F5"/>
    <w:rsid w:val="00152ADF"/>
    <w:rsid w:val="00153116"/>
    <w:rsid w:val="00154A42"/>
    <w:rsid w:val="00155917"/>
    <w:rsid w:val="001620D3"/>
    <w:rsid w:val="001635C9"/>
    <w:rsid w:val="00166F7A"/>
    <w:rsid w:val="00174B51"/>
    <w:rsid w:val="00181236"/>
    <w:rsid w:val="00182508"/>
    <w:rsid w:val="0018490C"/>
    <w:rsid w:val="00196846"/>
    <w:rsid w:val="001A1711"/>
    <w:rsid w:val="001B38D1"/>
    <w:rsid w:val="001B5007"/>
    <w:rsid w:val="001B6579"/>
    <w:rsid w:val="001D0612"/>
    <w:rsid w:val="001D1D9D"/>
    <w:rsid w:val="001D2B2D"/>
    <w:rsid w:val="001D3406"/>
    <w:rsid w:val="001D5F41"/>
    <w:rsid w:val="001E013B"/>
    <w:rsid w:val="001F3FCC"/>
    <w:rsid w:val="001F4F19"/>
    <w:rsid w:val="001F6387"/>
    <w:rsid w:val="0020322C"/>
    <w:rsid w:val="00211B81"/>
    <w:rsid w:val="00213311"/>
    <w:rsid w:val="00215C30"/>
    <w:rsid w:val="0021754B"/>
    <w:rsid w:val="00217741"/>
    <w:rsid w:val="002229DE"/>
    <w:rsid w:val="002241C7"/>
    <w:rsid w:val="002259B1"/>
    <w:rsid w:val="00235C14"/>
    <w:rsid w:val="00241EEE"/>
    <w:rsid w:val="00242EA0"/>
    <w:rsid w:val="00244338"/>
    <w:rsid w:val="002541C6"/>
    <w:rsid w:val="002559C5"/>
    <w:rsid w:val="0026089A"/>
    <w:rsid w:val="00263077"/>
    <w:rsid w:val="00264D7D"/>
    <w:rsid w:val="002711F6"/>
    <w:rsid w:val="00272AA4"/>
    <w:rsid w:val="002866DB"/>
    <w:rsid w:val="00287E70"/>
    <w:rsid w:val="002941FE"/>
    <w:rsid w:val="002B076E"/>
    <w:rsid w:val="002C4E9D"/>
    <w:rsid w:val="002C556A"/>
    <w:rsid w:val="002C706E"/>
    <w:rsid w:val="002E0A7D"/>
    <w:rsid w:val="002E3611"/>
    <w:rsid w:val="002F009C"/>
    <w:rsid w:val="002F15D1"/>
    <w:rsid w:val="002F1A26"/>
    <w:rsid w:val="003022DF"/>
    <w:rsid w:val="00304553"/>
    <w:rsid w:val="00304620"/>
    <w:rsid w:val="003118BA"/>
    <w:rsid w:val="003206D5"/>
    <w:rsid w:val="003229A1"/>
    <w:rsid w:val="00324E71"/>
    <w:rsid w:val="00324F52"/>
    <w:rsid w:val="00333D4C"/>
    <w:rsid w:val="003342B3"/>
    <w:rsid w:val="0033529A"/>
    <w:rsid w:val="0034442C"/>
    <w:rsid w:val="00354A97"/>
    <w:rsid w:val="00355EC1"/>
    <w:rsid w:val="00356448"/>
    <w:rsid w:val="003642A0"/>
    <w:rsid w:val="00365B4A"/>
    <w:rsid w:val="003733C9"/>
    <w:rsid w:val="0037372C"/>
    <w:rsid w:val="00381828"/>
    <w:rsid w:val="003819CA"/>
    <w:rsid w:val="00383237"/>
    <w:rsid w:val="0039128F"/>
    <w:rsid w:val="003925CE"/>
    <w:rsid w:val="00393E4F"/>
    <w:rsid w:val="00394CB1"/>
    <w:rsid w:val="003A6330"/>
    <w:rsid w:val="003B1FC2"/>
    <w:rsid w:val="003B7AD9"/>
    <w:rsid w:val="003C07A2"/>
    <w:rsid w:val="003C2319"/>
    <w:rsid w:val="003C39AB"/>
    <w:rsid w:val="003C5318"/>
    <w:rsid w:val="003C5353"/>
    <w:rsid w:val="003C5738"/>
    <w:rsid w:val="003C6732"/>
    <w:rsid w:val="003D3725"/>
    <w:rsid w:val="003D7390"/>
    <w:rsid w:val="003E198B"/>
    <w:rsid w:val="003E3DCE"/>
    <w:rsid w:val="003E6D81"/>
    <w:rsid w:val="003F1FC7"/>
    <w:rsid w:val="003F377A"/>
    <w:rsid w:val="004075E4"/>
    <w:rsid w:val="00407DE0"/>
    <w:rsid w:val="0042145C"/>
    <w:rsid w:val="004219B2"/>
    <w:rsid w:val="00422310"/>
    <w:rsid w:val="00422B41"/>
    <w:rsid w:val="00422B79"/>
    <w:rsid w:val="00423788"/>
    <w:rsid w:val="00426648"/>
    <w:rsid w:val="0043046B"/>
    <w:rsid w:val="00435845"/>
    <w:rsid w:val="00437F8D"/>
    <w:rsid w:val="00442F9C"/>
    <w:rsid w:val="0044594F"/>
    <w:rsid w:val="00451CFB"/>
    <w:rsid w:val="00457BBE"/>
    <w:rsid w:val="004611D2"/>
    <w:rsid w:val="00465FFF"/>
    <w:rsid w:val="00467C3C"/>
    <w:rsid w:val="0047399E"/>
    <w:rsid w:val="00473ED4"/>
    <w:rsid w:val="00477C39"/>
    <w:rsid w:val="004802D1"/>
    <w:rsid w:val="004817F5"/>
    <w:rsid w:val="00483B67"/>
    <w:rsid w:val="004A01EA"/>
    <w:rsid w:val="004A6A4E"/>
    <w:rsid w:val="004A78F8"/>
    <w:rsid w:val="004B2261"/>
    <w:rsid w:val="004B46AE"/>
    <w:rsid w:val="004C12C8"/>
    <w:rsid w:val="004D0EE5"/>
    <w:rsid w:val="004D2BE5"/>
    <w:rsid w:val="004D528F"/>
    <w:rsid w:val="004D5650"/>
    <w:rsid w:val="004E03CB"/>
    <w:rsid w:val="004E3535"/>
    <w:rsid w:val="004E6BED"/>
    <w:rsid w:val="004F3FCD"/>
    <w:rsid w:val="004F7B23"/>
    <w:rsid w:val="00503BC2"/>
    <w:rsid w:val="00510311"/>
    <w:rsid w:val="00510F47"/>
    <w:rsid w:val="0051425E"/>
    <w:rsid w:val="0052608F"/>
    <w:rsid w:val="005261EC"/>
    <w:rsid w:val="005342BE"/>
    <w:rsid w:val="005373DC"/>
    <w:rsid w:val="005423C7"/>
    <w:rsid w:val="00544146"/>
    <w:rsid w:val="00553541"/>
    <w:rsid w:val="00555108"/>
    <w:rsid w:val="00561ABD"/>
    <w:rsid w:val="005755F1"/>
    <w:rsid w:val="00575C9A"/>
    <w:rsid w:val="00583CB4"/>
    <w:rsid w:val="005851B6"/>
    <w:rsid w:val="00586E56"/>
    <w:rsid w:val="005907D5"/>
    <w:rsid w:val="00592552"/>
    <w:rsid w:val="00593CC9"/>
    <w:rsid w:val="005A24E4"/>
    <w:rsid w:val="005A7499"/>
    <w:rsid w:val="005A79C5"/>
    <w:rsid w:val="005B2F6F"/>
    <w:rsid w:val="005B4468"/>
    <w:rsid w:val="005B7785"/>
    <w:rsid w:val="005C0764"/>
    <w:rsid w:val="005C2DF3"/>
    <w:rsid w:val="005C30C8"/>
    <w:rsid w:val="005C320A"/>
    <w:rsid w:val="005C4433"/>
    <w:rsid w:val="005C54E7"/>
    <w:rsid w:val="005C5ACB"/>
    <w:rsid w:val="005C5D3E"/>
    <w:rsid w:val="005E1CD9"/>
    <w:rsid w:val="005F4A7E"/>
    <w:rsid w:val="005F7C9B"/>
    <w:rsid w:val="00607C67"/>
    <w:rsid w:val="006219A1"/>
    <w:rsid w:val="006263E8"/>
    <w:rsid w:val="00631EDB"/>
    <w:rsid w:val="006377DC"/>
    <w:rsid w:val="0064016D"/>
    <w:rsid w:val="00640296"/>
    <w:rsid w:val="006409E5"/>
    <w:rsid w:val="006432DA"/>
    <w:rsid w:val="006475D4"/>
    <w:rsid w:val="00651846"/>
    <w:rsid w:val="0065217C"/>
    <w:rsid w:val="006528B7"/>
    <w:rsid w:val="00652FC9"/>
    <w:rsid w:val="006564D9"/>
    <w:rsid w:val="00661D4F"/>
    <w:rsid w:val="00663C27"/>
    <w:rsid w:val="00665D7F"/>
    <w:rsid w:val="006660DC"/>
    <w:rsid w:val="0066650A"/>
    <w:rsid w:val="006676E1"/>
    <w:rsid w:val="00673D52"/>
    <w:rsid w:val="0067480B"/>
    <w:rsid w:val="00681476"/>
    <w:rsid w:val="00682517"/>
    <w:rsid w:val="0068710E"/>
    <w:rsid w:val="0069720C"/>
    <w:rsid w:val="0069779A"/>
    <w:rsid w:val="006A0242"/>
    <w:rsid w:val="006A1029"/>
    <w:rsid w:val="006A1D58"/>
    <w:rsid w:val="006A45E1"/>
    <w:rsid w:val="006B01EB"/>
    <w:rsid w:val="006B135C"/>
    <w:rsid w:val="006B15BE"/>
    <w:rsid w:val="006C1C7C"/>
    <w:rsid w:val="006D16CC"/>
    <w:rsid w:val="006E1715"/>
    <w:rsid w:val="006E2AB0"/>
    <w:rsid w:val="006E3B4B"/>
    <w:rsid w:val="006F2BBB"/>
    <w:rsid w:val="007003C4"/>
    <w:rsid w:val="00700B59"/>
    <w:rsid w:val="00701990"/>
    <w:rsid w:val="00702E50"/>
    <w:rsid w:val="00702EFB"/>
    <w:rsid w:val="007030FD"/>
    <w:rsid w:val="007077DE"/>
    <w:rsid w:val="00713316"/>
    <w:rsid w:val="00716203"/>
    <w:rsid w:val="00721DA4"/>
    <w:rsid w:val="007256E1"/>
    <w:rsid w:val="00725DCD"/>
    <w:rsid w:val="00726F15"/>
    <w:rsid w:val="007272B8"/>
    <w:rsid w:val="00732C9C"/>
    <w:rsid w:val="00733F75"/>
    <w:rsid w:val="00736255"/>
    <w:rsid w:val="007375EA"/>
    <w:rsid w:val="007404CB"/>
    <w:rsid w:val="00740796"/>
    <w:rsid w:val="00752DE6"/>
    <w:rsid w:val="00765220"/>
    <w:rsid w:val="00766E67"/>
    <w:rsid w:val="00774320"/>
    <w:rsid w:val="0077645C"/>
    <w:rsid w:val="007800C8"/>
    <w:rsid w:val="00780863"/>
    <w:rsid w:val="007902B2"/>
    <w:rsid w:val="007905DE"/>
    <w:rsid w:val="00791CED"/>
    <w:rsid w:val="00791D8B"/>
    <w:rsid w:val="00791F09"/>
    <w:rsid w:val="007921B5"/>
    <w:rsid w:val="007A1923"/>
    <w:rsid w:val="007A22D4"/>
    <w:rsid w:val="007A50FF"/>
    <w:rsid w:val="007A75CF"/>
    <w:rsid w:val="007B0095"/>
    <w:rsid w:val="007B2E98"/>
    <w:rsid w:val="007B43E4"/>
    <w:rsid w:val="007B624A"/>
    <w:rsid w:val="007C2E7C"/>
    <w:rsid w:val="007C61A5"/>
    <w:rsid w:val="007D0096"/>
    <w:rsid w:val="007D300A"/>
    <w:rsid w:val="007D40E6"/>
    <w:rsid w:val="007E2D30"/>
    <w:rsid w:val="007E30DA"/>
    <w:rsid w:val="007E4A1E"/>
    <w:rsid w:val="007E516D"/>
    <w:rsid w:val="007E5F08"/>
    <w:rsid w:val="007F1EA2"/>
    <w:rsid w:val="007F3086"/>
    <w:rsid w:val="007F4BCA"/>
    <w:rsid w:val="007F683F"/>
    <w:rsid w:val="007F74AF"/>
    <w:rsid w:val="00801B72"/>
    <w:rsid w:val="008138CC"/>
    <w:rsid w:val="00814F2C"/>
    <w:rsid w:val="00816F1F"/>
    <w:rsid w:val="00817754"/>
    <w:rsid w:val="00821D68"/>
    <w:rsid w:val="0082365F"/>
    <w:rsid w:val="00823E91"/>
    <w:rsid w:val="0082589E"/>
    <w:rsid w:val="008274E8"/>
    <w:rsid w:val="008331CA"/>
    <w:rsid w:val="00837A36"/>
    <w:rsid w:val="00837F49"/>
    <w:rsid w:val="008400C4"/>
    <w:rsid w:val="00840252"/>
    <w:rsid w:val="008402B7"/>
    <w:rsid w:val="00840B04"/>
    <w:rsid w:val="008508AE"/>
    <w:rsid w:val="00850E3D"/>
    <w:rsid w:val="00867451"/>
    <w:rsid w:val="0087178A"/>
    <w:rsid w:val="0087326B"/>
    <w:rsid w:val="00881AE5"/>
    <w:rsid w:val="0088370E"/>
    <w:rsid w:val="0089082F"/>
    <w:rsid w:val="008956A8"/>
    <w:rsid w:val="00895747"/>
    <w:rsid w:val="00896284"/>
    <w:rsid w:val="00897422"/>
    <w:rsid w:val="008A19DD"/>
    <w:rsid w:val="008B2979"/>
    <w:rsid w:val="008B5FD6"/>
    <w:rsid w:val="008C4FBB"/>
    <w:rsid w:val="008E277B"/>
    <w:rsid w:val="008E4D01"/>
    <w:rsid w:val="008F3BC5"/>
    <w:rsid w:val="009077FB"/>
    <w:rsid w:val="0091076F"/>
    <w:rsid w:val="00914112"/>
    <w:rsid w:val="00914605"/>
    <w:rsid w:val="0091522A"/>
    <w:rsid w:val="00917A10"/>
    <w:rsid w:val="0092058E"/>
    <w:rsid w:val="00924A8F"/>
    <w:rsid w:val="00926F06"/>
    <w:rsid w:val="0093085E"/>
    <w:rsid w:val="00930D78"/>
    <w:rsid w:val="00944C7D"/>
    <w:rsid w:val="00947CBC"/>
    <w:rsid w:val="00953B2E"/>
    <w:rsid w:val="009549FC"/>
    <w:rsid w:val="0096185A"/>
    <w:rsid w:val="00965B67"/>
    <w:rsid w:val="00970806"/>
    <w:rsid w:val="00972847"/>
    <w:rsid w:val="009756D5"/>
    <w:rsid w:val="00985A2D"/>
    <w:rsid w:val="00985F1A"/>
    <w:rsid w:val="009865B2"/>
    <w:rsid w:val="0099704A"/>
    <w:rsid w:val="00997AA5"/>
    <w:rsid w:val="00997B46"/>
    <w:rsid w:val="009A26B4"/>
    <w:rsid w:val="009B5387"/>
    <w:rsid w:val="009C1CBE"/>
    <w:rsid w:val="009C355C"/>
    <w:rsid w:val="009C379D"/>
    <w:rsid w:val="009D2131"/>
    <w:rsid w:val="009D275B"/>
    <w:rsid w:val="009D2850"/>
    <w:rsid w:val="009E3CA8"/>
    <w:rsid w:val="009F63F9"/>
    <w:rsid w:val="009F71D1"/>
    <w:rsid w:val="00A02244"/>
    <w:rsid w:val="00A035D6"/>
    <w:rsid w:val="00A059AD"/>
    <w:rsid w:val="00A13138"/>
    <w:rsid w:val="00A43526"/>
    <w:rsid w:val="00A478FA"/>
    <w:rsid w:val="00A570AF"/>
    <w:rsid w:val="00A61DA2"/>
    <w:rsid w:val="00A62049"/>
    <w:rsid w:val="00A6254D"/>
    <w:rsid w:val="00A633EA"/>
    <w:rsid w:val="00A63E68"/>
    <w:rsid w:val="00A72950"/>
    <w:rsid w:val="00A80F19"/>
    <w:rsid w:val="00A81AFE"/>
    <w:rsid w:val="00A82EA6"/>
    <w:rsid w:val="00A84A26"/>
    <w:rsid w:val="00A96357"/>
    <w:rsid w:val="00A9657F"/>
    <w:rsid w:val="00AA264C"/>
    <w:rsid w:val="00AA70F5"/>
    <w:rsid w:val="00AC2DE6"/>
    <w:rsid w:val="00AC316D"/>
    <w:rsid w:val="00AC7AC2"/>
    <w:rsid w:val="00AD0A28"/>
    <w:rsid w:val="00AE4ABC"/>
    <w:rsid w:val="00AE5818"/>
    <w:rsid w:val="00AE7F22"/>
    <w:rsid w:val="00AF223A"/>
    <w:rsid w:val="00B014ED"/>
    <w:rsid w:val="00B10AF9"/>
    <w:rsid w:val="00B13D8A"/>
    <w:rsid w:val="00B16951"/>
    <w:rsid w:val="00B17E77"/>
    <w:rsid w:val="00B2195D"/>
    <w:rsid w:val="00B240E6"/>
    <w:rsid w:val="00B2442C"/>
    <w:rsid w:val="00B348BA"/>
    <w:rsid w:val="00B351E7"/>
    <w:rsid w:val="00B36436"/>
    <w:rsid w:val="00B4013B"/>
    <w:rsid w:val="00B43048"/>
    <w:rsid w:val="00B50455"/>
    <w:rsid w:val="00B51717"/>
    <w:rsid w:val="00B522B0"/>
    <w:rsid w:val="00B62555"/>
    <w:rsid w:val="00B70CF3"/>
    <w:rsid w:val="00B715AD"/>
    <w:rsid w:val="00B833DC"/>
    <w:rsid w:val="00BA5C91"/>
    <w:rsid w:val="00BB363E"/>
    <w:rsid w:val="00BC5663"/>
    <w:rsid w:val="00BD32E4"/>
    <w:rsid w:val="00BD7786"/>
    <w:rsid w:val="00BE2520"/>
    <w:rsid w:val="00BE487D"/>
    <w:rsid w:val="00BF18A9"/>
    <w:rsid w:val="00BF55C8"/>
    <w:rsid w:val="00BF7204"/>
    <w:rsid w:val="00C044E3"/>
    <w:rsid w:val="00C10D5A"/>
    <w:rsid w:val="00C17E9A"/>
    <w:rsid w:val="00C2018B"/>
    <w:rsid w:val="00C211A5"/>
    <w:rsid w:val="00C305C0"/>
    <w:rsid w:val="00C356CF"/>
    <w:rsid w:val="00C406F4"/>
    <w:rsid w:val="00C41877"/>
    <w:rsid w:val="00C41F51"/>
    <w:rsid w:val="00C42785"/>
    <w:rsid w:val="00C438AF"/>
    <w:rsid w:val="00C43A5F"/>
    <w:rsid w:val="00C530A6"/>
    <w:rsid w:val="00C64B50"/>
    <w:rsid w:val="00C67D0F"/>
    <w:rsid w:val="00C7228C"/>
    <w:rsid w:val="00C731CA"/>
    <w:rsid w:val="00C743FC"/>
    <w:rsid w:val="00C74F40"/>
    <w:rsid w:val="00C76189"/>
    <w:rsid w:val="00C812EB"/>
    <w:rsid w:val="00C925B6"/>
    <w:rsid w:val="00C9650E"/>
    <w:rsid w:val="00CA18B0"/>
    <w:rsid w:val="00CA38C8"/>
    <w:rsid w:val="00CB5ADF"/>
    <w:rsid w:val="00CC0D03"/>
    <w:rsid w:val="00CD36DF"/>
    <w:rsid w:val="00CD3873"/>
    <w:rsid w:val="00CF0EDA"/>
    <w:rsid w:val="00CF2BD9"/>
    <w:rsid w:val="00CF72EA"/>
    <w:rsid w:val="00D02F4B"/>
    <w:rsid w:val="00D05DE3"/>
    <w:rsid w:val="00D15F20"/>
    <w:rsid w:val="00D2426E"/>
    <w:rsid w:val="00D275B6"/>
    <w:rsid w:val="00D40237"/>
    <w:rsid w:val="00D40EDD"/>
    <w:rsid w:val="00D41894"/>
    <w:rsid w:val="00D41DD1"/>
    <w:rsid w:val="00D46D61"/>
    <w:rsid w:val="00D51415"/>
    <w:rsid w:val="00D63632"/>
    <w:rsid w:val="00D67F4A"/>
    <w:rsid w:val="00D83CB9"/>
    <w:rsid w:val="00D84B07"/>
    <w:rsid w:val="00D87356"/>
    <w:rsid w:val="00D95F85"/>
    <w:rsid w:val="00D971FF"/>
    <w:rsid w:val="00DA1EB3"/>
    <w:rsid w:val="00DA1F9C"/>
    <w:rsid w:val="00DA6C54"/>
    <w:rsid w:val="00DB0C7B"/>
    <w:rsid w:val="00DB538D"/>
    <w:rsid w:val="00DB7038"/>
    <w:rsid w:val="00DC096B"/>
    <w:rsid w:val="00DC3352"/>
    <w:rsid w:val="00DC7660"/>
    <w:rsid w:val="00DD2C11"/>
    <w:rsid w:val="00DE0498"/>
    <w:rsid w:val="00DE41F2"/>
    <w:rsid w:val="00DE4AC3"/>
    <w:rsid w:val="00DE54C8"/>
    <w:rsid w:val="00DE74E1"/>
    <w:rsid w:val="00DF0876"/>
    <w:rsid w:val="00E00807"/>
    <w:rsid w:val="00E015EE"/>
    <w:rsid w:val="00E11628"/>
    <w:rsid w:val="00E27A0C"/>
    <w:rsid w:val="00E32B94"/>
    <w:rsid w:val="00E357A0"/>
    <w:rsid w:val="00E414CD"/>
    <w:rsid w:val="00E42A05"/>
    <w:rsid w:val="00E45DEB"/>
    <w:rsid w:val="00E50A3D"/>
    <w:rsid w:val="00E51B90"/>
    <w:rsid w:val="00E62CAD"/>
    <w:rsid w:val="00E64DEA"/>
    <w:rsid w:val="00E67551"/>
    <w:rsid w:val="00E727CA"/>
    <w:rsid w:val="00E767AA"/>
    <w:rsid w:val="00E7764B"/>
    <w:rsid w:val="00E842ED"/>
    <w:rsid w:val="00EA36E3"/>
    <w:rsid w:val="00EA7C2C"/>
    <w:rsid w:val="00EB6BED"/>
    <w:rsid w:val="00EC012C"/>
    <w:rsid w:val="00EC70CF"/>
    <w:rsid w:val="00ED03FC"/>
    <w:rsid w:val="00ED334E"/>
    <w:rsid w:val="00EE3533"/>
    <w:rsid w:val="00EF0B8E"/>
    <w:rsid w:val="00F0068C"/>
    <w:rsid w:val="00F07469"/>
    <w:rsid w:val="00F1661B"/>
    <w:rsid w:val="00F21244"/>
    <w:rsid w:val="00F22D36"/>
    <w:rsid w:val="00F27E8D"/>
    <w:rsid w:val="00F4115E"/>
    <w:rsid w:val="00F41477"/>
    <w:rsid w:val="00F45DD1"/>
    <w:rsid w:val="00F52283"/>
    <w:rsid w:val="00F52EB7"/>
    <w:rsid w:val="00F52FD7"/>
    <w:rsid w:val="00F614AB"/>
    <w:rsid w:val="00F65D96"/>
    <w:rsid w:val="00F663DB"/>
    <w:rsid w:val="00F71B39"/>
    <w:rsid w:val="00F723C9"/>
    <w:rsid w:val="00F740B3"/>
    <w:rsid w:val="00F74C99"/>
    <w:rsid w:val="00F75A7D"/>
    <w:rsid w:val="00F75C57"/>
    <w:rsid w:val="00F91292"/>
    <w:rsid w:val="00F91AAE"/>
    <w:rsid w:val="00F93D1F"/>
    <w:rsid w:val="00F95827"/>
    <w:rsid w:val="00FA6672"/>
    <w:rsid w:val="00FB52A5"/>
    <w:rsid w:val="00FB6341"/>
    <w:rsid w:val="00FC03E8"/>
    <w:rsid w:val="00FC18D3"/>
    <w:rsid w:val="00FC6614"/>
    <w:rsid w:val="00FC6696"/>
    <w:rsid w:val="00FE1C62"/>
    <w:rsid w:val="00FF7A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728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ajorBidi"/>
        <w:sz w:val="22"/>
        <w:szCs w:val="22"/>
        <w:lang w:val="en-US" w:eastAsia="en-US" w:bidi="en-US"/>
      </w:rPr>
    </w:rPrDefault>
    <w:pPrDefault>
      <w:pPr>
        <w:spacing w:line="260" w:lineRule="atLeast"/>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1" w:unhideWhenUsed="1"/>
    <w:lsdException w:name="footer" w:semiHidden="1" w:unhideWhenUsed="1"/>
    <w:lsdException w:name="caption" w:semiHidden="1" w:uiPriority="35" w:unhideWhenUsed="1" w:qFormat="1"/>
    <w:lsdException w:name="List Bullet" w:semiHidden="1" w:unhideWhenUsed="1"/>
    <w:lsdException w:name="List Bullet 2" w:semiHidden="1" w:unhideWhenUsed="1"/>
    <w:lsdException w:name="List Bullet 3" w:semiHidden="1" w:unhideWhenUsed="1"/>
    <w:lsdException w:name="Title" w:uiPriority="10" w:qFormat="1"/>
    <w:lsdException w:name="Default Paragraph Font" w:semiHidden="1" w:uiPriority="1" w:unhideWhenUsed="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Strong" w:uiPriority="0" w:qFormat="1"/>
    <w:lsdException w:name="Emphasis" w:uiPriority="20" w:qFormat="1"/>
    <w:lsdException w:name="HTML Top of Form" w:semiHidden="1" w:unhideWhenUsed="1"/>
    <w:lsdException w:name="HTML Bottom of Form"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atentStyles>
  <w:style w:type="paragraph" w:default="1" w:styleId="Normal">
    <w:name w:val="Normal"/>
    <w:rsid w:val="005F7C9B"/>
    <w:rPr>
      <w:rFonts w:eastAsiaTheme="minorHAnsi"/>
      <w:lang w:val="en-AU" w:bidi="ar-SA"/>
    </w:rPr>
  </w:style>
  <w:style w:type="paragraph" w:styleId="Heading1">
    <w:name w:val="heading 1"/>
    <w:basedOn w:val="Normal"/>
    <w:next w:val="Normal"/>
    <w:link w:val="Heading1Char"/>
    <w:autoRedefine/>
    <w:uiPriority w:val="9"/>
    <w:qFormat/>
    <w:rsid w:val="005F7C9B"/>
    <w:pPr>
      <w:keepNext/>
      <w:keepLines/>
      <w:spacing w:line="320" w:lineRule="atLeast"/>
      <w:outlineLvl w:val="0"/>
    </w:pPr>
    <w:rPr>
      <w:rFonts w:asciiTheme="majorHAnsi" w:eastAsiaTheme="majorEastAsia" w:hAnsiTheme="majorHAnsi"/>
      <w:b/>
      <w:color w:val="FA820F" w:themeColor="text2"/>
      <w:sz w:val="32"/>
      <w:lang w:bidi="en-US"/>
    </w:rPr>
  </w:style>
  <w:style w:type="paragraph" w:styleId="Heading2">
    <w:name w:val="heading 2"/>
    <w:basedOn w:val="Normal"/>
    <w:next w:val="Normal"/>
    <w:link w:val="Heading2Char"/>
    <w:autoRedefine/>
    <w:uiPriority w:val="9"/>
    <w:qFormat/>
    <w:rsid w:val="005F7C9B"/>
    <w:pPr>
      <w:keepNext/>
      <w:keepLines/>
      <w:spacing w:line="300" w:lineRule="atLeast"/>
      <w:outlineLvl w:val="1"/>
    </w:pPr>
    <w:rPr>
      <w:rFonts w:asciiTheme="majorHAnsi" w:eastAsiaTheme="majorEastAsia" w:hAnsiTheme="majorHAnsi"/>
      <w:b/>
      <w:sz w:val="28"/>
      <w:szCs w:val="26"/>
      <w:lang w:bidi="en-US"/>
    </w:rPr>
  </w:style>
  <w:style w:type="paragraph" w:styleId="Heading3">
    <w:name w:val="heading 3"/>
    <w:basedOn w:val="Normal"/>
    <w:next w:val="Normal"/>
    <w:link w:val="Heading3Char"/>
    <w:autoRedefine/>
    <w:uiPriority w:val="9"/>
    <w:qFormat/>
    <w:rsid w:val="009A26B4"/>
    <w:pPr>
      <w:keepNext/>
      <w:numPr>
        <w:ilvl w:val="2"/>
        <w:numId w:val="16"/>
      </w:numPr>
      <w:spacing w:after="240" w:line="240" w:lineRule="auto"/>
      <w:outlineLvl w:val="2"/>
    </w:pPr>
    <w:rPr>
      <w:rFonts w:asciiTheme="majorHAnsi" w:eastAsiaTheme="majorEastAsia" w:hAnsiTheme="majorHAnsi"/>
      <w:b/>
      <w:i/>
      <w:color w:val="000000" w:themeColor="accent1"/>
      <w:sz w:val="24"/>
      <w:lang w:bidi="en-US"/>
    </w:rPr>
  </w:style>
  <w:style w:type="paragraph" w:styleId="Heading4">
    <w:name w:val="heading 4"/>
    <w:aliases w:val="h4"/>
    <w:basedOn w:val="Normal"/>
    <w:next w:val="Normal"/>
    <w:link w:val="Heading4Char"/>
    <w:autoRedefine/>
    <w:uiPriority w:val="9"/>
    <w:qFormat/>
    <w:rsid w:val="005F7C9B"/>
    <w:pPr>
      <w:keepNext/>
      <w:keepLines/>
      <w:outlineLvl w:val="3"/>
    </w:pPr>
    <w:rPr>
      <w:rFonts w:asciiTheme="majorHAnsi" w:eastAsiaTheme="majorEastAsia" w:hAnsiTheme="majorHAnsi"/>
      <w:b/>
      <w:i/>
      <w:iCs/>
      <w:color w:val="000000" w:themeColor="accent1"/>
      <w:sz w:val="24"/>
      <w:lang w:bidi="en-US"/>
    </w:rPr>
  </w:style>
  <w:style w:type="paragraph" w:styleId="Heading5">
    <w:name w:val="heading 5"/>
    <w:basedOn w:val="Normal"/>
    <w:next w:val="Normal"/>
    <w:link w:val="Heading5Char"/>
    <w:autoRedefine/>
    <w:uiPriority w:val="9"/>
    <w:qFormat/>
    <w:rsid w:val="005F7C9B"/>
    <w:pPr>
      <w:keepNext/>
      <w:keepLines/>
      <w:outlineLvl w:val="4"/>
    </w:pPr>
    <w:rPr>
      <w:rFonts w:asciiTheme="majorHAnsi" w:eastAsiaTheme="majorEastAsia" w:hAnsiTheme="majorHAnsi"/>
      <w:b/>
      <w:color w:val="000000" w:themeColor="accent1" w:themeShade="7F"/>
      <w:lang w:bidi="en-US"/>
    </w:rPr>
  </w:style>
  <w:style w:type="paragraph" w:styleId="Heading6">
    <w:name w:val="heading 6"/>
    <w:basedOn w:val="Normal"/>
    <w:next w:val="Normal"/>
    <w:link w:val="Heading6Char"/>
    <w:autoRedefine/>
    <w:uiPriority w:val="9"/>
    <w:qFormat/>
    <w:rsid w:val="005F7C9B"/>
    <w:pPr>
      <w:keepNext/>
      <w:keepLines/>
      <w:outlineLvl w:val="5"/>
    </w:pPr>
    <w:rPr>
      <w:rFonts w:asciiTheme="majorHAnsi" w:eastAsiaTheme="majorEastAsia" w:hAnsiTheme="majorHAnsi"/>
      <w:b/>
      <w:i/>
      <w:iCs/>
      <w:color w:val="000000" w:themeColor="accent1" w:themeShade="7F"/>
      <w:lang w:bidi="en-US"/>
    </w:rPr>
  </w:style>
  <w:style w:type="paragraph" w:styleId="Heading7">
    <w:name w:val="heading 7"/>
    <w:aliases w:val="(Appen)"/>
    <w:basedOn w:val="Normal"/>
    <w:next w:val="Normal"/>
    <w:link w:val="Heading7Char"/>
    <w:uiPriority w:val="9"/>
    <w:qFormat/>
    <w:rsid w:val="007A22D4"/>
    <w:pPr>
      <w:keepNext/>
      <w:keepLines/>
      <w:numPr>
        <w:ilvl w:val="6"/>
        <w:numId w:val="1"/>
      </w:numPr>
      <w:spacing w:before="200"/>
      <w:outlineLvl w:val="6"/>
    </w:pPr>
    <w:rPr>
      <w:rFonts w:asciiTheme="majorHAnsi" w:eastAsiaTheme="majorEastAsia" w:hAnsiTheme="majorHAnsi"/>
      <w:i/>
      <w:iCs/>
      <w:color w:val="7D7D7D" w:themeColor="text1" w:themeTint="BF"/>
    </w:rPr>
  </w:style>
  <w:style w:type="paragraph" w:styleId="Heading8">
    <w:name w:val="heading 8"/>
    <w:basedOn w:val="Normal"/>
    <w:next w:val="Normal"/>
    <w:link w:val="Heading8Char"/>
    <w:uiPriority w:val="9"/>
    <w:qFormat/>
    <w:rsid w:val="007A22D4"/>
    <w:pPr>
      <w:keepNext/>
      <w:keepLines/>
      <w:numPr>
        <w:ilvl w:val="7"/>
        <w:numId w:val="1"/>
      </w:numPr>
      <w:spacing w:before="200"/>
      <w:outlineLvl w:val="7"/>
    </w:pPr>
    <w:rPr>
      <w:rFonts w:asciiTheme="majorHAnsi" w:eastAsiaTheme="majorEastAsia" w:hAnsiTheme="majorHAnsi"/>
      <w:color w:val="000000" w:themeColor="accent1"/>
    </w:rPr>
  </w:style>
  <w:style w:type="paragraph" w:styleId="Heading9">
    <w:name w:val="heading 9"/>
    <w:basedOn w:val="Normal"/>
    <w:next w:val="Normal"/>
    <w:link w:val="Heading9Char"/>
    <w:uiPriority w:val="9"/>
    <w:qFormat/>
    <w:rsid w:val="007A22D4"/>
    <w:pPr>
      <w:keepNext/>
      <w:keepLines/>
      <w:numPr>
        <w:ilvl w:val="8"/>
        <w:numId w:val="1"/>
      </w:numPr>
      <w:spacing w:before="200"/>
      <w:outlineLvl w:val="8"/>
    </w:pPr>
    <w:rPr>
      <w:rFonts w:asciiTheme="majorHAnsi" w:eastAsiaTheme="majorEastAsia" w:hAnsiTheme="majorHAnsi"/>
      <w:i/>
      <w:iCs/>
      <w:color w:val="7D7D7D"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eading2"/>
    <w:link w:val="HeaderChar"/>
    <w:uiPriority w:val="99"/>
    <w:rsid w:val="005C320A"/>
    <w:pPr>
      <w:pBdr>
        <w:top w:val="single" w:sz="4" w:space="8" w:color="auto"/>
      </w:pBdr>
      <w:spacing w:line="200" w:lineRule="atLeast"/>
    </w:pPr>
  </w:style>
  <w:style w:type="character" w:customStyle="1" w:styleId="HeaderChar">
    <w:name w:val="Header Char"/>
    <w:basedOn w:val="DefaultParagraphFont"/>
    <w:link w:val="Header"/>
    <w:uiPriority w:val="99"/>
    <w:rsid w:val="005C320A"/>
    <w:rPr>
      <w:rFonts w:asciiTheme="majorHAnsi" w:eastAsiaTheme="majorEastAsia" w:hAnsiTheme="majorHAnsi"/>
      <w:b/>
      <w:sz w:val="28"/>
      <w:szCs w:val="26"/>
      <w:lang w:val="en-AU"/>
    </w:rPr>
  </w:style>
  <w:style w:type="paragraph" w:styleId="Footer">
    <w:name w:val="footer"/>
    <w:basedOn w:val="Normal"/>
    <w:link w:val="FooterChar"/>
    <w:uiPriority w:val="99"/>
    <w:rsid w:val="005F7C9B"/>
    <w:pPr>
      <w:tabs>
        <w:tab w:val="center" w:pos="4680"/>
        <w:tab w:val="right" w:pos="9360"/>
      </w:tabs>
      <w:spacing w:line="200" w:lineRule="atLeast"/>
    </w:pPr>
    <w:rPr>
      <w:rFonts w:ascii="Calibri" w:hAnsi="Calibri"/>
      <w:color w:val="000000" w:themeColor="accent1"/>
      <w:sz w:val="16"/>
      <w:lang w:bidi="en-US"/>
    </w:rPr>
  </w:style>
  <w:style w:type="character" w:customStyle="1" w:styleId="FooterChar">
    <w:name w:val="Footer Char"/>
    <w:basedOn w:val="DefaultParagraphFont"/>
    <w:link w:val="Footer"/>
    <w:uiPriority w:val="99"/>
    <w:rsid w:val="006E3B4B"/>
    <w:rPr>
      <w:rFonts w:eastAsiaTheme="minorHAnsi"/>
      <w:color w:val="000000" w:themeColor="accent1"/>
      <w:sz w:val="16"/>
      <w:lang w:val="en-AU"/>
    </w:rPr>
  </w:style>
  <w:style w:type="paragraph" w:styleId="NoSpacing">
    <w:name w:val="No Spacing"/>
    <w:uiPriority w:val="1"/>
    <w:qFormat/>
    <w:rsid w:val="005F7C9B"/>
    <w:pPr>
      <w:spacing w:line="240" w:lineRule="auto"/>
    </w:pPr>
    <w:rPr>
      <w:rFonts w:eastAsiaTheme="minorHAnsi"/>
      <w:color w:val="000000" w:themeColor="accent1"/>
      <w:lang w:val="en-AU" w:bidi="ar-SA"/>
    </w:rPr>
  </w:style>
  <w:style w:type="character" w:customStyle="1" w:styleId="Heading1Char">
    <w:name w:val="Heading 1 Char"/>
    <w:basedOn w:val="DefaultParagraphFont"/>
    <w:link w:val="Heading1"/>
    <w:uiPriority w:val="9"/>
    <w:rsid w:val="008331CA"/>
    <w:rPr>
      <w:rFonts w:asciiTheme="majorHAnsi" w:eastAsiaTheme="majorEastAsia" w:hAnsiTheme="majorHAnsi"/>
      <w:b/>
      <w:color w:val="FA820F" w:themeColor="text2"/>
      <w:sz w:val="32"/>
      <w:lang w:val="en-AU"/>
    </w:rPr>
  </w:style>
  <w:style w:type="character" w:customStyle="1" w:styleId="Heading2Char">
    <w:name w:val="Heading 2 Char"/>
    <w:basedOn w:val="DefaultParagraphFont"/>
    <w:link w:val="Heading2"/>
    <w:uiPriority w:val="9"/>
    <w:rsid w:val="008331CA"/>
    <w:rPr>
      <w:rFonts w:asciiTheme="majorHAnsi" w:eastAsiaTheme="majorEastAsia" w:hAnsiTheme="majorHAnsi"/>
      <w:b/>
      <w:sz w:val="28"/>
      <w:szCs w:val="26"/>
      <w:lang w:val="en-AU"/>
    </w:rPr>
  </w:style>
  <w:style w:type="character" w:customStyle="1" w:styleId="Heading3Char">
    <w:name w:val="Heading 3 Char"/>
    <w:basedOn w:val="DefaultParagraphFont"/>
    <w:link w:val="Heading3"/>
    <w:uiPriority w:val="9"/>
    <w:rsid w:val="009A26B4"/>
    <w:rPr>
      <w:rFonts w:asciiTheme="majorHAnsi" w:eastAsiaTheme="majorEastAsia" w:hAnsiTheme="majorHAnsi"/>
      <w:b/>
      <w:i/>
      <w:color w:val="000000" w:themeColor="accent1"/>
      <w:sz w:val="24"/>
      <w:lang w:val="en-AU"/>
    </w:rPr>
  </w:style>
  <w:style w:type="character" w:customStyle="1" w:styleId="Heading4Char">
    <w:name w:val="Heading 4 Char"/>
    <w:aliases w:val="h4 Char"/>
    <w:basedOn w:val="DefaultParagraphFont"/>
    <w:link w:val="Heading4"/>
    <w:uiPriority w:val="9"/>
    <w:rsid w:val="008331CA"/>
    <w:rPr>
      <w:rFonts w:asciiTheme="majorHAnsi" w:eastAsiaTheme="majorEastAsia" w:hAnsiTheme="majorHAnsi"/>
      <w:b/>
      <w:i/>
      <w:iCs/>
      <w:color w:val="000000" w:themeColor="accent1"/>
      <w:sz w:val="24"/>
      <w:lang w:val="en-AU"/>
    </w:rPr>
  </w:style>
  <w:style w:type="character" w:customStyle="1" w:styleId="Heading5Char">
    <w:name w:val="Heading 5 Char"/>
    <w:basedOn w:val="DefaultParagraphFont"/>
    <w:link w:val="Heading5"/>
    <w:uiPriority w:val="9"/>
    <w:rsid w:val="008331CA"/>
    <w:rPr>
      <w:rFonts w:asciiTheme="majorHAnsi" w:eastAsiaTheme="majorEastAsia" w:hAnsiTheme="majorHAnsi"/>
      <w:b/>
      <w:color w:val="000000" w:themeColor="accent1" w:themeShade="7F"/>
      <w:lang w:val="en-AU"/>
    </w:rPr>
  </w:style>
  <w:style w:type="character" w:customStyle="1" w:styleId="Heading6Char">
    <w:name w:val="Heading 6 Char"/>
    <w:basedOn w:val="DefaultParagraphFont"/>
    <w:link w:val="Heading6"/>
    <w:uiPriority w:val="9"/>
    <w:rsid w:val="008331CA"/>
    <w:rPr>
      <w:rFonts w:asciiTheme="majorHAnsi" w:eastAsiaTheme="majorEastAsia" w:hAnsiTheme="majorHAnsi"/>
      <w:b/>
      <w:i/>
      <w:iCs/>
      <w:color w:val="000000" w:themeColor="accent1" w:themeShade="7F"/>
      <w:lang w:val="en-AU"/>
    </w:rPr>
  </w:style>
  <w:style w:type="character" w:customStyle="1" w:styleId="Heading7Char">
    <w:name w:val="Heading 7 Char"/>
    <w:aliases w:val="(Appen) Char"/>
    <w:basedOn w:val="DefaultParagraphFont"/>
    <w:link w:val="Heading7"/>
    <w:uiPriority w:val="9"/>
    <w:rsid w:val="006E3B4B"/>
    <w:rPr>
      <w:rFonts w:asciiTheme="majorHAnsi" w:eastAsiaTheme="majorEastAsia" w:hAnsiTheme="majorHAnsi"/>
      <w:i/>
      <w:iCs/>
      <w:color w:val="7D7D7D" w:themeColor="text1" w:themeTint="BF"/>
      <w:lang w:val="en-AU" w:bidi="ar-SA"/>
    </w:rPr>
  </w:style>
  <w:style w:type="character" w:customStyle="1" w:styleId="Heading8Char">
    <w:name w:val="Heading 8 Char"/>
    <w:basedOn w:val="DefaultParagraphFont"/>
    <w:link w:val="Heading8"/>
    <w:uiPriority w:val="9"/>
    <w:rsid w:val="006E3B4B"/>
    <w:rPr>
      <w:rFonts w:asciiTheme="majorHAnsi" w:eastAsiaTheme="majorEastAsia" w:hAnsiTheme="majorHAnsi"/>
      <w:color w:val="000000" w:themeColor="accent1"/>
      <w:lang w:val="en-AU" w:bidi="ar-SA"/>
    </w:rPr>
  </w:style>
  <w:style w:type="character" w:customStyle="1" w:styleId="Heading9Char">
    <w:name w:val="Heading 9 Char"/>
    <w:basedOn w:val="DefaultParagraphFont"/>
    <w:link w:val="Heading9"/>
    <w:uiPriority w:val="9"/>
    <w:rsid w:val="006E3B4B"/>
    <w:rPr>
      <w:rFonts w:asciiTheme="majorHAnsi" w:eastAsiaTheme="majorEastAsia" w:hAnsiTheme="majorHAnsi"/>
      <w:i/>
      <w:iCs/>
      <w:color w:val="7D7D7D" w:themeColor="text1" w:themeTint="BF"/>
      <w:lang w:val="en-AU" w:bidi="ar-SA"/>
    </w:rPr>
  </w:style>
  <w:style w:type="paragraph" w:styleId="Caption">
    <w:name w:val="caption"/>
    <w:basedOn w:val="Normal"/>
    <w:next w:val="Normal"/>
    <w:link w:val="CaptionChar"/>
    <w:uiPriority w:val="35"/>
    <w:unhideWhenUsed/>
    <w:qFormat/>
    <w:rsid w:val="005F7C9B"/>
    <w:pPr>
      <w:spacing w:line="240" w:lineRule="auto"/>
    </w:pPr>
    <w:rPr>
      <w:b/>
      <w:bCs/>
      <w:color w:val="000000" w:themeColor="accent1"/>
      <w:sz w:val="18"/>
      <w:szCs w:val="18"/>
    </w:rPr>
  </w:style>
  <w:style w:type="paragraph" w:styleId="Title">
    <w:name w:val="Title"/>
    <w:basedOn w:val="Normal"/>
    <w:next w:val="Normal"/>
    <w:link w:val="TitleChar"/>
    <w:uiPriority w:val="10"/>
    <w:qFormat/>
    <w:rsid w:val="005F7C9B"/>
    <w:pPr>
      <w:spacing w:line="600" w:lineRule="atLeast"/>
      <w:contextualSpacing/>
    </w:pPr>
    <w:rPr>
      <w:rFonts w:asciiTheme="majorHAnsi" w:eastAsiaTheme="majorEastAsia" w:hAnsiTheme="majorHAnsi"/>
      <w:b/>
      <w:color w:val="FA820F" w:themeColor="text2"/>
      <w:spacing w:val="5"/>
      <w:kern w:val="28"/>
      <w:sz w:val="64"/>
      <w:szCs w:val="52"/>
    </w:rPr>
  </w:style>
  <w:style w:type="character" w:customStyle="1" w:styleId="TitleChar">
    <w:name w:val="Title Char"/>
    <w:basedOn w:val="DefaultParagraphFont"/>
    <w:link w:val="Title"/>
    <w:uiPriority w:val="10"/>
    <w:rsid w:val="00716203"/>
    <w:rPr>
      <w:rFonts w:asciiTheme="majorHAnsi" w:eastAsiaTheme="majorEastAsia" w:hAnsiTheme="majorHAnsi"/>
      <w:b/>
      <w:color w:val="FA820F" w:themeColor="text2"/>
      <w:spacing w:val="5"/>
      <w:kern w:val="28"/>
      <w:sz w:val="64"/>
      <w:szCs w:val="52"/>
      <w:lang w:val="en-AU" w:bidi="ar-SA"/>
    </w:rPr>
  </w:style>
  <w:style w:type="paragraph" w:styleId="Subtitle">
    <w:name w:val="Subtitle"/>
    <w:basedOn w:val="Normal"/>
    <w:next w:val="Normal"/>
    <w:link w:val="SubtitleChar"/>
    <w:uiPriority w:val="11"/>
    <w:qFormat/>
    <w:rsid w:val="005F7C9B"/>
    <w:pPr>
      <w:numPr>
        <w:ilvl w:val="1"/>
      </w:numPr>
      <w:spacing w:line="320" w:lineRule="atLeast"/>
    </w:pPr>
    <w:rPr>
      <w:rFonts w:asciiTheme="majorHAnsi" w:eastAsiaTheme="majorEastAsia" w:hAnsiTheme="majorHAnsi"/>
      <w:iCs/>
      <w:color w:val="D8D9DA" w:themeColor="background1"/>
      <w:spacing w:val="15"/>
      <w:sz w:val="30"/>
      <w:szCs w:val="24"/>
    </w:rPr>
  </w:style>
  <w:style w:type="character" w:customStyle="1" w:styleId="SubtitleChar">
    <w:name w:val="Subtitle Char"/>
    <w:basedOn w:val="DefaultParagraphFont"/>
    <w:link w:val="Subtitle"/>
    <w:uiPriority w:val="11"/>
    <w:rsid w:val="006E3B4B"/>
    <w:rPr>
      <w:rFonts w:asciiTheme="majorHAnsi" w:eastAsiaTheme="majorEastAsia" w:hAnsiTheme="majorHAnsi"/>
      <w:iCs/>
      <w:color w:val="D8D9DA" w:themeColor="background1"/>
      <w:spacing w:val="15"/>
      <w:sz w:val="30"/>
      <w:szCs w:val="24"/>
      <w:lang w:val="en-AU" w:bidi="ar-SA"/>
    </w:rPr>
  </w:style>
  <w:style w:type="character" w:styleId="Strong">
    <w:name w:val="Strong"/>
    <w:aliases w:val="AER text bold"/>
    <w:basedOn w:val="DefaultParagraphFont"/>
    <w:qFormat/>
    <w:rsid w:val="007A22D4"/>
    <w:rPr>
      <w:b/>
      <w:bCs/>
    </w:rPr>
  </w:style>
  <w:style w:type="character" w:styleId="Emphasis">
    <w:name w:val="Emphasis"/>
    <w:basedOn w:val="DefaultParagraphFont"/>
    <w:uiPriority w:val="20"/>
    <w:qFormat/>
    <w:rsid w:val="005F7C9B"/>
    <w:rPr>
      <w:b/>
      <w:iCs/>
      <w:color w:val="000000" w:themeColor="accent1"/>
      <w:sz w:val="22"/>
    </w:rPr>
  </w:style>
  <w:style w:type="paragraph" w:styleId="ListParagraph">
    <w:name w:val="List Paragraph"/>
    <w:basedOn w:val="Normal"/>
    <w:uiPriority w:val="34"/>
    <w:qFormat/>
    <w:rsid w:val="007A22D4"/>
    <w:pPr>
      <w:ind w:left="720"/>
      <w:contextualSpacing/>
    </w:pPr>
  </w:style>
  <w:style w:type="paragraph" w:styleId="Quote">
    <w:name w:val="Quote"/>
    <w:basedOn w:val="Normal"/>
    <w:next w:val="Normal"/>
    <w:link w:val="QuoteChar"/>
    <w:autoRedefine/>
    <w:uiPriority w:val="29"/>
    <w:qFormat/>
    <w:rsid w:val="005F7C9B"/>
    <w:rPr>
      <w:rFonts w:ascii="Calibri" w:hAnsi="Calibri"/>
      <w:i/>
      <w:iCs/>
      <w:color w:val="000000" w:themeColor="accent1"/>
      <w:lang w:bidi="en-US"/>
    </w:rPr>
  </w:style>
  <w:style w:type="character" w:customStyle="1" w:styleId="QuoteChar">
    <w:name w:val="Quote Char"/>
    <w:basedOn w:val="DefaultParagraphFont"/>
    <w:link w:val="Quote"/>
    <w:uiPriority w:val="29"/>
    <w:rsid w:val="00DA6C54"/>
    <w:rPr>
      <w:rFonts w:eastAsiaTheme="minorHAnsi"/>
      <w:i/>
      <w:iCs/>
      <w:color w:val="000000" w:themeColor="accent1"/>
      <w:lang w:val="en-AU"/>
    </w:rPr>
  </w:style>
  <w:style w:type="paragraph" w:styleId="IntenseQuote">
    <w:name w:val="Intense Quote"/>
    <w:basedOn w:val="Normal"/>
    <w:next w:val="Normal"/>
    <w:link w:val="IntenseQuoteChar"/>
    <w:uiPriority w:val="30"/>
    <w:qFormat/>
    <w:rsid w:val="007A22D4"/>
    <w:pPr>
      <w:pBdr>
        <w:bottom w:val="single" w:sz="4" w:space="4" w:color="000000" w:themeColor="accent1"/>
      </w:pBdr>
      <w:spacing w:before="200" w:after="280"/>
      <w:ind w:left="936" w:right="936"/>
    </w:pPr>
    <w:rPr>
      <w:i/>
      <w:iCs/>
      <w:color w:val="000000" w:themeColor="accent1"/>
    </w:rPr>
  </w:style>
  <w:style w:type="character" w:customStyle="1" w:styleId="IntenseQuoteChar">
    <w:name w:val="Intense Quote Char"/>
    <w:basedOn w:val="DefaultParagraphFont"/>
    <w:link w:val="IntenseQuote"/>
    <w:uiPriority w:val="30"/>
    <w:rsid w:val="006E3B4B"/>
    <w:rPr>
      <w:i/>
      <w:iCs/>
      <w:color w:val="000000" w:themeColor="accent1"/>
    </w:rPr>
  </w:style>
  <w:style w:type="character" w:styleId="SubtleEmphasis">
    <w:name w:val="Subtle Emphasis"/>
    <w:basedOn w:val="DefaultParagraphFont"/>
    <w:uiPriority w:val="19"/>
    <w:qFormat/>
    <w:rsid w:val="007A22D4"/>
    <w:rPr>
      <w:i/>
      <w:iCs/>
      <w:color w:val="A8A8A8" w:themeColor="text1" w:themeTint="7F"/>
    </w:rPr>
  </w:style>
  <w:style w:type="character" w:styleId="IntenseEmphasis">
    <w:name w:val="Intense Emphasis"/>
    <w:basedOn w:val="DefaultParagraphFont"/>
    <w:uiPriority w:val="21"/>
    <w:qFormat/>
    <w:rsid w:val="007A22D4"/>
    <w:rPr>
      <w:b/>
      <w:bCs/>
      <w:i/>
      <w:iCs/>
      <w:color w:val="000000" w:themeColor="accent1"/>
    </w:rPr>
  </w:style>
  <w:style w:type="character" w:styleId="SubtleReference">
    <w:name w:val="Subtle Reference"/>
    <w:basedOn w:val="DefaultParagraphFont"/>
    <w:uiPriority w:val="31"/>
    <w:qFormat/>
    <w:rsid w:val="007A22D4"/>
    <w:rPr>
      <w:smallCaps/>
      <w:color w:val="939598" w:themeColor="accent2"/>
      <w:u w:val="single"/>
    </w:rPr>
  </w:style>
  <w:style w:type="character" w:styleId="IntenseReference">
    <w:name w:val="Intense Reference"/>
    <w:basedOn w:val="DefaultParagraphFont"/>
    <w:uiPriority w:val="32"/>
    <w:qFormat/>
    <w:rsid w:val="007A22D4"/>
    <w:rPr>
      <w:b/>
      <w:bCs/>
      <w:smallCaps/>
      <w:color w:val="939598" w:themeColor="accent2"/>
      <w:spacing w:val="5"/>
      <w:u w:val="single"/>
    </w:rPr>
  </w:style>
  <w:style w:type="character" w:styleId="BookTitle">
    <w:name w:val="Book Title"/>
    <w:basedOn w:val="DefaultParagraphFont"/>
    <w:uiPriority w:val="33"/>
    <w:qFormat/>
    <w:rsid w:val="007A22D4"/>
    <w:rPr>
      <w:b/>
      <w:bCs/>
      <w:smallCaps/>
      <w:spacing w:val="5"/>
    </w:rPr>
  </w:style>
  <w:style w:type="paragraph" w:styleId="ListNumber">
    <w:name w:val="List Number"/>
    <w:basedOn w:val="Normal"/>
    <w:uiPriority w:val="99"/>
    <w:unhideWhenUsed/>
    <w:rsid w:val="005F7C9B"/>
    <w:pPr>
      <w:numPr>
        <w:numId w:val="11"/>
      </w:numPr>
      <w:contextualSpacing/>
    </w:pPr>
  </w:style>
  <w:style w:type="paragraph" w:styleId="ListNumber2">
    <w:name w:val="List Number 2"/>
    <w:basedOn w:val="Normal"/>
    <w:uiPriority w:val="99"/>
    <w:unhideWhenUsed/>
    <w:rsid w:val="005F7C9B"/>
    <w:pPr>
      <w:numPr>
        <w:numId w:val="12"/>
      </w:numPr>
      <w:contextualSpacing/>
    </w:pPr>
  </w:style>
  <w:style w:type="paragraph" w:styleId="ListNumber3">
    <w:name w:val="List Number 3"/>
    <w:basedOn w:val="Normal"/>
    <w:uiPriority w:val="99"/>
    <w:unhideWhenUsed/>
    <w:rsid w:val="005F7C9B"/>
    <w:pPr>
      <w:numPr>
        <w:numId w:val="13"/>
      </w:numPr>
      <w:contextualSpacing/>
    </w:pPr>
  </w:style>
  <w:style w:type="paragraph" w:styleId="ListNumber4">
    <w:name w:val="List Number 4"/>
    <w:basedOn w:val="Normal"/>
    <w:uiPriority w:val="99"/>
    <w:unhideWhenUsed/>
    <w:rsid w:val="005F7C9B"/>
    <w:pPr>
      <w:numPr>
        <w:numId w:val="14"/>
      </w:numPr>
      <w:contextualSpacing/>
    </w:pPr>
  </w:style>
  <w:style w:type="paragraph" w:styleId="ListNumber5">
    <w:name w:val="List Number 5"/>
    <w:basedOn w:val="Normal"/>
    <w:uiPriority w:val="99"/>
    <w:rsid w:val="006E3B4B"/>
    <w:pPr>
      <w:contextualSpacing/>
    </w:pPr>
  </w:style>
  <w:style w:type="paragraph" w:styleId="BodyText">
    <w:name w:val="Body Text"/>
    <w:aliases w:val="bt,Body"/>
    <w:basedOn w:val="Normal"/>
    <w:link w:val="BodyTextChar"/>
    <w:autoRedefine/>
    <w:uiPriority w:val="99"/>
    <w:qFormat/>
    <w:rsid w:val="005F7C9B"/>
    <w:rPr>
      <w:rFonts w:ascii="Calibri" w:hAnsi="Calibri"/>
      <w:lang w:bidi="en-US"/>
    </w:rPr>
  </w:style>
  <w:style w:type="character" w:customStyle="1" w:styleId="BodyTextChar">
    <w:name w:val="Body Text Char"/>
    <w:aliases w:val="bt Char,Body Char"/>
    <w:basedOn w:val="DefaultParagraphFont"/>
    <w:link w:val="BodyText"/>
    <w:uiPriority w:val="99"/>
    <w:rsid w:val="006E3B4B"/>
    <w:rPr>
      <w:rFonts w:eastAsiaTheme="minorHAnsi"/>
      <w:lang w:val="en-AU"/>
    </w:rPr>
  </w:style>
  <w:style w:type="character" w:styleId="PageNumber">
    <w:name w:val="page number"/>
    <w:basedOn w:val="DefaultParagraphFont"/>
    <w:uiPriority w:val="99"/>
    <w:rsid w:val="005F7C9B"/>
    <w:rPr>
      <w:rFonts w:ascii="Calibri" w:hAnsi="Calibri"/>
      <w:sz w:val="16"/>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qFormat/>
    <w:rsid w:val="005F7C9B"/>
    <w:pPr>
      <w:spacing w:line="180" w:lineRule="atLeast"/>
    </w:pPr>
    <w:rPr>
      <w:rFonts w:ascii="Calibri" w:hAnsi="Calibri"/>
      <w:color w:val="000000" w:themeColor="accent1"/>
      <w:sz w:val="16"/>
      <w:szCs w:val="20"/>
      <w:lang w:bidi="en-US"/>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C925B6"/>
    <w:rPr>
      <w:rFonts w:eastAsiaTheme="minorHAnsi"/>
      <w:color w:val="000000" w:themeColor="accent1"/>
      <w:sz w:val="16"/>
      <w:szCs w:val="20"/>
      <w:lang w:val="en-AU"/>
    </w:rPr>
  </w:style>
  <w:style w:type="paragraph" w:styleId="HTMLAddress">
    <w:name w:val="HTML Address"/>
    <w:basedOn w:val="Normal"/>
    <w:link w:val="HTMLAddressChar"/>
    <w:autoRedefine/>
    <w:uiPriority w:val="99"/>
    <w:rsid w:val="005F7C9B"/>
    <w:rPr>
      <w:rFonts w:ascii="Calibri" w:hAnsi="Calibri"/>
      <w:iCs/>
      <w:color w:val="FA820F" w:themeColor="text2"/>
      <w:u w:val="single"/>
      <w:lang w:bidi="en-US"/>
    </w:rPr>
  </w:style>
  <w:style w:type="character" w:customStyle="1" w:styleId="HTMLAddressChar">
    <w:name w:val="HTML Address Char"/>
    <w:basedOn w:val="DefaultParagraphFont"/>
    <w:link w:val="HTMLAddress"/>
    <w:uiPriority w:val="99"/>
    <w:rsid w:val="006E3B4B"/>
    <w:rPr>
      <w:rFonts w:eastAsiaTheme="minorHAnsi"/>
      <w:iCs/>
      <w:color w:val="FA820F" w:themeColor="text2"/>
      <w:u w:val="single"/>
      <w:lang w:val="en-AU"/>
    </w:rPr>
  </w:style>
  <w:style w:type="character" w:styleId="FollowedHyperlink">
    <w:name w:val="FollowedHyperlink"/>
    <w:basedOn w:val="DefaultParagraphFont"/>
    <w:uiPriority w:val="99"/>
    <w:rsid w:val="005F7C9B"/>
    <w:rPr>
      <w:rFonts w:ascii="Calibri" w:hAnsi="Calibri"/>
      <w:color w:val="ED1C24" w:themeColor="followedHyperlink"/>
      <w:sz w:val="22"/>
      <w:u w:val="single"/>
    </w:rPr>
  </w:style>
  <w:style w:type="character" w:styleId="Hyperlink">
    <w:name w:val="Hyperlink"/>
    <w:basedOn w:val="DefaultParagraphFont"/>
    <w:uiPriority w:val="99"/>
    <w:rsid w:val="005F7C9B"/>
    <w:rPr>
      <w:rFonts w:ascii="Calibri" w:hAnsi="Calibri"/>
      <w:color w:val="FA820F" w:themeColor="hyperlink"/>
      <w:sz w:val="22"/>
      <w:u w:val="single"/>
    </w:rPr>
  </w:style>
  <w:style w:type="character" w:styleId="PlaceholderText">
    <w:name w:val="Placeholder Text"/>
    <w:basedOn w:val="DefaultParagraphFont"/>
    <w:uiPriority w:val="99"/>
    <w:rsid w:val="005F7C9B"/>
    <w:rPr>
      <w:color w:val="808080"/>
    </w:rPr>
  </w:style>
  <w:style w:type="paragraph" w:customStyle="1" w:styleId="Subtitle-Image">
    <w:name w:val="Subtitle - Image"/>
    <w:basedOn w:val="Subtitle"/>
    <w:uiPriority w:val="6"/>
    <w:rsid w:val="004B2261"/>
  </w:style>
  <w:style w:type="paragraph" w:styleId="BalloonText">
    <w:name w:val="Balloon Text"/>
    <w:basedOn w:val="Normal"/>
    <w:link w:val="BalloonTextChar"/>
    <w:uiPriority w:val="99"/>
    <w:unhideWhenUsed/>
    <w:rsid w:val="005F7C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E3B4B"/>
    <w:rPr>
      <w:rFonts w:ascii="Tahoma" w:eastAsiaTheme="minorHAnsi" w:hAnsi="Tahoma" w:cs="Tahoma"/>
      <w:sz w:val="16"/>
      <w:szCs w:val="16"/>
      <w:lang w:val="en-AU" w:bidi="ar-SA"/>
    </w:rPr>
  </w:style>
  <w:style w:type="numbering" w:customStyle="1" w:styleId="KeyHeadingNumbered">
    <w:name w:val="Key Heading (Numbered)"/>
    <w:uiPriority w:val="99"/>
    <w:rsid w:val="006E3B4B"/>
    <w:pPr>
      <w:numPr>
        <w:numId w:val="2"/>
      </w:numPr>
    </w:pPr>
  </w:style>
  <w:style w:type="numbering" w:customStyle="1" w:styleId="KeyHeadingAlpha-Numeric">
    <w:name w:val="Key Heading (Alpha-Numeric)"/>
    <w:uiPriority w:val="99"/>
    <w:rsid w:val="006E3B4B"/>
    <w:pPr>
      <w:numPr>
        <w:numId w:val="3"/>
      </w:numPr>
    </w:pPr>
  </w:style>
  <w:style w:type="paragraph" w:customStyle="1" w:styleId="NumberedHeading">
    <w:name w:val="Numbered Heading"/>
    <w:basedOn w:val="ListNumber"/>
    <w:uiPriority w:val="4"/>
    <w:qFormat/>
    <w:rsid w:val="005F7C9B"/>
    <w:pPr>
      <w:numPr>
        <w:numId w:val="15"/>
      </w:numPr>
      <w:spacing w:line="320" w:lineRule="atLeast"/>
      <w:contextualSpacing w:val="0"/>
      <w:outlineLvl w:val="0"/>
    </w:pPr>
    <w:rPr>
      <w:rFonts w:ascii="Calibri" w:hAnsi="Calibri"/>
      <w:b/>
      <w:color w:val="FA820F" w:themeColor="text2"/>
      <w:sz w:val="32"/>
      <w:lang w:bidi="en-US"/>
    </w:rPr>
  </w:style>
  <w:style w:type="paragraph" w:customStyle="1" w:styleId="NumberedSubheading1">
    <w:name w:val="Numbered Subheading 1"/>
    <w:basedOn w:val="ListNumber2"/>
    <w:uiPriority w:val="4"/>
    <w:rsid w:val="005F7C9B"/>
    <w:pPr>
      <w:numPr>
        <w:ilvl w:val="1"/>
        <w:numId w:val="15"/>
      </w:numPr>
      <w:spacing w:line="300" w:lineRule="atLeast"/>
      <w:outlineLvl w:val="1"/>
    </w:pPr>
    <w:rPr>
      <w:rFonts w:ascii="Calibri" w:hAnsi="Calibri"/>
      <w:b/>
      <w:color w:val="000000" w:themeColor="accent1"/>
      <w:sz w:val="28"/>
      <w:lang w:bidi="en-US"/>
    </w:rPr>
  </w:style>
  <w:style w:type="paragraph" w:customStyle="1" w:styleId="NumberedSubheading2">
    <w:name w:val="Numbered Subheading 2"/>
    <w:basedOn w:val="ListNumber3"/>
    <w:uiPriority w:val="4"/>
    <w:rsid w:val="005F7C9B"/>
    <w:pPr>
      <w:numPr>
        <w:ilvl w:val="2"/>
        <w:numId w:val="15"/>
      </w:numPr>
      <w:outlineLvl w:val="2"/>
    </w:pPr>
    <w:rPr>
      <w:rFonts w:ascii="Calibri" w:hAnsi="Calibri"/>
      <w:b/>
      <w:color w:val="000000" w:themeColor="accent1"/>
      <w:sz w:val="24"/>
      <w:lang w:bidi="en-US"/>
    </w:rPr>
  </w:style>
  <w:style w:type="paragraph" w:customStyle="1" w:styleId="NumberedSubheading3">
    <w:name w:val="Numbered Subheading 3"/>
    <w:basedOn w:val="ListNumber4"/>
    <w:uiPriority w:val="4"/>
    <w:rsid w:val="005F7C9B"/>
    <w:pPr>
      <w:numPr>
        <w:ilvl w:val="3"/>
        <w:numId w:val="15"/>
      </w:numPr>
      <w:outlineLvl w:val="3"/>
    </w:pPr>
    <w:rPr>
      <w:rFonts w:ascii="Calibri" w:hAnsi="Calibri"/>
      <w:b/>
      <w:i/>
      <w:color w:val="000000" w:themeColor="accent1"/>
      <w:lang w:bidi="en-US"/>
    </w:rPr>
  </w:style>
  <w:style w:type="paragraph" w:customStyle="1" w:styleId="Alpha-NumericHeading">
    <w:name w:val="Alpha-Numeric Heading"/>
    <w:basedOn w:val="ListContinue"/>
    <w:uiPriority w:val="3"/>
    <w:qFormat/>
    <w:rsid w:val="005F7C9B"/>
    <w:pPr>
      <w:numPr>
        <w:numId w:val="4"/>
      </w:numPr>
      <w:spacing w:after="0" w:line="320" w:lineRule="atLeast"/>
      <w:outlineLvl w:val="0"/>
    </w:pPr>
    <w:rPr>
      <w:rFonts w:ascii="Calibri" w:hAnsi="Calibri"/>
      <w:b/>
      <w:color w:val="FA820F" w:themeColor="text2"/>
      <w:sz w:val="32"/>
      <w:lang w:bidi="en-US"/>
    </w:rPr>
  </w:style>
  <w:style w:type="paragraph" w:customStyle="1" w:styleId="Alpha-numericSub1">
    <w:name w:val="Alpha-numeric Sub 1"/>
    <w:basedOn w:val="ListContinue2"/>
    <w:uiPriority w:val="3"/>
    <w:rsid w:val="005F7C9B"/>
    <w:pPr>
      <w:numPr>
        <w:ilvl w:val="1"/>
        <w:numId w:val="4"/>
      </w:numPr>
      <w:spacing w:after="0" w:line="300" w:lineRule="atLeast"/>
      <w:outlineLvl w:val="1"/>
    </w:pPr>
    <w:rPr>
      <w:rFonts w:ascii="Calibri" w:hAnsi="Calibri"/>
      <w:b/>
      <w:color w:val="000000" w:themeColor="accent1"/>
      <w:sz w:val="28"/>
      <w:lang w:bidi="en-US"/>
    </w:rPr>
  </w:style>
  <w:style w:type="paragraph" w:customStyle="1" w:styleId="Alpha-numericSub2">
    <w:name w:val="Alpha-numeric Sub 2"/>
    <w:basedOn w:val="ListContinue3"/>
    <w:uiPriority w:val="3"/>
    <w:rsid w:val="005F7C9B"/>
    <w:pPr>
      <w:numPr>
        <w:ilvl w:val="2"/>
        <w:numId w:val="4"/>
      </w:numPr>
      <w:spacing w:after="0"/>
      <w:outlineLvl w:val="2"/>
    </w:pPr>
    <w:rPr>
      <w:rFonts w:ascii="Calibri" w:hAnsi="Calibri"/>
      <w:b/>
      <w:color w:val="000000" w:themeColor="accent1"/>
      <w:sz w:val="24"/>
      <w:lang w:bidi="en-US"/>
    </w:rPr>
  </w:style>
  <w:style w:type="paragraph" w:customStyle="1" w:styleId="Alpha-numericSub3">
    <w:name w:val="Alpha-numeric Sub 3"/>
    <w:basedOn w:val="ListContinue4"/>
    <w:uiPriority w:val="3"/>
    <w:rsid w:val="005F7C9B"/>
    <w:pPr>
      <w:numPr>
        <w:ilvl w:val="3"/>
        <w:numId w:val="4"/>
      </w:numPr>
      <w:spacing w:after="0"/>
      <w:outlineLvl w:val="3"/>
    </w:pPr>
    <w:rPr>
      <w:rFonts w:ascii="Calibri" w:hAnsi="Calibri"/>
      <w:b/>
      <w:i/>
      <w:color w:val="000000" w:themeColor="accent1"/>
      <w:lang w:bidi="en-US"/>
    </w:rPr>
  </w:style>
  <w:style w:type="numbering" w:customStyle="1" w:styleId="BulletNumberedLists">
    <w:name w:val="Bullet &amp; Numbered Lists"/>
    <w:uiPriority w:val="99"/>
    <w:rsid w:val="005F7C9B"/>
    <w:pPr>
      <w:numPr>
        <w:numId w:val="5"/>
      </w:numPr>
    </w:pPr>
  </w:style>
  <w:style w:type="paragraph" w:styleId="ListContinue">
    <w:name w:val="List Continue"/>
    <w:basedOn w:val="Normal"/>
    <w:uiPriority w:val="99"/>
    <w:unhideWhenUsed/>
    <w:rsid w:val="005F7C9B"/>
    <w:pPr>
      <w:spacing w:after="120"/>
      <w:ind w:left="283"/>
      <w:contextualSpacing/>
    </w:pPr>
  </w:style>
  <w:style w:type="paragraph" w:styleId="ListContinue2">
    <w:name w:val="List Continue 2"/>
    <w:basedOn w:val="Normal"/>
    <w:uiPriority w:val="99"/>
    <w:unhideWhenUsed/>
    <w:rsid w:val="005F7C9B"/>
    <w:pPr>
      <w:spacing w:after="120"/>
      <w:ind w:left="566"/>
      <w:contextualSpacing/>
    </w:pPr>
  </w:style>
  <w:style w:type="paragraph" w:styleId="ListContinue3">
    <w:name w:val="List Continue 3"/>
    <w:basedOn w:val="Normal"/>
    <w:uiPriority w:val="99"/>
    <w:unhideWhenUsed/>
    <w:rsid w:val="005F7C9B"/>
    <w:pPr>
      <w:spacing w:after="120"/>
      <w:ind w:left="849"/>
      <w:contextualSpacing/>
    </w:pPr>
  </w:style>
  <w:style w:type="paragraph" w:styleId="ListContinue4">
    <w:name w:val="List Continue 4"/>
    <w:basedOn w:val="Normal"/>
    <w:uiPriority w:val="99"/>
    <w:unhideWhenUsed/>
    <w:rsid w:val="005F7C9B"/>
    <w:pPr>
      <w:spacing w:after="120"/>
      <w:ind w:left="1132"/>
      <w:contextualSpacing/>
    </w:pPr>
  </w:style>
  <w:style w:type="table" w:styleId="TableGrid">
    <w:name w:val="Table Grid"/>
    <w:basedOn w:val="TableNormal"/>
    <w:uiPriority w:val="59"/>
    <w:rsid w:val="005F7C9B"/>
    <w:pPr>
      <w:spacing w:line="240" w:lineRule="auto"/>
    </w:pPr>
    <w:rPr>
      <w:rFonts w:eastAsiaTheme="minorHAns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Bullet"/>
    <w:uiPriority w:val="5"/>
    <w:qFormat/>
    <w:rsid w:val="005F7C9B"/>
    <w:pPr>
      <w:numPr>
        <w:numId w:val="10"/>
      </w:numPr>
    </w:pPr>
    <w:rPr>
      <w:color w:val="000000" w:themeColor="accent1"/>
      <w:lang w:bidi="en-US"/>
    </w:rPr>
  </w:style>
  <w:style w:type="paragraph" w:styleId="ListBullet">
    <w:name w:val="List Bullet"/>
    <w:basedOn w:val="Normal"/>
    <w:uiPriority w:val="99"/>
    <w:unhideWhenUsed/>
    <w:rsid w:val="005F7C9B"/>
    <w:pPr>
      <w:numPr>
        <w:numId w:val="7"/>
      </w:numPr>
      <w:contextualSpacing/>
    </w:pPr>
  </w:style>
  <w:style w:type="paragraph" w:customStyle="1" w:styleId="Bullet2">
    <w:name w:val="Bullet 2"/>
    <w:basedOn w:val="ListBullet2"/>
    <w:uiPriority w:val="6"/>
    <w:rsid w:val="00663C27"/>
  </w:style>
  <w:style w:type="paragraph" w:customStyle="1" w:styleId="Bullet3">
    <w:name w:val="Bullet 3"/>
    <w:basedOn w:val="ListBullet3"/>
    <w:uiPriority w:val="6"/>
    <w:rsid w:val="00663C27"/>
  </w:style>
  <w:style w:type="paragraph" w:styleId="ListBullet3">
    <w:name w:val="List Bullet 3"/>
    <w:basedOn w:val="Normal"/>
    <w:uiPriority w:val="99"/>
    <w:unhideWhenUsed/>
    <w:rsid w:val="005F7C9B"/>
    <w:pPr>
      <w:numPr>
        <w:numId w:val="9"/>
      </w:numPr>
      <w:contextualSpacing/>
    </w:pPr>
  </w:style>
  <w:style w:type="paragraph" w:styleId="ListBullet2">
    <w:name w:val="List Bullet 2"/>
    <w:basedOn w:val="Normal"/>
    <w:uiPriority w:val="99"/>
    <w:unhideWhenUsed/>
    <w:rsid w:val="005F7C9B"/>
    <w:pPr>
      <w:numPr>
        <w:numId w:val="8"/>
      </w:numPr>
      <w:contextualSpacing/>
    </w:pPr>
  </w:style>
  <w:style w:type="table" w:styleId="LightShading-Accent3">
    <w:name w:val="Light Shading Accent 3"/>
    <w:basedOn w:val="TableNormal"/>
    <w:uiPriority w:val="60"/>
    <w:rsid w:val="005A7499"/>
    <w:pPr>
      <w:spacing w:line="240" w:lineRule="auto"/>
    </w:pPr>
    <w:rPr>
      <w:color w:val="F67C28" w:themeColor="accent3" w:themeShade="BF"/>
    </w:rPr>
    <w:tblPr>
      <w:tblStyleRowBandSize w:val="1"/>
      <w:tblStyleColBandSize w:val="1"/>
      <w:tblBorders>
        <w:top w:val="single" w:sz="8" w:space="0" w:color="FAB585" w:themeColor="accent3"/>
        <w:bottom w:val="single" w:sz="8" w:space="0" w:color="FAB585" w:themeColor="accent3"/>
      </w:tblBorders>
    </w:tblPr>
    <w:tblStylePr w:type="firstRow">
      <w:pPr>
        <w:spacing w:before="0" w:after="0" w:line="240" w:lineRule="auto"/>
      </w:pPr>
      <w:rPr>
        <w:b/>
        <w:bCs/>
      </w:rPr>
      <w:tblPr/>
      <w:tcPr>
        <w:tcBorders>
          <w:top w:val="single" w:sz="8" w:space="0" w:color="FAB585" w:themeColor="accent3"/>
          <w:left w:val="nil"/>
          <w:bottom w:val="single" w:sz="8" w:space="0" w:color="FAB585" w:themeColor="accent3"/>
          <w:right w:val="nil"/>
          <w:insideH w:val="nil"/>
          <w:insideV w:val="nil"/>
        </w:tcBorders>
      </w:tcPr>
    </w:tblStylePr>
    <w:tblStylePr w:type="lastRow">
      <w:pPr>
        <w:spacing w:before="0" w:after="0" w:line="240" w:lineRule="auto"/>
      </w:pPr>
      <w:rPr>
        <w:b/>
        <w:bCs/>
      </w:rPr>
      <w:tblPr/>
      <w:tcPr>
        <w:tcBorders>
          <w:top w:val="single" w:sz="8" w:space="0" w:color="FAB585" w:themeColor="accent3"/>
          <w:left w:val="nil"/>
          <w:bottom w:val="single" w:sz="8" w:space="0" w:color="FAB58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E0" w:themeFill="accent3" w:themeFillTint="3F"/>
      </w:tcPr>
    </w:tblStylePr>
    <w:tblStylePr w:type="band1Horz">
      <w:tblPr/>
      <w:tcPr>
        <w:tcBorders>
          <w:left w:val="nil"/>
          <w:right w:val="nil"/>
          <w:insideH w:val="nil"/>
          <w:insideV w:val="nil"/>
        </w:tcBorders>
        <w:shd w:val="clear" w:color="auto" w:fill="FDECE0" w:themeFill="accent3" w:themeFillTint="3F"/>
      </w:tcPr>
    </w:tblStylePr>
  </w:style>
  <w:style w:type="table" w:styleId="LightShading-Accent2">
    <w:name w:val="Light Shading Accent 2"/>
    <w:basedOn w:val="TableNormal"/>
    <w:uiPriority w:val="60"/>
    <w:rsid w:val="005A7499"/>
    <w:pPr>
      <w:spacing w:line="240" w:lineRule="auto"/>
    </w:pPr>
    <w:rPr>
      <w:color w:val="6D6F72" w:themeColor="accent2" w:themeShade="BF"/>
    </w:rPr>
    <w:tblPr>
      <w:tblStyleRowBandSize w:val="1"/>
      <w:tblStyleColBandSize w:val="1"/>
      <w:tblBorders>
        <w:top w:val="single" w:sz="8" w:space="0" w:color="939598" w:themeColor="accent2"/>
        <w:bottom w:val="single" w:sz="8" w:space="0" w:color="939598" w:themeColor="accent2"/>
      </w:tblBorders>
    </w:tblPr>
    <w:tblStylePr w:type="fir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la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left w:val="nil"/>
          <w:right w:val="nil"/>
          <w:insideH w:val="nil"/>
          <w:insideV w:val="nil"/>
        </w:tcBorders>
        <w:shd w:val="clear" w:color="auto" w:fill="E4E4E5" w:themeFill="accent2" w:themeFillTint="3F"/>
      </w:tcPr>
    </w:tblStylePr>
  </w:style>
  <w:style w:type="table" w:customStyle="1" w:styleId="LightShading-Accent11">
    <w:name w:val="Light Shading - Accent 11"/>
    <w:basedOn w:val="TableNormal"/>
    <w:uiPriority w:val="60"/>
    <w:rsid w:val="005A7499"/>
    <w:pPr>
      <w:spacing w:line="240" w:lineRule="auto"/>
    </w:p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customStyle="1" w:styleId="LightShading1">
    <w:name w:val="Light Shading1"/>
    <w:basedOn w:val="TableNormal"/>
    <w:uiPriority w:val="60"/>
    <w:rsid w:val="005A7499"/>
    <w:pPr>
      <w:spacing w:line="240" w:lineRule="auto"/>
    </w:pPr>
    <w:rPr>
      <w:color w:val="3D3D3D" w:themeColor="text1" w:themeShade="BF"/>
    </w:rPr>
    <w:tblPr>
      <w:tblStyleRowBandSize w:val="1"/>
      <w:tblStyleColBandSize w:val="1"/>
      <w:tblBorders>
        <w:top w:val="single" w:sz="8" w:space="0" w:color="525252" w:themeColor="text1"/>
        <w:bottom w:val="single" w:sz="8" w:space="0" w:color="525252" w:themeColor="text1"/>
      </w:tblBorders>
    </w:tblPr>
    <w:tblStylePr w:type="firstRow">
      <w:pPr>
        <w:spacing w:before="0" w:after="0" w:line="240" w:lineRule="auto"/>
      </w:pPr>
      <w:rPr>
        <w:b/>
        <w:bCs/>
      </w:rPr>
      <w:tblPr/>
      <w:tcPr>
        <w:tcBorders>
          <w:top w:val="single" w:sz="8" w:space="0" w:color="525252" w:themeColor="text1"/>
          <w:left w:val="nil"/>
          <w:bottom w:val="single" w:sz="8" w:space="0" w:color="525252" w:themeColor="text1"/>
          <w:right w:val="nil"/>
          <w:insideH w:val="nil"/>
          <w:insideV w:val="nil"/>
        </w:tcBorders>
      </w:tcPr>
    </w:tblStylePr>
    <w:tblStylePr w:type="lastRow">
      <w:pPr>
        <w:spacing w:before="0" w:after="0" w:line="240" w:lineRule="auto"/>
      </w:pPr>
      <w:rPr>
        <w:b/>
        <w:bCs/>
      </w:rPr>
      <w:tblPr/>
      <w:tcPr>
        <w:tcBorders>
          <w:top w:val="single" w:sz="8" w:space="0" w:color="525252" w:themeColor="text1"/>
          <w:left w:val="nil"/>
          <w:bottom w:val="single" w:sz="8" w:space="0" w:color="52525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4D4" w:themeFill="text1" w:themeFillTint="3F"/>
      </w:tcPr>
    </w:tblStylePr>
    <w:tblStylePr w:type="band1Horz">
      <w:tblPr/>
      <w:tcPr>
        <w:tcBorders>
          <w:left w:val="nil"/>
          <w:right w:val="nil"/>
          <w:insideH w:val="nil"/>
          <w:insideV w:val="nil"/>
        </w:tcBorders>
        <w:shd w:val="clear" w:color="auto" w:fill="D4D4D4" w:themeFill="text1" w:themeFillTint="3F"/>
      </w:tcPr>
    </w:tblStylePr>
  </w:style>
  <w:style w:type="table" w:styleId="DarkList-Accent4">
    <w:name w:val="Dark List Accent 4"/>
    <w:basedOn w:val="TableNormal"/>
    <w:uiPriority w:val="70"/>
    <w:rsid w:val="002B076E"/>
    <w:pPr>
      <w:spacing w:line="240" w:lineRule="auto"/>
    </w:pPr>
    <w:rPr>
      <w:color w:val="D8D9DA" w:themeColor="background1"/>
    </w:rPr>
    <w:tblPr>
      <w:tblStyleRowBandSize w:val="1"/>
      <w:tblStyleColBandSize w:val="1"/>
    </w:tblPr>
    <w:tcPr>
      <w:shd w:val="clear" w:color="auto" w:fill="E9E9E9" w:themeFill="accent4"/>
    </w:tcPr>
    <w:tblStylePr w:type="firstRow">
      <w:rPr>
        <w:b/>
        <w:bCs/>
      </w:rPr>
      <w:tblPr/>
      <w:tcPr>
        <w:tcBorders>
          <w:top w:val="nil"/>
          <w:left w:val="nil"/>
          <w:bottom w:val="single" w:sz="18" w:space="0" w:color="D8D9DA" w:themeColor="background1"/>
          <w:right w:val="nil"/>
          <w:insideH w:val="nil"/>
          <w:insideV w:val="nil"/>
        </w:tcBorders>
        <w:shd w:val="clear" w:color="auto" w:fill="525252" w:themeFill="text1"/>
      </w:tcPr>
    </w:tblStylePr>
    <w:tblStylePr w:type="lastRow">
      <w:tblPr/>
      <w:tcPr>
        <w:tcBorders>
          <w:top w:val="single" w:sz="18" w:space="0" w:color="D8D9DA" w:themeColor="background1"/>
          <w:left w:val="nil"/>
          <w:bottom w:val="nil"/>
          <w:right w:val="nil"/>
          <w:insideH w:val="nil"/>
          <w:insideV w:val="nil"/>
        </w:tcBorders>
        <w:shd w:val="clear" w:color="auto" w:fill="747474" w:themeFill="accent4" w:themeFillShade="7F"/>
      </w:tcPr>
    </w:tblStylePr>
    <w:tblStylePr w:type="firstCol">
      <w:tblPr/>
      <w:tcPr>
        <w:tcBorders>
          <w:top w:val="nil"/>
          <w:left w:val="nil"/>
          <w:bottom w:val="nil"/>
          <w:right w:val="single" w:sz="18" w:space="0" w:color="D8D9DA" w:themeColor="background1"/>
          <w:insideH w:val="nil"/>
          <w:insideV w:val="nil"/>
        </w:tcBorders>
        <w:shd w:val="clear" w:color="auto" w:fill="AEAEAE" w:themeFill="accent4" w:themeFillShade="BF"/>
      </w:tcPr>
    </w:tblStylePr>
    <w:tblStylePr w:type="lastCol">
      <w:tblPr/>
      <w:tcPr>
        <w:tcBorders>
          <w:top w:val="nil"/>
          <w:left w:val="single" w:sz="18" w:space="0" w:color="D8D9DA" w:themeColor="background1"/>
          <w:bottom w:val="nil"/>
          <w:right w:val="nil"/>
          <w:insideH w:val="nil"/>
          <w:insideV w:val="nil"/>
        </w:tcBorders>
        <w:shd w:val="clear" w:color="auto" w:fill="AEAEAE" w:themeFill="accent4" w:themeFillShade="BF"/>
      </w:tcPr>
    </w:tblStylePr>
    <w:tblStylePr w:type="band1Vert">
      <w:tblPr/>
      <w:tcPr>
        <w:tcBorders>
          <w:top w:val="nil"/>
          <w:left w:val="nil"/>
          <w:bottom w:val="nil"/>
          <w:right w:val="nil"/>
          <w:insideH w:val="nil"/>
          <w:insideV w:val="nil"/>
        </w:tcBorders>
        <w:shd w:val="clear" w:color="auto" w:fill="AEAEAE" w:themeFill="accent4" w:themeFillShade="BF"/>
      </w:tcPr>
    </w:tblStylePr>
    <w:tblStylePr w:type="band1Horz">
      <w:tblPr/>
      <w:tcPr>
        <w:tcBorders>
          <w:top w:val="nil"/>
          <w:left w:val="nil"/>
          <w:bottom w:val="nil"/>
          <w:right w:val="nil"/>
          <w:insideH w:val="nil"/>
          <w:insideV w:val="nil"/>
        </w:tcBorders>
        <w:shd w:val="clear" w:color="auto" w:fill="AEAEAE" w:themeFill="accent4" w:themeFillShade="BF"/>
      </w:tcPr>
    </w:tblStylePr>
  </w:style>
  <w:style w:type="paragraph" w:customStyle="1" w:styleId="Classification">
    <w:name w:val="Classification"/>
    <w:basedOn w:val="BodyText"/>
    <w:autoRedefine/>
    <w:uiPriority w:val="2"/>
    <w:rsid w:val="005F7C9B"/>
    <w:pPr>
      <w:spacing w:line="200" w:lineRule="atLeast"/>
    </w:pPr>
    <w:rPr>
      <w:color w:val="FA820F" w:themeColor="text2"/>
      <w:sz w:val="16"/>
    </w:rPr>
  </w:style>
  <w:style w:type="table" w:customStyle="1" w:styleId="LightList1">
    <w:name w:val="Light List1"/>
    <w:basedOn w:val="TableNormal"/>
    <w:uiPriority w:val="61"/>
    <w:rsid w:val="00F1661B"/>
    <w:pPr>
      <w:spacing w:line="240" w:lineRule="auto"/>
    </w:pPr>
    <w:tblPr>
      <w:tblStyleRowBandSize w:val="1"/>
      <w:tblStyleColBandSize w:val="1"/>
      <w:tblBorders>
        <w:top w:val="single" w:sz="8" w:space="0" w:color="525252" w:themeColor="text1"/>
        <w:left w:val="single" w:sz="8" w:space="0" w:color="525252" w:themeColor="text1"/>
        <w:bottom w:val="single" w:sz="8" w:space="0" w:color="525252" w:themeColor="text1"/>
        <w:right w:val="single" w:sz="8" w:space="0" w:color="525252" w:themeColor="text1"/>
      </w:tblBorders>
    </w:tblPr>
    <w:tblStylePr w:type="firstRow">
      <w:pPr>
        <w:spacing w:before="0" w:after="0" w:line="240" w:lineRule="auto"/>
      </w:pPr>
      <w:rPr>
        <w:b/>
        <w:bCs/>
        <w:color w:val="D8D9DA" w:themeColor="background1"/>
      </w:rPr>
      <w:tblPr/>
      <w:tcPr>
        <w:shd w:val="clear" w:color="auto" w:fill="525252" w:themeFill="text1"/>
      </w:tcPr>
    </w:tblStylePr>
    <w:tblStylePr w:type="lastRow">
      <w:pPr>
        <w:spacing w:before="0" w:after="0" w:line="240" w:lineRule="auto"/>
      </w:pPr>
      <w:rPr>
        <w:b/>
        <w:bCs/>
      </w:rPr>
      <w:tblPr/>
      <w:tcPr>
        <w:tcBorders>
          <w:top w:val="double" w:sz="6" w:space="0" w:color="525252" w:themeColor="text1"/>
          <w:left w:val="single" w:sz="8" w:space="0" w:color="525252" w:themeColor="text1"/>
          <w:bottom w:val="single" w:sz="8" w:space="0" w:color="525252" w:themeColor="text1"/>
          <w:right w:val="single" w:sz="8" w:space="0" w:color="525252" w:themeColor="text1"/>
        </w:tcBorders>
      </w:tcPr>
    </w:tblStylePr>
    <w:tblStylePr w:type="firstCol">
      <w:rPr>
        <w:b/>
        <w:bCs/>
      </w:rPr>
    </w:tblStylePr>
    <w:tblStylePr w:type="lastCol">
      <w:rPr>
        <w:b/>
        <w:bCs/>
      </w:rPr>
    </w:tblStylePr>
    <w:tblStylePr w:type="band1Vert">
      <w:tblPr/>
      <w:tcPr>
        <w:tcBorders>
          <w:top w:val="single" w:sz="8" w:space="0" w:color="525252" w:themeColor="text1"/>
          <w:left w:val="single" w:sz="8" w:space="0" w:color="525252" w:themeColor="text1"/>
          <w:bottom w:val="single" w:sz="8" w:space="0" w:color="525252" w:themeColor="text1"/>
          <w:right w:val="single" w:sz="8" w:space="0" w:color="525252" w:themeColor="text1"/>
        </w:tcBorders>
      </w:tcPr>
    </w:tblStylePr>
    <w:tblStylePr w:type="band1Horz">
      <w:tblPr/>
      <w:tcPr>
        <w:tcBorders>
          <w:top w:val="single" w:sz="8" w:space="0" w:color="525252" w:themeColor="text1"/>
          <w:left w:val="single" w:sz="8" w:space="0" w:color="525252" w:themeColor="text1"/>
          <w:bottom w:val="single" w:sz="8" w:space="0" w:color="525252" w:themeColor="text1"/>
          <w:right w:val="single" w:sz="8" w:space="0" w:color="525252" w:themeColor="text1"/>
        </w:tcBorders>
      </w:tcPr>
    </w:tblStylePr>
  </w:style>
  <w:style w:type="paragraph" w:customStyle="1" w:styleId="DocumentDetails">
    <w:name w:val="Document Details"/>
    <w:basedOn w:val="BodyText"/>
    <w:uiPriority w:val="2"/>
    <w:rsid w:val="005F7C9B"/>
    <w:rPr>
      <w:sz w:val="14"/>
    </w:rPr>
  </w:style>
  <w:style w:type="paragraph" w:styleId="TOC1">
    <w:name w:val="toc 1"/>
    <w:basedOn w:val="Normal"/>
    <w:next w:val="Normal"/>
    <w:autoRedefine/>
    <w:uiPriority w:val="39"/>
    <w:rsid w:val="005F7C9B"/>
    <w:pPr>
      <w:spacing w:after="100"/>
    </w:pPr>
  </w:style>
  <w:style w:type="paragraph" w:styleId="TOC2">
    <w:name w:val="toc 2"/>
    <w:basedOn w:val="Normal"/>
    <w:next w:val="Normal"/>
    <w:autoRedefine/>
    <w:uiPriority w:val="39"/>
    <w:rsid w:val="005F7C9B"/>
    <w:pPr>
      <w:spacing w:after="100"/>
      <w:ind w:left="220"/>
    </w:pPr>
  </w:style>
  <w:style w:type="paragraph" w:styleId="TOC3">
    <w:name w:val="toc 3"/>
    <w:basedOn w:val="Normal"/>
    <w:next w:val="Normal"/>
    <w:autoRedefine/>
    <w:uiPriority w:val="39"/>
    <w:rsid w:val="005F7C9B"/>
    <w:pPr>
      <w:spacing w:after="100"/>
      <w:ind w:left="440"/>
    </w:pPr>
  </w:style>
  <w:style w:type="paragraph" w:customStyle="1" w:styleId="Tabletitles">
    <w:name w:val="Table titles"/>
    <w:basedOn w:val="Normal"/>
    <w:uiPriority w:val="6"/>
    <w:rsid w:val="005F7C9B"/>
    <w:rPr>
      <w:rFonts w:asciiTheme="majorHAnsi" w:hAnsiTheme="majorHAnsi"/>
      <w:b/>
      <w:lang w:bidi="en-US"/>
    </w:rPr>
  </w:style>
  <w:style w:type="numbering" w:customStyle="1" w:styleId="BulletList">
    <w:name w:val="Bullet List"/>
    <w:basedOn w:val="NoList"/>
    <w:uiPriority w:val="99"/>
    <w:rsid w:val="005F7C9B"/>
    <w:pPr>
      <w:numPr>
        <w:numId w:val="6"/>
      </w:numPr>
    </w:pPr>
  </w:style>
  <w:style w:type="table" w:customStyle="1" w:styleId="LightShading2">
    <w:name w:val="Light Shading2"/>
    <w:basedOn w:val="TableNormal"/>
    <w:uiPriority w:val="60"/>
    <w:rsid w:val="005F7C9B"/>
    <w:pPr>
      <w:spacing w:line="240" w:lineRule="auto"/>
    </w:pPr>
    <w:rPr>
      <w:rFonts w:eastAsiaTheme="minorHAnsi"/>
      <w:color w:val="3D3D3D" w:themeColor="text1" w:themeShade="BF"/>
      <w:lang w:val="en-AU" w:bidi="ar-SA"/>
    </w:rPr>
    <w:tblPr>
      <w:tblStyleRowBandSize w:val="1"/>
      <w:tblStyleColBandSize w:val="1"/>
      <w:tblBorders>
        <w:top w:val="single" w:sz="8" w:space="0" w:color="525252" w:themeColor="text1"/>
        <w:bottom w:val="single" w:sz="8" w:space="0" w:color="525252" w:themeColor="text1"/>
      </w:tblBorders>
    </w:tblPr>
    <w:tblStylePr w:type="firstRow">
      <w:pPr>
        <w:spacing w:before="0" w:after="0" w:line="240" w:lineRule="auto"/>
      </w:pPr>
      <w:rPr>
        <w:b/>
        <w:bCs/>
      </w:rPr>
      <w:tblPr/>
      <w:tcPr>
        <w:tcBorders>
          <w:top w:val="single" w:sz="8" w:space="0" w:color="525252" w:themeColor="text1"/>
          <w:left w:val="nil"/>
          <w:bottom w:val="single" w:sz="8" w:space="0" w:color="525252" w:themeColor="text1"/>
          <w:right w:val="nil"/>
          <w:insideH w:val="nil"/>
          <w:insideV w:val="nil"/>
        </w:tcBorders>
      </w:tcPr>
    </w:tblStylePr>
    <w:tblStylePr w:type="lastRow">
      <w:pPr>
        <w:spacing w:before="0" w:after="0" w:line="240" w:lineRule="auto"/>
      </w:pPr>
      <w:rPr>
        <w:b/>
        <w:bCs/>
      </w:rPr>
      <w:tblPr/>
      <w:tcPr>
        <w:tcBorders>
          <w:top w:val="single" w:sz="8" w:space="0" w:color="525252" w:themeColor="text1"/>
          <w:left w:val="nil"/>
          <w:bottom w:val="single" w:sz="8" w:space="0" w:color="52525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4D4" w:themeFill="text1" w:themeFillTint="3F"/>
      </w:tcPr>
    </w:tblStylePr>
    <w:tblStylePr w:type="band1Horz">
      <w:tblPr/>
      <w:tcPr>
        <w:tcBorders>
          <w:left w:val="nil"/>
          <w:right w:val="nil"/>
          <w:insideH w:val="nil"/>
          <w:insideV w:val="nil"/>
        </w:tcBorders>
        <w:shd w:val="clear" w:color="auto" w:fill="D4D4D4" w:themeFill="text1" w:themeFillTint="3F"/>
      </w:tcPr>
    </w:tblStylePr>
  </w:style>
  <w:style w:type="table" w:customStyle="1" w:styleId="LightShading-Accent12">
    <w:name w:val="Light Shading - Accent 12"/>
    <w:basedOn w:val="TableNormal"/>
    <w:uiPriority w:val="60"/>
    <w:rsid w:val="00E7764B"/>
    <w:pPr>
      <w:spacing w:line="240" w:lineRule="auto"/>
    </w:p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paragraph" w:styleId="NormalWeb">
    <w:name w:val="Normal (Web)"/>
    <w:basedOn w:val="Normal"/>
    <w:uiPriority w:val="99"/>
    <w:rsid w:val="00C925B6"/>
    <w:rPr>
      <w:rFonts w:cs="Times New Roman"/>
      <w:sz w:val="24"/>
      <w:szCs w:val="24"/>
    </w:rPr>
  </w:style>
  <w:style w:type="paragraph" w:customStyle="1" w:styleId="BulletPoint2">
    <w:name w:val="Bullet Point 2"/>
    <w:basedOn w:val="ListBullet2"/>
    <w:uiPriority w:val="5"/>
    <w:rsid w:val="005F7C9B"/>
    <w:pPr>
      <w:numPr>
        <w:ilvl w:val="1"/>
        <w:numId w:val="10"/>
      </w:numPr>
    </w:pPr>
    <w:rPr>
      <w:color w:val="000000" w:themeColor="accent1"/>
      <w:lang w:bidi="en-US"/>
    </w:rPr>
  </w:style>
  <w:style w:type="paragraph" w:customStyle="1" w:styleId="BulletPoint3">
    <w:name w:val="Bullet Point 3"/>
    <w:basedOn w:val="ListBullet3"/>
    <w:uiPriority w:val="5"/>
    <w:rsid w:val="005F7C9B"/>
    <w:pPr>
      <w:numPr>
        <w:ilvl w:val="2"/>
        <w:numId w:val="10"/>
      </w:numPr>
    </w:pPr>
    <w:rPr>
      <w:color w:val="000000" w:themeColor="accent1"/>
      <w:lang w:bidi="en-US"/>
    </w:rPr>
  </w:style>
  <w:style w:type="character" w:styleId="CommentReference">
    <w:name w:val="annotation reference"/>
    <w:basedOn w:val="DefaultParagraphFont"/>
    <w:uiPriority w:val="99"/>
    <w:unhideWhenUsed/>
    <w:rsid w:val="005F7C9B"/>
    <w:rPr>
      <w:sz w:val="16"/>
      <w:szCs w:val="16"/>
    </w:rPr>
  </w:style>
  <w:style w:type="paragraph" w:styleId="CommentText">
    <w:name w:val="annotation text"/>
    <w:basedOn w:val="Normal"/>
    <w:link w:val="CommentTextChar"/>
    <w:uiPriority w:val="99"/>
    <w:unhideWhenUsed/>
    <w:rsid w:val="005F7C9B"/>
    <w:pPr>
      <w:spacing w:line="240" w:lineRule="auto"/>
    </w:pPr>
    <w:rPr>
      <w:sz w:val="20"/>
      <w:szCs w:val="20"/>
    </w:rPr>
  </w:style>
  <w:style w:type="character" w:customStyle="1" w:styleId="CommentTextChar">
    <w:name w:val="Comment Text Char"/>
    <w:basedOn w:val="DefaultParagraphFont"/>
    <w:link w:val="CommentText"/>
    <w:uiPriority w:val="99"/>
    <w:rsid w:val="005F7C9B"/>
    <w:rPr>
      <w:rFonts w:asciiTheme="minorHAnsi" w:eastAsiaTheme="minorHAnsi" w:hAnsiTheme="minorHAnsi"/>
      <w:sz w:val="20"/>
      <w:szCs w:val="20"/>
      <w:lang w:val="en-AU" w:bidi="ar-SA"/>
    </w:rPr>
  </w:style>
  <w:style w:type="paragraph" w:styleId="CommentSubject">
    <w:name w:val="annotation subject"/>
    <w:basedOn w:val="CommentText"/>
    <w:next w:val="CommentText"/>
    <w:link w:val="CommentSubjectChar"/>
    <w:uiPriority w:val="99"/>
    <w:unhideWhenUsed/>
    <w:rsid w:val="005F7C9B"/>
    <w:rPr>
      <w:b/>
      <w:bCs/>
    </w:rPr>
  </w:style>
  <w:style w:type="character" w:customStyle="1" w:styleId="CommentSubjectChar">
    <w:name w:val="Comment Subject Char"/>
    <w:basedOn w:val="CommentTextChar"/>
    <w:link w:val="CommentSubject"/>
    <w:uiPriority w:val="99"/>
    <w:rsid w:val="005F7C9B"/>
    <w:rPr>
      <w:rFonts w:asciiTheme="minorHAnsi" w:eastAsiaTheme="minorHAnsi" w:hAnsiTheme="minorHAnsi"/>
      <w:b/>
      <w:bCs/>
      <w:sz w:val="20"/>
      <w:szCs w:val="20"/>
      <w:lang w:val="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5F7C9B"/>
    <w:rPr>
      <w:vertAlign w:val="superscript"/>
    </w:rPr>
  </w:style>
  <w:style w:type="table" w:customStyle="1" w:styleId="SAPowerNetworksTableStyle">
    <w:name w:val="SA Power Networks Table Style"/>
    <w:basedOn w:val="TableGrid"/>
    <w:uiPriority w:val="99"/>
    <w:qFormat/>
    <w:rsid w:val="009D2850"/>
    <w:rPr>
      <w:rFonts w:ascii="Calibri" w:hAnsi="Calibri"/>
      <w:sz w:val="20"/>
      <w:szCs w:val="20"/>
      <w:lang w:val="en-US" w:eastAsia="en-AU" w:bidi="en-US"/>
    </w:rPr>
    <w:tblPr>
      <w:tblStyleRowBandSize w:val="1"/>
      <w:tblStyleColBandSize w:val="1"/>
      <w:jc w:val="right"/>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CellMar>
        <w:top w:w="113" w:type="dxa"/>
        <w:bottom w:w="113" w:type="dxa"/>
      </w:tblCellMar>
    </w:tblPr>
    <w:trPr>
      <w:jc w:val="right"/>
    </w:trPr>
    <w:tcPr>
      <w:tcMar>
        <w:top w:w="113" w:type="dxa"/>
        <w:bottom w:w="113" w:type="dxa"/>
      </w:tcMar>
    </w:tcPr>
    <w:tblStylePr w:type="firstRow">
      <w:pPr>
        <w:wordWrap/>
        <w:spacing w:line="260" w:lineRule="exact"/>
      </w:pPr>
      <w:rPr>
        <w:rFonts w:asciiTheme="majorHAnsi" w:hAnsiTheme="majorHAnsi"/>
        <w:b/>
        <w:color w:val="FFFFFF" w:themeColor="background2"/>
        <w:sz w:val="22"/>
      </w:rPr>
      <w:tblPr/>
      <w:trPr>
        <w:tblHeader/>
      </w:trPr>
      <w:tcPr>
        <w:tcBorders>
          <w:top w:val="nil"/>
          <w:left w:val="nil"/>
          <w:bottom w:val="nil"/>
          <w:right w:val="nil"/>
          <w:insideH w:val="nil"/>
          <w:insideV w:val="nil"/>
          <w:tl2br w:val="nil"/>
          <w:tr2bl w:val="nil"/>
        </w:tcBorders>
        <w:shd w:val="clear" w:color="auto" w:fill="FA820F" w:themeFill="text2"/>
      </w:tcPr>
    </w:tblStylePr>
    <w:tblStylePr w:type="lastRow">
      <w:rPr>
        <w:rFonts w:asciiTheme="minorHAnsi" w:hAnsiTheme="minorHAnsi"/>
        <w:color w:val="auto"/>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l2br w:val="nil"/>
          <w:tr2bl w:val="nil"/>
        </w:tcBorders>
      </w:tcPr>
    </w:tblStylePr>
    <w:tblStylePr w:type="firstCol">
      <w:pPr>
        <w:wordWrap/>
        <w:jc w:val="left"/>
      </w:pPr>
      <w:rPr>
        <w:rFonts w:ascii="Calibri" w:hAnsi="Calibri"/>
        <w:color w:val="000000"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4F4F4" w:themeFill="accent6"/>
      </w:tcPr>
    </w:tblStylePr>
    <w:tblStylePr w:type="lastCol">
      <w:pPr>
        <w:wordWrap/>
        <w:jc w:val="right"/>
      </w:pPr>
      <w:rPr>
        <w:rFonts w:ascii="Calibri" w:hAnsi="Calibri"/>
        <w:color w:val="000000"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CCCDCF" w:themeFill="background1" w:themeFillShade="F2"/>
      </w:tcPr>
    </w:tblStylePr>
    <w:tblStylePr w:type="band1Vert">
      <w:pPr>
        <w:wordWrap/>
        <w:jc w:val="right"/>
      </w:pPr>
      <w:rPr>
        <w:rFonts w:ascii="Calibri" w:hAnsi="Calibri"/>
        <w:color w:val="000000"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E9E9E9" w:themeFill="accent4"/>
      </w:tcPr>
    </w:tblStylePr>
    <w:tblStylePr w:type="band2Vert">
      <w:pPr>
        <w:wordWrap/>
        <w:jc w:val="right"/>
      </w:pPr>
      <w:rPr>
        <w:rFonts w:ascii="Calibri" w:hAnsi="Calibri"/>
        <w:color w:val="000000"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F4F4F4" w:themeFill="accent6"/>
      </w:tcPr>
    </w:tblStylePr>
    <w:tblStylePr w:type="band1Horz">
      <w:rPr>
        <w:rFonts w:ascii="Calibri" w:hAnsi="Calibri"/>
        <w:color w:val="000000"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band2Horz">
      <w:rPr>
        <w:rFonts w:ascii="Calibri" w:hAnsi="Calibri"/>
        <w:color w:val="000000" w:themeColor="accent1"/>
        <w:sz w:val="22"/>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neCell">
      <w:tblPr/>
      <w:tcPr>
        <w:tcBorders>
          <w:top w:val="nil"/>
          <w:left w:val="nil"/>
          <w:bottom w:val="nil"/>
          <w:right w:val="nil"/>
          <w:insideH w:val="nil"/>
          <w:insideV w:val="nil"/>
        </w:tcBorders>
      </w:tcPr>
    </w:tblStylePr>
    <w:tblStylePr w:type="nwCell">
      <w:tblPr/>
      <w:tcPr>
        <w:tcBorders>
          <w:top w:val="nil"/>
          <w:left w:val="nil"/>
          <w:bottom w:val="nil"/>
          <w:right w:val="nil"/>
          <w:insideH w:val="nil"/>
          <w:insideV w:val="nil"/>
        </w:tcBorders>
      </w:tcPr>
    </w:tblStylePr>
    <w:tblStylePr w:type="seCell">
      <w:tblPr/>
      <w:tcPr>
        <w:tcBorders>
          <w:top w:val="nil"/>
          <w:left w:val="nil"/>
          <w:bottom w:val="nil"/>
          <w:right w:val="nil"/>
          <w:insideH w:val="nil"/>
          <w:insideV w:val="nil"/>
        </w:tcBorders>
      </w:tcPr>
    </w:tblStylePr>
    <w:tblStylePr w:type="swCell">
      <w:tblPr/>
      <w:tcPr>
        <w:tcBorders>
          <w:top w:val="nil"/>
          <w:left w:val="nil"/>
          <w:bottom w:val="nil"/>
          <w:right w:val="nil"/>
          <w:insideH w:val="nil"/>
          <w:insideV w:val="nil"/>
        </w:tcBorders>
      </w:tcPr>
    </w:tblStylePr>
  </w:style>
  <w:style w:type="paragraph" w:styleId="TOCHeading">
    <w:name w:val="TOC Heading"/>
    <w:basedOn w:val="Heading1"/>
    <w:next w:val="Normal"/>
    <w:uiPriority w:val="39"/>
    <w:semiHidden/>
    <w:unhideWhenUsed/>
    <w:qFormat/>
    <w:rsid w:val="0044594F"/>
    <w:pPr>
      <w:spacing w:before="480" w:line="260" w:lineRule="atLeast"/>
      <w:outlineLvl w:val="9"/>
    </w:pPr>
    <w:rPr>
      <w:bCs/>
      <w:color w:val="000000" w:themeColor="accent1" w:themeShade="BF"/>
      <w:sz w:val="28"/>
      <w:szCs w:val="28"/>
      <w:lang w:bidi="ar-SA"/>
    </w:rPr>
  </w:style>
  <w:style w:type="paragraph" w:customStyle="1" w:styleId="Default">
    <w:name w:val="Default"/>
    <w:rsid w:val="0044594F"/>
    <w:pPr>
      <w:autoSpaceDE w:val="0"/>
      <w:autoSpaceDN w:val="0"/>
      <w:adjustRightInd w:val="0"/>
      <w:spacing w:line="240" w:lineRule="auto"/>
    </w:pPr>
    <w:rPr>
      <w:rFonts w:ascii="Times New Roman" w:eastAsia="Times New Roman" w:hAnsi="Times New Roman" w:cs="Times New Roman"/>
      <w:color w:val="000000"/>
      <w:sz w:val="24"/>
      <w:szCs w:val="24"/>
      <w:lang w:val="en-AU" w:bidi="ar-SA"/>
    </w:rPr>
  </w:style>
  <w:style w:type="table" w:customStyle="1" w:styleId="TableGrid1">
    <w:name w:val="Table Grid1"/>
    <w:basedOn w:val="TableNormal"/>
    <w:next w:val="TableGrid"/>
    <w:uiPriority w:val="59"/>
    <w:rsid w:val="0044594F"/>
    <w:pPr>
      <w:spacing w:line="240" w:lineRule="auto"/>
    </w:pPr>
    <w:rPr>
      <w:rFonts w:ascii="Calibri" w:eastAsia="Times New Roman" w:hAnsi="Calibri" w:cs="Times New Roman"/>
      <w:lang w:val="en-AU" w:eastAsia="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rsid w:val="0044594F"/>
    <w:pPr>
      <w:spacing w:line="240" w:lineRule="auto"/>
    </w:pPr>
    <w:rPr>
      <w:rFonts w:ascii="Calibri" w:eastAsia="Times New Roman" w:hAnsi="Calibri" w:cs="Times New Roman"/>
      <w:lang w:val="en-AU" w:bidi="ar-SA"/>
    </w:rPr>
  </w:style>
  <w:style w:type="paragraph" w:customStyle="1" w:styleId="numbering">
    <w:name w:val="numbering"/>
    <w:basedOn w:val="Normal"/>
    <w:rsid w:val="0044594F"/>
    <w:pPr>
      <w:widowControl w:val="0"/>
      <w:numPr>
        <w:numId w:val="17"/>
      </w:numPr>
      <w:tabs>
        <w:tab w:val="left" w:pos="709"/>
      </w:tabs>
      <w:spacing w:before="20" w:after="20" w:line="240" w:lineRule="auto"/>
      <w:ind w:right="57"/>
    </w:pPr>
    <w:rPr>
      <w:rFonts w:ascii="Arial Narrow" w:eastAsia="Times New Roman" w:hAnsi="Arial Narrow" w:cs="Times New Roman"/>
      <w:color w:val="000000"/>
      <w:sz w:val="24"/>
      <w:szCs w:val="20"/>
    </w:rPr>
  </w:style>
  <w:style w:type="paragraph" w:customStyle="1" w:styleId="Tableline">
    <w:name w:val="Table line"/>
    <w:basedOn w:val="Normal"/>
    <w:rsid w:val="0044594F"/>
    <w:pPr>
      <w:tabs>
        <w:tab w:val="left" w:pos="709"/>
      </w:tabs>
      <w:spacing w:before="120" w:after="20" w:line="240" w:lineRule="auto"/>
      <w:ind w:right="57"/>
    </w:pPr>
    <w:rPr>
      <w:rFonts w:ascii="Arial Narrow" w:eastAsia="Times New Roman" w:hAnsi="Arial Narrow" w:cs="Times New Roman"/>
      <w:noProof/>
      <w:sz w:val="20"/>
      <w:szCs w:val="20"/>
      <w:lang w:eastAsia="en-AU"/>
    </w:rPr>
  </w:style>
  <w:style w:type="paragraph" w:customStyle="1" w:styleId="Bullet0">
    <w:name w:val="Bullet"/>
    <w:basedOn w:val="Normal"/>
    <w:rsid w:val="0044594F"/>
    <w:pPr>
      <w:numPr>
        <w:numId w:val="18"/>
      </w:numPr>
      <w:tabs>
        <w:tab w:val="left" w:pos="510"/>
        <w:tab w:val="left" w:pos="709"/>
      </w:tabs>
      <w:spacing w:before="60" w:after="60" w:line="240" w:lineRule="auto"/>
      <w:ind w:right="57"/>
      <w:jc w:val="both"/>
    </w:pPr>
    <w:rPr>
      <w:rFonts w:ascii="Arial Narrow" w:eastAsia="Times New Roman" w:hAnsi="Arial Narrow" w:cs="Times New Roman"/>
      <w:noProof/>
      <w:sz w:val="24"/>
      <w:szCs w:val="20"/>
      <w:lang w:eastAsia="en-AU"/>
    </w:rPr>
  </w:style>
  <w:style w:type="paragraph" w:customStyle="1" w:styleId="TableHeader">
    <w:name w:val="Table Header"/>
    <w:basedOn w:val="Tableline"/>
    <w:next w:val="Tableline"/>
    <w:rsid w:val="0044594F"/>
    <w:pPr>
      <w:spacing w:after="120"/>
    </w:pPr>
    <w:rPr>
      <w:b/>
      <w:sz w:val="22"/>
    </w:rPr>
  </w:style>
  <w:style w:type="paragraph" w:customStyle="1" w:styleId="abc">
    <w:name w:val="a)b)c)"/>
    <w:basedOn w:val="Normal"/>
    <w:rsid w:val="0044594F"/>
    <w:pPr>
      <w:numPr>
        <w:numId w:val="19"/>
      </w:numPr>
      <w:tabs>
        <w:tab w:val="left" w:pos="709"/>
      </w:tabs>
      <w:spacing w:before="120" w:after="20" w:line="240" w:lineRule="auto"/>
      <w:ind w:right="57"/>
      <w:jc w:val="both"/>
    </w:pPr>
    <w:rPr>
      <w:rFonts w:ascii="Arial Narrow" w:eastAsia="Times New Roman" w:hAnsi="Arial Narrow" w:cs="Times New Roman"/>
      <w:noProof/>
      <w:sz w:val="24"/>
      <w:szCs w:val="20"/>
      <w:lang w:eastAsia="en-AU"/>
    </w:rPr>
  </w:style>
  <w:style w:type="paragraph" w:styleId="TOC4">
    <w:name w:val="toc 4"/>
    <w:basedOn w:val="Normal"/>
    <w:next w:val="Normal"/>
    <w:autoRedefine/>
    <w:uiPriority w:val="39"/>
    <w:rsid w:val="0044594F"/>
    <w:pPr>
      <w:tabs>
        <w:tab w:val="left" w:pos="709"/>
      </w:tabs>
      <w:spacing w:before="120" w:after="20" w:line="240" w:lineRule="auto"/>
      <w:ind w:left="660" w:right="57"/>
    </w:pPr>
    <w:rPr>
      <w:rFonts w:ascii="Times New Roman" w:eastAsia="Times New Roman" w:hAnsi="Times New Roman" w:cs="Times New Roman"/>
      <w:noProof/>
      <w:sz w:val="18"/>
      <w:szCs w:val="20"/>
      <w:lang w:eastAsia="en-AU"/>
    </w:rPr>
  </w:style>
  <w:style w:type="paragraph" w:styleId="TOC5">
    <w:name w:val="toc 5"/>
    <w:basedOn w:val="Normal"/>
    <w:next w:val="Normal"/>
    <w:autoRedefine/>
    <w:uiPriority w:val="39"/>
    <w:rsid w:val="0044594F"/>
    <w:pPr>
      <w:tabs>
        <w:tab w:val="left" w:pos="709"/>
      </w:tabs>
      <w:spacing w:before="120" w:after="20" w:line="240" w:lineRule="auto"/>
      <w:ind w:left="880" w:right="57"/>
    </w:pPr>
    <w:rPr>
      <w:rFonts w:ascii="Times New Roman" w:eastAsia="Times New Roman" w:hAnsi="Times New Roman" w:cs="Times New Roman"/>
      <w:noProof/>
      <w:sz w:val="18"/>
      <w:szCs w:val="20"/>
      <w:lang w:eastAsia="en-AU"/>
    </w:rPr>
  </w:style>
  <w:style w:type="paragraph" w:styleId="TOC6">
    <w:name w:val="toc 6"/>
    <w:basedOn w:val="Normal"/>
    <w:next w:val="Normal"/>
    <w:autoRedefine/>
    <w:uiPriority w:val="39"/>
    <w:rsid w:val="0044594F"/>
    <w:pPr>
      <w:tabs>
        <w:tab w:val="left" w:pos="709"/>
      </w:tabs>
      <w:spacing w:before="120" w:after="20" w:line="240" w:lineRule="auto"/>
      <w:ind w:left="1100" w:right="57"/>
    </w:pPr>
    <w:rPr>
      <w:rFonts w:ascii="Times New Roman" w:eastAsia="Times New Roman" w:hAnsi="Times New Roman" w:cs="Times New Roman"/>
      <w:noProof/>
      <w:sz w:val="18"/>
      <w:szCs w:val="20"/>
      <w:lang w:eastAsia="en-AU"/>
    </w:rPr>
  </w:style>
  <w:style w:type="paragraph" w:styleId="TOC7">
    <w:name w:val="toc 7"/>
    <w:basedOn w:val="Normal"/>
    <w:next w:val="Normal"/>
    <w:autoRedefine/>
    <w:uiPriority w:val="39"/>
    <w:rsid w:val="0044594F"/>
    <w:pPr>
      <w:tabs>
        <w:tab w:val="left" w:pos="709"/>
      </w:tabs>
      <w:spacing w:before="120" w:after="20" w:line="240" w:lineRule="auto"/>
      <w:ind w:left="1320" w:right="57"/>
    </w:pPr>
    <w:rPr>
      <w:rFonts w:ascii="Times New Roman" w:eastAsia="Times New Roman" w:hAnsi="Times New Roman" w:cs="Times New Roman"/>
      <w:noProof/>
      <w:sz w:val="18"/>
      <w:szCs w:val="20"/>
      <w:lang w:eastAsia="en-AU"/>
    </w:rPr>
  </w:style>
  <w:style w:type="paragraph" w:styleId="TOC8">
    <w:name w:val="toc 8"/>
    <w:basedOn w:val="Normal"/>
    <w:next w:val="Normal"/>
    <w:autoRedefine/>
    <w:uiPriority w:val="39"/>
    <w:rsid w:val="0044594F"/>
    <w:pPr>
      <w:tabs>
        <w:tab w:val="left" w:pos="709"/>
      </w:tabs>
      <w:spacing w:before="120" w:after="20" w:line="240" w:lineRule="auto"/>
      <w:ind w:left="1540" w:right="57"/>
    </w:pPr>
    <w:rPr>
      <w:rFonts w:ascii="Times New Roman" w:eastAsia="Times New Roman" w:hAnsi="Times New Roman" w:cs="Times New Roman"/>
      <w:noProof/>
      <w:sz w:val="18"/>
      <w:szCs w:val="20"/>
      <w:lang w:eastAsia="en-AU"/>
    </w:rPr>
  </w:style>
  <w:style w:type="paragraph" w:styleId="TOC9">
    <w:name w:val="toc 9"/>
    <w:basedOn w:val="Normal"/>
    <w:next w:val="Normal"/>
    <w:autoRedefine/>
    <w:uiPriority w:val="39"/>
    <w:rsid w:val="0044594F"/>
    <w:pPr>
      <w:tabs>
        <w:tab w:val="left" w:pos="709"/>
      </w:tabs>
      <w:spacing w:before="120" w:after="20" w:line="240" w:lineRule="auto"/>
      <w:ind w:left="1760" w:right="57"/>
    </w:pPr>
    <w:rPr>
      <w:rFonts w:ascii="Times New Roman" w:eastAsia="Times New Roman" w:hAnsi="Times New Roman" w:cs="Times New Roman"/>
      <w:noProof/>
      <w:sz w:val="18"/>
      <w:szCs w:val="20"/>
      <w:lang w:eastAsia="en-AU"/>
    </w:rPr>
  </w:style>
  <w:style w:type="paragraph" w:styleId="BodyText2">
    <w:name w:val="Body Text 2"/>
    <w:basedOn w:val="Normal"/>
    <w:link w:val="BodyText2Char"/>
    <w:uiPriority w:val="99"/>
    <w:rsid w:val="0044594F"/>
    <w:pPr>
      <w:tabs>
        <w:tab w:val="left" w:pos="709"/>
      </w:tabs>
      <w:spacing w:before="120" w:after="20" w:line="240" w:lineRule="auto"/>
      <w:ind w:right="57"/>
      <w:jc w:val="both"/>
    </w:pPr>
    <w:rPr>
      <w:rFonts w:ascii="Arial Narrow" w:eastAsia="Times New Roman" w:hAnsi="Arial Narrow" w:cs="Times New Roman"/>
      <w:color w:val="0000FF"/>
      <w:sz w:val="20"/>
      <w:szCs w:val="20"/>
      <w:lang w:eastAsia="en-AU"/>
    </w:rPr>
  </w:style>
  <w:style w:type="character" w:customStyle="1" w:styleId="BodyText2Char">
    <w:name w:val="Body Text 2 Char"/>
    <w:basedOn w:val="DefaultParagraphFont"/>
    <w:link w:val="BodyText2"/>
    <w:uiPriority w:val="99"/>
    <w:rsid w:val="0044594F"/>
    <w:rPr>
      <w:rFonts w:ascii="Arial Narrow" w:eastAsia="Times New Roman" w:hAnsi="Arial Narrow" w:cs="Times New Roman"/>
      <w:color w:val="0000FF"/>
      <w:sz w:val="20"/>
      <w:szCs w:val="20"/>
      <w:lang w:val="en-AU" w:eastAsia="en-AU" w:bidi="ar-SA"/>
    </w:rPr>
  </w:style>
  <w:style w:type="paragraph" w:styleId="BodyTextIndent">
    <w:name w:val="Body Text Indent"/>
    <w:basedOn w:val="Normal"/>
    <w:link w:val="BodyTextIndentChar"/>
    <w:uiPriority w:val="99"/>
    <w:rsid w:val="0044594F"/>
    <w:pPr>
      <w:tabs>
        <w:tab w:val="left" w:pos="709"/>
        <w:tab w:val="left" w:pos="3261"/>
      </w:tabs>
      <w:spacing w:before="120" w:after="240" w:line="240" w:lineRule="auto"/>
      <w:ind w:left="851" w:right="57"/>
    </w:pPr>
    <w:rPr>
      <w:rFonts w:ascii="Palatino" w:eastAsia="Times New Roman" w:hAnsi="Palatino" w:cs="Times New Roman"/>
      <w:sz w:val="24"/>
      <w:szCs w:val="20"/>
      <w:lang w:val="en-US" w:eastAsia="en-AU"/>
    </w:rPr>
  </w:style>
  <w:style w:type="character" w:customStyle="1" w:styleId="BodyTextIndentChar">
    <w:name w:val="Body Text Indent Char"/>
    <w:basedOn w:val="DefaultParagraphFont"/>
    <w:link w:val="BodyTextIndent"/>
    <w:uiPriority w:val="99"/>
    <w:rsid w:val="0044594F"/>
    <w:rPr>
      <w:rFonts w:ascii="Palatino" w:eastAsia="Times New Roman" w:hAnsi="Palatino" w:cs="Times New Roman"/>
      <w:sz w:val="24"/>
      <w:szCs w:val="20"/>
      <w:lang w:eastAsia="en-AU" w:bidi="ar-SA"/>
    </w:rPr>
  </w:style>
  <w:style w:type="paragraph" w:styleId="BodyTextIndent2">
    <w:name w:val="Body Text Indent 2"/>
    <w:basedOn w:val="Normal"/>
    <w:link w:val="BodyTextIndent2Char"/>
    <w:uiPriority w:val="99"/>
    <w:rsid w:val="0044594F"/>
    <w:pPr>
      <w:tabs>
        <w:tab w:val="left" w:pos="709"/>
      </w:tabs>
      <w:spacing w:before="120" w:after="60" w:line="240" w:lineRule="auto"/>
      <w:ind w:left="567" w:right="57"/>
      <w:jc w:val="both"/>
    </w:pPr>
    <w:rPr>
      <w:rFonts w:ascii="Arial Narrow" w:eastAsia="Times New Roman" w:hAnsi="Arial Narrow" w:cs="Times New Roman"/>
      <w:noProof/>
      <w:sz w:val="24"/>
      <w:szCs w:val="20"/>
      <w:lang w:eastAsia="en-AU"/>
    </w:rPr>
  </w:style>
  <w:style w:type="character" w:customStyle="1" w:styleId="BodyTextIndent2Char">
    <w:name w:val="Body Text Indent 2 Char"/>
    <w:basedOn w:val="DefaultParagraphFont"/>
    <w:link w:val="BodyTextIndent2"/>
    <w:uiPriority w:val="99"/>
    <w:rsid w:val="0044594F"/>
    <w:rPr>
      <w:rFonts w:ascii="Arial Narrow" w:eastAsia="Times New Roman" w:hAnsi="Arial Narrow" w:cs="Times New Roman"/>
      <w:noProof/>
      <w:sz w:val="24"/>
      <w:szCs w:val="20"/>
      <w:lang w:val="en-AU" w:eastAsia="en-AU" w:bidi="ar-SA"/>
    </w:rPr>
  </w:style>
  <w:style w:type="paragraph" w:styleId="BodyTextIndent3">
    <w:name w:val="Body Text Indent 3"/>
    <w:basedOn w:val="Normal"/>
    <w:link w:val="BodyTextIndent3Char"/>
    <w:uiPriority w:val="99"/>
    <w:rsid w:val="0044594F"/>
    <w:pPr>
      <w:tabs>
        <w:tab w:val="left" w:pos="709"/>
      </w:tabs>
      <w:spacing w:before="120" w:after="120" w:line="240" w:lineRule="auto"/>
      <w:ind w:left="360" w:right="57"/>
      <w:jc w:val="both"/>
    </w:pPr>
    <w:rPr>
      <w:rFonts w:ascii="Arial Narrow" w:eastAsia="Times New Roman" w:hAnsi="Arial Narrow" w:cs="Times New Roman"/>
      <w:noProof/>
      <w:sz w:val="24"/>
      <w:szCs w:val="20"/>
      <w:lang w:eastAsia="en-AU"/>
    </w:rPr>
  </w:style>
  <w:style w:type="character" w:customStyle="1" w:styleId="BodyTextIndent3Char">
    <w:name w:val="Body Text Indent 3 Char"/>
    <w:basedOn w:val="DefaultParagraphFont"/>
    <w:link w:val="BodyTextIndent3"/>
    <w:uiPriority w:val="99"/>
    <w:rsid w:val="0044594F"/>
    <w:rPr>
      <w:rFonts w:ascii="Arial Narrow" w:eastAsia="Times New Roman" w:hAnsi="Arial Narrow" w:cs="Times New Roman"/>
      <w:noProof/>
      <w:sz w:val="24"/>
      <w:szCs w:val="20"/>
      <w:lang w:val="en-AU" w:eastAsia="en-AU" w:bidi="ar-SA"/>
    </w:rPr>
  </w:style>
  <w:style w:type="paragraph" w:styleId="TableofFigures">
    <w:name w:val="table of figures"/>
    <w:basedOn w:val="Normal"/>
    <w:next w:val="Normal"/>
    <w:uiPriority w:val="99"/>
    <w:rsid w:val="0044594F"/>
    <w:pPr>
      <w:tabs>
        <w:tab w:val="left" w:pos="709"/>
        <w:tab w:val="left" w:pos="1134"/>
        <w:tab w:val="right" w:leader="dot" w:pos="8777"/>
      </w:tabs>
      <w:spacing w:before="120" w:after="40" w:line="240" w:lineRule="auto"/>
      <w:ind w:left="1134" w:right="57" w:hanging="1134"/>
      <w:jc w:val="both"/>
    </w:pPr>
    <w:rPr>
      <w:rFonts w:ascii="Arial Narrow" w:eastAsia="Times New Roman" w:hAnsi="Arial Narrow" w:cs="Times New Roman"/>
      <w:noProof/>
      <w:color w:val="000080"/>
      <w:sz w:val="20"/>
      <w:szCs w:val="20"/>
      <w:lang w:eastAsia="en-AU"/>
    </w:rPr>
  </w:style>
  <w:style w:type="paragraph" w:styleId="DocumentMap">
    <w:name w:val="Document Map"/>
    <w:basedOn w:val="Normal"/>
    <w:link w:val="DocumentMapChar"/>
    <w:uiPriority w:val="99"/>
    <w:rsid w:val="0044594F"/>
    <w:pPr>
      <w:shd w:val="clear" w:color="auto" w:fill="000080"/>
      <w:tabs>
        <w:tab w:val="left" w:pos="709"/>
      </w:tabs>
      <w:spacing w:before="120" w:after="20" w:line="240" w:lineRule="auto"/>
      <w:ind w:right="57"/>
      <w:jc w:val="both"/>
    </w:pPr>
    <w:rPr>
      <w:rFonts w:ascii="Tahoma" w:eastAsia="Times New Roman" w:hAnsi="Tahoma" w:cs="Times New Roman"/>
      <w:noProof/>
      <w:sz w:val="24"/>
      <w:szCs w:val="20"/>
      <w:lang w:eastAsia="en-AU"/>
    </w:rPr>
  </w:style>
  <w:style w:type="character" w:customStyle="1" w:styleId="DocumentMapChar">
    <w:name w:val="Document Map Char"/>
    <w:basedOn w:val="DefaultParagraphFont"/>
    <w:link w:val="DocumentMap"/>
    <w:uiPriority w:val="99"/>
    <w:rsid w:val="0044594F"/>
    <w:rPr>
      <w:rFonts w:ascii="Tahoma" w:eastAsia="Times New Roman" w:hAnsi="Tahoma" w:cs="Times New Roman"/>
      <w:noProof/>
      <w:sz w:val="24"/>
      <w:szCs w:val="20"/>
      <w:shd w:val="clear" w:color="auto" w:fill="000080"/>
      <w:lang w:val="en-AU" w:eastAsia="en-AU" w:bidi="ar-SA"/>
    </w:rPr>
  </w:style>
  <w:style w:type="paragraph" w:styleId="BodyText3">
    <w:name w:val="Body Text 3"/>
    <w:basedOn w:val="Normal"/>
    <w:link w:val="BodyText3Char"/>
    <w:uiPriority w:val="99"/>
    <w:rsid w:val="0044594F"/>
    <w:pPr>
      <w:pBdr>
        <w:top w:val="single" w:sz="12" w:space="1" w:color="000080"/>
        <w:left w:val="single" w:sz="12" w:space="4" w:color="000080"/>
        <w:bottom w:val="single" w:sz="12" w:space="1" w:color="000080"/>
        <w:right w:val="single" w:sz="12" w:space="4" w:color="000080"/>
      </w:pBdr>
      <w:shd w:val="pct30" w:color="FFFF00" w:fill="auto"/>
      <w:tabs>
        <w:tab w:val="left" w:pos="709"/>
      </w:tabs>
      <w:spacing w:before="120" w:after="20" w:line="240" w:lineRule="auto"/>
      <w:ind w:right="57"/>
      <w:jc w:val="both"/>
    </w:pPr>
    <w:rPr>
      <w:rFonts w:ascii="Arial Narrow" w:eastAsia="Times New Roman" w:hAnsi="Arial Narrow" w:cs="Times New Roman"/>
      <w:noProof/>
      <w:sz w:val="24"/>
      <w:szCs w:val="20"/>
      <w:shd w:val="pct30" w:color="FFFF00" w:fill="FFFFFF"/>
      <w:lang w:eastAsia="en-AU"/>
    </w:rPr>
  </w:style>
  <w:style w:type="character" w:customStyle="1" w:styleId="BodyText3Char">
    <w:name w:val="Body Text 3 Char"/>
    <w:basedOn w:val="DefaultParagraphFont"/>
    <w:link w:val="BodyText3"/>
    <w:uiPriority w:val="99"/>
    <w:rsid w:val="0044594F"/>
    <w:rPr>
      <w:rFonts w:ascii="Arial Narrow" w:eastAsia="Times New Roman" w:hAnsi="Arial Narrow" w:cs="Times New Roman"/>
      <w:noProof/>
      <w:sz w:val="24"/>
      <w:szCs w:val="20"/>
      <w:shd w:val="pct30" w:color="FFFF00" w:fill="auto"/>
      <w:lang w:val="en-AU" w:eastAsia="en-AU" w:bidi="ar-SA"/>
    </w:rPr>
  </w:style>
  <w:style w:type="paragraph" w:customStyle="1" w:styleId="Standardpara">
    <w:name w:val="Standard para"/>
    <w:basedOn w:val="Normal"/>
    <w:rsid w:val="0044594F"/>
    <w:pPr>
      <w:tabs>
        <w:tab w:val="left" w:pos="709"/>
        <w:tab w:val="left" w:pos="3402"/>
      </w:tabs>
      <w:spacing w:before="120" w:after="20" w:line="240" w:lineRule="auto"/>
      <w:ind w:left="2835" w:right="57"/>
      <w:jc w:val="both"/>
    </w:pPr>
    <w:rPr>
      <w:rFonts w:ascii="Arial" w:eastAsia="Times New Roman" w:hAnsi="Arial" w:cs="Times New Roman"/>
      <w:sz w:val="20"/>
      <w:szCs w:val="20"/>
      <w:lang w:val="en-US" w:eastAsia="en-AU"/>
    </w:rPr>
  </w:style>
  <w:style w:type="paragraph" w:customStyle="1" w:styleId="Paranote">
    <w:name w:val="Para note"/>
    <w:basedOn w:val="Normal"/>
    <w:rsid w:val="0044594F"/>
    <w:pPr>
      <w:tabs>
        <w:tab w:val="left" w:pos="709"/>
        <w:tab w:val="left" w:pos="3600"/>
      </w:tabs>
      <w:spacing w:before="120" w:after="20" w:line="240" w:lineRule="auto"/>
      <w:ind w:left="3600" w:right="57" w:hanging="720"/>
      <w:jc w:val="both"/>
    </w:pPr>
    <w:rPr>
      <w:rFonts w:ascii="Arial" w:eastAsia="Times New Roman" w:hAnsi="Arial" w:cs="Times New Roman"/>
      <w:sz w:val="20"/>
      <w:szCs w:val="20"/>
      <w:lang w:val="en-US" w:eastAsia="en-AU"/>
    </w:rPr>
  </w:style>
  <w:style w:type="paragraph" w:customStyle="1" w:styleId="bullet">
    <w:name w:val="bullet"/>
    <w:basedOn w:val="Standardpara"/>
    <w:rsid w:val="0044594F"/>
    <w:pPr>
      <w:numPr>
        <w:numId w:val="20"/>
      </w:numPr>
      <w:tabs>
        <w:tab w:val="clear" w:pos="360"/>
        <w:tab w:val="clear" w:pos="3402"/>
        <w:tab w:val="left" w:pos="3119"/>
      </w:tabs>
      <w:spacing w:after="80"/>
      <w:ind w:left="3119" w:hanging="284"/>
    </w:pPr>
    <w:rPr>
      <w:lang w:val="en-AU"/>
    </w:rPr>
  </w:style>
  <w:style w:type="paragraph" w:customStyle="1" w:styleId="TableText">
    <w:name w:val="Table Text"/>
    <w:basedOn w:val="Normal"/>
    <w:rsid w:val="0044594F"/>
    <w:pPr>
      <w:tabs>
        <w:tab w:val="left" w:pos="709"/>
      </w:tabs>
      <w:spacing w:before="120" w:line="240" w:lineRule="auto"/>
      <w:ind w:right="57"/>
    </w:pPr>
    <w:rPr>
      <w:rFonts w:ascii="Arial Narrow" w:eastAsia="Times New Roman" w:hAnsi="Arial Narrow" w:cs="Times New Roman"/>
      <w:sz w:val="16"/>
      <w:szCs w:val="20"/>
    </w:rPr>
  </w:style>
  <w:style w:type="paragraph" w:customStyle="1" w:styleId="TableHeading1">
    <w:name w:val="Table Heading 1"/>
    <w:basedOn w:val="Normal"/>
    <w:next w:val="TableHeading2"/>
    <w:rsid w:val="0044594F"/>
    <w:pPr>
      <w:tabs>
        <w:tab w:val="left" w:pos="709"/>
      </w:tabs>
      <w:spacing w:before="120" w:line="240" w:lineRule="auto"/>
      <w:ind w:right="57"/>
      <w:jc w:val="center"/>
    </w:pPr>
    <w:rPr>
      <w:rFonts w:ascii="Arial Narrow" w:eastAsia="Times New Roman" w:hAnsi="Arial Narrow" w:cs="Times New Roman"/>
      <w:b/>
      <w:sz w:val="24"/>
      <w:szCs w:val="20"/>
    </w:rPr>
  </w:style>
  <w:style w:type="paragraph" w:customStyle="1" w:styleId="TableHeading2">
    <w:name w:val="Table Heading 2"/>
    <w:basedOn w:val="Normal"/>
    <w:next w:val="TableText"/>
    <w:rsid w:val="0044594F"/>
    <w:pPr>
      <w:tabs>
        <w:tab w:val="left" w:pos="709"/>
      </w:tabs>
      <w:spacing w:before="120" w:line="240" w:lineRule="auto"/>
      <w:ind w:right="57"/>
      <w:jc w:val="center"/>
    </w:pPr>
    <w:rPr>
      <w:rFonts w:ascii="Arial Narrow" w:eastAsia="Times New Roman" w:hAnsi="Arial Narrow" w:cs="Times New Roman"/>
      <w:b/>
      <w:sz w:val="20"/>
      <w:szCs w:val="20"/>
    </w:rPr>
  </w:style>
  <w:style w:type="paragraph" w:customStyle="1" w:styleId="TableFigures">
    <w:name w:val="Table Figures"/>
    <w:basedOn w:val="TableText"/>
    <w:rsid w:val="0044594F"/>
    <w:pPr>
      <w:jc w:val="center"/>
    </w:pPr>
  </w:style>
  <w:style w:type="paragraph" w:customStyle="1" w:styleId="CaptionTable">
    <w:name w:val="Caption Table"/>
    <w:basedOn w:val="Caption"/>
    <w:next w:val="Normal"/>
    <w:rsid w:val="0044594F"/>
    <w:pPr>
      <w:pageBreakBefore/>
      <w:tabs>
        <w:tab w:val="left" w:pos="709"/>
      </w:tabs>
      <w:spacing w:before="120" w:after="20"/>
      <w:ind w:left="1134" w:right="57" w:hanging="1134"/>
      <w:jc w:val="both"/>
    </w:pPr>
    <w:rPr>
      <w:rFonts w:ascii="Arial Narrow" w:eastAsia="Times New Roman" w:hAnsi="Arial Narrow" w:cs="Times New Roman"/>
      <w:bCs w:val="0"/>
      <w:noProof/>
      <w:color w:val="000080"/>
      <w:sz w:val="24"/>
      <w:szCs w:val="20"/>
      <w:lang w:eastAsia="en-AU"/>
    </w:rPr>
  </w:style>
  <w:style w:type="paragraph" w:customStyle="1" w:styleId="CaptionFigure">
    <w:name w:val="Caption Figure"/>
    <w:basedOn w:val="Caption"/>
    <w:next w:val="Normal"/>
    <w:rsid w:val="0044594F"/>
    <w:pPr>
      <w:tabs>
        <w:tab w:val="left" w:pos="709"/>
      </w:tabs>
      <w:spacing w:before="120" w:after="20"/>
      <w:ind w:left="1134" w:right="57" w:hanging="1134"/>
    </w:pPr>
    <w:rPr>
      <w:rFonts w:ascii="Arial Narrow" w:eastAsia="Times New Roman" w:hAnsi="Arial Narrow" w:cs="Times New Roman"/>
      <w:bCs w:val="0"/>
      <w:noProof/>
      <w:color w:val="000080"/>
      <w:sz w:val="24"/>
      <w:szCs w:val="20"/>
      <w:lang w:eastAsia="en-AU"/>
    </w:rPr>
  </w:style>
  <w:style w:type="paragraph" w:customStyle="1" w:styleId="Note">
    <w:name w:val="Note"/>
    <w:basedOn w:val="Normal"/>
    <w:next w:val="Normal"/>
    <w:rsid w:val="0044594F"/>
    <w:pPr>
      <w:tabs>
        <w:tab w:val="left" w:pos="907"/>
      </w:tabs>
      <w:spacing w:after="140" w:line="240" w:lineRule="auto"/>
      <w:ind w:left="1758" w:hanging="879"/>
      <w:jc w:val="both"/>
    </w:pPr>
    <w:rPr>
      <w:rFonts w:ascii="Arial" w:eastAsia="Times New Roman" w:hAnsi="Arial" w:cs="Times New Roman"/>
      <w:sz w:val="18"/>
      <w:szCs w:val="18"/>
      <w:lang w:val="en-GB" w:eastAsia="en-AU"/>
    </w:rPr>
  </w:style>
  <w:style w:type="paragraph" w:customStyle="1" w:styleId="Appendix">
    <w:name w:val="Appendix"/>
    <w:link w:val="AppendixChar"/>
    <w:rsid w:val="0044594F"/>
    <w:pPr>
      <w:pBdr>
        <w:bottom w:val="single" w:sz="6" w:space="2" w:color="auto"/>
      </w:pBdr>
      <w:tabs>
        <w:tab w:val="left" w:pos="2410"/>
      </w:tabs>
      <w:spacing w:after="480" w:line="240" w:lineRule="auto"/>
      <w:ind w:left="2410" w:hanging="2410"/>
    </w:pPr>
    <w:rPr>
      <w:rFonts w:ascii="Arial Bold" w:eastAsia="Times New Roman" w:hAnsi="Arial Bold" w:cs="Times New Roman"/>
      <w:b/>
      <w:noProof/>
      <w:color w:val="808080"/>
      <w:sz w:val="36"/>
      <w:szCs w:val="36"/>
      <w:lang w:val="en-AU" w:eastAsia="en-AU" w:bidi="ar-SA"/>
    </w:rPr>
  </w:style>
  <w:style w:type="paragraph" w:customStyle="1" w:styleId="Appendix2">
    <w:name w:val="Appendix2"/>
    <w:basedOn w:val="Normal"/>
    <w:rsid w:val="0044594F"/>
    <w:pPr>
      <w:tabs>
        <w:tab w:val="left" w:pos="851"/>
      </w:tabs>
      <w:spacing w:after="60" w:line="240" w:lineRule="auto"/>
      <w:ind w:left="851" w:hanging="851"/>
    </w:pPr>
    <w:rPr>
      <w:rFonts w:ascii="Arial Narrow" w:eastAsia="Times New Roman" w:hAnsi="Arial Narrow" w:cs="Times New Roman"/>
      <w:b/>
      <w:sz w:val="30"/>
      <w:szCs w:val="30"/>
      <w:lang w:val="en-GB" w:eastAsia="en-AU"/>
    </w:rPr>
  </w:style>
  <w:style w:type="paragraph" w:customStyle="1" w:styleId="Title1">
    <w:name w:val="Title1"/>
    <w:basedOn w:val="Caption"/>
    <w:link w:val="titleChar0"/>
    <w:rsid w:val="0044594F"/>
    <w:pPr>
      <w:tabs>
        <w:tab w:val="left" w:pos="907"/>
      </w:tabs>
      <w:spacing w:after="240"/>
      <w:ind w:left="5812"/>
      <w:jc w:val="center"/>
    </w:pPr>
    <w:rPr>
      <w:rFonts w:ascii="Arial Narrow" w:eastAsia="Times New Roman" w:hAnsi="Arial Narrow"/>
      <w:sz w:val="40"/>
    </w:rPr>
  </w:style>
  <w:style w:type="paragraph" w:customStyle="1" w:styleId="TableHead">
    <w:name w:val="TableHead"/>
    <w:basedOn w:val="Normal"/>
    <w:next w:val="Normal"/>
    <w:rsid w:val="0044594F"/>
    <w:pPr>
      <w:spacing w:before="120" w:after="120" w:line="240" w:lineRule="auto"/>
      <w:jc w:val="center"/>
    </w:pPr>
    <w:rPr>
      <w:rFonts w:ascii="Arial" w:eastAsia="Times New Roman" w:hAnsi="Arial" w:cs="Times New Roman"/>
      <w:b/>
      <w:sz w:val="24"/>
      <w:szCs w:val="20"/>
      <w:lang w:eastAsia="en-AU"/>
    </w:rPr>
  </w:style>
  <w:style w:type="character" w:customStyle="1" w:styleId="CaptionChar">
    <w:name w:val="Caption Char"/>
    <w:basedOn w:val="DefaultParagraphFont"/>
    <w:link w:val="Caption"/>
    <w:uiPriority w:val="35"/>
    <w:locked/>
    <w:rsid w:val="0044594F"/>
    <w:rPr>
      <w:rFonts w:eastAsiaTheme="minorHAnsi"/>
      <w:b/>
      <w:bCs/>
      <w:color w:val="000000" w:themeColor="accent1"/>
      <w:sz w:val="18"/>
      <w:szCs w:val="18"/>
      <w:lang w:val="en-AU" w:bidi="ar-SA"/>
    </w:rPr>
  </w:style>
  <w:style w:type="paragraph" w:customStyle="1" w:styleId="monofees">
    <w:name w:val="monofees"/>
    <w:basedOn w:val="Normal"/>
    <w:rsid w:val="0044594F"/>
    <w:pPr>
      <w:spacing w:line="240" w:lineRule="auto"/>
    </w:pPr>
    <w:rPr>
      <w:rFonts w:ascii="Arial" w:eastAsia="Times New Roman" w:hAnsi="Arial" w:cs="Times New Roman"/>
      <w:sz w:val="18"/>
      <w:szCs w:val="20"/>
      <w:lang w:eastAsia="en-AU"/>
    </w:rPr>
  </w:style>
  <w:style w:type="paragraph" w:customStyle="1" w:styleId="Headsmallbold">
    <w:name w:val="Head small bold"/>
    <w:basedOn w:val="BodyText"/>
    <w:rsid w:val="0044594F"/>
    <w:pPr>
      <w:tabs>
        <w:tab w:val="left" w:pos="1276"/>
      </w:tabs>
      <w:spacing w:before="40" w:after="60" w:line="240" w:lineRule="auto"/>
      <w:ind w:left="851"/>
      <w:jc w:val="both"/>
    </w:pPr>
    <w:rPr>
      <w:rFonts w:ascii="Arial" w:eastAsia="Times New Roman" w:hAnsi="Arial" w:cs="Times New Roman"/>
      <w:b/>
      <w:sz w:val="18"/>
      <w:szCs w:val="18"/>
      <w:lang w:val="en-GB" w:eastAsia="en-AU" w:bidi="ar-SA"/>
    </w:rPr>
  </w:style>
  <w:style w:type="character" w:customStyle="1" w:styleId="AppendixChar">
    <w:name w:val="Appendix Char"/>
    <w:basedOn w:val="DefaultParagraphFont"/>
    <w:link w:val="Appendix"/>
    <w:locked/>
    <w:rsid w:val="0044594F"/>
    <w:rPr>
      <w:rFonts w:ascii="Arial Bold" w:eastAsia="Times New Roman" w:hAnsi="Arial Bold" w:cs="Times New Roman"/>
      <w:b/>
      <w:noProof/>
      <w:color w:val="808080"/>
      <w:sz w:val="36"/>
      <w:szCs w:val="36"/>
      <w:lang w:val="en-AU" w:eastAsia="en-AU" w:bidi="ar-SA"/>
    </w:rPr>
  </w:style>
  <w:style w:type="character" w:customStyle="1" w:styleId="titleChar0">
    <w:name w:val="title Char"/>
    <w:basedOn w:val="CaptionChar"/>
    <w:link w:val="Title1"/>
    <w:locked/>
    <w:rsid w:val="0044594F"/>
    <w:rPr>
      <w:rFonts w:ascii="Arial Narrow" w:eastAsia="Times New Roman" w:hAnsi="Arial Narrow"/>
      <w:b/>
      <w:bCs/>
      <w:color w:val="000000" w:themeColor="accent1"/>
      <w:sz w:val="40"/>
      <w:szCs w:val="18"/>
      <w:lang w:val="en-AU" w:bidi="ar-SA"/>
    </w:rPr>
  </w:style>
  <w:style w:type="paragraph" w:styleId="EndnoteText">
    <w:name w:val="endnote text"/>
    <w:basedOn w:val="Normal"/>
    <w:link w:val="EndnoteTextChar"/>
    <w:uiPriority w:val="99"/>
    <w:rsid w:val="0044594F"/>
    <w:pPr>
      <w:spacing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44594F"/>
    <w:rPr>
      <w:rFonts w:ascii="Calibri" w:eastAsia="Times New Roman" w:hAnsi="Calibri" w:cs="Times New Roman"/>
      <w:sz w:val="20"/>
      <w:szCs w:val="20"/>
      <w:lang w:val="en-AU" w:bidi="ar-SA"/>
    </w:rPr>
  </w:style>
  <w:style w:type="character" w:styleId="EndnoteReference">
    <w:name w:val="endnote reference"/>
    <w:basedOn w:val="DefaultParagraphFont"/>
    <w:uiPriority w:val="99"/>
    <w:rsid w:val="0044594F"/>
    <w:rPr>
      <w:rFonts w:cs="Times New Roman"/>
      <w:vertAlign w:val="superscript"/>
    </w:rPr>
  </w:style>
  <w:style w:type="numbering" w:customStyle="1" w:styleId="AERnumberedlist">
    <w:name w:val="AER numbered list"/>
    <w:uiPriority w:val="99"/>
    <w:rsid w:val="00791F09"/>
    <w:pPr>
      <w:numPr>
        <w:numId w:val="40"/>
      </w:numPr>
    </w:pPr>
  </w:style>
  <w:style w:type="numbering" w:customStyle="1" w:styleId="AERHeadings">
    <w:name w:val="AER Headings"/>
    <w:uiPriority w:val="99"/>
    <w:rsid w:val="00791F09"/>
    <w:pPr>
      <w:numPr>
        <w:numId w:val="41"/>
      </w:numPr>
    </w:pPr>
  </w:style>
  <w:style w:type="character" w:customStyle="1" w:styleId="AERbody">
    <w:name w:val="AER body"/>
    <w:basedOn w:val="DefaultParagraphFont"/>
    <w:qFormat/>
    <w:rsid w:val="00791F09"/>
    <w:rPr>
      <w:rFonts w:ascii="Arial" w:hAnsi="Arial"/>
      <w:color w:val="auto"/>
      <w:sz w:val="22"/>
    </w:rPr>
  </w:style>
  <w:style w:type="table" w:customStyle="1" w:styleId="AERtable-numbers">
    <w:name w:val="AER table - numbers"/>
    <w:basedOn w:val="TableNormal"/>
    <w:uiPriority w:val="99"/>
    <w:rsid w:val="00791F09"/>
    <w:pPr>
      <w:spacing w:before="120" w:after="80" w:line="240" w:lineRule="auto"/>
      <w:jc w:val="right"/>
    </w:pPr>
    <w:rPr>
      <w:rFonts w:eastAsia="Calibri" w:cs="Times New Roman"/>
      <w:sz w:val="16"/>
      <w:szCs w:val="20"/>
      <w:lang w:val="en-AU" w:eastAsia="en-AU" w:bidi="ar-SA"/>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0515">
      <w:bodyDiv w:val="1"/>
      <w:marLeft w:val="0"/>
      <w:marRight w:val="0"/>
      <w:marTop w:val="0"/>
      <w:marBottom w:val="0"/>
      <w:divBdr>
        <w:top w:val="none" w:sz="0" w:space="0" w:color="auto"/>
        <w:left w:val="none" w:sz="0" w:space="0" w:color="auto"/>
        <w:bottom w:val="none" w:sz="0" w:space="0" w:color="auto"/>
        <w:right w:val="none" w:sz="0" w:space="0" w:color="auto"/>
      </w:divBdr>
    </w:div>
    <w:div w:id="76219905">
      <w:bodyDiv w:val="1"/>
      <w:marLeft w:val="0"/>
      <w:marRight w:val="0"/>
      <w:marTop w:val="0"/>
      <w:marBottom w:val="0"/>
      <w:divBdr>
        <w:top w:val="none" w:sz="0" w:space="0" w:color="auto"/>
        <w:left w:val="none" w:sz="0" w:space="0" w:color="auto"/>
        <w:bottom w:val="none" w:sz="0" w:space="0" w:color="auto"/>
        <w:right w:val="none" w:sz="0" w:space="0" w:color="auto"/>
      </w:divBdr>
    </w:div>
    <w:div w:id="180508434">
      <w:bodyDiv w:val="1"/>
      <w:marLeft w:val="0"/>
      <w:marRight w:val="0"/>
      <w:marTop w:val="0"/>
      <w:marBottom w:val="0"/>
      <w:divBdr>
        <w:top w:val="none" w:sz="0" w:space="0" w:color="auto"/>
        <w:left w:val="none" w:sz="0" w:space="0" w:color="auto"/>
        <w:bottom w:val="none" w:sz="0" w:space="0" w:color="auto"/>
        <w:right w:val="none" w:sz="0" w:space="0" w:color="auto"/>
      </w:divBdr>
    </w:div>
    <w:div w:id="702632860">
      <w:bodyDiv w:val="1"/>
      <w:marLeft w:val="0"/>
      <w:marRight w:val="0"/>
      <w:marTop w:val="0"/>
      <w:marBottom w:val="0"/>
      <w:divBdr>
        <w:top w:val="none" w:sz="0" w:space="0" w:color="auto"/>
        <w:left w:val="none" w:sz="0" w:space="0" w:color="auto"/>
        <w:bottom w:val="none" w:sz="0" w:space="0" w:color="auto"/>
        <w:right w:val="none" w:sz="0" w:space="0" w:color="auto"/>
      </w:divBdr>
    </w:div>
    <w:div w:id="715087084">
      <w:bodyDiv w:val="1"/>
      <w:marLeft w:val="0"/>
      <w:marRight w:val="0"/>
      <w:marTop w:val="0"/>
      <w:marBottom w:val="0"/>
      <w:divBdr>
        <w:top w:val="none" w:sz="0" w:space="0" w:color="auto"/>
        <w:left w:val="none" w:sz="0" w:space="0" w:color="auto"/>
        <w:bottom w:val="none" w:sz="0" w:space="0" w:color="auto"/>
        <w:right w:val="none" w:sz="0" w:space="0" w:color="auto"/>
      </w:divBdr>
    </w:div>
    <w:div w:id="787626916">
      <w:bodyDiv w:val="1"/>
      <w:marLeft w:val="0"/>
      <w:marRight w:val="0"/>
      <w:marTop w:val="0"/>
      <w:marBottom w:val="0"/>
      <w:divBdr>
        <w:top w:val="none" w:sz="0" w:space="0" w:color="auto"/>
        <w:left w:val="none" w:sz="0" w:space="0" w:color="auto"/>
        <w:bottom w:val="none" w:sz="0" w:space="0" w:color="auto"/>
        <w:right w:val="none" w:sz="0" w:space="0" w:color="auto"/>
      </w:divBdr>
    </w:div>
    <w:div w:id="1167474078">
      <w:bodyDiv w:val="1"/>
      <w:marLeft w:val="0"/>
      <w:marRight w:val="0"/>
      <w:marTop w:val="0"/>
      <w:marBottom w:val="0"/>
      <w:divBdr>
        <w:top w:val="none" w:sz="0" w:space="0" w:color="auto"/>
        <w:left w:val="none" w:sz="0" w:space="0" w:color="auto"/>
        <w:bottom w:val="none" w:sz="0" w:space="0" w:color="auto"/>
        <w:right w:val="none" w:sz="0" w:space="0" w:color="auto"/>
      </w:divBdr>
    </w:div>
    <w:div w:id="1275210192">
      <w:bodyDiv w:val="1"/>
      <w:marLeft w:val="0"/>
      <w:marRight w:val="0"/>
      <w:marTop w:val="0"/>
      <w:marBottom w:val="0"/>
      <w:divBdr>
        <w:top w:val="none" w:sz="0" w:space="0" w:color="auto"/>
        <w:left w:val="none" w:sz="0" w:space="0" w:color="auto"/>
        <w:bottom w:val="none" w:sz="0" w:space="0" w:color="auto"/>
        <w:right w:val="none" w:sz="0" w:space="0" w:color="auto"/>
      </w:divBdr>
    </w:div>
    <w:div w:id="1299920114">
      <w:bodyDiv w:val="1"/>
      <w:marLeft w:val="0"/>
      <w:marRight w:val="0"/>
      <w:marTop w:val="0"/>
      <w:marBottom w:val="0"/>
      <w:divBdr>
        <w:top w:val="none" w:sz="0" w:space="0" w:color="auto"/>
        <w:left w:val="none" w:sz="0" w:space="0" w:color="auto"/>
        <w:bottom w:val="none" w:sz="0" w:space="0" w:color="auto"/>
        <w:right w:val="none" w:sz="0" w:space="0" w:color="auto"/>
      </w:divBdr>
    </w:div>
    <w:div w:id="179648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wmf"/><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image" Target="media/image11.emf"/><Relationship Id="rId42" Type="http://schemas.openxmlformats.org/officeDocument/2006/relationships/header" Target="header9.xml"/><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image" Target="media/image39.emf"/><Relationship Id="rId76" Type="http://schemas.openxmlformats.org/officeDocument/2006/relationships/image" Target="media/image47.emf"/><Relationship Id="rId84" Type="http://schemas.openxmlformats.org/officeDocument/2006/relationships/image" Target="media/image55.emf"/><Relationship Id="rId89" Type="http://schemas.openxmlformats.org/officeDocument/2006/relationships/image" Target="media/image60.emf"/><Relationship Id="rId7" Type="http://schemas.openxmlformats.org/officeDocument/2006/relationships/webSettings" Target="webSettings.xml"/><Relationship Id="rId71" Type="http://schemas.openxmlformats.org/officeDocument/2006/relationships/image" Target="media/image42.emf"/><Relationship Id="rId92" Type="http://schemas.openxmlformats.org/officeDocument/2006/relationships/image" Target="media/image63.e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oleObject" Target="embeddings/oleObject3.bin"/><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footer" Target="footer7.xml"/><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image" Target="media/image37.emf"/><Relationship Id="rId74" Type="http://schemas.openxmlformats.org/officeDocument/2006/relationships/image" Target="media/image45.emf"/><Relationship Id="rId79" Type="http://schemas.openxmlformats.org/officeDocument/2006/relationships/image" Target="media/image50.emf"/><Relationship Id="rId87" Type="http://schemas.openxmlformats.org/officeDocument/2006/relationships/image" Target="media/image58.emf"/><Relationship Id="rId5" Type="http://schemas.microsoft.com/office/2007/relationships/stylesWithEffects" Target="stylesWithEffects.xml"/><Relationship Id="rId61" Type="http://schemas.openxmlformats.org/officeDocument/2006/relationships/image" Target="media/image32.emf"/><Relationship Id="rId82" Type="http://schemas.openxmlformats.org/officeDocument/2006/relationships/image" Target="media/image53.emf"/><Relationship Id="rId90" Type="http://schemas.openxmlformats.org/officeDocument/2006/relationships/image" Target="media/image61.emf"/><Relationship Id="rId95"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oleObject" Target="embeddings/oleObject2.bin"/><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footer" Target="footer9.xml"/><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emf"/><Relationship Id="rId8" Type="http://schemas.openxmlformats.org/officeDocument/2006/relationships/footnotes" Target="footnotes.xml"/><Relationship Id="rId51" Type="http://schemas.openxmlformats.org/officeDocument/2006/relationships/image" Target="media/image22.emf"/><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image" Target="media/image56.emf"/><Relationship Id="rId93" Type="http://schemas.openxmlformats.org/officeDocument/2006/relationships/image" Target="media/image64.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oleObject" Target="embeddings/oleObject1.bin"/><Relationship Id="rId33" Type="http://schemas.openxmlformats.org/officeDocument/2006/relationships/image" Target="media/image10.emf"/><Relationship Id="rId38" Type="http://schemas.openxmlformats.org/officeDocument/2006/relationships/header" Target="header7.xml"/><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image" Target="media/image38.emf"/><Relationship Id="rId20" Type="http://schemas.openxmlformats.org/officeDocument/2006/relationships/footer" Target="footer4.xml"/><Relationship Id="rId41" Type="http://schemas.openxmlformats.org/officeDocument/2006/relationships/footer" Target="footer8.xml"/><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emf"/><Relationship Id="rId88" Type="http://schemas.openxmlformats.org/officeDocument/2006/relationships/image" Target="media/image59.emf"/><Relationship Id="rId91" Type="http://schemas.openxmlformats.org/officeDocument/2006/relationships/image" Target="media/image62.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w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image" Target="media/image28.emf"/><Relationship Id="rId10" Type="http://schemas.openxmlformats.org/officeDocument/2006/relationships/image" Target="media/image1.jpeg"/><Relationship Id="rId31" Type="http://schemas.openxmlformats.org/officeDocument/2006/relationships/image" Target="media/image8.png"/><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7.emf"/><Relationship Id="rId94"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A Power Networks">
  <a:themeElements>
    <a:clrScheme name="SA Power Networks">
      <a:dk1>
        <a:srgbClr val="525252"/>
      </a:dk1>
      <a:lt1>
        <a:srgbClr val="D8D9DA"/>
      </a:lt1>
      <a:dk2>
        <a:srgbClr val="FA820F"/>
      </a:dk2>
      <a:lt2>
        <a:srgbClr val="FFFFFF"/>
      </a:lt2>
      <a:accent1>
        <a:srgbClr val="000000"/>
      </a:accent1>
      <a:accent2>
        <a:srgbClr val="939598"/>
      </a:accent2>
      <a:accent3>
        <a:srgbClr val="FAB585"/>
      </a:accent3>
      <a:accent4>
        <a:srgbClr val="E9E9E9"/>
      </a:accent4>
      <a:accent5>
        <a:srgbClr val="FFF0D8"/>
      </a:accent5>
      <a:accent6>
        <a:srgbClr val="F4F4F4"/>
      </a:accent6>
      <a:hlink>
        <a:srgbClr val="FA820F"/>
      </a:hlink>
      <a:folHlink>
        <a:srgbClr val="ED1C24"/>
      </a:folHlink>
    </a:clrScheme>
    <a:fontScheme name="SA Power Network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042459-022C-4161-8033-D562EF60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626296D</Template>
  <TotalTime>0</TotalTime>
  <Pages>21</Pages>
  <Words>28187</Words>
  <Characters>160667</Characters>
  <Application>Microsoft Office Word</Application>
  <DocSecurity>4</DocSecurity>
  <Lines>1338</Lines>
  <Paragraphs>376</Paragraphs>
  <ScaleCrop>false</ScaleCrop>
  <HeadingPairs>
    <vt:vector size="2" baseType="variant">
      <vt:variant>
        <vt:lpstr>Title</vt:lpstr>
      </vt:variant>
      <vt:variant>
        <vt:i4>1</vt:i4>
      </vt:variant>
    </vt:vector>
  </HeadingPairs>
  <TitlesOfParts>
    <vt:vector size="1" baseType="lpstr">
      <vt:lpstr>SA Power Networks
Annual Pricing Proposal 2015/2016</vt:lpstr>
    </vt:vector>
  </TitlesOfParts>
  <Company>ETSA Utilities</Company>
  <LinksUpToDate>false</LinksUpToDate>
  <CharactersWithSpaces>188478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 Power Networks
Annual Pricing Proposal 2015/2016</dc:title>
  <dc:creator>muldrew</dc:creator>
  <cp:lastModifiedBy>Moffitt, Shannon</cp:lastModifiedBy>
  <cp:revision>2</cp:revision>
  <cp:lastPrinted>2015-05-22T00:33:00Z</cp:lastPrinted>
  <dcterms:created xsi:type="dcterms:W3CDTF">2015-05-26T00:48:00Z</dcterms:created>
  <dcterms:modified xsi:type="dcterms:W3CDTF">2015-05-26T00:48:00Z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12.0.4518</vt:lpwstr>
  </property>
</Properties>
</file>