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864441"/>
        <w:docPartObj>
          <w:docPartGallery w:val="Cover Pages"/>
          <w:docPartUnique/>
        </w:docPartObj>
      </w:sdtPr>
      <w:sdtEndPr/>
      <w:sdtContent>
        <w:p w:rsidR="00800527" w:rsidRPr="008A005F" w:rsidRDefault="00800527" w:rsidP="001D0E47">
          <w:r>
            <w:rPr>
              <w:noProof/>
              <w:lang w:eastAsia="en-AU"/>
            </w:rPr>
            <w:drawing>
              <wp:anchor distT="0" distB="0" distL="114300" distR="114300" simplePos="0" relativeHeight="251661312" behindDoc="1" locked="0" layoutInCell="1" allowOverlap="1">
                <wp:simplePos x="0" y="0"/>
                <wp:positionH relativeFrom="column">
                  <wp:posOffset>-921224</wp:posOffset>
                </wp:positionH>
                <wp:positionV relativeFrom="paragraph">
                  <wp:posOffset>-914401</wp:posOffset>
                </wp:positionV>
                <wp:extent cx="7572417" cy="107134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image_backgroun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4453" cy="10716350"/>
                        </a:xfrm>
                        <a:prstGeom prst="rect">
                          <a:avLst/>
                        </a:prstGeom>
                      </pic:spPr>
                    </pic:pic>
                  </a:graphicData>
                </a:graphic>
              </wp:anchor>
            </w:drawing>
          </w:r>
          <w:r w:rsidR="00084700">
            <w:rPr>
              <w:noProof/>
            </w:rPr>
            <w:pict>
              <v:group id="Group 13" o:spid="_x0000_s1026" style="position:absolute;margin-left:-7.5pt;margin-top:490.45pt;width:411.9pt;height:213.7pt;z-index:251660288;mso-position-horizontal-relative:text;mso-position-vertical-relative:text" coordorigin="1300,11242" coordsize="8238,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pLzQMAALwTAAAOAAAAZHJzL2Uyb0RvYy54bWzsWNtu4zYQfS/QfyD07uhi6oooi8S2ggJp&#10;u8DufgAtURdUIlWSiZwW/fcOSfmSeIu2u2gWBawHQeRQw5kznMMhr9/thh49USE7znLHv/IcRFnJ&#10;q441ufPpY7FIHCQVYRXpOaO580yl8+7m+++upzGjAW95X1GBQAmT2TTmTqvUmLmuLFs6EHnFR8pA&#10;WHMxEAVN0biVIBNoH3o38LzInbioRsFLKiX0rq3QuTH665qW6ue6llShPnfANmXewry3+u3eXJOs&#10;EWRsu3I2g3yBFQPpGEx6ULUmiqBH0Z2pGrpScMlrdVXyweV13ZXU+ADe+N4rb+4FfxyNL002NeMB&#10;JoD2FU5frLb86em9QF0FsVs6iJEBYmSmRdAGcKaxyWDMvRg/jO+F9RA+H3j5iwSx+1qu240djLbT&#10;j7wCfeRRcQPOrhaDVgFuo52JwfMhBnSnUAmdYbD0/SWEqgRZEPvLNJ2jVLYQSv0fiEEOYt8PcGBD&#10;WLabWUESLGHN6b9xEGMtdUlmZzbWztZp12DJySOq8utQ/dCSkZpgSY3YHlW8R/Wj9vCO79CMqxml&#10;QUVqB93gjcFIWmwR46uWsIbeCsGnlpIKzPONN9pumMDGQzekVvJ3YB9Bw5E/g7bHfBkHYKaGLMTh&#10;C8RINgqp7ikfkP7IHQEZZewkTw9SWXD3Q3RoGS+6vod+kvXsRQdEwfbArPCrlun5TZL8nnrpJtkk&#10;eIGDaLPA3nq9uC1WeBEVfhyul+vVau3/oef1cdZ2VUWZnmafsD7+Z6GbqcOm2iFlJe+7SqvTJknR&#10;bFe9QE8ECKMwzwzIyTD3pRlmhYEvr1yCxendBemiiJJ4gQscLtLYSxaen96lkYdTvC5euvTQMfr1&#10;LqEpd9IwCO1q+kvfPPOc+0ayoVNAyX035E5yGEQyvQY3rDKhVaTr7fcJFNr8IxQQ7n2gIe3sIrU5&#10;p3bbnWGcRM+uZVtePcMSFhwWGGQ2bCfw0XLxm4MmoObckb8+EkEd1P/AIA1SH2PN5aaBwziAhjiV&#10;bE8lhJWgKneUg+znSln+fxxF17Qwk008xm+Bp+rOLOqjVYbjDFG8FWOEZ4xhWEybNKf9WzPGkWZ1&#10;xmqWPpKsH0UXyrhQxhtRRnqhjM8VGdEZZZic/IaUEXqRqXPsJq8pYxkkwVyXhUZ0KMsuRUZRnG/E&#10;JzurLU7sjnopMv5dkeGb08NxP79UGfa0F59RRrTn1m9UZQSpF2sTjpRxUmUksaH+C2dcDib//cHE&#10;Nwft/xNnmJsNuCIy56/5OkvfQZ22zUnmeOl28ycAAAD//wMAUEsDBBQABgAIAAAAIQABiZN14gAA&#10;AAwBAAAPAAAAZHJzL2Rvd25yZXYueG1sTI9BS8NAEIXvgv9hGcFbuxtrZRuzKaWopyLYCuJtm0yT&#10;0OxsyG6T9N87nvQ4zOO978vWk2vFgH1oPBlI5goEUuHLhioDn4fXmQYRoqXStp7QwBUDrPPbm8ym&#10;pR/pA4d9rASXUEitgTrGLpUyFDU6G+a+Q+LfyffORj77Spa9HbnctfJBqSfpbEO8UNsOtzUW5/3F&#10;GXgb7bhZJC/D7nzaXr8Py/evXYLG3N9Nm2cQEaf4F4ZffEaHnJmO/kJlEK2BWbJkl2hgpdUKBCe0&#10;0ixz5Oij0guQeSb/S+Q/AAAA//8DAFBLAQItABQABgAIAAAAIQC2gziS/gAAAOEBAAATAAAAAAAA&#10;AAAAAAAAAAAAAABbQ29udGVudF9UeXBlc10ueG1sUEsBAi0AFAAGAAgAAAAhADj9If/WAAAAlAEA&#10;AAsAAAAAAAAAAAAAAAAALwEAAF9yZWxzLy5yZWxzUEsBAi0AFAAGAAgAAAAhANRp2kvNAwAAvBMA&#10;AA4AAAAAAAAAAAAAAAAALgIAAGRycy9lMm9Eb2MueG1sUEsBAi0AFAAGAAgAAAAhAAGJk3XiAAAA&#10;DAEAAA8AAAAAAAAAAAAAAAAAJwYAAGRycy9kb3ducmV2LnhtbFBLBQYAAAAABAAEAPMAAAA2BwAA&#10;AAA=&#10;">
                <v:shapetype id="_x0000_t202" coordsize="21600,21600" o:spt="202" path="m,l,21600r21600,l21600,xe">
                  <v:stroke joinstyle="miter"/>
                  <v:path gradientshapeok="t" o:connecttype="rect"/>
                </v:shapetype>
                <v:shape id="Text Box 3" o:spid="_x0000_s1027" type="#_x0000_t202" style="position:absolute;left:1300;top:14612;width:3724;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3">
                    <w:txbxContent>
                      <w:p w:rsidR="00271984" w:rsidRPr="008A005F" w:rsidRDefault="00271984" w:rsidP="001D0E47">
                        <w:pPr>
                          <w:spacing w:line="240" w:lineRule="auto"/>
                          <w:rPr>
                            <w:b/>
                            <w:color w:val="FFFFFF" w:themeColor="background2"/>
                            <w:sz w:val="38"/>
                            <w:szCs w:val="38"/>
                          </w:rPr>
                        </w:pPr>
                        <w:r w:rsidRPr="008A005F">
                          <w:rPr>
                            <w:b/>
                            <w:color w:val="FFFFFF" w:themeColor="background2"/>
                            <w:sz w:val="38"/>
                            <w:szCs w:val="38"/>
                          </w:rPr>
                          <w:t>SA Power Networks</w:t>
                        </w:r>
                      </w:p>
                    </w:txbxContent>
                  </v:textbox>
                </v:shape>
                <v:shape id="Text Box 4" o:spid="_x0000_s1028" type="#_x0000_t202" style="position:absolute;left:1300;top:11242;width:8238;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4">
                    <w:txbxContent>
                      <w:sdt>
                        <w:sdtPr>
                          <w:alias w:val="Title"/>
                          <w:tag w:val="Title"/>
                          <w:id w:val="18864442"/>
                          <w:dataBinding w:prefixMappings="xmlns:ns0='http://purl.org/dc/elements/1.1/' xmlns:ns1='http://schemas.openxmlformats.org/package/2006/metadata/core-properties' " w:xpath="/ns1:coreProperties[1]/ns0:title[1]" w:storeItemID="{6C3C8BC8-F283-45AE-878A-BAB7291924A1}"/>
                          <w:text w:multiLine="1"/>
                        </w:sdtPr>
                        <w:sdtEndPr/>
                        <w:sdtContent>
                          <w:p w:rsidR="00271984" w:rsidRPr="00DB5105" w:rsidRDefault="00084700" w:rsidP="001D0E47">
                            <w:pPr>
                              <w:pStyle w:val="Title"/>
                            </w:pPr>
                            <w:r>
                              <w:t xml:space="preserve">AER Regulatory </w:t>
                            </w:r>
                            <w:r>
                              <w:br/>
                              <w:t>Information Notice</w:t>
                            </w:r>
                          </w:p>
                        </w:sdtContent>
                      </w:sdt>
                    </w:txbxContent>
                  </v:textbox>
                </v:shape>
                <v:shape id="Text Box 5" o:spid="_x0000_s1029" type="#_x0000_t202" style="position:absolute;left:1300;top:15063;width:328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5">
                    <w:txbxContent>
                      <w:p w:rsidR="00271984" w:rsidRPr="008A005F" w:rsidRDefault="00271984" w:rsidP="001D0E47">
                        <w:pPr>
                          <w:rPr>
                            <w:b/>
                            <w:color w:val="FA820F" w:themeColor="text2"/>
                          </w:rPr>
                        </w:pPr>
                        <w:r w:rsidRPr="008A005F">
                          <w:rPr>
                            <w:b/>
                            <w:color w:val="FA820F" w:themeColor="text2"/>
                          </w:rPr>
                          <w:t>www.sapowernetworks.com.au</w:t>
                        </w:r>
                      </w:p>
                    </w:txbxContent>
                  </v:textbox>
                </v:shape>
                <v:shape id="Text Box 6" o:spid="_x0000_s1030" type="#_x0000_t202" style="position:absolute;left:1300;top:12907;width:823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6">
                    <w:txbxContent>
                      <w:p w:rsidR="00271984" w:rsidRPr="008A005F" w:rsidRDefault="00271984" w:rsidP="001D0E47">
                        <w:pPr>
                          <w:pStyle w:val="Subtitle"/>
                          <w:rPr>
                            <w:color w:val="FFFFFF" w:themeColor="background2"/>
                          </w:rPr>
                        </w:pPr>
                        <w:r>
                          <w:rPr>
                            <w:color w:val="FFFFFF" w:themeColor="background2"/>
                          </w:rPr>
                          <w:t>response for the year ended 30 June 2013</w:t>
                        </w:r>
                      </w:p>
                      <w:p w:rsidR="00271984" w:rsidRPr="008A005F" w:rsidRDefault="00271984" w:rsidP="001D0E47">
                        <w:pPr>
                          <w:spacing w:line="320" w:lineRule="exact"/>
                          <w:rPr>
                            <w:color w:val="FFFFFF" w:themeColor="background2"/>
                            <w:sz w:val="30"/>
                            <w:szCs w:val="30"/>
                          </w:rPr>
                        </w:pPr>
                      </w:p>
                      <w:p w:rsidR="00271984" w:rsidRPr="008A005F" w:rsidRDefault="00271984" w:rsidP="001D0E47">
                        <w:pPr>
                          <w:spacing w:line="320" w:lineRule="exact"/>
                          <w:rPr>
                            <w:color w:val="FFFFFF" w:themeColor="background2"/>
                            <w:sz w:val="30"/>
                            <w:szCs w:val="30"/>
                          </w:rPr>
                        </w:pPr>
                      </w:p>
                    </w:txbxContent>
                  </v:textbox>
                </v:shape>
              </v:group>
            </w:pict>
          </w:r>
        </w:p>
        <w:p w:rsidR="00800527" w:rsidRDefault="00800527">
          <w:r>
            <w:br w:type="page"/>
          </w:r>
        </w:p>
      </w:sdtContent>
    </w:sdt>
    <w:bookmarkStart w:id="0" w:name="_Toc316290971" w:displacedByCustomXml="next"/>
    <w:bookmarkStart w:id="1" w:name="_Toc316291826" w:displacedByCustomXml="next"/>
    <w:bookmarkStart w:id="2" w:name="_Toc316291997" w:displacedByCustomXml="next"/>
    <w:bookmarkStart w:id="3" w:name="_Toc316293818" w:displacedByCustomXml="next"/>
    <w:bookmarkStart w:id="4" w:name="_Toc304548466" w:displacedByCustomXml="next"/>
    <w:sdt>
      <w:sdtPr>
        <w:rPr>
          <w:rFonts w:asciiTheme="minorHAnsi" w:eastAsiaTheme="minorHAnsi" w:hAnsiTheme="minorHAnsi"/>
          <w:b w:val="0"/>
          <w:bCs w:val="0"/>
          <w:color w:val="auto"/>
          <w:sz w:val="22"/>
          <w:szCs w:val="22"/>
          <w:lang w:val="en-AU"/>
        </w:rPr>
        <w:id w:val="17993455"/>
        <w:docPartObj>
          <w:docPartGallery w:val="Table of Contents"/>
          <w:docPartUnique/>
        </w:docPartObj>
      </w:sdtPr>
      <w:sdtEndPr/>
      <w:sdtContent>
        <w:p w:rsidR="00A96650" w:rsidRDefault="00A96650">
          <w:pPr>
            <w:pStyle w:val="TOCHeading"/>
          </w:pPr>
          <w:r>
            <w:t>Contents</w:t>
          </w:r>
        </w:p>
        <w:p w:rsidR="004C30FD" w:rsidRDefault="00BD4259">
          <w:pPr>
            <w:pStyle w:val="TOC1"/>
            <w:tabs>
              <w:tab w:val="right" w:leader="dot" w:pos="9017"/>
            </w:tabs>
            <w:rPr>
              <w:rFonts w:eastAsiaTheme="minorEastAsia" w:cstheme="minorBidi"/>
              <w:noProof/>
              <w:lang w:eastAsia="en-AU"/>
            </w:rPr>
          </w:pPr>
          <w:r>
            <w:fldChar w:fldCharType="begin"/>
          </w:r>
          <w:r w:rsidR="00A96650">
            <w:instrText xml:space="preserve"> TOC \o "1-3" \h \z \u </w:instrText>
          </w:r>
          <w:r>
            <w:fldChar w:fldCharType="separate"/>
          </w:r>
          <w:hyperlink w:anchor="_Toc368472928" w:history="1">
            <w:r w:rsidR="004C30FD" w:rsidRPr="003557C2">
              <w:rPr>
                <w:rStyle w:val="Hyperlink"/>
                <w:noProof/>
                <w:lang w:bidi="en-US"/>
              </w:rPr>
              <w:t>1.  INTRODUCTION</w:t>
            </w:r>
            <w:r w:rsidR="004C30FD">
              <w:rPr>
                <w:noProof/>
                <w:webHidden/>
              </w:rPr>
              <w:tab/>
            </w:r>
            <w:r>
              <w:rPr>
                <w:noProof/>
                <w:webHidden/>
              </w:rPr>
              <w:fldChar w:fldCharType="begin"/>
            </w:r>
            <w:r w:rsidR="004C30FD">
              <w:rPr>
                <w:noProof/>
                <w:webHidden/>
              </w:rPr>
              <w:instrText xml:space="preserve"> PAGEREF _Toc368472928 \h </w:instrText>
            </w:r>
            <w:r>
              <w:rPr>
                <w:noProof/>
                <w:webHidden/>
              </w:rPr>
            </w:r>
            <w:r>
              <w:rPr>
                <w:noProof/>
                <w:webHidden/>
              </w:rPr>
              <w:fldChar w:fldCharType="separate"/>
            </w:r>
            <w:r w:rsidR="006D2AAF">
              <w:rPr>
                <w:noProof/>
                <w:webHidden/>
              </w:rPr>
              <w:t>3</w:t>
            </w:r>
            <w:r>
              <w:rPr>
                <w:noProof/>
                <w:webHidden/>
              </w:rPr>
              <w:fldChar w:fldCharType="end"/>
            </w:r>
          </w:hyperlink>
        </w:p>
        <w:p w:rsidR="004C30FD" w:rsidRDefault="00084700">
          <w:pPr>
            <w:pStyle w:val="TOC1"/>
            <w:tabs>
              <w:tab w:val="right" w:leader="dot" w:pos="9017"/>
            </w:tabs>
            <w:rPr>
              <w:rFonts w:eastAsiaTheme="minorEastAsia" w:cstheme="minorBidi"/>
              <w:noProof/>
              <w:lang w:eastAsia="en-AU"/>
            </w:rPr>
          </w:pPr>
          <w:hyperlink w:anchor="_Toc368472929" w:history="1">
            <w:r w:rsidR="004C30FD" w:rsidRPr="003557C2">
              <w:rPr>
                <w:rStyle w:val="Hyperlink"/>
                <w:noProof/>
                <w:lang w:bidi="en-US"/>
              </w:rPr>
              <w:t>2.  NATURE, SCOPE AND PURPOSE</w:t>
            </w:r>
            <w:r w:rsidR="004C30FD">
              <w:rPr>
                <w:noProof/>
                <w:webHidden/>
              </w:rPr>
              <w:tab/>
            </w:r>
            <w:r w:rsidR="00BD4259">
              <w:rPr>
                <w:noProof/>
                <w:webHidden/>
              </w:rPr>
              <w:fldChar w:fldCharType="begin"/>
            </w:r>
            <w:r w:rsidR="004C30FD">
              <w:rPr>
                <w:noProof/>
                <w:webHidden/>
              </w:rPr>
              <w:instrText xml:space="preserve"> PAGEREF _Toc368472929 \h </w:instrText>
            </w:r>
            <w:r w:rsidR="00BD4259">
              <w:rPr>
                <w:noProof/>
                <w:webHidden/>
              </w:rPr>
            </w:r>
            <w:r w:rsidR="00BD4259">
              <w:rPr>
                <w:noProof/>
                <w:webHidden/>
              </w:rPr>
              <w:fldChar w:fldCharType="separate"/>
            </w:r>
            <w:r w:rsidR="006D2AAF">
              <w:rPr>
                <w:noProof/>
                <w:webHidden/>
              </w:rPr>
              <w:t>4</w:t>
            </w:r>
            <w:r w:rsidR="00BD4259">
              <w:rPr>
                <w:noProof/>
                <w:webHidden/>
              </w:rPr>
              <w:fldChar w:fldCharType="end"/>
            </w:r>
          </w:hyperlink>
        </w:p>
        <w:p w:rsidR="004C30FD" w:rsidRDefault="00084700">
          <w:pPr>
            <w:pStyle w:val="TOC1"/>
            <w:tabs>
              <w:tab w:val="right" w:leader="dot" w:pos="9017"/>
            </w:tabs>
            <w:rPr>
              <w:rFonts w:eastAsiaTheme="minorEastAsia" w:cstheme="minorBidi"/>
              <w:noProof/>
              <w:lang w:eastAsia="en-AU"/>
            </w:rPr>
          </w:pPr>
          <w:hyperlink w:anchor="_Toc368472930" w:history="1">
            <w:r w:rsidR="004C30FD" w:rsidRPr="003557C2">
              <w:rPr>
                <w:rStyle w:val="Hyperlink"/>
                <w:noProof/>
                <w:lang w:bidi="en-US"/>
              </w:rPr>
              <w:t>3.  REGULATORY INFORMATION NOTICE – SCHEDULE 1</w:t>
            </w:r>
            <w:r w:rsidR="004C30FD">
              <w:rPr>
                <w:noProof/>
                <w:webHidden/>
              </w:rPr>
              <w:tab/>
            </w:r>
            <w:r w:rsidR="00BD4259">
              <w:rPr>
                <w:noProof/>
                <w:webHidden/>
              </w:rPr>
              <w:fldChar w:fldCharType="begin"/>
            </w:r>
            <w:r w:rsidR="004C30FD">
              <w:rPr>
                <w:noProof/>
                <w:webHidden/>
              </w:rPr>
              <w:instrText xml:space="preserve"> PAGEREF _Toc368472930 \h </w:instrText>
            </w:r>
            <w:r w:rsidR="00BD4259">
              <w:rPr>
                <w:noProof/>
                <w:webHidden/>
              </w:rPr>
            </w:r>
            <w:r w:rsidR="00BD4259">
              <w:rPr>
                <w:noProof/>
                <w:webHidden/>
              </w:rPr>
              <w:fldChar w:fldCharType="separate"/>
            </w:r>
            <w:r w:rsidR="006D2AAF">
              <w:rPr>
                <w:noProof/>
                <w:webHidden/>
              </w:rPr>
              <w:t>5</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1" w:history="1">
            <w:r w:rsidR="004C30FD" w:rsidRPr="003557C2">
              <w:rPr>
                <w:rStyle w:val="Hyperlink"/>
                <w:noProof/>
                <w:lang w:bidi="en-US"/>
              </w:rPr>
              <w:t>1.   PROVIDE INFORMATION</w:t>
            </w:r>
            <w:r w:rsidR="004C30FD">
              <w:rPr>
                <w:noProof/>
                <w:webHidden/>
              </w:rPr>
              <w:tab/>
            </w:r>
            <w:r w:rsidR="00BD4259">
              <w:rPr>
                <w:noProof/>
                <w:webHidden/>
              </w:rPr>
              <w:fldChar w:fldCharType="begin"/>
            </w:r>
            <w:r w:rsidR="004C30FD">
              <w:rPr>
                <w:noProof/>
                <w:webHidden/>
              </w:rPr>
              <w:instrText xml:space="preserve"> PAGEREF _Toc368472931 \h </w:instrText>
            </w:r>
            <w:r w:rsidR="00BD4259">
              <w:rPr>
                <w:noProof/>
                <w:webHidden/>
              </w:rPr>
            </w:r>
            <w:r w:rsidR="00BD4259">
              <w:rPr>
                <w:noProof/>
                <w:webHidden/>
              </w:rPr>
              <w:fldChar w:fldCharType="separate"/>
            </w:r>
            <w:r w:rsidR="006D2AAF">
              <w:rPr>
                <w:noProof/>
                <w:webHidden/>
              </w:rPr>
              <w:t>5</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2" w:history="1">
            <w:r w:rsidR="004C30FD" w:rsidRPr="003557C2">
              <w:rPr>
                <w:rStyle w:val="Hyperlink"/>
                <w:noProof/>
                <w:lang w:bidi="en-US"/>
              </w:rPr>
              <w:t>2.   COST ALLOCATION TO THE REGULATED DISTRIBUTION BUSINESS</w:t>
            </w:r>
            <w:r w:rsidR="004C30FD">
              <w:rPr>
                <w:noProof/>
                <w:webHidden/>
              </w:rPr>
              <w:tab/>
            </w:r>
            <w:r w:rsidR="00BD4259">
              <w:rPr>
                <w:noProof/>
                <w:webHidden/>
              </w:rPr>
              <w:fldChar w:fldCharType="begin"/>
            </w:r>
            <w:r w:rsidR="004C30FD">
              <w:rPr>
                <w:noProof/>
                <w:webHidden/>
              </w:rPr>
              <w:instrText xml:space="preserve"> PAGEREF _Toc368472932 \h </w:instrText>
            </w:r>
            <w:r w:rsidR="00BD4259">
              <w:rPr>
                <w:noProof/>
                <w:webHidden/>
              </w:rPr>
            </w:r>
            <w:r w:rsidR="00BD4259">
              <w:rPr>
                <w:noProof/>
                <w:webHidden/>
              </w:rPr>
              <w:fldChar w:fldCharType="separate"/>
            </w:r>
            <w:r w:rsidR="006D2AAF">
              <w:rPr>
                <w:noProof/>
                <w:webHidden/>
              </w:rPr>
              <w:t>12</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3" w:history="1">
            <w:r w:rsidR="004C30FD" w:rsidRPr="003557C2">
              <w:rPr>
                <w:rStyle w:val="Hyperlink"/>
                <w:noProof/>
                <w:lang w:bidi="en-US"/>
              </w:rPr>
              <w:t>3.   COST ALLOCATION TO SERVICE SEGMENTS</w:t>
            </w:r>
            <w:r w:rsidR="004C30FD">
              <w:rPr>
                <w:noProof/>
                <w:webHidden/>
              </w:rPr>
              <w:tab/>
            </w:r>
            <w:r w:rsidR="00BD4259">
              <w:rPr>
                <w:noProof/>
                <w:webHidden/>
              </w:rPr>
              <w:fldChar w:fldCharType="begin"/>
            </w:r>
            <w:r w:rsidR="004C30FD">
              <w:rPr>
                <w:noProof/>
                <w:webHidden/>
              </w:rPr>
              <w:instrText xml:space="preserve"> PAGEREF _Toc368472933 \h </w:instrText>
            </w:r>
            <w:r w:rsidR="00BD4259">
              <w:rPr>
                <w:noProof/>
                <w:webHidden/>
              </w:rPr>
            </w:r>
            <w:r w:rsidR="00BD4259">
              <w:rPr>
                <w:noProof/>
                <w:webHidden/>
              </w:rPr>
              <w:fldChar w:fldCharType="separate"/>
            </w:r>
            <w:r w:rsidR="006D2AAF">
              <w:rPr>
                <w:noProof/>
                <w:webHidden/>
              </w:rPr>
              <w:t>15</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4" w:history="1">
            <w:r w:rsidR="004C30FD" w:rsidRPr="003557C2">
              <w:rPr>
                <w:rStyle w:val="Hyperlink"/>
                <w:noProof/>
                <w:lang w:bidi="en-US"/>
              </w:rPr>
              <w:t>4.   RELATED PARTY TRANSACTIONS</w:t>
            </w:r>
            <w:r w:rsidR="004C30FD">
              <w:rPr>
                <w:noProof/>
                <w:webHidden/>
              </w:rPr>
              <w:tab/>
            </w:r>
            <w:r w:rsidR="00BD4259">
              <w:rPr>
                <w:noProof/>
                <w:webHidden/>
              </w:rPr>
              <w:fldChar w:fldCharType="begin"/>
            </w:r>
            <w:r w:rsidR="004C30FD">
              <w:rPr>
                <w:noProof/>
                <w:webHidden/>
              </w:rPr>
              <w:instrText xml:space="preserve"> PAGEREF _Toc368472934 \h </w:instrText>
            </w:r>
            <w:r w:rsidR="00BD4259">
              <w:rPr>
                <w:noProof/>
                <w:webHidden/>
              </w:rPr>
            </w:r>
            <w:r w:rsidR="00BD4259">
              <w:rPr>
                <w:noProof/>
                <w:webHidden/>
              </w:rPr>
              <w:fldChar w:fldCharType="separate"/>
            </w:r>
            <w:r w:rsidR="006D2AAF">
              <w:rPr>
                <w:noProof/>
                <w:webHidden/>
              </w:rPr>
              <w:t>18</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5" w:history="1">
            <w:r w:rsidR="004C30FD" w:rsidRPr="003557C2">
              <w:rPr>
                <w:rStyle w:val="Hyperlink"/>
                <w:noProof/>
                <w:lang w:bidi="en-US"/>
              </w:rPr>
              <w:t>5.   EFFICIENCY BENEFIT SHARING SCHEME</w:t>
            </w:r>
            <w:r w:rsidR="004C30FD">
              <w:rPr>
                <w:noProof/>
                <w:webHidden/>
              </w:rPr>
              <w:tab/>
            </w:r>
            <w:r w:rsidR="00BD4259">
              <w:rPr>
                <w:noProof/>
                <w:webHidden/>
              </w:rPr>
              <w:fldChar w:fldCharType="begin"/>
            </w:r>
            <w:r w:rsidR="004C30FD">
              <w:rPr>
                <w:noProof/>
                <w:webHidden/>
              </w:rPr>
              <w:instrText xml:space="preserve"> PAGEREF _Toc368472935 \h </w:instrText>
            </w:r>
            <w:r w:rsidR="00BD4259">
              <w:rPr>
                <w:noProof/>
                <w:webHidden/>
              </w:rPr>
            </w:r>
            <w:r w:rsidR="00BD4259">
              <w:rPr>
                <w:noProof/>
                <w:webHidden/>
              </w:rPr>
              <w:fldChar w:fldCharType="separate"/>
            </w:r>
            <w:r w:rsidR="006D2AAF">
              <w:rPr>
                <w:noProof/>
                <w:webHidden/>
              </w:rPr>
              <w:t>21</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6" w:history="1">
            <w:r w:rsidR="004C30FD" w:rsidRPr="003557C2">
              <w:rPr>
                <w:rStyle w:val="Hyperlink"/>
                <w:noProof/>
                <w:lang w:bidi="en-US"/>
              </w:rPr>
              <w:t>6.   DEMAND MANAGEMENT INCENTIVE SCHEME</w:t>
            </w:r>
            <w:r w:rsidR="004C30FD">
              <w:rPr>
                <w:noProof/>
                <w:webHidden/>
              </w:rPr>
              <w:tab/>
            </w:r>
            <w:r w:rsidR="00BD4259">
              <w:rPr>
                <w:noProof/>
                <w:webHidden/>
              </w:rPr>
              <w:fldChar w:fldCharType="begin"/>
            </w:r>
            <w:r w:rsidR="004C30FD">
              <w:rPr>
                <w:noProof/>
                <w:webHidden/>
              </w:rPr>
              <w:instrText xml:space="preserve"> PAGEREF _Toc368472936 \h </w:instrText>
            </w:r>
            <w:r w:rsidR="00BD4259">
              <w:rPr>
                <w:noProof/>
                <w:webHidden/>
              </w:rPr>
            </w:r>
            <w:r w:rsidR="00BD4259">
              <w:rPr>
                <w:noProof/>
                <w:webHidden/>
              </w:rPr>
              <w:fldChar w:fldCharType="separate"/>
            </w:r>
            <w:r w:rsidR="006D2AAF">
              <w:rPr>
                <w:noProof/>
                <w:webHidden/>
              </w:rPr>
              <w:t>23</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7" w:history="1">
            <w:r w:rsidR="004C30FD" w:rsidRPr="003557C2">
              <w:rPr>
                <w:rStyle w:val="Hyperlink"/>
                <w:noProof/>
                <w:lang w:bidi="en-US"/>
              </w:rPr>
              <w:t>7.   FORGONE REVENUE</w:t>
            </w:r>
            <w:r w:rsidR="004C30FD">
              <w:rPr>
                <w:noProof/>
                <w:webHidden/>
              </w:rPr>
              <w:tab/>
            </w:r>
            <w:r w:rsidR="00BD4259">
              <w:rPr>
                <w:noProof/>
                <w:webHidden/>
              </w:rPr>
              <w:fldChar w:fldCharType="begin"/>
            </w:r>
            <w:r w:rsidR="004C30FD">
              <w:rPr>
                <w:noProof/>
                <w:webHidden/>
              </w:rPr>
              <w:instrText xml:space="preserve"> PAGEREF _Toc368472937 \h </w:instrText>
            </w:r>
            <w:r w:rsidR="00BD4259">
              <w:rPr>
                <w:noProof/>
                <w:webHidden/>
              </w:rPr>
            </w:r>
            <w:r w:rsidR="00BD4259">
              <w:rPr>
                <w:noProof/>
                <w:webHidden/>
              </w:rPr>
              <w:fldChar w:fldCharType="separate"/>
            </w:r>
            <w:r w:rsidR="006D2AAF">
              <w:rPr>
                <w:noProof/>
                <w:webHidden/>
              </w:rPr>
              <w:t>24</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8" w:history="1">
            <w:r w:rsidR="004C30FD" w:rsidRPr="003557C2">
              <w:rPr>
                <w:rStyle w:val="Hyperlink"/>
                <w:noProof/>
                <w:lang w:bidi="en-US"/>
              </w:rPr>
              <w:t>8.   NON-FINANCIAL PERFORMANCE MONITORING INFORMATION</w:t>
            </w:r>
            <w:r w:rsidR="004C30FD">
              <w:rPr>
                <w:noProof/>
                <w:webHidden/>
              </w:rPr>
              <w:tab/>
            </w:r>
            <w:r w:rsidR="00BD4259">
              <w:rPr>
                <w:noProof/>
                <w:webHidden/>
              </w:rPr>
              <w:fldChar w:fldCharType="begin"/>
            </w:r>
            <w:r w:rsidR="004C30FD">
              <w:rPr>
                <w:noProof/>
                <w:webHidden/>
              </w:rPr>
              <w:instrText xml:space="preserve"> PAGEREF _Toc368472938 \h </w:instrText>
            </w:r>
            <w:r w:rsidR="00BD4259">
              <w:rPr>
                <w:noProof/>
                <w:webHidden/>
              </w:rPr>
            </w:r>
            <w:r w:rsidR="00BD4259">
              <w:rPr>
                <w:noProof/>
                <w:webHidden/>
              </w:rPr>
              <w:fldChar w:fldCharType="separate"/>
            </w:r>
            <w:r w:rsidR="006D2AAF">
              <w:rPr>
                <w:noProof/>
                <w:webHidden/>
              </w:rPr>
              <w:t>25</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39" w:history="1">
            <w:r w:rsidR="004C30FD" w:rsidRPr="003557C2">
              <w:rPr>
                <w:rStyle w:val="Hyperlink"/>
                <w:noProof/>
                <w:lang w:bidi="en-US"/>
              </w:rPr>
              <w:t>9.   ASSET REPLACEMENT VOLUMES</w:t>
            </w:r>
            <w:r w:rsidR="004C30FD">
              <w:rPr>
                <w:noProof/>
                <w:webHidden/>
              </w:rPr>
              <w:tab/>
            </w:r>
            <w:r w:rsidR="00BD4259">
              <w:rPr>
                <w:noProof/>
                <w:webHidden/>
              </w:rPr>
              <w:fldChar w:fldCharType="begin"/>
            </w:r>
            <w:r w:rsidR="004C30FD">
              <w:rPr>
                <w:noProof/>
                <w:webHidden/>
              </w:rPr>
              <w:instrText xml:space="preserve"> PAGEREF _Toc368472939 \h </w:instrText>
            </w:r>
            <w:r w:rsidR="00BD4259">
              <w:rPr>
                <w:noProof/>
                <w:webHidden/>
              </w:rPr>
            </w:r>
            <w:r w:rsidR="00BD4259">
              <w:rPr>
                <w:noProof/>
                <w:webHidden/>
              </w:rPr>
              <w:fldChar w:fldCharType="separate"/>
            </w:r>
            <w:r w:rsidR="006D2AAF">
              <w:rPr>
                <w:noProof/>
                <w:webHidden/>
              </w:rPr>
              <w:t>27</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40" w:history="1">
            <w:r w:rsidR="004C30FD" w:rsidRPr="003557C2">
              <w:rPr>
                <w:rStyle w:val="Hyperlink"/>
                <w:noProof/>
                <w:lang w:bidi="en-US"/>
              </w:rPr>
              <w:t>10.   RECONCILIATION OF REGULATORY ASSET BASE</w:t>
            </w:r>
            <w:r w:rsidR="004C30FD">
              <w:rPr>
                <w:noProof/>
                <w:webHidden/>
              </w:rPr>
              <w:tab/>
            </w:r>
            <w:r w:rsidR="00BD4259">
              <w:rPr>
                <w:noProof/>
                <w:webHidden/>
              </w:rPr>
              <w:fldChar w:fldCharType="begin"/>
            </w:r>
            <w:r w:rsidR="004C30FD">
              <w:rPr>
                <w:noProof/>
                <w:webHidden/>
              </w:rPr>
              <w:instrText xml:space="preserve"> PAGEREF _Toc368472940 \h </w:instrText>
            </w:r>
            <w:r w:rsidR="00BD4259">
              <w:rPr>
                <w:noProof/>
                <w:webHidden/>
              </w:rPr>
            </w:r>
            <w:r w:rsidR="00BD4259">
              <w:rPr>
                <w:noProof/>
                <w:webHidden/>
              </w:rPr>
              <w:fldChar w:fldCharType="separate"/>
            </w:r>
            <w:r w:rsidR="006D2AAF">
              <w:rPr>
                <w:noProof/>
                <w:webHidden/>
              </w:rPr>
              <w:t>28</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41" w:history="1">
            <w:r w:rsidR="004C30FD" w:rsidRPr="003557C2">
              <w:rPr>
                <w:rStyle w:val="Hyperlink"/>
                <w:noProof/>
                <w:lang w:bidi="en-US"/>
              </w:rPr>
              <w:t>11.   CHARTS</w:t>
            </w:r>
            <w:r w:rsidR="004C30FD">
              <w:rPr>
                <w:noProof/>
                <w:webHidden/>
              </w:rPr>
              <w:tab/>
            </w:r>
            <w:r w:rsidR="00BD4259">
              <w:rPr>
                <w:noProof/>
                <w:webHidden/>
              </w:rPr>
              <w:fldChar w:fldCharType="begin"/>
            </w:r>
            <w:r w:rsidR="004C30FD">
              <w:rPr>
                <w:noProof/>
                <w:webHidden/>
              </w:rPr>
              <w:instrText xml:space="preserve"> PAGEREF _Toc368472941 \h </w:instrText>
            </w:r>
            <w:r w:rsidR="00BD4259">
              <w:rPr>
                <w:noProof/>
                <w:webHidden/>
              </w:rPr>
            </w:r>
            <w:r w:rsidR="00BD4259">
              <w:rPr>
                <w:noProof/>
                <w:webHidden/>
              </w:rPr>
              <w:fldChar w:fldCharType="separate"/>
            </w:r>
            <w:r w:rsidR="006D2AAF">
              <w:rPr>
                <w:noProof/>
                <w:webHidden/>
              </w:rPr>
              <w:t>29</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42" w:history="1">
            <w:r w:rsidR="004C30FD" w:rsidRPr="003557C2">
              <w:rPr>
                <w:rStyle w:val="Hyperlink"/>
                <w:noProof/>
                <w:lang w:bidi="en-US"/>
              </w:rPr>
              <w:t>12.   AUDIT REPORTS</w:t>
            </w:r>
            <w:r w:rsidR="004C30FD">
              <w:rPr>
                <w:noProof/>
                <w:webHidden/>
              </w:rPr>
              <w:tab/>
            </w:r>
            <w:r w:rsidR="00BD4259">
              <w:rPr>
                <w:noProof/>
                <w:webHidden/>
              </w:rPr>
              <w:fldChar w:fldCharType="begin"/>
            </w:r>
            <w:r w:rsidR="004C30FD">
              <w:rPr>
                <w:noProof/>
                <w:webHidden/>
              </w:rPr>
              <w:instrText xml:space="preserve"> PAGEREF _Toc368472942 \h </w:instrText>
            </w:r>
            <w:r w:rsidR="00BD4259">
              <w:rPr>
                <w:noProof/>
                <w:webHidden/>
              </w:rPr>
            </w:r>
            <w:r w:rsidR="00BD4259">
              <w:rPr>
                <w:noProof/>
                <w:webHidden/>
              </w:rPr>
              <w:fldChar w:fldCharType="separate"/>
            </w:r>
            <w:r w:rsidR="006D2AAF">
              <w:rPr>
                <w:noProof/>
                <w:webHidden/>
              </w:rPr>
              <w:t>30</w:t>
            </w:r>
            <w:r w:rsidR="00BD4259">
              <w:rPr>
                <w:noProof/>
                <w:webHidden/>
              </w:rPr>
              <w:fldChar w:fldCharType="end"/>
            </w:r>
          </w:hyperlink>
        </w:p>
        <w:p w:rsidR="004C30FD" w:rsidRDefault="00084700">
          <w:pPr>
            <w:pStyle w:val="TOC3"/>
            <w:tabs>
              <w:tab w:val="right" w:leader="dot" w:pos="9017"/>
            </w:tabs>
            <w:rPr>
              <w:rFonts w:eastAsiaTheme="minorEastAsia" w:cstheme="minorBidi"/>
              <w:noProof/>
              <w:lang w:eastAsia="en-AU"/>
            </w:rPr>
          </w:pPr>
          <w:hyperlink w:anchor="_Toc368472943" w:history="1">
            <w:r w:rsidR="004C30FD" w:rsidRPr="003557C2">
              <w:rPr>
                <w:rStyle w:val="Hyperlink"/>
                <w:noProof/>
                <w:lang w:bidi="en-US"/>
              </w:rPr>
              <w:t>13.   BOARD RESOLUTION</w:t>
            </w:r>
            <w:r w:rsidR="004C30FD">
              <w:rPr>
                <w:noProof/>
                <w:webHidden/>
              </w:rPr>
              <w:tab/>
            </w:r>
            <w:r w:rsidR="00BD4259">
              <w:rPr>
                <w:noProof/>
                <w:webHidden/>
              </w:rPr>
              <w:fldChar w:fldCharType="begin"/>
            </w:r>
            <w:r w:rsidR="004C30FD">
              <w:rPr>
                <w:noProof/>
                <w:webHidden/>
              </w:rPr>
              <w:instrText xml:space="preserve"> PAGEREF _Toc368472943 \h </w:instrText>
            </w:r>
            <w:r w:rsidR="00BD4259">
              <w:rPr>
                <w:noProof/>
                <w:webHidden/>
              </w:rPr>
            </w:r>
            <w:r w:rsidR="00BD4259">
              <w:rPr>
                <w:noProof/>
                <w:webHidden/>
              </w:rPr>
              <w:fldChar w:fldCharType="separate"/>
            </w:r>
            <w:r w:rsidR="006D2AAF">
              <w:rPr>
                <w:noProof/>
                <w:webHidden/>
              </w:rPr>
              <w:t>31</w:t>
            </w:r>
            <w:r w:rsidR="00BD4259">
              <w:rPr>
                <w:noProof/>
                <w:webHidden/>
              </w:rPr>
              <w:fldChar w:fldCharType="end"/>
            </w:r>
          </w:hyperlink>
        </w:p>
        <w:p w:rsidR="00A96650" w:rsidRDefault="00BD4259">
          <w:r>
            <w:fldChar w:fldCharType="end"/>
          </w:r>
        </w:p>
      </w:sdtContent>
    </w:sdt>
    <w:p w:rsidR="00A96650" w:rsidRDefault="00A96650">
      <w:pPr>
        <w:rPr>
          <w:rFonts w:asciiTheme="majorHAnsi" w:eastAsiaTheme="majorEastAsia" w:hAnsiTheme="majorHAnsi"/>
          <w:b/>
          <w:color w:val="FA820F" w:themeColor="text2"/>
          <w:sz w:val="32"/>
          <w:lang w:bidi="en-US"/>
        </w:rPr>
      </w:pPr>
      <w:r>
        <w:br w:type="page"/>
      </w:r>
    </w:p>
    <w:p w:rsidR="0093285E" w:rsidRPr="00456129" w:rsidRDefault="00716EAE" w:rsidP="00716EAE">
      <w:pPr>
        <w:pStyle w:val="Heading1"/>
      </w:pPr>
      <w:bookmarkStart w:id="5" w:name="_Toc368472928"/>
      <w:r>
        <w:lastRenderedPageBreak/>
        <w:t xml:space="preserve">1.  </w:t>
      </w:r>
      <w:bookmarkEnd w:id="3"/>
      <w:bookmarkEnd w:id="2"/>
      <w:bookmarkEnd w:id="1"/>
      <w:bookmarkEnd w:id="0"/>
      <w:r w:rsidR="00DC636D">
        <w:t>INTRODUCTION</w:t>
      </w:r>
      <w:bookmarkEnd w:id="5"/>
    </w:p>
    <w:p w:rsidR="0093285E" w:rsidRPr="003418C6" w:rsidRDefault="0093285E" w:rsidP="0093285E">
      <w:pPr>
        <w:rPr>
          <w:b/>
        </w:rPr>
      </w:pPr>
    </w:p>
    <w:bookmarkEnd w:id="4"/>
    <w:p w:rsidR="0093285E" w:rsidRDefault="0093285E" w:rsidP="00456129">
      <w:pPr>
        <w:spacing w:after="120"/>
      </w:pPr>
      <w:r>
        <w:t xml:space="preserve">On 28 </w:t>
      </w:r>
      <w:r w:rsidR="00D92ED7">
        <w:t>September</w:t>
      </w:r>
      <w:r>
        <w:t xml:space="preserve"> 201</w:t>
      </w:r>
      <w:r w:rsidR="00D92ED7">
        <w:t>2</w:t>
      </w:r>
      <w:r>
        <w:t xml:space="preserve">, the Australian Energy Regulator </w:t>
      </w:r>
      <w:r w:rsidRPr="003567C5">
        <w:rPr>
          <w:b/>
        </w:rPr>
        <w:t>(AER)</w:t>
      </w:r>
      <w:r>
        <w:t xml:space="preserve"> issued </w:t>
      </w:r>
      <w:r w:rsidR="00456129">
        <w:t>SA Power Networks</w:t>
      </w:r>
      <w:r w:rsidR="00D92ED7">
        <w:t xml:space="preserve"> </w:t>
      </w:r>
      <w:r>
        <w:t xml:space="preserve">(ABN </w:t>
      </w:r>
      <w:r w:rsidRPr="003567C5">
        <w:rPr>
          <w:b/>
        </w:rPr>
        <w:t>13 332 330 749</w:t>
      </w:r>
      <w:r>
        <w:t xml:space="preserve">) a Regulatory Information Notice </w:t>
      </w:r>
      <w:r w:rsidRPr="003567C5">
        <w:rPr>
          <w:b/>
        </w:rPr>
        <w:t>(Notice)</w:t>
      </w:r>
      <w:r>
        <w:t xml:space="preserve"> under Division 4 of Part 3 of the </w:t>
      </w:r>
      <w:r w:rsidR="00D92ED7">
        <w:rPr>
          <w:i/>
        </w:rPr>
        <w:t>National Electricity (South Australia</w:t>
      </w:r>
      <w:r w:rsidRPr="003567C5">
        <w:rPr>
          <w:i/>
        </w:rPr>
        <w:t>) Law</w:t>
      </w:r>
      <w:r>
        <w:t xml:space="preserve"> </w:t>
      </w:r>
      <w:r w:rsidRPr="003567C5">
        <w:rPr>
          <w:b/>
        </w:rPr>
        <w:t>(NEL)</w:t>
      </w:r>
      <w:r>
        <w:t xml:space="preserve">.  </w:t>
      </w:r>
    </w:p>
    <w:p w:rsidR="0093285E" w:rsidRDefault="0093285E" w:rsidP="0093285E">
      <w:r>
        <w:t xml:space="preserve">The Notice requires </w:t>
      </w:r>
      <w:r w:rsidR="00456129">
        <w:t>SA Power Networks</w:t>
      </w:r>
      <w:r>
        <w:t xml:space="preserve"> to provide and to prepare and maintain the information in the manner and form specified in the Notice</w:t>
      </w:r>
      <w:r w:rsidR="00D92ED7">
        <w:t xml:space="preserve">, of which information the </w:t>
      </w:r>
      <w:r>
        <w:t xml:space="preserve">AER requires </w:t>
      </w:r>
      <w:r w:rsidR="00D92ED7">
        <w:t xml:space="preserve">for the performance or exercise </w:t>
      </w:r>
      <w:r>
        <w:t xml:space="preserve">of its functions or powers conferred on it under the NEL or the </w:t>
      </w:r>
      <w:r w:rsidRPr="002B7E11">
        <w:rPr>
          <w:i/>
        </w:rPr>
        <w:t>National Electricity Rules</w:t>
      </w:r>
      <w:r>
        <w:t xml:space="preserve"> </w:t>
      </w:r>
      <w:r w:rsidRPr="000B7FB5">
        <w:rPr>
          <w:b/>
        </w:rPr>
        <w:t>(NER),</w:t>
      </w:r>
      <w:r>
        <w:t xml:space="preserve"> namely</w:t>
      </w:r>
      <w:r w:rsidR="002B7E11">
        <w:t xml:space="preserve"> to</w:t>
      </w:r>
      <w:r>
        <w:t>:</w:t>
      </w:r>
      <w:r w:rsidR="002B7E11">
        <w:br/>
      </w:r>
    </w:p>
    <w:p w:rsidR="0093285E" w:rsidRDefault="0093285E" w:rsidP="0093285E">
      <w:pPr>
        <w:numPr>
          <w:ilvl w:val="4"/>
          <w:numId w:val="16"/>
        </w:numPr>
        <w:spacing w:after="120" w:line="240" w:lineRule="auto"/>
      </w:pPr>
      <w:r>
        <w:t xml:space="preserve">monitor the compliance of </w:t>
      </w:r>
      <w:r w:rsidR="00456129">
        <w:t>SA Power Networks</w:t>
      </w:r>
      <w:r>
        <w:t xml:space="preserve"> with the 2010-15 </w:t>
      </w:r>
      <w:r w:rsidR="002B7E11">
        <w:t>D</w:t>
      </w:r>
      <w:r>
        <w:t xml:space="preserve">istribution </w:t>
      </w:r>
      <w:r w:rsidR="002B7E11">
        <w:t>D</w:t>
      </w:r>
      <w:r>
        <w:t>etermination,</w:t>
      </w:r>
    </w:p>
    <w:p w:rsidR="0093285E" w:rsidRDefault="0093285E" w:rsidP="0093285E">
      <w:pPr>
        <w:numPr>
          <w:ilvl w:val="4"/>
          <w:numId w:val="16"/>
        </w:numPr>
        <w:spacing w:after="120" w:line="240" w:lineRule="auto"/>
      </w:pPr>
      <w:r>
        <w:t xml:space="preserve">publish reports relating to the financial or operational performance of </w:t>
      </w:r>
      <w:r w:rsidR="00456129">
        <w:t>SA Power Networks</w:t>
      </w:r>
      <w:r>
        <w:t>, and</w:t>
      </w:r>
    </w:p>
    <w:p w:rsidR="0093285E" w:rsidRDefault="002B7E11" w:rsidP="0093285E">
      <w:pPr>
        <w:numPr>
          <w:ilvl w:val="4"/>
          <w:numId w:val="16"/>
        </w:numPr>
        <w:spacing w:after="120" w:line="240" w:lineRule="auto"/>
      </w:pPr>
      <w:r>
        <w:t>prepare for the making of future</w:t>
      </w:r>
      <w:r w:rsidR="0093285E">
        <w:t xml:space="preserve"> distribution determinations to apply to </w:t>
      </w:r>
      <w:r w:rsidR="00456129">
        <w:t>SA Power Networks</w:t>
      </w:r>
      <w:r w:rsidR="0093285E">
        <w:t>.</w:t>
      </w:r>
    </w:p>
    <w:p w:rsidR="0093285E" w:rsidRDefault="0093285E" w:rsidP="00456129">
      <w:pPr>
        <w:spacing w:after="120"/>
      </w:pPr>
      <w:r>
        <w:br/>
        <w:t>In respect of the 201</w:t>
      </w:r>
      <w:r w:rsidR="005F7B7C">
        <w:t>2</w:t>
      </w:r>
      <w:r>
        <w:t>-1</w:t>
      </w:r>
      <w:r w:rsidR="005F7B7C">
        <w:t>3</w:t>
      </w:r>
      <w:r>
        <w:t xml:space="preserve"> regulatory year, the information to be provided, prepared and maintained in the form as specified in the Notice must be provided to the AER electronically to </w:t>
      </w:r>
      <w:hyperlink r:id="rId10" w:history="1">
        <w:r w:rsidRPr="002F72E5">
          <w:rPr>
            <w:rStyle w:val="Hyperlink"/>
          </w:rPr>
          <w:t>AERInquiry@aer.gov.au</w:t>
        </w:r>
      </w:hyperlink>
      <w:r>
        <w:t xml:space="preserve"> on or before 5:00 pm Australian Eastern Daylight Time on </w:t>
      </w:r>
      <w:r w:rsidR="00456129">
        <w:t>1</w:t>
      </w:r>
      <w:r w:rsidR="005F7B7C">
        <w:t>3</w:t>
      </w:r>
      <w:r w:rsidR="00456129">
        <w:t xml:space="preserve"> </w:t>
      </w:r>
      <w:r w:rsidR="005F7B7C">
        <w:t>Dec</w:t>
      </w:r>
      <w:r w:rsidR="00456129">
        <w:t>ember</w:t>
      </w:r>
      <w:r w:rsidR="005F7B7C">
        <w:t xml:space="preserve"> 2013</w:t>
      </w:r>
      <w:r>
        <w:t>.</w:t>
      </w:r>
    </w:p>
    <w:p w:rsidR="00BF192C" w:rsidRDefault="00BF192C" w:rsidP="00456129">
      <w:pPr>
        <w:spacing w:after="120"/>
      </w:pPr>
      <w:r w:rsidRPr="00BF192C">
        <w:t>The information and documents are to be marked to the attention of the General Manager, Network Operations and Development, Australian Energy Regulator.</w:t>
      </w:r>
    </w:p>
    <w:p w:rsidR="0093285E" w:rsidRDefault="00456129" w:rsidP="0093285E">
      <w:r w:rsidRPr="00BF192C">
        <w:t>SA Power Networks</w:t>
      </w:r>
      <w:r w:rsidR="0093285E" w:rsidRPr="00BF192C">
        <w:t xml:space="preserve"> </w:t>
      </w:r>
      <w:r w:rsidR="00607A99" w:rsidRPr="00BF192C">
        <w:t xml:space="preserve">is </w:t>
      </w:r>
      <w:r w:rsidR="00BF192C">
        <w:t xml:space="preserve">specifically </w:t>
      </w:r>
      <w:r w:rsidR="00607A99" w:rsidRPr="00BF192C">
        <w:t xml:space="preserve">required to </w:t>
      </w:r>
      <w:r w:rsidR="0093285E" w:rsidRPr="00BF192C">
        <w:t>provide</w:t>
      </w:r>
      <w:r w:rsidR="00607A99" w:rsidRPr="00BF192C">
        <w:t xml:space="preserve"> the information requested in Schedule 1 of the Notice, including:</w:t>
      </w:r>
      <w:r w:rsidR="0093285E" w:rsidRPr="00BF192C">
        <w:t xml:space="preserve"> </w:t>
      </w:r>
      <w:r w:rsidR="00607A99" w:rsidRPr="00BF192C">
        <w:t xml:space="preserve">the </w:t>
      </w:r>
      <w:r w:rsidR="0093285E" w:rsidRPr="00BF192C">
        <w:t xml:space="preserve">information required in </w:t>
      </w:r>
      <w:r w:rsidR="00607A99" w:rsidRPr="00BF192C">
        <w:t xml:space="preserve">the Regulatory Accounting Statements, being the information required in the worksheets in the Microsoft Excel workbook attached at Appendix B; and the information required in the Non-Financial Regulatory Templates in the Microsoft Excel workbook attached at Appendix C.  </w:t>
      </w:r>
      <w:r w:rsidR="0093285E" w:rsidRPr="00BF192C">
        <w:t>In addition a statutory declaration made by a company o</w:t>
      </w:r>
      <w:r w:rsidR="00607A99" w:rsidRPr="00BF192C">
        <w:t>fficer, as set out in Appendix D</w:t>
      </w:r>
      <w:r w:rsidR="0093285E" w:rsidRPr="00BF192C">
        <w:t xml:space="preserve"> to the Notice, must be provided and the information specified in Appendix </w:t>
      </w:r>
      <w:r w:rsidR="00BF192C" w:rsidRPr="00BF192C">
        <w:t>E</w:t>
      </w:r>
      <w:r w:rsidR="0093285E" w:rsidRPr="00BF192C">
        <w:t xml:space="preserve"> to th</w:t>
      </w:r>
      <w:r w:rsidR="00BF192C" w:rsidRPr="00BF192C">
        <w:t>e</w:t>
      </w:r>
      <w:r w:rsidR="0093285E" w:rsidRPr="00BF192C">
        <w:t xml:space="preserve"> Notice must be audited.  </w:t>
      </w:r>
    </w:p>
    <w:p w:rsidR="0093285E" w:rsidRDefault="0093285E" w:rsidP="0093285E"/>
    <w:p w:rsidR="0093285E" w:rsidRDefault="0093285E" w:rsidP="0093285E"/>
    <w:p w:rsidR="0093285E" w:rsidRPr="001D0E47" w:rsidRDefault="0093285E" w:rsidP="00716EAE">
      <w:pPr>
        <w:pStyle w:val="Heading1"/>
      </w:pPr>
      <w:bookmarkStart w:id="6" w:name="_Toc304548468"/>
      <w:bookmarkStart w:id="7" w:name="_Toc316290973"/>
      <w:r>
        <w:br w:type="page"/>
      </w:r>
      <w:bookmarkStart w:id="8" w:name="_Toc316291827"/>
      <w:bookmarkStart w:id="9" w:name="_Toc316291998"/>
      <w:bookmarkStart w:id="10" w:name="_Toc316293819"/>
      <w:bookmarkStart w:id="11" w:name="_Toc368472929"/>
      <w:r w:rsidR="00716EAE">
        <w:lastRenderedPageBreak/>
        <w:t xml:space="preserve">2.  </w:t>
      </w:r>
      <w:r w:rsidRPr="001D0E47">
        <w:t>N</w:t>
      </w:r>
      <w:r w:rsidR="00DC636D">
        <w:t>ATURE</w:t>
      </w:r>
      <w:r w:rsidRPr="001D0E47">
        <w:t>, S</w:t>
      </w:r>
      <w:r w:rsidR="00DC636D">
        <w:t>COPE</w:t>
      </w:r>
      <w:r w:rsidRPr="001D0E47">
        <w:t xml:space="preserve"> </w:t>
      </w:r>
      <w:r w:rsidR="00DC636D">
        <w:t>AND</w:t>
      </w:r>
      <w:r w:rsidRPr="001D0E47">
        <w:t xml:space="preserve"> P</w:t>
      </w:r>
      <w:bookmarkEnd w:id="6"/>
      <w:bookmarkEnd w:id="7"/>
      <w:bookmarkEnd w:id="8"/>
      <w:bookmarkEnd w:id="9"/>
      <w:bookmarkEnd w:id="10"/>
      <w:r w:rsidR="00DC636D">
        <w:t>URPOSE</w:t>
      </w:r>
      <w:bookmarkEnd w:id="11"/>
    </w:p>
    <w:p w:rsidR="0093285E" w:rsidRPr="003418C6" w:rsidRDefault="0093285E" w:rsidP="0093285E"/>
    <w:p w:rsidR="0093285E" w:rsidRDefault="0093285E" w:rsidP="0093285E">
      <w:r w:rsidRPr="003418C6">
        <w:t xml:space="preserve">The purpose of this document is to set out </w:t>
      </w:r>
      <w:r w:rsidR="00716EAE">
        <w:t>SA Power Networks’</w:t>
      </w:r>
      <w:r>
        <w:t xml:space="preserve"> response in accordance with Schedule 1 of the Notice.  This document should be read in conjunction with the responses provided by </w:t>
      </w:r>
      <w:r w:rsidR="00716EAE">
        <w:t>SA Power Networks</w:t>
      </w:r>
      <w:r>
        <w:t xml:space="preserve"> in completing the </w:t>
      </w:r>
      <w:r w:rsidR="006E33B9">
        <w:t xml:space="preserve">Regulatory Accounting Statements </w:t>
      </w:r>
      <w:r>
        <w:t xml:space="preserve">that were attached as Appendix </w:t>
      </w:r>
      <w:r w:rsidR="006E33B9">
        <w:t>B</w:t>
      </w:r>
      <w:r>
        <w:t xml:space="preserve"> to the N</w:t>
      </w:r>
      <w:r w:rsidR="006E33B9">
        <w:t>otice and the Non-Financial Regulatory Templates that were attached as Appendix C to the Notice.</w:t>
      </w:r>
      <w:r>
        <w:t xml:space="preserve"> </w:t>
      </w:r>
    </w:p>
    <w:p w:rsidR="0093285E" w:rsidRDefault="0093285E" w:rsidP="0093285E"/>
    <w:p w:rsidR="0093285E" w:rsidRDefault="0093285E" w:rsidP="0093285E"/>
    <w:p w:rsidR="0093285E" w:rsidRDefault="0093285E" w:rsidP="0093285E"/>
    <w:p w:rsidR="0093285E" w:rsidRDefault="0093285E" w:rsidP="0093285E"/>
    <w:p w:rsidR="0093285E" w:rsidRDefault="0093285E" w:rsidP="0093285E"/>
    <w:p w:rsidR="0093285E" w:rsidRPr="003418C6" w:rsidRDefault="0093285E" w:rsidP="0093285E"/>
    <w:p w:rsidR="0093285E" w:rsidRDefault="0093285E" w:rsidP="0093285E"/>
    <w:p w:rsidR="0093285E" w:rsidRDefault="0093285E" w:rsidP="0093285E">
      <w:r>
        <w:t xml:space="preserve">       </w:t>
      </w:r>
    </w:p>
    <w:p w:rsidR="0093285E" w:rsidRDefault="0093285E" w:rsidP="00EF2C2A">
      <w:pPr>
        <w:pStyle w:val="Heading1"/>
      </w:pPr>
      <w:bookmarkStart w:id="12" w:name="_Toc316290974"/>
      <w:r>
        <w:br w:type="page"/>
      </w:r>
      <w:bookmarkStart w:id="13" w:name="_Toc368472930"/>
      <w:bookmarkStart w:id="14" w:name="_Toc316291828"/>
      <w:bookmarkStart w:id="15" w:name="_Toc316291999"/>
      <w:bookmarkStart w:id="16" w:name="_Toc316293820"/>
      <w:r w:rsidR="00EF2C2A">
        <w:lastRenderedPageBreak/>
        <w:t xml:space="preserve">3.  </w:t>
      </w:r>
      <w:r w:rsidR="00DC636D">
        <w:t xml:space="preserve">REGULATORY INFORMATION NOTICE </w:t>
      </w:r>
      <w:r>
        <w:t xml:space="preserve">– </w:t>
      </w:r>
      <w:r w:rsidR="00EF2C2A">
        <w:t>S</w:t>
      </w:r>
      <w:r w:rsidR="00DC636D">
        <w:t>CHEDULE 1</w:t>
      </w:r>
      <w:bookmarkEnd w:id="13"/>
      <w:r>
        <w:t xml:space="preserve"> </w:t>
      </w:r>
      <w:bookmarkEnd w:id="12"/>
      <w:bookmarkEnd w:id="14"/>
      <w:bookmarkEnd w:id="15"/>
      <w:bookmarkEnd w:id="16"/>
    </w:p>
    <w:p w:rsidR="00241CC9" w:rsidRDefault="00241CC9" w:rsidP="00241CC9">
      <w:pPr>
        <w:rPr>
          <w:lang w:bidi="en-US"/>
        </w:rPr>
      </w:pPr>
    </w:p>
    <w:p w:rsidR="0093285E" w:rsidRPr="00AB4E2C" w:rsidRDefault="00241CC9" w:rsidP="009242D2">
      <w:pPr>
        <w:pStyle w:val="Heading3"/>
      </w:pPr>
      <w:bookmarkStart w:id="17" w:name="_Toc368472931"/>
      <w:r>
        <w:t xml:space="preserve">1. </w:t>
      </w:r>
      <w:r w:rsidR="00DC636D">
        <w:t xml:space="preserve">  </w:t>
      </w:r>
      <w:r w:rsidR="009242D2" w:rsidRPr="009242D2">
        <w:t>PROVIDE INFORMATION</w:t>
      </w:r>
      <w:bookmarkEnd w:id="17"/>
      <w:r w:rsidR="0093285E">
        <w:br/>
      </w:r>
    </w:p>
    <w:p w:rsidR="008072EE" w:rsidRDefault="008072EE" w:rsidP="009242D2">
      <w:pPr>
        <w:pStyle w:val="Heading5"/>
      </w:pPr>
      <w:r>
        <w:t xml:space="preserve">Item </w:t>
      </w:r>
      <w:r w:rsidR="00A85C6E">
        <w:t>1.1</w:t>
      </w:r>
      <w:r w:rsidR="0093285E">
        <w:t xml:space="preserve"> </w:t>
      </w:r>
      <w:r w:rsidR="009242D2">
        <w:t xml:space="preserve"> </w:t>
      </w:r>
    </w:p>
    <w:p w:rsidR="00E9771D" w:rsidRDefault="0093285E" w:rsidP="003978AC">
      <w:pPr>
        <w:pStyle w:val="BodyText"/>
      </w:pPr>
      <w:r w:rsidRPr="009242D2">
        <w:t>Provide</w:t>
      </w:r>
      <w:r w:rsidR="00E9771D" w:rsidRPr="009242D2">
        <w:t>:</w:t>
      </w:r>
      <w:r w:rsidR="00E9771D">
        <w:t xml:space="preserve"> </w:t>
      </w:r>
      <w:r>
        <w:t xml:space="preserve"> </w:t>
      </w:r>
    </w:p>
    <w:p w:rsidR="00E9771D" w:rsidRDefault="00E9771D" w:rsidP="000D309C">
      <w:pPr>
        <w:pStyle w:val="ListParagraph"/>
        <w:numPr>
          <w:ilvl w:val="0"/>
          <w:numId w:val="18"/>
        </w:numPr>
      </w:pPr>
      <w:r>
        <w:t>the information required in the Regulatory Accounting Statements, being the information required in the worksheets in the Microsoft Excel workbook attached at Appendix B;</w:t>
      </w:r>
    </w:p>
    <w:p w:rsidR="00E9771D" w:rsidRDefault="00E9771D" w:rsidP="000D309C">
      <w:pPr>
        <w:pStyle w:val="ListParagraph"/>
        <w:numPr>
          <w:ilvl w:val="0"/>
          <w:numId w:val="18"/>
        </w:numPr>
      </w:pPr>
      <w:r>
        <w:t>the information required in the Non-Financial Regulatory Templates in the Microsoft Excel workbook attached at Appendix C;</w:t>
      </w:r>
    </w:p>
    <w:p w:rsidR="0093285E" w:rsidRDefault="00E9771D" w:rsidP="000D309C">
      <w:pPr>
        <w:pStyle w:val="ListParagraph"/>
        <w:numPr>
          <w:ilvl w:val="0"/>
          <w:numId w:val="18"/>
        </w:numPr>
      </w:pPr>
      <w:r>
        <w:t>in relation to the information provided in the response to paragraph 1.1(a) and 1.1(b), explain, where applicable:</w:t>
      </w:r>
      <w:r>
        <w:br/>
        <w:t xml:space="preserve">(i)  the assumptions </w:t>
      </w:r>
      <w:r w:rsidR="0093285E">
        <w:t xml:space="preserve">and methodologies underlying the information </w:t>
      </w:r>
      <w:r>
        <w:t>provided;</w:t>
      </w:r>
      <w:r>
        <w:br/>
        <w:t>(ii) each instance where the information cannot be provided or is not provided in full;</w:t>
      </w:r>
    </w:p>
    <w:p w:rsidR="00D91ACD" w:rsidRDefault="00D91ACD" w:rsidP="000D309C">
      <w:pPr>
        <w:pStyle w:val="ListParagraph"/>
        <w:numPr>
          <w:ilvl w:val="0"/>
          <w:numId w:val="18"/>
        </w:numPr>
      </w:pPr>
      <w:r>
        <w:t>a Microsoft Excel workbook or other information that explains all movements between the Audited Statutory Accounts and the Regulatory Accounting Statements;</w:t>
      </w:r>
    </w:p>
    <w:p w:rsidR="00D91ACD" w:rsidRDefault="00D91ACD" w:rsidP="000D309C">
      <w:pPr>
        <w:pStyle w:val="ListParagraph"/>
        <w:numPr>
          <w:ilvl w:val="0"/>
          <w:numId w:val="18"/>
        </w:numPr>
      </w:pPr>
      <w:r>
        <w:t>the Capitalisation Policy for the Relevant Regulatory Year; and</w:t>
      </w:r>
    </w:p>
    <w:p w:rsidR="00D91ACD" w:rsidRDefault="00D91ACD" w:rsidP="003978AC">
      <w:pPr>
        <w:pStyle w:val="ListParagraph"/>
        <w:numPr>
          <w:ilvl w:val="0"/>
          <w:numId w:val="18"/>
        </w:numPr>
        <w:spacing w:after="240"/>
      </w:pPr>
      <w:r>
        <w:t xml:space="preserve">the statement of policy/s for determining the allocation of shared costs in accordance with the </w:t>
      </w:r>
      <w:r>
        <w:rPr>
          <w:i/>
        </w:rPr>
        <w:t xml:space="preserve">Cost Allocation Method </w:t>
      </w:r>
      <w:r>
        <w:t xml:space="preserve">for the Relevant Regulatory Year and the previous </w:t>
      </w:r>
      <w:r>
        <w:rPr>
          <w:i/>
        </w:rPr>
        <w:t>regulatory year.</w:t>
      </w:r>
    </w:p>
    <w:p w:rsidR="0093285E" w:rsidRPr="003418C6" w:rsidRDefault="00D91ACD" w:rsidP="00D91ACD">
      <w:pPr>
        <w:pStyle w:val="ListParagraph"/>
      </w:pPr>
      <w:r w:rsidRPr="003418C6">
        <w:t xml:space="preserve"> </w:t>
      </w:r>
    </w:p>
    <w:p w:rsidR="0093285E" w:rsidRDefault="00066BA6" w:rsidP="003978AC">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6B365F" w:rsidRDefault="006B365F" w:rsidP="003978AC">
      <w:pPr>
        <w:pStyle w:val="BodyText"/>
      </w:pPr>
      <w:r>
        <w:t>SA Power Networks ha</w:t>
      </w:r>
      <w:r w:rsidR="0002397F">
        <w:t>s</w:t>
      </w:r>
      <w:r>
        <w:t xml:space="preserve"> completed, to the extent possible, the information required in the Regulatory Accounting Statements (referred to in </w:t>
      </w:r>
      <w:r w:rsidR="00C86E64">
        <w:t>item</w:t>
      </w:r>
      <w:r>
        <w:t xml:space="preserve"> 1.1(a)) and the Non-Financial Regulatory Templates (referred to in </w:t>
      </w:r>
      <w:r w:rsidR="00C86E64">
        <w:t>item</w:t>
      </w:r>
      <w:r>
        <w:t xml:space="preserve"> 1.1(b)).     </w:t>
      </w:r>
    </w:p>
    <w:p w:rsidR="006B365F" w:rsidRDefault="006B365F" w:rsidP="003978AC">
      <w:pPr>
        <w:pStyle w:val="BodyText"/>
      </w:pPr>
    </w:p>
    <w:p w:rsidR="00624E5E" w:rsidRDefault="001B175B" w:rsidP="003978AC">
      <w:pPr>
        <w:pStyle w:val="BodyText"/>
      </w:pPr>
      <w:r>
        <w:t xml:space="preserve">SA Power Networks’ responses to </w:t>
      </w:r>
      <w:r w:rsidR="00C86E64">
        <w:t>item</w:t>
      </w:r>
      <w:r>
        <w:t xml:space="preserve"> 1.1(c) are </w:t>
      </w:r>
      <w:r w:rsidR="006B365F">
        <w:t xml:space="preserve">contained, where applicable, in each of the relevant worksheet tabs of the </w:t>
      </w:r>
      <w:r>
        <w:t>Regulatory Accounting Statements and the Non-Financial Regulatory Templates</w:t>
      </w:r>
      <w:r w:rsidR="006B365F">
        <w:t xml:space="preserve">.  The information is presented in comment form </w:t>
      </w:r>
      <w:r>
        <w:t>accompanying</w:t>
      </w:r>
      <w:r w:rsidR="006B365F">
        <w:t xml:space="preserve"> each applicable table in the regulatory templates and includes details of assumptions and methodologies used to provide the underlying information, together with reasons for any </w:t>
      </w:r>
      <w:r>
        <w:t xml:space="preserve">information that could not be provided, </w:t>
      </w:r>
      <w:r w:rsidR="006B365F">
        <w:t xml:space="preserve">or </w:t>
      </w:r>
      <w:r>
        <w:t>could not be provided in full</w:t>
      </w:r>
      <w:r w:rsidR="006B365F">
        <w:t>.</w:t>
      </w:r>
      <w:r w:rsidR="00624E5E">
        <w:t xml:space="preserve">  </w:t>
      </w:r>
      <w:r w:rsidR="006B365F">
        <w:t>SA Power Networks has in all instances exercised best endeavours to fully comply with t</w:t>
      </w:r>
      <w:r w:rsidR="00624E5E">
        <w:t xml:space="preserve">he AER’s information requests.  It has been deemed necessary for </w:t>
      </w:r>
      <w:r w:rsidR="006B365F">
        <w:t xml:space="preserve">SA Power Networks to make slight alterations to </w:t>
      </w:r>
      <w:r w:rsidR="00624E5E">
        <w:t xml:space="preserve">some of </w:t>
      </w:r>
      <w:r w:rsidR="006B365F">
        <w:t xml:space="preserve">the regulatory templates in order to provide the </w:t>
      </w:r>
      <w:r w:rsidR="00624E5E">
        <w:t>m</w:t>
      </w:r>
      <w:r w:rsidR="006B365F">
        <w:t>ost meaningful responses to the</w:t>
      </w:r>
      <w:r w:rsidR="00624E5E">
        <w:t xml:space="preserve"> AER</w:t>
      </w:r>
      <w:r w:rsidR="006B365F">
        <w:t>, and in order to enable the AER to best achieve its regulatory objectives.  In each case, commentary has been provided to explain the reason for any changes to the templates.</w:t>
      </w:r>
    </w:p>
    <w:p w:rsidR="00624E5E" w:rsidRDefault="00624E5E" w:rsidP="003978AC">
      <w:pPr>
        <w:pStyle w:val="BodyText"/>
      </w:pPr>
    </w:p>
    <w:p w:rsidR="00230C8B" w:rsidRDefault="00230C8B" w:rsidP="003978AC">
      <w:pPr>
        <w:pStyle w:val="BodyText"/>
      </w:pPr>
      <w:r>
        <w:t xml:space="preserve">A </w:t>
      </w:r>
      <w:r w:rsidRPr="003978AC">
        <w:t>M</w:t>
      </w:r>
      <w:r w:rsidR="003978AC" w:rsidRPr="003978AC">
        <w:t xml:space="preserve">icrosoft Excel workbook titled </w:t>
      </w:r>
      <w:r w:rsidR="003978AC" w:rsidRPr="003978AC">
        <w:rPr>
          <w:i/>
        </w:rPr>
        <w:t>“Regulatory Adjustments – Item 1.1(d).xlsx</w:t>
      </w:r>
      <w:r w:rsidRPr="003978AC">
        <w:rPr>
          <w:i/>
        </w:rPr>
        <w:t>“</w:t>
      </w:r>
      <w:r>
        <w:t xml:space="preserve"> is </w:t>
      </w:r>
      <w:r w:rsidR="000D7FAC">
        <w:t>provided</w:t>
      </w:r>
      <w:r>
        <w:t xml:space="preserve"> as </w:t>
      </w:r>
      <w:r w:rsidRPr="003978AC">
        <w:t>A</w:t>
      </w:r>
      <w:r w:rsidR="00C82AAB" w:rsidRPr="003978AC">
        <w:t>ttachment</w:t>
      </w:r>
      <w:r w:rsidRPr="003978AC">
        <w:t xml:space="preserve"> </w:t>
      </w:r>
      <w:r w:rsidR="003978AC" w:rsidRPr="003978AC">
        <w:t>1.1(d)</w:t>
      </w:r>
      <w:r w:rsidR="003978AC">
        <w:t xml:space="preserve"> </w:t>
      </w:r>
      <w:r>
        <w:t xml:space="preserve">to this document, which reconciles and explains all movements between the Audited Statutory Accounts and the Regulatory Accounting Statements.  </w:t>
      </w:r>
    </w:p>
    <w:p w:rsidR="006B365F" w:rsidRDefault="00230C8B" w:rsidP="003978AC">
      <w:pPr>
        <w:pStyle w:val="BodyText"/>
      </w:pPr>
      <w:r>
        <w:t xml:space="preserve"> </w:t>
      </w:r>
      <w:r w:rsidR="006B365F">
        <w:t xml:space="preserve">  </w:t>
      </w:r>
    </w:p>
    <w:p w:rsidR="006B365F" w:rsidRDefault="006B365F" w:rsidP="006B365F">
      <w:r>
        <w:t xml:space="preserve">Should the AER require any further details or explanations as to any of the information provided in the </w:t>
      </w:r>
      <w:r w:rsidR="00230C8B">
        <w:t>Regulatory Accounting Statements, the Non-Financial Regulatory Templates, and the associated attachments pro</w:t>
      </w:r>
      <w:r w:rsidR="00EB30E9">
        <w:t>vided</w:t>
      </w:r>
      <w:r>
        <w:t xml:space="preserve">, SA Power Networks will respond accordingly.        </w:t>
      </w:r>
    </w:p>
    <w:p w:rsidR="0093285E" w:rsidRDefault="0093285E" w:rsidP="0093285E"/>
    <w:p w:rsidR="000D7FAC" w:rsidRDefault="000D7FAC" w:rsidP="0093285E">
      <w:r>
        <w:t>SA Power N</w:t>
      </w:r>
      <w:r w:rsidR="00355497">
        <w:t xml:space="preserve">etworks’ current Capitalisation </w:t>
      </w:r>
      <w:r>
        <w:t xml:space="preserve">Policy is </w:t>
      </w:r>
      <w:r w:rsidR="00355497">
        <w:t xml:space="preserve">contained within the document titled </w:t>
      </w:r>
      <w:r w:rsidR="00355497">
        <w:rPr>
          <w:i/>
        </w:rPr>
        <w:t xml:space="preserve">“Accounting Practices and Guidelines Manual” </w:t>
      </w:r>
      <w:r>
        <w:t xml:space="preserve">provided as </w:t>
      </w:r>
      <w:r w:rsidR="00C82AAB" w:rsidRPr="003978AC">
        <w:t>Attachment</w:t>
      </w:r>
      <w:r w:rsidRPr="003978AC">
        <w:t xml:space="preserve"> </w:t>
      </w:r>
      <w:r w:rsidR="003978AC">
        <w:t>1.1(e)</w:t>
      </w:r>
      <w:r>
        <w:t xml:space="preserve"> to this document.  This Policy applied f</w:t>
      </w:r>
      <w:r w:rsidR="00C86E64">
        <w:t>or the duration of the 2012-13 regulatory y</w:t>
      </w:r>
      <w:r>
        <w:t>ear</w:t>
      </w:r>
      <w:r w:rsidR="00355497">
        <w:t xml:space="preserve"> (Refer section 3. Fixed Assets)</w:t>
      </w:r>
      <w:r>
        <w:t>.</w:t>
      </w:r>
    </w:p>
    <w:p w:rsidR="000D7FAC" w:rsidRDefault="000D7FAC" w:rsidP="0093285E"/>
    <w:p w:rsidR="000D7FAC" w:rsidRPr="00534ED3" w:rsidRDefault="00534ED3" w:rsidP="0093285E">
      <w:pPr>
        <w:rPr>
          <w:color w:val="000000" w:themeColor="accent1"/>
        </w:rPr>
      </w:pPr>
      <w:r>
        <w:rPr>
          <w:color w:val="000000" w:themeColor="accent1"/>
        </w:rPr>
        <w:t>SA Power Networks’ policies for determining the allocation of shared costs for both the 2011</w:t>
      </w:r>
      <w:r w:rsidR="003978AC">
        <w:rPr>
          <w:color w:val="000000" w:themeColor="accent1"/>
        </w:rPr>
        <w:t>-12 and 2012-</w:t>
      </w:r>
      <w:r>
        <w:rPr>
          <w:color w:val="000000" w:themeColor="accent1"/>
        </w:rPr>
        <w:t xml:space="preserve">13 regulatory years are </w:t>
      </w:r>
      <w:r w:rsidR="00D44E83">
        <w:rPr>
          <w:color w:val="000000" w:themeColor="accent1"/>
        </w:rPr>
        <w:t xml:space="preserve">those </w:t>
      </w:r>
      <w:r w:rsidR="00880612">
        <w:rPr>
          <w:color w:val="000000" w:themeColor="accent1"/>
        </w:rPr>
        <w:t xml:space="preserve">specifically </w:t>
      </w:r>
      <w:r>
        <w:rPr>
          <w:color w:val="000000" w:themeColor="accent1"/>
        </w:rPr>
        <w:t xml:space="preserve">contained within the current approved Cost Allocation Method, which is provided as </w:t>
      </w:r>
      <w:r w:rsidRPr="003978AC">
        <w:rPr>
          <w:color w:val="000000" w:themeColor="accent1"/>
        </w:rPr>
        <w:t xml:space="preserve">Attachment </w:t>
      </w:r>
      <w:r w:rsidR="003978AC" w:rsidRPr="003978AC">
        <w:rPr>
          <w:color w:val="000000" w:themeColor="accent1"/>
        </w:rPr>
        <w:t>1.1(f)</w:t>
      </w:r>
      <w:r>
        <w:rPr>
          <w:color w:val="000000" w:themeColor="accent1"/>
        </w:rPr>
        <w:t xml:space="preserve"> to this document.  </w:t>
      </w:r>
      <w:r w:rsidR="00C92AD4">
        <w:rPr>
          <w:color w:val="000000" w:themeColor="accent1"/>
        </w:rPr>
        <w:t xml:space="preserve">As per Section 3 (page 6), overall responsibility for the Cost Allocation Methodology is with the Chief Financial Officer for SA Power Networks.  Responsibility for updating, maintaining and applying the Cost Allocation Method sits with the Regulatory Accountant.  SA Power Networks’ regulatory allocation of shared costs </w:t>
      </w:r>
      <w:r w:rsidR="00D44E83">
        <w:rPr>
          <w:color w:val="000000" w:themeColor="accent1"/>
        </w:rPr>
        <w:t xml:space="preserve">is calculated each year by the Regulatory Accountant, who is best placed both to report on, and ensure compliance with the approved shared cost allocations as detailed in </w:t>
      </w:r>
      <w:r>
        <w:rPr>
          <w:color w:val="000000" w:themeColor="accent1"/>
        </w:rPr>
        <w:t>Section 6.3</w:t>
      </w:r>
      <w:r w:rsidR="00D44E83">
        <w:rPr>
          <w:color w:val="000000" w:themeColor="accent1"/>
        </w:rPr>
        <w:t xml:space="preserve"> (pages 15-26) </w:t>
      </w:r>
      <w:r>
        <w:rPr>
          <w:color w:val="000000" w:themeColor="accent1"/>
        </w:rPr>
        <w:t>of the Cost Allocation Method</w:t>
      </w:r>
      <w:r w:rsidR="00D44E83">
        <w:rPr>
          <w:color w:val="000000" w:themeColor="accent1"/>
        </w:rPr>
        <w:t xml:space="preserve">.  In addition, Sections 7 and 8 on page 31 detail the record maintenance and compliance procedures associated with shared cost allocations, together with overall adherence with the Cost Allocation Method. </w:t>
      </w:r>
    </w:p>
    <w:p w:rsidR="004E3289" w:rsidRDefault="0093285E" w:rsidP="009242D2">
      <w:pPr>
        <w:pStyle w:val="Heading5"/>
      </w:pPr>
      <w:r>
        <w:br w:type="page"/>
      </w:r>
      <w:bookmarkStart w:id="18" w:name="_Toc316292001"/>
      <w:bookmarkStart w:id="19" w:name="_Toc316293822"/>
      <w:r w:rsidR="004E3289">
        <w:lastRenderedPageBreak/>
        <w:t xml:space="preserve">Item </w:t>
      </w:r>
      <w:r>
        <w:t>1.2</w:t>
      </w:r>
      <w:bookmarkEnd w:id="18"/>
      <w:bookmarkEnd w:id="19"/>
      <w:r>
        <w:t xml:space="preserve"> </w:t>
      </w:r>
      <w:r w:rsidR="009242D2">
        <w:t xml:space="preserve"> </w:t>
      </w:r>
    </w:p>
    <w:p w:rsidR="0093285E" w:rsidRPr="009242D2" w:rsidRDefault="00F34A55" w:rsidP="003978AC">
      <w:pPr>
        <w:pStyle w:val="BodyText"/>
      </w:pPr>
      <w:r w:rsidRPr="009242D2">
        <w:t>For each of the following items, identify each Material difference between that reported in the Regulatory Accounting Statements and that provided for in the 2010-15 Distribution Determination for the Relevant Regulatory Year:</w:t>
      </w:r>
    </w:p>
    <w:p w:rsidR="00F34A55" w:rsidRDefault="00F34A55" w:rsidP="000D309C">
      <w:pPr>
        <w:pStyle w:val="ListParagraph"/>
        <w:numPr>
          <w:ilvl w:val="0"/>
          <w:numId w:val="19"/>
        </w:numPr>
      </w:pPr>
      <w:r>
        <w:t>total actual revenue and total forecast revenue;</w:t>
      </w:r>
    </w:p>
    <w:p w:rsidR="00F34A55" w:rsidRDefault="00F34A55" w:rsidP="000D309C">
      <w:pPr>
        <w:pStyle w:val="ListParagraph"/>
        <w:numPr>
          <w:ilvl w:val="0"/>
          <w:numId w:val="19"/>
        </w:numPr>
      </w:pPr>
      <w:r>
        <w:t>total actual Operating Expenditure and total forecast Operating Expenditure;</w:t>
      </w:r>
    </w:p>
    <w:p w:rsidR="00F34A55" w:rsidRDefault="00F34A55" w:rsidP="000D309C">
      <w:pPr>
        <w:pStyle w:val="ListParagraph"/>
        <w:numPr>
          <w:ilvl w:val="0"/>
          <w:numId w:val="19"/>
        </w:numPr>
      </w:pPr>
      <w:r>
        <w:t>total actual Maintenance Expenditure and total forecast Maintenance Expenditure; and</w:t>
      </w:r>
    </w:p>
    <w:p w:rsidR="00F34A55" w:rsidRDefault="00F34A55" w:rsidP="003978AC">
      <w:pPr>
        <w:pStyle w:val="ListParagraph"/>
        <w:numPr>
          <w:ilvl w:val="0"/>
          <w:numId w:val="19"/>
        </w:numPr>
        <w:spacing w:after="240"/>
      </w:pPr>
      <w:r>
        <w:t>total actual Capital Expenditure and total forecast Capital Expenditure.</w:t>
      </w:r>
    </w:p>
    <w:p w:rsidR="0093285E" w:rsidRDefault="0093285E" w:rsidP="0093285E"/>
    <w:p w:rsidR="0093285E" w:rsidRDefault="00CB4965" w:rsidP="0093285E">
      <w:pPr>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33AA7" w:rsidRDefault="00FC61E9" w:rsidP="003978AC">
      <w:pPr>
        <w:spacing w:after="120"/>
      </w:pPr>
      <w:r>
        <w:t xml:space="preserve">The Regulatory Information Notice defines </w:t>
      </w:r>
      <w:r w:rsidRPr="00FC61E9">
        <w:rPr>
          <w:i/>
        </w:rPr>
        <w:t>Material</w:t>
      </w:r>
      <w:r>
        <w:t xml:space="preserve"> as “The difference that is greater than 10 percent between the AER approved forecasts (as per the 2010-15 Distribution Determination adjusted by CPI to the relevant regulatory year dollar value), and SA Power Networks’ reported actual amount.”  In applying this definition, there is a Material difference between </w:t>
      </w:r>
      <w:r w:rsidR="001F6429">
        <w:t xml:space="preserve">SA Power Networks’ reported total actual Maintenance Expenditure and total forecast Maintenance Expenditure </w:t>
      </w:r>
      <w:r w:rsidR="00133AA7">
        <w:t>for the year ended 30 June 2013</w:t>
      </w:r>
      <w:r w:rsidR="001F6429">
        <w:t>.</w:t>
      </w:r>
      <w:r w:rsidR="002426C8">
        <w:t xml:space="preserve">  As per Table 1 in Template 8 of the Regulatory Accounting Statements, total actual Maintenance Expenditure for standard control services </w:t>
      </w:r>
      <w:r w:rsidR="003C4336">
        <w:t xml:space="preserve">was </w:t>
      </w:r>
      <w:r w:rsidR="002426C8">
        <w:t>$115.3</w:t>
      </w:r>
      <w:r w:rsidR="00133AA7">
        <w:t xml:space="preserve"> million</w:t>
      </w:r>
      <w:r w:rsidR="002426C8">
        <w:t xml:space="preserve"> versus a forecast </w:t>
      </w:r>
      <w:r w:rsidR="00133AA7">
        <w:t xml:space="preserve">total </w:t>
      </w:r>
      <w:r w:rsidR="002426C8">
        <w:t>of $104.4</w:t>
      </w:r>
      <w:r w:rsidR="00133AA7">
        <w:t xml:space="preserve"> million</w:t>
      </w:r>
      <w:r w:rsidR="002426C8">
        <w:t xml:space="preserve"> (adjusted for CPI and </w:t>
      </w:r>
      <w:r w:rsidR="002426C8" w:rsidRPr="00133AA7">
        <w:t xml:space="preserve">the </w:t>
      </w:r>
      <w:r w:rsidR="00133AA7" w:rsidRPr="00133AA7">
        <w:t>AER-</w:t>
      </w:r>
      <w:r w:rsidR="002426C8" w:rsidRPr="00133AA7">
        <w:t xml:space="preserve">approved Vegetation </w:t>
      </w:r>
      <w:r w:rsidR="00133AA7" w:rsidRPr="00133AA7">
        <w:t>Clearance</w:t>
      </w:r>
      <w:r w:rsidR="002426C8" w:rsidRPr="00133AA7">
        <w:t xml:space="preserve"> pass through event)</w:t>
      </w:r>
      <w:r w:rsidR="003C4336">
        <w:t xml:space="preserve">.  This represents </w:t>
      </w:r>
      <w:r w:rsidR="00133AA7">
        <w:t xml:space="preserve">a 10.4% variance between actual and </w:t>
      </w:r>
      <w:r w:rsidR="003C4336">
        <w:t>forecast</w:t>
      </w:r>
      <w:r w:rsidR="00133AA7">
        <w:t xml:space="preserve"> costs.  </w:t>
      </w:r>
    </w:p>
    <w:p w:rsidR="0093285E" w:rsidRPr="00FC61E9" w:rsidRDefault="00133AA7" w:rsidP="00CB4965">
      <w:pPr>
        <w:spacing w:after="120"/>
      </w:pPr>
      <w:r>
        <w:t>V</w:t>
      </w:r>
      <w:r w:rsidR="003C4336">
        <w:t xml:space="preserve">ariances </w:t>
      </w:r>
      <w:r>
        <w:t>in</w:t>
      </w:r>
      <w:r w:rsidR="003C4336">
        <w:t xml:space="preserve"> the other items identified in paragraph 1.2 were within the AER’s materiality threshold </w:t>
      </w:r>
      <w:r>
        <w:t>for</w:t>
      </w:r>
      <w:r w:rsidR="003C4336">
        <w:t xml:space="preserve"> the </w:t>
      </w:r>
      <w:r>
        <w:t xml:space="preserve">regulatory year. </w:t>
      </w:r>
      <w:r w:rsidR="003C4336">
        <w:t xml:space="preserve"> </w:t>
      </w:r>
      <w:r w:rsidR="002426C8">
        <w:t xml:space="preserve">  </w:t>
      </w:r>
      <w:r w:rsidR="001F6429">
        <w:t xml:space="preserve"> </w:t>
      </w:r>
    </w:p>
    <w:p w:rsidR="0093285E" w:rsidRDefault="0093285E" w:rsidP="0093285E">
      <w:r>
        <w:t xml:space="preserve">    </w:t>
      </w:r>
    </w:p>
    <w:p w:rsidR="0093285E" w:rsidRDefault="0093285E" w:rsidP="0093285E"/>
    <w:p w:rsidR="004E3289" w:rsidRDefault="0093285E" w:rsidP="009242D2">
      <w:pPr>
        <w:pStyle w:val="Heading5"/>
      </w:pPr>
      <w:r>
        <w:br w:type="page"/>
      </w:r>
      <w:bookmarkStart w:id="20" w:name="_Toc316292002"/>
      <w:bookmarkStart w:id="21" w:name="_Toc316293823"/>
      <w:r w:rsidR="004E3289">
        <w:lastRenderedPageBreak/>
        <w:t xml:space="preserve">Item </w:t>
      </w:r>
      <w:r>
        <w:t>1.3</w:t>
      </w:r>
      <w:bookmarkEnd w:id="20"/>
      <w:bookmarkEnd w:id="21"/>
      <w:r>
        <w:t xml:space="preserve"> </w:t>
      </w:r>
      <w:r w:rsidR="009242D2">
        <w:t xml:space="preserve"> </w:t>
      </w:r>
    </w:p>
    <w:p w:rsidR="0093285E" w:rsidRPr="009242D2" w:rsidRDefault="005D5313" w:rsidP="003978AC">
      <w:pPr>
        <w:pStyle w:val="BodyText"/>
      </w:pPr>
      <w:r w:rsidRPr="009242D2">
        <w:t xml:space="preserve">Explain the reasons for any underlying operational activities or drivers that caused each Material difference identified in the response to paragraph 1.2. </w:t>
      </w:r>
    </w:p>
    <w:p w:rsidR="005D5313" w:rsidRDefault="005D5313" w:rsidP="0093285E"/>
    <w:p w:rsidR="0093285E" w:rsidRPr="007F0BCB" w:rsidRDefault="00095EF1"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Pr="00062771" w:rsidRDefault="00B9036F" w:rsidP="00F07744">
      <w:pPr>
        <w:spacing w:after="120"/>
      </w:pPr>
      <w:r>
        <w:t xml:space="preserve">The primary expenditure categories </w:t>
      </w:r>
      <w:r w:rsidR="0018434B">
        <w:t>underlying</w:t>
      </w:r>
      <w:r>
        <w:t xml:space="preserve"> the </w:t>
      </w:r>
      <w:r w:rsidR="00343B1E">
        <w:t>$10.</w:t>
      </w:r>
      <w:r w:rsidR="0018434B">
        <w:t>9 million</w:t>
      </w:r>
      <w:r w:rsidR="00343B1E">
        <w:t xml:space="preserve"> (10.4%)</w:t>
      </w:r>
      <w:r w:rsidR="00062771">
        <w:t xml:space="preserve"> </w:t>
      </w:r>
      <w:r w:rsidR="003920D9">
        <w:t>variance</w:t>
      </w:r>
      <w:r w:rsidR="00062771">
        <w:t xml:space="preserve"> in total actual Maintenance Expenditure as compared to forecast (identified in the </w:t>
      </w:r>
      <w:r w:rsidR="0093285E" w:rsidRPr="00062771">
        <w:t>response to item 1.2 above)</w:t>
      </w:r>
      <w:r w:rsidR="00343B1E">
        <w:t xml:space="preserve"> are Vegetation </w:t>
      </w:r>
      <w:r w:rsidR="0018434B">
        <w:t>m</w:t>
      </w:r>
      <w:r w:rsidR="00343B1E">
        <w:t>anagement, Inspection</w:t>
      </w:r>
      <w:r w:rsidR="004943C6">
        <w:t>, Demand management</w:t>
      </w:r>
      <w:r w:rsidR="00343B1E">
        <w:t xml:space="preserve"> and Guaranteed Service Level (GSL) </w:t>
      </w:r>
      <w:r w:rsidR="0018434B">
        <w:t>p</w:t>
      </w:r>
      <w:r w:rsidR="00343B1E">
        <w:t>ayments.</w:t>
      </w:r>
      <w:r w:rsidR="00CF6296">
        <w:t xml:space="preserve">  Explanations for expenditure variances against forecasts for these items are contained in Table 2 of Template 8 of the Regulatory Accounting Statements.</w:t>
      </w:r>
      <w:r w:rsidR="002867F0">
        <w:t xml:space="preserve">  </w:t>
      </w:r>
      <w:r w:rsidR="00343B1E">
        <w:t xml:space="preserve">  </w:t>
      </w:r>
    </w:p>
    <w:p w:rsidR="0093285E" w:rsidRDefault="0093285E" w:rsidP="0093285E"/>
    <w:p w:rsidR="004E3289" w:rsidRDefault="0093285E" w:rsidP="009242D2">
      <w:pPr>
        <w:pStyle w:val="Heading5"/>
      </w:pPr>
      <w:r>
        <w:br w:type="page"/>
      </w:r>
      <w:bookmarkStart w:id="22" w:name="_Toc316292003"/>
      <w:bookmarkStart w:id="23" w:name="_Toc316293824"/>
      <w:r w:rsidR="004E3289">
        <w:lastRenderedPageBreak/>
        <w:t xml:space="preserve">Item </w:t>
      </w:r>
      <w:r>
        <w:t>1.4</w:t>
      </w:r>
      <w:bookmarkEnd w:id="22"/>
      <w:bookmarkEnd w:id="23"/>
      <w:r>
        <w:t xml:space="preserve"> </w:t>
      </w:r>
      <w:r w:rsidR="009242D2">
        <w:t xml:space="preserve"> </w:t>
      </w:r>
    </w:p>
    <w:p w:rsidR="0093285E" w:rsidRPr="009242D2" w:rsidRDefault="007F4108" w:rsidP="003978AC">
      <w:pPr>
        <w:pStyle w:val="BodyText"/>
      </w:pPr>
      <w:r w:rsidRPr="009242D2">
        <w:t xml:space="preserve">Explain the procedures and processes used by SA Power Networks to ensure that the </w:t>
      </w:r>
      <w:r w:rsidRPr="009242D2">
        <w:rPr>
          <w:i/>
        </w:rPr>
        <w:t xml:space="preserve">distribution services </w:t>
      </w:r>
      <w:r w:rsidRPr="009242D2">
        <w:t xml:space="preserve">have been classified as determined in the 2010-15 Distribution Determination.  </w:t>
      </w:r>
    </w:p>
    <w:p w:rsidR="007F4108" w:rsidRDefault="007F4108" w:rsidP="0093285E"/>
    <w:p w:rsidR="0093285E" w:rsidRDefault="0026786A"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C200E7" w:rsidRDefault="00C200E7" w:rsidP="00C200E7">
      <w:pPr>
        <w:spacing w:after="120"/>
      </w:pPr>
      <w:r>
        <w:t xml:space="preserve">The information provided in the regulatory templates has been prepared in accordance with the definitions of standard control distribution services, alternative control distribution services, negotiated distribution services, unregulated services and unallocated items as set out in the Notice and the AER’s 2010-15 Distribution Determination.  </w:t>
      </w:r>
    </w:p>
    <w:p w:rsidR="00C200E7" w:rsidRDefault="00C200E7" w:rsidP="00C200E7">
      <w:pPr>
        <w:spacing w:after="120"/>
      </w:pPr>
      <w:r>
        <w:t xml:space="preserve">SA Power Networks’ accounting and financial reporting systems are maintained in SAP, its integrated business management system.  Revenue and costs are assigned against capital and operating job/work orders in SAP.  These capture revenue and costs for distinct items of work which, for example, may be job specific or program specific.  For major jobs or work programs, projects may be established in SAP as the reporting unit.  This may be a collection of job/work orders summarised at a project level, or it may be a distinct business unit for reporting.  This therefore represents an output view of revenue and costs.  </w:t>
      </w:r>
    </w:p>
    <w:p w:rsidR="00C200E7" w:rsidRDefault="00C200E7" w:rsidP="00C200E7">
      <w:pPr>
        <w:spacing w:after="120"/>
      </w:pPr>
      <w:r>
        <w:t xml:space="preserve">Job/work orders are allocated a SA Power Networks activity when created in SAP.  They are allocated to one activity only.  Activities identify work outputs at a higher level than job/work orders.  Activities are the link to identifying regulatory costs and revenues, as they measure the directly attributable revenue and costs of different lines of business for each of SA Power Networks’ distribution service categories.  SA Power Networks has in place a comprehensive activity structure that defines the lines of work to which each transaction relates.  The activity structure is consistent with the categories specified in the 2010-15 Distribution Determination.  The activity numbers and associated descriptions clearly identify revenue and cost as either relating to standard control services (operating or capital), alternative control services (operating or capital), negotiated services (operating or capital) or unregulated services. </w:t>
      </w:r>
    </w:p>
    <w:p w:rsidR="00C200E7" w:rsidRDefault="00C200E7" w:rsidP="00C200E7">
      <w:pPr>
        <w:spacing w:after="120"/>
      </w:pPr>
      <w:r>
        <w:t>In the case of general operating transactions, revenue and costs consolidate to a profit centre which includes an activity view.  A profit centre reports both an input and output view of revenue and costs.  In the case of capital expenditure, costs ultimately settle to an asset in the balance sheet.</w:t>
      </w:r>
    </w:p>
    <w:p w:rsidR="00C200E7" w:rsidRDefault="00C200E7" w:rsidP="00C200E7">
      <w:pPr>
        <w:spacing w:after="120"/>
      </w:pPr>
      <w:r>
        <w:t xml:space="preserve">Regular reviews are conducted by staff within the corporate, operational and regulatory finance groups in order to ensure that revenue and costs have been correctly allocated against each reporting activity, to query the validity of any material or abnormal transactions, and to reassign any transactions found to be incorrectly classified to their correct activities. </w:t>
      </w:r>
    </w:p>
    <w:p w:rsidR="00C200E7" w:rsidRDefault="00C200E7" w:rsidP="00C200E7">
      <w:pPr>
        <w:spacing w:after="120"/>
      </w:pPr>
      <w:r>
        <w:t>Corporate groups support the operational functions of SA Power Networks.  Corporate (or shared) costs are allocated across operating activities only.  Each corporate group’s costs are allocated between standard control services, alternative control services, negotiated services and unregulated services based on allocations that best reflect the type of services provided.  A full description of corporate cost allocations is contained within SA Power Networks’ Cost Allocation Method.</w:t>
      </w:r>
    </w:p>
    <w:p w:rsidR="00C200E7" w:rsidRDefault="003B477C" w:rsidP="00C200E7">
      <w:r>
        <w:t xml:space="preserve">As part of the external audit review of the Regulatory Accounting Statements, </w:t>
      </w:r>
      <w:r w:rsidR="00C200E7">
        <w:t>SA Powe</w:t>
      </w:r>
      <w:r>
        <w:t xml:space="preserve">r Networks’ compliance with its approved </w:t>
      </w:r>
      <w:r w:rsidR="00C200E7">
        <w:t>Cost Allocation Method</w:t>
      </w:r>
      <w:r>
        <w:t xml:space="preserve"> </w:t>
      </w:r>
      <w:r w:rsidR="00C200E7">
        <w:t xml:space="preserve">is </w:t>
      </w:r>
      <w:r>
        <w:t xml:space="preserve">also </w:t>
      </w:r>
      <w:r w:rsidR="008C03C1">
        <w:t>tested</w:t>
      </w:r>
      <w:r>
        <w:t>.</w:t>
      </w:r>
      <w:r w:rsidR="00C200E7">
        <w:t xml:space="preserve">      </w:t>
      </w:r>
    </w:p>
    <w:p w:rsidR="00C200E7" w:rsidRDefault="00C200E7">
      <w:r>
        <w:br w:type="page"/>
      </w:r>
    </w:p>
    <w:p w:rsidR="004E3289" w:rsidRDefault="004E3289" w:rsidP="008072EE">
      <w:pPr>
        <w:pStyle w:val="Heading5"/>
      </w:pPr>
      <w:bookmarkStart w:id="24" w:name="_Toc316292004"/>
      <w:bookmarkStart w:id="25" w:name="_Toc316293825"/>
      <w:r>
        <w:lastRenderedPageBreak/>
        <w:t xml:space="preserve">Item </w:t>
      </w:r>
      <w:r w:rsidR="0093285E">
        <w:t>1.5</w:t>
      </w:r>
      <w:bookmarkEnd w:id="24"/>
      <w:bookmarkEnd w:id="25"/>
      <w:r w:rsidR="0093285E">
        <w:t xml:space="preserve"> </w:t>
      </w:r>
      <w:r w:rsidR="008072EE">
        <w:t xml:space="preserve"> </w:t>
      </w:r>
    </w:p>
    <w:p w:rsidR="0093285E" w:rsidRPr="008072EE" w:rsidRDefault="00D134F7" w:rsidP="003978AC">
      <w:pPr>
        <w:pStyle w:val="BodyText"/>
      </w:pPr>
      <w:r w:rsidRPr="008072EE">
        <w:t xml:space="preserve">Explain the procedures and processes used by SA Power Networks to ensure that the </w:t>
      </w:r>
      <w:r w:rsidRPr="008072EE">
        <w:rPr>
          <w:i/>
        </w:rPr>
        <w:t xml:space="preserve">negotiated distribution service </w:t>
      </w:r>
      <w:r w:rsidRPr="008072EE">
        <w:t xml:space="preserve">criteria, as set out in the 2010-15 Distribution Determination, have been applied.  </w:t>
      </w:r>
    </w:p>
    <w:p w:rsidR="0093285E" w:rsidRDefault="0093285E" w:rsidP="0093285E"/>
    <w:p w:rsidR="0093285E" w:rsidRDefault="005A1377" w:rsidP="009A2EC6">
      <w:pPr>
        <w:spacing w:before="240"/>
        <w:rPr>
          <w:rFonts w:cs="Arial"/>
          <w:b/>
          <w:bCs/>
          <w:iCs/>
          <w:color w:val="F77F00"/>
          <w:szCs w:val="28"/>
        </w:rPr>
      </w:pPr>
      <w:r>
        <w:rPr>
          <w:rFonts w:cs="Arial"/>
          <w:b/>
          <w:bCs/>
          <w:iCs/>
          <w:color w:val="F77F00"/>
          <w:szCs w:val="28"/>
        </w:rPr>
        <w:t xml:space="preserve">SA Power Networks’ </w:t>
      </w:r>
      <w:r w:rsidR="0093285E" w:rsidRPr="00716C5B">
        <w:rPr>
          <w:rFonts w:cs="Arial"/>
          <w:b/>
          <w:bCs/>
          <w:iCs/>
          <w:color w:val="F77F00"/>
          <w:szCs w:val="28"/>
        </w:rPr>
        <w:t>response</w:t>
      </w:r>
      <w:r w:rsidR="0093285E">
        <w:rPr>
          <w:rFonts w:cs="Arial"/>
          <w:b/>
          <w:bCs/>
          <w:iCs/>
          <w:color w:val="F77F00"/>
          <w:szCs w:val="28"/>
        </w:rPr>
        <w:br/>
      </w:r>
    </w:p>
    <w:p w:rsidR="00187F2F" w:rsidRDefault="00187F2F" w:rsidP="00187F2F">
      <w:pPr>
        <w:spacing w:after="120"/>
      </w:pPr>
      <w:r>
        <w:t xml:space="preserve">In respect of negotiated distribution services, SA Power Networks continues to apply the procedures and processes for customer enquiries and applications that were in place prior to the establishment of the negotiation framework (that is, those procedures and processes that applied to </w:t>
      </w:r>
      <w:r w:rsidR="008C03C1">
        <w:t>Excluded Distribution S</w:t>
      </w:r>
      <w:r>
        <w:t>ervices).  SA Power Networks’ procedures and processes comply with the timeframes contained within the negotiation framework and are monitored for compliance.  SA Power Networks’ internal audit group completed a review of regulatory compliance with the negotiation framework in November 2011.  This review examined the business controls and practices in place in the context of the negotiation framework.  The audit determined that there were no material non-compliances with the negotiation framework.</w:t>
      </w:r>
    </w:p>
    <w:p w:rsidR="00187F2F" w:rsidRDefault="00187F2F" w:rsidP="00187F2F">
      <w:pPr>
        <w:spacing w:after="120"/>
      </w:pPr>
      <w:r>
        <w:t xml:space="preserve">The charges for SA Power Networks’ negotiated distribution services are based on an estimate of materials, labour, transport and contractor costs plus contingencies (as SA Power Networks normally provides a fixed price) for completing the service.  Overheads are then added in accordance with our Cost Allocation Method.  A small margin is then added to most negotiated distribution services to provide a fair and reasonable charge that is between the avoidable and stand alone cost, in accordance with </w:t>
      </w:r>
      <w:r w:rsidR="0002397F">
        <w:t xml:space="preserve">negotiated distribution service </w:t>
      </w:r>
      <w:r>
        <w:t>criteria.</w:t>
      </w:r>
    </w:p>
    <w:p w:rsidR="00187F2F" w:rsidRDefault="00187F2F" w:rsidP="00187F2F">
      <w:r>
        <w:t>Charges for SA Power Networks’ negotiated connection services comply with the South Australian Electricity Distribution Code (EDC).  The NER contain a derogation that SA Power Networks is required to comply with the EDC for new and upgraded connections (refer Rule 9.28.3).</w:t>
      </w:r>
    </w:p>
    <w:p w:rsidR="0093285E" w:rsidRDefault="0093285E" w:rsidP="0093285E"/>
    <w:p w:rsidR="004E3289" w:rsidRDefault="0093285E" w:rsidP="008072EE">
      <w:pPr>
        <w:pStyle w:val="Heading5"/>
      </w:pPr>
      <w:r>
        <w:br w:type="page"/>
      </w:r>
      <w:bookmarkStart w:id="26" w:name="_Toc316292005"/>
      <w:bookmarkStart w:id="27" w:name="_Toc316293826"/>
      <w:r w:rsidR="004E3289">
        <w:lastRenderedPageBreak/>
        <w:t xml:space="preserve">Item </w:t>
      </w:r>
      <w:r>
        <w:t>1.6</w:t>
      </w:r>
      <w:bookmarkEnd w:id="26"/>
      <w:bookmarkEnd w:id="27"/>
      <w:r>
        <w:t xml:space="preserve"> </w:t>
      </w:r>
      <w:r w:rsidR="008072EE">
        <w:t xml:space="preserve"> </w:t>
      </w:r>
    </w:p>
    <w:p w:rsidR="0093285E" w:rsidRDefault="00D134F7" w:rsidP="003978AC">
      <w:pPr>
        <w:pStyle w:val="BodyText"/>
      </w:pPr>
      <w:r w:rsidRPr="008072EE">
        <w:t>Describe the process the DNSP has in place to identify negative change events under clause 6.6.1(f) of the NER and the threshold of materiality applied by SA Power Networks to these events.</w:t>
      </w:r>
      <w:r>
        <w:t xml:space="preserve"> </w:t>
      </w:r>
    </w:p>
    <w:p w:rsidR="00D134F7" w:rsidRDefault="00D134F7" w:rsidP="00D134F7"/>
    <w:p w:rsidR="0093285E" w:rsidRDefault="00B90902"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87F2F" w:rsidRDefault="00187F2F" w:rsidP="00187F2F">
      <w:pPr>
        <w:spacing w:after="120"/>
      </w:pPr>
      <w:r>
        <w:t xml:space="preserve">SA Power Networks routinely monitors its legal and regulatory obligations, and our performance against them, to ensure that we identify any changes that will impact on our distribution business.  Any change identified is assessed for its impact on the business, for either higher costs, or lower costs.  Where potential impacts exceed certain thresholds we will make an application to the AER for a pass through.  </w:t>
      </w:r>
    </w:p>
    <w:p w:rsidR="00187F2F" w:rsidRDefault="00187F2F" w:rsidP="00187F2F">
      <w:pPr>
        <w:spacing w:after="120"/>
      </w:pPr>
      <w:r>
        <w:t>For general pass through events, materiality is assessed relative to a level equivalent to 1% of revenue per annum.  For other specific pass through events, materiality is assessed relative to the circumstances of the matter.</w:t>
      </w:r>
    </w:p>
    <w:p w:rsidR="00187F2F" w:rsidRDefault="00187F2F" w:rsidP="00187F2F">
      <w:r>
        <w:t>There were no negative pass through events (i.e. lower costs) identified during 2012/13.</w:t>
      </w:r>
    </w:p>
    <w:p w:rsidR="0093285E" w:rsidRDefault="0093285E" w:rsidP="0093285E"/>
    <w:p w:rsidR="008072EE" w:rsidRDefault="0093285E" w:rsidP="008072EE">
      <w:pPr>
        <w:pStyle w:val="Heading5"/>
      </w:pPr>
      <w:r>
        <w:br w:type="page"/>
      </w:r>
    </w:p>
    <w:p w:rsidR="008072EE" w:rsidRDefault="008072EE" w:rsidP="008072EE">
      <w:pPr>
        <w:pStyle w:val="Heading3"/>
      </w:pPr>
      <w:bookmarkStart w:id="28" w:name="_Toc368472932"/>
      <w:r>
        <w:lastRenderedPageBreak/>
        <w:t>2.   COST ALLOCATION TO THE REGULATED DISTRIBUTION BUSINESS</w:t>
      </w:r>
      <w:bookmarkEnd w:id="28"/>
    </w:p>
    <w:p w:rsidR="008072EE" w:rsidRPr="008072EE" w:rsidRDefault="008072EE" w:rsidP="008072EE">
      <w:pPr>
        <w:pStyle w:val="Heading3"/>
      </w:pPr>
    </w:p>
    <w:p w:rsidR="004E3289" w:rsidRDefault="004E3289" w:rsidP="008072EE">
      <w:pPr>
        <w:pStyle w:val="Heading5"/>
      </w:pPr>
      <w:r>
        <w:t xml:space="preserve">Item </w:t>
      </w:r>
      <w:r w:rsidR="005B5825">
        <w:t>2.1</w:t>
      </w:r>
    </w:p>
    <w:p w:rsidR="0093285E" w:rsidRDefault="0093285E" w:rsidP="003978AC">
      <w:pPr>
        <w:pStyle w:val="BodyText"/>
      </w:pPr>
      <w:r w:rsidRPr="008072EE">
        <w:t xml:space="preserve">Identify </w:t>
      </w:r>
      <w:r w:rsidR="00F02A27" w:rsidRPr="008072EE">
        <w:t>each item in the Regulatory Accounting Statements that is:</w:t>
      </w:r>
    </w:p>
    <w:p w:rsidR="00F02A27" w:rsidRDefault="00F02A27" w:rsidP="000D309C">
      <w:pPr>
        <w:pStyle w:val="ListParagraph"/>
        <w:numPr>
          <w:ilvl w:val="0"/>
          <w:numId w:val="20"/>
        </w:numPr>
      </w:pPr>
      <w:r>
        <w:t xml:space="preserve">not allocated on a directly attributable basis but is allocated on a causation basis to the </w:t>
      </w:r>
      <w:r>
        <w:rPr>
          <w:i/>
        </w:rPr>
        <w:t xml:space="preserve">distribution </w:t>
      </w:r>
      <w:r w:rsidR="00405857">
        <w:rPr>
          <w:i/>
        </w:rPr>
        <w:t>business</w:t>
      </w:r>
      <w:r>
        <w:t>; and</w:t>
      </w:r>
    </w:p>
    <w:p w:rsidR="00F02A27" w:rsidRDefault="00F02A27" w:rsidP="000D309C">
      <w:pPr>
        <w:pStyle w:val="ListParagraph"/>
        <w:numPr>
          <w:ilvl w:val="0"/>
          <w:numId w:val="20"/>
        </w:numPr>
      </w:pPr>
      <w:r>
        <w:t xml:space="preserve">not allocated on a directly attributable basis and cannot be allocated on a causation basis to the </w:t>
      </w:r>
      <w:r>
        <w:rPr>
          <w:i/>
        </w:rPr>
        <w:t>distribution business</w:t>
      </w:r>
      <w:r>
        <w:t xml:space="preserve">. </w:t>
      </w:r>
    </w:p>
    <w:p w:rsidR="0093285E" w:rsidRDefault="00991B72" w:rsidP="009A2EC6">
      <w:pPr>
        <w:spacing w:before="24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93285E" w:rsidP="0093285E">
      <w:r w:rsidRPr="0012051B">
        <w:t xml:space="preserve">Refer </w:t>
      </w:r>
      <w:r w:rsidR="00991B72" w:rsidRPr="0012051B">
        <w:t>SA Power Networks’</w:t>
      </w:r>
      <w:r w:rsidR="0012051B" w:rsidRPr="0012051B">
        <w:t xml:space="preserve"> response following item 2</w:t>
      </w:r>
      <w:r w:rsidRPr="0012051B">
        <w:t>.</w:t>
      </w:r>
      <w:r w:rsidR="0012051B" w:rsidRPr="0012051B">
        <w:t>3</w:t>
      </w:r>
      <w:r w:rsidRPr="0012051B">
        <w:t xml:space="preserve"> (below).  An aggregated response has been provided to address related items </w:t>
      </w:r>
      <w:r w:rsidR="0012051B" w:rsidRPr="0012051B">
        <w:t>2.1</w:t>
      </w:r>
      <w:r w:rsidRPr="0012051B">
        <w:t xml:space="preserve">, </w:t>
      </w:r>
      <w:r w:rsidR="0012051B" w:rsidRPr="0012051B">
        <w:t>2.1</w:t>
      </w:r>
      <w:r w:rsidRPr="0012051B">
        <w:t xml:space="preserve">, </w:t>
      </w:r>
      <w:r w:rsidR="0012051B" w:rsidRPr="0012051B">
        <w:t>a</w:t>
      </w:r>
      <w:r w:rsidRPr="0012051B">
        <w:t xml:space="preserve">nd </w:t>
      </w:r>
      <w:r w:rsidR="0012051B" w:rsidRPr="0012051B">
        <w:t>2</w:t>
      </w:r>
      <w:r w:rsidRPr="0012051B">
        <w:t>.</w:t>
      </w:r>
      <w:r w:rsidR="0012051B" w:rsidRPr="0012051B">
        <w:t>3</w:t>
      </w:r>
      <w:r w:rsidRPr="0012051B">
        <w:t>.</w:t>
      </w:r>
    </w:p>
    <w:p w:rsidR="0093285E" w:rsidRDefault="0093285E" w:rsidP="0093285E"/>
    <w:p w:rsidR="008072EE" w:rsidRDefault="008072EE" w:rsidP="00280897">
      <w:pPr>
        <w:pStyle w:val="Heading3"/>
      </w:pPr>
    </w:p>
    <w:p w:rsidR="008072EE" w:rsidRDefault="008072EE">
      <w:pPr>
        <w:rPr>
          <w:rFonts w:asciiTheme="majorHAnsi" w:eastAsiaTheme="majorEastAsia" w:hAnsiTheme="majorHAnsi"/>
          <w:b/>
          <w:color w:val="000000" w:themeColor="accent1"/>
          <w:sz w:val="24"/>
          <w:lang w:bidi="en-US"/>
        </w:rPr>
      </w:pPr>
      <w:r>
        <w:br w:type="page"/>
      </w:r>
    </w:p>
    <w:p w:rsidR="004E3289" w:rsidRDefault="004E3289" w:rsidP="008072EE">
      <w:pPr>
        <w:pStyle w:val="Heading5"/>
      </w:pPr>
      <w:r>
        <w:lastRenderedPageBreak/>
        <w:t xml:space="preserve">Item </w:t>
      </w:r>
      <w:r w:rsidR="00F02A27">
        <w:t>2.2</w:t>
      </w:r>
    </w:p>
    <w:p w:rsidR="00280897" w:rsidRDefault="00280897" w:rsidP="003978AC">
      <w:pPr>
        <w:pStyle w:val="BodyText"/>
      </w:pPr>
      <w:r w:rsidRPr="008072EE">
        <w:t>For each item identified in the response to paragraph 2.1(a):</w:t>
      </w:r>
    </w:p>
    <w:p w:rsidR="00280897" w:rsidRDefault="00280897" w:rsidP="000D309C">
      <w:pPr>
        <w:pStyle w:val="ListParagraph"/>
        <w:numPr>
          <w:ilvl w:val="0"/>
          <w:numId w:val="21"/>
        </w:numPr>
      </w:pPr>
      <w:r>
        <w:t>state the amount of the item that has been allocated;</w:t>
      </w:r>
    </w:p>
    <w:p w:rsidR="00280897" w:rsidRDefault="00280897" w:rsidP="000D309C">
      <w:pPr>
        <w:pStyle w:val="ListParagraph"/>
        <w:numPr>
          <w:ilvl w:val="0"/>
          <w:numId w:val="21"/>
        </w:numPr>
      </w:pPr>
      <w:r>
        <w:t>explain the method of allocation and reasons for choosing that method; and</w:t>
      </w:r>
    </w:p>
    <w:p w:rsidR="0093285E" w:rsidRDefault="00280897" w:rsidP="000D309C">
      <w:pPr>
        <w:pStyle w:val="ListParagraph"/>
        <w:numPr>
          <w:ilvl w:val="0"/>
          <w:numId w:val="21"/>
        </w:numPr>
      </w:pPr>
      <w:r>
        <w:t xml:space="preserve">state the numeric amount of the allocator(s) used. </w:t>
      </w:r>
    </w:p>
    <w:p w:rsidR="00280897" w:rsidRDefault="00280897" w:rsidP="00280897"/>
    <w:p w:rsidR="0093285E" w:rsidRPr="00536FBF" w:rsidRDefault="00480E9F"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2051B" w:rsidRDefault="0012051B" w:rsidP="0012051B">
      <w:r w:rsidRPr="0012051B">
        <w:t>Refer SA Power Networks’ response following item 2.3 (below).  An aggregated response has been provided to address related items 2.1, 2.1, and 2.3.</w:t>
      </w:r>
    </w:p>
    <w:p w:rsidR="0093285E" w:rsidRDefault="0093285E" w:rsidP="0093285E"/>
    <w:p w:rsidR="0093285E" w:rsidRDefault="0093285E" w:rsidP="0093285E"/>
    <w:p w:rsidR="004E3289" w:rsidRDefault="0093285E" w:rsidP="008072EE">
      <w:pPr>
        <w:pStyle w:val="Heading5"/>
      </w:pPr>
      <w:r>
        <w:br w:type="page"/>
      </w:r>
      <w:bookmarkStart w:id="29" w:name="_Toc316292008"/>
      <w:bookmarkStart w:id="30" w:name="_Toc316293829"/>
      <w:r w:rsidR="004E3289">
        <w:lastRenderedPageBreak/>
        <w:t xml:space="preserve">Item </w:t>
      </w:r>
      <w:r w:rsidR="00280897">
        <w:t xml:space="preserve">2.3 </w:t>
      </w:r>
      <w:r w:rsidR="008072EE">
        <w:t xml:space="preserve"> </w:t>
      </w:r>
    </w:p>
    <w:p w:rsidR="00280897" w:rsidRDefault="00280897" w:rsidP="003978AC">
      <w:pPr>
        <w:pStyle w:val="BodyText"/>
      </w:pPr>
      <w:r w:rsidRPr="008072EE">
        <w:t>For each item identified in the response to paragraph 2.1(b):</w:t>
      </w:r>
    </w:p>
    <w:p w:rsidR="00280897" w:rsidRDefault="00280897" w:rsidP="000D309C">
      <w:pPr>
        <w:pStyle w:val="ListParagraph"/>
        <w:numPr>
          <w:ilvl w:val="0"/>
          <w:numId w:val="22"/>
        </w:numPr>
      </w:pPr>
      <w:r>
        <w:t>state its amount;</w:t>
      </w:r>
    </w:p>
    <w:p w:rsidR="00280897" w:rsidRDefault="00280897" w:rsidP="000D309C">
      <w:pPr>
        <w:pStyle w:val="ListParagraph"/>
        <w:numPr>
          <w:ilvl w:val="0"/>
          <w:numId w:val="22"/>
        </w:numPr>
      </w:pPr>
      <w:r>
        <w:t xml:space="preserve">state whether it was Material; </w:t>
      </w:r>
    </w:p>
    <w:p w:rsidR="00280897" w:rsidRDefault="00280897" w:rsidP="000D309C">
      <w:pPr>
        <w:pStyle w:val="ListParagraph"/>
        <w:numPr>
          <w:ilvl w:val="0"/>
          <w:numId w:val="22"/>
        </w:numPr>
      </w:pPr>
      <w:r>
        <w:t>explain the method of allocation and reasons for choosing that method; and</w:t>
      </w:r>
    </w:p>
    <w:p w:rsidR="00280897" w:rsidRDefault="00280897" w:rsidP="000D309C">
      <w:pPr>
        <w:pStyle w:val="ListParagraph"/>
        <w:numPr>
          <w:ilvl w:val="0"/>
          <w:numId w:val="22"/>
        </w:numPr>
      </w:pPr>
      <w:r>
        <w:t xml:space="preserve">explain the reason(s) why it cannot be allocated on a causation basis.  </w:t>
      </w:r>
    </w:p>
    <w:p w:rsidR="00280897" w:rsidRDefault="00280897" w:rsidP="00280897"/>
    <w:p w:rsidR="00280897" w:rsidRPr="00536FBF" w:rsidRDefault="00280897"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sidR="0012051B">
        <w:rPr>
          <w:rFonts w:cs="Arial"/>
          <w:b/>
          <w:bCs/>
          <w:iCs/>
          <w:color w:val="F77F00"/>
          <w:szCs w:val="28"/>
        </w:rPr>
        <w:t xml:space="preserve"> in relation to items 2.1, 2.2 and 2.3</w:t>
      </w:r>
      <w:r>
        <w:rPr>
          <w:rFonts w:cs="Arial"/>
          <w:b/>
          <w:bCs/>
          <w:iCs/>
          <w:color w:val="F77F00"/>
          <w:szCs w:val="28"/>
        </w:rPr>
        <w:br/>
      </w:r>
    </w:p>
    <w:p w:rsidR="00280897" w:rsidRDefault="0000571D" w:rsidP="00280897">
      <w:r>
        <w:t xml:space="preserve">SA Power Networks </w:t>
      </w:r>
      <w:r w:rsidR="000626A3">
        <w:t xml:space="preserve">(being the Regulated Distribution Business) </w:t>
      </w:r>
      <w:r>
        <w:t>do</w:t>
      </w:r>
      <w:r w:rsidR="009A2EC6">
        <w:t>es</w:t>
      </w:r>
      <w:r>
        <w:t xml:space="preserve"> not have any costs</w:t>
      </w:r>
      <w:r w:rsidR="000626A3">
        <w:t xml:space="preserve"> such as subsidiary charges or management fees allocated to it, on any basis.  Rather, all costs are initially captured at the distribution business level, and are then spread across </w:t>
      </w:r>
      <w:r w:rsidR="005F5545">
        <w:t xml:space="preserve">the </w:t>
      </w:r>
      <w:r w:rsidR="000626A3">
        <w:t>service segments (being standard control services, alternative control services, negotiated distribution services and unregulated services</w:t>
      </w:r>
      <w:r w:rsidR="005F5545">
        <w:t>)</w:t>
      </w:r>
      <w:r w:rsidR="000626A3">
        <w:t xml:space="preserve">, or </w:t>
      </w:r>
      <w:r w:rsidR="005F5545">
        <w:t xml:space="preserve">are treated </w:t>
      </w:r>
      <w:r w:rsidR="000626A3">
        <w:t>as an unallocated item</w:t>
      </w:r>
      <w:r w:rsidR="005F5545">
        <w:t xml:space="preserve">.  Costs are distributed </w:t>
      </w:r>
      <w:r w:rsidR="000626A3">
        <w:t>on either a directly attributed basis, or an allocation basis</w:t>
      </w:r>
      <w:r w:rsidR="005F5545">
        <w:t>, as is fully documented in our Cost Allocation Method</w:t>
      </w:r>
      <w:r w:rsidR="000626A3">
        <w:t xml:space="preserve">.  </w:t>
      </w:r>
      <w:r w:rsidR="00280897" w:rsidRPr="0000571D">
        <w:t xml:space="preserve">SA Power Networks’ response </w:t>
      </w:r>
      <w:r w:rsidR="005F5545">
        <w:t>to i</w:t>
      </w:r>
      <w:r w:rsidR="00280897" w:rsidRPr="0000571D">
        <w:t>tem</w:t>
      </w:r>
      <w:r w:rsidR="005F5545">
        <w:t xml:space="preserve">s 3.1, 3.2 and 3.3 </w:t>
      </w:r>
      <w:r w:rsidR="00280897" w:rsidRPr="0000571D">
        <w:t>(below)</w:t>
      </w:r>
      <w:r w:rsidR="005F5545">
        <w:t xml:space="preserve"> demonstrates the application of the Cost Allocation Method to allocate costs from the distribution business to the service segments. </w:t>
      </w:r>
    </w:p>
    <w:p w:rsidR="00EE2090" w:rsidRDefault="00EE2090">
      <w:pPr>
        <w:rPr>
          <w:rFonts w:asciiTheme="majorHAnsi" w:eastAsiaTheme="majorEastAsia" w:hAnsiTheme="majorHAnsi"/>
          <w:b/>
          <w:color w:val="000000" w:themeColor="accent1"/>
          <w:sz w:val="24"/>
          <w:lang w:bidi="en-US"/>
        </w:rPr>
      </w:pPr>
      <w:r>
        <w:br w:type="page"/>
      </w:r>
    </w:p>
    <w:p w:rsidR="008072EE" w:rsidRDefault="008072EE" w:rsidP="008072EE">
      <w:pPr>
        <w:pStyle w:val="Heading3"/>
      </w:pPr>
      <w:bookmarkStart w:id="31" w:name="_Toc368472933"/>
      <w:r>
        <w:lastRenderedPageBreak/>
        <w:t>3.   COST ALLOCATION TO SERVICE SEGMENTS</w:t>
      </w:r>
      <w:bookmarkEnd w:id="31"/>
    </w:p>
    <w:p w:rsidR="008072EE" w:rsidRDefault="008072EE" w:rsidP="00280897">
      <w:pPr>
        <w:pStyle w:val="Heading3"/>
      </w:pPr>
    </w:p>
    <w:bookmarkEnd w:id="29"/>
    <w:bookmarkEnd w:id="30"/>
    <w:p w:rsidR="004E3289" w:rsidRDefault="004E3289" w:rsidP="008072EE">
      <w:pPr>
        <w:pStyle w:val="Heading5"/>
      </w:pPr>
      <w:r>
        <w:t xml:space="preserve">Item </w:t>
      </w:r>
      <w:r w:rsidR="00EE2090">
        <w:t>3.1</w:t>
      </w:r>
      <w:r w:rsidR="0093285E">
        <w:t xml:space="preserve"> </w:t>
      </w:r>
      <w:r w:rsidR="008072EE">
        <w:t xml:space="preserve"> </w:t>
      </w:r>
    </w:p>
    <w:p w:rsidR="00405857" w:rsidRDefault="00405857" w:rsidP="003978AC">
      <w:pPr>
        <w:pStyle w:val="BodyText"/>
      </w:pPr>
      <w:r w:rsidRPr="008072EE">
        <w:t>Identify each item in the Regulatory Accounting Statements that is:</w:t>
      </w:r>
    </w:p>
    <w:p w:rsidR="00405857" w:rsidRDefault="00405857" w:rsidP="000D309C">
      <w:pPr>
        <w:pStyle w:val="ListParagraph"/>
        <w:numPr>
          <w:ilvl w:val="0"/>
          <w:numId w:val="23"/>
        </w:numPr>
      </w:pPr>
      <w:r>
        <w:t xml:space="preserve">not allocated on a directly attributable basis but is allocated on a causation basis from the </w:t>
      </w:r>
      <w:r>
        <w:rPr>
          <w:i/>
        </w:rPr>
        <w:t xml:space="preserve">distribution business </w:t>
      </w:r>
      <w:r>
        <w:t>to a service segment; and</w:t>
      </w:r>
    </w:p>
    <w:p w:rsidR="00405857" w:rsidRDefault="00405857" w:rsidP="000D309C">
      <w:pPr>
        <w:pStyle w:val="ListParagraph"/>
        <w:numPr>
          <w:ilvl w:val="0"/>
          <w:numId w:val="23"/>
        </w:numPr>
      </w:pPr>
      <w:r>
        <w:t xml:space="preserve">not allocated on a directly attributable basis and cannot be allocated on a causation basis from the </w:t>
      </w:r>
      <w:r>
        <w:rPr>
          <w:i/>
        </w:rPr>
        <w:t xml:space="preserve">distribution business </w:t>
      </w:r>
      <w:r>
        <w:t xml:space="preserve">to a service segment. </w:t>
      </w:r>
    </w:p>
    <w:p w:rsidR="00405857" w:rsidRDefault="00405857" w:rsidP="00405857"/>
    <w:p w:rsidR="00405857" w:rsidRDefault="00405857" w:rsidP="009A2EC6">
      <w:pPr>
        <w:rPr>
          <w:rFonts w:cs="Arial"/>
          <w:b/>
          <w:bCs/>
          <w:iCs/>
          <w:color w:val="F77F00"/>
          <w:szCs w:val="28"/>
        </w:rPr>
      </w:pPr>
      <w:r>
        <w:rPr>
          <w:rFonts w:cs="Arial"/>
          <w:b/>
          <w:bCs/>
          <w:iCs/>
          <w:color w:val="F77F00"/>
          <w:szCs w:val="28"/>
        </w:rPr>
        <w:br/>
        <w:t>SA Power Networks’</w:t>
      </w:r>
      <w:r w:rsidRPr="00716C5B">
        <w:rPr>
          <w:rFonts w:cs="Arial"/>
          <w:b/>
          <w:bCs/>
          <w:iCs/>
          <w:color w:val="F77F00"/>
          <w:szCs w:val="28"/>
        </w:rPr>
        <w:t xml:space="preserve"> response</w:t>
      </w:r>
      <w:r>
        <w:rPr>
          <w:rFonts w:cs="Arial"/>
          <w:b/>
          <w:bCs/>
          <w:iCs/>
          <w:color w:val="F77F00"/>
          <w:szCs w:val="28"/>
        </w:rPr>
        <w:br/>
      </w:r>
    </w:p>
    <w:p w:rsidR="00405857" w:rsidRPr="009518AC" w:rsidRDefault="009518AC" w:rsidP="00405857">
      <w:pPr>
        <w:rPr>
          <w:color w:val="000000" w:themeColor="accent1"/>
        </w:rPr>
      </w:pPr>
      <w:r>
        <w:rPr>
          <w:color w:val="000000" w:themeColor="accent1"/>
        </w:rPr>
        <w:t xml:space="preserve">A Microsoft Excel workbook titled </w:t>
      </w:r>
      <w:r>
        <w:rPr>
          <w:i/>
          <w:color w:val="000000" w:themeColor="accent1"/>
        </w:rPr>
        <w:t xml:space="preserve">“Cost Allocation to Service Segments – Items 3.1-3.3.xlsx” </w:t>
      </w:r>
      <w:r>
        <w:rPr>
          <w:color w:val="000000" w:themeColor="accent1"/>
        </w:rPr>
        <w:t>is provided as Attachment</w:t>
      </w:r>
      <w:r w:rsidR="00E10D04">
        <w:rPr>
          <w:color w:val="000000" w:themeColor="accent1"/>
        </w:rPr>
        <w:t>s</w:t>
      </w:r>
      <w:r>
        <w:rPr>
          <w:color w:val="000000" w:themeColor="accent1"/>
        </w:rPr>
        <w:t xml:space="preserve"> 3(a) </w:t>
      </w:r>
      <w:r w:rsidR="00E10D04">
        <w:rPr>
          <w:color w:val="000000" w:themeColor="accent1"/>
        </w:rPr>
        <w:t xml:space="preserve">and 3(b) </w:t>
      </w:r>
      <w:r>
        <w:rPr>
          <w:color w:val="000000" w:themeColor="accent1"/>
        </w:rPr>
        <w:t xml:space="preserve">to this document.  The spreadsheet tab titled </w:t>
      </w:r>
      <w:r>
        <w:rPr>
          <w:i/>
          <w:color w:val="000000" w:themeColor="accent1"/>
        </w:rPr>
        <w:t xml:space="preserve">“Cost Allocations” </w:t>
      </w:r>
      <w:r w:rsidR="00E10D04">
        <w:rPr>
          <w:color w:val="000000" w:themeColor="accent1"/>
        </w:rPr>
        <w:t xml:space="preserve">(Attachment 3(a)) </w:t>
      </w:r>
      <w:r w:rsidR="0000472F">
        <w:rPr>
          <w:color w:val="000000" w:themeColor="accent1"/>
        </w:rPr>
        <w:t xml:space="preserve">contains a table which </w:t>
      </w:r>
      <w:r>
        <w:rPr>
          <w:color w:val="000000" w:themeColor="accent1"/>
        </w:rPr>
        <w:t>shows SA Power Networks’ detailed cost allocations between service segments</w:t>
      </w:r>
      <w:r w:rsidR="0000472F">
        <w:rPr>
          <w:color w:val="000000" w:themeColor="accent1"/>
        </w:rPr>
        <w:t xml:space="preserve"> (in ‘$000), </w:t>
      </w:r>
      <w:r>
        <w:rPr>
          <w:color w:val="000000" w:themeColor="accent1"/>
        </w:rPr>
        <w:t>which reconciles with the overheads allocation information provided in Table 1 of Template 15 in the Re</w:t>
      </w:r>
      <w:r w:rsidR="0000472F">
        <w:rPr>
          <w:color w:val="000000" w:themeColor="accent1"/>
        </w:rPr>
        <w:t xml:space="preserve">gulatory Accounting Statements.  There is a column in this table headed (Causal / Non-causal).  There </w:t>
      </w:r>
      <w:r w:rsidR="00244084">
        <w:rPr>
          <w:color w:val="000000" w:themeColor="accent1"/>
        </w:rPr>
        <w:t>are the</w:t>
      </w:r>
      <w:r w:rsidR="0000472F">
        <w:rPr>
          <w:color w:val="000000" w:themeColor="accent1"/>
        </w:rPr>
        <w:t xml:space="preserve"> abbreviation</w:t>
      </w:r>
      <w:r w:rsidR="00244084">
        <w:rPr>
          <w:color w:val="000000" w:themeColor="accent1"/>
        </w:rPr>
        <w:t>s</w:t>
      </w:r>
      <w:r w:rsidR="0000472F">
        <w:rPr>
          <w:color w:val="000000" w:themeColor="accent1"/>
        </w:rPr>
        <w:t xml:space="preserve"> “C” or “NC” in this column against each allocation item, which either indicates that the cost item is allocated on a causa</w:t>
      </w:r>
      <w:r w:rsidR="00105F9D">
        <w:rPr>
          <w:color w:val="000000" w:themeColor="accent1"/>
        </w:rPr>
        <w:t>l</w:t>
      </w:r>
      <w:r w:rsidR="0000472F">
        <w:rPr>
          <w:color w:val="000000" w:themeColor="accent1"/>
        </w:rPr>
        <w:t xml:space="preserve"> basis (C), </w:t>
      </w:r>
      <w:r w:rsidR="00105F9D">
        <w:rPr>
          <w:color w:val="000000" w:themeColor="accent1"/>
        </w:rPr>
        <w:t xml:space="preserve">or a non-causal basis (NC).  The classification of cost allocations as being on a causal or non-causal basis in this table is </w:t>
      </w:r>
      <w:r w:rsidR="00244084">
        <w:rPr>
          <w:color w:val="000000" w:themeColor="accent1"/>
        </w:rPr>
        <w:t>consistent</w:t>
      </w:r>
      <w:r w:rsidR="00105F9D">
        <w:rPr>
          <w:color w:val="000000" w:themeColor="accent1"/>
        </w:rPr>
        <w:t xml:space="preserve"> with the classifications contained in SA Power Networks’ </w:t>
      </w:r>
      <w:r w:rsidR="00244084">
        <w:rPr>
          <w:color w:val="000000" w:themeColor="accent1"/>
        </w:rPr>
        <w:t xml:space="preserve">approved </w:t>
      </w:r>
      <w:r w:rsidR="00105F9D">
        <w:rPr>
          <w:color w:val="000000" w:themeColor="accent1"/>
        </w:rPr>
        <w:t>Cost Allocation Method (refer Table 4: Allocated Costs, pages 16-25)</w:t>
      </w:r>
      <w:r w:rsidR="00244084">
        <w:rPr>
          <w:color w:val="000000" w:themeColor="accent1"/>
        </w:rPr>
        <w:t>.</w:t>
      </w:r>
      <w:r w:rsidR="00105F9D">
        <w:rPr>
          <w:color w:val="000000" w:themeColor="accent1"/>
        </w:rPr>
        <w:t xml:space="preserve">  </w:t>
      </w:r>
      <w:r w:rsidR="0000472F">
        <w:rPr>
          <w:color w:val="000000" w:themeColor="accent1"/>
        </w:rPr>
        <w:t xml:space="preserve">  </w:t>
      </w:r>
      <w:r>
        <w:rPr>
          <w:color w:val="000000" w:themeColor="accent1"/>
        </w:rPr>
        <w:t xml:space="preserve"> </w:t>
      </w:r>
    </w:p>
    <w:p w:rsidR="00405857" w:rsidRDefault="00405857">
      <w:r>
        <w:br w:type="page"/>
      </w:r>
    </w:p>
    <w:p w:rsidR="004E3289" w:rsidRDefault="004E3289" w:rsidP="008072EE">
      <w:pPr>
        <w:pStyle w:val="Heading5"/>
      </w:pPr>
      <w:r>
        <w:lastRenderedPageBreak/>
        <w:t xml:space="preserve">Item </w:t>
      </w:r>
      <w:r w:rsidR="003F1DA6">
        <w:t xml:space="preserve">3.2 </w:t>
      </w:r>
      <w:r w:rsidR="008072EE">
        <w:t xml:space="preserve"> </w:t>
      </w:r>
    </w:p>
    <w:p w:rsidR="003F1DA6" w:rsidRPr="008072EE" w:rsidRDefault="003F1DA6" w:rsidP="003978AC">
      <w:pPr>
        <w:pStyle w:val="BodyText"/>
      </w:pPr>
      <w:r w:rsidRPr="008072EE">
        <w:t>For each item identified in the response to paragraph 3.1(a):</w:t>
      </w:r>
    </w:p>
    <w:p w:rsidR="003F1DA6" w:rsidRDefault="003F1DA6" w:rsidP="000D309C">
      <w:pPr>
        <w:pStyle w:val="ListParagraph"/>
        <w:numPr>
          <w:ilvl w:val="0"/>
          <w:numId w:val="24"/>
        </w:numPr>
      </w:pPr>
      <w:r>
        <w:t>state the amount of the item that has been allocated;</w:t>
      </w:r>
    </w:p>
    <w:p w:rsidR="003F1DA6" w:rsidRDefault="003F1DA6" w:rsidP="000D309C">
      <w:pPr>
        <w:pStyle w:val="ListParagraph"/>
        <w:numPr>
          <w:ilvl w:val="0"/>
          <w:numId w:val="24"/>
        </w:numPr>
      </w:pPr>
      <w:r>
        <w:t>explain the method of allocation and reasons for choosing that method; and</w:t>
      </w:r>
    </w:p>
    <w:p w:rsidR="003F1DA6" w:rsidRDefault="003F1DA6" w:rsidP="000D309C">
      <w:pPr>
        <w:pStyle w:val="ListParagraph"/>
        <w:numPr>
          <w:ilvl w:val="0"/>
          <w:numId w:val="24"/>
        </w:numPr>
      </w:pPr>
      <w:r>
        <w:t xml:space="preserve">state the numeric amount of the allocator(s) used.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526BF1" w:rsidRDefault="00353A3B" w:rsidP="00526BF1">
      <w:pPr>
        <w:pStyle w:val="ListParagraph"/>
        <w:numPr>
          <w:ilvl w:val="0"/>
          <w:numId w:val="44"/>
        </w:numPr>
        <w:spacing w:after="120"/>
        <w:rPr>
          <w:color w:val="000000" w:themeColor="accent1"/>
        </w:rPr>
      </w:pPr>
      <w:r w:rsidRPr="00406316">
        <w:rPr>
          <w:color w:val="000000" w:themeColor="accent1"/>
        </w:rPr>
        <w:t xml:space="preserve">As indicated in SA Power Networks’ response to item 3.1, a Microsoft Excel workbook titled </w:t>
      </w:r>
      <w:r w:rsidRPr="00406316">
        <w:rPr>
          <w:i/>
          <w:color w:val="000000" w:themeColor="accent1"/>
        </w:rPr>
        <w:t xml:space="preserve">“Cost Allocation to Service Segments – Items 3.1-3.3.xlsx” </w:t>
      </w:r>
      <w:r w:rsidR="00E10D04">
        <w:rPr>
          <w:color w:val="000000" w:themeColor="accent1"/>
        </w:rPr>
        <w:t xml:space="preserve">is provided as Attachments 3(a) and 3(b) </w:t>
      </w:r>
      <w:r w:rsidRPr="00406316">
        <w:rPr>
          <w:color w:val="000000" w:themeColor="accent1"/>
        </w:rPr>
        <w:t xml:space="preserve">to this document.  The spreadsheet tab titled </w:t>
      </w:r>
      <w:r w:rsidRPr="00406316">
        <w:rPr>
          <w:i/>
          <w:color w:val="000000" w:themeColor="accent1"/>
        </w:rPr>
        <w:t xml:space="preserve">“Cost Allocations” </w:t>
      </w:r>
      <w:r w:rsidR="00E10D04">
        <w:rPr>
          <w:color w:val="000000" w:themeColor="accent1"/>
        </w:rPr>
        <w:t xml:space="preserve">(Attachment 3(a)) </w:t>
      </w:r>
      <w:r w:rsidRPr="00406316">
        <w:rPr>
          <w:color w:val="000000" w:themeColor="accent1"/>
        </w:rPr>
        <w:t>contains a table which shows SA Power Networks’ detailed cost allocations between service segments (in ‘$000), which reconciles with the overheads allocation information provided in Table 1 of Template 15 in the Regulatory Accounting Statements.</w:t>
      </w:r>
      <w:r w:rsidR="00406316">
        <w:rPr>
          <w:color w:val="000000" w:themeColor="accent1"/>
        </w:rPr>
        <w:t xml:space="preserve">  The total column shows the amount of each of the items allocated on a causal basis (indicated by the abbreviation “C”).</w:t>
      </w:r>
      <w:r w:rsidR="00526BF1">
        <w:rPr>
          <w:color w:val="000000" w:themeColor="accent1"/>
        </w:rPr>
        <w:br/>
      </w:r>
    </w:p>
    <w:p w:rsidR="00406316" w:rsidRPr="00526BF1" w:rsidRDefault="00526BF1" w:rsidP="00526BF1">
      <w:pPr>
        <w:pStyle w:val="ListParagraph"/>
        <w:numPr>
          <w:ilvl w:val="0"/>
          <w:numId w:val="44"/>
        </w:numPr>
        <w:spacing w:after="120"/>
        <w:rPr>
          <w:color w:val="000000" w:themeColor="accent1"/>
        </w:rPr>
      </w:pPr>
      <w:r w:rsidRPr="00526BF1">
        <w:rPr>
          <w:color w:val="000000" w:themeColor="accent1"/>
        </w:rPr>
        <w:t xml:space="preserve">In developing its Cost Allocation Method, </w:t>
      </w:r>
      <w:r w:rsidR="00D0690D">
        <w:rPr>
          <w:color w:val="000000" w:themeColor="accent1"/>
        </w:rPr>
        <w:t xml:space="preserve">SA Power Networks assessed </w:t>
      </w:r>
      <w:r w:rsidRPr="00526BF1">
        <w:rPr>
          <w:color w:val="000000" w:themeColor="accent1"/>
        </w:rPr>
        <w:t xml:space="preserve">each cost item to determine the most </w:t>
      </w:r>
      <w:r w:rsidR="00D0690D">
        <w:rPr>
          <w:color w:val="000000" w:themeColor="accent1"/>
        </w:rPr>
        <w:t>relevant</w:t>
      </w:r>
      <w:r w:rsidRPr="00526BF1">
        <w:rPr>
          <w:color w:val="000000" w:themeColor="accent1"/>
        </w:rPr>
        <w:t xml:space="preserve"> basis for allocating those costs across service segments.  A</w:t>
      </w:r>
      <w:r w:rsidR="00D0690D">
        <w:rPr>
          <w:color w:val="000000" w:themeColor="accent1"/>
        </w:rPr>
        <w:t xml:space="preserve">n appropriate </w:t>
      </w:r>
      <w:r w:rsidRPr="00526BF1">
        <w:rPr>
          <w:color w:val="000000" w:themeColor="accent1"/>
        </w:rPr>
        <w:t xml:space="preserve">causal basis of allocation was determined for the majority of allocated cost items (e.g. Human Resources and Property costs are allocated on the basis of FTE / labour splits).  </w:t>
      </w:r>
      <w:r w:rsidR="00C66237" w:rsidRPr="00526BF1">
        <w:rPr>
          <w:color w:val="000000" w:themeColor="accent1"/>
        </w:rPr>
        <w:t xml:space="preserve">The methods of allocation of each cost item are fully described both in Table 4 of SA Power Networks’ approved Cost Allocation Method and in the column titled </w:t>
      </w:r>
      <w:r w:rsidR="00C66237" w:rsidRPr="00526BF1">
        <w:rPr>
          <w:i/>
          <w:color w:val="000000" w:themeColor="accent1"/>
        </w:rPr>
        <w:t>“Description of the basis of allocation</w:t>
      </w:r>
      <w:r w:rsidR="00C66237" w:rsidRPr="00526BF1">
        <w:rPr>
          <w:color w:val="000000" w:themeColor="accent1"/>
        </w:rPr>
        <w:t xml:space="preserve">” in Table 1 of Template 15 in the Regulatory Accounting Statements.  </w:t>
      </w:r>
      <w:r>
        <w:rPr>
          <w:color w:val="000000" w:themeColor="accent1"/>
        </w:rPr>
        <w:br/>
      </w:r>
    </w:p>
    <w:p w:rsidR="00406316" w:rsidRPr="00406316" w:rsidRDefault="00ED2B3F" w:rsidP="00406316">
      <w:pPr>
        <w:pStyle w:val="ListParagraph"/>
        <w:numPr>
          <w:ilvl w:val="0"/>
          <w:numId w:val="44"/>
        </w:numPr>
        <w:spacing w:after="120"/>
        <w:rPr>
          <w:color w:val="000000" w:themeColor="accent1"/>
        </w:rPr>
      </w:pPr>
      <w:r w:rsidRPr="00406316">
        <w:rPr>
          <w:color w:val="000000" w:themeColor="accent1"/>
        </w:rPr>
        <w:t xml:space="preserve">The </w:t>
      </w:r>
      <w:r w:rsidR="003918D4">
        <w:rPr>
          <w:color w:val="000000" w:themeColor="accent1"/>
        </w:rPr>
        <w:t xml:space="preserve">table in </w:t>
      </w:r>
      <w:r w:rsidRPr="00406316">
        <w:rPr>
          <w:color w:val="000000" w:themeColor="accent1"/>
        </w:rPr>
        <w:t xml:space="preserve">spreadsheet tab titled </w:t>
      </w:r>
      <w:r w:rsidRPr="00406316">
        <w:rPr>
          <w:i/>
          <w:color w:val="000000" w:themeColor="accent1"/>
        </w:rPr>
        <w:t xml:space="preserve">“Cost Allocations” </w:t>
      </w:r>
      <w:r>
        <w:rPr>
          <w:color w:val="000000" w:themeColor="accent1"/>
        </w:rPr>
        <w:t>in Attachment 3(a) contains</w:t>
      </w:r>
      <w:r w:rsidRPr="00406316">
        <w:rPr>
          <w:color w:val="000000" w:themeColor="accent1"/>
        </w:rPr>
        <w:t xml:space="preserve"> a </w:t>
      </w:r>
      <w:r w:rsidR="003918D4">
        <w:rPr>
          <w:color w:val="000000" w:themeColor="accent1"/>
        </w:rPr>
        <w:t xml:space="preserve">column titled </w:t>
      </w:r>
      <w:r w:rsidR="003918D4" w:rsidRPr="003918D4">
        <w:rPr>
          <w:i/>
          <w:color w:val="000000" w:themeColor="accent1"/>
        </w:rPr>
        <w:t>“Allocation basis”.</w:t>
      </w:r>
      <w:r w:rsidR="003918D4">
        <w:rPr>
          <w:color w:val="000000" w:themeColor="accent1"/>
        </w:rPr>
        <w:t xml:space="preserve">  Each </w:t>
      </w:r>
      <w:r w:rsidR="00E10D04">
        <w:rPr>
          <w:color w:val="000000" w:themeColor="accent1"/>
        </w:rPr>
        <w:t>cost</w:t>
      </w:r>
      <w:r w:rsidR="003918D4">
        <w:rPr>
          <w:color w:val="000000" w:themeColor="accent1"/>
        </w:rPr>
        <w:t xml:space="preserve"> item has an allocation basis listed against it (e.g. for Customer response the allocation basis is titled </w:t>
      </w:r>
      <w:r w:rsidR="003918D4">
        <w:rPr>
          <w:i/>
          <w:color w:val="000000" w:themeColor="accent1"/>
        </w:rPr>
        <w:t xml:space="preserve">“Regulated revenue”.  </w:t>
      </w:r>
      <w:r w:rsidR="00E10D04">
        <w:rPr>
          <w:color w:val="000000" w:themeColor="accent1"/>
        </w:rPr>
        <w:t xml:space="preserve">The allocation basis listed against each cost item can be referenced against the table contained in the spreadsheet tab titled </w:t>
      </w:r>
      <w:r w:rsidR="00E10D04">
        <w:rPr>
          <w:i/>
          <w:color w:val="000000" w:themeColor="accent1"/>
        </w:rPr>
        <w:t xml:space="preserve">“Allocation %” </w:t>
      </w:r>
      <w:r w:rsidR="00E10D04">
        <w:rPr>
          <w:color w:val="000000" w:themeColor="accent1"/>
        </w:rPr>
        <w:t xml:space="preserve">(Attachment 3(b)) in order to obtain the percentage </w:t>
      </w:r>
      <w:r w:rsidR="00C56AE6">
        <w:rPr>
          <w:color w:val="000000" w:themeColor="accent1"/>
        </w:rPr>
        <w:t>splits</w:t>
      </w:r>
      <w:r w:rsidR="00E10D04">
        <w:rPr>
          <w:color w:val="000000" w:themeColor="accent1"/>
        </w:rPr>
        <w:t xml:space="preserve"> </w:t>
      </w:r>
      <w:r w:rsidR="00C56AE6">
        <w:rPr>
          <w:color w:val="000000" w:themeColor="accent1"/>
        </w:rPr>
        <w:t xml:space="preserve">used to allocate those costs across the standard control, alternative control, negotiated services and unregulated service segments for the regulatory year. </w:t>
      </w:r>
    </w:p>
    <w:p w:rsidR="00406316" w:rsidRPr="00406316" w:rsidRDefault="00406316" w:rsidP="00C56AE6">
      <w:pPr>
        <w:pStyle w:val="ListParagraph"/>
        <w:rPr>
          <w:color w:val="000000" w:themeColor="accent1"/>
        </w:rPr>
      </w:pPr>
    </w:p>
    <w:p w:rsidR="00406316" w:rsidRDefault="00406316" w:rsidP="0093285E">
      <w:pPr>
        <w:rPr>
          <w:color w:val="000000" w:themeColor="accent1"/>
        </w:rPr>
      </w:pPr>
    </w:p>
    <w:p w:rsidR="00406316" w:rsidRDefault="00406316" w:rsidP="0093285E"/>
    <w:p w:rsidR="003F1DA6" w:rsidRDefault="003909A2">
      <w:pPr>
        <w:rPr>
          <w:rFonts w:cs="Arial"/>
          <w:b/>
          <w:bCs/>
          <w:iCs/>
          <w:color w:val="F77F00"/>
          <w:szCs w:val="28"/>
        </w:rPr>
      </w:pPr>
      <w:r>
        <w:rPr>
          <w:rFonts w:cs="Arial"/>
          <w:b/>
          <w:bCs/>
          <w:iCs/>
          <w:color w:val="F77F00"/>
          <w:szCs w:val="28"/>
        </w:rPr>
        <w:br/>
      </w:r>
      <w:bookmarkStart w:id="32" w:name="_GoBack"/>
      <w:bookmarkEnd w:id="32"/>
      <w:r w:rsidR="003F1DA6">
        <w:rPr>
          <w:rFonts w:cs="Arial"/>
          <w:b/>
          <w:bCs/>
          <w:iCs/>
          <w:color w:val="F77F00"/>
          <w:szCs w:val="28"/>
        </w:rPr>
        <w:br w:type="page"/>
      </w:r>
    </w:p>
    <w:p w:rsidR="004E3289" w:rsidRDefault="004E3289" w:rsidP="008072EE">
      <w:pPr>
        <w:pStyle w:val="Heading5"/>
      </w:pPr>
      <w:r>
        <w:lastRenderedPageBreak/>
        <w:t xml:space="preserve">Item </w:t>
      </w:r>
      <w:r w:rsidR="003F1DA6">
        <w:t xml:space="preserve">3.3 </w:t>
      </w:r>
      <w:r w:rsidR="008072EE">
        <w:t xml:space="preserve"> </w:t>
      </w:r>
    </w:p>
    <w:p w:rsidR="003F1DA6" w:rsidRPr="008072EE" w:rsidRDefault="003F1DA6" w:rsidP="003978AC">
      <w:pPr>
        <w:pStyle w:val="BodyText"/>
      </w:pPr>
      <w:r w:rsidRPr="008072EE">
        <w:t>For each item identified in the response to paragraph 3.1(b):</w:t>
      </w:r>
    </w:p>
    <w:p w:rsidR="003F1DA6" w:rsidRDefault="003F1DA6" w:rsidP="000D309C">
      <w:pPr>
        <w:pStyle w:val="ListParagraph"/>
        <w:numPr>
          <w:ilvl w:val="0"/>
          <w:numId w:val="25"/>
        </w:numPr>
      </w:pPr>
      <w:r>
        <w:t>state its amount;</w:t>
      </w:r>
    </w:p>
    <w:p w:rsidR="003F1DA6" w:rsidRDefault="003F1DA6" w:rsidP="000D309C">
      <w:pPr>
        <w:pStyle w:val="ListParagraph"/>
        <w:numPr>
          <w:ilvl w:val="0"/>
          <w:numId w:val="25"/>
        </w:numPr>
      </w:pPr>
      <w:r>
        <w:t xml:space="preserve">state whether it was Material; </w:t>
      </w:r>
    </w:p>
    <w:p w:rsidR="003F1DA6" w:rsidRDefault="003F1DA6" w:rsidP="000D309C">
      <w:pPr>
        <w:pStyle w:val="ListParagraph"/>
        <w:numPr>
          <w:ilvl w:val="0"/>
          <w:numId w:val="25"/>
        </w:numPr>
      </w:pPr>
      <w:r>
        <w:t>explain the method of allocation and reasons for choosing that method; and</w:t>
      </w:r>
    </w:p>
    <w:p w:rsidR="003F1DA6" w:rsidRDefault="003F1DA6" w:rsidP="000D309C">
      <w:pPr>
        <w:pStyle w:val="ListParagraph"/>
        <w:numPr>
          <w:ilvl w:val="0"/>
          <w:numId w:val="25"/>
        </w:numPr>
      </w:pPr>
      <w:r>
        <w:t xml:space="preserve">explain the reason(s) why it cannot be allocated on a causation basis.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F25092" w:rsidRDefault="00F25092" w:rsidP="00F25092">
      <w:pPr>
        <w:pStyle w:val="ListParagraph"/>
        <w:numPr>
          <w:ilvl w:val="0"/>
          <w:numId w:val="45"/>
        </w:numPr>
        <w:spacing w:after="120"/>
        <w:rPr>
          <w:color w:val="000000" w:themeColor="accent1"/>
        </w:rPr>
      </w:pPr>
      <w:r w:rsidRPr="00406316">
        <w:rPr>
          <w:color w:val="000000" w:themeColor="accent1"/>
        </w:rPr>
        <w:t>As indicated in SA Power Networks’ response</w:t>
      </w:r>
      <w:r>
        <w:rPr>
          <w:color w:val="000000" w:themeColor="accent1"/>
        </w:rPr>
        <w:t>s</w:t>
      </w:r>
      <w:r w:rsidRPr="00406316">
        <w:rPr>
          <w:color w:val="000000" w:themeColor="accent1"/>
        </w:rPr>
        <w:t xml:space="preserve"> to item</w:t>
      </w:r>
      <w:r>
        <w:rPr>
          <w:color w:val="000000" w:themeColor="accent1"/>
        </w:rPr>
        <w:t>s</w:t>
      </w:r>
      <w:r w:rsidRPr="00406316">
        <w:rPr>
          <w:color w:val="000000" w:themeColor="accent1"/>
        </w:rPr>
        <w:t xml:space="preserve"> 3.1</w:t>
      </w:r>
      <w:r>
        <w:rPr>
          <w:color w:val="000000" w:themeColor="accent1"/>
        </w:rPr>
        <w:t xml:space="preserve"> and 3.2</w:t>
      </w:r>
      <w:r w:rsidRPr="00406316">
        <w:rPr>
          <w:color w:val="000000" w:themeColor="accent1"/>
        </w:rPr>
        <w:t xml:space="preserve">, a Microsoft Excel workbook titled </w:t>
      </w:r>
      <w:r w:rsidRPr="00406316">
        <w:rPr>
          <w:i/>
          <w:color w:val="000000" w:themeColor="accent1"/>
        </w:rPr>
        <w:t xml:space="preserve">“Cost Allocation to Service Segments – Items 3.1-3.3.xlsx” </w:t>
      </w:r>
      <w:r>
        <w:rPr>
          <w:color w:val="000000" w:themeColor="accent1"/>
        </w:rPr>
        <w:t xml:space="preserve">is provided as Attachments 3(a) and 3(b) </w:t>
      </w:r>
      <w:r w:rsidRPr="00406316">
        <w:rPr>
          <w:color w:val="000000" w:themeColor="accent1"/>
        </w:rPr>
        <w:t xml:space="preserve">to this document.  The spreadsheet tab titled </w:t>
      </w:r>
      <w:r w:rsidRPr="00406316">
        <w:rPr>
          <w:i/>
          <w:color w:val="000000" w:themeColor="accent1"/>
        </w:rPr>
        <w:t xml:space="preserve">“Cost Allocations” </w:t>
      </w:r>
      <w:r>
        <w:rPr>
          <w:color w:val="000000" w:themeColor="accent1"/>
        </w:rPr>
        <w:t xml:space="preserve">(Attachment 3(a)) </w:t>
      </w:r>
      <w:r w:rsidRPr="00406316">
        <w:rPr>
          <w:color w:val="000000" w:themeColor="accent1"/>
        </w:rPr>
        <w:t>contains a table which shows SA Power Networks’ detailed cost allocations between service segments (in ‘$000), which reconciles with the overheads allocation information provided in Table 1 of Template 15 in the Regulatory Accounting Statements.</w:t>
      </w:r>
      <w:r>
        <w:rPr>
          <w:color w:val="000000" w:themeColor="accent1"/>
        </w:rPr>
        <w:t xml:space="preserve">  The total column shows the amount of each of the items allocated on a non-causal basis (indicated by the abbreviation “NC”).</w:t>
      </w:r>
      <w:r>
        <w:rPr>
          <w:color w:val="000000" w:themeColor="accent1"/>
        </w:rPr>
        <w:br/>
      </w:r>
    </w:p>
    <w:p w:rsidR="005F5545" w:rsidRDefault="001929D1" w:rsidP="00F25092">
      <w:pPr>
        <w:pStyle w:val="ListParagraph"/>
        <w:numPr>
          <w:ilvl w:val="0"/>
          <w:numId w:val="45"/>
        </w:numPr>
        <w:rPr>
          <w:color w:val="000000" w:themeColor="accent1"/>
        </w:rPr>
      </w:pPr>
      <w:r>
        <w:rPr>
          <w:color w:val="000000" w:themeColor="accent1"/>
        </w:rPr>
        <w:t>As per the table in Attachment 3(a), a total of $66.744 million in</w:t>
      </w:r>
      <w:r w:rsidR="00B5473A">
        <w:rPr>
          <w:color w:val="000000" w:themeColor="accent1"/>
        </w:rPr>
        <w:t xml:space="preserve"> c</w:t>
      </w:r>
      <w:r>
        <w:rPr>
          <w:color w:val="000000" w:themeColor="accent1"/>
        </w:rPr>
        <w:t xml:space="preserve">orporate costs were allocated across service segments.  Out of this total, </w:t>
      </w:r>
      <w:r w:rsidR="006200B8">
        <w:rPr>
          <w:color w:val="000000" w:themeColor="accent1"/>
        </w:rPr>
        <w:t xml:space="preserve">only </w:t>
      </w:r>
      <w:r>
        <w:rPr>
          <w:color w:val="000000" w:themeColor="accent1"/>
        </w:rPr>
        <w:t>$10.353 million worth of allocations (approximately 16%) were done on a non-causal basis (i.e. where no causation basis could be established).</w:t>
      </w:r>
      <w:r w:rsidR="006200B8">
        <w:rPr>
          <w:color w:val="000000" w:themeColor="accent1"/>
        </w:rPr>
        <w:t xml:space="preserve">  Applying the AER’s materiality disclosure parameters applied in the Regulatory Accounting Statements (i.e. individual </w:t>
      </w:r>
      <w:r w:rsidR="00C0713A">
        <w:rPr>
          <w:color w:val="000000" w:themeColor="accent1"/>
        </w:rPr>
        <w:t>items</w:t>
      </w:r>
      <w:r w:rsidR="006200B8">
        <w:rPr>
          <w:color w:val="000000" w:themeColor="accent1"/>
        </w:rPr>
        <w:t xml:space="preserve"> greater than 5% of total standard control and alternative control operating expenditure), no individual </w:t>
      </w:r>
      <w:r w:rsidR="00C0713A">
        <w:rPr>
          <w:color w:val="000000" w:themeColor="accent1"/>
        </w:rPr>
        <w:t xml:space="preserve">non-causal </w:t>
      </w:r>
      <w:r w:rsidR="006200B8">
        <w:rPr>
          <w:color w:val="000000" w:themeColor="accent1"/>
        </w:rPr>
        <w:t xml:space="preserve">cost allocation would be considered Material. </w:t>
      </w:r>
      <w:r w:rsidR="00036F24">
        <w:rPr>
          <w:color w:val="000000" w:themeColor="accent1"/>
        </w:rPr>
        <w:br/>
      </w:r>
    </w:p>
    <w:p w:rsidR="00271984" w:rsidRDefault="00036F24" w:rsidP="00F25092">
      <w:pPr>
        <w:pStyle w:val="ListParagraph"/>
        <w:numPr>
          <w:ilvl w:val="0"/>
          <w:numId w:val="45"/>
        </w:numPr>
        <w:rPr>
          <w:color w:val="000000" w:themeColor="accent1"/>
        </w:rPr>
      </w:pPr>
      <w:r w:rsidRPr="00526BF1">
        <w:rPr>
          <w:color w:val="000000" w:themeColor="accent1"/>
        </w:rPr>
        <w:t xml:space="preserve">In developing its Cost Allocation Method, </w:t>
      </w:r>
      <w:r>
        <w:rPr>
          <w:color w:val="000000" w:themeColor="accent1"/>
        </w:rPr>
        <w:t xml:space="preserve">SA Power Networks assessed </w:t>
      </w:r>
      <w:r w:rsidRPr="00526BF1">
        <w:rPr>
          <w:color w:val="000000" w:themeColor="accent1"/>
        </w:rPr>
        <w:t xml:space="preserve">each cost item to determine the most </w:t>
      </w:r>
      <w:r>
        <w:rPr>
          <w:color w:val="000000" w:themeColor="accent1"/>
        </w:rPr>
        <w:t>relevant</w:t>
      </w:r>
      <w:r w:rsidRPr="00526BF1">
        <w:rPr>
          <w:color w:val="000000" w:themeColor="accent1"/>
        </w:rPr>
        <w:t xml:space="preserve"> basis for allocating those costs across service segments.  A</w:t>
      </w:r>
      <w:r>
        <w:rPr>
          <w:color w:val="000000" w:themeColor="accent1"/>
        </w:rPr>
        <w:t xml:space="preserve">n appropriate </w:t>
      </w:r>
      <w:r w:rsidRPr="00526BF1">
        <w:rPr>
          <w:color w:val="000000" w:themeColor="accent1"/>
        </w:rPr>
        <w:t>causal basis of allocation was determined for the majority of allocated cost items</w:t>
      </w:r>
      <w:r>
        <w:rPr>
          <w:color w:val="000000" w:themeColor="accent1"/>
        </w:rPr>
        <w:t xml:space="preserve">.  For those cost items where no causation basis could be established, appropriate proxy allocations were chosen in order to most suitably allocate those costs.  For example, the costs for the Chief Financial Officer are allocated based on a weighted average of the total allocations of </w:t>
      </w:r>
      <w:r w:rsidR="00271984">
        <w:rPr>
          <w:color w:val="000000" w:themeColor="accent1"/>
        </w:rPr>
        <w:t>all the</w:t>
      </w:r>
      <w:r>
        <w:rPr>
          <w:color w:val="000000" w:themeColor="accent1"/>
        </w:rPr>
        <w:t xml:space="preserve"> finance </w:t>
      </w:r>
      <w:r w:rsidR="00271984">
        <w:rPr>
          <w:color w:val="000000" w:themeColor="accent1"/>
        </w:rPr>
        <w:t>groups</w:t>
      </w:r>
      <w:r>
        <w:rPr>
          <w:color w:val="000000" w:themeColor="accent1"/>
        </w:rPr>
        <w:t xml:space="preserve">.  </w:t>
      </w:r>
      <w:r w:rsidR="00271984">
        <w:rPr>
          <w:color w:val="000000" w:themeColor="accent1"/>
        </w:rPr>
        <w:br/>
      </w:r>
    </w:p>
    <w:p w:rsidR="00036F24" w:rsidRPr="00F25092" w:rsidRDefault="00036F24" w:rsidP="00F25092">
      <w:pPr>
        <w:pStyle w:val="ListParagraph"/>
        <w:numPr>
          <w:ilvl w:val="0"/>
          <w:numId w:val="45"/>
        </w:numPr>
        <w:rPr>
          <w:color w:val="000000" w:themeColor="accent1"/>
        </w:rPr>
      </w:pPr>
      <w:r w:rsidRPr="00526BF1">
        <w:rPr>
          <w:color w:val="000000" w:themeColor="accent1"/>
        </w:rPr>
        <w:t xml:space="preserve">The methods of allocation </w:t>
      </w:r>
      <w:r w:rsidR="00271984">
        <w:rPr>
          <w:color w:val="000000" w:themeColor="accent1"/>
        </w:rPr>
        <w:t xml:space="preserve">chosen for </w:t>
      </w:r>
      <w:r w:rsidRPr="00526BF1">
        <w:rPr>
          <w:color w:val="000000" w:themeColor="accent1"/>
        </w:rPr>
        <w:t xml:space="preserve">each </w:t>
      </w:r>
      <w:r w:rsidR="00271984">
        <w:rPr>
          <w:color w:val="000000" w:themeColor="accent1"/>
        </w:rPr>
        <w:t xml:space="preserve">non-causal </w:t>
      </w:r>
      <w:r w:rsidRPr="00526BF1">
        <w:rPr>
          <w:color w:val="000000" w:themeColor="accent1"/>
        </w:rPr>
        <w:t xml:space="preserve">cost item are fully described both in Table 4 of SA Power Networks’ approved Cost Allocation Method and in the column titled </w:t>
      </w:r>
      <w:r w:rsidRPr="00526BF1">
        <w:rPr>
          <w:i/>
          <w:color w:val="000000" w:themeColor="accent1"/>
        </w:rPr>
        <w:t>“Description of the basis of allocation</w:t>
      </w:r>
      <w:r w:rsidRPr="00526BF1">
        <w:rPr>
          <w:color w:val="000000" w:themeColor="accent1"/>
        </w:rPr>
        <w:t xml:space="preserve">” in Table 1 of Template 15 in the Regulatory Accounting Statements.  </w:t>
      </w:r>
    </w:p>
    <w:p w:rsidR="0093285E" w:rsidRDefault="0093285E" w:rsidP="0093285E"/>
    <w:p w:rsidR="008072EE" w:rsidRDefault="008072EE">
      <w:pPr>
        <w:rPr>
          <w:rFonts w:asciiTheme="majorHAnsi" w:eastAsiaTheme="majorEastAsia" w:hAnsiTheme="majorHAnsi"/>
          <w:b/>
          <w:color w:val="000000" w:themeColor="accent1"/>
          <w:sz w:val="24"/>
          <w:lang w:bidi="en-US"/>
        </w:rPr>
      </w:pPr>
      <w:r>
        <w:br w:type="page"/>
      </w:r>
    </w:p>
    <w:p w:rsidR="004E3289" w:rsidRDefault="004E3289" w:rsidP="004E3289">
      <w:pPr>
        <w:pStyle w:val="Heading3"/>
      </w:pPr>
      <w:bookmarkStart w:id="33" w:name="_Toc368472934"/>
      <w:bookmarkStart w:id="34" w:name="_Toc316292009"/>
      <w:bookmarkStart w:id="35" w:name="_Toc316293830"/>
      <w:r>
        <w:lastRenderedPageBreak/>
        <w:t>4.   RELATED PARTY TRANSACTIONS</w:t>
      </w:r>
      <w:bookmarkEnd w:id="33"/>
    </w:p>
    <w:p w:rsidR="004E3289" w:rsidRDefault="004E3289" w:rsidP="00280897">
      <w:pPr>
        <w:pStyle w:val="Heading3"/>
      </w:pPr>
    </w:p>
    <w:p w:rsidR="0093285E" w:rsidRDefault="0093285E" w:rsidP="004E3289">
      <w:pPr>
        <w:pStyle w:val="Heading5"/>
      </w:pPr>
      <w:r>
        <w:t>I</w:t>
      </w:r>
      <w:r w:rsidR="003909A2">
        <w:t>tem</w:t>
      </w:r>
      <w:r>
        <w:t xml:space="preserve"> </w:t>
      </w:r>
      <w:bookmarkEnd w:id="34"/>
      <w:bookmarkEnd w:id="35"/>
      <w:r w:rsidR="006529C5">
        <w:t>4.1</w:t>
      </w:r>
      <w:r>
        <w:t xml:space="preserve"> </w:t>
      </w:r>
    </w:p>
    <w:p w:rsidR="0093285E" w:rsidRDefault="006529C5" w:rsidP="003978AC">
      <w:pPr>
        <w:pStyle w:val="BodyText"/>
      </w:pPr>
      <w:r>
        <w:t>Identify each Related Party with which a transaction has been conducted.</w:t>
      </w:r>
    </w:p>
    <w:p w:rsidR="0093285E" w:rsidRDefault="0093285E" w:rsidP="0093285E"/>
    <w:p w:rsidR="0093285E" w:rsidRDefault="00733CF9"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881D6D" w:rsidRDefault="00881D6D" w:rsidP="00733CF9">
      <w:pPr>
        <w:spacing w:after="120"/>
      </w:pPr>
      <w:r>
        <w:t>During the 2012-13 Regulatory year, the consolidated entity (</w:t>
      </w:r>
      <w:r w:rsidR="00733CF9" w:rsidRPr="00881D6D">
        <w:t>SA Power Networks</w:t>
      </w:r>
      <w:r>
        <w:t>) purchased goods or services from the following other related parties, on normal commercial terms and conditions:</w:t>
      </w:r>
    </w:p>
    <w:p w:rsidR="004E6FE1" w:rsidRDefault="004E6FE1" w:rsidP="004E6FE1">
      <w:pPr>
        <w:pStyle w:val="ListParagraph"/>
        <w:numPr>
          <w:ilvl w:val="0"/>
          <w:numId w:val="37"/>
        </w:numPr>
        <w:spacing w:after="120"/>
      </w:pPr>
      <w:r>
        <w:t>CKI/HEI Electricity Distribution Holdings (Australia) Pty Ltd; and</w:t>
      </w:r>
    </w:p>
    <w:p w:rsidR="005F5545" w:rsidRDefault="004E6FE1" w:rsidP="004E6FE1">
      <w:pPr>
        <w:pStyle w:val="ListParagraph"/>
        <w:numPr>
          <w:ilvl w:val="0"/>
          <w:numId w:val="37"/>
        </w:numPr>
        <w:spacing w:after="120"/>
      </w:pPr>
      <w:r>
        <w:t>Hutchison Telecommunications (Australia) Ltd.</w:t>
      </w:r>
      <w:r>
        <w:br/>
      </w:r>
    </w:p>
    <w:p w:rsidR="00881D6D" w:rsidRDefault="00881D6D" w:rsidP="00881D6D">
      <w:pPr>
        <w:spacing w:after="120"/>
      </w:pPr>
      <w:r>
        <w:t>During the 2012-13 Regulatory year, the consolidated entity (</w:t>
      </w:r>
      <w:r w:rsidRPr="00881D6D">
        <w:t>SA Power Networks</w:t>
      </w:r>
      <w:r>
        <w:t>) provided goods or services to the following other related parties, on normal commercial terms and conditions:</w:t>
      </w:r>
    </w:p>
    <w:p w:rsidR="004E6FE1" w:rsidRDefault="004E6FE1" w:rsidP="004E6FE1">
      <w:pPr>
        <w:pStyle w:val="ListParagraph"/>
        <w:numPr>
          <w:ilvl w:val="0"/>
          <w:numId w:val="38"/>
        </w:numPr>
        <w:spacing w:after="120"/>
      </w:pPr>
      <w:r>
        <w:t>CKI/HEI Electricity Distribution Holdings (Australia) Pty Ltd; and</w:t>
      </w:r>
    </w:p>
    <w:p w:rsidR="004E6FE1" w:rsidRDefault="004E6FE1" w:rsidP="004E6FE1">
      <w:pPr>
        <w:pStyle w:val="ListParagraph"/>
        <w:numPr>
          <w:ilvl w:val="0"/>
          <w:numId w:val="38"/>
        </w:numPr>
        <w:spacing w:after="120"/>
      </w:pPr>
      <w:r>
        <w:t>Hutchison Telecommunications (Australia) Ltd.</w:t>
      </w:r>
    </w:p>
    <w:p w:rsidR="004E6FE1" w:rsidRDefault="004E6FE1" w:rsidP="004E6FE1">
      <w:pPr>
        <w:pStyle w:val="ListParagraph"/>
        <w:spacing w:after="120"/>
      </w:pPr>
    </w:p>
    <w:p w:rsidR="00881D6D" w:rsidRDefault="00881D6D" w:rsidP="00881D6D">
      <w:pPr>
        <w:spacing w:after="120"/>
      </w:pPr>
    </w:p>
    <w:p w:rsidR="0093285E" w:rsidRPr="003807A0" w:rsidRDefault="0093285E" w:rsidP="0093285E"/>
    <w:p w:rsidR="0093285E" w:rsidRDefault="0093285E" w:rsidP="0093285E"/>
    <w:p w:rsidR="00733CF9" w:rsidRDefault="00733CF9">
      <w:pPr>
        <w:rPr>
          <w:rFonts w:asciiTheme="majorHAnsi" w:eastAsiaTheme="majorEastAsia" w:hAnsiTheme="majorHAnsi"/>
          <w:b/>
          <w:sz w:val="28"/>
          <w:szCs w:val="26"/>
          <w:lang w:bidi="en-US"/>
        </w:rPr>
      </w:pPr>
      <w:bookmarkStart w:id="36" w:name="_Toc316292010"/>
      <w:bookmarkStart w:id="37" w:name="_Toc316293831"/>
      <w:r>
        <w:br w:type="page"/>
      </w:r>
    </w:p>
    <w:p w:rsidR="0093285E" w:rsidRDefault="0093285E" w:rsidP="004E3289">
      <w:pPr>
        <w:pStyle w:val="Heading5"/>
      </w:pPr>
      <w:r>
        <w:lastRenderedPageBreak/>
        <w:t>I</w:t>
      </w:r>
      <w:r w:rsidR="007F23E6">
        <w:t>tem</w:t>
      </w:r>
      <w:r>
        <w:t xml:space="preserve"> </w:t>
      </w:r>
      <w:bookmarkEnd w:id="36"/>
      <w:bookmarkEnd w:id="37"/>
      <w:r w:rsidR="006529C5">
        <w:t>4.2</w:t>
      </w:r>
      <w:r>
        <w:t xml:space="preserve"> </w:t>
      </w:r>
    </w:p>
    <w:p w:rsidR="0093285E" w:rsidRDefault="004E3289" w:rsidP="003978AC">
      <w:pPr>
        <w:pStyle w:val="BodyText"/>
      </w:pPr>
      <w:r>
        <w:t>I</w:t>
      </w:r>
      <w:r w:rsidR="001E617C">
        <w:t xml:space="preserve">dentify each transaction relating to the provision of </w:t>
      </w:r>
      <w:r w:rsidR="001E617C">
        <w:rPr>
          <w:i/>
        </w:rPr>
        <w:t xml:space="preserve">standard control </w:t>
      </w:r>
      <w:r w:rsidR="001E617C" w:rsidRPr="001E617C">
        <w:t>services</w:t>
      </w:r>
      <w:r w:rsidR="001E617C">
        <w:t xml:space="preserve">, </w:t>
      </w:r>
      <w:r w:rsidR="001E617C">
        <w:rPr>
          <w:i/>
        </w:rPr>
        <w:t xml:space="preserve">alternative control services </w:t>
      </w:r>
      <w:r w:rsidR="001E617C">
        <w:t xml:space="preserve">or </w:t>
      </w:r>
      <w:r w:rsidR="001E617C">
        <w:rPr>
          <w:i/>
        </w:rPr>
        <w:t xml:space="preserve">negotiated distribution services </w:t>
      </w:r>
      <w:r w:rsidR="001E617C">
        <w:t xml:space="preserve">between SA Power Networks and a Related Party, where the transaction amount is greater than five per cent of the relevant total expenditure or revenue category.  Relevant categories are standard control revenues, alternative control revenues, negotiated distribution services revenues, standard control capex, alternative control capex, standard control operations expenditure, standard control maintenance expenditure, alternative control operations expenditure, alternative control maintenance expenditure, negotiated distribution services expenditure.  </w:t>
      </w:r>
    </w:p>
    <w:p w:rsidR="0093285E" w:rsidRDefault="0093285E" w:rsidP="0093285E"/>
    <w:p w:rsidR="0093285E" w:rsidRPr="00EE3137" w:rsidRDefault="007F23E6"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2A1C0F" w:rsidP="002A1C0F">
      <w:pPr>
        <w:spacing w:after="120"/>
      </w:pPr>
      <w:r>
        <w:t xml:space="preserve">In relation to the relevant categories listed under Item 4.2, there was a transaction </w:t>
      </w:r>
      <w:r w:rsidR="00F4060D">
        <w:t xml:space="preserve">for services delivered by CKI/HEI Electricity Distribution Holdings (Australia) Ltd </w:t>
      </w:r>
      <w:r>
        <w:t xml:space="preserve">to </w:t>
      </w:r>
      <w:r w:rsidR="007F23E6" w:rsidRPr="002A1C0F">
        <w:t>SA Power Networks</w:t>
      </w:r>
      <w:r>
        <w:t xml:space="preserve"> </w:t>
      </w:r>
      <w:r w:rsidR="00F4060D">
        <w:t xml:space="preserve">to provide systems and support relating to Full Retail Contestability.  In the 2012-13 regulatory year, the value of the transaction </w:t>
      </w:r>
      <w:r>
        <w:t xml:space="preserve">represents approximately 6.3% of total </w:t>
      </w:r>
      <w:r w:rsidR="00DB1CF8">
        <w:t>s</w:t>
      </w:r>
      <w:r>
        <w:t>tandard control operations expenditure</w:t>
      </w:r>
      <w:r w:rsidR="00F4060D">
        <w:t xml:space="preserve">. </w:t>
      </w:r>
      <w:r>
        <w:t xml:space="preserve">  </w:t>
      </w:r>
    </w:p>
    <w:p w:rsidR="0093285E" w:rsidRDefault="0093285E" w:rsidP="0093285E"/>
    <w:p w:rsidR="0093285E" w:rsidRDefault="0093285E" w:rsidP="004E3289">
      <w:pPr>
        <w:pStyle w:val="Heading5"/>
      </w:pPr>
      <w:r>
        <w:br w:type="page"/>
      </w:r>
      <w:bookmarkStart w:id="38" w:name="_Toc316292011"/>
      <w:bookmarkStart w:id="39" w:name="_Toc316293832"/>
      <w:r>
        <w:lastRenderedPageBreak/>
        <w:t>I</w:t>
      </w:r>
      <w:r w:rsidR="00345DAD">
        <w:t>tem</w:t>
      </w:r>
      <w:r>
        <w:t xml:space="preserve"> </w:t>
      </w:r>
      <w:bookmarkEnd w:id="38"/>
      <w:bookmarkEnd w:id="39"/>
      <w:r w:rsidR="00DD7A12">
        <w:t>4.3</w:t>
      </w:r>
      <w:r>
        <w:t xml:space="preserve"> </w:t>
      </w:r>
    </w:p>
    <w:p w:rsidR="00DD7A12" w:rsidRDefault="00DD7A12" w:rsidP="003978AC">
      <w:pPr>
        <w:pStyle w:val="BodyText"/>
      </w:pPr>
      <w:r>
        <w:t>For each transaction identified in the response to paragraph 4.2:</w:t>
      </w:r>
    </w:p>
    <w:p w:rsidR="00DD7A12" w:rsidRDefault="00DD7A12" w:rsidP="000D309C">
      <w:pPr>
        <w:pStyle w:val="ListParagraph"/>
        <w:numPr>
          <w:ilvl w:val="0"/>
          <w:numId w:val="26"/>
        </w:numPr>
      </w:pPr>
      <w:r>
        <w:t>state the name of the Related Party;</w:t>
      </w:r>
    </w:p>
    <w:p w:rsidR="00DD7A12" w:rsidRDefault="00DD7A12" w:rsidP="000D309C">
      <w:pPr>
        <w:pStyle w:val="ListParagraph"/>
        <w:numPr>
          <w:ilvl w:val="0"/>
          <w:numId w:val="26"/>
        </w:numPr>
      </w:pPr>
      <w:r>
        <w:t>identify any other parties involved;</w:t>
      </w:r>
    </w:p>
    <w:p w:rsidR="00DD7A12" w:rsidRDefault="00DD7A12" w:rsidP="000D309C">
      <w:pPr>
        <w:pStyle w:val="ListParagraph"/>
        <w:numPr>
          <w:ilvl w:val="0"/>
          <w:numId w:val="26"/>
        </w:numPr>
      </w:pPr>
      <w:r>
        <w:t>explain the nature and purpose of the transaction, including the good(s) or service(s) provided by the Related Party;</w:t>
      </w:r>
    </w:p>
    <w:p w:rsidR="00D40F23" w:rsidRDefault="00D40F23" w:rsidP="000D309C">
      <w:pPr>
        <w:pStyle w:val="ListParagraph"/>
        <w:numPr>
          <w:ilvl w:val="0"/>
          <w:numId w:val="26"/>
        </w:numPr>
      </w:pPr>
      <w:r>
        <w:t>state the actual costs incurred by the Related Party in providing good(s) or service(s), not including any profit margin or management fee incurred by SA Power Networks;</w:t>
      </w:r>
    </w:p>
    <w:p w:rsidR="00D40F23" w:rsidRDefault="00D40F23" w:rsidP="000D309C">
      <w:pPr>
        <w:pStyle w:val="ListParagraph"/>
        <w:numPr>
          <w:ilvl w:val="0"/>
          <w:numId w:val="26"/>
        </w:numPr>
      </w:pPr>
      <w:r>
        <w:t>explain how the actual costs of the good(s) or service(s) incurred was determined;</w:t>
      </w:r>
    </w:p>
    <w:p w:rsidR="0093285E" w:rsidRDefault="00D40F23" w:rsidP="000D309C">
      <w:pPr>
        <w:pStyle w:val="ListParagraph"/>
        <w:numPr>
          <w:ilvl w:val="0"/>
          <w:numId w:val="26"/>
        </w:numPr>
      </w:pPr>
      <w:r>
        <w:t xml:space="preserve">identify the actual costs of the good(s) or service(s) in the Regulatory Accounting Statements, including the Asset category, Maintenance Cost category or Operating Cost category to which the actual cost(s) is allocated to; and </w:t>
      </w:r>
    </w:p>
    <w:p w:rsidR="00D40F23" w:rsidRDefault="00D40F23" w:rsidP="000D309C">
      <w:pPr>
        <w:pStyle w:val="ListParagraph"/>
        <w:numPr>
          <w:ilvl w:val="0"/>
          <w:numId w:val="26"/>
        </w:numPr>
      </w:pPr>
      <w:r>
        <w:t>explain the basis upon which the actual costs of the good(s) or service(s) was or were allocated, as identified in the response to paragraph (f), and state the amount of any allocator applied.</w:t>
      </w:r>
    </w:p>
    <w:p w:rsidR="0093285E" w:rsidRDefault="0093285E" w:rsidP="0093285E"/>
    <w:p w:rsidR="004E6FE1" w:rsidRDefault="00345DAD" w:rsidP="00AA43CA">
      <w:pPr>
        <w:spacing w:before="12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p>
    <w:p w:rsidR="004E6FE1" w:rsidRDefault="004E6FE1" w:rsidP="0093285E">
      <w:pPr>
        <w:rPr>
          <w:rFonts w:cs="Arial"/>
          <w:b/>
          <w:bCs/>
          <w:iCs/>
          <w:color w:val="F77F00"/>
          <w:szCs w:val="28"/>
        </w:rPr>
      </w:pPr>
    </w:p>
    <w:p w:rsidR="004E6FE1" w:rsidRDefault="004E6FE1" w:rsidP="00905B99">
      <w:pPr>
        <w:pStyle w:val="ListParagraph"/>
        <w:numPr>
          <w:ilvl w:val="0"/>
          <w:numId w:val="42"/>
        </w:numPr>
        <w:spacing w:after="120"/>
      </w:pPr>
      <w:r>
        <w:t>The Related Party providing the service was CKI/HEI Electricity Distribution Holdings (Australia) Pty Ltd.</w:t>
      </w:r>
      <w:r w:rsidR="00905B99">
        <w:br/>
      </w:r>
    </w:p>
    <w:p w:rsidR="004E6FE1" w:rsidRPr="004E6FE1" w:rsidRDefault="004E6FE1" w:rsidP="004E6FE1">
      <w:pPr>
        <w:pStyle w:val="ListParagraph"/>
        <w:numPr>
          <w:ilvl w:val="0"/>
          <w:numId w:val="42"/>
        </w:numPr>
        <w:spacing w:after="120"/>
      </w:pPr>
      <w:r>
        <w:t>There were no other parties involved in the transaction.</w:t>
      </w:r>
      <w:r w:rsidR="00905B99">
        <w:br/>
      </w:r>
    </w:p>
    <w:p w:rsidR="004E6FE1" w:rsidRDefault="004E6FE1" w:rsidP="004E6FE1">
      <w:pPr>
        <w:pStyle w:val="ListParagraph"/>
        <w:numPr>
          <w:ilvl w:val="0"/>
          <w:numId w:val="42"/>
        </w:numPr>
        <w:spacing w:after="120"/>
      </w:pPr>
      <w:r w:rsidRPr="004E6FE1">
        <w:t xml:space="preserve"> </w:t>
      </w:r>
      <w:r>
        <w:t>The transaction relates to a negotiated annual Service Level Agreement for the provision of systems and support services relating to Full Retail Contestability.</w:t>
      </w:r>
      <w:r w:rsidR="00905B99">
        <w:br/>
      </w:r>
    </w:p>
    <w:p w:rsidR="004E6FE1" w:rsidRDefault="004E6FE1" w:rsidP="004E6FE1">
      <w:pPr>
        <w:pStyle w:val="ListParagraph"/>
        <w:numPr>
          <w:ilvl w:val="0"/>
          <w:numId w:val="42"/>
        </w:numPr>
        <w:spacing w:after="120"/>
      </w:pPr>
      <w:r>
        <w:t>Over the full regulatory year, a total amount of $6,902,989 (excluding GST), representing 12 monthly invoices, was recognised in SA Power Networks’ accounts as having been issued by CKI/HEI Electricity Distribution Holdings (Australia) Pty Ltd, in relation to the Service Level Agreement.  As SA Power Networks does not have a direct control relationship with CKI/HEI Electricity Distribution Holdings (Australia) Pty Ltd, we do not have any information relating to the actual costs incurred by the Related Party in providing this service.  It is SA Power Networks firm belief, however, that the service is provided on standard commercial terms and conditions.  Should actual cost information be required, it will incumbent upon the AER to request this information directly from the Related Party.</w:t>
      </w:r>
      <w:r w:rsidR="00905B99">
        <w:br/>
      </w:r>
    </w:p>
    <w:p w:rsidR="004E6FE1" w:rsidRDefault="004E6FE1" w:rsidP="004E6FE1">
      <w:pPr>
        <w:pStyle w:val="ListParagraph"/>
        <w:numPr>
          <w:ilvl w:val="0"/>
          <w:numId w:val="42"/>
        </w:numPr>
        <w:spacing w:after="120"/>
      </w:pPr>
      <w:r>
        <w:t>As per our response to item (d) above, SA Power Networks does not have any information relating to the actual costs incurred by the Related Party.</w:t>
      </w:r>
      <w:r w:rsidR="00905B99">
        <w:br/>
      </w:r>
    </w:p>
    <w:p w:rsidR="004E6FE1" w:rsidRDefault="004E6FE1" w:rsidP="004E6FE1">
      <w:pPr>
        <w:pStyle w:val="ListParagraph"/>
        <w:numPr>
          <w:ilvl w:val="0"/>
          <w:numId w:val="42"/>
        </w:numPr>
        <w:spacing w:after="120"/>
      </w:pPr>
      <w:r>
        <w:t>The invoiced total of $6,902,989 (excluding GST) is included in the reported total for the Full Retail Contestability operating cost category in Table 1 of Template 10.  The actual cost of the service is not known.</w:t>
      </w:r>
      <w:r w:rsidR="00905B99">
        <w:br/>
      </w:r>
    </w:p>
    <w:p w:rsidR="0093285E" w:rsidRPr="004E6FE1" w:rsidRDefault="004E6FE1" w:rsidP="004E6FE1">
      <w:pPr>
        <w:pStyle w:val="ListParagraph"/>
        <w:numPr>
          <w:ilvl w:val="0"/>
          <w:numId w:val="42"/>
        </w:numPr>
        <w:spacing w:after="120"/>
      </w:pPr>
      <w:r>
        <w:t>The invoiced cost is directly attributable to standard control services, consistent with the treatment of Full Retail Contestability costs in SA Power Networks’ Cost Allocation Method.</w:t>
      </w:r>
      <w:r w:rsidR="0093285E" w:rsidRPr="004E6FE1">
        <w:br/>
      </w:r>
    </w:p>
    <w:p w:rsidR="00114741" w:rsidRPr="00C8063F" w:rsidRDefault="00114741" w:rsidP="00E43565">
      <w:pPr>
        <w:spacing w:after="120"/>
      </w:pPr>
    </w:p>
    <w:p w:rsidR="00AA6DA9" w:rsidRDefault="00AA6DA9">
      <w:r>
        <w:br w:type="page"/>
      </w:r>
    </w:p>
    <w:p w:rsidR="004E3289" w:rsidRDefault="004E3289" w:rsidP="004E3289">
      <w:pPr>
        <w:pStyle w:val="Heading3"/>
      </w:pPr>
      <w:bookmarkStart w:id="40" w:name="_Toc368472935"/>
      <w:r>
        <w:lastRenderedPageBreak/>
        <w:t>5.   EFFICIENCY BENEFIT SHARING SCHEME</w:t>
      </w:r>
      <w:bookmarkEnd w:id="40"/>
    </w:p>
    <w:p w:rsidR="004E3289" w:rsidRDefault="004E3289" w:rsidP="00AA6DA9">
      <w:pPr>
        <w:pStyle w:val="Heading3"/>
      </w:pPr>
    </w:p>
    <w:p w:rsidR="00AA6DA9" w:rsidRDefault="00AA6DA9" w:rsidP="004E3289">
      <w:pPr>
        <w:pStyle w:val="Heading5"/>
      </w:pPr>
      <w:r>
        <w:t xml:space="preserve">Item 5.1 </w:t>
      </w:r>
    </w:p>
    <w:p w:rsidR="00AA6DA9" w:rsidRDefault="00AA6DA9" w:rsidP="003978AC">
      <w:pPr>
        <w:pStyle w:val="BodyText"/>
      </w:pPr>
      <w:r>
        <w:t xml:space="preserve">Identify all changes between the Capitalisation Policy for the Relevant Regulatory Year and the Previous Regulatory Year. </w:t>
      </w:r>
    </w:p>
    <w:p w:rsidR="00AA6DA9" w:rsidRDefault="00AA6DA9" w:rsidP="00AA6DA9"/>
    <w:p w:rsidR="00AA6DA9" w:rsidRDefault="00AA6DA9"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AA6DA9" w:rsidRPr="00B76085" w:rsidRDefault="00B76085" w:rsidP="00AA6DA9">
      <w:pPr>
        <w:spacing w:after="120"/>
      </w:pPr>
      <w:r>
        <w:t xml:space="preserve">There were no changes to SA Power Networks’ Capitalisation Policy in the current year.  This was similarly noted in </w:t>
      </w:r>
      <w:r w:rsidR="005F5545">
        <w:t xml:space="preserve">Table 2 of the </w:t>
      </w:r>
      <w:r>
        <w:t xml:space="preserve">EBSS Template 18 </w:t>
      </w:r>
      <w:r w:rsidR="00886B18">
        <w:t>in</w:t>
      </w:r>
      <w:r>
        <w:t xml:space="preserve"> the Regulatory Accounting Statements.  </w:t>
      </w:r>
    </w:p>
    <w:p w:rsidR="00E22D85" w:rsidRDefault="00E22D85">
      <w:pPr>
        <w:rPr>
          <w:rFonts w:asciiTheme="majorHAnsi" w:eastAsiaTheme="majorEastAsia" w:hAnsiTheme="majorHAnsi"/>
          <w:b/>
          <w:color w:val="000000" w:themeColor="accent1"/>
          <w:sz w:val="24"/>
          <w:lang w:bidi="en-US"/>
        </w:rPr>
      </w:pPr>
      <w:r>
        <w:br w:type="page"/>
      </w:r>
    </w:p>
    <w:p w:rsidR="00E22D85" w:rsidRDefault="00E22D85" w:rsidP="004E3289">
      <w:pPr>
        <w:pStyle w:val="Heading5"/>
      </w:pPr>
      <w:r>
        <w:lastRenderedPageBreak/>
        <w:t xml:space="preserve">Item 5.2 </w:t>
      </w:r>
    </w:p>
    <w:p w:rsidR="00E22D85" w:rsidRDefault="00911D06" w:rsidP="003978AC">
      <w:pPr>
        <w:pStyle w:val="BodyText"/>
      </w:pPr>
      <w:r>
        <w:t>For each change identified in the response to paragraph 5.1</w:t>
      </w:r>
      <w:r w:rsidR="00E22D85">
        <w:t xml:space="preserve">:  </w:t>
      </w:r>
    </w:p>
    <w:p w:rsidR="00911D06" w:rsidRDefault="00911D06" w:rsidP="000D309C">
      <w:pPr>
        <w:pStyle w:val="ListParagraph"/>
        <w:numPr>
          <w:ilvl w:val="0"/>
          <w:numId w:val="27"/>
        </w:numPr>
      </w:pPr>
      <w:r>
        <w:t>state, if any, the financial impact of the change;</w:t>
      </w:r>
    </w:p>
    <w:p w:rsidR="00911D06" w:rsidRDefault="00911D06" w:rsidP="000D309C">
      <w:pPr>
        <w:pStyle w:val="ListParagraph"/>
        <w:numPr>
          <w:ilvl w:val="0"/>
          <w:numId w:val="27"/>
        </w:numPr>
      </w:pPr>
      <w:r>
        <w:t>state the reasons for the change;</w:t>
      </w:r>
    </w:p>
    <w:p w:rsidR="00584957" w:rsidRDefault="00911D06" w:rsidP="000D309C">
      <w:pPr>
        <w:pStyle w:val="ListParagraph"/>
        <w:numPr>
          <w:ilvl w:val="0"/>
          <w:numId w:val="27"/>
        </w:numPr>
      </w:pPr>
      <w:r>
        <w:t>explain the effect of the change (excluding changes in accounting policies) if any, on:</w:t>
      </w:r>
      <w:r w:rsidR="00584957">
        <w:br/>
        <w:t>(i)   forecast Operating and Maintenance Expenditure incurred for the Relevant Regulatory Year;</w:t>
      </w:r>
      <w:r w:rsidR="00584957">
        <w:br/>
        <w:t>(ii)  forecast Capital Expenditure incurred for the Relevant Regulatory Year;</w:t>
      </w:r>
      <w:r w:rsidR="00584957">
        <w:br/>
        <w:t>(iii) actual Operating and Maintenance Expenditure incurred for the Relevant Regulatory Year;</w:t>
      </w:r>
      <w:r w:rsidR="00584957">
        <w:br/>
        <w:t>(iv)  actual Capital Expenditure incurred for the Relevant Regulatory Year; and</w:t>
      </w:r>
    </w:p>
    <w:p w:rsidR="00584957" w:rsidRDefault="00584957" w:rsidP="000D309C">
      <w:pPr>
        <w:pStyle w:val="ListParagraph"/>
        <w:numPr>
          <w:ilvl w:val="0"/>
          <w:numId w:val="27"/>
        </w:numPr>
      </w:pPr>
      <w:r>
        <w:t xml:space="preserve">explain the estimated effect of the change, if any, for the previous </w:t>
      </w:r>
      <w:r>
        <w:rPr>
          <w:i/>
        </w:rPr>
        <w:t xml:space="preserve">regulatory year </w:t>
      </w:r>
      <w:r>
        <w:t>on:</w:t>
      </w:r>
      <w:r>
        <w:br/>
        <w:t>(i)   actual Operating and Maintenance Expenditure incurred; and</w:t>
      </w:r>
      <w:r>
        <w:br/>
        <w:t>(ii)  actual Capital Expenditure incurred.</w:t>
      </w:r>
    </w:p>
    <w:p w:rsidR="00584957" w:rsidRDefault="00584957" w:rsidP="00584957"/>
    <w:p w:rsidR="00584957" w:rsidRDefault="00584957"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584957" w:rsidRDefault="00B76085" w:rsidP="00584957">
      <w:r>
        <w:t xml:space="preserve">As noted in </w:t>
      </w:r>
      <w:r w:rsidR="00584957" w:rsidRPr="00B76085">
        <w:t xml:space="preserve">SA Power Networks’ </w:t>
      </w:r>
      <w:r>
        <w:t xml:space="preserve">response to Item 5.1, there have been no changes to the Capitalisation Policy in the current year.  Therefore no response is required for this item.  </w:t>
      </w:r>
    </w:p>
    <w:p w:rsidR="004E3289" w:rsidRDefault="0093285E" w:rsidP="00280897">
      <w:pPr>
        <w:pStyle w:val="Heading3"/>
      </w:pPr>
      <w:r>
        <w:br w:type="page"/>
      </w:r>
      <w:bookmarkStart w:id="41" w:name="_Toc316292012"/>
      <w:bookmarkStart w:id="42" w:name="_Toc316293833"/>
    </w:p>
    <w:p w:rsidR="004E3289" w:rsidRDefault="004E3289" w:rsidP="004E3289">
      <w:pPr>
        <w:pStyle w:val="Heading3"/>
      </w:pPr>
      <w:bookmarkStart w:id="43" w:name="_Toc368472936"/>
      <w:r>
        <w:lastRenderedPageBreak/>
        <w:t>6.   DEMAND MANAGEMENT INCENTIVE SCHEME</w:t>
      </w:r>
      <w:bookmarkEnd w:id="43"/>
    </w:p>
    <w:p w:rsidR="004E3289" w:rsidRDefault="004E3289" w:rsidP="00280897">
      <w:pPr>
        <w:pStyle w:val="Heading3"/>
      </w:pPr>
    </w:p>
    <w:p w:rsidR="0093285E" w:rsidRDefault="0093285E" w:rsidP="004E3289">
      <w:pPr>
        <w:pStyle w:val="Heading5"/>
      </w:pPr>
      <w:r>
        <w:t>I</w:t>
      </w:r>
      <w:r w:rsidR="00345DAD">
        <w:t>tem</w:t>
      </w:r>
      <w:r>
        <w:t xml:space="preserve"> </w:t>
      </w:r>
      <w:bookmarkEnd w:id="41"/>
      <w:bookmarkEnd w:id="42"/>
      <w:r w:rsidR="00D857C9">
        <w:t>6.1</w:t>
      </w:r>
      <w:r>
        <w:t xml:space="preserve"> </w:t>
      </w:r>
    </w:p>
    <w:p w:rsidR="00D857C9" w:rsidRDefault="00D857C9" w:rsidP="003978AC">
      <w:pPr>
        <w:pStyle w:val="BodyText"/>
      </w:pPr>
      <w:r>
        <w:t>In respect of the Demand Management Innovation Allowance:</w:t>
      </w:r>
    </w:p>
    <w:p w:rsidR="00D857C9" w:rsidRDefault="00D857C9" w:rsidP="000D309C">
      <w:pPr>
        <w:pStyle w:val="ListParagraph"/>
        <w:numPr>
          <w:ilvl w:val="0"/>
          <w:numId w:val="28"/>
        </w:numPr>
      </w:pPr>
      <w:r>
        <w:t>p</w:t>
      </w:r>
      <w:r w:rsidR="0093285E">
        <w:t>rovide an ex</w:t>
      </w:r>
      <w:r>
        <w:t>planation of each demand management project or program for which approval is sought;</w:t>
      </w:r>
    </w:p>
    <w:p w:rsidR="00D857C9" w:rsidRDefault="00D857C9" w:rsidP="000D309C">
      <w:pPr>
        <w:pStyle w:val="ListParagraph"/>
        <w:numPr>
          <w:ilvl w:val="0"/>
          <w:numId w:val="28"/>
        </w:numPr>
      </w:pPr>
      <w:r>
        <w:t xml:space="preserve">explain, for each demand management project or program identified in response to paragraph 6.1(a), how it complies with the Demand Management Innovation Allowance criteria detailed at section 3.1.3 of the </w:t>
      </w:r>
      <w:r>
        <w:rPr>
          <w:i/>
        </w:rPr>
        <w:t xml:space="preserve">demand management innovation </w:t>
      </w:r>
      <w:r w:rsidRPr="00D857C9">
        <w:rPr>
          <w:i/>
        </w:rPr>
        <w:t>scheme</w:t>
      </w:r>
      <w:r>
        <w:rPr>
          <w:i/>
        </w:rPr>
        <w:t xml:space="preserve">, </w:t>
      </w:r>
      <w:r>
        <w:t>with particular reference to:</w:t>
      </w:r>
      <w:r>
        <w:br/>
        <w:t>(i)   the nature and scope of each demand management project or program;</w:t>
      </w:r>
      <w:r>
        <w:br/>
        <w:t>(ii)  the aims and expectations of each demand management project or program;</w:t>
      </w:r>
      <w:r>
        <w:br/>
        <w:t>(iii) the process by which each demand management project or program was selected, including the business case for the demand management project and consideration of any alternatives;</w:t>
      </w:r>
      <w:r>
        <w:br/>
        <w:t>(iv)  how each demand management project or program was/is to be implemented;</w:t>
      </w:r>
      <w:r>
        <w:br/>
        <w:t>(v)   the implementation costs of the demand management project or program; and</w:t>
      </w:r>
      <w:r>
        <w:br/>
        <w:t>(vi)  any identifiable benefits that have arisen from the demand management project or program, including any off peak or peak demand reductions;</w:t>
      </w:r>
    </w:p>
    <w:p w:rsidR="00902835" w:rsidRDefault="00D857C9" w:rsidP="000D309C">
      <w:pPr>
        <w:pStyle w:val="ListParagraph"/>
        <w:numPr>
          <w:ilvl w:val="0"/>
          <w:numId w:val="28"/>
        </w:numPr>
      </w:pPr>
      <w:r>
        <w:t xml:space="preserve">provide an overview of developments in relation to </w:t>
      </w:r>
      <w:r w:rsidR="00902835">
        <w:t>the demand management projects or programs completed in previous years, and any results to date;</w:t>
      </w:r>
    </w:p>
    <w:p w:rsidR="006F5E58" w:rsidRDefault="00902835" w:rsidP="000D309C">
      <w:pPr>
        <w:pStyle w:val="ListParagraph"/>
        <w:numPr>
          <w:ilvl w:val="0"/>
          <w:numId w:val="28"/>
        </w:numPr>
      </w:pPr>
      <w:r>
        <w:t>state whether the costs associated with each demand management project or program identified in the response to paragraph 6.1(a) are:</w:t>
      </w:r>
      <w:r>
        <w:br/>
        <w:t>(i)   not recoverable under any other jurisdictional incentive scheme;</w:t>
      </w:r>
      <w:r>
        <w:br/>
        <w:t>(ii)  not recoverable under any other Commonwealth or State Government scheme;</w:t>
      </w:r>
      <w:r>
        <w:br/>
        <w:t>(iii) not included as part of:</w:t>
      </w:r>
      <w:r>
        <w:br/>
      </w:r>
      <w:r w:rsidR="006F5E58">
        <w:rPr>
          <w:i/>
        </w:rPr>
        <w:t xml:space="preserve">       </w:t>
      </w:r>
      <w:r w:rsidR="006F5E58">
        <w:t>(1) the forecast Capital Expenditure or the forecast Operating Expenditure; or</w:t>
      </w:r>
      <w:r w:rsidR="006F5E58">
        <w:br/>
        <w:t xml:space="preserve">       (2) any other incentive scheme applied by the 2010-15 Distribution Determination;</w:t>
      </w:r>
    </w:p>
    <w:p w:rsidR="006F5E58" w:rsidRPr="006F5E58" w:rsidRDefault="006F5E58" w:rsidP="000D309C">
      <w:pPr>
        <w:pStyle w:val="ListParagraph"/>
        <w:numPr>
          <w:ilvl w:val="0"/>
          <w:numId w:val="28"/>
        </w:numPr>
      </w:pPr>
      <w:r>
        <w:t>provide the total amount of the Demand Management Innovation Allowance spent in the Current Regulatory Control Period and how this amount has been calculated.</w:t>
      </w:r>
    </w:p>
    <w:p w:rsidR="006F5E58" w:rsidRDefault="006F5E58" w:rsidP="006F5E58">
      <w:pPr>
        <w:pStyle w:val="ListParagraph"/>
        <w:rPr>
          <w:i/>
        </w:rPr>
      </w:pPr>
    </w:p>
    <w:p w:rsidR="0093285E" w:rsidRDefault="006F5E58" w:rsidP="006F5E58">
      <w:pPr>
        <w:pStyle w:val="ListParagraph"/>
      </w:pPr>
      <w:r>
        <w:t xml:space="preserve"> </w:t>
      </w:r>
    </w:p>
    <w:p w:rsidR="0093285E" w:rsidRDefault="00345DAD" w:rsidP="0029684E">
      <w:pPr>
        <w:spacing w:before="12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32315E" w:rsidRDefault="0032315E" w:rsidP="0032315E">
      <w:pPr>
        <w:spacing w:after="120"/>
      </w:pPr>
      <w:r>
        <w:t>SA Power Networks do</w:t>
      </w:r>
      <w:r w:rsidR="00C86E64">
        <w:t>es</w:t>
      </w:r>
      <w:r>
        <w:t xml:space="preserve"> not wish to seek approval for any DMIA related expenditure in 2012</w:t>
      </w:r>
      <w:r w:rsidR="00C86E64">
        <w:t>-13</w:t>
      </w:r>
      <w:r>
        <w:t xml:space="preserve">.  </w:t>
      </w:r>
    </w:p>
    <w:p w:rsidR="00587449" w:rsidRDefault="00587449" w:rsidP="00587449">
      <w:pPr>
        <w:spacing w:after="120"/>
      </w:pPr>
      <w:r>
        <w:t>SA Power Networks has a significant Demand Management (DM) program underway, with 10 permanent personnel within our DM group, and additional contractors and/or employees seconded periodically on specific projects.</w:t>
      </w:r>
    </w:p>
    <w:p w:rsidR="00587449" w:rsidRDefault="0032315E" w:rsidP="00587449">
      <w:pPr>
        <w:spacing w:after="120"/>
      </w:pPr>
      <w:r>
        <w:t>While SA P</w:t>
      </w:r>
      <w:r w:rsidR="00345DAD" w:rsidRPr="0032315E">
        <w:t>ower Networks</w:t>
      </w:r>
      <w:r>
        <w:t xml:space="preserve"> ha</w:t>
      </w:r>
      <w:r w:rsidR="00C86E64">
        <w:t>s</w:t>
      </w:r>
      <w:r>
        <w:t xml:space="preserve"> not reported any expenditure against the DMIS part A to date</w:t>
      </w:r>
      <w:r w:rsidR="00587449">
        <w:t>, this</w:t>
      </w:r>
      <w:r>
        <w:t xml:space="preserve"> is </w:t>
      </w:r>
      <w:r w:rsidR="00587449">
        <w:t xml:space="preserve">considered </w:t>
      </w:r>
      <w:r>
        <w:t>a timing issue</w:t>
      </w:r>
      <w:r w:rsidR="00587449">
        <w:t xml:space="preserve"> that reflects the fact that </w:t>
      </w:r>
      <w:r>
        <w:t xml:space="preserve">SA Power Networks </w:t>
      </w:r>
      <w:r w:rsidR="007F2F6C">
        <w:t>has</w:t>
      </w:r>
      <w:r w:rsidR="00587449">
        <w:t xml:space="preserve"> a range of funding sources available </w:t>
      </w:r>
      <w:r w:rsidR="009624EE">
        <w:t xml:space="preserve">in order </w:t>
      </w:r>
      <w:r w:rsidR="00587449">
        <w:t xml:space="preserve">to undertake this work.  Thus far this regulatory period (since July 2010), around $9 million </w:t>
      </w:r>
      <w:r w:rsidR="007F2F6C">
        <w:t xml:space="preserve">has been spent </w:t>
      </w:r>
      <w:r w:rsidR="00587449">
        <w:t xml:space="preserve">on demand management related initiatives, with the largest component of this </w:t>
      </w:r>
      <w:r w:rsidR="007F2F6C">
        <w:t xml:space="preserve">relating </w:t>
      </w:r>
      <w:r w:rsidR="00587449">
        <w:t>to our North Adelaide trials.  This expenditure has been funded from the remains of the allowance that ESCOSA provided to us over the 2005-10 period.</w:t>
      </w:r>
    </w:p>
    <w:p w:rsidR="0093285E" w:rsidRPr="0032315E" w:rsidRDefault="006D2B6F" w:rsidP="00345DAD">
      <w:pPr>
        <w:spacing w:after="120"/>
      </w:pPr>
      <w:r>
        <w:t xml:space="preserve">SA Power Networks has already earmarked the total $3.1 million of funding </w:t>
      </w:r>
      <w:r w:rsidR="00587449">
        <w:t xml:space="preserve">available under the </w:t>
      </w:r>
      <w:r w:rsidR="000F18E6">
        <w:t xml:space="preserve">AER’s </w:t>
      </w:r>
      <w:r>
        <w:t>DMIS for specific projects – some of which have commenced</w:t>
      </w:r>
      <w:r w:rsidR="009601E8">
        <w:t xml:space="preserve"> since 1 July 2013</w:t>
      </w:r>
      <w:r>
        <w:t xml:space="preserve">, </w:t>
      </w:r>
      <w:r w:rsidR="00587449">
        <w:t xml:space="preserve">with the </w:t>
      </w:r>
      <w:r w:rsidR="0032315E">
        <w:t xml:space="preserve">majority of the allowance </w:t>
      </w:r>
      <w:r w:rsidR="00587449">
        <w:t xml:space="preserve">expected to be utilised </w:t>
      </w:r>
      <w:r w:rsidR="0032315E">
        <w:t>over the 2013</w:t>
      </w:r>
      <w:r w:rsidR="00C86E64">
        <w:t>-</w:t>
      </w:r>
      <w:r w:rsidR="0032315E">
        <w:t>14 regulatory year.</w:t>
      </w:r>
      <w:r w:rsidR="0093285E" w:rsidRPr="0032315E">
        <w:t xml:space="preserve"> </w:t>
      </w:r>
    </w:p>
    <w:p w:rsidR="004E3289" w:rsidRDefault="004E3289" w:rsidP="004E3289">
      <w:pPr>
        <w:pStyle w:val="Heading3"/>
      </w:pPr>
      <w:bookmarkStart w:id="44" w:name="_Toc368472937"/>
      <w:r>
        <w:lastRenderedPageBreak/>
        <w:t>7.   FORGONE REVENUE</w:t>
      </w:r>
      <w:bookmarkEnd w:id="44"/>
    </w:p>
    <w:p w:rsidR="004E3289" w:rsidRDefault="004E3289" w:rsidP="00FC11FD">
      <w:pPr>
        <w:pStyle w:val="Heading3"/>
      </w:pPr>
    </w:p>
    <w:p w:rsidR="00FC11FD" w:rsidRDefault="00FC11FD" w:rsidP="004E3289">
      <w:pPr>
        <w:pStyle w:val="Heading5"/>
      </w:pPr>
      <w:r>
        <w:t xml:space="preserve">Item 7.1 </w:t>
      </w:r>
    </w:p>
    <w:p w:rsidR="00FC11FD" w:rsidRDefault="005F5545" w:rsidP="003978AC">
      <w:pPr>
        <w:pStyle w:val="BodyText"/>
      </w:pPr>
      <w:r>
        <w:t>In respect of For</w:t>
      </w:r>
      <w:r w:rsidR="00FC11FD">
        <w:t>gone Revenue:</w:t>
      </w:r>
    </w:p>
    <w:p w:rsidR="00FC11FD" w:rsidRDefault="00FC11FD" w:rsidP="000D309C">
      <w:pPr>
        <w:pStyle w:val="ListParagraph"/>
        <w:numPr>
          <w:ilvl w:val="0"/>
          <w:numId w:val="29"/>
        </w:numPr>
      </w:pPr>
      <w:r>
        <w:t>identify any assumptions and/or estimates used in its calculation;</w:t>
      </w:r>
    </w:p>
    <w:p w:rsidR="008709A1" w:rsidRDefault="00FC11FD" w:rsidP="000D309C">
      <w:pPr>
        <w:pStyle w:val="ListParagraph"/>
        <w:numPr>
          <w:ilvl w:val="0"/>
          <w:numId w:val="29"/>
        </w:numPr>
      </w:pPr>
      <w:r>
        <w:t xml:space="preserve">explain the reasonableness of those assumptions and/or estimates used in its calculation, including the reasons for SA Power Networks’ decision to adjust </w:t>
      </w:r>
      <w:r w:rsidR="008709A1">
        <w:t>or not adjust for other factors and the basis for any such adjustments;</w:t>
      </w:r>
    </w:p>
    <w:p w:rsidR="008709A1" w:rsidRDefault="008709A1" w:rsidP="000D309C">
      <w:pPr>
        <w:pStyle w:val="ListParagraph"/>
        <w:numPr>
          <w:ilvl w:val="0"/>
          <w:numId w:val="29"/>
        </w:numPr>
      </w:pPr>
      <w:r>
        <w:t>explain whether it is directly attributable to a demand management project or program approved by the AER under the Demand Management Incentive Allowance and, if so, how.</w:t>
      </w:r>
    </w:p>
    <w:p w:rsidR="00FC11FD" w:rsidRPr="008709A1" w:rsidRDefault="00FC11FD" w:rsidP="008709A1">
      <w:pPr>
        <w:rPr>
          <w:i/>
        </w:rPr>
      </w:pPr>
    </w:p>
    <w:p w:rsidR="00FC11FD" w:rsidRDefault="00FC11FD" w:rsidP="00FC11FD">
      <w:pPr>
        <w:pStyle w:val="ListParagraph"/>
      </w:pPr>
      <w:r>
        <w:t xml:space="preserve"> </w:t>
      </w:r>
    </w:p>
    <w:p w:rsidR="00FC11FD" w:rsidRDefault="00FC11FD"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3D91" w:rsidRDefault="00C83D91">
      <w:r>
        <w:t>As SA Power Networks does not seek approval for any DMIA related expenditure in 2012</w:t>
      </w:r>
      <w:r w:rsidR="00C86E64">
        <w:t>-</w:t>
      </w:r>
      <w:r>
        <w:t>13 (refer item 6</w:t>
      </w:r>
      <w:r w:rsidR="00D358D2">
        <w:t>.1 above), a calculation of for</w:t>
      </w:r>
      <w:r>
        <w:t xml:space="preserve">gone revenue is not required.  </w:t>
      </w:r>
      <w:r>
        <w:br w:type="page"/>
      </w:r>
    </w:p>
    <w:p w:rsidR="004E3289" w:rsidRDefault="004E3289" w:rsidP="004E3289">
      <w:pPr>
        <w:pStyle w:val="Heading3"/>
      </w:pPr>
      <w:bookmarkStart w:id="45" w:name="_Toc368472938"/>
      <w:r>
        <w:lastRenderedPageBreak/>
        <w:t>8.   NON-FINANCIAL PERFORMANCE MONITORING INFORMATION</w:t>
      </w:r>
      <w:bookmarkEnd w:id="45"/>
    </w:p>
    <w:p w:rsidR="004E3289" w:rsidRDefault="004E3289" w:rsidP="0009650A">
      <w:pPr>
        <w:pStyle w:val="Heading3"/>
      </w:pPr>
    </w:p>
    <w:p w:rsidR="0009650A" w:rsidRDefault="0009650A" w:rsidP="004E3289">
      <w:pPr>
        <w:pStyle w:val="Heading5"/>
      </w:pPr>
      <w:r>
        <w:t xml:space="preserve">Item 8.1 </w:t>
      </w:r>
    </w:p>
    <w:p w:rsidR="0009650A" w:rsidRDefault="0009650A" w:rsidP="003978AC">
      <w:pPr>
        <w:pStyle w:val="BodyText"/>
      </w:pPr>
      <w:r>
        <w:t xml:space="preserve">Explain all Material differences between the target performance measure specified in the </w:t>
      </w:r>
      <w:r>
        <w:rPr>
          <w:i/>
        </w:rPr>
        <w:t xml:space="preserve">service target performance incentive scheme </w:t>
      </w:r>
      <w:r>
        <w:t>and actual performance reported in the response to paragraph 1.1(b) of Schedule 1.</w:t>
      </w:r>
      <w:r w:rsidR="00397AC3">
        <w:br/>
      </w:r>
    </w:p>
    <w:p w:rsidR="0009650A" w:rsidRDefault="0009650A" w:rsidP="00397AC3">
      <w:r>
        <w:t xml:space="preserve"> </w:t>
      </w:r>
    </w:p>
    <w:p w:rsidR="0009650A" w:rsidRDefault="0009650A"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36DB5" w:rsidRDefault="00436DB5" w:rsidP="0009650A">
      <w:r>
        <w:t xml:space="preserve">SA Power Networks’ actual performance against the target performance measures specified in the </w:t>
      </w:r>
      <w:r>
        <w:rPr>
          <w:i/>
        </w:rPr>
        <w:t xml:space="preserve">service target performance incentive scheme </w:t>
      </w:r>
      <w:r>
        <w:t>(STPIS) in the response to paragraph 1.1(b) of Schedule 1 of the Notice is summarised in the table below:</w:t>
      </w:r>
    </w:p>
    <w:p w:rsidR="000C0997" w:rsidRDefault="000C0997" w:rsidP="0009650A"/>
    <w:p w:rsidR="000C0997" w:rsidRDefault="000C0997" w:rsidP="000C0997">
      <w:pPr>
        <w:jc w:val="center"/>
      </w:pPr>
      <w:r>
        <w:t>Table 1: SA Power Networks’ actual versus target STPIS performance for 2012/13</w:t>
      </w:r>
    </w:p>
    <w:p w:rsidR="00436DB5" w:rsidRDefault="00436DB5" w:rsidP="0009650A"/>
    <w:tbl>
      <w:tblPr>
        <w:tblStyle w:val="SAPowerNetworksTableStyle"/>
        <w:tblW w:w="0" w:type="auto"/>
        <w:jc w:val="left"/>
        <w:tblInd w:w="1276" w:type="dxa"/>
        <w:tblLayout w:type="fixed"/>
        <w:tblLook w:val="04A0" w:firstRow="1" w:lastRow="0" w:firstColumn="1" w:lastColumn="0" w:noHBand="0" w:noVBand="1"/>
      </w:tblPr>
      <w:tblGrid>
        <w:gridCol w:w="1777"/>
        <w:gridCol w:w="1039"/>
        <w:gridCol w:w="1134"/>
        <w:gridCol w:w="1276"/>
        <w:gridCol w:w="1275"/>
      </w:tblGrid>
      <w:tr w:rsidR="00C07761" w:rsidTr="000C0997">
        <w:trPr>
          <w:cnfStyle w:val="100000000000" w:firstRow="1" w:lastRow="0" w:firstColumn="0" w:lastColumn="0" w:oddVBand="0" w:evenVBand="0" w:oddHBand="0" w:evenHBand="0" w:firstRowFirstColumn="0" w:firstRowLastColumn="0" w:lastRowFirstColumn="0" w:lastRowLastColumn="0"/>
          <w:jc w:val="left"/>
        </w:trPr>
        <w:tc>
          <w:tcPr>
            <w:cnfStyle w:val="001000000100" w:firstRow="0" w:lastRow="0" w:firstColumn="1" w:lastColumn="0" w:oddVBand="0" w:evenVBand="0" w:oddHBand="0" w:evenHBand="0" w:firstRowFirstColumn="1" w:firstRowLastColumn="0" w:lastRowFirstColumn="0" w:lastRowLastColumn="0"/>
            <w:tcW w:w="1777" w:type="dxa"/>
          </w:tcPr>
          <w:p w:rsidR="00C07761" w:rsidRDefault="00C07761" w:rsidP="0009650A"/>
        </w:tc>
        <w:tc>
          <w:tcPr>
            <w:tcW w:w="1039"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CBD</w:t>
            </w:r>
          </w:p>
        </w:tc>
        <w:tc>
          <w:tcPr>
            <w:tcW w:w="1134"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Urban</w:t>
            </w:r>
          </w:p>
        </w:tc>
        <w:tc>
          <w:tcPr>
            <w:tcW w:w="1276"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Rural Short</w:t>
            </w:r>
          </w:p>
        </w:tc>
        <w:tc>
          <w:tcPr>
            <w:tcW w:w="1275"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Rural Long</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SAIDI Target</w:t>
            </w:r>
          </w:p>
        </w:tc>
        <w:tc>
          <w:tcPr>
            <w:tcW w:w="1039"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27.1</w:t>
            </w:r>
          </w:p>
        </w:tc>
        <w:tc>
          <w:tcPr>
            <w:tcW w:w="1134"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104.4</w:t>
            </w:r>
          </w:p>
        </w:tc>
        <w:tc>
          <w:tcPr>
            <w:tcW w:w="1276"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184.0</w:t>
            </w:r>
          </w:p>
        </w:tc>
        <w:tc>
          <w:tcPr>
            <w:tcW w:w="1275"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270.2</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SAIDI Actual</w:t>
            </w:r>
          </w:p>
        </w:tc>
        <w:tc>
          <w:tcPr>
            <w:tcW w:w="1039"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12.6</w:t>
            </w:r>
          </w:p>
        </w:tc>
        <w:tc>
          <w:tcPr>
            <w:tcW w:w="1134"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109.</w:t>
            </w:r>
            <w:r w:rsidR="00721543">
              <w:t>6</w:t>
            </w:r>
          </w:p>
        </w:tc>
        <w:tc>
          <w:tcPr>
            <w:tcW w:w="1276" w:type="dxa"/>
          </w:tcPr>
          <w:p w:rsidR="00C07761" w:rsidRDefault="00721543" w:rsidP="000C0997">
            <w:pPr>
              <w:jc w:val="right"/>
              <w:cnfStyle w:val="000000010000" w:firstRow="0" w:lastRow="0" w:firstColumn="0" w:lastColumn="0" w:oddVBand="0" w:evenVBand="0" w:oddHBand="0" w:evenHBand="1" w:firstRowFirstColumn="0" w:firstRowLastColumn="0" w:lastRowFirstColumn="0" w:lastRowLastColumn="0"/>
            </w:pPr>
            <w:r>
              <w:t>199.9</w:t>
            </w:r>
          </w:p>
        </w:tc>
        <w:tc>
          <w:tcPr>
            <w:tcW w:w="1275" w:type="dxa"/>
          </w:tcPr>
          <w:p w:rsidR="00C07761" w:rsidRDefault="00C07761" w:rsidP="00721543">
            <w:pPr>
              <w:jc w:val="right"/>
              <w:cnfStyle w:val="000000010000" w:firstRow="0" w:lastRow="0" w:firstColumn="0" w:lastColumn="0" w:oddVBand="0" w:evenVBand="0" w:oddHBand="0" w:evenHBand="1" w:firstRowFirstColumn="0" w:firstRowLastColumn="0" w:lastRowFirstColumn="0" w:lastRowLastColumn="0"/>
            </w:pPr>
            <w:r>
              <w:t>241.</w:t>
            </w:r>
            <w:r w:rsidR="00721543">
              <w:t>4</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Pr="000C0997" w:rsidRDefault="00C07761" w:rsidP="000C0997">
            <w:pPr>
              <w:jc w:val="center"/>
              <w:rPr>
                <w:b/>
              </w:rPr>
            </w:pPr>
            <w:r w:rsidRPr="000C0997">
              <w:rPr>
                <w:b/>
              </w:rPr>
              <w:t>% variance</w:t>
            </w:r>
          </w:p>
        </w:tc>
        <w:tc>
          <w:tcPr>
            <w:tcW w:w="1039" w:type="dxa"/>
          </w:tcPr>
          <w:p w:rsidR="00C07761" w:rsidRPr="000C0997" w:rsidRDefault="00C07761" w:rsidP="000C0997">
            <w:pPr>
              <w:jc w:val="right"/>
              <w:cnfStyle w:val="000000100000" w:firstRow="0" w:lastRow="0" w:firstColumn="0" w:lastColumn="0" w:oddVBand="0" w:evenVBand="0" w:oddHBand="1" w:evenHBand="0" w:firstRowFirstColumn="0" w:firstRowLastColumn="0" w:lastRowFirstColumn="0" w:lastRowLastColumn="0"/>
              <w:rPr>
                <w:b/>
              </w:rPr>
            </w:pPr>
            <w:r w:rsidRPr="000C0997">
              <w:rPr>
                <w:b/>
              </w:rPr>
              <w:t>53.5%</w:t>
            </w:r>
          </w:p>
        </w:tc>
        <w:tc>
          <w:tcPr>
            <w:tcW w:w="1134" w:type="dxa"/>
          </w:tcPr>
          <w:p w:rsidR="00C07761" w:rsidRPr="000C0997" w:rsidRDefault="00C07761" w:rsidP="00721543">
            <w:pPr>
              <w:jc w:val="right"/>
              <w:cnfStyle w:val="000000100000" w:firstRow="0" w:lastRow="0" w:firstColumn="0" w:lastColumn="0" w:oddVBand="0" w:evenVBand="0" w:oddHBand="1" w:evenHBand="0" w:firstRowFirstColumn="0" w:firstRowLastColumn="0" w:lastRowFirstColumn="0" w:lastRowLastColumn="0"/>
              <w:rPr>
                <w:b/>
              </w:rPr>
            </w:pPr>
            <w:r w:rsidRPr="000C0997">
              <w:rPr>
                <w:b/>
              </w:rPr>
              <w:t>-</w:t>
            </w:r>
            <w:r w:rsidR="00721543">
              <w:rPr>
                <w:b/>
              </w:rPr>
              <w:t>5.0</w:t>
            </w:r>
            <w:r w:rsidRPr="000C0997">
              <w:rPr>
                <w:b/>
              </w:rPr>
              <w:t>%</w:t>
            </w:r>
          </w:p>
        </w:tc>
        <w:tc>
          <w:tcPr>
            <w:tcW w:w="1276" w:type="dxa"/>
          </w:tcPr>
          <w:p w:rsidR="00C07761" w:rsidRPr="000C0997" w:rsidRDefault="00C07761" w:rsidP="00721543">
            <w:pPr>
              <w:jc w:val="right"/>
              <w:cnfStyle w:val="000000100000" w:firstRow="0" w:lastRow="0" w:firstColumn="0" w:lastColumn="0" w:oddVBand="0" w:evenVBand="0" w:oddHBand="1" w:evenHBand="0" w:firstRowFirstColumn="0" w:firstRowLastColumn="0" w:lastRowFirstColumn="0" w:lastRowLastColumn="0"/>
              <w:rPr>
                <w:b/>
              </w:rPr>
            </w:pPr>
            <w:r w:rsidRPr="000C0997">
              <w:rPr>
                <w:b/>
              </w:rPr>
              <w:t>-</w:t>
            </w:r>
            <w:r w:rsidR="00721543">
              <w:rPr>
                <w:b/>
              </w:rPr>
              <w:t>8.6</w:t>
            </w:r>
            <w:r w:rsidRPr="000C0997">
              <w:rPr>
                <w:b/>
              </w:rPr>
              <w:t>%</w:t>
            </w:r>
          </w:p>
        </w:tc>
        <w:tc>
          <w:tcPr>
            <w:tcW w:w="1275" w:type="dxa"/>
          </w:tcPr>
          <w:p w:rsidR="00C07761" w:rsidRPr="000C0997" w:rsidRDefault="00721543" w:rsidP="000C0997">
            <w:pPr>
              <w:jc w:val="right"/>
              <w:cnfStyle w:val="000000100000" w:firstRow="0" w:lastRow="0" w:firstColumn="0" w:lastColumn="0" w:oddVBand="0" w:evenVBand="0" w:oddHBand="1" w:evenHBand="0" w:firstRowFirstColumn="0" w:firstRowLastColumn="0" w:lastRowFirstColumn="0" w:lastRowLastColumn="0"/>
              <w:rPr>
                <w:b/>
              </w:rPr>
            </w:pPr>
            <w:r>
              <w:rPr>
                <w:b/>
              </w:rPr>
              <w:t>10.7</w:t>
            </w:r>
            <w:r w:rsidR="00C07761" w:rsidRPr="000C0997">
              <w:rPr>
                <w:b/>
              </w:rPr>
              <w:t>%</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SAIFI Target</w:t>
            </w:r>
          </w:p>
        </w:tc>
        <w:tc>
          <w:tcPr>
            <w:tcW w:w="1039"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0.263</w:t>
            </w:r>
          </w:p>
        </w:tc>
        <w:tc>
          <w:tcPr>
            <w:tcW w:w="1134"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1.292</w:t>
            </w:r>
          </w:p>
        </w:tc>
        <w:tc>
          <w:tcPr>
            <w:tcW w:w="1276"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1.736</w:t>
            </w:r>
          </w:p>
        </w:tc>
        <w:tc>
          <w:tcPr>
            <w:tcW w:w="1275"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2.111</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SAIFI Actual</w:t>
            </w:r>
          </w:p>
        </w:tc>
        <w:tc>
          <w:tcPr>
            <w:tcW w:w="1039"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0.</w:t>
            </w:r>
            <w:r w:rsidR="000C0997">
              <w:t>158</w:t>
            </w:r>
          </w:p>
        </w:tc>
        <w:tc>
          <w:tcPr>
            <w:tcW w:w="1134" w:type="dxa"/>
          </w:tcPr>
          <w:p w:rsidR="00C07761" w:rsidRDefault="000C0997" w:rsidP="00721543">
            <w:pPr>
              <w:jc w:val="right"/>
              <w:cnfStyle w:val="000000100000" w:firstRow="0" w:lastRow="0" w:firstColumn="0" w:lastColumn="0" w:oddVBand="0" w:evenVBand="0" w:oddHBand="1" w:evenHBand="0" w:firstRowFirstColumn="0" w:firstRowLastColumn="0" w:lastRowFirstColumn="0" w:lastRowLastColumn="0"/>
            </w:pPr>
            <w:r>
              <w:t>1.2</w:t>
            </w:r>
            <w:r w:rsidR="00721543">
              <w:t>32</w:t>
            </w:r>
          </w:p>
        </w:tc>
        <w:tc>
          <w:tcPr>
            <w:tcW w:w="1276" w:type="dxa"/>
          </w:tcPr>
          <w:p w:rsidR="00C07761" w:rsidRDefault="000C0997" w:rsidP="00721543">
            <w:pPr>
              <w:jc w:val="right"/>
              <w:cnfStyle w:val="000000100000" w:firstRow="0" w:lastRow="0" w:firstColumn="0" w:lastColumn="0" w:oddVBand="0" w:evenVBand="0" w:oddHBand="1" w:evenHBand="0" w:firstRowFirstColumn="0" w:firstRowLastColumn="0" w:lastRowFirstColumn="0" w:lastRowLastColumn="0"/>
            </w:pPr>
            <w:r>
              <w:t>1.6</w:t>
            </w:r>
            <w:r w:rsidR="00721543">
              <w:t>45</w:t>
            </w:r>
          </w:p>
        </w:tc>
        <w:tc>
          <w:tcPr>
            <w:tcW w:w="1275" w:type="dxa"/>
          </w:tcPr>
          <w:p w:rsidR="00C07761" w:rsidRDefault="000C0997" w:rsidP="00721543">
            <w:pPr>
              <w:jc w:val="right"/>
              <w:cnfStyle w:val="000000100000" w:firstRow="0" w:lastRow="0" w:firstColumn="0" w:lastColumn="0" w:oddVBand="0" w:evenVBand="0" w:oddHBand="1" w:evenHBand="0" w:firstRowFirstColumn="0" w:firstRowLastColumn="0" w:lastRowFirstColumn="0" w:lastRowLastColumn="0"/>
            </w:pPr>
            <w:r>
              <w:t>1.48</w:t>
            </w:r>
            <w:r w:rsidR="00721543">
              <w:t>4</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Pr="000C0997" w:rsidRDefault="000C0997" w:rsidP="000C0997">
            <w:pPr>
              <w:jc w:val="center"/>
              <w:rPr>
                <w:b/>
              </w:rPr>
            </w:pPr>
            <w:r w:rsidRPr="000C0997">
              <w:rPr>
                <w:b/>
              </w:rPr>
              <w:t>% variance</w:t>
            </w:r>
          </w:p>
        </w:tc>
        <w:tc>
          <w:tcPr>
            <w:tcW w:w="1039" w:type="dxa"/>
          </w:tcPr>
          <w:p w:rsidR="00C07761" w:rsidRPr="000C0997" w:rsidRDefault="000C0997" w:rsidP="000C0997">
            <w:pPr>
              <w:jc w:val="right"/>
              <w:cnfStyle w:val="000000010000" w:firstRow="0" w:lastRow="0" w:firstColumn="0" w:lastColumn="0" w:oddVBand="0" w:evenVBand="0" w:oddHBand="0" w:evenHBand="1" w:firstRowFirstColumn="0" w:firstRowLastColumn="0" w:lastRowFirstColumn="0" w:lastRowLastColumn="0"/>
              <w:rPr>
                <w:b/>
              </w:rPr>
            </w:pPr>
            <w:r w:rsidRPr="000C0997">
              <w:rPr>
                <w:b/>
              </w:rPr>
              <w:t>39.9%</w:t>
            </w:r>
          </w:p>
        </w:tc>
        <w:tc>
          <w:tcPr>
            <w:tcW w:w="1134" w:type="dxa"/>
          </w:tcPr>
          <w:p w:rsidR="00C07761" w:rsidRPr="000C0997" w:rsidRDefault="00721543" w:rsidP="000C0997">
            <w:pPr>
              <w:jc w:val="right"/>
              <w:cnfStyle w:val="000000010000" w:firstRow="0" w:lastRow="0" w:firstColumn="0" w:lastColumn="0" w:oddVBand="0" w:evenVBand="0" w:oddHBand="0" w:evenHBand="1" w:firstRowFirstColumn="0" w:firstRowLastColumn="0" w:lastRowFirstColumn="0" w:lastRowLastColumn="0"/>
              <w:rPr>
                <w:b/>
              </w:rPr>
            </w:pPr>
            <w:r>
              <w:rPr>
                <w:b/>
              </w:rPr>
              <w:t>4.6</w:t>
            </w:r>
            <w:r w:rsidR="000C0997" w:rsidRPr="000C0997">
              <w:rPr>
                <w:b/>
              </w:rPr>
              <w:t>%</w:t>
            </w:r>
          </w:p>
        </w:tc>
        <w:tc>
          <w:tcPr>
            <w:tcW w:w="1276" w:type="dxa"/>
          </w:tcPr>
          <w:p w:rsidR="00C07761" w:rsidRPr="000C0997" w:rsidRDefault="00721543" w:rsidP="000C0997">
            <w:pPr>
              <w:jc w:val="right"/>
              <w:cnfStyle w:val="000000010000" w:firstRow="0" w:lastRow="0" w:firstColumn="0" w:lastColumn="0" w:oddVBand="0" w:evenVBand="0" w:oddHBand="0" w:evenHBand="1" w:firstRowFirstColumn="0" w:firstRowLastColumn="0" w:lastRowFirstColumn="0" w:lastRowLastColumn="0"/>
              <w:rPr>
                <w:b/>
              </w:rPr>
            </w:pPr>
            <w:r>
              <w:rPr>
                <w:b/>
              </w:rPr>
              <w:t>5.2</w:t>
            </w:r>
            <w:r w:rsidR="000C0997" w:rsidRPr="000C0997">
              <w:rPr>
                <w:b/>
              </w:rPr>
              <w:t>%</w:t>
            </w:r>
          </w:p>
        </w:tc>
        <w:tc>
          <w:tcPr>
            <w:tcW w:w="1275" w:type="dxa"/>
          </w:tcPr>
          <w:p w:rsidR="00C07761" w:rsidRPr="000C0997" w:rsidRDefault="000C0997" w:rsidP="00721543">
            <w:pPr>
              <w:jc w:val="right"/>
              <w:cnfStyle w:val="000000010000" w:firstRow="0" w:lastRow="0" w:firstColumn="0" w:lastColumn="0" w:oddVBand="0" w:evenVBand="0" w:oddHBand="0" w:evenHBand="1" w:firstRowFirstColumn="0" w:firstRowLastColumn="0" w:lastRowFirstColumn="0" w:lastRowLastColumn="0"/>
              <w:rPr>
                <w:b/>
              </w:rPr>
            </w:pPr>
            <w:r w:rsidRPr="000C0997">
              <w:rPr>
                <w:b/>
              </w:rPr>
              <w:t>29.</w:t>
            </w:r>
            <w:r w:rsidR="00721543">
              <w:rPr>
                <w:b/>
              </w:rPr>
              <w:t>7</w:t>
            </w:r>
            <w:r w:rsidRPr="000C0997">
              <w:rPr>
                <w:b/>
              </w:rPr>
              <w:t>%</w:t>
            </w:r>
          </w:p>
        </w:tc>
      </w:tr>
    </w:tbl>
    <w:p w:rsidR="00436DB5" w:rsidRDefault="00436DB5" w:rsidP="0009650A"/>
    <w:p w:rsidR="00436DB5" w:rsidRDefault="00436DB5" w:rsidP="0009650A"/>
    <w:p w:rsidR="0037431E" w:rsidRDefault="004C3FD1" w:rsidP="0009650A">
      <w:r>
        <w:t>In determining what constitutes a Material difference, t</w:t>
      </w:r>
      <w:r w:rsidR="00B170C6">
        <w:t xml:space="preserve">he Regulatory Information Notice </w:t>
      </w:r>
      <w:r>
        <w:t xml:space="preserve">defines a threshold of </w:t>
      </w:r>
      <w:r w:rsidR="00B170C6">
        <w:t xml:space="preserve">greater than 10 percent between </w:t>
      </w:r>
      <w:r w:rsidR="00436DB5">
        <w:t>AER approved targets a</w:t>
      </w:r>
      <w:r w:rsidR="0000406E">
        <w:t xml:space="preserve">nd </w:t>
      </w:r>
      <w:r w:rsidR="00B170C6">
        <w:t>SA Power N</w:t>
      </w:r>
      <w:r>
        <w:t xml:space="preserve">etworks’ reported actual performance.  In applying this definition to the information contained in Table 1 (above), </w:t>
      </w:r>
      <w:r w:rsidR="00B170C6">
        <w:t>S</w:t>
      </w:r>
      <w:r>
        <w:t xml:space="preserve">A Power Networks </w:t>
      </w:r>
      <w:r w:rsidR="004C1A33">
        <w:t>is</w:t>
      </w:r>
      <w:r>
        <w:t xml:space="preserve"> required to explain the favourable performance </w:t>
      </w:r>
      <w:r w:rsidR="001B1376">
        <w:t xml:space="preserve">as compared to the </w:t>
      </w:r>
      <w:r>
        <w:t xml:space="preserve">CBD SAIDI and SAIFI </w:t>
      </w:r>
      <w:r w:rsidR="001B1376">
        <w:t>STPIS t</w:t>
      </w:r>
      <w:r>
        <w:t>arget</w:t>
      </w:r>
      <w:r w:rsidR="001B1376">
        <w:t>s</w:t>
      </w:r>
      <w:r>
        <w:t xml:space="preserve">, as well as the favourable performance in the Rural Long SAIDI and SAIFI </w:t>
      </w:r>
      <w:r w:rsidR="001B1376">
        <w:t xml:space="preserve">STPIS </w:t>
      </w:r>
      <w:r>
        <w:t>measures as compared to target.</w:t>
      </w:r>
    </w:p>
    <w:p w:rsidR="0037431E" w:rsidRDefault="0037431E" w:rsidP="0009650A"/>
    <w:p w:rsidR="00A3610C" w:rsidRDefault="0037431E" w:rsidP="0029684E">
      <w:r>
        <w:rPr>
          <w:b/>
        </w:rPr>
        <w:t>CBD</w:t>
      </w:r>
      <w:r>
        <w:rPr>
          <w:b/>
        </w:rPr>
        <w:br/>
      </w:r>
      <w:r w:rsidR="0028688C">
        <w:t>Typically, on more than 90% of days in a year, there are no interruptions that impact CBD customers</w:t>
      </w:r>
      <w:r>
        <w:t xml:space="preserve">.  </w:t>
      </w:r>
      <w:r w:rsidR="0028688C">
        <w:t xml:space="preserve">This means that even relatively small changes in the duration and frequency of interruptions can have a marked impact on CBD reliability.  </w:t>
      </w:r>
      <w:r w:rsidR="00C4542E">
        <w:t xml:space="preserve">The impacts of approximately four to five days were reduced in </w:t>
      </w:r>
      <w:r>
        <w:t>2012/13 as compared to the peri</w:t>
      </w:r>
      <w:r w:rsidR="0028688C">
        <w:t>od used to establish the target</w:t>
      </w:r>
      <w:r w:rsidR="00C4542E">
        <w:t>.  This</w:t>
      </w:r>
      <w:r w:rsidR="0028688C">
        <w:t xml:space="preserve"> was driven by </w:t>
      </w:r>
      <w:r w:rsidR="00C4542E">
        <w:t xml:space="preserve">a combination of </w:t>
      </w:r>
      <w:r w:rsidR="0028688C">
        <w:t>favourable conditions.</w:t>
      </w:r>
    </w:p>
    <w:p w:rsidR="00A3610C" w:rsidRDefault="00A3610C" w:rsidP="0009650A"/>
    <w:p w:rsidR="00645CB8" w:rsidRDefault="00645CB8">
      <w:pPr>
        <w:rPr>
          <w:b/>
        </w:rPr>
      </w:pPr>
      <w:r>
        <w:rPr>
          <w:b/>
        </w:rPr>
        <w:br w:type="page"/>
      </w:r>
    </w:p>
    <w:p w:rsidR="00FC11FD" w:rsidRPr="00605656" w:rsidRDefault="00A3610C" w:rsidP="0009650A">
      <w:r>
        <w:rPr>
          <w:b/>
        </w:rPr>
        <w:lastRenderedPageBreak/>
        <w:t>Rural Long</w:t>
      </w:r>
      <w:r>
        <w:rPr>
          <w:b/>
        </w:rPr>
        <w:br/>
      </w:r>
      <w:r>
        <w:t xml:space="preserve">SA Power Networks has responded to the STPIS incentives by installing additional reclosers and sectionalisers on </w:t>
      </w:r>
      <w:r w:rsidR="004C1A33">
        <w:t xml:space="preserve">targeted </w:t>
      </w:r>
      <w:r>
        <w:t xml:space="preserve">feeders to reduce the number of customers </w:t>
      </w:r>
      <w:r w:rsidR="00605656">
        <w:t xml:space="preserve">affected by </w:t>
      </w:r>
      <w:r>
        <w:t>sustained interruption</w:t>
      </w:r>
      <w:r w:rsidR="00605656">
        <w:t>s</w:t>
      </w:r>
      <w:r>
        <w:t xml:space="preserve">.  Consequently, </w:t>
      </w:r>
      <w:r w:rsidR="004C1A33">
        <w:t xml:space="preserve">some </w:t>
      </w:r>
      <w:r>
        <w:t xml:space="preserve">customers who </w:t>
      </w:r>
      <w:r w:rsidR="004C1A33">
        <w:t>might</w:t>
      </w:r>
      <w:r>
        <w:t xml:space="preserve"> previously have experienced a sustained interruption would now experience </w:t>
      </w:r>
      <w:r w:rsidR="004C1A33">
        <w:t xml:space="preserve">a shorter (potentially </w:t>
      </w:r>
      <w:r>
        <w:t>momentary</w:t>
      </w:r>
      <w:r w:rsidR="004C1A33">
        <w:t>)</w:t>
      </w:r>
      <w:r>
        <w:t xml:space="preserve"> interruption.  In addition, SA Power Networks ha</w:t>
      </w:r>
      <w:r w:rsidR="004C1A33">
        <w:t>s</w:t>
      </w:r>
      <w:r>
        <w:t xml:space="preserve"> re-insulated </w:t>
      </w:r>
      <w:r w:rsidR="004C1A33">
        <w:t xml:space="preserve">some </w:t>
      </w:r>
      <w:r>
        <w:t xml:space="preserve">sections of </w:t>
      </w:r>
      <w:r w:rsidR="004C1A33">
        <w:t>the</w:t>
      </w:r>
      <w:r>
        <w:t xml:space="preserve"> 33kV distribution network in order to reduce the number of interruptions caused by lightning.</w:t>
      </w:r>
    </w:p>
    <w:p w:rsidR="00645CB8" w:rsidRDefault="00645CB8">
      <w:pPr>
        <w:rPr>
          <w:rFonts w:asciiTheme="majorHAnsi" w:eastAsiaTheme="majorEastAsia" w:hAnsiTheme="majorHAnsi"/>
          <w:b/>
          <w:color w:val="000000" w:themeColor="accent1"/>
          <w:sz w:val="24"/>
          <w:lang w:bidi="en-US"/>
        </w:rPr>
      </w:pPr>
      <w:r>
        <w:br w:type="page"/>
      </w:r>
    </w:p>
    <w:p w:rsidR="00BA46C2" w:rsidRDefault="00BA46C2" w:rsidP="00BA46C2">
      <w:pPr>
        <w:pStyle w:val="Heading3"/>
      </w:pPr>
      <w:bookmarkStart w:id="46" w:name="_Toc368472939"/>
      <w:r>
        <w:lastRenderedPageBreak/>
        <w:t>9.   ASSET REPLACEMENT VOLUMES</w:t>
      </w:r>
      <w:bookmarkEnd w:id="46"/>
    </w:p>
    <w:p w:rsidR="00BA46C2" w:rsidRDefault="00BA46C2" w:rsidP="009322CE">
      <w:pPr>
        <w:pStyle w:val="Heading3"/>
      </w:pPr>
    </w:p>
    <w:p w:rsidR="009322CE" w:rsidRDefault="009322CE" w:rsidP="00BA46C2">
      <w:pPr>
        <w:pStyle w:val="Heading5"/>
      </w:pPr>
      <w:r>
        <w:t xml:space="preserve">Item 9.1 </w:t>
      </w:r>
    </w:p>
    <w:p w:rsidR="009322CE" w:rsidRDefault="009322CE" w:rsidP="003978AC">
      <w:pPr>
        <w:pStyle w:val="BodyText"/>
      </w:pPr>
      <w:r>
        <w:t xml:space="preserve">With respect to the asset replacement volumes reported on template 7 of the workbook attached at Appendix C, for each asset identify the proportion of total replacements that were a like-for-like replacement, where the new asset provided an equivalent level of service as the asset being replaced.  If the proportion of like-for-like replacements is estimated, please provide details of the basis for the estimation. </w:t>
      </w:r>
    </w:p>
    <w:p w:rsidR="009322CE" w:rsidRPr="008709A1" w:rsidRDefault="009322CE" w:rsidP="009322CE">
      <w:pPr>
        <w:rPr>
          <w:i/>
        </w:rPr>
      </w:pPr>
    </w:p>
    <w:p w:rsidR="009322CE" w:rsidRDefault="009322CE" w:rsidP="009322CE">
      <w:pPr>
        <w:pStyle w:val="ListParagraph"/>
      </w:pPr>
      <w:r>
        <w:t xml:space="preserve"> </w:t>
      </w:r>
    </w:p>
    <w:p w:rsidR="009322CE" w:rsidRDefault="009322CE"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BA3217" w:rsidRDefault="009322CE" w:rsidP="009322CE">
      <w:pPr>
        <w:spacing w:after="120"/>
      </w:pPr>
      <w:r w:rsidRPr="001E475A">
        <w:t>SA Power Networks</w:t>
      </w:r>
      <w:r w:rsidR="00090B88">
        <w:t xml:space="preserve"> considers that all of the asset replacement volumes reported in Template 7 of the Non-Financial Regulatory Templates can be consid</w:t>
      </w:r>
      <w:r w:rsidR="00BA3217">
        <w:t xml:space="preserve">ered like-for-like replacements, that is, the new assets are still providing an equivalent level of service as </w:t>
      </w:r>
      <w:r w:rsidR="00D358D2">
        <w:t>those assets that were replaced (notwithstanding advances that may have occurred in asset design and technology in accordance with current Standards).</w:t>
      </w:r>
    </w:p>
    <w:p w:rsidR="009322CE" w:rsidRDefault="00BA3217" w:rsidP="00A448A1">
      <w:pPr>
        <w:spacing w:after="120"/>
      </w:pPr>
      <w:r>
        <w:t>SA Power Networks’ asset replacement expenditure has been significantly higher in the regulatory period to date than the forecast amounts allowed by the AER, resulting from the need to invest additional amounts to maintain the safety of the network.  The work undertaken to date has primarily been limited to the replacement of high priority risk assets.  Given the constraints of the asset replaceme</w:t>
      </w:r>
      <w:r w:rsidR="00A448A1">
        <w:t>nt allo</w:t>
      </w:r>
      <w:r w:rsidR="00D358D2">
        <w:t xml:space="preserve">wance, it is likely that </w:t>
      </w:r>
      <w:r w:rsidR="00A448A1">
        <w:t>barring</w:t>
      </w:r>
      <w:r w:rsidR="00D358D2">
        <w:t>, for example,</w:t>
      </w:r>
      <w:r w:rsidR="00A448A1">
        <w:t xml:space="preserve"> asset obsolescence</w:t>
      </w:r>
      <w:r w:rsidR="00D358D2">
        <w:t xml:space="preserve"> or changes to Standards disallowing like-for-like replacement</w:t>
      </w:r>
      <w:r w:rsidR="00A448A1">
        <w:t xml:space="preserve">, </w:t>
      </w:r>
      <w:r>
        <w:t>future replaceme</w:t>
      </w:r>
      <w:r w:rsidR="00A448A1">
        <w:t>nts for the period will be limited to those of a like-for-like nature.</w:t>
      </w:r>
      <w:r w:rsidR="009322CE">
        <w:t xml:space="preserve">   </w:t>
      </w:r>
    </w:p>
    <w:p w:rsidR="0006417F" w:rsidRDefault="0006417F">
      <w:r>
        <w:br w:type="page"/>
      </w:r>
    </w:p>
    <w:p w:rsidR="00BA46C2" w:rsidRDefault="00BA46C2" w:rsidP="00BA46C2">
      <w:pPr>
        <w:pStyle w:val="Heading3"/>
      </w:pPr>
      <w:bookmarkStart w:id="47" w:name="_Toc368472940"/>
      <w:r>
        <w:lastRenderedPageBreak/>
        <w:t>10.   RECONCILIATION OF REGULATORY ASSET BASE</w:t>
      </w:r>
      <w:bookmarkEnd w:id="47"/>
    </w:p>
    <w:p w:rsidR="00BA46C2" w:rsidRDefault="00BA46C2" w:rsidP="0006417F">
      <w:pPr>
        <w:pStyle w:val="Heading3"/>
      </w:pPr>
    </w:p>
    <w:p w:rsidR="0006417F" w:rsidRDefault="0006417F" w:rsidP="00BA46C2">
      <w:pPr>
        <w:pStyle w:val="Heading5"/>
      </w:pPr>
      <w:r>
        <w:t xml:space="preserve">Item 10.1 </w:t>
      </w:r>
    </w:p>
    <w:p w:rsidR="0006417F" w:rsidRDefault="0006417F" w:rsidP="003978AC">
      <w:pPr>
        <w:pStyle w:val="BodyText"/>
      </w:pPr>
      <w:r>
        <w:t>Provide information that reconciles:</w:t>
      </w:r>
    </w:p>
    <w:p w:rsidR="0006417F" w:rsidRDefault="0006417F" w:rsidP="000D309C">
      <w:pPr>
        <w:pStyle w:val="ListParagraph"/>
        <w:numPr>
          <w:ilvl w:val="0"/>
          <w:numId w:val="30"/>
        </w:numPr>
      </w:pPr>
      <w:r>
        <w:t>the incremental change in the Property, Plant and Equipment category within the Audited Statutory Accounts (that is, the change in the closing values of this category of the Balance Sheet between the previous regulatory year and the relevant regulatory year); and</w:t>
      </w:r>
    </w:p>
    <w:p w:rsidR="0006417F" w:rsidRPr="0006417F" w:rsidRDefault="0006417F" w:rsidP="000D309C">
      <w:pPr>
        <w:pStyle w:val="ListParagraph"/>
        <w:numPr>
          <w:ilvl w:val="0"/>
          <w:numId w:val="30"/>
        </w:numPr>
        <w:rPr>
          <w:i/>
        </w:rPr>
      </w:pPr>
      <w:r>
        <w:t xml:space="preserve">the incremental change in the closing values for the Regulatory Asset Base between the Previous Regulatory Year and the Relevant Regulatory Year. </w:t>
      </w:r>
    </w:p>
    <w:p w:rsidR="0006417F" w:rsidRDefault="0006417F" w:rsidP="0006417F">
      <w:pPr>
        <w:pStyle w:val="ListParagraph"/>
      </w:pPr>
      <w:r>
        <w:t xml:space="preserve"> </w:t>
      </w:r>
    </w:p>
    <w:p w:rsidR="0006417F" w:rsidRDefault="0006417F" w:rsidP="005A4A62">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7F7BB0" w:rsidRDefault="007F7BB0" w:rsidP="007F7BB0">
      <w:pPr>
        <w:spacing w:after="120"/>
      </w:pPr>
      <w:r>
        <w:t xml:space="preserve">The table provided as </w:t>
      </w:r>
      <w:r w:rsidRPr="005A4A62">
        <w:t xml:space="preserve">Attachment </w:t>
      </w:r>
      <w:r w:rsidR="005A4A62">
        <w:t>10.1(a)</w:t>
      </w:r>
      <w:r>
        <w:t xml:space="preserve"> to this d</w:t>
      </w:r>
      <w:r w:rsidR="005C5532">
        <w:t>ocument reconciles the incremental change (movement) in the Property, Plant and Equipment Balance Sheet category of the Audited Statutory Accounts for the period 1 July 2012 (opening balance) to 30 June 2013 (closing balance</w:t>
      </w:r>
      <w:r w:rsidR="00D26EF6">
        <w:t xml:space="preserve">), </w:t>
      </w:r>
      <w:r w:rsidR="005C5532">
        <w:t xml:space="preserve">in accordance with the values reported in </w:t>
      </w:r>
      <w:r w:rsidR="00D26EF6">
        <w:t xml:space="preserve">Table 1 of </w:t>
      </w:r>
      <w:r w:rsidR="005C5532">
        <w:t>Template 2 of the Re</w:t>
      </w:r>
      <w:r w:rsidR="00D26EF6">
        <w:t>gulatory Accounting Statements</w:t>
      </w:r>
      <w:r w:rsidR="005C5532">
        <w:t xml:space="preserve">. </w:t>
      </w:r>
    </w:p>
    <w:p w:rsidR="00F94671" w:rsidRDefault="005414F4">
      <w:r>
        <w:t xml:space="preserve">It is important to note that </w:t>
      </w:r>
      <w:r w:rsidR="007B3CE0">
        <w:t xml:space="preserve">although </w:t>
      </w:r>
      <w:r w:rsidR="00170CAC">
        <w:t xml:space="preserve">some current year asset movements are reported in Capex Template 5, the closing value of the </w:t>
      </w:r>
      <w:r>
        <w:t xml:space="preserve">Regulatory Asset Base </w:t>
      </w:r>
      <w:r w:rsidR="00170CAC">
        <w:t>(</w:t>
      </w:r>
      <w:r>
        <w:t>as requested in Item 10.1(b)</w:t>
      </w:r>
      <w:r w:rsidR="00170CAC">
        <w:t>) is</w:t>
      </w:r>
      <w:r>
        <w:t xml:space="preserve"> </w:t>
      </w:r>
      <w:r w:rsidRPr="00D26EF6">
        <w:rPr>
          <w:u w:val="single"/>
        </w:rPr>
        <w:t>not</w:t>
      </w:r>
      <w:r>
        <w:t xml:space="preserve"> reported in the Regulatory Accounting Statements.</w:t>
      </w:r>
      <w:r w:rsidR="00DF3F53">
        <w:t xml:space="preserve">  </w:t>
      </w:r>
      <w:r w:rsidR="00D26EF6">
        <w:t xml:space="preserve">SA Power Networks has nonetheless calculated </w:t>
      </w:r>
      <w:r w:rsidR="00DF3F53">
        <w:t xml:space="preserve">the incremental change in </w:t>
      </w:r>
      <w:r w:rsidR="00D26EF6">
        <w:t>its</w:t>
      </w:r>
      <w:r w:rsidR="00DF3F53">
        <w:t xml:space="preserve"> Regulatory Asset Base for the year</w:t>
      </w:r>
      <w:r w:rsidR="00D26EF6">
        <w:t xml:space="preserve">, which </w:t>
      </w:r>
      <w:r w:rsidR="00F94671">
        <w:t xml:space="preserve">has been derived by </w:t>
      </w:r>
      <w:r w:rsidR="00D26EF6">
        <w:t>i</w:t>
      </w:r>
      <w:r w:rsidR="007B3CE0">
        <w:t xml:space="preserve">nputting </w:t>
      </w:r>
      <w:r w:rsidR="00D26EF6">
        <w:t xml:space="preserve">regulatory asset </w:t>
      </w:r>
      <w:r w:rsidR="005C701C">
        <w:t>movement</w:t>
      </w:r>
      <w:r w:rsidR="00344E83">
        <w:t>s</w:t>
      </w:r>
      <w:r w:rsidR="005C701C">
        <w:t xml:space="preserve"> </w:t>
      </w:r>
      <w:r w:rsidR="007B3CE0">
        <w:t xml:space="preserve">to </w:t>
      </w:r>
      <w:r w:rsidR="00F94671">
        <w:t xml:space="preserve">the AER’s </w:t>
      </w:r>
      <w:r w:rsidR="00F94671">
        <w:rPr>
          <w:i/>
        </w:rPr>
        <w:t>‘Electricity Distribution Network Service Providers Roll Forward Model Version: 01, Date: 26 June 2008’</w:t>
      </w:r>
      <w:r w:rsidR="00344E83">
        <w:rPr>
          <w:i/>
        </w:rPr>
        <w:t xml:space="preserve">.  </w:t>
      </w:r>
      <w:r w:rsidR="00344E83">
        <w:t xml:space="preserve">This is the Model that </w:t>
      </w:r>
      <w:r w:rsidR="00236CA9">
        <w:t xml:space="preserve">SA Power Networks understands will be the </w:t>
      </w:r>
      <w:r w:rsidR="00344E83">
        <w:t xml:space="preserve">one </w:t>
      </w:r>
      <w:r w:rsidR="00236CA9">
        <w:t>the AER will use to roll forward our Regulatory Asset Base</w:t>
      </w:r>
      <w:r w:rsidR="00F94671">
        <w:t xml:space="preserve">.  This reconciliation </w:t>
      </w:r>
      <w:r w:rsidR="00DF3F53">
        <w:t xml:space="preserve">is provided as </w:t>
      </w:r>
      <w:r w:rsidR="00DF3F53" w:rsidRPr="005A4A62">
        <w:t xml:space="preserve">Attachment </w:t>
      </w:r>
      <w:r w:rsidR="005A4A62">
        <w:t>10.1(b)</w:t>
      </w:r>
      <w:r w:rsidR="00DF3F53">
        <w:t xml:space="preserve"> to this document.  </w:t>
      </w:r>
      <w:r w:rsidR="00F94671">
        <w:br w:type="page"/>
      </w:r>
    </w:p>
    <w:p w:rsidR="007D5564" w:rsidRDefault="007D5564" w:rsidP="00F94671">
      <w:pPr>
        <w:spacing w:after="120"/>
      </w:pPr>
    </w:p>
    <w:p w:rsidR="00BA46C2" w:rsidRDefault="00BA46C2" w:rsidP="00BA46C2">
      <w:pPr>
        <w:pStyle w:val="Heading3"/>
      </w:pPr>
      <w:bookmarkStart w:id="48" w:name="_Toc368472941"/>
      <w:r>
        <w:t>11.   CHARTS</w:t>
      </w:r>
      <w:bookmarkEnd w:id="48"/>
    </w:p>
    <w:p w:rsidR="00BA46C2" w:rsidRDefault="00BA46C2" w:rsidP="00BA46C2">
      <w:pPr>
        <w:pStyle w:val="Heading3"/>
      </w:pPr>
    </w:p>
    <w:p w:rsidR="007D5564" w:rsidRDefault="007D5564" w:rsidP="00BA46C2">
      <w:pPr>
        <w:pStyle w:val="Heading5"/>
      </w:pPr>
      <w:r>
        <w:t xml:space="preserve">Item 11.1 </w:t>
      </w:r>
    </w:p>
    <w:p w:rsidR="007D5564" w:rsidRDefault="007D5564" w:rsidP="003978AC">
      <w:pPr>
        <w:pStyle w:val="BodyText"/>
      </w:pPr>
      <w:r>
        <w:t xml:space="preserve">Provide charts that set out: </w:t>
      </w:r>
    </w:p>
    <w:p w:rsidR="007D5564" w:rsidRPr="007D5564" w:rsidRDefault="007D5564" w:rsidP="000D309C">
      <w:pPr>
        <w:pStyle w:val="ListParagraph"/>
        <w:numPr>
          <w:ilvl w:val="0"/>
          <w:numId w:val="31"/>
        </w:numPr>
        <w:rPr>
          <w:i/>
        </w:rPr>
      </w:pPr>
      <w:r>
        <w:t xml:space="preserve">the group corporate structure which SA Power Networks is a part of; and </w:t>
      </w:r>
    </w:p>
    <w:p w:rsidR="007D5564" w:rsidRDefault="007D5564" w:rsidP="000D309C">
      <w:pPr>
        <w:pStyle w:val="ListParagraph"/>
        <w:numPr>
          <w:ilvl w:val="0"/>
          <w:numId w:val="31"/>
        </w:numPr>
      </w:pPr>
      <w:r>
        <w:t xml:space="preserve">the organisational structure of SA Power Networks. </w:t>
      </w:r>
    </w:p>
    <w:p w:rsidR="007D5564" w:rsidRDefault="007D5564" w:rsidP="007D5564"/>
    <w:p w:rsidR="007D5564" w:rsidRDefault="007D5564" w:rsidP="007D5564"/>
    <w:p w:rsidR="007D5564" w:rsidRDefault="007D5564"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2AAB" w:rsidRDefault="00C82AAB" w:rsidP="007D5564">
      <w:pPr>
        <w:spacing w:after="120"/>
      </w:pPr>
      <w:r>
        <w:t xml:space="preserve">A chart is provided as </w:t>
      </w:r>
      <w:r w:rsidRPr="005A4A62">
        <w:t xml:space="preserve">Attachment </w:t>
      </w:r>
      <w:r w:rsidR="005A4A62">
        <w:t>11.1(a)</w:t>
      </w:r>
      <w:r>
        <w:t xml:space="preserve"> to this document, that sets out the group corporate structure which SA Power Networks is a part of.</w:t>
      </w:r>
    </w:p>
    <w:p w:rsidR="00C82AAB" w:rsidRDefault="00C82AAB" w:rsidP="00C82AAB">
      <w:pPr>
        <w:spacing w:after="120"/>
      </w:pPr>
      <w:r>
        <w:t xml:space="preserve">SA Power Networks’ current organisational structure is contained in the chart provided as </w:t>
      </w:r>
      <w:r w:rsidRPr="005A4A62">
        <w:t xml:space="preserve">Attachment </w:t>
      </w:r>
      <w:r w:rsidR="005A4A62">
        <w:t xml:space="preserve">11.1(b) </w:t>
      </w:r>
      <w:r>
        <w:t xml:space="preserve">to this document. </w:t>
      </w:r>
      <w:r w:rsidRPr="00C82AAB">
        <w:t xml:space="preserve"> </w:t>
      </w:r>
    </w:p>
    <w:p w:rsidR="007D5564" w:rsidRDefault="007D5564">
      <w:r>
        <w:br w:type="page"/>
      </w:r>
    </w:p>
    <w:p w:rsidR="00BA46C2" w:rsidRDefault="00BA46C2" w:rsidP="00BA46C2">
      <w:pPr>
        <w:pStyle w:val="Heading3"/>
      </w:pPr>
      <w:bookmarkStart w:id="49" w:name="_Toc368472942"/>
      <w:r>
        <w:lastRenderedPageBreak/>
        <w:t>1</w:t>
      </w:r>
      <w:r w:rsidR="005D559D">
        <w:t>2</w:t>
      </w:r>
      <w:r>
        <w:t xml:space="preserve">.   </w:t>
      </w:r>
      <w:r w:rsidR="005D559D">
        <w:t>AUDIT REPORTS</w:t>
      </w:r>
      <w:bookmarkEnd w:id="49"/>
    </w:p>
    <w:p w:rsidR="00BA46C2" w:rsidRDefault="00BA46C2" w:rsidP="006B09A0">
      <w:pPr>
        <w:pStyle w:val="Heading3"/>
      </w:pPr>
    </w:p>
    <w:p w:rsidR="006B09A0" w:rsidRDefault="006B09A0" w:rsidP="005D559D">
      <w:pPr>
        <w:pStyle w:val="Heading5"/>
      </w:pPr>
      <w:r>
        <w:t xml:space="preserve">Item 12.1 </w:t>
      </w:r>
    </w:p>
    <w:p w:rsidR="006B09A0" w:rsidRDefault="006B09A0" w:rsidP="003978AC">
      <w:pPr>
        <w:pStyle w:val="BodyText"/>
      </w:pPr>
      <w:r>
        <w:t xml:space="preserve">Provide Audit Report/s in the form of: </w:t>
      </w:r>
    </w:p>
    <w:p w:rsidR="006B09A0" w:rsidRPr="006B09A0" w:rsidRDefault="006B09A0" w:rsidP="000D309C">
      <w:pPr>
        <w:pStyle w:val="ListParagraph"/>
        <w:numPr>
          <w:ilvl w:val="0"/>
          <w:numId w:val="32"/>
        </w:numPr>
        <w:rPr>
          <w:i/>
        </w:rPr>
      </w:pPr>
      <w:r>
        <w:t>a Special Purpose Financial Report in accordance with the requirements set out at Appendix E of this Notice; and</w:t>
      </w:r>
    </w:p>
    <w:p w:rsidR="006B09A0" w:rsidRDefault="006B09A0" w:rsidP="000D309C">
      <w:pPr>
        <w:pStyle w:val="ListParagraph"/>
        <w:numPr>
          <w:ilvl w:val="0"/>
          <w:numId w:val="32"/>
        </w:numPr>
      </w:pPr>
      <w:r>
        <w:t>an Audit Report/s (for Non-Finan</w:t>
      </w:r>
      <w:r w:rsidR="001707BF">
        <w:t xml:space="preserve">cial Regulatory Templates information) in accordance with the requirements set out at Appendix E of this Notice.  </w:t>
      </w:r>
      <w:r w:rsidR="001707BF">
        <w:br/>
      </w:r>
    </w:p>
    <w:p w:rsidR="006B09A0" w:rsidRDefault="006B09A0" w:rsidP="006B09A0"/>
    <w:p w:rsidR="006B09A0" w:rsidRDefault="006B09A0"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177AD" w:rsidRPr="00515AB2" w:rsidRDefault="004177AD" w:rsidP="004177AD">
      <w:pPr>
        <w:spacing w:after="120"/>
      </w:pPr>
      <w:r>
        <w:t>Audit reports are separately</w:t>
      </w:r>
      <w:r w:rsidRPr="00515AB2">
        <w:t xml:space="preserve"> provided </w:t>
      </w:r>
      <w:r>
        <w:t xml:space="preserve">as part of our overall </w:t>
      </w:r>
      <w:r w:rsidRPr="00515AB2">
        <w:t xml:space="preserve">submission of the completed Notice to the AER. </w:t>
      </w:r>
    </w:p>
    <w:p w:rsidR="004951A9" w:rsidRDefault="004951A9" w:rsidP="004177AD">
      <w:r>
        <w:t xml:space="preserve">In relation to the Regulatory Accounting Statements provided in response to paragraph 1.1(a) of Schedule 1 of the Notice, an audit </w:t>
      </w:r>
      <w:r w:rsidR="004177AD" w:rsidRPr="00515AB2">
        <w:t xml:space="preserve">opinion </w:t>
      </w:r>
      <w:r>
        <w:t>is provided by Deloitte.</w:t>
      </w:r>
    </w:p>
    <w:p w:rsidR="004951A9" w:rsidRDefault="004951A9" w:rsidP="004177AD"/>
    <w:p w:rsidR="004177AD" w:rsidRDefault="004951A9" w:rsidP="00AA43CA">
      <w:pPr>
        <w:spacing w:after="120"/>
      </w:pPr>
      <w:r>
        <w:t>In relation to the Non-Financial Regulatory Templates provided in response to paragraph 1.1(b) of Schedule 1 of the Notice, audit opinions are provided by:</w:t>
      </w:r>
    </w:p>
    <w:p w:rsidR="00AA43CA" w:rsidRDefault="00AA43CA" w:rsidP="00AA43CA">
      <w:pPr>
        <w:pStyle w:val="ListParagraph"/>
        <w:numPr>
          <w:ilvl w:val="0"/>
          <w:numId w:val="43"/>
        </w:numPr>
      </w:pPr>
      <w:r>
        <w:t>SKM, specifically in relation to templates 1(a), 1(c), 1(d), 1(e), 1(f) and 2; and</w:t>
      </w:r>
    </w:p>
    <w:p w:rsidR="00AA43CA" w:rsidRDefault="00AA43CA" w:rsidP="00AA43CA">
      <w:pPr>
        <w:pStyle w:val="ListParagraph"/>
        <w:numPr>
          <w:ilvl w:val="0"/>
          <w:numId w:val="43"/>
        </w:numPr>
      </w:pPr>
      <w:r>
        <w:t xml:space="preserve">KPMG, specifically in relation to template 1(b). </w:t>
      </w:r>
    </w:p>
    <w:p w:rsidR="004951A9" w:rsidRDefault="004951A9" w:rsidP="004951A9"/>
    <w:p w:rsidR="0082623A" w:rsidRDefault="004951A9" w:rsidP="004951A9">
      <w:r>
        <w:t>As per paragraph 1.1(b)(ii) of Appendix E to the Notice</w:t>
      </w:r>
      <w:r w:rsidR="00391507">
        <w:t xml:space="preserve">, information provided in response to template 7 Asset installation, for the 2012-13 regulatory year, </w:t>
      </w:r>
      <w:r w:rsidR="00CA658A">
        <w:t>is</w:t>
      </w:r>
      <w:r w:rsidR="00391507">
        <w:t xml:space="preserve"> not subject to audit.</w:t>
      </w:r>
      <w:r w:rsidR="0082623A">
        <w:br w:type="page"/>
      </w:r>
    </w:p>
    <w:p w:rsidR="005D559D" w:rsidRDefault="005D559D" w:rsidP="005D559D">
      <w:pPr>
        <w:pStyle w:val="Heading3"/>
      </w:pPr>
      <w:bookmarkStart w:id="50" w:name="_Toc368472943"/>
      <w:r>
        <w:lastRenderedPageBreak/>
        <w:t>13.   BOARD RESOLUTION</w:t>
      </w:r>
      <w:bookmarkEnd w:id="50"/>
    </w:p>
    <w:p w:rsidR="005D559D" w:rsidRDefault="005D559D" w:rsidP="0082623A">
      <w:pPr>
        <w:pStyle w:val="Heading3"/>
      </w:pPr>
    </w:p>
    <w:p w:rsidR="0082623A" w:rsidRDefault="0082623A" w:rsidP="005D559D">
      <w:pPr>
        <w:pStyle w:val="Heading5"/>
      </w:pPr>
      <w:r>
        <w:t xml:space="preserve">Item 13.1 </w:t>
      </w:r>
    </w:p>
    <w:p w:rsidR="0082623A" w:rsidRDefault="0082623A" w:rsidP="003978AC">
      <w:pPr>
        <w:pStyle w:val="BodyText"/>
      </w:pPr>
      <w:r>
        <w:t xml:space="preserve">Provide an extract from the board minutes or a resolution agreed to at a SA Power Networks board meeting that confirms that, to the best of the Board’s information, knowledge and belief: </w:t>
      </w:r>
    </w:p>
    <w:p w:rsidR="0082623A" w:rsidRPr="0082623A" w:rsidRDefault="0082623A" w:rsidP="000D309C">
      <w:pPr>
        <w:pStyle w:val="ListParagraph"/>
        <w:numPr>
          <w:ilvl w:val="0"/>
          <w:numId w:val="33"/>
        </w:numPr>
        <w:rPr>
          <w:i/>
        </w:rPr>
      </w:pPr>
      <w:r>
        <w:t>the information provided in the response to paragraph 1.1(a) (being the information to be provided in the workbook attached at Appendix B) is true and fair; and</w:t>
      </w:r>
    </w:p>
    <w:p w:rsidR="0082623A" w:rsidRPr="0082623A" w:rsidRDefault="0082623A" w:rsidP="000D309C">
      <w:pPr>
        <w:pStyle w:val="ListParagraph"/>
        <w:numPr>
          <w:ilvl w:val="0"/>
          <w:numId w:val="33"/>
        </w:numPr>
        <w:rPr>
          <w:i/>
        </w:rPr>
      </w:pPr>
      <w:r>
        <w:t xml:space="preserve">the </w:t>
      </w:r>
      <w:r>
        <w:rPr>
          <w:i/>
        </w:rPr>
        <w:t xml:space="preserve">service target performance incentive scheme, </w:t>
      </w:r>
      <w:r>
        <w:t>demand and asset installation information provided in the response to paragraph 1.1(b) (being the information to be provided in templates 1(a), 1(b), 1(c), 1(d), 1(e), 1(f), 2 and 7 of the workbook attached at Appendix C) is true and fair.</w:t>
      </w:r>
    </w:p>
    <w:p w:rsidR="0082623A" w:rsidRDefault="0082623A" w:rsidP="0082623A"/>
    <w:p w:rsidR="0082623A" w:rsidRDefault="0082623A" w:rsidP="00AA43CA">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5F76FC" w:rsidRPr="0090635C" w:rsidRDefault="005F76FC" w:rsidP="005F76FC">
      <w:pPr>
        <w:spacing w:after="120"/>
      </w:pPr>
      <w:r>
        <w:t xml:space="preserve">An extract from the SA Power Networks Board Meeting is separately </w:t>
      </w:r>
      <w:r w:rsidRPr="0090635C">
        <w:t xml:space="preserve">provided </w:t>
      </w:r>
      <w:r>
        <w:t xml:space="preserve">as part of our overall </w:t>
      </w:r>
      <w:r w:rsidRPr="0090635C">
        <w:t>submission of the completed Notice to the AER.  This states that the information</w:t>
      </w:r>
      <w:r>
        <w:t xml:space="preserve"> </w:t>
      </w:r>
      <w:r w:rsidR="00C519EE">
        <w:t xml:space="preserve">contained </w:t>
      </w:r>
      <w:r w:rsidRPr="0090635C">
        <w:t xml:space="preserve">in the </w:t>
      </w:r>
      <w:r>
        <w:t>Regulatory Accounting Statements (as per the requirements of Item 13.1(a)</w:t>
      </w:r>
      <w:r w:rsidR="00C519EE">
        <w:t>)</w:t>
      </w:r>
      <w:r>
        <w:t xml:space="preserve"> and the Non-Financial R</w:t>
      </w:r>
      <w:r w:rsidRPr="0090635C">
        <w:t xml:space="preserve">egulatory </w:t>
      </w:r>
      <w:r>
        <w:t>T</w:t>
      </w:r>
      <w:r w:rsidRPr="0090635C">
        <w:t>emplates</w:t>
      </w:r>
      <w:r>
        <w:t xml:space="preserve"> (as per the requirements of Item 13.1(b)</w:t>
      </w:r>
      <w:r w:rsidR="00C519EE">
        <w:t>) is</w:t>
      </w:r>
      <w:r>
        <w:t xml:space="preserve"> </w:t>
      </w:r>
      <w:r w:rsidRPr="0090635C">
        <w:t xml:space="preserve">true and fair.  </w:t>
      </w:r>
    </w:p>
    <w:p w:rsidR="0006417F" w:rsidRPr="0082623A" w:rsidRDefault="0082623A" w:rsidP="0082623A">
      <w:pPr>
        <w:rPr>
          <w:b/>
        </w:rPr>
      </w:pPr>
      <w:r w:rsidRPr="005F76FC">
        <w:t xml:space="preserve">Furthermore, a statutory declaration, signed by the CEO of SA Power Networks, in the form specified by Appendix </w:t>
      </w:r>
      <w:r w:rsidR="005F76FC" w:rsidRPr="005F76FC">
        <w:t>D</w:t>
      </w:r>
      <w:r w:rsidRPr="005F76FC">
        <w:t xml:space="preserve"> to the Notice is also separately provided.</w:t>
      </w:r>
      <w:r>
        <w:t xml:space="preserve">   </w:t>
      </w:r>
    </w:p>
    <w:p w:rsidR="00BA5C91" w:rsidRDefault="00BA5C91" w:rsidP="00BA5C91"/>
    <w:sectPr w:rsidR="00BA5C91" w:rsidSect="00800527">
      <w:headerReference w:type="default" r:id="rId11"/>
      <w:footerReference w:type="defaul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84" w:rsidRDefault="00271984">
      <w:pPr>
        <w:spacing w:line="240" w:lineRule="auto"/>
      </w:pPr>
      <w:r>
        <w:separator/>
      </w:r>
    </w:p>
  </w:endnote>
  <w:endnote w:type="continuationSeparator" w:id="0">
    <w:p w:rsidR="00271984" w:rsidRDefault="0027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984" w:rsidRPr="00DF0876" w:rsidRDefault="00271984" w:rsidP="003978AC">
    <w:pPr>
      <w:pStyle w:val="DocumentDetails"/>
      <w:rPr>
        <w:rFonts w:cs="Calibri"/>
        <w:sz w:val="22"/>
      </w:rPr>
    </w:pPr>
    <w:r>
      <w:t xml:space="preserve">SA Power Networks response for the year ended 30 June 2013 </w:t>
    </w:r>
    <w:r>
      <w:rPr>
        <w:rFonts w:cs="Calibri"/>
        <w:sz w:val="22"/>
      </w:rPr>
      <w:tab/>
    </w:r>
    <w:sdt>
      <w:sdtPr>
        <w:rPr>
          <w:rFonts w:cs="Calibri"/>
          <w:color w:val="FA820F" w:themeColor="text2"/>
          <w:sz w:val="16"/>
          <w:szCs w:val="16"/>
        </w:rPr>
        <w:alias w:val="Class"/>
        <w:tag w:val="Class"/>
        <w:id w:val="-905364077"/>
      </w:sdtPr>
      <w:sdtEndPr/>
      <w:sdtContent>
        <w:r>
          <w:rPr>
            <w:rFonts w:cs="Calibri"/>
            <w:color w:val="FA820F" w:themeColor="text2"/>
            <w:sz w:val="16"/>
            <w:szCs w:val="16"/>
          </w:rPr>
          <w:t>Internal Use Only</w:t>
        </w:r>
      </w:sdtContent>
    </w:sdt>
    <w:r>
      <w:rPr>
        <w:rFonts w:cs="Calibri"/>
        <w:color w:val="FA820F" w:themeColor="text2"/>
        <w:sz w:val="16"/>
        <w:szCs w:val="16"/>
      </w:rPr>
      <w:t xml:space="preserve">    </w:t>
    </w:r>
    <w:r w:rsidRPr="00BA7F89">
      <w:rPr>
        <w:rFonts w:cs="Calibri"/>
        <w:szCs w:val="16"/>
      </w:rPr>
      <w:t xml:space="preserve">Page </w:t>
    </w:r>
    <w:r w:rsidRPr="00BA7F89">
      <w:rPr>
        <w:rFonts w:cs="Calibri"/>
        <w:szCs w:val="16"/>
      </w:rPr>
      <w:fldChar w:fldCharType="begin"/>
    </w:r>
    <w:r w:rsidRPr="00BA7F89">
      <w:rPr>
        <w:rFonts w:cs="Calibri"/>
        <w:szCs w:val="16"/>
      </w:rPr>
      <w:instrText xml:space="preserve"> PAGE  \* Arabic  \* MERGEFORMAT </w:instrText>
    </w:r>
    <w:r w:rsidRPr="00BA7F89">
      <w:rPr>
        <w:rFonts w:cs="Calibri"/>
        <w:szCs w:val="16"/>
      </w:rPr>
      <w:fldChar w:fldCharType="separate"/>
    </w:r>
    <w:r w:rsidR="00084700">
      <w:rPr>
        <w:rFonts w:cs="Calibri"/>
        <w:noProof/>
        <w:szCs w:val="16"/>
      </w:rPr>
      <w:t>16</w:t>
    </w:r>
    <w:r w:rsidRPr="00BA7F89">
      <w:rPr>
        <w:rFonts w:cs="Calibri"/>
        <w:szCs w:val="16"/>
      </w:rPr>
      <w:fldChar w:fldCharType="end"/>
    </w:r>
    <w:r w:rsidRPr="00BA7F89">
      <w:rPr>
        <w:rFonts w:cs="Calibri"/>
        <w:szCs w:val="16"/>
      </w:rPr>
      <w:t xml:space="preserve"> of </w:t>
    </w:r>
    <w:r w:rsidR="00084700">
      <w:fldChar w:fldCharType="begin"/>
    </w:r>
    <w:r w:rsidR="00084700">
      <w:instrText xml:space="preserve"> NUMPAGES  \* Arabic  \* MERGEFORMAT </w:instrText>
    </w:r>
    <w:r w:rsidR="00084700">
      <w:fldChar w:fldCharType="separate"/>
    </w:r>
    <w:r w:rsidR="00084700" w:rsidRPr="00084700">
      <w:rPr>
        <w:rFonts w:cs="Calibri"/>
        <w:noProof/>
        <w:szCs w:val="16"/>
      </w:rPr>
      <w:t>31</w:t>
    </w:r>
    <w:r w:rsidR="00084700">
      <w:rPr>
        <w:rFonts w:cs="Calibri"/>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84" w:rsidRDefault="00271984">
      <w:pPr>
        <w:spacing w:line="240" w:lineRule="auto"/>
      </w:pPr>
      <w:r>
        <w:separator/>
      </w:r>
    </w:p>
  </w:footnote>
  <w:footnote w:type="continuationSeparator" w:id="0">
    <w:p w:rsidR="00271984" w:rsidRDefault="002719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984" w:rsidRDefault="00084700" w:rsidP="006219A1">
    <w:pPr>
      <w:pStyle w:val="Heading2"/>
    </w:pPr>
    <w:r>
      <w:rPr>
        <w:noProof/>
        <w:lang w:eastAsia="en-AU" w:bidi="ar-SA"/>
      </w:rPr>
      <w:pict>
        <v:line id="Straight Connector 1" o:spid="_x0000_s2049" style="position:absolute;z-index:251659264;visibility:visible;mso-wrap-distance-top:-3e-5mm;mso-wrap-distance-bottom:-3e-5mm;mso-position-vertical-relative:page;mso-width-relative:margin" from="0,28.35pt" to="453.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QxwEAAOYDAAAOAAAAZHJzL2Uyb0RvYy54bWysU01v2zAMvQ/ofxB0b+wUaFcYcXpIsV6K&#10;LVi2H6DKVCxMEgVJjZ1/P0qOvU9g2LCLYJF8j3xP9OZhtIadIESNruXrVc0ZOImddseWf/707vqe&#10;s5iE64RBBy0/Q+QP26s3m8E3cIM9mg4CIxIXm8G3vE/JN1UVZQ9WxBV6cJRUGKxIdA3HqgtiIHZr&#10;qpu6vqsGDJ0PKCFGij5OSb4t/EqBTB+UipCYaTnNlsoZyvmSz2q7Ec0xCN9reRlD/MMUVmhHTReq&#10;R5EEew36FyqrZcCIKq0k2gqV0hKKBlKzrn9Sc+iFh6KFzIl+sSn+P1r5/rQPTHf0dpw5YemJDikI&#10;fewT26FzZCAGts4+DT42VL5z+5CVytEd/DPKL5Fy1Q/JfIl+KhtVsLmcpLKx+H5efIcxMUnB27d3&#10;dX1/y5mcc5VoZqAPMT0BWpY/Wm60y5aIRpyeY8qtRTOX5LBx8zjTBGWWdDYwJT+CIrXUc11Iyp7B&#10;zgR2ErQhQkpwqaglWuOoOsOUNmYB1n8GXuozFMoO/g14QZTO6NICttph+F33NM4jq6n+8iBx0p0t&#10;eMHuvA+zNbRMxbjL4udt/f5e4N9+z+1XAAAA//8DAFBLAwQUAAYACAAAACEAQZd9G94AAAAGAQAA&#10;DwAAAGRycy9kb3ducmV2LnhtbEyPwU7DMBBE70j9B2srcUHUKSJtCdlUgFT1QBGi4QPceJtEjddR&#10;7KQpX48RBzjuzGjmbboeTSMG6lxtGWE+i0AQF1bXXCJ85pvbFQjnFWvVWCaECzlYZ5OrVCXanvmD&#10;hr0vRShhlyiEyvs2kdIVFRnlZrYlDt7Rdkb5cHal1J06h3LTyLsoWkijag4LlWrppaLitO8Nwnbz&#10;TK/xpS/vdbzNb4Z89/b1vkK8no5PjyA8jf4vDD/4AR2ywHSwPWsnGoTwiEeIF0sQwX2IlnMQh19B&#10;Zqn8j599AwAA//8DAFBLAQItABQABgAIAAAAIQC2gziS/gAAAOEBAAATAAAAAAAAAAAAAAAAAAAA&#10;AABbQ29udGVudF9UeXBlc10ueG1sUEsBAi0AFAAGAAgAAAAhADj9If/WAAAAlAEAAAsAAAAAAAAA&#10;AAAAAAAALwEAAF9yZWxzLy5yZWxzUEsBAi0AFAAGAAgAAAAhAAf8sZDHAQAA5gMAAA4AAAAAAAAA&#10;AAAAAAAALgIAAGRycy9lMm9Eb2MueG1sUEsBAi0AFAAGAAgAAAAhAEGXfRveAAAABgEAAA8AAAAA&#10;AAAAAAAAAAAAIQQAAGRycy9kb3ducmV2LnhtbFBLBQYAAAAABAAEAPMAAAAsBQAAAAA=&#10;" strokecolor="black [3044]">
          <o:lock v:ext="edit" shapetype="f"/>
          <w10:wrap anchory="page"/>
        </v:line>
      </w:pict>
    </w:r>
    <w:r w:rsidR="00271984">
      <w:t>AER Regulatory Information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38EF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8AB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2822CE"/>
    <w:lvl w:ilvl="0">
      <w:start w:val="1"/>
      <w:numFmt w:val="decimal"/>
      <w:pStyle w:val="ListNumber2"/>
      <w:lvlText w:val="%1."/>
      <w:lvlJc w:val="left"/>
      <w:pPr>
        <w:tabs>
          <w:tab w:val="num" w:pos="643"/>
        </w:tabs>
        <w:ind w:left="643" w:hanging="360"/>
      </w:pPr>
    </w:lvl>
  </w:abstractNum>
  <w:abstractNum w:abstractNumId="3">
    <w:nsid w:val="FFFFFF82"/>
    <w:multiLevelType w:val="singleLevel"/>
    <w:tmpl w:val="12128F9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2E224CA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C14D068"/>
    <w:lvl w:ilvl="0">
      <w:start w:val="1"/>
      <w:numFmt w:val="decimal"/>
      <w:pStyle w:val="ListNumber"/>
      <w:lvlText w:val="%1."/>
      <w:lvlJc w:val="left"/>
      <w:pPr>
        <w:tabs>
          <w:tab w:val="num" w:pos="360"/>
        </w:tabs>
        <w:ind w:left="360" w:hanging="360"/>
      </w:pPr>
    </w:lvl>
  </w:abstractNum>
  <w:abstractNum w:abstractNumId="6">
    <w:nsid w:val="FFFFFF89"/>
    <w:multiLevelType w:val="singleLevel"/>
    <w:tmpl w:val="EEF4895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4B734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8">
    <w:nsid w:val="0102648A"/>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18C0DDD"/>
    <w:multiLevelType w:val="hybridMultilevel"/>
    <w:tmpl w:val="FA065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1DD1928"/>
    <w:multiLevelType w:val="hybridMultilevel"/>
    <w:tmpl w:val="6EAE731C"/>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F922D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2">
    <w:nsid w:val="0BFD17A1"/>
    <w:multiLevelType w:val="multilevel"/>
    <w:tmpl w:val="60DC6694"/>
    <w:styleLink w:val="KeyHeadingNumbered"/>
    <w:lvl w:ilvl="0">
      <w:start w:val="1"/>
      <w:numFmt w:val="decimal"/>
      <w:lvlText w:val="%1."/>
      <w:lvlJc w:val="left"/>
      <w:pPr>
        <w:ind w:left="510" w:hanging="510"/>
      </w:pPr>
      <w:rPr>
        <w:rFonts w:ascii="Calibri" w:hAnsi="Calibri" w:hint="default"/>
        <w:b/>
        <w:i w:val="0"/>
        <w:color w:val="525252" w:themeColor="text1"/>
        <w:sz w:val="32"/>
      </w:rPr>
    </w:lvl>
    <w:lvl w:ilvl="1">
      <w:start w:val="1"/>
      <w:numFmt w:val="decimal"/>
      <w:lvlText w:val="%1.%2"/>
      <w:lvlJc w:val="left"/>
      <w:pPr>
        <w:ind w:left="510" w:hanging="510"/>
      </w:pPr>
      <w:rPr>
        <w:rFonts w:ascii="Calibri" w:hAnsi="Calibri" w:hint="default"/>
        <w:b/>
        <w:i w:val="0"/>
        <w:color w:val="000000" w:themeColor="accent1"/>
        <w:sz w:val="28"/>
      </w:rPr>
    </w:lvl>
    <w:lvl w:ilvl="2">
      <w:start w:val="1"/>
      <w:numFmt w:val="decimal"/>
      <w:lvlText w:val="%1.%2.%3"/>
      <w:lvlJc w:val="left"/>
      <w:pPr>
        <w:ind w:left="1304" w:hanging="794"/>
      </w:pPr>
      <w:rPr>
        <w:rFonts w:ascii="Calibri" w:hAnsi="Calibri" w:hint="default"/>
        <w:b/>
        <w:i w:val="0"/>
        <w:color w:val="000000" w:themeColor="accent1"/>
        <w:sz w:val="24"/>
      </w:rPr>
    </w:lvl>
    <w:lvl w:ilvl="3">
      <w:start w:val="1"/>
      <w:numFmt w:val="decimal"/>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13">
    <w:nsid w:val="0F364041"/>
    <w:multiLevelType w:val="multilevel"/>
    <w:tmpl w:val="82928084"/>
    <w:lvl w:ilvl="0">
      <w:start w:val="1"/>
      <w:numFmt w:val="decimal"/>
      <w:pStyle w:val="NumberedHeading1"/>
      <w:lvlText w:val="%1."/>
      <w:lvlJc w:val="left"/>
      <w:pPr>
        <w:ind w:left="360" w:hanging="360"/>
      </w:pPr>
      <w:rPr>
        <w:rFonts w:ascii="Century Gothic" w:hAnsi="Century Gothic" w:hint="default"/>
      </w:rPr>
    </w:lvl>
    <w:lvl w:ilvl="1">
      <w:start w:val="1"/>
      <w:numFmt w:val="decimal"/>
      <w:pStyle w:val="NumberedHeading2"/>
      <w:lvlText w:val="%1.%2"/>
      <w:lvlJc w:val="left"/>
      <w:pPr>
        <w:ind w:left="644" w:hanging="360"/>
      </w:pPr>
      <w:rPr>
        <w:rFonts w:ascii="Century Gothic" w:hAnsi="Century Gothic" w:hint="default"/>
      </w:rPr>
    </w:lvl>
    <w:lvl w:ilvl="2">
      <w:start w:val="1"/>
      <w:numFmt w:val="lowerLetter"/>
      <w:pStyle w:val="NumberedHeading3"/>
      <w:lvlText w:val="%1.%2.%3"/>
      <w:lvlJc w:val="left"/>
      <w:pPr>
        <w:ind w:left="1080" w:hanging="360"/>
      </w:pPr>
      <w:rPr>
        <w:rFonts w:ascii="Century Gothic" w:hAnsi="Century Gothic" w:hint="default"/>
      </w:rPr>
    </w:lvl>
    <w:lvl w:ilvl="3">
      <w:start w:val="1"/>
      <w:numFmt w:val="decimal"/>
      <w:pStyle w:val="NumberedHeading4"/>
      <w:lvlText w:val="%1.%2.%3.%4"/>
      <w:lvlJc w:val="left"/>
      <w:pPr>
        <w:ind w:left="1440" w:hanging="360"/>
      </w:pPr>
      <w:rPr>
        <w:rFonts w:ascii="Century Gothic" w:hAnsi="Century Gothic" w:hint="default"/>
      </w:rPr>
    </w:lvl>
    <w:lvl w:ilvl="4">
      <w:start w:val="1"/>
      <w:numFmt w:val="lowerLetter"/>
      <w:lvlText w:val="(%5)"/>
      <w:lvlJc w:val="left"/>
      <w:pPr>
        <w:ind w:left="644" w:hanging="360"/>
      </w:pPr>
      <w:rPr>
        <w:rFonts w:asciiTheme="minorHAnsi" w:eastAsia="Times New Roman" w:hAnsiTheme="minorHAnsi" w:cstheme="minorHAnsi" w:hint="default"/>
      </w:rPr>
    </w:lvl>
    <w:lvl w:ilvl="5">
      <w:start w:val="1"/>
      <w:numFmt w:val="lowerRoman"/>
      <w:lvlText w:val="(%6)"/>
      <w:lvlJc w:val="left"/>
      <w:pPr>
        <w:ind w:left="2487"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514BCF"/>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4705C5"/>
    <w:multiLevelType w:val="hybridMultilevel"/>
    <w:tmpl w:val="2534C654"/>
    <w:lvl w:ilvl="0" w:tplc="1CE2691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223709D"/>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6F60E4B"/>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A42C89"/>
    <w:multiLevelType w:val="hybridMultilevel"/>
    <w:tmpl w:val="8DB83B52"/>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8462AF"/>
    <w:multiLevelType w:val="hybridMultilevel"/>
    <w:tmpl w:val="3AD44D26"/>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F1689A"/>
    <w:multiLevelType w:val="hybridMultilevel"/>
    <w:tmpl w:val="C7F82A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530C57"/>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676A39"/>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3F5E5C"/>
    <w:multiLevelType w:val="hybridMultilevel"/>
    <w:tmpl w:val="73445F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3650C4"/>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740BAA"/>
    <w:multiLevelType w:val="hybridMultilevel"/>
    <w:tmpl w:val="FB9EA91A"/>
    <w:lvl w:ilvl="0" w:tplc="67A835B6">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0E0E50"/>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3F4CAB"/>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937618"/>
    <w:multiLevelType w:val="hybridMultilevel"/>
    <w:tmpl w:val="7046A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A104F0"/>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5225EE"/>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A33F8F"/>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3C5653D"/>
    <w:multiLevelType w:val="hybridMultilevel"/>
    <w:tmpl w:val="2000EF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583A6239"/>
    <w:multiLevelType w:val="hybridMultilevel"/>
    <w:tmpl w:val="D3D6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85330F1"/>
    <w:multiLevelType w:val="hybridMultilevel"/>
    <w:tmpl w:val="1F82471E"/>
    <w:lvl w:ilvl="0" w:tplc="AA8A1BE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C1D0F12"/>
    <w:multiLevelType w:val="hybridMultilevel"/>
    <w:tmpl w:val="C3424B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D52B9A"/>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4510A1"/>
    <w:multiLevelType w:val="multilevel"/>
    <w:tmpl w:val="ECD08EA0"/>
    <w:styleLink w:val="BulletList"/>
    <w:lvl w:ilvl="0">
      <w:start w:val="1"/>
      <w:numFmt w:val="bullet"/>
      <w:pStyle w:val="BulletPoint"/>
      <w:lvlText w:val=""/>
      <w:lvlJc w:val="left"/>
      <w:pPr>
        <w:ind w:left="284" w:hanging="284"/>
      </w:pPr>
      <w:rPr>
        <w:rFonts w:ascii="Symbol" w:hAnsi="Symbol" w:hint="default"/>
        <w:color w:val="auto"/>
      </w:rPr>
    </w:lvl>
    <w:lvl w:ilvl="1">
      <w:start w:val="1"/>
      <w:numFmt w:val="bullet"/>
      <w:pStyle w:val="BulletPoint2"/>
      <w:lvlText w:val=""/>
      <w:lvlJc w:val="left"/>
      <w:pPr>
        <w:ind w:left="568" w:hanging="284"/>
      </w:pPr>
      <w:rPr>
        <w:rFonts w:ascii="Symbol" w:hAnsi="Symbol" w:hint="default"/>
        <w:color w:val="auto"/>
      </w:rPr>
    </w:lvl>
    <w:lvl w:ilvl="2">
      <w:start w:val="1"/>
      <w:numFmt w:val="bullet"/>
      <w:pStyle w:val="BulletPoint3"/>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8">
    <w:nsid w:val="713435A1"/>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6B40ED"/>
    <w:multiLevelType w:val="multilevel"/>
    <w:tmpl w:val="C1A0CF44"/>
    <w:styleLink w:val="KeyHeadingAlpha-Numeric"/>
    <w:lvl w:ilvl="0">
      <w:start w:val="1"/>
      <w:numFmt w:val="upperLetter"/>
      <w:pStyle w:val="Alpha-NumericHeading"/>
      <w:lvlText w:val="%1."/>
      <w:lvlJc w:val="left"/>
      <w:pPr>
        <w:ind w:left="510" w:hanging="510"/>
      </w:pPr>
      <w:rPr>
        <w:rFonts w:ascii="Calibri" w:hAnsi="Calibri" w:hint="default"/>
        <w:b/>
        <w:i w:val="0"/>
        <w:color w:val="FA820F" w:themeColor="text2"/>
        <w:sz w:val="32"/>
      </w:rPr>
    </w:lvl>
    <w:lvl w:ilvl="1">
      <w:start w:val="1"/>
      <w:numFmt w:val="decimal"/>
      <w:pStyle w:val="Alpha-numericSub1"/>
      <w:lvlText w:val="%1.%2"/>
      <w:lvlJc w:val="left"/>
      <w:pPr>
        <w:ind w:left="510" w:hanging="510"/>
      </w:pPr>
      <w:rPr>
        <w:rFonts w:ascii="Calibri" w:hAnsi="Calibri" w:hint="default"/>
        <w:b/>
        <w:i w:val="0"/>
        <w:sz w:val="28"/>
      </w:rPr>
    </w:lvl>
    <w:lvl w:ilvl="2">
      <w:start w:val="1"/>
      <w:numFmt w:val="decimal"/>
      <w:pStyle w:val="Alpha-numericSub2"/>
      <w:lvlText w:val="%1.%2.%3"/>
      <w:lvlJc w:val="left"/>
      <w:pPr>
        <w:ind w:left="1304" w:hanging="794"/>
      </w:pPr>
      <w:rPr>
        <w:rFonts w:ascii="Calibri" w:hAnsi="Calibri" w:hint="default"/>
        <w:b/>
        <w:i w:val="0"/>
        <w:sz w:val="24"/>
      </w:rPr>
    </w:lvl>
    <w:lvl w:ilvl="3">
      <w:start w:val="1"/>
      <w:numFmt w:val="decimal"/>
      <w:pStyle w:val="Alpha-numericSub3"/>
      <w:lvlText w:val="%1.%2.%3.%4"/>
      <w:lvlJc w:val="left"/>
      <w:pPr>
        <w:ind w:left="1304" w:hanging="794"/>
      </w:pPr>
      <w:rPr>
        <w:rFonts w:ascii="Calibri" w:hAnsi="Calibri" w:hint="default"/>
        <w:b/>
        <w:i/>
        <w:sz w:val="22"/>
      </w:rPr>
    </w:lvl>
    <w:lvl w:ilvl="4">
      <w:start w:val="1"/>
      <w:numFmt w:val="decimal"/>
      <w:lvlText w:val="%1.%2.%3.%4.%5"/>
      <w:lvlJc w:val="left"/>
      <w:pPr>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40">
    <w:nsid w:val="7C9D59B1"/>
    <w:multiLevelType w:val="multilevel"/>
    <w:tmpl w:val="389C111C"/>
    <w:lvl w:ilvl="0">
      <w:start w:val="1"/>
      <w:numFmt w:val="decimal"/>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7FD74288"/>
    <w:multiLevelType w:val="multilevel"/>
    <w:tmpl w:val="A2E6BFB4"/>
    <w:styleLink w:val="BulletNumberedLists"/>
    <w:lvl w:ilvl="0">
      <w:start w:val="1"/>
      <w:numFmt w:val="decimal"/>
      <w:pStyle w:val="NumberedHeading"/>
      <w:lvlText w:val="%1."/>
      <w:lvlJc w:val="left"/>
      <w:pPr>
        <w:ind w:left="510" w:hanging="510"/>
      </w:pPr>
      <w:rPr>
        <w:rFonts w:ascii="Calibri" w:hAnsi="Calibri" w:hint="default"/>
        <w:b/>
        <w:i w:val="0"/>
        <w:color w:val="FA820F" w:themeColor="text2"/>
        <w:sz w:val="32"/>
      </w:rPr>
    </w:lvl>
    <w:lvl w:ilvl="1">
      <w:start w:val="1"/>
      <w:numFmt w:val="decimal"/>
      <w:pStyle w:val="NumberedSubheading1"/>
      <w:lvlText w:val="%1.%2"/>
      <w:lvlJc w:val="left"/>
      <w:pPr>
        <w:ind w:left="510" w:hanging="510"/>
      </w:pPr>
      <w:rPr>
        <w:rFonts w:ascii="Calibri" w:hAnsi="Calibri" w:hint="default"/>
        <w:b/>
        <w:i w:val="0"/>
        <w:color w:val="000000" w:themeColor="accent1"/>
        <w:sz w:val="28"/>
      </w:rPr>
    </w:lvl>
    <w:lvl w:ilvl="2">
      <w:start w:val="1"/>
      <w:numFmt w:val="decimal"/>
      <w:pStyle w:val="NumberedSubheading2"/>
      <w:lvlText w:val="%1.%2.%3"/>
      <w:lvlJc w:val="left"/>
      <w:pPr>
        <w:ind w:left="1304" w:hanging="794"/>
      </w:pPr>
      <w:rPr>
        <w:rFonts w:ascii="Calibri" w:hAnsi="Calibri" w:hint="default"/>
        <w:b/>
        <w:i w:val="0"/>
        <w:color w:val="000000" w:themeColor="accent1"/>
        <w:sz w:val="24"/>
      </w:rPr>
    </w:lvl>
    <w:lvl w:ilvl="3">
      <w:start w:val="1"/>
      <w:numFmt w:val="decimal"/>
      <w:pStyle w:val="NumberedSubheading3"/>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num w:numId="1">
    <w:abstractNumId w:val="40"/>
  </w:num>
  <w:num w:numId="2">
    <w:abstractNumId w:val="12"/>
  </w:num>
  <w:num w:numId="3">
    <w:abstractNumId w:val="39"/>
  </w:num>
  <w:num w:numId="4">
    <w:abstractNumId w:val="39"/>
  </w:num>
  <w:num w:numId="5">
    <w:abstractNumId w:val="41"/>
  </w:num>
  <w:num w:numId="6">
    <w:abstractNumId w:val="37"/>
  </w:num>
  <w:num w:numId="7">
    <w:abstractNumId w:val="6"/>
  </w:num>
  <w:num w:numId="8">
    <w:abstractNumId w:val="4"/>
  </w:num>
  <w:num w:numId="9">
    <w:abstractNumId w:val="3"/>
  </w:num>
  <w:num w:numId="10">
    <w:abstractNumId w:val="37"/>
  </w:num>
  <w:num w:numId="11">
    <w:abstractNumId w:val="5"/>
  </w:num>
  <w:num w:numId="12">
    <w:abstractNumId w:val="2"/>
  </w:num>
  <w:num w:numId="13">
    <w:abstractNumId w:val="1"/>
  </w:num>
  <w:num w:numId="14">
    <w:abstractNumId w:val="0"/>
  </w:num>
  <w:num w:numId="15">
    <w:abstractNumId w:val="41"/>
  </w:num>
  <w:num w:numId="16">
    <w:abstractNumId w:val="13"/>
  </w:num>
  <w:num w:numId="17">
    <w:abstractNumId w:val="25"/>
  </w:num>
  <w:num w:numId="18">
    <w:abstractNumId w:val="30"/>
  </w:num>
  <w:num w:numId="19">
    <w:abstractNumId w:val="10"/>
  </w:num>
  <w:num w:numId="20">
    <w:abstractNumId w:val="21"/>
  </w:num>
  <w:num w:numId="21">
    <w:abstractNumId w:val="29"/>
  </w:num>
  <w:num w:numId="22">
    <w:abstractNumId w:val="17"/>
  </w:num>
  <w:num w:numId="23">
    <w:abstractNumId w:val="27"/>
  </w:num>
  <w:num w:numId="24">
    <w:abstractNumId w:val="16"/>
  </w:num>
  <w:num w:numId="25">
    <w:abstractNumId w:val="8"/>
  </w:num>
  <w:num w:numId="26">
    <w:abstractNumId w:val="19"/>
  </w:num>
  <w:num w:numId="27">
    <w:abstractNumId w:val="14"/>
  </w:num>
  <w:num w:numId="28">
    <w:abstractNumId w:val="31"/>
  </w:num>
  <w:num w:numId="29">
    <w:abstractNumId w:val="26"/>
  </w:num>
  <w:num w:numId="30">
    <w:abstractNumId w:val="15"/>
  </w:num>
  <w:num w:numId="31">
    <w:abstractNumId w:val="22"/>
  </w:num>
  <w:num w:numId="32">
    <w:abstractNumId w:val="38"/>
  </w:num>
  <w:num w:numId="33">
    <w:abstractNumId w:val="34"/>
  </w:num>
  <w:num w:numId="34">
    <w:abstractNumId w:val="18"/>
  </w:num>
  <w:num w:numId="35">
    <w:abstractNumId w:val="7"/>
  </w:num>
  <w:num w:numId="36">
    <w:abstractNumId w:val="11"/>
  </w:num>
  <w:num w:numId="37">
    <w:abstractNumId w:val="36"/>
  </w:num>
  <w:num w:numId="38">
    <w:abstractNumId w:val="23"/>
  </w:num>
  <w:num w:numId="39">
    <w:abstractNumId w:val="35"/>
  </w:num>
  <w:num w:numId="40">
    <w:abstractNumId w:val="9"/>
  </w:num>
  <w:num w:numId="41">
    <w:abstractNumId w:val="32"/>
  </w:num>
  <w:num w:numId="42">
    <w:abstractNumId w:val="24"/>
  </w:num>
  <w:num w:numId="43">
    <w:abstractNumId w:val="33"/>
  </w:num>
  <w:num w:numId="44">
    <w:abstractNumId w:val="20"/>
  </w:num>
  <w:num w:numId="4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51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urrentname" w:val="H:\TRIMDATA\TRIM\TEMP\HPTRIM.2092\t0RALC5G.docx"/>
  </w:docVars>
  <w:rsids>
    <w:rsidRoot w:val="0093285E"/>
    <w:rsid w:val="0000406E"/>
    <w:rsid w:val="0000472F"/>
    <w:rsid w:val="0000571D"/>
    <w:rsid w:val="00010BA0"/>
    <w:rsid w:val="0002397F"/>
    <w:rsid w:val="0003655A"/>
    <w:rsid w:val="00036F24"/>
    <w:rsid w:val="00043C0E"/>
    <w:rsid w:val="000455E9"/>
    <w:rsid w:val="00052993"/>
    <w:rsid w:val="000626A3"/>
    <w:rsid w:val="00062771"/>
    <w:rsid w:val="0006354D"/>
    <w:rsid w:val="0006417F"/>
    <w:rsid w:val="00066BA6"/>
    <w:rsid w:val="000718FC"/>
    <w:rsid w:val="000805AC"/>
    <w:rsid w:val="00084700"/>
    <w:rsid w:val="00090B6B"/>
    <w:rsid w:val="00090B88"/>
    <w:rsid w:val="0009108D"/>
    <w:rsid w:val="00095EF1"/>
    <w:rsid w:val="0009650A"/>
    <w:rsid w:val="000C0997"/>
    <w:rsid w:val="000D309C"/>
    <w:rsid w:val="000D7FAC"/>
    <w:rsid w:val="000F18E6"/>
    <w:rsid w:val="000F6C27"/>
    <w:rsid w:val="00105B0A"/>
    <w:rsid w:val="00105F9D"/>
    <w:rsid w:val="00114741"/>
    <w:rsid w:val="001158C6"/>
    <w:rsid w:val="00115AB4"/>
    <w:rsid w:val="00117722"/>
    <w:rsid w:val="0012051B"/>
    <w:rsid w:val="0012270B"/>
    <w:rsid w:val="00130CE6"/>
    <w:rsid w:val="00133AA7"/>
    <w:rsid w:val="00143690"/>
    <w:rsid w:val="00151F81"/>
    <w:rsid w:val="001520F5"/>
    <w:rsid w:val="00152ADF"/>
    <w:rsid w:val="00155917"/>
    <w:rsid w:val="001635C9"/>
    <w:rsid w:val="001707BF"/>
    <w:rsid w:val="00170CAC"/>
    <w:rsid w:val="00181236"/>
    <w:rsid w:val="00182508"/>
    <w:rsid w:val="0018434B"/>
    <w:rsid w:val="00187F2F"/>
    <w:rsid w:val="00191B41"/>
    <w:rsid w:val="001929D1"/>
    <w:rsid w:val="00196846"/>
    <w:rsid w:val="001B1376"/>
    <w:rsid w:val="001B175B"/>
    <w:rsid w:val="001B38D1"/>
    <w:rsid w:val="001C7076"/>
    <w:rsid w:val="001D0E47"/>
    <w:rsid w:val="001D1D9D"/>
    <w:rsid w:val="001D5F41"/>
    <w:rsid w:val="001E475A"/>
    <w:rsid w:val="001E617C"/>
    <w:rsid w:val="001F6429"/>
    <w:rsid w:val="002059E8"/>
    <w:rsid w:val="00211A12"/>
    <w:rsid w:val="00211B81"/>
    <w:rsid w:val="002241C7"/>
    <w:rsid w:val="002248A4"/>
    <w:rsid w:val="002259B1"/>
    <w:rsid w:val="002267B1"/>
    <w:rsid w:val="00230C8B"/>
    <w:rsid w:val="00236CA9"/>
    <w:rsid w:val="00241CC9"/>
    <w:rsid w:val="00241EEE"/>
    <w:rsid w:val="002426C8"/>
    <w:rsid w:val="00244084"/>
    <w:rsid w:val="0026786A"/>
    <w:rsid w:val="00271984"/>
    <w:rsid w:val="00280897"/>
    <w:rsid w:val="002867F0"/>
    <w:rsid w:val="0028688C"/>
    <w:rsid w:val="0029684E"/>
    <w:rsid w:val="002A1C0F"/>
    <w:rsid w:val="002B076E"/>
    <w:rsid w:val="002B7E11"/>
    <w:rsid w:val="002F1A26"/>
    <w:rsid w:val="003229A1"/>
    <w:rsid w:val="0032315E"/>
    <w:rsid w:val="00324F52"/>
    <w:rsid w:val="00325113"/>
    <w:rsid w:val="0033529A"/>
    <w:rsid w:val="00343B1E"/>
    <w:rsid w:val="0034442C"/>
    <w:rsid w:val="00344E83"/>
    <w:rsid w:val="00345DAD"/>
    <w:rsid w:val="00353A3B"/>
    <w:rsid w:val="00354A97"/>
    <w:rsid w:val="00355497"/>
    <w:rsid w:val="00362D5D"/>
    <w:rsid w:val="0037372C"/>
    <w:rsid w:val="0037431E"/>
    <w:rsid w:val="00382B2A"/>
    <w:rsid w:val="003909A2"/>
    <w:rsid w:val="0039128F"/>
    <w:rsid w:val="00391507"/>
    <w:rsid w:val="003918D4"/>
    <w:rsid w:val="003920D9"/>
    <w:rsid w:val="003978AC"/>
    <w:rsid w:val="00397AC3"/>
    <w:rsid w:val="003A6330"/>
    <w:rsid w:val="003B477C"/>
    <w:rsid w:val="003C4336"/>
    <w:rsid w:val="003C5738"/>
    <w:rsid w:val="003E3DCE"/>
    <w:rsid w:val="003F1DA6"/>
    <w:rsid w:val="003F1FC7"/>
    <w:rsid w:val="003F377A"/>
    <w:rsid w:val="00405857"/>
    <w:rsid w:val="00406316"/>
    <w:rsid w:val="004177AD"/>
    <w:rsid w:val="00423788"/>
    <w:rsid w:val="00426648"/>
    <w:rsid w:val="00436DB5"/>
    <w:rsid w:val="00456129"/>
    <w:rsid w:val="00471DF6"/>
    <w:rsid w:val="0047399E"/>
    <w:rsid w:val="00480E9F"/>
    <w:rsid w:val="00492875"/>
    <w:rsid w:val="004943C6"/>
    <w:rsid w:val="004951A9"/>
    <w:rsid w:val="004A01EA"/>
    <w:rsid w:val="004A6C90"/>
    <w:rsid w:val="004B2261"/>
    <w:rsid w:val="004C1A33"/>
    <w:rsid w:val="004C30FD"/>
    <w:rsid w:val="004C3FD1"/>
    <w:rsid w:val="004E3289"/>
    <w:rsid w:val="004E6BED"/>
    <w:rsid w:val="004E6FE1"/>
    <w:rsid w:val="004F298E"/>
    <w:rsid w:val="004F7B23"/>
    <w:rsid w:val="00505B40"/>
    <w:rsid w:val="00510311"/>
    <w:rsid w:val="00510F47"/>
    <w:rsid w:val="0051425E"/>
    <w:rsid w:val="0052608F"/>
    <w:rsid w:val="00526BF1"/>
    <w:rsid w:val="00534ED3"/>
    <w:rsid w:val="005373DC"/>
    <w:rsid w:val="005414F4"/>
    <w:rsid w:val="00553541"/>
    <w:rsid w:val="005676A4"/>
    <w:rsid w:val="00575201"/>
    <w:rsid w:val="00584957"/>
    <w:rsid w:val="005851B6"/>
    <w:rsid w:val="00587449"/>
    <w:rsid w:val="005907D5"/>
    <w:rsid w:val="00592552"/>
    <w:rsid w:val="005A1377"/>
    <w:rsid w:val="005A24E4"/>
    <w:rsid w:val="005A4A62"/>
    <w:rsid w:val="005A7499"/>
    <w:rsid w:val="005B32CC"/>
    <w:rsid w:val="005B5825"/>
    <w:rsid w:val="005B7785"/>
    <w:rsid w:val="005C1367"/>
    <w:rsid w:val="005C5532"/>
    <w:rsid w:val="005C701C"/>
    <w:rsid w:val="005D5313"/>
    <w:rsid w:val="005D559D"/>
    <w:rsid w:val="005F4A7E"/>
    <w:rsid w:val="005F5545"/>
    <w:rsid w:val="005F6DB5"/>
    <w:rsid w:val="005F76FC"/>
    <w:rsid w:val="005F7B7C"/>
    <w:rsid w:val="005F7C9B"/>
    <w:rsid w:val="00605656"/>
    <w:rsid w:val="00607A99"/>
    <w:rsid w:val="00614CC8"/>
    <w:rsid w:val="00616EBD"/>
    <w:rsid w:val="006200B8"/>
    <w:rsid w:val="006219A1"/>
    <w:rsid w:val="00624E5E"/>
    <w:rsid w:val="00637302"/>
    <w:rsid w:val="006409E5"/>
    <w:rsid w:val="006432DA"/>
    <w:rsid w:val="0064397C"/>
    <w:rsid w:val="00645CB8"/>
    <w:rsid w:val="006529C5"/>
    <w:rsid w:val="00653733"/>
    <w:rsid w:val="00663C27"/>
    <w:rsid w:val="0066650A"/>
    <w:rsid w:val="0067480B"/>
    <w:rsid w:val="00681476"/>
    <w:rsid w:val="00682517"/>
    <w:rsid w:val="006A1D58"/>
    <w:rsid w:val="006B09A0"/>
    <w:rsid w:val="006B2A48"/>
    <w:rsid w:val="006B365F"/>
    <w:rsid w:val="006C1C7C"/>
    <w:rsid w:val="006D23B2"/>
    <w:rsid w:val="006D2AAF"/>
    <w:rsid w:val="006D2B6F"/>
    <w:rsid w:val="006E33B9"/>
    <w:rsid w:val="006E3B4B"/>
    <w:rsid w:val="006F5E58"/>
    <w:rsid w:val="00702E50"/>
    <w:rsid w:val="007077DE"/>
    <w:rsid w:val="00716203"/>
    <w:rsid w:val="00716EAE"/>
    <w:rsid w:val="00721543"/>
    <w:rsid w:val="00732C9C"/>
    <w:rsid w:val="00733CF9"/>
    <w:rsid w:val="00736255"/>
    <w:rsid w:val="007404CB"/>
    <w:rsid w:val="00765220"/>
    <w:rsid w:val="0077645C"/>
    <w:rsid w:val="007902B2"/>
    <w:rsid w:val="007905DE"/>
    <w:rsid w:val="0079719F"/>
    <w:rsid w:val="007A22D4"/>
    <w:rsid w:val="007B3CE0"/>
    <w:rsid w:val="007C7F21"/>
    <w:rsid w:val="007D0AD3"/>
    <w:rsid w:val="007D300A"/>
    <w:rsid w:val="007D5564"/>
    <w:rsid w:val="007E4A1E"/>
    <w:rsid w:val="007F23E6"/>
    <w:rsid w:val="007F2F6C"/>
    <w:rsid w:val="007F3086"/>
    <w:rsid w:val="007F4108"/>
    <w:rsid w:val="007F74AF"/>
    <w:rsid w:val="007F7BB0"/>
    <w:rsid w:val="00800527"/>
    <w:rsid w:val="00801B72"/>
    <w:rsid w:val="008072EE"/>
    <w:rsid w:val="00814F2C"/>
    <w:rsid w:val="00821D68"/>
    <w:rsid w:val="0082365F"/>
    <w:rsid w:val="00823A74"/>
    <w:rsid w:val="0082623A"/>
    <w:rsid w:val="00827044"/>
    <w:rsid w:val="008331CA"/>
    <w:rsid w:val="00840252"/>
    <w:rsid w:val="00840B04"/>
    <w:rsid w:val="00850E3D"/>
    <w:rsid w:val="008709A1"/>
    <w:rsid w:val="00880612"/>
    <w:rsid w:val="00881AE5"/>
    <w:rsid w:val="00881D6D"/>
    <w:rsid w:val="00886B18"/>
    <w:rsid w:val="0089082F"/>
    <w:rsid w:val="00897422"/>
    <w:rsid w:val="008A0294"/>
    <w:rsid w:val="008C03C1"/>
    <w:rsid w:val="008C28AC"/>
    <w:rsid w:val="00902835"/>
    <w:rsid w:val="00905B99"/>
    <w:rsid w:val="0091076F"/>
    <w:rsid w:val="00911D06"/>
    <w:rsid w:val="00914605"/>
    <w:rsid w:val="00917A10"/>
    <w:rsid w:val="009242D2"/>
    <w:rsid w:val="00930D78"/>
    <w:rsid w:val="009322CE"/>
    <w:rsid w:val="0093285E"/>
    <w:rsid w:val="00950247"/>
    <w:rsid w:val="009518AC"/>
    <w:rsid w:val="009549FC"/>
    <w:rsid w:val="009601E8"/>
    <w:rsid w:val="009624EE"/>
    <w:rsid w:val="00962DF0"/>
    <w:rsid w:val="00966775"/>
    <w:rsid w:val="00976A2C"/>
    <w:rsid w:val="00991B72"/>
    <w:rsid w:val="009A2EC6"/>
    <w:rsid w:val="009E69BF"/>
    <w:rsid w:val="009F63F9"/>
    <w:rsid w:val="00A13138"/>
    <w:rsid w:val="00A14F37"/>
    <w:rsid w:val="00A245CE"/>
    <w:rsid w:val="00A3610C"/>
    <w:rsid w:val="00A448A1"/>
    <w:rsid w:val="00A62049"/>
    <w:rsid w:val="00A72950"/>
    <w:rsid w:val="00A85C6E"/>
    <w:rsid w:val="00A96650"/>
    <w:rsid w:val="00AA43CA"/>
    <w:rsid w:val="00AA6DA9"/>
    <w:rsid w:val="00AC7AC2"/>
    <w:rsid w:val="00B014ED"/>
    <w:rsid w:val="00B10AF9"/>
    <w:rsid w:val="00B170C6"/>
    <w:rsid w:val="00B240E6"/>
    <w:rsid w:val="00B522B0"/>
    <w:rsid w:val="00B5473A"/>
    <w:rsid w:val="00B715AD"/>
    <w:rsid w:val="00B75B5D"/>
    <w:rsid w:val="00B76085"/>
    <w:rsid w:val="00B833DC"/>
    <w:rsid w:val="00B87F51"/>
    <w:rsid w:val="00B9036F"/>
    <w:rsid w:val="00B90902"/>
    <w:rsid w:val="00BA3217"/>
    <w:rsid w:val="00BA46C2"/>
    <w:rsid w:val="00BA5C91"/>
    <w:rsid w:val="00BB59F0"/>
    <w:rsid w:val="00BC0CA6"/>
    <w:rsid w:val="00BD4259"/>
    <w:rsid w:val="00BE045C"/>
    <w:rsid w:val="00BF192C"/>
    <w:rsid w:val="00BF55C8"/>
    <w:rsid w:val="00C0713A"/>
    <w:rsid w:val="00C07761"/>
    <w:rsid w:val="00C10D5A"/>
    <w:rsid w:val="00C200E7"/>
    <w:rsid w:val="00C2166E"/>
    <w:rsid w:val="00C356CF"/>
    <w:rsid w:val="00C406F4"/>
    <w:rsid w:val="00C4542E"/>
    <w:rsid w:val="00C457B9"/>
    <w:rsid w:val="00C519EE"/>
    <w:rsid w:val="00C55ABB"/>
    <w:rsid w:val="00C56859"/>
    <w:rsid w:val="00C56AE6"/>
    <w:rsid w:val="00C66237"/>
    <w:rsid w:val="00C67D0F"/>
    <w:rsid w:val="00C71338"/>
    <w:rsid w:val="00C7228C"/>
    <w:rsid w:val="00C76EA5"/>
    <w:rsid w:val="00C8063F"/>
    <w:rsid w:val="00C82AAB"/>
    <w:rsid w:val="00C83D91"/>
    <w:rsid w:val="00C86E64"/>
    <w:rsid w:val="00C925B6"/>
    <w:rsid w:val="00C92AD4"/>
    <w:rsid w:val="00C95F44"/>
    <w:rsid w:val="00CA658A"/>
    <w:rsid w:val="00CA71D7"/>
    <w:rsid w:val="00CB4965"/>
    <w:rsid w:val="00CD36DF"/>
    <w:rsid w:val="00CE0A2C"/>
    <w:rsid w:val="00CF6296"/>
    <w:rsid w:val="00CF72EA"/>
    <w:rsid w:val="00D0690D"/>
    <w:rsid w:val="00D134F7"/>
    <w:rsid w:val="00D2426E"/>
    <w:rsid w:val="00D26EF6"/>
    <w:rsid w:val="00D358D2"/>
    <w:rsid w:val="00D40F23"/>
    <w:rsid w:val="00D44E83"/>
    <w:rsid w:val="00D556BE"/>
    <w:rsid w:val="00D84866"/>
    <w:rsid w:val="00D857C9"/>
    <w:rsid w:val="00D91ACD"/>
    <w:rsid w:val="00D92ED7"/>
    <w:rsid w:val="00D971FF"/>
    <w:rsid w:val="00DA1F9C"/>
    <w:rsid w:val="00DA3946"/>
    <w:rsid w:val="00DA6C54"/>
    <w:rsid w:val="00DB1CF8"/>
    <w:rsid w:val="00DC636D"/>
    <w:rsid w:val="00DC7660"/>
    <w:rsid w:val="00DD43F9"/>
    <w:rsid w:val="00DD7A12"/>
    <w:rsid w:val="00DE41F2"/>
    <w:rsid w:val="00DE4AC3"/>
    <w:rsid w:val="00DE54C8"/>
    <w:rsid w:val="00DE74E1"/>
    <w:rsid w:val="00DF0876"/>
    <w:rsid w:val="00DF3F53"/>
    <w:rsid w:val="00E00807"/>
    <w:rsid w:val="00E015EE"/>
    <w:rsid w:val="00E10D04"/>
    <w:rsid w:val="00E22D85"/>
    <w:rsid w:val="00E43565"/>
    <w:rsid w:val="00E767AA"/>
    <w:rsid w:val="00E7764B"/>
    <w:rsid w:val="00E9771D"/>
    <w:rsid w:val="00EA7C2C"/>
    <w:rsid w:val="00EB30E9"/>
    <w:rsid w:val="00ED03FC"/>
    <w:rsid w:val="00ED2B3F"/>
    <w:rsid w:val="00ED334E"/>
    <w:rsid w:val="00EE2090"/>
    <w:rsid w:val="00EE3533"/>
    <w:rsid w:val="00EF0B8E"/>
    <w:rsid w:val="00EF1168"/>
    <w:rsid w:val="00EF2C2A"/>
    <w:rsid w:val="00F0068C"/>
    <w:rsid w:val="00F02A27"/>
    <w:rsid w:val="00F050DB"/>
    <w:rsid w:val="00F07744"/>
    <w:rsid w:val="00F1661B"/>
    <w:rsid w:val="00F21244"/>
    <w:rsid w:val="00F25092"/>
    <w:rsid w:val="00F27E8D"/>
    <w:rsid w:val="00F34A55"/>
    <w:rsid w:val="00F4060D"/>
    <w:rsid w:val="00F424BC"/>
    <w:rsid w:val="00F52EB7"/>
    <w:rsid w:val="00F52FD7"/>
    <w:rsid w:val="00F614AB"/>
    <w:rsid w:val="00F65D96"/>
    <w:rsid w:val="00F7317A"/>
    <w:rsid w:val="00F74151"/>
    <w:rsid w:val="00F75A7D"/>
    <w:rsid w:val="00F93D1F"/>
    <w:rsid w:val="00F94671"/>
    <w:rsid w:val="00FB34A5"/>
    <w:rsid w:val="00FC11FD"/>
    <w:rsid w:val="00FC61E9"/>
    <w:rsid w:val="00FC6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ajorBidi"/>
        <w:sz w:val="22"/>
        <w:szCs w:val="22"/>
        <w:lang w:val="en-US" w:eastAsia="en-US" w:bidi="en-US"/>
      </w:rPr>
    </w:rPrDefault>
    <w:pPrDefault>
      <w:pPr>
        <w:spacing w:line="260" w:lineRule="atLeast"/>
      </w:pPr>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List Bullet" w:semiHidden="1" w:unhideWhenUsed="1"/>
    <w:lsdException w:name="List Bullet 2" w:semiHidden="1" w:unhideWhenUsed="1"/>
    <w:lsdException w:name="List Bullet 3" w:semiHidden="1" w:unhideWhenUsed="1"/>
    <w:lsdException w:name="Title" w:uiPriority="0" w:qFormat="1"/>
    <w:lsdException w:name="Default Paragraph Font" w:semiHidden="1" w:uiPriority="1" w:unhideWhenUsed="1"/>
    <w:lsdException w:name="Body Tex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lsdException w:name="Strong" w:uiPriority="22"/>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qFormat="1"/>
  </w:latentStyles>
  <w:style w:type="paragraph" w:default="1" w:styleId="Normal">
    <w:name w:val="Normal"/>
    <w:rsid w:val="005F7C9B"/>
    <w:rPr>
      <w:rFonts w:eastAsiaTheme="minorHAnsi"/>
      <w:lang w:val="en-AU" w:bidi="ar-SA"/>
    </w:rPr>
  </w:style>
  <w:style w:type="paragraph" w:styleId="Heading1">
    <w:name w:val="heading 1"/>
    <w:basedOn w:val="Normal"/>
    <w:next w:val="Normal"/>
    <w:link w:val="Heading1Char"/>
    <w:autoRedefine/>
    <w:uiPriority w:val="1"/>
    <w:qFormat/>
    <w:rsid w:val="005F7C9B"/>
    <w:pPr>
      <w:keepNext/>
      <w:keepLines/>
      <w:spacing w:line="320" w:lineRule="atLeast"/>
      <w:outlineLvl w:val="0"/>
    </w:pPr>
    <w:rPr>
      <w:rFonts w:asciiTheme="majorHAnsi" w:eastAsiaTheme="majorEastAsia" w:hAnsiTheme="majorHAnsi"/>
      <w:b/>
      <w:color w:val="FA820F" w:themeColor="text2"/>
      <w:sz w:val="32"/>
      <w:lang w:bidi="en-US"/>
    </w:rPr>
  </w:style>
  <w:style w:type="paragraph" w:styleId="Heading2">
    <w:name w:val="heading 2"/>
    <w:basedOn w:val="Normal"/>
    <w:next w:val="Normal"/>
    <w:link w:val="Heading2Char"/>
    <w:autoRedefine/>
    <w:qFormat/>
    <w:rsid w:val="005F7C9B"/>
    <w:pPr>
      <w:keepNext/>
      <w:keepLines/>
      <w:spacing w:line="300" w:lineRule="atLeast"/>
      <w:outlineLvl w:val="1"/>
    </w:pPr>
    <w:rPr>
      <w:rFonts w:asciiTheme="majorHAnsi" w:eastAsiaTheme="majorEastAsia" w:hAnsiTheme="majorHAnsi"/>
      <w:b/>
      <w:sz w:val="28"/>
      <w:szCs w:val="26"/>
      <w:lang w:bidi="en-US"/>
    </w:rPr>
  </w:style>
  <w:style w:type="paragraph" w:styleId="Heading3">
    <w:name w:val="heading 3"/>
    <w:basedOn w:val="Normal"/>
    <w:next w:val="Normal"/>
    <w:link w:val="Heading3Char"/>
    <w:autoRedefine/>
    <w:uiPriority w:val="1"/>
    <w:qFormat/>
    <w:rsid w:val="00280897"/>
    <w:pPr>
      <w:keepNext/>
      <w:keepLines/>
      <w:outlineLvl w:val="2"/>
    </w:pPr>
    <w:rPr>
      <w:rFonts w:asciiTheme="majorHAnsi" w:eastAsiaTheme="majorEastAsia" w:hAnsiTheme="majorHAnsi"/>
      <w:b/>
      <w:color w:val="000000" w:themeColor="accent1"/>
      <w:sz w:val="24"/>
      <w:lang w:bidi="en-US"/>
    </w:rPr>
  </w:style>
  <w:style w:type="paragraph" w:styleId="Heading4">
    <w:name w:val="heading 4"/>
    <w:basedOn w:val="Normal"/>
    <w:next w:val="Normal"/>
    <w:link w:val="Heading4Char"/>
    <w:autoRedefine/>
    <w:uiPriority w:val="1"/>
    <w:qFormat/>
    <w:rsid w:val="005F7C9B"/>
    <w:pPr>
      <w:keepNext/>
      <w:keepLines/>
      <w:outlineLvl w:val="3"/>
    </w:pPr>
    <w:rPr>
      <w:rFonts w:asciiTheme="majorHAnsi" w:eastAsiaTheme="majorEastAsia" w:hAnsiTheme="majorHAnsi"/>
      <w:b/>
      <w:i/>
      <w:iCs/>
      <w:color w:val="000000" w:themeColor="accent1"/>
      <w:sz w:val="24"/>
      <w:lang w:bidi="en-US"/>
    </w:rPr>
  </w:style>
  <w:style w:type="paragraph" w:styleId="Heading5">
    <w:name w:val="heading 5"/>
    <w:basedOn w:val="Normal"/>
    <w:next w:val="Normal"/>
    <w:link w:val="Heading5Char"/>
    <w:autoRedefine/>
    <w:uiPriority w:val="1"/>
    <w:qFormat/>
    <w:rsid w:val="005F7C9B"/>
    <w:pPr>
      <w:keepNext/>
      <w:keepLines/>
      <w:outlineLvl w:val="4"/>
    </w:pPr>
    <w:rPr>
      <w:rFonts w:asciiTheme="majorHAnsi" w:eastAsiaTheme="majorEastAsia" w:hAnsiTheme="majorHAnsi"/>
      <w:b/>
      <w:color w:val="000000" w:themeColor="accent1" w:themeShade="7F"/>
      <w:lang w:bidi="en-US"/>
    </w:rPr>
  </w:style>
  <w:style w:type="paragraph" w:styleId="Heading6">
    <w:name w:val="heading 6"/>
    <w:basedOn w:val="Normal"/>
    <w:next w:val="Normal"/>
    <w:link w:val="Heading6Char"/>
    <w:autoRedefine/>
    <w:uiPriority w:val="1"/>
    <w:qFormat/>
    <w:rsid w:val="005F7C9B"/>
    <w:pPr>
      <w:keepNext/>
      <w:keepLines/>
      <w:outlineLvl w:val="5"/>
    </w:pPr>
    <w:rPr>
      <w:rFonts w:asciiTheme="majorHAnsi" w:eastAsiaTheme="majorEastAsia" w:hAnsiTheme="majorHAnsi"/>
      <w:b/>
      <w:i/>
      <w:iCs/>
      <w:color w:val="000000" w:themeColor="accent1" w:themeShade="7F"/>
      <w:lang w:bidi="en-US"/>
    </w:rPr>
  </w:style>
  <w:style w:type="paragraph" w:styleId="Heading7">
    <w:name w:val="heading 7"/>
    <w:basedOn w:val="Normal"/>
    <w:next w:val="Normal"/>
    <w:link w:val="Heading7Char"/>
    <w:uiPriority w:val="9"/>
    <w:rsid w:val="007A22D4"/>
    <w:pPr>
      <w:keepNext/>
      <w:keepLines/>
      <w:numPr>
        <w:ilvl w:val="6"/>
        <w:numId w:val="1"/>
      </w:numPr>
      <w:spacing w:before="200"/>
      <w:outlineLvl w:val="6"/>
    </w:pPr>
    <w:rPr>
      <w:rFonts w:asciiTheme="majorHAnsi" w:eastAsiaTheme="majorEastAsia" w:hAnsiTheme="majorHAnsi"/>
      <w:i/>
      <w:iCs/>
      <w:color w:val="7D7D7D" w:themeColor="text1" w:themeTint="BF"/>
    </w:rPr>
  </w:style>
  <w:style w:type="paragraph" w:styleId="Heading8">
    <w:name w:val="heading 8"/>
    <w:basedOn w:val="Normal"/>
    <w:next w:val="Normal"/>
    <w:link w:val="Heading8Char"/>
    <w:uiPriority w:val="9"/>
    <w:rsid w:val="007A22D4"/>
    <w:pPr>
      <w:keepNext/>
      <w:keepLines/>
      <w:numPr>
        <w:ilvl w:val="7"/>
        <w:numId w:val="1"/>
      </w:numPr>
      <w:spacing w:before="200"/>
      <w:outlineLvl w:val="7"/>
    </w:pPr>
    <w:rPr>
      <w:rFonts w:asciiTheme="majorHAnsi" w:eastAsiaTheme="majorEastAsia" w:hAnsiTheme="majorHAnsi"/>
      <w:color w:val="000000" w:themeColor="accent1"/>
    </w:rPr>
  </w:style>
  <w:style w:type="paragraph" w:styleId="Heading9">
    <w:name w:val="heading 9"/>
    <w:basedOn w:val="Normal"/>
    <w:next w:val="Normal"/>
    <w:link w:val="Heading9Char"/>
    <w:uiPriority w:val="9"/>
    <w:rsid w:val="007A22D4"/>
    <w:pPr>
      <w:keepNext/>
      <w:keepLines/>
      <w:numPr>
        <w:ilvl w:val="8"/>
        <w:numId w:val="1"/>
      </w:numPr>
      <w:spacing w:before="200"/>
      <w:outlineLvl w:val="8"/>
    </w:pPr>
    <w:rPr>
      <w:rFonts w:asciiTheme="majorHAnsi" w:eastAsiaTheme="majorEastAsia" w:hAnsiTheme="majorHAnsi"/>
      <w:i/>
      <w:iCs/>
      <w:color w:val="7D7D7D"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9B"/>
    <w:pPr>
      <w:tabs>
        <w:tab w:val="center" w:pos="4680"/>
        <w:tab w:val="right" w:pos="9360"/>
      </w:tabs>
    </w:pPr>
    <w:rPr>
      <w:rFonts w:ascii="Calibri" w:hAnsi="Calibri"/>
      <w:b/>
      <w:color w:val="000000" w:themeColor="accent1"/>
      <w:lang w:bidi="en-US"/>
    </w:rPr>
  </w:style>
  <w:style w:type="character" w:customStyle="1" w:styleId="HeaderChar">
    <w:name w:val="Header Char"/>
    <w:basedOn w:val="DefaultParagraphFont"/>
    <w:link w:val="Header"/>
    <w:uiPriority w:val="99"/>
    <w:rsid w:val="006E3B4B"/>
    <w:rPr>
      <w:rFonts w:eastAsiaTheme="minorHAnsi"/>
      <w:b/>
      <w:color w:val="000000" w:themeColor="accent1"/>
      <w:lang w:val="en-AU"/>
    </w:rPr>
  </w:style>
  <w:style w:type="paragraph" w:styleId="Footer">
    <w:name w:val="footer"/>
    <w:basedOn w:val="Normal"/>
    <w:link w:val="FooterChar"/>
    <w:uiPriority w:val="99"/>
    <w:rsid w:val="005F7C9B"/>
    <w:pPr>
      <w:tabs>
        <w:tab w:val="center" w:pos="4680"/>
        <w:tab w:val="right" w:pos="9360"/>
      </w:tabs>
      <w:spacing w:line="200" w:lineRule="atLeast"/>
    </w:pPr>
    <w:rPr>
      <w:rFonts w:ascii="Calibri" w:hAnsi="Calibri"/>
      <w:color w:val="000000" w:themeColor="accent1"/>
      <w:sz w:val="16"/>
      <w:lang w:bidi="en-US"/>
    </w:rPr>
  </w:style>
  <w:style w:type="character" w:customStyle="1" w:styleId="FooterChar">
    <w:name w:val="Footer Char"/>
    <w:basedOn w:val="DefaultParagraphFont"/>
    <w:link w:val="Footer"/>
    <w:uiPriority w:val="99"/>
    <w:rsid w:val="006E3B4B"/>
    <w:rPr>
      <w:rFonts w:eastAsiaTheme="minorHAnsi"/>
      <w:color w:val="000000" w:themeColor="accent1"/>
      <w:sz w:val="16"/>
      <w:lang w:val="en-AU"/>
    </w:rPr>
  </w:style>
  <w:style w:type="paragraph" w:styleId="NoSpacing">
    <w:name w:val="No Spacing"/>
    <w:qFormat/>
    <w:rsid w:val="005F7C9B"/>
    <w:pPr>
      <w:spacing w:line="240" w:lineRule="auto"/>
    </w:pPr>
    <w:rPr>
      <w:rFonts w:eastAsiaTheme="minorHAnsi"/>
      <w:color w:val="000000" w:themeColor="accent1"/>
      <w:lang w:val="en-AU" w:bidi="ar-SA"/>
    </w:rPr>
  </w:style>
  <w:style w:type="character" w:customStyle="1" w:styleId="Heading1Char">
    <w:name w:val="Heading 1 Char"/>
    <w:basedOn w:val="DefaultParagraphFont"/>
    <w:link w:val="Heading1"/>
    <w:uiPriority w:val="1"/>
    <w:rsid w:val="008331CA"/>
    <w:rPr>
      <w:rFonts w:asciiTheme="majorHAnsi" w:eastAsiaTheme="majorEastAsia" w:hAnsiTheme="majorHAnsi"/>
      <w:b/>
      <w:color w:val="FA820F" w:themeColor="text2"/>
      <w:sz w:val="32"/>
      <w:lang w:val="en-AU"/>
    </w:rPr>
  </w:style>
  <w:style w:type="character" w:customStyle="1" w:styleId="Heading2Char">
    <w:name w:val="Heading 2 Char"/>
    <w:basedOn w:val="DefaultParagraphFont"/>
    <w:link w:val="Heading2"/>
    <w:uiPriority w:val="1"/>
    <w:rsid w:val="008331CA"/>
    <w:rPr>
      <w:rFonts w:asciiTheme="majorHAnsi" w:eastAsiaTheme="majorEastAsia" w:hAnsiTheme="majorHAnsi"/>
      <w:b/>
      <w:sz w:val="28"/>
      <w:szCs w:val="26"/>
      <w:lang w:val="en-AU"/>
    </w:rPr>
  </w:style>
  <w:style w:type="character" w:customStyle="1" w:styleId="Heading3Char">
    <w:name w:val="Heading 3 Char"/>
    <w:basedOn w:val="DefaultParagraphFont"/>
    <w:link w:val="Heading3"/>
    <w:uiPriority w:val="1"/>
    <w:rsid w:val="00280897"/>
    <w:rPr>
      <w:rFonts w:asciiTheme="majorHAnsi" w:eastAsiaTheme="majorEastAsia" w:hAnsiTheme="majorHAnsi"/>
      <w:b/>
      <w:color w:val="000000" w:themeColor="accent1"/>
      <w:sz w:val="24"/>
      <w:lang w:val="en-AU"/>
    </w:rPr>
  </w:style>
  <w:style w:type="character" w:customStyle="1" w:styleId="Heading4Char">
    <w:name w:val="Heading 4 Char"/>
    <w:basedOn w:val="DefaultParagraphFont"/>
    <w:link w:val="Heading4"/>
    <w:uiPriority w:val="1"/>
    <w:rsid w:val="008331CA"/>
    <w:rPr>
      <w:rFonts w:asciiTheme="majorHAnsi" w:eastAsiaTheme="majorEastAsia" w:hAnsiTheme="majorHAnsi"/>
      <w:b/>
      <w:i/>
      <w:iCs/>
      <w:color w:val="000000" w:themeColor="accent1"/>
      <w:sz w:val="24"/>
      <w:lang w:val="en-AU"/>
    </w:rPr>
  </w:style>
  <w:style w:type="character" w:customStyle="1" w:styleId="Heading5Char">
    <w:name w:val="Heading 5 Char"/>
    <w:basedOn w:val="DefaultParagraphFont"/>
    <w:link w:val="Heading5"/>
    <w:uiPriority w:val="1"/>
    <w:rsid w:val="008331CA"/>
    <w:rPr>
      <w:rFonts w:asciiTheme="majorHAnsi" w:eastAsiaTheme="majorEastAsia" w:hAnsiTheme="majorHAnsi"/>
      <w:b/>
      <w:color w:val="000000" w:themeColor="accent1" w:themeShade="7F"/>
      <w:lang w:val="en-AU"/>
    </w:rPr>
  </w:style>
  <w:style w:type="character" w:customStyle="1" w:styleId="Heading6Char">
    <w:name w:val="Heading 6 Char"/>
    <w:basedOn w:val="DefaultParagraphFont"/>
    <w:link w:val="Heading6"/>
    <w:uiPriority w:val="1"/>
    <w:rsid w:val="008331CA"/>
    <w:rPr>
      <w:rFonts w:asciiTheme="majorHAnsi" w:eastAsiaTheme="majorEastAsia" w:hAnsiTheme="majorHAnsi"/>
      <w:b/>
      <w:i/>
      <w:iCs/>
      <w:color w:val="000000" w:themeColor="accent1" w:themeShade="7F"/>
      <w:lang w:val="en-AU"/>
    </w:rPr>
  </w:style>
  <w:style w:type="character" w:customStyle="1" w:styleId="Heading7Char">
    <w:name w:val="Heading 7 Char"/>
    <w:basedOn w:val="DefaultParagraphFont"/>
    <w:link w:val="Heading7"/>
    <w:uiPriority w:val="9"/>
    <w:rsid w:val="006E3B4B"/>
    <w:rPr>
      <w:rFonts w:asciiTheme="majorHAnsi" w:eastAsiaTheme="majorEastAsia" w:hAnsiTheme="majorHAnsi"/>
      <w:i/>
      <w:iCs/>
      <w:color w:val="7D7D7D" w:themeColor="text1" w:themeTint="BF"/>
      <w:lang w:val="en-AU" w:bidi="ar-SA"/>
    </w:rPr>
  </w:style>
  <w:style w:type="character" w:customStyle="1" w:styleId="Heading8Char">
    <w:name w:val="Heading 8 Char"/>
    <w:basedOn w:val="DefaultParagraphFont"/>
    <w:link w:val="Heading8"/>
    <w:uiPriority w:val="9"/>
    <w:rsid w:val="006E3B4B"/>
    <w:rPr>
      <w:rFonts w:asciiTheme="majorHAnsi" w:eastAsiaTheme="majorEastAsia" w:hAnsiTheme="majorHAnsi"/>
      <w:color w:val="000000" w:themeColor="accent1"/>
      <w:lang w:val="en-AU" w:bidi="ar-SA"/>
    </w:rPr>
  </w:style>
  <w:style w:type="character" w:customStyle="1" w:styleId="Heading9Char">
    <w:name w:val="Heading 9 Char"/>
    <w:basedOn w:val="DefaultParagraphFont"/>
    <w:link w:val="Heading9"/>
    <w:uiPriority w:val="9"/>
    <w:rsid w:val="006E3B4B"/>
    <w:rPr>
      <w:rFonts w:asciiTheme="majorHAnsi" w:eastAsiaTheme="majorEastAsia" w:hAnsiTheme="majorHAnsi"/>
      <w:i/>
      <w:iCs/>
      <w:color w:val="7D7D7D" w:themeColor="text1" w:themeTint="BF"/>
      <w:lang w:val="en-AU" w:bidi="ar-SA"/>
    </w:rPr>
  </w:style>
  <w:style w:type="paragraph" w:styleId="Caption">
    <w:name w:val="caption"/>
    <w:basedOn w:val="Normal"/>
    <w:next w:val="Normal"/>
    <w:uiPriority w:val="35"/>
    <w:unhideWhenUsed/>
    <w:qFormat/>
    <w:rsid w:val="005F7C9B"/>
    <w:pPr>
      <w:spacing w:line="240" w:lineRule="auto"/>
    </w:pPr>
    <w:rPr>
      <w:b/>
      <w:bCs/>
      <w:color w:val="000000" w:themeColor="accent1"/>
      <w:sz w:val="18"/>
      <w:szCs w:val="18"/>
    </w:rPr>
  </w:style>
  <w:style w:type="paragraph" w:styleId="Title">
    <w:name w:val="Title"/>
    <w:basedOn w:val="Normal"/>
    <w:next w:val="Normal"/>
    <w:link w:val="TitleChar"/>
    <w:qFormat/>
    <w:rsid w:val="005F7C9B"/>
    <w:pPr>
      <w:spacing w:line="600" w:lineRule="atLeast"/>
      <w:contextualSpacing/>
    </w:pPr>
    <w:rPr>
      <w:rFonts w:asciiTheme="majorHAnsi" w:eastAsiaTheme="majorEastAsia" w:hAnsiTheme="majorHAnsi"/>
      <w:b/>
      <w:color w:val="FA820F" w:themeColor="text2"/>
      <w:spacing w:val="5"/>
      <w:kern w:val="28"/>
      <w:sz w:val="64"/>
      <w:szCs w:val="52"/>
    </w:rPr>
  </w:style>
  <w:style w:type="character" w:customStyle="1" w:styleId="TitleChar">
    <w:name w:val="Title Char"/>
    <w:basedOn w:val="DefaultParagraphFont"/>
    <w:link w:val="Title"/>
    <w:rsid w:val="00716203"/>
    <w:rPr>
      <w:rFonts w:asciiTheme="majorHAnsi" w:eastAsiaTheme="majorEastAsia" w:hAnsiTheme="majorHAnsi"/>
      <w:b/>
      <w:color w:val="FA820F" w:themeColor="text2"/>
      <w:spacing w:val="5"/>
      <w:kern w:val="28"/>
      <w:sz w:val="64"/>
      <w:szCs w:val="52"/>
      <w:lang w:val="en-AU" w:bidi="ar-SA"/>
    </w:rPr>
  </w:style>
  <w:style w:type="paragraph" w:styleId="Subtitle">
    <w:name w:val="Subtitle"/>
    <w:basedOn w:val="Normal"/>
    <w:next w:val="Normal"/>
    <w:link w:val="SubtitleChar"/>
    <w:uiPriority w:val="11"/>
    <w:rsid w:val="005F7C9B"/>
    <w:pPr>
      <w:numPr>
        <w:ilvl w:val="1"/>
      </w:numPr>
      <w:spacing w:line="320" w:lineRule="atLeast"/>
    </w:pPr>
    <w:rPr>
      <w:rFonts w:asciiTheme="majorHAnsi" w:eastAsiaTheme="majorEastAsia" w:hAnsiTheme="majorHAnsi"/>
      <w:iCs/>
      <w:color w:val="D8D9DA" w:themeColor="background1"/>
      <w:spacing w:val="15"/>
      <w:sz w:val="30"/>
      <w:szCs w:val="24"/>
    </w:rPr>
  </w:style>
  <w:style w:type="character" w:customStyle="1" w:styleId="SubtitleChar">
    <w:name w:val="Subtitle Char"/>
    <w:basedOn w:val="DefaultParagraphFont"/>
    <w:link w:val="Subtitle"/>
    <w:uiPriority w:val="11"/>
    <w:rsid w:val="006E3B4B"/>
    <w:rPr>
      <w:rFonts w:asciiTheme="majorHAnsi" w:eastAsiaTheme="majorEastAsia" w:hAnsiTheme="majorHAnsi"/>
      <w:iCs/>
      <w:color w:val="D8D9DA" w:themeColor="background1"/>
      <w:spacing w:val="15"/>
      <w:sz w:val="30"/>
      <w:szCs w:val="24"/>
      <w:lang w:val="en-AU" w:bidi="ar-SA"/>
    </w:rPr>
  </w:style>
  <w:style w:type="character" w:styleId="Strong">
    <w:name w:val="Strong"/>
    <w:basedOn w:val="DefaultParagraphFont"/>
    <w:uiPriority w:val="22"/>
    <w:rsid w:val="007A22D4"/>
    <w:rPr>
      <w:b/>
      <w:bCs/>
    </w:rPr>
  </w:style>
  <w:style w:type="character" w:styleId="Emphasis">
    <w:name w:val="Emphasis"/>
    <w:basedOn w:val="DefaultParagraphFont"/>
    <w:uiPriority w:val="20"/>
    <w:qFormat/>
    <w:rsid w:val="005F7C9B"/>
    <w:rPr>
      <w:b/>
      <w:iCs/>
      <w:color w:val="000000" w:themeColor="accent1"/>
      <w:sz w:val="22"/>
    </w:rPr>
  </w:style>
  <w:style w:type="paragraph" w:styleId="ListParagraph">
    <w:name w:val="List Paragraph"/>
    <w:basedOn w:val="Normal"/>
    <w:uiPriority w:val="34"/>
    <w:rsid w:val="007A22D4"/>
    <w:pPr>
      <w:ind w:left="720"/>
      <w:contextualSpacing/>
    </w:pPr>
  </w:style>
  <w:style w:type="paragraph" w:styleId="Quote">
    <w:name w:val="Quote"/>
    <w:basedOn w:val="Normal"/>
    <w:next w:val="Normal"/>
    <w:link w:val="QuoteChar"/>
    <w:autoRedefine/>
    <w:uiPriority w:val="29"/>
    <w:qFormat/>
    <w:rsid w:val="005F7C9B"/>
    <w:rPr>
      <w:rFonts w:ascii="Calibri" w:hAnsi="Calibri"/>
      <w:i/>
      <w:iCs/>
      <w:color w:val="000000" w:themeColor="accent1"/>
      <w:lang w:bidi="en-US"/>
    </w:rPr>
  </w:style>
  <w:style w:type="character" w:customStyle="1" w:styleId="QuoteChar">
    <w:name w:val="Quote Char"/>
    <w:basedOn w:val="DefaultParagraphFont"/>
    <w:link w:val="Quote"/>
    <w:uiPriority w:val="29"/>
    <w:rsid w:val="00DA6C54"/>
    <w:rPr>
      <w:rFonts w:eastAsiaTheme="minorHAnsi"/>
      <w:i/>
      <w:iCs/>
      <w:color w:val="000000" w:themeColor="accent1"/>
      <w:lang w:val="en-AU"/>
    </w:rPr>
  </w:style>
  <w:style w:type="paragraph" w:styleId="IntenseQuote">
    <w:name w:val="Intense Quote"/>
    <w:basedOn w:val="Normal"/>
    <w:next w:val="Normal"/>
    <w:link w:val="IntenseQuoteChar"/>
    <w:uiPriority w:val="30"/>
    <w:rsid w:val="007A22D4"/>
    <w:pPr>
      <w:pBdr>
        <w:bottom w:val="single" w:sz="4" w:space="4" w:color="000000" w:themeColor="accent1"/>
      </w:pBdr>
      <w:spacing w:before="200" w:after="280"/>
      <w:ind w:left="936" w:right="936"/>
    </w:pPr>
    <w:rPr>
      <w:i/>
      <w:iCs/>
      <w:color w:val="000000" w:themeColor="accent1"/>
    </w:rPr>
  </w:style>
  <w:style w:type="character" w:customStyle="1" w:styleId="IntenseQuoteChar">
    <w:name w:val="Intense Quote Char"/>
    <w:basedOn w:val="DefaultParagraphFont"/>
    <w:link w:val="IntenseQuote"/>
    <w:uiPriority w:val="30"/>
    <w:rsid w:val="006E3B4B"/>
    <w:rPr>
      <w:i/>
      <w:iCs/>
      <w:color w:val="000000" w:themeColor="accent1"/>
    </w:rPr>
  </w:style>
  <w:style w:type="character" w:styleId="SubtleEmphasis">
    <w:name w:val="Subtle Emphasis"/>
    <w:basedOn w:val="DefaultParagraphFont"/>
    <w:uiPriority w:val="19"/>
    <w:rsid w:val="007A22D4"/>
    <w:rPr>
      <w:i/>
      <w:iCs/>
      <w:color w:val="A8A8A8" w:themeColor="text1" w:themeTint="7F"/>
    </w:rPr>
  </w:style>
  <w:style w:type="character" w:styleId="IntenseEmphasis">
    <w:name w:val="Intense Emphasis"/>
    <w:basedOn w:val="DefaultParagraphFont"/>
    <w:uiPriority w:val="21"/>
    <w:rsid w:val="007A22D4"/>
    <w:rPr>
      <w:b/>
      <w:bCs/>
      <w:i/>
      <w:iCs/>
      <w:color w:val="000000" w:themeColor="accent1"/>
    </w:rPr>
  </w:style>
  <w:style w:type="character" w:styleId="SubtleReference">
    <w:name w:val="Subtle Reference"/>
    <w:basedOn w:val="DefaultParagraphFont"/>
    <w:uiPriority w:val="31"/>
    <w:rsid w:val="007A22D4"/>
    <w:rPr>
      <w:smallCaps/>
      <w:color w:val="939598" w:themeColor="accent2"/>
      <w:u w:val="single"/>
    </w:rPr>
  </w:style>
  <w:style w:type="character" w:styleId="IntenseReference">
    <w:name w:val="Intense Reference"/>
    <w:basedOn w:val="DefaultParagraphFont"/>
    <w:uiPriority w:val="32"/>
    <w:rsid w:val="007A22D4"/>
    <w:rPr>
      <w:b/>
      <w:bCs/>
      <w:smallCaps/>
      <w:color w:val="939598" w:themeColor="accent2"/>
      <w:spacing w:val="5"/>
      <w:u w:val="single"/>
    </w:rPr>
  </w:style>
  <w:style w:type="character" w:styleId="BookTitle">
    <w:name w:val="Book Title"/>
    <w:basedOn w:val="DefaultParagraphFont"/>
    <w:uiPriority w:val="33"/>
    <w:rsid w:val="007A22D4"/>
    <w:rPr>
      <w:b/>
      <w:bCs/>
      <w:smallCaps/>
      <w:spacing w:val="5"/>
    </w:rPr>
  </w:style>
  <w:style w:type="paragraph" w:styleId="ListNumber">
    <w:name w:val="List Number"/>
    <w:basedOn w:val="Normal"/>
    <w:uiPriority w:val="99"/>
    <w:unhideWhenUsed/>
    <w:rsid w:val="005F7C9B"/>
    <w:pPr>
      <w:numPr>
        <w:numId w:val="11"/>
      </w:numPr>
      <w:contextualSpacing/>
    </w:pPr>
  </w:style>
  <w:style w:type="paragraph" w:styleId="ListNumber2">
    <w:name w:val="List Number 2"/>
    <w:basedOn w:val="Normal"/>
    <w:uiPriority w:val="99"/>
    <w:unhideWhenUsed/>
    <w:rsid w:val="005F7C9B"/>
    <w:pPr>
      <w:numPr>
        <w:numId w:val="12"/>
      </w:numPr>
      <w:contextualSpacing/>
    </w:pPr>
  </w:style>
  <w:style w:type="paragraph" w:styleId="ListNumber3">
    <w:name w:val="List Number 3"/>
    <w:basedOn w:val="Normal"/>
    <w:uiPriority w:val="99"/>
    <w:unhideWhenUsed/>
    <w:rsid w:val="005F7C9B"/>
    <w:pPr>
      <w:numPr>
        <w:numId w:val="13"/>
      </w:numPr>
      <w:contextualSpacing/>
    </w:pPr>
  </w:style>
  <w:style w:type="paragraph" w:styleId="ListNumber4">
    <w:name w:val="List Number 4"/>
    <w:basedOn w:val="Normal"/>
    <w:uiPriority w:val="99"/>
    <w:unhideWhenUsed/>
    <w:rsid w:val="005F7C9B"/>
    <w:pPr>
      <w:numPr>
        <w:numId w:val="14"/>
      </w:numPr>
      <w:contextualSpacing/>
    </w:pPr>
  </w:style>
  <w:style w:type="paragraph" w:styleId="ListNumber5">
    <w:name w:val="List Number 5"/>
    <w:basedOn w:val="Normal"/>
    <w:uiPriority w:val="99"/>
    <w:rsid w:val="006E3B4B"/>
    <w:pPr>
      <w:contextualSpacing/>
    </w:pPr>
  </w:style>
  <w:style w:type="paragraph" w:styleId="BodyText">
    <w:name w:val="Body Text"/>
    <w:basedOn w:val="Normal"/>
    <w:link w:val="BodyTextChar"/>
    <w:autoRedefine/>
    <w:qFormat/>
    <w:rsid w:val="003978AC"/>
    <w:rPr>
      <w:rFonts w:ascii="Calibri" w:hAnsi="Calibri"/>
      <w:lang w:bidi="en-US"/>
    </w:rPr>
  </w:style>
  <w:style w:type="character" w:customStyle="1" w:styleId="BodyTextChar">
    <w:name w:val="Body Text Char"/>
    <w:basedOn w:val="DefaultParagraphFont"/>
    <w:link w:val="BodyText"/>
    <w:rsid w:val="003978AC"/>
    <w:rPr>
      <w:rFonts w:ascii="Calibri" w:eastAsiaTheme="minorHAnsi" w:hAnsi="Calibri"/>
      <w:lang w:val="en-AU"/>
    </w:rPr>
  </w:style>
  <w:style w:type="character" w:styleId="PageNumber">
    <w:name w:val="page number"/>
    <w:basedOn w:val="DefaultParagraphFont"/>
    <w:uiPriority w:val="99"/>
    <w:rsid w:val="005F7C9B"/>
    <w:rPr>
      <w:rFonts w:ascii="Calibri" w:hAnsi="Calibri"/>
      <w:sz w:val="16"/>
    </w:rPr>
  </w:style>
  <w:style w:type="paragraph" w:styleId="FootnoteText">
    <w:name w:val="footnote text"/>
    <w:basedOn w:val="Normal"/>
    <w:link w:val="FootnoteTextChar"/>
    <w:uiPriority w:val="99"/>
    <w:rsid w:val="005F7C9B"/>
    <w:pPr>
      <w:spacing w:line="180" w:lineRule="atLeast"/>
    </w:pPr>
    <w:rPr>
      <w:rFonts w:ascii="Calibri" w:hAnsi="Calibri"/>
      <w:color w:val="000000" w:themeColor="accent1"/>
      <w:sz w:val="16"/>
      <w:szCs w:val="20"/>
      <w:lang w:bidi="en-US"/>
    </w:rPr>
  </w:style>
  <w:style w:type="character" w:customStyle="1" w:styleId="FootnoteTextChar">
    <w:name w:val="Footnote Text Char"/>
    <w:basedOn w:val="DefaultParagraphFont"/>
    <w:link w:val="FootnoteText"/>
    <w:uiPriority w:val="99"/>
    <w:rsid w:val="00C925B6"/>
    <w:rPr>
      <w:rFonts w:eastAsiaTheme="minorHAnsi"/>
      <w:color w:val="000000" w:themeColor="accent1"/>
      <w:sz w:val="16"/>
      <w:szCs w:val="20"/>
      <w:lang w:val="en-AU"/>
    </w:rPr>
  </w:style>
  <w:style w:type="paragraph" w:styleId="HTMLAddress">
    <w:name w:val="HTML Address"/>
    <w:basedOn w:val="Normal"/>
    <w:link w:val="HTMLAddressChar"/>
    <w:autoRedefine/>
    <w:uiPriority w:val="99"/>
    <w:rsid w:val="005F7C9B"/>
    <w:rPr>
      <w:rFonts w:ascii="Calibri" w:hAnsi="Calibri"/>
      <w:iCs/>
      <w:color w:val="FA820F" w:themeColor="text2"/>
      <w:u w:val="single"/>
      <w:lang w:bidi="en-US"/>
    </w:rPr>
  </w:style>
  <w:style w:type="character" w:customStyle="1" w:styleId="HTMLAddressChar">
    <w:name w:val="HTML Address Char"/>
    <w:basedOn w:val="DefaultParagraphFont"/>
    <w:link w:val="HTMLAddress"/>
    <w:uiPriority w:val="99"/>
    <w:rsid w:val="006E3B4B"/>
    <w:rPr>
      <w:rFonts w:eastAsiaTheme="minorHAnsi"/>
      <w:iCs/>
      <w:color w:val="FA820F" w:themeColor="text2"/>
      <w:u w:val="single"/>
      <w:lang w:val="en-AU"/>
    </w:rPr>
  </w:style>
  <w:style w:type="character" w:styleId="FollowedHyperlink">
    <w:name w:val="FollowedHyperlink"/>
    <w:basedOn w:val="DefaultParagraphFont"/>
    <w:uiPriority w:val="99"/>
    <w:rsid w:val="005F7C9B"/>
    <w:rPr>
      <w:rFonts w:ascii="Calibri" w:hAnsi="Calibri"/>
      <w:color w:val="ED1C24" w:themeColor="followedHyperlink"/>
      <w:sz w:val="22"/>
      <w:u w:val="single"/>
    </w:rPr>
  </w:style>
  <w:style w:type="character" w:styleId="Hyperlink">
    <w:name w:val="Hyperlink"/>
    <w:basedOn w:val="DefaultParagraphFont"/>
    <w:uiPriority w:val="99"/>
    <w:rsid w:val="005F7C9B"/>
    <w:rPr>
      <w:rFonts w:ascii="Calibri" w:hAnsi="Calibri"/>
      <w:color w:val="FA820F" w:themeColor="hyperlink"/>
      <w:sz w:val="22"/>
      <w:u w:val="single"/>
    </w:rPr>
  </w:style>
  <w:style w:type="character" w:styleId="PlaceholderText">
    <w:name w:val="Placeholder Text"/>
    <w:basedOn w:val="DefaultParagraphFont"/>
    <w:uiPriority w:val="99"/>
    <w:rsid w:val="005F7C9B"/>
    <w:rPr>
      <w:color w:val="808080"/>
    </w:rPr>
  </w:style>
  <w:style w:type="paragraph" w:customStyle="1" w:styleId="Subtitle-Image">
    <w:name w:val="Subtitle - Image"/>
    <w:basedOn w:val="Subtitle"/>
    <w:uiPriority w:val="6"/>
    <w:rsid w:val="004B2261"/>
  </w:style>
  <w:style w:type="paragraph" w:styleId="BalloonText">
    <w:name w:val="Balloon Text"/>
    <w:basedOn w:val="Normal"/>
    <w:link w:val="BalloonTextChar"/>
    <w:uiPriority w:val="99"/>
    <w:unhideWhenUsed/>
    <w:rsid w:val="005F7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E3B4B"/>
    <w:rPr>
      <w:rFonts w:ascii="Tahoma" w:eastAsiaTheme="minorHAnsi" w:hAnsi="Tahoma" w:cs="Tahoma"/>
      <w:sz w:val="16"/>
      <w:szCs w:val="16"/>
      <w:lang w:val="en-AU" w:bidi="ar-SA"/>
    </w:rPr>
  </w:style>
  <w:style w:type="numbering" w:customStyle="1" w:styleId="KeyHeadingNumbered">
    <w:name w:val="Key Heading (Numbered)"/>
    <w:uiPriority w:val="99"/>
    <w:rsid w:val="006E3B4B"/>
    <w:pPr>
      <w:numPr>
        <w:numId w:val="2"/>
      </w:numPr>
    </w:pPr>
  </w:style>
  <w:style w:type="numbering" w:customStyle="1" w:styleId="KeyHeadingAlpha-Numeric">
    <w:name w:val="Key Heading (Alpha-Numeric)"/>
    <w:uiPriority w:val="99"/>
    <w:rsid w:val="006E3B4B"/>
    <w:pPr>
      <w:numPr>
        <w:numId w:val="3"/>
      </w:numPr>
    </w:pPr>
  </w:style>
  <w:style w:type="paragraph" w:customStyle="1" w:styleId="NumberedHeading">
    <w:name w:val="Numbered Heading"/>
    <w:basedOn w:val="ListNumber"/>
    <w:uiPriority w:val="4"/>
    <w:qFormat/>
    <w:rsid w:val="005F7C9B"/>
    <w:pPr>
      <w:numPr>
        <w:numId w:val="15"/>
      </w:numPr>
      <w:spacing w:line="320" w:lineRule="atLeast"/>
      <w:contextualSpacing w:val="0"/>
      <w:outlineLvl w:val="0"/>
    </w:pPr>
    <w:rPr>
      <w:rFonts w:ascii="Calibri" w:hAnsi="Calibri"/>
      <w:b/>
      <w:color w:val="FA820F" w:themeColor="text2"/>
      <w:sz w:val="32"/>
      <w:lang w:bidi="en-US"/>
    </w:rPr>
  </w:style>
  <w:style w:type="paragraph" w:customStyle="1" w:styleId="NumberedSubheading1">
    <w:name w:val="Numbered Subheading 1"/>
    <w:basedOn w:val="ListNumber2"/>
    <w:uiPriority w:val="4"/>
    <w:rsid w:val="005F7C9B"/>
    <w:pPr>
      <w:numPr>
        <w:ilvl w:val="1"/>
        <w:numId w:val="15"/>
      </w:numPr>
      <w:spacing w:line="300" w:lineRule="atLeast"/>
      <w:outlineLvl w:val="1"/>
    </w:pPr>
    <w:rPr>
      <w:rFonts w:ascii="Calibri" w:hAnsi="Calibri"/>
      <w:b/>
      <w:color w:val="000000" w:themeColor="accent1"/>
      <w:sz w:val="28"/>
      <w:lang w:bidi="en-US"/>
    </w:rPr>
  </w:style>
  <w:style w:type="paragraph" w:customStyle="1" w:styleId="NumberedSubheading2">
    <w:name w:val="Numbered Subheading 2"/>
    <w:basedOn w:val="ListNumber3"/>
    <w:uiPriority w:val="4"/>
    <w:rsid w:val="005F7C9B"/>
    <w:pPr>
      <w:numPr>
        <w:ilvl w:val="2"/>
        <w:numId w:val="15"/>
      </w:numPr>
      <w:outlineLvl w:val="2"/>
    </w:pPr>
    <w:rPr>
      <w:rFonts w:ascii="Calibri" w:hAnsi="Calibri"/>
      <w:b/>
      <w:color w:val="000000" w:themeColor="accent1"/>
      <w:sz w:val="24"/>
      <w:lang w:bidi="en-US"/>
    </w:rPr>
  </w:style>
  <w:style w:type="paragraph" w:customStyle="1" w:styleId="NumberedSubheading3">
    <w:name w:val="Numbered Subheading 3"/>
    <w:basedOn w:val="ListNumber4"/>
    <w:uiPriority w:val="4"/>
    <w:rsid w:val="005F7C9B"/>
    <w:pPr>
      <w:numPr>
        <w:ilvl w:val="3"/>
        <w:numId w:val="15"/>
      </w:numPr>
      <w:outlineLvl w:val="3"/>
    </w:pPr>
    <w:rPr>
      <w:rFonts w:ascii="Calibri" w:hAnsi="Calibri"/>
      <w:b/>
      <w:i/>
      <w:color w:val="000000" w:themeColor="accent1"/>
      <w:lang w:bidi="en-US"/>
    </w:rPr>
  </w:style>
  <w:style w:type="paragraph" w:customStyle="1" w:styleId="Alpha-NumericHeading">
    <w:name w:val="Alpha-Numeric Heading"/>
    <w:basedOn w:val="ListContinue"/>
    <w:uiPriority w:val="3"/>
    <w:qFormat/>
    <w:rsid w:val="005F7C9B"/>
    <w:pPr>
      <w:numPr>
        <w:numId w:val="4"/>
      </w:numPr>
      <w:spacing w:after="0" w:line="320" w:lineRule="atLeast"/>
      <w:outlineLvl w:val="0"/>
    </w:pPr>
    <w:rPr>
      <w:rFonts w:ascii="Calibri" w:hAnsi="Calibri"/>
      <w:b/>
      <w:color w:val="FA820F" w:themeColor="text2"/>
      <w:sz w:val="32"/>
      <w:lang w:bidi="en-US"/>
    </w:rPr>
  </w:style>
  <w:style w:type="paragraph" w:customStyle="1" w:styleId="Alpha-numericSub1">
    <w:name w:val="Alpha-numeric Sub 1"/>
    <w:basedOn w:val="ListContinue2"/>
    <w:uiPriority w:val="3"/>
    <w:rsid w:val="005F7C9B"/>
    <w:pPr>
      <w:numPr>
        <w:ilvl w:val="1"/>
        <w:numId w:val="4"/>
      </w:numPr>
      <w:spacing w:after="0" w:line="300" w:lineRule="atLeast"/>
      <w:outlineLvl w:val="1"/>
    </w:pPr>
    <w:rPr>
      <w:rFonts w:ascii="Calibri" w:hAnsi="Calibri"/>
      <w:b/>
      <w:color w:val="000000" w:themeColor="accent1"/>
      <w:sz w:val="28"/>
      <w:lang w:bidi="en-US"/>
    </w:rPr>
  </w:style>
  <w:style w:type="paragraph" w:customStyle="1" w:styleId="Alpha-numericSub2">
    <w:name w:val="Alpha-numeric Sub 2"/>
    <w:basedOn w:val="ListContinue3"/>
    <w:uiPriority w:val="3"/>
    <w:rsid w:val="005F7C9B"/>
    <w:pPr>
      <w:numPr>
        <w:ilvl w:val="2"/>
        <w:numId w:val="4"/>
      </w:numPr>
      <w:spacing w:after="0"/>
      <w:outlineLvl w:val="2"/>
    </w:pPr>
    <w:rPr>
      <w:rFonts w:ascii="Calibri" w:hAnsi="Calibri"/>
      <w:b/>
      <w:color w:val="000000" w:themeColor="accent1"/>
      <w:sz w:val="24"/>
      <w:lang w:bidi="en-US"/>
    </w:rPr>
  </w:style>
  <w:style w:type="paragraph" w:customStyle="1" w:styleId="Alpha-numericSub3">
    <w:name w:val="Alpha-numeric Sub 3"/>
    <w:basedOn w:val="ListContinue4"/>
    <w:uiPriority w:val="3"/>
    <w:rsid w:val="005F7C9B"/>
    <w:pPr>
      <w:numPr>
        <w:ilvl w:val="3"/>
        <w:numId w:val="4"/>
      </w:numPr>
      <w:spacing w:after="0"/>
      <w:outlineLvl w:val="3"/>
    </w:pPr>
    <w:rPr>
      <w:rFonts w:ascii="Calibri" w:hAnsi="Calibri"/>
      <w:b/>
      <w:i/>
      <w:color w:val="000000" w:themeColor="accent1"/>
      <w:lang w:bidi="en-US"/>
    </w:rPr>
  </w:style>
  <w:style w:type="numbering" w:customStyle="1" w:styleId="BulletNumberedLists">
    <w:name w:val="Bullet &amp; Numbered Lists"/>
    <w:uiPriority w:val="99"/>
    <w:rsid w:val="005F7C9B"/>
    <w:pPr>
      <w:numPr>
        <w:numId w:val="5"/>
      </w:numPr>
    </w:pPr>
  </w:style>
  <w:style w:type="paragraph" w:styleId="ListContinue">
    <w:name w:val="List Continue"/>
    <w:basedOn w:val="Normal"/>
    <w:uiPriority w:val="99"/>
    <w:unhideWhenUsed/>
    <w:rsid w:val="005F7C9B"/>
    <w:pPr>
      <w:spacing w:after="120"/>
      <w:ind w:left="283"/>
      <w:contextualSpacing/>
    </w:pPr>
  </w:style>
  <w:style w:type="paragraph" w:styleId="ListContinue2">
    <w:name w:val="List Continue 2"/>
    <w:basedOn w:val="Normal"/>
    <w:uiPriority w:val="99"/>
    <w:unhideWhenUsed/>
    <w:rsid w:val="005F7C9B"/>
    <w:pPr>
      <w:spacing w:after="120"/>
      <w:ind w:left="566"/>
      <w:contextualSpacing/>
    </w:pPr>
  </w:style>
  <w:style w:type="paragraph" w:styleId="ListContinue3">
    <w:name w:val="List Continue 3"/>
    <w:basedOn w:val="Normal"/>
    <w:uiPriority w:val="99"/>
    <w:unhideWhenUsed/>
    <w:rsid w:val="005F7C9B"/>
    <w:pPr>
      <w:spacing w:after="120"/>
      <w:ind w:left="849"/>
      <w:contextualSpacing/>
    </w:pPr>
  </w:style>
  <w:style w:type="paragraph" w:styleId="ListContinue4">
    <w:name w:val="List Continue 4"/>
    <w:basedOn w:val="Normal"/>
    <w:uiPriority w:val="99"/>
    <w:unhideWhenUsed/>
    <w:rsid w:val="005F7C9B"/>
    <w:pPr>
      <w:spacing w:after="120"/>
      <w:ind w:left="1132"/>
      <w:contextualSpacing/>
    </w:pPr>
  </w:style>
  <w:style w:type="table" w:styleId="TableGrid">
    <w:name w:val="Table Grid"/>
    <w:basedOn w:val="TableNormal"/>
    <w:uiPriority w:val="59"/>
    <w:rsid w:val="005F7C9B"/>
    <w:pPr>
      <w:spacing w:line="240" w:lineRule="auto"/>
    </w:pPr>
    <w:rPr>
      <w:rFonts w:eastAsiaTheme="minorHAnsi"/>
      <w:lang w:val="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ListBullet"/>
    <w:uiPriority w:val="5"/>
    <w:qFormat/>
    <w:rsid w:val="005F7C9B"/>
    <w:pPr>
      <w:numPr>
        <w:numId w:val="10"/>
      </w:numPr>
    </w:pPr>
    <w:rPr>
      <w:color w:val="000000" w:themeColor="accent1"/>
      <w:lang w:bidi="en-US"/>
    </w:rPr>
  </w:style>
  <w:style w:type="paragraph" w:styleId="ListBullet">
    <w:name w:val="List Bullet"/>
    <w:basedOn w:val="Normal"/>
    <w:uiPriority w:val="99"/>
    <w:unhideWhenUsed/>
    <w:rsid w:val="005F7C9B"/>
    <w:pPr>
      <w:numPr>
        <w:numId w:val="7"/>
      </w:numPr>
      <w:contextualSpacing/>
    </w:pPr>
  </w:style>
  <w:style w:type="paragraph" w:customStyle="1" w:styleId="Bullet2">
    <w:name w:val="Bullet 2"/>
    <w:basedOn w:val="ListBullet2"/>
    <w:uiPriority w:val="6"/>
    <w:rsid w:val="00663C27"/>
  </w:style>
  <w:style w:type="paragraph" w:customStyle="1" w:styleId="Bullet3">
    <w:name w:val="Bullet 3"/>
    <w:basedOn w:val="ListBullet3"/>
    <w:uiPriority w:val="6"/>
    <w:rsid w:val="00663C27"/>
  </w:style>
  <w:style w:type="paragraph" w:styleId="ListBullet3">
    <w:name w:val="List Bullet 3"/>
    <w:basedOn w:val="Normal"/>
    <w:uiPriority w:val="99"/>
    <w:unhideWhenUsed/>
    <w:rsid w:val="005F7C9B"/>
    <w:pPr>
      <w:numPr>
        <w:numId w:val="9"/>
      </w:numPr>
      <w:contextualSpacing/>
    </w:pPr>
  </w:style>
  <w:style w:type="paragraph" w:styleId="ListBullet2">
    <w:name w:val="List Bullet 2"/>
    <w:basedOn w:val="Normal"/>
    <w:uiPriority w:val="99"/>
    <w:unhideWhenUsed/>
    <w:rsid w:val="005F7C9B"/>
    <w:pPr>
      <w:numPr>
        <w:numId w:val="8"/>
      </w:numPr>
      <w:contextualSpacing/>
    </w:pPr>
  </w:style>
  <w:style w:type="table" w:styleId="LightShading-Accent3">
    <w:name w:val="Light Shading Accent 3"/>
    <w:basedOn w:val="TableNormal"/>
    <w:uiPriority w:val="60"/>
    <w:rsid w:val="005A7499"/>
    <w:pPr>
      <w:spacing w:line="240" w:lineRule="auto"/>
    </w:pPr>
    <w:rPr>
      <w:color w:val="F67C28" w:themeColor="accent3" w:themeShade="BF"/>
    </w:rPr>
    <w:tblPr>
      <w:tblStyleRowBandSize w:val="1"/>
      <w:tblStyleColBandSize w:val="1"/>
      <w:tblInd w:w="0" w:type="dxa"/>
      <w:tblBorders>
        <w:top w:val="single" w:sz="8" w:space="0" w:color="FAB585" w:themeColor="accent3"/>
        <w:bottom w:val="single" w:sz="8" w:space="0" w:color="FAB58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la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E0" w:themeFill="accent3" w:themeFillTint="3F"/>
      </w:tcPr>
    </w:tblStylePr>
    <w:tblStylePr w:type="band1Horz">
      <w:tblPr/>
      <w:tcPr>
        <w:tcBorders>
          <w:left w:val="nil"/>
          <w:right w:val="nil"/>
          <w:insideH w:val="nil"/>
          <w:insideV w:val="nil"/>
        </w:tcBorders>
        <w:shd w:val="clear" w:color="auto" w:fill="FDECE0" w:themeFill="accent3" w:themeFillTint="3F"/>
      </w:tcPr>
    </w:tblStylePr>
  </w:style>
  <w:style w:type="table" w:styleId="LightShading-Accent2">
    <w:name w:val="Light Shading Accent 2"/>
    <w:basedOn w:val="TableNormal"/>
    <w:uiPriority w:val="60"/>
    <w:rsid w:val="005A7499"/>
    <w:pPr>
      <w:spacing w:line="240" w:lineRule="auto"/>
    </w:pPr>
    <w:rPr>
      <w:color w:val="6D6F72" w:themeColor="accent2" w:themeShade="BF"/>
    </w:rPr>
    <w:tblPr>
      <w:tblStyleRowBandSize w:val="1"/>
      <w:tblStyleColBandSize w:val="1"/>
      <w:tblInd w:w="0" w:type="dxa"/>
      <w:tblBorders>
        <w:top w:val="single" w:sz="8" w:space="0" w:color="939598" w:themeColor="accent2"/>
        <w:bottom w:val="single" w:sz="8" w:space="0" w:color="9395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customStyle="1" w:styleId="LightShading-Accent11">
    <w:name w:val="Light Shading - Accent 11"/>
    <w:basedOn w:val="TableNormal"/>
    <w:uiPriority w:val="60"/>
    <w:rsid w:val="005A7499"/>
    <w:pPr>
      <w:spacing w:line="240" w:lineRule="auto"/>
    </w:p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customStyle="1" w:styleId="LightShading1">
    <w:name w:val="Light Shading1"/>
    <w:basedOn w:val="TableNormal"/>
    <w:uiPriority w:val="60"/>
    <w:rsid w:val="005A7499"/>
    <w:pPr>
      <w:spacing w:line="240" w:lineRule="auto"/>
    </w:pPr>
    <w:rPr>
      <w:color w:val="3D3D3D" w:themeColor="text1" w:themeShade="BF"/>
    </w:rPr>
    <w:tblPr>
      <w:tblStyleRowBandSize w:val="1"/>
      <w:tblStyleColBandSize w:val="1"/>
      <w:tblInd w:w="0" w:type="dxa"/>
      <w:tblBorders>
        <w:top w:val="single" w:sz="8" w:space="0" w:color="525252" w:themeColor="text1"/>
        <w:bottom w:val="single" w:sz="8" w:space="0" w:color="52525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styleId="DarkList-Accent4">
    <w:name w:val="Dark List Accent 4"/>
    <w:basedOn w:val="TableNormal"/>
    <w:uiPriority w:val="70"/>
    <w:rsid w:val="002B076E"/>
    <w:pPr>
      <w:spacing w:line="240" w:lineRule="auto"/>
    </w:pPr>
    <w:rPr>
      <w:color w:val="D8D9DA" w:themeColor="background1"/>
    </w:rPr>
    <w:tblPr>
      <w:tblStyleRowBandSize w:val="1"/>
      <w:tblStyleColBandSize w:val="1"/>
      <w:tblInd w:w="0" w:type="dxa"/>
      <w:tblCellMar>
        <w:top w:w="0" w:type="dxa"/>
        <w:left w:w="108" w:type="dxa"/>
        <w:bottom w:w="0" w:type="dxa"/>
        <w:right w:w="108" w:type="dxa"/>
      </w:tblCellMar>
    </w:tblPr>
    <w:tcPr>
      <w:shd w:val="clear" w:color="auto" w:fill="E9E9E9" w:themeFill="accent4"/>
    </w:tcPr>
    <w:tblStylePr w:type="firstRow">
      <w:rPr>
        <w:b/>
        <w:bCs/>
      </w:rPr>
      <w:tblPr/>
      <w:tcPr>
        <w:tcBorders>
          <w:top w:val="nil"/>
          <w:left w:val="nil"/>
          <w:bottom w:val="single" w:sz="18" w:space="0" w:color="D8D9DA" w:themeColor="background1"/>
          <w:right w:val="nil"/>
          <w:insideH w:val="nil"/>
          <w:insideV w:val="nil"/>
        </w:tcBorders>
        <w:shd w:val="clear" w:color="auto" w:fill="525252" w:themeFill="text1"/>
      </w:tcPr>
    </w:tblStylePr>
    <w:tblStylePr w:type="lastRow">
      <w:tblPr/>
      <w:tcPr>
        <w:tcBorders>
          <w:top w:val="single" w:sz="18" w:space="0" w:color="D8D9DA" w:themeColor="background1"/>
          <w:left w:val="nil"/>
          <w:bottom w:val="nil"/>
          <w:right w:val="nil"/>
          <w:insideH w:val="nil"/>
          <w:insideV w:val="nil"/>
        </w:tcBorders>
        <w:shd w:val="clear" w:color="auto" w:fill="747474" w:themeFill="accent4" w:themeFillShade="7F"/>
      </w:tcPr>
    </w:tblStylePr>
    <w:tblStylePr w:type="firstCol">
      <w:tblPr/>
      <w:tcPr>
        <w:tcBorders>
          <w:top w:val="nil"/>
          <w:left w:val="nil"/>
          <w:bottom w:val="nil"/>
          <w:right w:val="single" w:sz="18" w:space="0" w:color="D8D9DA" w:themeColor="background1"/>
          <w:insideH w:val="nil"/>
          <w:insideV w:val="nil"/>
        </w:tcBorders>
        <w:shd w:val="clear" w:color="auto" w:fill="AEAEAE" w:themeFill="accent4" w:themeFillShade="BF"/>
      </w:tcPr>
    </w:tblStylePr>
    <w:tblStylePr w:type="lastCol">
      <w:tblPr/>
      <w:tcPr>
        <w:tcBorders>
          <w:top w:val="nil"/>
          <w:left w:val="single" w:sz="18" w:space="0" w:color="D8D9DA" w:themeColor="background1"/>
          <w:bottom w:val="nil"/>
          <w:right w:val="nil"/>
          <w:insideH w:val="nil"/>
          <w:insideV w:val="nil"/>
        </w:tcBorders>
        <w:shd w:val="clear" w:color="auto" w:fill="AEAEAE" w:themeFill="accent4" w:themeFillShade="BF"/>
      </w:tcPr>
    </w:tblStylePr>
    <w:tblStylePr w:type="band1Vert">
      <w:tblPr/>
      <w:tcPr>
        <w:tcBorders>
          <w:top w:val="nil"/>
          <w:left w:val="nil"/>
          <w:bottom w:val="nil"/>
          <w:right w:val="nil"/>
          <w:insideH w:val="nil"/>
          <w:insideV w:val="nil"/>
        </w:tcBorders>
        <w:shd w:val="clear" w:color="auto" w:fill="AEAEAE" w:themeFill="accent4" w:themeFillShade="BF"/>
      </w:tcPr>
    </w:tblStylePr>
    <w:tblStylePr w:type="band1Horz">
      <w:tblPr/>
      <w:tcPr>
        <w:tcBorders>
          <w:top w:val="nil"/>
          <w:left w:val="nil"/>
          <w:bottom w:val="nil"/>
          <w:right w:val="nil"/>
          <w:insideH w:val="nil"/>
          <w:insideV w:val="nil"/>
        </w:tcBorders>
        <w:shd w:val="clear" w:color="auto" w:fill="AEAEAE" w:themeFill="accent4" w:themeFillShade="BF"/>
      </w:tcPr>
    </w:tblStylePr>
  </w:style>
  <w:style w:type="paragraph" w:customStyle="1" w:styleId="Classification">
    <w:name w:val="Classification"/>
    <w:basedOn w:val="BodyText"/>
    <w:autoRedefine/>
    <w:uiPriority w:val="2"/>
    <w:rsid w:val="005F7C9B"/>
    <w:pPr>
      <w:spacing w:line="200" w:lineRule="atLeast"/>
    </w:pPr>
    <w:rPr>
      <w:color w:val="FA820F" w:themeColor="text2"/>
      <w:sz w:val="16"/>
    </w:rPr>
  </w:style>
  <w:style w:type="table" w:customStyle="1" w:styleId="LightList1">
    <w:name w:val="Light List1"/>
    <w:basedOn w:val="TableNormal"/>
    <w:uiPriority w:val="61"/>
    <w:rsid w:val="00F1661B"/>
    <w:pPr>
      <w:spacing w:line="240" w:lineRule="auto"/>
    </w:pPr>
    <w:tblPr>
      <w:tblStyleRowBandSize w:val="1"/>
      <w:tblStyleColBandSize w:val="1"/>
      <w:tblInd w:w="0" w:type="dxa"/>
      <w:tblBorders>
        <w:top w:val="single" w:sz="8" w:space="0" w:color="525252" w:themeColor="text1"/>
        <w:left w:val="single" w:sz="8" w:space="0" w:color="525252" w:themeColor="text1"/>
        <w:bottom w:val="single" w:sz="8" w:space="0" w:color="525252" w:themeColor="text1"/>
        <w:right w:val="single" w:sz="8" w:space="0" w:color="525252" w:themeColor="text1"/>
      </w:tblBorders>
      <w:tblCellMar>
        <w:top w:w="0" w:type="dxa"/>
        <w:left w:w="108" w:type="dxa"/>
        <w:bottom w:w="0" w:type="dxa"/>
        <w:right w:w="108" w:type="dxa"/>
      </w:tblCellMar>
    </w:tblPr>
    <w:tblStylePr w:type="firstRow">
      <w:pPr>
        <w:spacing w:before="0" w:after="0" w:line="240" w:lineRule="auto"/>
      </w:pPr>
      <w:rPr>
        <w:b/>
        <w:bCs/>
        <w:color w:val="D8D9DA" w:themeColor="background1"/>
      </w:rPr>
      <w:tblPr/>
      <w:tcPr>
        <w:shd w:val="clear" w:color="auto" w:fill="525252" w:themeFill="text1"/>
      </w:tcPr>
    </w:tblStylePr>
    <w:tblStylePr w:type="lastRow">
      <w:pPr>
        <w:spacing w:before="0" w:after="0" w:line="240" w:lineRule="auto"/>
      </w:pPr>
      <w:rPr>
        <w:b/>
        <w:bCs/>
      </w:rPr>
      <w:tblPr/>
      <w:tcPr>
        <w:tcBorders>
          <w:top w:val="double" w:sz="6" w:space="0" w:color="525252" w:themeColor="text1"/>
          <w:left w:val="single" w:sz="8" w:space="0" w:color="525252" w:themeColor="text1"/>
          <w:bottom w:val="single" w:sz="8" w:space="0" w:color="525252" w:themeColor="text1"/>
          <w:right w:val="single" w:sz="8" w:space="0" w:color="525252" w:themeColor="text1"/>
        </w:tcBorders>
      </w:tcPr>
    </w:tblStylePr>
    <w:tblStylePr w:type="firstCol">
      <w:rPr>
        <w:b/>
        <w:bCs/>
      </w:rPr>
    </w:tblStylePr>
    <w:tblStylePr w:type="lastCol">
      <w:rPr>
        <w:b/>
        <w:bCs/>
      </w:rPr>
    </w:tblStylePr>
    <w:tblStylePr w:type="band1Vert">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tblStylePr w:type="band1Horz">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style>
  <w:style w:type="paragraph" w:customStyle="1" w:styleId="DocumentDetails">
    <w:name w:val="Document Details"/>
    <w:basedOn w:val="BodyText"/>
    <w:uiPriority w:val="2"/>
    <w:rsid w:val="005F7C9B"/>
    <w:rPr>
      <w:sz w:val="14"/>
    </w:rPr>
  </w:style>
  <w:style w:type="paragraph" w:styleId="TOC1">
    <w:name w:val="toc 1"/>
    <w:basedOn w:val="Normal"/>
    <w:next w:val="Normal"/>
    <w:autoRedefine/>
    <w:uiPriority w:val="39"/>
    <w:rsid w:val="005F7C9B"/>
    <w:pPr>
      <w:spacing w:after="100"/>
    </w:pPr>
  </w:style>
  <w:style w:type="paragraph" w:styleId="TOC2">
    <w:name w:val="toc 2"/>
    <w:basedOn w:val="Normal"/>
    <w:next w:val="Normal"/>
    <w:autoRedefine/>
    <w:uiPriority w:val="39"/>
    <w:rsid w:val="005F7C9B"/>
    <w:pPr>
      <w:spacing w:after="100"/>
      <w:ind w:left="220"/>
    </w:pPr>
  </w:style>
  <w:style w:type="paragraph" w:styleId="TOC3">
    <w:name w:val="toc 3"/>
    <w:basedOn w:val="Normal"/>
    <w:next w:val="Normal"/>
    <w:autoRedefine/>
    <w:uiPriority w:val="39"/>
    <w:rsid w:val="005F7C9B"/>
    <w:pPr>
      <w:spacing w:after="100"/>
      <w:ind w:left="440"/>
    </w:pPr>
  </w:style>
  <w:style w:type="paragraph" w:customStyle="1" w:styleId="Tabletitles">
    <w:name w:val="Table titles"/>
    <w:basedOn w:val="Normal"/>
    <w:uiPriority w:val="6"/>
    <w:rsid w:val="005F7C9B"/>
    <w:rPr>
      <w:rFonts w:asciiTheme="majorHAnsi" w:hAnsiTheme="majorHAnsi"/>
      <w:b/>
      <w:lang w:bidi="en-US"/>
    </w:rPr>
  </w:style>
  <w:style w:type="numbering" w:customStyle="1" w:styleId="BulletList">
    <w:name w:val="Bullet List"/>
    <w:basedOn w:val="NoList"/>
    <w:uiPriority w:val="99"/>
    <w:rsid w:val="005F7C9B"/>
    <w:pPr>
      <w:numPr>
        <w:numId w:val="6"/>
      </w:numPr>
    </w:pPr>
  </w:style>
  <w:style w:type="table" w:customStyle="1" w:styleId="LightShading2">
    <w:name w:val="Light Shading2"/>
    <w:basedOn w:val="TableNormal"/>
    <w:uiPriority w:val="60"/>
    <w:rsid w:val="005F7C9B"/>
    <w:pPr>
      <w:spacing w:line="240" w:lineRule="auto"/>
    </w:pPr>
    <w:rPr>
      <w:rFonts w:eastAsiaTheme="minorHAnsi"/>
      <w:color w:val="3D3D3D" w:themeColor="text1" w:themeShade="BF"/>
      <w:lang w:val="en-AU" w:bidi="ar-SA"/>
    </w:rPr>
    <w:tblPr>
      <w:tblStyleRowBandSize w:val="1"/>
      <w:tblStyleColBandSize w:val="1"/>
      <w:tblInd w:w="0" w:type="dxa"/>
      <w:tblBorders>
        <w:top w:val="single" w:sz="8" w:space="0" w:color="525252" w:themeColor="text1"/>
        <w:bottom w:val="single" w:sz="8" w:space="0" w:color="52525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customStyle="1" w:styleId="LightShading-Accent12">
    <w:name w:val="Light Shading - Accent 12"/>
    <w:basedOn w:val="TableNormal"/>
    <w:uiPriority w:val="60"/>
    <w:rsid w:val="00E7764B"/>
    <w:pPr>
      <w:spacing w:line="240" w:lineRule="auto"/>
    </w:p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paragraph" w:styleId="NormalWeb">
    <w:name w:val="Normal (Web)"/>
    <w:basedOn w:val="Normal"/>
    <w:uiPriority w:val="99"/>
    <w:rsid w:val="00C925B6"/>
    <w:rPr>
      <w:rFonts w:cs="Times New Roman"/>
      <w:sz w:val="24"/>
      <w:szCs w:val="24"/>
    </w:rPr>
  </w:style>
  <w:style w:type="paragraph" w:customStyle="1" w:styleId="BulletPoint2">
    <w:name w:val="Bullet Point 2"/>
    <w:basedOn w:val="ListBullet2"/>
    <w:uiPriority w:val="5"/>
    <w:rsid w:val="005F7C9B"/>
    <w:pPr>
      <w:numPr>
        <w:ilvl w:val="1"/>
        <w:numId w:val="10"/>
      </w:numPr>
    </w:pPr>
    <w:rPr>
      <w:color w:val="000000" w:themeColor="accent1"/>
      <w:lang w:bidi="en-US"/>
    </w:rPr>
  </w:style>
  <w:style w:type="paragraph" w:customStyle="1" w:styleId="BulletPoint3">
    <w:name w:val="Bullet Point 3"/>
    <w:basedOn w:val="ListBullet3"/>
    <w:uiPriority w:val="5"/>
    <w:rsid w:val="005F7C9B"/>
    <w:pPr>
      <w:numPr>
        <w:ilvl w:val="2"/>
        <w:numId w:val="10"/>
      </w:numPr>
    </w:pPr>
    <w:rPr>
      <w:color w:val="000000" w:themeColor="accent1"/>
      <w:lang w:bidi="en-US"/>
    </w:rPr>
  </w:style>
  <w:style w:type="character" w:styleId="CommentReference">
    <w:name w:val="annotation reference"/>
    <w:basedOn w:val="DefaultParagraphFont"/>
    <w:uiPriority w:val="99"/>
    <w:unhideWhenUsed/>
    <w:rsid w:val="005F7C9B"/>
    <w:rPr>
      <w:sz w:val="16"/>
      <w:szCs w:val="16"/>
    </w:rPr>
  </w:style>
  <w:style w:type="paragraph" w:styleId="CommentText">
    <w:name w:val="annotation text"/>
    <w:basedOn w:val="Normal"/>
    <w:link w:val="CommentTextChar"/>
    <w:uiPriority w:val="99"/>
    <w:unhideWhenUsed/>
    <w:rsid w:val="005F7C9B"/>
    <w:pPr>
      <w:spacing w:line="240" w:lineRule="auto"/>
    </w:pPr>
    <w:rPr>
      <w:sz w:val="20"/>
      <w:szCs w:val="20"/>
    </w:rPr>
  </w:style>
  <w:style w:type="character" w:customStyle="1" w:styleId="CommentTextChar">
    <w:name w:val="Comment Text Char"/>
    <w:basedOn w:val="DefaultParagraphFont"/>
    <w:link w:val="CommentText"/>
    <w:uiPriority w:val="99"/>
    <w:rsid w:val="005F7C9B"/>
    <w:rPr>
      <w:rFonts w:asciiTheme="minorHAnsi" w:eastAsiaTheme="minorHAnsi" w:hAnsiTheme="minorHAnsi"/>
      <w:sz w:val="20"/>
      <w:szCs w:val="20"/>
      <w:lang w:val="en-AU" w:bidi="ar-SA"/>
    </w:rPr>
  </w:style>
  <w:style w:type="paragraph" w:styleId="CommentSubject">
    <w:name w:val="annotation subject"/>
    <w:basedOn w:val="CommentText"/>
    <w:next w:val="CommentText"/>
    <w:link w:val="CommentSubjectChar"/>
    <w:uiPriority w:val="99"/>
    <w:unhideWhenUsed/>
    <w:rsid w:val="005F7C9B"/>
    <w:rPr>
      <w:b/>
      <w:bCs/>
    </w:rPr>
  </w:style>
  <w:style w:type="character" w:customStyle="1" w:styleId="CommentSubjectChar">
    <w:name w:val="Comment Subject Char"/>
    <w:basedOn w:val="CommentTextChar"/>
    <w:link w:val="CommentSubject"/>
    <w:uiPriority w:val="99"/>
    <w:rsid w:val="005F7C9B"/>
    <w:rPr>
      <w:rFonts w:asciiTheme="minorHAnsi" w:eastAsiaTheme="minorHAnsi" w:hAnsiTheme="minorHAnsi"/>
      <w:b/>
      <w:bCs/>
      <w:sz w:val="20"/>
      <w:szCs w:val="20"/>
      <w:lang w:val="en-AU" w:bidi="ar-SA"/>
    </w:rPr>
  </w:style>
  <w:style w:type="character" w:styleId="FootnoteReference">
    <w:name w:val="footnote reference"/>
    <w:basedOn w:val="DefaultParagraphFont"/>
    <w:uiPriority w:val="99"/>
    <w:unhideWhenUsed/>
    <w:rsid w:val="005F7C9B"/>
    <w:rPr>
      <w:vertAlign w:val="superscript"/>
    </w:rPr>
  </w:style>
  <w:style w:type="table" w:customStyle="1" w:styleId="SAPowerNetworksTableStyle">
    <w:name w:val="SA Power Networks Table Style"/>
    <w:basedOn w:val="TableGrid"/>
    <w:uiPriority w:val="99"/>
    <w:qFormat/>
    <w:rsid w:val="005F7C9B"/>
    <w:rPr>
      <w:rFonts w:ascii="Calibri" w:hAnsi="Calibri"/>
      <w:sz w:val="20"/>
      <w:szCs w:val="20"/>
      <w:lang w:val="en-US" w:eastAsia="en-AU" w:bidi="en-US"/>
    </w:rPr>
    <w:tblPr>
      <w:tblStyleRowBandSize w:val="1"/>
      <w:tblStyleColBandSize w:val="1"/>
      <w:jc w:val="right"/>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113" w:type="dxa"/>
        <w:left w:w="108" w:type="dxa"/>
        <w:bottom w:w="113" w:type="dxa"/>
        <w:right w:w="108" w:type="dxa"/>
      </w:tblCellMar>
    </w:tblPr>
    <w:trPr>
      <w:jc w:val="right"/>
    </w:trPr>
    <w:tcPr>
      <w:tcMar>
        <w:top w:w="113" w:type="dxa"/>
        <w:bottom w:w="113" w:type="dxa"/>
      </w:tcMar>
    </w:tcPr>
    <w:tblStylePr w:type="firstRow">
      <w:pPr>
        <w:wordWrap/>
        <w:spacing w:line="260" w:lineRule="exact"/>
      </w:pPr>
      <w:rPr>
        <w:rFonts w:asciiTheme="majorHAnsi" w:hAnsiTheme="majorHAnsi"/>
        <w:b/>
        <w:color w:val="FFFFFF" w:themeColor="background2"/>
        <w:sz w:val="22"/>
      </w:rPr>
      <w:tblPr/>
      <w:tcPr>
        <w:tcBorders>
          <w:top w:val="nil"/>
          <w:left w:val="nil"/>
          <w:bottom w:val="nil"/>
          <w:right w:val="nil"/>
          <w:insideH w:val="nil"/>
          <w:insideV w:val="nil"/>
          <w:tl2br w:val="nil"/>
          <w:tr2bl w:val="nil"/>
        </w:tcBorders>
        <w:shd w:val="clear" w:color="auto" w:fill="FA820F" w:themeFill="text2"/>
      </w:tcPr>
    </w:tblStylePr>
    <w:tblStylePr w:type="lastRow">
      <w:rPr>
        <w:rFonts w:asciiTheme="minorHAnsi" w:hAnsiTheme="minorHAnsi"/>
        <w:color w:val="auto"/>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l2br w:val="nil"/>
          <w:tr2bl w:val="nil"/>
        </w:tcBorders>
      </w:tcPr>
    </w:tblStylePr>
    <w:tblStylePr w:type="firstCol">
      <w:pPr>
        <w:wordWrap/>
        <w:jc w:val="lef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lastCol">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CCCDCF" w:themeFill="background1" w:themeFillShade="F2"/>
      </w:tcPr>
    </w:tblStylePr>
    <w:tblStylePr w:type="band1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E9E9E9" w:themeFill="accent4"/>
      </w:tcPr>
    </w:tblStylePr>
    <w:tblStylePr w:type="band2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band1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band2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customStyle="1" w:styleId="NumberedHeading1">
    <w:name w:val="Numbered Heading 1"/>
    <w:basedOn w:val="Heading1"/>
    <w:next w:val="NumberedHeading2"/>
    <w:qFormat/>
    <w:rsid w:val="0093285E"/>
    <w:pPr>
      <w:keepLines w:val="0"/>
      <w:numPr>
        <w:numId w:val="16"/>
      </w:numPr>
      <w:spacing w:line="240" w:lineRule="auto"/>
    </w:pPr>
    <w:rPr>
      <w:rFonts w:ascii="Century Gothic" w:eastAsia="Times New Roman" w:hAnsi="Century Gothic" w:cs="Arial"/>
      <w:bCs/>
      <w:caps/>
      <w:color w:val="F77F00"/>
      <w:kern w:val="32"/>
      <w:sz w:val="20"/>
      <w:szCs w:val="32"/>
      <w:lang w:bidi="ar-SA"/>
    </w:rPr>
  </w:style>
  <w:style w:type="paragraph" w:customStyle="1" w:styleId="NumberedHeading2">
    <w:name w:val="Numbered Heading 2"/>
    <w:basedOn w:val="Heading2"/>
    <w:next w:val="NumberedHeading3"/>
    <w:qFormat/>
    <w:rsid w:val="0093285E"/>
    <w:pPr>
      <w:keepLines w:val="0"/>
      <w:numPr>
        <w:ilvl w:val="1"/>
        <w:numId w:val="16"/>
      </w:numPr>
      <w:spacing w:line="240" w:lineRule="auto"/>
    </w:pPr>
    <w:rPr>
      <w:rFonts w:ascii="Century Gothic" w:eastAsia="Times New Roman" w:hAnsi="Century Gothic" w:cs="Arial"/>
      <w:bCs/>
      <w:iCs/>
      <w:color w:val="F77F00"/>
      <w:sz w:val="20"/>
      <w:szCs w:val="28"/>
      <w:lang w:bidi="ar-SA"/>
    </w:rPr>
  </w:style>
  <w:style w:type="paragraph" w:customStyle="1" w:styleId="NumberedHeading3">
    <w:name w:val="Numbered Heading 3"/>
    <w:basedOn w:val="Heading3"/>
    <w:next w:val="NumberedHeading4"/>
    <w:qFormat/>
    <w:rsid w:val="0093285E"/>
    <w:pPr>
      <w:keepLines w:val="0"/>
      <w:numPr>
        <w:ilvl w:val="2"/>
        <w:numId w:val="16"/>
      </w:numPr>
      <w:spacing w:line="240" w:lineRule="auto"/>
    </w:pPr>
    <w:rPr>
      <w:rFonts w:ascii="Century Gothic" w:eastAsia="Times New Roman" w:hAnsi="Century Gothic" w:cs="Arial"/>
      <w:bCs/>
      <w:i/>
      <w:color w:val="F77F00"/>
      <w:sz w:val="20"/>
      <w:szCs w:val="26"/>
      <w:lang w:bidi="ar-SA"/>
    </w:rPr>
  </w:style>
  <w:style w:type="paragraph" w:customStyle="1" w:styleId="NumberedHeading4">
    <w:name w:val="Numbered Heading 4"/>
    <w:basedOn w:val="Heading4"/>
    <w:qFormat/>
    <w:rsid w:val="0093285E"/>
    <w:pPr>
      <w:numPr>
        <w:ilvl w:val="3"/>
        <w:numId w:val="16"/>
      </w:numPr>
      <w:spacing w:line="240" w:lineRule="auto"/>
    </w:pPr>
    <w:rPr>
      <w:rFonts w:ascii="Century Gothic" w:eastAsia="Times New Roman" w:hAnsi="Century Gothic" w:cs="Times New Roman"/>
      <w:b w:val="0"/>
      <w:bCs/>
      <w:color w:val="F77F00"/>
      <w:sz w:val="20"/>
      <w:szCs w:val="24"/>
      <w:lang w:bidi="ar-SA"/>
    </w:rPr>
  </w:style>
  <w:style w:type="paragraph" w:styleId="TOCHeading">
    <w:name w:val="TOC Heading"/>
    <w:basedOn w:val="Heading1"/>
    <w:next w:val="Normal"/>
    <w:uiPriority w:val="39"/>
    <w:semiHidden/>
    <w:unhideWhenUsed/>
    <w:qFormat/>
    <w:rsid w:val="00A96650"/>
    <w:pPr>
      <w:spacing w:before="480" w:line="276" w:lineRule="auto"/>
      <w:outlineLvl w:val="9"/>
    </w:pPr>
    <w:rPr>
      <w:bCs/>
      <w:color w:val="000000" w:themeColor="accent1" w:themeShade="BF"/>
      <w:sz w:val="28"/>
      <w:szCs w:val="28"/>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0515">
      <w:bodyDiv w:val="1"/>
      <w:marLeft w:val="0"/>
      <w:marRight w:val="0"/>
      <w:marTop w:val="0"/>
      <w:marBottom w:val="0"/>
      <w:divBdr>
        <w:top w:val="none" w:sz="0" w:space="0" w:color="auto"/>
        <w:left w:val="none" w:sz="0" w:space="0" w:color="auto"/>
        <w:bottom w:val="none" w:sz="0" w:space="0" w:color="auto"/>
        <w:right w:val="none" w:sz="0" w:space="0" w:color="auto"/>
      </w:divBdr>
    </w:div>
    <w:div w:id="180508434">
      <w:bodyDiv w:val="1"/>
      <w:marLeft w:val="0"/>
      <w:marRight w:val="0"/>
      <w:marTop w:val="0"/>
      <w:marBottom w:val="0"/>
      <w:divBdr>
        <w:top w:val="none" w:sz="0" w:space="0" w:color="auto"/>
        <w:left w:val="none" w:sz="0" w:space="0" w:color="auto"/>
        <w:bottom w:val="none" w:sz="0" w:space="0" w:color="auto"/>
        <w:right w:val="none" w:sz="0" w:space="0" w:color="auto"/>
      </w:divBdr>
    </w:div>
    <w:div w:id="702632860">
      <w:bodyDiv w:val="1"/>
      <w:marLeft w:val="0"/>
      <w:marRight w:val="0"/>
      <w:marTop w:val="0"/>
      <w:marBottom w:val="0"/>
      <w:divBdr>
        <w:top w:val="none" w:sz="0" w:space="0" w:color="auto"/>
        <w:left w:val="none" w:sz="0" w:space="0" w:color="auto"/>
        <w:bottom w:val="none" w:sz="0" w:space="0" w:color="auto"/>
        <w:right w:val="none" w:sz="0" w:space="0" w:color="auto"/>
      </w:divBdr>
    </w:div>
    <w:div w:id="7150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SA Power Networks">
  <a:themeElements>
    <a:clrScheme name="SA Power Networks">
      <a:dk1>
        <a:srgbClr val="525252"/>
      </a:dk1>
      <a:lt1>
        <a:srgbClr val="D8D9DA"/>
      </a:lt1>
      <a:dk2>
        <a:srgbClr val="FA820F"/>
      </a:dk2>
      <a:lt2>
        <a:srgbClr val="FFFFFF"/>
      </a:lt2>
      <a:accent1>
        <a:srgbClr val="000000"/>
      </a:accent1>
      <a:accent2>
        <a:srgbClr val="939598"/>
      </a:accent2>
      <a:accent3>
        <a:srgbClr val="FAB585"/>
      </a:accent3>
      <a:accent4>
        <a:srgbClr val="E9E9E9"/>
      </a:accent4>
      <a:accent5>
        <a:srgbClr val="FFF0D8"/>
      </a:accent5>
      <a:accent6>
        <a:srgbClr val="F4F4F4"/>
      </a:accent6>
      <a:hlink>
        <a:srgbClr val="FA820F"/>
      </a:hlink>
      <a:folHlink>
        <a:srgbClr val="ED1C24"/>
      </a:folHlink>
    </a:clrScheme>
    <a:fontScheme name="SA Power Networ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8F03-719D-4DDD-BE5B-A437C549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4276EDF5.dotm</Template>
  <TotalTime>1</TotalTime>
  <Pages>31</Pages>
  <Words>6329</Words>
  <Characters>35368</Characters>
  <Application>Microsoft Office Word</Application>
  <DocSecurity>4</DocSecurity>
  <Lines>770</Lines>
  <Paragraphs>279</Paragraphs>
  <ScaleCrop>false</ScaleCrop>
  <HeadingPairs>
    <vt:vector size="2" baseType="variant">
      <vt:variant>
        <vt:lpstr>Title</vt:lpstr>
      </vt:variant>
      <vt:variant>
        <vt:i4>1</vt:i4>
      </vt:variant>
    </vt:vector>
  </HeadingPairs>
  <TitlesOfParts>
    <vt:vector size="1" baseType="lpstr">
      <vt:lpstr>AER Regulatory 
Information Notice</vt:lpstr>
    </vt:vector>
  </TitlesOfParts>
  <Company>ETSA Utilities</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Regulatory 
Information Notice</dc:title>
  <dc:subject>[Subheading]</dc:subject>
  <dc:creator>fielc0</dc:creator>
  <dc:description>Internal Use Only</dc:description>
  <cp:lastModifiedBy>Johnston, Kaye</cp:lastModifiedBy>
  <cp:revision>2</cp:revision>
  <cp:lastPrinted>2013-10-03T08:02:00Z</cp:lastPrinted>
  <dcterms:created xsi:type="dcterms:W3CDTF">2014-05-20T22:24:00Z</dcterms:created>
  <dcterms:modified xsi:type="dcterms:W3CDTF">2014-05-20T22:24:00Z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12.0.4518</vt:lpwstr>
  </property>
</Properties>
</file>