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5789" w14:textId="77BAB2AC" w:rsidR="00464E53" w:rsidRPr="002A5FCB" w:rsidRDefault="00464E53" w:rsidP="001D4E5B">
      <w:pPr>
        <w:ind w:left="-142"/>
        <w:rPr>
          <w:rFonts w:cs="Arial"/>
          <w:szCs w:val="22"/>
        </w:rPr>
      </w:pPr>
      <w:r w:rsidRPr="002A5FCB">
        <w:rPr>
          <w:rFonts w:cs="Arial"/>
          <w:szCs w:val="22"/>
        </w:rPr>
        <w:t>9 February 2018</w:t>
      </w:r>
      <w:bookmarkStart w:id="0" w:name="_GoBack"/>
      <w:bookmarkEnd w:id="0"/>
    </w:p>
    <w:p w14:paraId="5C4ACCF4" w14:textId="77777777" w:rsidR="00464E53" w:rsidRPr="006A6111" w:rsidRDefault="00464E53" w:rsidP="00464E53">
      <w:pPr>
        <w:ind w:left="-142"/>
        <w:rPr>
          <w:rFonts w:cs="Arial"/>
          <w:color w:val="4A4748"/>
          <w:szCs w:val="22"/>
        </w:rPr>
      </w:pPr>
    </w:p>
    <w:p w14:paraId="3CA59099" w14:textId="77777777" w:rsidR="00464E53" w:rsidRPr="006A6111" w:rsidRDefault="00464E53" w:rsidP="00464E53">
      <w:pPr>
        <w:ind w:left="-142"/>
        <w:rPr>
          <w:rFonts w:cs="Arial"/>
          <w:color w:val="4A4748"/>
          <w:szCs w:val="22"/>
        </w:rPr>
      </w:pPr>
    </w:p>
    <w:p w14:paraId="36A913E6" w14:textId="0BF8D36A" w:rsidR="00464E53" w:rsidRDefault="001D4E5B" w:rsidP="00464E53">
      <w:pPr>
        <w:pStyle w:val="DefaultText"/>
        <w:ind w:left="-142"/>
        <w:rPr>
          <w:rFonts w:cs="Arial"/>
          <w:color w:val="4A4748"/>
          <w:szCs w:val="22"/>
        </w:rPr>
      </w:pPr>
      <w:r w:rsidRPr="002A5FCB">
        <w:rPr>
          <w:rFonts w:cs="Arial"/>
          <w:szCs w:val="22"/>
        </w:rPr>
        <w:t xml:space="preserve">Mr </w:t>
      </w:r>
      <w:r w:rsidR="00464E53" w:rsidRPr="002A5FCB">
        <w:rPr>
          <w:rFonts w:cs="Arial"/>
          <w:szCs w:val="22"/>
        </w:rPr>
        <w:t>David Chan</w:t>
      </w:r>
      <w:r w:rsidR="00464E53" w:rsidRPr="002A5FCB">
        <w:rPr>
          <w:rFonts w:cs="Arial"/>
          <w:szCs w:val="22"/>
        </w:rPr>
        <w:tab/>
      </w:r>
      <w:r w:rsidR="00464E53">
        <w:rPr>
          <w:rFonts w:cs="Arial"/>
          <w:color w:val="4A4748"/>
          <w:szCs w:val="22"/>
        </w:rPr>
        <w:tab/>
      </w:r>
      <w:r w:rsidR="00464E53" w:rsidRPr="002A5FCB">
        <w:rPr>
          <w:rFonts w:cs="Arial"/>
          <w:szCs w:val="22"/>
        </w:rPr>
        <w:t xml:space="preserve">(sent by email to </w:t>
      </w:r>
      <w:hyperlink r:id="rId8" w:history="1">
        <w:r w:rsidR="00464E53" w:rsidRPr="006A6111">
          <w:rPr>
            <w:rStyle w:val="Hyperlink"/>
            <w:rFonts w:cs="Arial"/>
            <w:szCs w:val="22"/>
          </w:rPr>
          <w:t>aerinquiry@aer.gov.au</w:t>
        </w:r>
      </w:hyperlink>
      <w:r w:rsidR="00464E53" w:rsidRPr="006A6111">
        <w:rPr>
          <w:rFonts w:cs="Arial"/>
          <w:szCs w:val="22"/>
        </w:rPr>
        <w:t xml:space="preserve"> </w:t>
      </w:r>
      <w:r w:rsidR="00464E53">
        <w:rPr>
          <w:rFonts w:cs="Arial"/>
          <w:szCs w:val="22"/>
        </w:rPr>
        <w:t xml:space="preserve">cc </w:t>
      </w:r>
      <w:hyperlink r:id="rId9" w:history="1">
        <w:r w:rsidR="00464E53" w:rsidRPr="00972BB4">
          <w:rPr>
            <w:rStyle w:val="Hyperlink"/>
            <w:rFonts w:cs="Arial"/>
            <w:szCs w:val="22"/>
          </w:rPr>
          <w:t>david.chan@aer.gov.au</w:t>
        </w:r>
      </w:hyperlink>
      <w:r w:rsidR="00464E53" w:rsidRPr="006A6111">
        <w:rPr>
          <w:rFonts w:cs="Arial"/>
          <w:szCs w:val="22"/>
        </w:rPr>
        <w:t>)</w:t>
      </w:r>
    </w:p>
    <w:p w14:paraId="0F6D41FD" w14:textId="77777777" w:rsidR="00464E53" w:rsidRPr="002A5FCB" w:rsidRDefault="00464E53" w:rsidP="00464E53">
      <w:pPr>
        <w:pStyle w:val="DefaultText"/>
        <w:ind w:left="-142"/>
        <w:rPr>
          <w:rFonts w:cs="Arial"/>
          <w:szCs w:val="22"/>
        </w:rPr>
      </w:pPr>
      <w:r w:rsidRPr="002A5FCB">
        <w:rPr>
          <w:rFonts w:cs="Arial"/>
          <w:szCs w:val="22"/>
        </w:rPr>
        <w:t>Director – Network Operations</w:t>
      </w:r>
      <w:r w:rsidRPr="002A5FCB">
        <w:rPr>
          <w:rFonts w:cs="Arial"/>
          <w:szCs w:val="22"/>
        </w:rPr>
        <w:tab/>
      </w:r>
      <w:r w:rsidRPr="002A5FCB">
        <w:rPr>
          <w:rFonts w:cs="Arial"/>
          <w:szCs w:val="22"/>
        </w:rPr>
        <w:tab/>
      </w:r>
      <w:r w:rsidRPr="002A5FCB">
        <w:rPr>
          <w:rFonts w:cs="Arial"/>
          <w:szCs w:val="22"/>
        </w:rPr>
        <w:br/>
        <w:t>Australian Energy Regulator</w:t>
      </w:r>
    </w:p>
    <w:p w14:paraId="6D893BCF" w14:textId="77777777" w:rsidR="00464E53" w:rsidRPr="002A5FCB" w:rsidRDefault="00464E53" w:rsidP="00464E53">
      <w:pPr>
        <w:pStyle w:val="DefaultText"/>
        <w:ind w:left="-142"/>
        <w:rPr>
          <w:rFonts w:cs="Arial"/>
          <w:szCs w:val="22"/>
        </w:rPr>
      </w:pPr>
      <w:r w:rsidRPr="002A5FCB">
        <w:rPr>
          <w:rFonts w:cs="Arial"/>
          <w:szCs w:val="22"/>
        </w:rPr>
        <w:t>GPO Box 520</w:t>
      </w:r>
    </w:p>
    <w:p w14:paraId="44C8572E" w14:textId="77777777" w:rsidR="00464E53" w:rsidRPr="002A5FCB" w:rsidRDefault="00464E53" w:rsidP="00464E53">
      <w:pPr>
        <w:pStyle w:val="DefaultText"/>
        <w:ind w:left="-142"/>
        <w:rPr>
          <w:rFonts w:cs="Arial"/>
          <w:szCs w:val="22"/>
        </w:rPr>
      </w:pPr>
      <w:r w:rsidRPr="002A5FCB">
        <w:rPr>
          <w:rFonts w:cs="Arial"/>
          <w:szCs w:val="22"/>
        </w:rPr>
        <w:t>MELBOURNE VIC 3001</w:t>
      </w:r>
    </w:p>
    <w:p w14:paraId="54C5579A" w14:textId="27A85A82" w:rsidR="00464E53" w:rsidRPr="002A5FCB" w:rsidRDefault="00464E53" w:rsidP="00464E53">
      <w:pPr>
        <w:pStyle w:val="DefaultText"/>
        <w:ind w:left="-142"/>
        <w:rPr>
          <w:rFonts w:cs="Arial"/>
          <w:szCs w:val="22"/>
        </w:rPr>
      </w:pPr>
    </w:p>
    <w:p w14:paraId="00A5026D" w14:textId="5E3942E4" w:rsidR="001D4E5B" w:rsidRPr="002A5FCB" w:rsidRDefault="001D4E5B" w:rsidP="00464E53">
      <w:pPr>
        <w:pStyle w:val="DefaultText"/>
        <w:ind w:left="-142"/>
        <w:rPr>
          <w:rFonts w:cs="Arial"/>
          <w:szCs w:val="22"/>
        </w:rPr>
      </w:pPr>
      <w:r w:rsidRPr="002A5FCB">
        <w:rPr>
          <w:rFonts w:cs="Arial"/>
          <w:szCs w:val="22"/>
        </w:rPr>
        <w:t>Dear Mr Chan</w:t>
      </w:r>
    </w:p>
    <w:p w14:paraId="31BE8B42" w14:textId="77777777" w:rsidR="00464E53" w:rsidRPr="006A6111" w:rsidRDefault="00464E53" w:rsidP="00464E53">
      <w:pPr>
        <w:pStyle w:val="DefaultText"/>
        <w:ind w:left="-142"/>
        <w:rPr>
          <w:rFonts w:cs="Arial"/>
          <w:color w:val="4A4748"/>
          <w:szCs w:val="22"/>
        </w:rPr>
      </w:pPr>
    </w:p>
    <w:p w14:paraId="75F1346C" w14:textId="77777777" w:rsidR="00464E53" w:rsidRPr="006A6111" w:rsidRDefault="00464E53" w:rsidP="00464E53">
      <w:pPr>
        <w:rPr>
          <w:rFonts w:cs="Arial"/>
          <w:color w:val="4A4748"/>
          <w:szCs w:val="22"/>
        </w:rPr>
      </w:pPr>
    </w:p>
    <w:p w14:paraId="4174FE15" w14:textId="77777777" w:rsidR="00464E53" w:rsidRPr="006A6111" w:rsidRDefault="00464E53" w:rsidP="00464E53">
      <w:pPr>
        <w:pStyle w:val="Heading2"/>
        <w:pBdr>
          <w:bottom w:val="single" w:sz="2" w:space="1" w:color="auto"/>
        </w:pBdr>
        <w:ind w:left="426" w:hanging="568"/>
        <w:rPr>
          <w:rFonts w:cs="Arial"/>
          <w:sz w:val="22"/>
          <w:szCs w:val="22"/>
        </w:rPr>
      </w:pPr>
      <w:r w:rsidRPr="006A6111">
        <w:rPr>
          <w:rFonts w:cs="Arial"/>
          <w:sz w:val="22"/>
          <w:szCs w:val="22"/>
        </w:rPr>
        <w:t xml:space="preserve">Re: </w:t>
      </w:r>
      <w:r w:rsidRPr="006A6111">
        <w:rPr>
          <w:rFonts w:cs="Arial"/>
          <w:sz w:val="22"/>
          <w:szCs w:val="22"/>
        </w:rPr>
        <w:tab/>
        <w:t xml:space="preserve">SSROC Submission on Service Target Performance Incentive Scheme (STPIS) </w:t>
      </w:r>
      <w:r>
        <w:rPr>
          <w:rFonts w:cs="Arial"/>
          <w:sz w:val="22"/>
          <w:szCs w:val="22"/>
        </w:rPr>
        <w:br/>
      </w:r>
      <w:r w:rsidRPr="006A6111">
        <w:rPr>
          <w:rFonts w:cs="Arial"/>
          <w:sz w:val="22"/>
          <w:szCs w:val="22"/>
        </w:rPr>
        <w:t>Review &amp; Distribution Reliability Measures Guidelines</w:t>
      </w:r>
    </w:p>
    <w:p w14:paraId="4044465E" w14:textId="77777777" w:rsidR="00464E53" w:rsidRPr="006A6111" w:rsidRDefault="00464E53" w:rsidP="00464E53">
      <w:pPr>
        <w:ind w:left="-142"/>
        <w:rPr>
          <w:rFonts w:cs="Arial"/>
          <w:szCs w:val="22"/>
        </w:rPr>
      </w:pPr>
    </w:p>
    <w:p w14:paraId="164C5CB7" w14:textId="77777777" w:rsidR="00464E53" w:rsidRPr="00534EBC" w:rsidRDefault="00464E53" w:rsidP="00464E53">
      <w:pPr>
        <w:ind w:left="-142"/>
        <w:rPr>
          <w:rFonts w:cs="Arial"/>
          <w:szCs w:val="22"/>
        </w:rPr>
      </w:pPr>
      <w:r w:rsidRPr="00534EBC">
        <w:rPr>
          <w:rFonts w:cs="Arial"/>
          <w:szCs w:val="22"/>
        </w:rPr>
        <w:t xml:space="preserve">Thank you for the opportunity to comment on the proposed Draft Electricity distribution network service providers Service target performance incentive scheme Version 2 with respect to supply to unmetered street lighting.  </w:t>
      </w:r>
    </w:p>
    <w:p w14:paraId="0A8DA6C9" w14:textId="77777777" w:rsidR="00464E53" w:rsidRDefault="00464E53" w:rsidP="00464E53">
      <w:pPr>
        <w:ind w:left="-142"/>
        <w:rPr>
          <w:rFonts w:cs="Arial"/>
          <w:szCs w:val="22"/>
        </w:rPr>
      </w:pPr>
    </w:p>
    <w:p w14:paraId="77441960" w14:textId="77777777" w:rsidR="00464E53" w:rsidRPr="006A6111" w:rsidRDefault="00464E53" w:rsidP="00464E53">
      <w:pPr>
        <w:ind w:left="-142"/>
        <w:rPr>
          <w:rFonts w:cs="Arial"/>
          <w:szCs w:val="22"/>
        </w:rPr>
      </w:pPr>
      <w:r w:rsidRPr="006A6111">
        <w:rPr>
          <w:rFonts w:cs="Arial"/>
          <w:szCs w:val="22"/>
        </w:rPr>
        <w:t>The Southern Sydney Regional Organisation of Councils is making this submission on behalf of 30 councils participating in the SSROC Street Lighting Improvement Program. These councils encompass more than 2</w:t>
      </w:r>
      <w:r>
        <w:rPr>
          <w:rFonts w:cs="Arial"/>
          <w:szCs w:val="22"/>
        </w:rPr>
        <w:t>4</w:t>
      </w:r>
      <w:r w:rsidRPr="006A6111">
        <w:rPr>
          <w:rFonts w:cs="Arial"/>
          <w:szCs w:val="22"/>
        </w:rPr>
        <w:t xml:space="preserve">0,000 street lights which is some 95% of the lights in </w:t>
      </w:r>
      <w:proofErr w:type="spellStart"/>
      <w:r w:rsidRPr="006A6111">
        <w:rPr>
          <w:rFonts w:cs="Arial"/>
          <w:szCs w:val="22"/>
        </w:rPr>
        <w:t>Ausgrid’s</w:t>
      </w:r>
      <w:proofErr w:type="spellEnd"/>
      <w:r w:rsidRPr="006A6111">
        <w:rPr>
          <w:rFonts w:cs="Arial"/>
          <w:szCs w:val="22"/>
        </w:rPr>
        <w:t xml:space="preserve"> distribution area and 40% of the utility street lights in NSW. </w:t>
      </w:r>
    </w:p>
    <w:p w14:paraId="0A8E6619" w14:textId="77777777" w:rsidR="00464E53" w:rsidRDefault="00464E53" w:rsidP="00464E53">
      <w:pPr>
        <w:ind w:left="-142"/>
        <w:rPr>
          <w:rFonts w:cs="Arial"/>
          <w:szCs w:val="22"/>
        </w:rPr>
      </w:pPr>
    </w:p>
    <w:p w14:paraId="13EF880E" w14:textId="77777777" w:rsidR="00464E53" w:rsidRPr="00534EBC" w:rsidRDefault="00464E53" w:rsidP="00464E53">
      <w:pPr>
        <w:ind w:left="-142"/>
        <w:rPr>
          <w:rFonts w:cs="Arial"/>
          <w:szCs w:val="22"/>
        </w:rPr>
      </w:pPr>
      <w:r w:rsidRPr="006A6111">
        <w:rPr>
          <w:rFonts w:cs="Arial"/>
          <w:szCs w:val="22"/>
        </w:rPr>
        <w:t xml:space="preserve">I am writing to respond to </w:t>
      </w:r>
      <w:r>
        <w:rPr>
          <w:rFonts w:cs="Arial"/>
          <w:szCs w:val="22"/>
        </w:rPr>
        <w:t>the specific matter measurement and reporting of</w:t>
      </w:r>
      <w:r w:rsidRPr="00534EBC">
        <w:rPr>
          <w:rFonts w:cs="Arial"/>
          <w:szCs w:val="22"/>
        </w:rPr>
        <w:t xml:space="preserve"> reliability of supply to unmetered street lighting.  As per Note 2 to Appendix A, the AER is proposing that unmetered street lighting supplies be excluded from measures of network reliability.</w:t>
      </w:r>
    </w:p>
    <w:p w14:paraId="674332B0" w14:textId="77777777" w:rsidR="00464E53" w:rsidRPr="006A6111" w:rsidRDefault="00464E53" w:rsidP="00464E53">
      <w:pPr>
        <w:ind w:left="-142"/>
        <w:rPr>
          <w:rFonts w:cs="Arial"/>
          <w:szCs w:val="22"/>
        </w:rPr>
      </w:pPr>
    </w:p>
    <w:p w14:paraId="17FC6D38" w14:textId="77777777" w:rsidR="00464E53" w:rsidRPr="006A6111" w:rsidRDefault="00464E53" w:rsidP="00464E53">
      <w:pPr>
        <w:spacing w:after="120"/>
        <w:ind w:left="-142"/>
        <w:rPr>
          <w:rFonts w:cs="Arial"/>
          <w:b/>
          <w:szCs w:val="22"/>
        </w:rPr>
      </w:pPr>
      <w:r w:rsidRPr="006A6111">
        <w:rPr>
          <w:rFonts w:cs="Arial"/>
          <w:b/>
          <w:szCs w:val="22"/>
        </w:rPr>
        <w:t xml:space="preserve">SSROC’s position is that current </w:t>
      </w:r>
      <w:r>
        <w:rPr>
          <w:rFonts w:cs="Arial"/>
          <w:b/>
          <w:szCs w:val="22"/>
        </w:rPr>
        <w:t xml:space="preserve">position under STPIS </w:t>
      </w:r>
      <w:r w:rsidRPr="006A6111">
        <w:rPr>
          <w:rFonts w:cs="Arial"/>
          <w:b/>
          <w:szCs w:val="22"/>
        </w:rPr>
        <w:t xml:space="preserve">with respect to unmetered electricity supply and, in particular, </w:t>
      </w:r>
      <w:r>
        <w:rPr>
          <w:rFonts w:cs="Arial"/>
          <w:b/>
          <w:szCs w:val="22"/>
        </w:rPr>
        <w:t xml:space="preserve">for </w:t>
      </w:r>
      <w:r w:rsidRPr="006A6111">
        <w:rPr>
          <w:rFonts w:cs="Arial"/>
          <w:b/>
          <w:szCs w:val="22"/>
        </w:rPr>
        <w:t>public lighting, are in</w:t>
      </w:r>
      <w:r>
        <w:rPr>
          <w:rFonts w:cs="Arial"/>
          <w:b/>
          <w:szCs w:val="22"/>
        </w:rPr>
        <w:t>correct</w:t>
      </w:r>
      <w:r w:rsidRPr="006A6111">
        <w:rPr>
          <w:rFonts w:cs="Arial"/>
          <w:b/>
          <w:szCs w:val="22"/>
        </w:rPr>
        <w:t xml:space="preserve"> and lead to poor </w:t>
      </w:r>
      <w:r>
        <w:rPr>
          <w:rFonts w:cs="Arial"/>
          <w:b/>
          <w:szCs w:val="22"/>
        </w:rPr>
        <w:t xml:space="preserve">outcomes for public lighting customers and poor </w:t>
      </w:r>
      <w:r w:rsidRPr="006A6111">
        <w:rPr>
          <w:rFonts w:cs="Arial"/>
          <w:b/>
          <w:szCs w:val="22"/>
        </w:rPr>
        <w:t xml:space="preserve">societal outcomes.  </w:t>
      </w:r>
      <w:r>
        <w:rPr>
          <w:rFonts w:cs="Arial"/>
          <w:b/>
          <w:szCs w:val="22"/>
        </w:rPr>
        <w:t>A</w:t>
      </w:r>
      <w:r w:rsidRPr="006A6111">
        <w:rPr>
          <w:rFonts w:cs="Arial"/>
          <w:b/>
          <w:szCs w:val="22"/>
        </w:rPr>
        <w:t>t present there is:</w:t>
      </w:r>
    </w:p>
    <w:p w14:paraId="49F6CAAB" w14:textId="77777777" w:rsidR="00464E53" w:rsidRPr="006A6111" w:rsidRDefault="00464E53" w:rsidP="00464E53">
      <w:pPr>
        <w:pStyle w:val="ListParagraph"/>
        <w:numPr>
          <w:ilvl w:val="0"/>
          <w:numId w:val="20"/>
        </w:numPr>
        <w:spacing w:after="120"/>
        <w:ind w:left="572" w:hanging="357"/>
        <w:contextualSpacing w:val="0"/>
        <w:rPr>
          <w:rFonts w:ascii="Arial" w:hAnsi="Arial" w:cs="Arial"/>
          <w:b/>
          <w:sz w:val="22"/>
          <w:szCs w:val="22"/>
        </w:rPr>
      </w:pPr>
      <w:r w:rsidRPr="006A6111">
        <w:rPr>
          <w:rFonts w:ascii="Arial" w:hAnsi="Arial" w:cs="Arial"/>
          <w:b/>
          <w:sz w:val="22"/>
          <w:szCs w:val="22"/>
          <w:lang w:val="en-US"/>
        </w:rPr>
        <w:t>No measurement of the reliability of unmetered supply to some 2.3 million public lights in the National Electricity Market;</w:t>
      </w:r>
    </w:p>
    <w:p w14:paraId="1BC9ED59" w14:textId="77777777" w:rsidR="00464E53" w:rsidRPr="006A6111" w:rsidRDefault="00464E53" w:rsidP="00464E53">
      <w:pPr>
        <w:pStyle w:val="ListParagraph"/>
        <w:numPr>
          <w:ilvl w:val="0"/>
          <w:numId w:val="20"/>
        </w:numPr>
        <w:spacing w:after="120"/>
        <w:ind w:left="572" w:hanging="357"/>
        <w:contextualSpacing w:val="0"/>
        <w:rPr>
          <w:rFonts w:ascii="Arial" w:hAnsi="Arial" w:cs="Arial"/>
          <w:b/>
          <w:sz w:val="22"/>
          <w:szCs w:val="22"/>
        </w:rPr>
      </w:pPr>
      <w:r w:rsidRPr="006A6111">
        <w:rPr>
          <w:rFonts w:ascii="Arial" w:hAnsi="Arial" w:cs="Arial"/>
          <w:b/>
          <w:sz w:val="22"/>
          <w:szCs w:val="22"/>
          <w:lang w:val="en-US"/>
        </w:rPr>
        <w:t>No requirements to report on the reliability of unmetered supply to public lighting</w:t>
      </w:r>
      <w:r>
        <w:rPr>
          <w:rFonts w:ascii="Arial" w:hAnsi="Arial" w:cs="Arial"/>
          <w:b/>
          <w:sz w:val="22"/>
          <w:szCs w:val="22"/>
          <w:lang w:val="en-US"/>
        </w:rPr>
        <w:t xml:space="preserve"> in most jurisdictions</w:t>
      </w:r>
      <w:r w:rsidRPr="006A6111">
        <w:rPr>
          <w:rFonts w:ascii="Arial" w:hAnsi="Arial" w:cs="Arial"/>
          <w:b/>
          <w:sz w:val="22"/>
          <w:szCs w:val="22"/>
          <w:lang w:val="en-US"/>
        </w:rPr>
        <w:t>;</w:t>
      </w:r>
      <w:r>
        <w:rPr>
          <w:rFonts w:ascii="Arial" w:hAnsi="Arial" w:cs="Arial"/>
          <w:b/>
          <w:sz w:val="22"/>
          <w:szCs w:val="22"/>
          <w:lang w:val="en-US"/>
        </w:rPr>
        <w:t xml:space="preserve"> and</w:t>
      </w:r>
    </w:p>
    <w:p w14:paraId="2CA32009" w14:textId="77777777" w:rsidR="00464E53" w:rsidRPr="006A6111" w:rsidRDefault="00464E53" w:rsidP="00464E53">
      <w:pPr>
        <w:pStyle w:val="ListParagraph"/>
        <w:numPr>
          <w:ilvl w:val="0"/>
          <w:numId w:val="20"/>
        </w:numPr>
        <w:spacing w:after="120"/>
        <w:rPr>
          <w:rFonts w:ascii="Arial" w:hAnsi="Arial" w:cs="Arial"/>
          <w:b/>
          <w:sz w:val="22"/>
          <w:szCs w:val="22"/>
        </w:rPr>
      </w:pPr>
      <w:r w:rsidRPr="006A6111">
        <w:rPr>
          <w:rFonts w:ascii="Arial" w:hAnsi="Arial" w:cs="Arial"/>
          <w:b/>
          <w:sz w:val="22"/>
          <w:szCs w:val="22"/>
          <w:lang w:val="en-US"/>
        </w:rPr>
        <w:t>No incentive to repair network supply faults to unmetered public lighting and specifically, no financial consequence for failing to repair faults even for an extended duration</w:t>
      </w:r>
      <w:r>
        <w:rPr>
          <w:rFonts w:ascii="Arial" w:hAnsi="Arial" w:cs="Arial"/>
          <w:b/>
          <w:sz w:val="22"/>
          <w:szCs w:val="22"/>
          <w:lang w:val="en-US"/>
        </w:rPr>
        <w:t xml:space="preserve"> of many weeks or months.</w:t>
      </w:r>
    </w:p>
    <w:p w14:paraId="0910D5A9" w14:textId="77777777" w:rsidR="00464E53" w:rsidRPr="006A6111" w:rsidRDefault="00464E53" w:rsidP="00464E53">
      <w:pPr>
        <w:ind w:left="-142"/>
        <w:rPr>
          <w:rFonts w:cs="Arial"/>
          <w:b/>
          <w:szCs w:val="22"/>
        </w:rPr>
      </w:pPr>
      <w:r w:rsidRPr="006A6111">
        <w:rPr>
          <w:rFonts w:cs="Arial"/>
          <w:b/>
          <w:szCs w:val="22"/>
        </w:rPr>
        <w:t>Overall, unmetered electricity supply is held to a substantially lower reliability standard than for all other classes of electricity network distribution customers</w:t>
      </w:r>
      <w:r>
        <w:rPr>
          <w:rFonts w:cs="Arial"/>
          <w:b/>
          <w:szCs w:val="22"/>
        </w:rPr>
        <w:t xml:space="preserve"> and a change to STPIS to include unmetered supplies is an important first step in addressing this.</w:t>
      </w:r>
      <w:r w:rsidRPr="006A6111">
        <w:rPr>
          <w:rFonts w:cs="Arial"/>
          <w:b/>
          <w:szCs w:val="22"/>
          <w:lang w:val="en-US"/>
        </w:rPr>
        <w:br/>
      </w:r>
    </w:p>
    <w:p w14:paraId="65E16672" w14:textId="77777777" w:rsidR="00464E53" w:rsidRDefault="00464E53" w:rsidP="00464E53">
      <w:pPr>
        <w:ind w:left="-142"/>
        <w:rPr>
          <w:rFonts w:cs="Arial"/>
          <w:szCs w:val="22"/>
        </w:rPr>
      </w:pPr>
      <w:r w:rsidRPr="006A6111">
        <w:rPr>
          <w:rFonts w:cs="Arial"/>
          <w:szCs w:val="22"/>
        </w:rPr>
        <w:lastRenderedPageBreak/>
        <w:br/>
      </w:r>
    </w:p>
    <w:p w14:paraId="13240A25" w14:textId="77777777" w:rsidR="00464E53" w:rsidRDefault="00464E53" w:rsidP="00464E53">
      <w:pPr>
        <w:ind w:left="-142"/>
        <w:rPr>
          <w:rFonts w:cs="Arial"/>
          <w:szCs w:val="22"/>
        </w:rPr>
      </w:pPr>
      <w:r w:rsidRPr="00534EBC">
        <w:rPr>
          <w:rFonts w:cs="Arial"/>
          <w:szCs w:val="22"/>
        </w:rPr>
        <w:t xml:space="preserve">In the December 2017 Explanatory Statement, the AER stated that, </w:t>
      </w:r>
      <w:r>
        <w:rPr>
          <w:rFonts w:cs="Arial"/>
          <w:szCs w:val="22"/>
        </w:rPr>
        <w:t>“</w:t>
      </w:r>
      <w:r w:rsidRPr="00534EBC">
        <w:rPr>
          <w:rFonts w:cs="Arial"/>
          <w:szCs w:val="22"/>
        </w:rPr>
        <w:t>The AEMC recommended that the definition of customer should exclude all unmetered connection points from being considered as customers for the purposes of calculating reliability measures. This is because:</w:t>
      </w:r>
      <w:r>
        <w:rPr>
          <w:rFonts w:cs="Arial"/>
          <w:szCs w:val="22"/>
        </w:rPr>
        <w:t>”</w:t>
      </w:r>
    </w:p>
    <w:p w14:paraId="68A5E20A" w14:textId="77777777" w:rsidR="00464E53" w:rsidRDefault="00464E53" w:rsidP="00464E53">
      <w:pPr>
        <w:ind w:left="-142"/>
        <w:rPr>
          <w:rFonts w:cs="Arial"/>
          <w:szCs w:val="22"/>
        </w:rPr>
      </w:pPr>
    </w:p>
    <w:tbl>
      <w:tblPr>
        <w:tblStyle w:val="TableGrid"/>
        <w:tblW w:w="0" w:type="auto"/>
        <w:tblInd w:w="-142" w:type="dxa"/>
        <w:tblLook w:val="04A0" w:firstRow="1" w:lastRow="0" w:firstColumn="1" w:lastColumn="0" w:noHBand="0" w:noVBand="1"/>
      </w:tblPr>
      <w:tblGrid>
        <w:gridCol w:w="4390"/>
        <w:gridCol w:w="5226"/>
      </w:tblGrid>
      <w:tr w:rsidR="00464E53" w14:paraId="104BEB3C" w14:textId="77777777" w:rsidTr="00827492">
        <w:tc>
          <w:tcPr>
            <w:tcW w:w="4390" w:type="dxa"/>
          </w:tcPr>
          <w:p w14:paraId="3EDD871A" w14:textId="77777777" w:rsidR="00464E53" w:rsidRPr="00534EBC" w:rsidRDefault="00464E53" w:rsidP="00827492">
            <w:pPr>
              <w:rPr>
                <w:rFonts w:cs="Arial"/>
                <w:b/>
                <w:szCs w:val="22"/>
              </w:rPr>
            </w:pPr>
            <w:r w:rsidRPr="00534EBC">
              <w:rPr>
                <w:rFonts w:cs="Arial"/>
                <w:b/>
                <w:szCs w:val="22"/>
              </w:rPr>
              <w:t xml:space="preserve">AEMC Position </w:t>
            </w:r>
            <w:r>
              <w:rPr>
                <w:rFonts w:cs="Arial"/>
                <w:b/>
                <w:szCs w:val="22"/>
              </w:rPr>
              <w:t xml:space="preserve">on Unmetered Supplies </w:t>
            </w:r>
            <w:proofErr w:type="gramStart"/>
            <w:r w:rsidRPr="00534EBC">
              <w:rPr>
                <w:rFonts w:cs="Arial"/>
                <w:b/>
                <w:szCs w:val="22"/>
              </w:rPr>
              <w:t>As</w:t>
            </w:r>
            <w:proofErr w:type="gramEnd"/>
            <w:r w:rsidRPr="00534EBC">
              <w:rPr>
                <w:rFonts w:cs="Arial"/>
                <w:b/>
                <w:szCs w:val="22"/>
              </w:rPr>
              <w:t xml:space="preserve"> Per AER Explanatory Statement</w:t>
            </w:r>
            <w:r>
              <w:rPr>
                <w:rFonts w:cs="Arial"/>
                <w:b/>
                <w:szCs w:val="22"/>
              </w:rPr>
              <w:t xml:space="preserve"> (Section 4.4)</w:t>
            </w:r>
          </w:p>
        </w:tc>
        <w:tc>
          <w:tcPr>
            <w:tcW w:w="5226" w:type="dxa"/>
          </w:tcPr>
          <w:p w14:paraId="5394D8BF" w14:textId="77777777" w:rsidR="00464E53" w:rsidRPr="00534EBC" w:rsidRDefault="00464E53" w:rsidP="00827492">
            <w:pPr>
              <w:rPr>
                <w:rFonts w:cs="Arial"/>
                <w:b/>
                <w:szCs w:val="22"/>
              </w:rPr>
            </w:pPr>
            <w:r w:rsidRPr="00534EBC">
              <w:rPr>
                <w:rFonts w:cs="Arial"/>
                <w:b/>
                <w:szCs w:val="22"/>
              </w:rPr>
              <w:t>SSROC Response</w:t>
            </w:r>
          </w:p>
        </w:tc>
      </w:tr>
      <w:tr w:rsidR="00464E53" w14:paraId="7F133182" w14:textId="77777777" w:rsidTr="00827492">
        <w:tc>
          <w:tcPr>
            <w:tcW w:w="4390" w:type="dxa"/>
          </w:tcPr>
          <w:p w14:paraId="4B8C1A16" w14:textId="77777777" w:rsidR="00464E53" w:rsidRPr="00F02A6B" w:rsidRDefault="00464E53" w:rsidP="00827492">
            <w:pPr>
              <w:spacing w:before="80" w:after="80"/>
              <w:rPr>
                <w:rFonts w:cs="Arial"/>
                <w:i/>
                <w:szCs w:val="22"/>
              </w:rPr>
            </w:pPr>
            <w:r w:rsidRPr="00F02A6B">
              <w:rPr>
                <w:i/>
                <w:szCs w:val="22"/>
              </w:rPr>
              <w:t>“It noted that incentive schemes do not generally target unmetered supplies as the reliability of the supply of unmetered loads such as public lighting are generally considered separately.”</w:t>
            </w:r>
          </w:p>
        </w:tc>
        <w:tc>
          <w:tcPr>
            <w:tcW w:w="5226" w:type="dxa"/>
          </w:tcPr>
          <w:p w14:paraId="58D1AE29" w14:textId="77777777" w:rsidR="00464E53" w:rsidRDefault="00464E53" w:rsidP="00827492">
            <w:pPr>
              <w:spacing w:before="80" w:after="80"/>
              <w:rPr>
                <w:rFonts w:cs="Arial"/>
                <w:szCs w:val="22"/>
              </w:rPr>
            </w:pPr>
            <w:r>
              <w:rPr>
                <w:rFonts w:cs="Arial"/>
                <w:szCs w:val="22"/>
              </w:rPr>
              <w:t xml:space="preserve">SSROC believes that the AEMC has erred in suggesting that the reliability of supply to unmetered loads such as public lighting is, </w:t>
            </w:r>
            <w:r w:rsidRPr="00F02A6B">
              <w:rPr>
                <w:rFonts w:cs="Arial"/>
                <w:i/>
                <w:szCs w:val="22"/>
              </w:rPr>
              <w:t>“…generally considered separately</w:t>
            </w:r>
            <w:r>
              <w:rPr>
                <w:rFonts w:cs="Arial"/>
                <w:szCs w:val="22"/>
              </w:rPr>
              <w:t>.”  Indeed, the NSW Public Lighting Code</w:t>
            </w:r>
            <w:r>
              <w:rPr>
                <w:rStyle w:val="FootnoteReference"/>
                <w:rFonts w:cs="Arial"/>
                <w:szCs w:val="22"/>
              </w:rPr>
              <w:footnoteReference w:id="1"/>
            </w:r>
            <w:r>
              <w:rPr>
                <w:rFonts w:cs="Arial"/>
                <w:szCs w:val="22"/>
              </w:rPr>
              <w:t>, specifically excludes all network supply faults (Clause 11.2 b) from minimum service standards and is non-binding in any event.  The minimum service standards in Clause 2.3 of the Victorian Public Lighting Code</w:t>
            </w:r>
            <w:r>
              <w:rPr>
                <w:rStyle w:val="FootnoteReference"/>
                <w:rFonts w:cs="Arial"/>
                <w:szCs w:val="22"/>
              </w:rPr>
              <w:footnoteReference w:id="2"/>
            </w:r>
            <w:r>
              <w:rPr>
                <w:rFonts w:cs="Arial"/>
                <w:szCs w:val="22"/>
              </w:rPr>
              <w:t xml:space="preserve"> appear entirely focused on the repair and replacement of luminaires (Clause 2.3.1) and are silent on whether a network supply interruption constitutes a fault under the Code.  Other jurisdictions in the NEM do not have comparable instruments establishing minimum service levels.  SSROC therefore sees no evidence to support the AEMC position.  </w:t>
            </w:r>
          </w:p>
        </w:tc>
      </w:tr>
      <w:tr w:rsidR="00464E53" w14:paraId="7FFC3D34" w14:textId="77777777" w:rsidTr="00827492">
        <w:tc>
          <w:tcPr>
            <w:tcW w:w="4390" w:type="dxa"/>
          </w:tcPr>
          <w:p w14:paraId="1E5F4788" w14:textId="77777777" w:rsidR="00464E53" w:rsidRPr="00F02A6B" w:rsidRDefault="00464E53" w:rsidP="00827492">
            <w:pPr>
              <w:pStyle w:val="Default"/>
              <w:spacing w:before="80" w:after="80"/>
              <w:rPr>
                <w:i/>
                <w:sz w:val="22"/>
                <w:szCs w:val="22"/>
              </w:rPr>
            </w:pPr>
            <w:r>
              <w:rPr>
                <w:i/>
                <w:sz w:val="22"/>
                <w:szCs w:val="22"/>
              </w:rPr>
              <w:t>“</w:t>
            </w:r>
            <w:r w:rsidRPr="00F02A6B">
              <w:rPr>
                <w:i/>
                <w:sz w:val="22"/>
                <w:szCs w:val="22"/>
              </w:rPr>
              <w:t xml:space="preserve">Adopting this definition for a customer would mean that the current inconsistencies in the definitions across the NEM would be removed going forward.” </w:t>
            </w:r>
          </w:p>
          <w:p w14:paraId="4847F742" w14:textId="77777777" w:rsidR="00464E53" w:rsidRPr="00F02A6B" w:rsidRDefault="00464E53" w:rsidP="00827492">
            <w:pPr>
              <w:spacing w:before="80" w:after="80"/>
              <w:rPr>
                <w:rFonts w:cs="Arial"/>
                <w:i/>
                <w:szCs w:val="22"/>
              </w:rPr>
            </w:pPr>
          </w:p>
        </w:tc>
        <w:tc>
          <w:tcPr>
            <w:tcW w:w="5226" w:type="dxa"/>
          </w:tcPr>
          <w:p w14:paraId="0BE58A6D" w14:textId="77777777" w:rsidR="00464E53" w:rsidRDefault="00464E53" w:rsidP="00827492">
            <w:pPr>
              <w:spacing w:before="80" w:after="80"/>
              <w:rPr>
                <w:rFonts w:cs="Arial"/>
                <w:szCs w:val="22"/>
              </w:rPr>
            </w:pPr>
            <w:r>
              <w:rPr>
                <w:rFonts w:cs="Arial"/>
                <w:szCs w:val="22"/>
              </w:rPr>
              <w:t>While consistent, exclusion would be to the clear detriment of public lighting customers.</w:t>
            </w:r>
          </w:p>
        </w:tc>
      </w:tr>
      <w:tr w:rsidR="00464E53" w14:paraId="5A8DBC0A" w14:textId="77777777" w:rsidTr="00827492">
        <w:tc>
          <w:tcPr>
            <w:tcW w:w="4390" w:type="dxa"/>
          </w:tcPr>
          <w:p w14:paraId="0AC4EA48" w14:textId="77777777" w:rsidR="00464E53" w:rsidRPr="00F02A6B" w:rsidRDefault="00464E53" w:rsidP="00827492">
            <w:pPr>
              <w:spacing w:before="80" w:after="80"/>
              <w:rPr>
                <w:rFonts w:cs="Arial"/>
                <w:i/>
                <w:szCs w:val="22"/>
              </w:rPr>
            </w:pPr>
            <w:r w:rsidRPr="00F02A6B">
              <w:rPr>
                <w:i/>
                <w:szCs w:val="22"/>
              </w:rPr>
              <w:t>“As the number of unmetered connection points is relatively small and would be unlikely to cause a material impact on distribution reliability measures.”</w:t>
            </w:r>
          </w:p>
        </w:tc>
        <w:tc>
          <w:tcPr>
            <w:tcW w:w="5226" w:type="dxa"/>
          </w:tcPr>
          <w:p w14:paraId="3F5C7F55" w14:textId="77777777" w:rsidR="00464E53" w:rsidRDefault="00464E53" w:rsidP="00827492">
            <w:pPr>
              <w:spacing w:before="80" w:after="80"/>
              <w:rPr>
                <w:rFonts w:cs="Arial"/>
                <w:szCs w:val="22"/>
              </w:rPr>
            </w:pPr>
            <w:r>
              <w:rPr>
                <w:rFonts w:cs="Arial"/>
                <w:szCs w:val="22"/>
              </w:rPr>
              <w:t>While the number of street lighting customers is small, the societal impact of street lighting is significant.  There are approximately 2.3m street lights in Australia providing a vital community safety benefit and other important societal functions.  Exclusion of public lighting would not have a material impact on overall reliability measures, however, it would be to the clear detriment of public lighting customers and exclusion does not take into account the material public safety risks of non-functioning public lighting.</w:t>
            </w:r>
          </w:p>
        </w:tc>
      </w:tr>
    </w:tbl>
    <w:p w14:paraId="0A73B583" w14:textId="77777777" w:rsidR="00464E53" w:rsidRPr="00534EBC" w:rsidRDefault="00464E53" w:rsidP="00464E53">
      <w:pPr>
        <w:ind w:left="-142"/>
        <w:rPr>
          <w:rFonts w:cs="Arial"/>
          <w:szCs w:val="22"/>
        </w:rPr>
      </w:pPr>
    </w:p>
    <w:p w14:paraId="140708F5" w14:textId="77777777" w:rsidR="00464E53" w:rsidRDefault="00464E53" w:rsidP="00464E53">
      <w:pPr>
        <w:ind w:left="-142"/>
        <w:rPr>
          <w:rFonts w:cs="Arial"/>
          <w:szCs w:val="22"/>
        </w:rPr>
      </w:pPr>
      <w:r w:rsidRPr="00534EBC">
        <w:rPr>
          <w:rFonts w:cs="Arial"/>
          <w:szCs w:val="22"/>
        </w:rPr>
        <w:t xml:space="preserve">In the December 2017 Explanatory Statement, the AER </w:t>
      </w:r>
      <w:r>
        <w:rPr>
          <w:rFonts w:cs="Arial"/>
          <w:szCs w:val="22"/>
        </w:rPr>
        <w:t>agreed with the AEMC position, suggesting the following reasons:</w:t>
      </w:r>
    </w:p>
    <w:p w14:paraId="6CEF527A" w14:textId="77777777" w:rsidR="00464E53" w:rsidRDefault="00464E53" w:rsidP="00464E53">
      <w:pPr>
        <w:ind w:left="-142"/>
        <w:rPr>
          <w:rFonts w:cs="Arial"/>
          <w:szCs w:val="22"/>
        </w:rPr>
      </w:pPr>
    </w:p>
    <w:tbl>
      <w:tblPr>
        <w:tblStyle w:val="TableGrid"/>
        <w:tblW w:w="0" w:type="auto"/>
        <w:tblInd w:w="-142" w:type="dxa"/>
        <w:tblLook w:val="04A0" w:firstRow="1" w:lastRow="0" w:firstColumn="1" w:lastColumn="0" w:noHBand="0" w:noVBand="1"/>
      </w:tblPr>
      <w:tblGrid>
        <w:gridCol w:w="4390"/>
        <w:gridCol w:w="5226"/>
      </w:tblGrid>
      <w:tr w:rsidR="00464E53" w:rsidRPr="00534EBC" w14:paraId="2EB0AFBF" w14:textId="77777777" w:rsidTr="00827492">
        <w:tc>
          <w:tcPr>
            <w:tcW w:w="4390" w:type="dxa"/>
          </w:tcPr>
          <w:p w14:paraId="343C0A5B" w14:textId="77777777" w:rsidR="00464E53" w:rsidRPr="00534EBC" w:rsidRDefault="00464E53" w:rsidP="00827492">
            <w:pPr>
              <w:rPr>
                <w:rFonts w:cs="Arial"/>
                <w:b/>
                <w:szCs w:val="22"/>
              </w:rPr>
            </w:pPr>
            <w:r w:rsidRPr="00534EBC">
              <w:rPr>
                <w:rFonts w:cs="Arial"/>
                <w:b/>
                <w:szCs w:val="22"/>
              </w:rPr>
              <w:t>AE</w:t>
            </w:r>
            <w:r>
              <w:rPr>
                <w:rFonts w:cs="Arial"/>
                <w:b/>
                <w:szCs w:val="22"/>
              </w:rPr>
              <w:t>R</w:t>
            </w:r>
            <w:r w:rsidRPr="00534EBC">
              <w:rPr>
                <w:rFonts w:cs="Arial"/>
                <w:b/>
                <w:szCs w:val="22"/>
              </w:rPr>
              <w:t xml:space="preserve"> Position </w:t>
            </w:r>
            <w:r>
              <w:rPr>
                <w:rFonts w:cs="Arial"/>
                <w:b/>
                <w:szCs w:val="22"/>
              </w:rPr>
              <w:t xml:space="preserve">on Unmetered Supplies </w:t>
            </w:r>
            <w:proofErr w:type="gramStart"/>
            <w:r w:rsidRPr="00534EBC">
              <w:rPr>
                <w:rFonts w:cs="Arial"/>
                <w:b/>
                <w:szCs w:val="22"/>
              </w:rPr>
              <w:t>As</w:t>
            </w:r>
            <w:proofErr w:type="gramEnd"/>
            <w:r w:rsidRPr="00534EBC">
              <w:rPr>
                <w:rFonts w:cs="Arial"/>
                <w:b/>
                <w:szCs w:val="22"/>
              </w:rPr>
              <w:t xml:space="preserve"> Per AER Explanatory Statement</w:t>
            </w:r>
            <w:r>
              <w:rPr>
                <w:rFonts w:cs="Arial"/>
                <w:b/>
                <w:szCs w:val="22"/>
              </w:rPr>
              <w:t xml:space="preserve"> (Section 4.4)</w:t>
            </w:r>
          </w:p>
        </w:tc>
        <w:tc>
          <w:tcPr>
            <w:tcW w:w="5226" w:type="dxa"/>
          </w:tcPr>
          <w:p w14:paraId="7E661E98" w14:textId="77777777" w:rsidR="00464E53" w:rsidRPr="00534EBC" w:rsidRDefault="00464E53" w:rsidP="00827492">
            <w:pPr>
              <w:rPr>
                <w:rFonts w:cs="Arial"/>
                <w:b/>
                <w:szCs w:val="22"/>
              </w:rPr>
            </w:pPr>
            <w:r w:rsidRPr="00534EBC">
              <w:rPr>
                <w:rFonts w:cs="Arial"/>
                <w:b/>
                <w:szCs w:val="22"/>
              </w:rPr>
              <w:t>SSROC Response</w:t>
            </w:r>
          </w:p>
        </w:tc>
      </w:tr>
      <w:tr w:rsidR="00464E53" w14:paraId="09EB88C8" w14:textId="77777777" w:rsidTr="00827492">
        <w:tc>
          <w:tcPr>
            <w:tcW w:w="4390" w:type="dxa"/>
          </w:tcPr>
          <w:p w14:paraId="4B52F60C" w14:textId="77777777" w:rsidR="00464E53" w:rsidRPr="00D20C81" w:rsidRDefault="00464E53" w:rsidP="00827492">
            <w:pPr>
              <w:spacing w:before="80" w:after="80"/>
              <w:rPr>
                <w:rFonts w:cs="Arial"/>
                <w:i/>
                <w:szCs w:val="22"/>
              </w:rPr>
            </w:pPr>
            <w:r w:rsidRPr="00D20C81">
              <w:rPr>
                <w:i/>
                <w:szCs w:val="22"/>
              </w:rPr>
              <w:lastRenderedPageBreak/>
              <w:t>“The reliability performance of metered load should also reflect the reliability performance provided to unmetered loads.”</w:t>
            </w:r>
          </w:p>
        </w:tc>
        <w:tc>
          <w:tcPr>
            <w:tcW w:w="5226" w:type="dxa"/>
          </w:tcPr>
          <w:p w14:paraId="48B60506" w14:textId="77777777" w:rsidR="00464E53" w:rsidRDefault="00464E53" w:rsidP="00827492">
            <w:pPr>
              <w:spacing w:before="80" w:after="80"/>
              <w:rPr>
                <w:rFonts w:cs="Arial"/>
                <w:szCs w:val="22"/>
              </w:rPr>
            </w:pPr>
            <w:r>
              <w:rPr>
                <w:rFonts w:cs="Arial"/>
                <w:szCs w:val="22"/>
              </w:rPr>
              <w:t xml:space="preserve">This is not the case, particularly for underground supplied public lighting (varying by jurisdiction but up to half of all public lighting).  Underground supplies are usually on separate circuits so a fault in those circuits is entirely independent of faults to other customers. </w:t>
            </w:r>
          </w:p>
        </w:tc>
      </w:tr>
      <w:tr w:rsidR="00464E53" w14:paraId="69678264" w14:textId="77777777" w:rsidTr="00827492">
        <w:tc>
          <w:tcPr>
            <w:tcW w:w="4390" w:type="dxa"/>
          </w:tcPr>
          <w:p w14:paraId="2BEB0CB7" w14:textId="77777777" w:rsidR="00464E53" w:rsidRPr="00D20C81" w:rsidRDefault="00464E53" w:rsidP="00827492">
            <w:pPr>
              <w:pStyle w:val="Default"/>
              <w:rPr>
                <w:i/>
                <w:sz w:val="22"/>
                <w:szCs w:val="22"/>
              </w:rPr>
            </w:pPr>
            <w:r w:rsidRPr="00D20C81">
              <w:rPr>
                <w:i/>
                <w:sz w:val="22"/>
                <w:szCs w:val="22"/>
              </w:rPr>
              <w:t>“Including unmetered load in the overall performance reporting does not provide further clarity on street lighting service outcomes.”</w:t>
            </w:r>
          </w:p>
        </w:tc>
        <w:tc>
          <w:tcPr>
            <w:tcW w:w="5226" w:type="dxa"/>
          </w:tcPr>
          <w:p w14:paraId="73539AD3" w14:textId="77777777" w:rsidR="00464E53" w:rsidRDefault="00464E53" w:rsidP="00827492">
            <w:pPr>
              <w:spacing w:before="80" w:after="80"/>
              <w:rPr>
                <w:rFonts w:cs="Arial"/>
                <w:szCs w:val="22"/>
              </w:rPr>
            </w:pPr>
            <w:r>
              <w:rPr>
                <w:rFonts w:cs="Arial"/>
                <w:szCs w:val="22"/>
              </w:rPr>
              <w:t>This is not the case as inclusion of unmetered supply faults in STPIS would specifically require faults to be reported, measured and create an incentive for them to repaired.  W</w:t>
            </w:r>
            <w:proofErr w:type="spellStart"/>
            <w:r w:rsidRPr="006A6111">
              <w:rPr>
                <w:rFonts w:cs="Arial"/>
                <w:szCs w:val="22"/>
                <w:lang w:val="en-US"/>
              </w:rPr>
              <w:t>ithout</w:t>
            </w:r>
            <w:proofErr w:type="spellEnd"/>
            <w:r w:rsidRPr="006A6111">
              <w:rPr>
                <w:rFonts w:cs="Arial"/>
                <w:szCs w:val="22"/>
                <w:lang w:val="en-US"/>
              </w:rPr>
              <w:t xml:space="preserve"> reporting of </w:t>
            </w:r>
            <w:r>
              <w:rPr>
                <w:rFonts w:cs="Arial"/>
                <w:szCs w:val="22"/>
                <w:lang w:val="en-US"/>
              </w:rPr>
              <w:t>supply interruptions and</w:t>
            </w:r>
            <w:r w:rsidRPr="006A6111">
              <w:rPr>
                <w:rFonts w:cs="Arial"/>
                <w:szCs w:val="22"/>
                <w:lang w:val="en-US"/>
              </w:rPr>
              <w:t xml:space="preserve"> without </w:t>
            </w:r>
            <w:r>
              <w:rPr>
                <w:rFonts w:cs="Arial"/>
                <w:szCs w:val="22"/>
                <w:lang w:val="en-US"/>
              </w:rPr>
              <w:t xml:space="preserve">any financial </w:t>
            </w:r>
            <w:r w:rsidRPr="006A6111">
              <w:rPr>
                <w:rFonts w:cs="Arial"/>
                <w:szCs w:val="22"/>
                <w:lang w:val="en-US"/>
              </w:rPr>
              <w:t xml:space="preserve">incentive to repair network supply faults to public lighting </w:t>
            </w:r>
            <w:r>
              <w:rPr>
                <w:rFonts w:cs="Arial"/>
                <w:szCs w:val="22"/>
                <w:lang w:val="en-US"/>
              </w:rPr>
              <w:t>in a timely fashion, there can be no reasonable expectation that they will be repaired in an appropriate time.</w:t>
            </w:r>
          </w:p>
        </w:tc>
      </w:tr>
      <w:tr w:rsidR="00464E53" w14:paraId="56E38486" w14:textId="77777777" w:rsidTr="00827492">
        <w:tc>
          <w:tcPr>
            <w:tcW w:w="4390" w:type="dxa"/>
          </w:tcPr>
          <w:p w14:paraId="43022C57" w14:textId="77777777" w:rsidR="00464E53" w:rsidRPr="00D20C81" w:rsidRDefault="00464E53" w:rsidP="00827492">
            <w:pPr>
              <w:spacing w:before="80" w:after="80"/>
              <w:rPr>
                <w:i/>
                <w:szCs w:val="22"/>
              </w:rPr>
            </w:pPr>
            <w:r w:rsidRPr="00D20C81">
              <w:rPr>
                <w:i/>
                <w:szCs w:val="22"/>
              </w:rPr>
              <w:t>“The quantity of unmetered connections other than street lights is not significant compared with metered connections. Including such loads in the overall performance reporting may not provide further clarity on the service level to such loads.”</w:t>
            </w:r>
          </w:p>
        </w:tc>
        <w:tc>
          <w:tcPr>
            <w:tcW w:w="5226" w:type="dxa"/>
          </w:tcPr>
          <w:p w14:paraId="456BE2AB" w14:textId="77777777" w:rsidR="00464E53" w:rsidRDefault="00464E53" w:rsidP="00827492">
            <w:pPr>
              <w:spacing w:before="80" w:after="80"/>
              <w:rPr>
                <w:rFonts w:cs="Arial"/>
                <w:szCs w:val="22"/>
              </w:rPr>
            </w:pPr>
            <w:r>
              <w:rPr>
                <w:rFonts w:cs="Arial"/>
                <w:szCs w:val="22"/>
              </w:rPr>
              <w:t>See response to previous point.</w:t>
            </w:r>
          </w:p>
        </w:tc>
      </w:tr>
      <w:tr w:rsidR="00464E53" w14:paraId="2890C5B6" w14:textId="77777777" w:rsidTr="00827492">
        <w:tc>
          <w:tcPr>
            <w:tcW w:w="4390" w:type="dxa"/>
          </w:tcPr>
          <w:p w14:paraId="715FF0AD" w14:textId="77777777" w:rsidR="00464E53" w:rsidRPr="00D20C81" w:rsidRDefault="00464E53" w:rsidP="00827492">
            <w:pPr>
              <w:pStyle w:val="Default"/>
              <w:rPr>
                <w:i/>
                <w:sz w:val="22"/>
                <w:szCs w:val="22"/>
              </w:rPr>
            </w:pPr>
            <w:r w:rsidRPr="00D20C81">
              <w:rPr>
                <w:i/>
                <w:sz w:val="22"/>
                <w:szCs w:val="22"/>
              </w:rPr>
              <w:t>“Outages of street lights do not necessary represent power supply failures, performance of public lighting should be addressed separately under a specific public lightning code.”</w:t>
            </w:r>
          </w:p>
        </w:tc>
        <w:tc>
          <w:tcPr>
            <w:tcW w:w="5226" w:type="dxa"/>
          </w:tcPr>
          <w:p w14:paraId="08A1218D" w14:textId="77777777" w:rsidR="00464E53" w:rsidRDefault="00464E53" w:rsidP="00827492">
            <w:pPr>
              <w:spacing w:before="80" w:after="80"/>
              <w:rPr>
                <w:rFonts w:cs="Arial"/>
                <w:szCs w:val="22"/>
              </w:rPr>
            </w:pPr>
            <w:r>
              <w:rPr>
                <w:rFonts w:cs="Arial"/>
                <w:szCs w:val="22"/>
              </w:rPr>
              <w:t xml:space="preserve">While correct that there are other causes of street lighting faults, supply outages are responsible for most prolonged outages.  Current public lighting codes (where they exist) specifically exclude supply faults or are silent on this aspect.  Reliance on public lighting codes to deal with this issue is wholly misplaced and an abrogation of the AER’s responsibilities to establish service levels under Section 6.2.2 of the National Electricity Rules. </w:t>
            </w:r>
          </w:p>
        </w:tc>
      </w:tr>
    </w:tbl>
    <w:p w14:paraId="54FDA664" w14:textId="77777777" w:rsidR="00464E53" w:rsidRDefault="00464E53" w:rsidP="00464E53">
      <w:pPr>
        <w:ind w:left="-142"/>
        <w:rPr>
          <w:rFonts w:cs="Arial"/>
          <w:szCs w:val="22"/>
        </w:rPr>
      </w:pPr>
    </w:p>
    <w:p w14:paraId="21E52AEA" w14:textId="77777777" w:rsidR="00464E53" w:rsidRDefault="00464E53" w:rsidP="00464E53">
      <w:pPr>
        <w:ind w:left="-142"/>
        <w:rPr>
          <w:rFonts w:cs="Arial"/>
          <w:szCs w:val="22"/>
        </w:rPr>
      </w:pPr>
    </w:p>
    <w:p w14:paraId="6FAC0BA7" w14:textId="77777777" w:rsidR="00464E53" w:rsidRPr="006A6111" w:rsidRDefault="00464E53" w:rsidP="00464E53">
      <w:pPr>
        <w:ind w:left="-142"/>
        <w:rPr>
          <w:rFonts w:cs="Arial"/>
          <w:szCs w:val="22"/>
        </w:rPr>
      </w:pPr>
      <w:r>
        <w:rPr>
          <w:rFonts w:cs="Arial"/>
          <w:szCs w:val="22"/>
        </w:rPr>
        <w:t xml:space="preserve">In the Explanatory Statement, it is unclear that the AER has considered the previous comments </w:t>
      </w:r>
      <w:proofErr w:type="gramStart"/>
      <w:r>
        <w:rPr>
          <w:rFonts w:cs="Arial"/>
          <w:szCs w:val="22"/>
        </w:rPr>
        <w:t>of  SSROC</w:t>
      </w:r>
      <w:proofErr w:type="gramEnd"/>
      <w:r>
        <w:rPr>
          <w:rFonts w:cs="Arial"/>
          <w:szCs w:val="22"/>
        </w:rPr>
        <w:t xml:space="preserve"> made in reference to the 2017 Issues Paper and we therefore wish to re-iterate the following points:</w:t>
      </w:r>
    </w:p>
    <w:p w14:paraId="3647EBCC" w14:textId="77777777" w:rsidR="00464E53" w:rsidRPr="006A6111" w:rsidRDefault="00464E53" w:rsidP="00464E53">
      <w:pPr>
        <w:ind w:left="-142"/>
        <w:rPr>
          <w:rFonts w:cs="Arial"/>
          <w:szCs w:val="22"/>
        </w:rPr>
      </w:pPr>
    </w:p>
    <w:p w14:paraId="002DBAC5" w14:textId="77777777" w:rsidR="00464E53" w:rsidRDefault="00464E53" w:rsidP="00464E53">
      <w:pPr>
        <w:numPr>
          <w:ilvl w:val="0"/>
          <w:numId w:val="19"/>
        </w:numPr>
        <w:autoSpaceDE w:val="0"/>
        <w:autoSpaceDN w:val="0"/>
        <w:adjustRightInd w:val="0"/>
        <w:spacing w:after="240"/>
        <w:ind w:left="357" w:hanging="357"/>
        <w:rPr>
          <w:rFonts w:cs="Arial"/>
          <w:szCs w:val="22"/>
          <w:lang w:val="en-US"/>
        </w:rPr>
      </w:pPr>
      <w:r w:rsidRPr="00444BF7">
        <w:rPr>
          <w:rFonts w:cs="Arial"/>
          <w:szCs w:val="22"/>
          <w:lang w:val="en-GB"/>
        </w:rPr>
        <w:t xml:space="preserve">The AER is required to establish a Service Target Performance Incentive Scheme for DNSPs by </w:t>
      </w:r>
      <w:hyperlink r:id="rId10" w:history="1">
        <w:r w:rsidRPr="00444BF7">
          <w:rPr>
            <w:rStyle w:val="Hyperlink"/>
            <w:rFonts w:cs="Arial"/>
            <w:szCs w:val="22"/>
            <w:lang w:val="en-GB"/>
          </w:rPr>
          <w:t>Section 6.6.2 of the National Electricity Rules</w:t>
        </w:r>
      </w:hyperlink>
      <w:r w:rsidRPr="00444BF7">
        <w:rPr>
          <w:rFonts w:cs="Arial"/>
          <w:szCs w:val="22"/>
          <w:lang w:val="en-GB"/>
        </w:rPr>
        <w:t xml:space="preserve">.  </w:t>
      </w:r>
      <w:r>
        <w:rPr>
          <w:rFonts w:cs="Arial"/>
          <w:szCs w:val="22"/>
          <w:lang w:val="en-GB"/>
        </w:rPr>
        <w:t xml:space="preserve">Section </w:t>
      </w:r>
      <w:r w:rsidRPr="00444BF7">
        <w:rPr>
          <w:rFonts w:cs="Arial"/>
          <w:szCs w:val="22"/>
          <w:lang w:val="en-GB"/>
        </w:rPr>
        <w:t xml:space="preserve">6.6.2 </w:t>
      </w:r>
      <w:r>
        <w:rPr>
          <w:rFonts w:cs="Arial"/>
          <w:szCs w:val="22"/>
          <w:lang w:val="en-GB"/>
        </w:rPr>
        <w:t xml:space="preserve">notably makes no reference whatsoever to exclusions for certain classes of electricity customers.  SSROC submits that STPIS in its current form is not </w:t>
      </w:r>
      <w:r w:rsidRPr="00444BF7">
        <w:rPr>
          <w:rFonts w:cs="Arial"/>
          <w:szCs w:val="22"/>
          <w:lang w:val="en-GB"/>
        </w:rPr>
        <w:t xml:space="preserve">operating as intended with respect to customers of the DNSPs across the NEM </w:t>
      </w:r>
      <w:r>
        <w:rPr>
          <w:rFonts w:cs="Arial"/>
          <w:szCs w:val="22"/>
          <w:lang w:val="en-GB"/>
        </w:rPr>
        <w:t>with unmetered supply and strongly welcomes the consideration being given by the AER to addressing this issue.</w:t>
      </w:r>
    </w:p>
    <w:p w14:paraId="7562B9E1" w14:textId="77777777" w:rsidR="00464E53" w:rsidRPr="006A6111" w:rsidRDefault="00464E53" w:rsidP="00464E53">
      <w:pPr>
        <w:numPr>
          <w:ilvl w:val="0"/>
          <w:numId w:val="19"/>
        </w:numPr>
        <w:autoSpaceDE w:val="0"/>
        <w:autoSpaceDN w:val="0"/>
        <w:adjustRightInd w:val="0"/>
        <w:spacing w:after="240"/>
        <w:ind w:left="357" w:hanging="357"/>
        <w:rPr>
          <w:rFonts w:cs="Arial"/>
          <w:szCs w:val="22"/>
          <w:lang w:val="en-US"/>
        </w:rPr>
      </w:pPr>
      <w:r w:rsidRPr="006A6111">
        <w:rPr>
          <w:rFonts w:cs="Arial"/>
          <w:szCs w:val="22"/>
          <w:lang w:val="en-US"/>
        </w:rPr>
        <w:t>Electricity distributors in the NEM, such Ausgrid that serves councils in our region, have been aiming for 99.999% reliability on their networks for some years</w:t>
      </w:r>
      <w:r w:rsidRPr="006A6111">
        <w:rPr>
          <w:rStyle w:val="FootnoteReference"/>
          <w:rFonts w:cs="Arial"/>
          <w:szCs w:val="22"/>
          <w:lang w:val="en-US"/>
        </w:rPr>
        <w:footnoteReference w:id="3"/>
      </w:r>
      <w:r w:rsidRPr="006A6111">
        <w:rPr>
          <w:rFonts w:cs="Arial"/>
          <w:szCs w:val="22"/>
          <w:lang w:val="en-US"/>
        </w:rPr>
        <w:t xml:space="preserve"> and made substantial investment over the last two regulatory periods to meet a number of reliability goals.   However, public lighting supply has been held to a different and substantially lower power supply reliability service standard than general network distribution customers throughout this period.  </w:t>
      </w:r>
    </w:p>
    <w:p w14:paraId="6781F448" w14:textId="77777777" w:rsidR="00464E53" w:rsidRPr="00F669CA" w:rsidRDefault="00464E53" w:rsidP="00464E53">
      <w:pPr>
        <w:numPr>
          <w:ilvl w:val="0"/>
          <w:numId w:val="19"/>
        </w:numPr>
        <w:autoSpaceDE w:val="0"/>
        <w:autoSpaceDN w:val="0"/>
        <w:adjustRightInd w:val="0"/>
        <w:spacing w:after="240"/>
        <w:ind w:left="357" w:hanging="357"/>
        <w:rPr>
          <w:rFonts w:cs="Arial"/>
          <w:szCs w:val="22"/>
          <w:lang w:val="en-US"/>
        </w:rPr>
      </w:pPr>
      <w:r w:rsidRPr="006A6111">
        <w:rPr>
          <w:rFonts w:eastAsia="Times New Roman" w:cs="Arial"/>
          <w:szCs w:val="22"/>
          <w:lang w:val="en-US" w:eastAsia="en-AU"/>
        </w:rPr>
        <w:lastRenderedPageBreak/>
        <w:t>Reliability reporting requirements for electricity distributors in the National Electricity Market are based on the national guidelines first established by SCONRRR and detailed in the </w:t>
      </w:r>
      <w:hyperlink r:id="rId11" w:tgtFrame="_blank" w:history="1">
        <w:r w:rsidRPr="006A6111">
          <w:rPr>
            <w:rFonts w:eastAsia="Times New Roman" w:cs="Arial"/>
            <w:color w:val="1155CC"/>
            <w:szCs w:val="22"/>
            <w:u w:val="single"/>
            <w:lang w:val="en-US" w:eastAsia="en-AU"/>
          </w:rPr>
          <w:t>National Regulatory Reporting for Electricity Distribution and Retailing Businesses - Utilities Regulators Forum Discussion Paper March 2002</w:t>
        </w:r>
      </w:hyperlink>
      <w:r w:rsidRPr="006A6111">
        <w:rPr>
          <w:rFonts w:eastAsia="Times New Roman" w:cs="Arial"/>
          <w:color w:val="222222"/>
          <w:szCs w:val="22"/>
          <w:lang w:val="en-US" w:eastAsia="en-AU"/>
        </w:rPr>
        <w:t xml:space="preserve">.  </w:t>
      </w:r>
      <w:r>
        <w:rPr>
          <w:rFonts w:cs="Arial"/>
          <w:szCs w:val="22"/>
          <w:lang w:val="en-US"/>
        </w:rPr>
        <w:br/>
      </w:r>
      <w:r>
        <w:rPr>
          <w:rFonts w:cs="Arial"/>
          <w:szCs w:val="22"/>
          <w:lang w:val="en-US"/>
        </w:rPr>
        <w:br/>
      </w:r>
      <w:r w:rsidRPr="00F669CA">
        <w:rPr>
          <w:rFonts w:eastAsia="Times New Roman" w:cs="Arial"/>
          <w:color w:val="222222"/>
          <w:szCs w:val="22"/>
          <w:lang w:val="en-US" w:eastAsia="en-AU"/>
        </w:rPr>
        <w:t>Of note in this foundation document are that: 1) public lighting customers were to be explicitly excluded from the definition of distribution customers (p8); and 2) interruptions to unmetered public lighting supplies were to be explicitly excluded from reliability reporting (p6).</w:t>
      </w:r>
      <w:r w:rsidRPr="00F669CA">
        <w:rPr>
          <w:rFonts w:eastAsia="Times New Roman" w:cs="Arial"/>
          <w:color w:val="222222"/>
          <w:szCs w:val="22"/>
          <w:lang w:val="en-US" w:eastAsia="en-AU"/>
        </w:rPr>
        <w:br/>
      </w:r>
      <w:r w:rsidRPr="00F669CA">
        <w:rPr>
          <w:rFonts w:eastAsia="Times New Roman" w:cs="Arial"/>
          <w:color w:val="222222"/>
          <w:szCs w:val="22"/>
          <w:lang w:val="en-US" w:eastAsia="en-AU"/>
        </w:rPr>
        <w:br/>
        <w:t>This important early Discussion Paper provided the basis for subsequent exclusions of public lighting in later regulation and guidelines.  Importantly, it stated that, </w:t>
      </w:r>
      <w:r w:rsidRPr="00F669CA">
        <w:rPr>
          <w:rFonts w:eastAsia="Times New Roman" w:cs="Arial"/>
          <w:i/>
          <w:iCs/>
          <w:color w:val="222222"/>
          <w:szCs w:val="22"/>
          <w:lang w:val="en-US" w:eastAsia="en-AU"/>
        </w:rPr>
        <w:t>“Submissions noted that a number of distribution services (such as street lighting) are contestable in some states.  While contestability may provide an incentive for improved service quality, it is nevertheless important for regulators (and the wider community) to have information on the quality of these services within their jurisdiction, and therefore to include the services in performance reporting. These customer service measures may be reviewed as contestable markets evolve.”</w:t>
      </w:r>
      <w:r w:rsidRPr="00F669CA">
        <w:rPr>
          <w:rFonts w:eastAsia="Times New Roman" w:cs="Arial"/>
          <w:i/>
          <w:iCs/>
          <w:color w:val="222222"/>
          <w:szCs w:val="22"/>
          <w:lang w:val="en-US" w:eastAsia="en-AU"/>
        </w:rPr>
        <w:br/>
      </w:r>
      <w:r w:rsidRPr="00F669CA">
        <w:rPr>
          <w:rFonts w:eastAsia="Times New Roman" w:cs="Arial"/>
          <w:i/>
          <w:iCs/>
          <w:color w:val="222222"/>
          <w:szCs w:val="22"/>
          <w:lang w:val="en-US" w:eastAsia="en-AU"/>
        </w:rPr>
        <w:br/>
      </w:r>
      <w:r w:rsidRPr="00F669CA">
        <w:rPr>
          <w:rFonts w:eastAsia="Times New Roman" w:cs="Arial"/>
          <w:color w:val="222222"/>
          <w:szCs w:val="22"/>
          <w:lang w:val="en-US" w:eastAsia="en-AU"/>
        </w:rPr>
        <w:t xml:space="preserve">The original assumption in the 2002 Discussion Paper that street lighting was contestable in some states was erroneous at least as it applies to the vast majority of the 2.3 million street lights owned by the electricity distributors across the National Electricity Market.  </w:t>
      </w:r>
      <w:r>
        <w:rPr>
          <w:rFonts w:eastAsia="Times New Roman" w:cs="Arial"/>
          <w:color w:val="222222"/>
          <w:szCs w:val="22"/>
          <w:lang w:val="en-US" w:eastAsia="en-AU"/>
        </w:rPr>
        <w:t>I</w:t>
      </w:r>
      <w:r w:rsidRPr="00F669CA">
        <w:rPr>
          <w:rFonts w:eastAsia="Times New Roman" w:cs="Arial"/>
          <w:color w:val="222222"/>
          <w:szCs w:val="22"/>
          <w:lang w:val="en-US" w:eastAsia="en-AU"/>
        </w:rPr>
        <w:t>rrespective of whether street lighting installation and maintenance is or is not contestable, the supply of electricity to it is not.  </w:t>
      </w:r>
    </w:p>
    <w:p w14:paraId="7F856D02" w14:textId="77777777" w:rsidR="00464E53" w:rsidRPr="006A6111" w:rsidRDefault="00464E53" w:rsidP="00464E53">
      <w:pPr>
        <w:numPr>
          <w:ilvl w:val="0"/>
          <w:numId w:val="19"/>
        </w:numPr>
        <w:autoSpaceDE w:val="0"/>
        <w:autoSpaceDN w:val="0"/>
        <w:adjustRightInd w:val="0"/>
        <w:spacing w:after="240"/>
        <w:ind w:left="357" w:hanging="357"/>
        <w:rPr>
          <w:rFonts w:cs="Arial"/>
          <w:szCs w:val="22"/>
          <w:lang w:val="en-US"/>
        </w:rPr>
      </w:pPr>
      <w:r>
        <w:rPr>
          <w:rFonts w:eastAsia="Times New Roman" w:cs="Arial"/>
          <w:color w:val="222222"/>
          <w:szCs w:val="22"/>
          <w:lang w:eastAsia="en-AU"/>
        </w:rPr>
        <w:t xml:space="preserve">As a result of this early work, </w:t>
      </w:r>
      <w:r w:rsidRPr="006A6111">
        <w:rPr>
          <w:rFonts w:eastAsia="Times New Roman" w:cs="Arial"/>
          <w:color w:val="222222"/>
          <w:szCs w:val="22"/>
          <w:lang w:eastAsia="en-AU"/>
        </w:rPr>
        <w:t>the AER’s current document describing how reliability is to be measured for electricity distributors, the </w:t>
      </w:r>
      <w:hyperlink r:id="rId12" w:tgtFrame="_blank" w:history="1">
        <w:r w:rsidRPr="006A6111">
          <w:rPr>
            <w:rFonts w:eastAsia="Times New Roman" w:cs="Arial"/>
            <w:color w:val="1155CC"/>
            <w:szCs w:val="22"/>
            <w:u w:val="single"/>
            <w:lang w:eastAsia="en-AU"/>
          </w:rPr>
          <w:t>Service Target Performance Incentive Scheme</w:t>
        </w:r>
      </w:hyperlink>
      <w:r w:rsidRPr="006A6111">
        <w:rPr>
          <w:rFonts w:eastAsia="Times New Roman" w:cs="Arial"/>
          <w:color w:val="222222"/>
          <w:szCs w:val="22"/>
          <w:lang w:eastAsia="en-AU"/>
        </w:rPr>
        <w:t>, states in Appendix A, page 26 that, “Unmetered street lighting supplies are excluded”.  </w:t>
      </w:r>
    </w:p>
    <w:p w14:paraId="3CB3D36C" w14:textId="77777777" w:rsidR="00464E53" w:rsidRPr="006A6111" w:rsidRDefault="00464E53" w:rsidP="00464E53">
      <w:pPr>
        <w:numPr>
          <w:ilvl w:val="0"/>
          <w:numId w:val="19"/>
        </w:numPr>
        <w:autoSpaceDE w:val="0"/>
        <w:autoSpaceDN w:val="0"/>
        <w:adjustRightInd w:val="0"/>
        <w:spacing w:after="240"/>
        <w:ind w:left="357" w:hanging="357"/>
        <w:rPr>
          <w:rFonts w:cs="Arial"/>
          <w:szCs w:val="22"/>
          <w:lang w:val="en-US"/>
        </w:rPr>
      </w:pPr>
      <w:r w:rsidRPr="006A6111">
        <w:rPr>
          <w:rFonts w:cs="Arial"/>
          <w:szCs w:val="22"/>
          <w:lang w:val="en-US"/>
        </w:rPr>
        <w:t xml:space="preserve">States </w:t>
      </w:r>
      <w:r>
        <w:rPr>
          <w:rFonts w:cs="Arial"/>
          <w:szCs w:val="22"/>
          <w:lang w:val="en-US"/>
        </w:rPr>
        <w:t xml:space="preserve">within the NEM </w:t>
      </w:r>
      <w:r w:rsidRPr="006A6111">
        <w:rPr>
          <w:rFonts w:cs="Arial"/>
          <w:szCs w:val="22"/>
          <w:lang w:val="en-US"/>
        </w:rPr>
        <w:t xml:space="preserve">have developed electricity network reliability reports consistent with the national guidelines first established by SCONRRR and subsequent AER guidelines.  </w:t>
      </w:r>
      <w:r w:rsidRPr="006A6111">
        <w:rPr>
          <w:rFonts w:cs="Arial"/>
          <w:szCs w:val="22"/>
          <w:lang w:val="en-US"/>
        </w:rPr>
        <w:br/>
      </w:r>
      <w:r w:rsidRPr="006A6111">
        <w:rPr>
          <w:rFonts w:cs="Arial"/>
          <w:szCs w:val="22"/>
          <w:lang w:val="en-US"/>
        </w:rPr>
        <w:br/>
        <w:t>For example, under the NSW Electricity Network Performance Report – Annual Report Outline (Revised June 2015</w:t>
      </w:r>
      <w:r w:rsidRPr="006A6111">
        <w:rPr>
          <w:rStyle w:val="FootnoteReference"/>
          <w:rFonts w:cs="Arial"/>
          <w:szCs w:val="22"/>
          <w:lang w:val="en-US"/>
        </w:rPr>
        <w:footnoteReference w:id="4"/>
      </w:r>
      <w:r w:rsidRPr="006A6111">
        <w:rPr>
          <w:rFonts w:cs="Arial"/>
          <w:szCs w:val="22"/>
          <w:lang w:val="en-US"/>
        </w:rPr>
        <w:t>), network supply to public lighting is explicitly excluded from all NSW reliability measures (</w:t>
      </w:r>
      <w:proofErr w:type="spellStart"/>
      <w:r w:rsidRPr="006A6111">
        <w:rPr>
          <w:rFonts w:cs="Arial"/>
          <w:szCs w:val="22"/>
          <w:lang w:val="en-US"/>
        </w:rPr>
        <w:t>eg</w:t>
      </w:r>
      <w:proofErr w:type="spellEnd"/>
      <w:r w:rsidRPr="006A6111">
        <w:rPr>
          <w:rFonts w:cs="Arial"/>
          <w:szCs w:val="22"/>
          <w:lang w:val="en-US"/>
        </w:rPr>
        <w:t xml:space="preserve"> SAIDI, SAIFI and MAIFI) in Attachment A pages 21-22.  Public lighting reliability is consequently excluded from all measures of overall network reliability reported on under mandated </w:t>
      </w:r>
      <w:proofErr w:type="spellStart"/>
      <w:r w:rsidRPr="006A6111">
        <w:rPr>
          <w:rFonts w:cs="Arial"/>
          <w:szCs w:val="22"/>
          <w:lang w:val="en-US"/>
        </w:rPr>
        <w:t>Ministerially</w:t>
      </w:r>
      <w:proofErr w:type="spellEnd"/>
      <w:r w:rsidRPr="006A6111">
        <w:rPr>
          <w:rFonts w:cs="Arial"/>
          <w:szCs w:val="22"/>
          <w:lang w:val="en-US"/>
        </w:rPr>
        <w:t xml:space="preserve">-imposed </w:t>
      </w:r>
      <w:proofErr w:type="spellStart"/>
      <w:r w:rsidRPr="006A6111">
        <w:rPr>
          <w:rFonts w:cs="Arial"/>
          <w:szCs w:val="22"/>
          <w:lang w:val="en-US"/>
        </w:rPr>
        <w:t>licence</w:t>
      </w:r>
      <w:proofErr w:type="spellEnd"/>
      <w:r w:rsidRPr="006A6111">
        <w:rPr>
          <w:rFonts w:cs="Arial"/>
          <w:szCs w:val="22"/>
          <w:lang w:val="en-US"/>
        </w:rPr>
        <w:t xml:space="preserve"> conditions</w:t>
      </w:r>
      <w:r w:rsidRPr="006A6111">
        <w:rPr>
          <w:rStyle w:val="FootnoteReference"/>
          <w:rFonts w:cs="Arial"/>
          <w:szCs w:val="22"/>
          <w:lang w:val="en-US"/>
        </w:rPr>
        <w:footnoteReference w:id="5"/>
      </w:r>
      <w:r w:rsidRPr="006A6111">
        <w:rPr>
          <w:rFonts w:cs="Arial"/>
          <w:szCs w:val="22"/>
          <w:lang w:val="en-US"/>
        </w:rPr>
        <w:t xml:space="preserve"> and IPART’s NSW DNSP reporting requirements</w:t>
      </w:r>
      <w:r w:rsidRPr="006A6111">
        <w:rPr>
          <w:rStyle w:val="FootnoteReference"/>
          <w:rFonts w:cs="Arial"/>
          <w:szCs w:val="22"/>
          <w:lang w:val="en-US"/>
        </w:rPr>
        <w:footnoteReference w:id="6"/>
      </w:r>
      <w:r w:rsidRPr="006A6111">
        <w:rPr>
          <w:rFonts w:cs="Arial"/>
          <w:szCs w:val="22"/>
          <w:lang w:val="en-US"/>
        </w:rPr>
        <w:t>.</w:t>
      </w:r>
    </w:p>
    <w:p w14:paraId="59C2AD13" w14:textId="77777777" w:rsidR="00464E53" w:rsidRDefault="00464E53" w:rsidP="00464E53">
      <w:pPr>
        <w:autoSpaceDE w:val="0"/>
        <w:autoSpaceDN w:val="0"/>
        <w:adjustRightInd w:val="0"/>
        <w:spacing w:after="60"/>
        <w:ind w:left="360"/>
        <w:rPr>
          <w:rFonts w:cs="Arial"/>
          <w:szCs w:val="22"/>
          <w:lang w:val="en-US"/>
        </w:rPr>
      </w:pPr>
      <w:r w:rsidRPr="006A6111">
        <w:rPr>
          <w:rFonts w:cs="Arial"/>
          <w:szCs w:val="22"/>
          <w:lang w:val="en-US"/>
        </w:rPr>
        <w:t>As it stands, there is no regulated reliability target for NSW public lighting with only voluntary provisions in the non-binding NSW Public Lighting Code</w:t>
      </w:r>
      <w:r w:rsidRPr="006A6111">
        <w:rPr>
          <w:rStyle w:val="FootnoteReference"/>
          <w:rFonts w:cs="Arial"/>
          <w:szCs w:val="22"/>
          <w:lang w:val="en-US"/>
        </w:rPr>
        <w:footnoteReference w:id="7"/>
      </w:r>
      <w:r>
        <w:rPr>
          <w:rFonts w:cs="Arial"/>
          <w:szCs w:val="22"/>
          <w:lang w:val="en-US"/>
        </w:rPr>
        <w:t>.  I</w:t>
      </w:r>
      <w:r w:rsidRPr="006A6111">
        <w:rPr>
          <w:rFonts w:cs="Arial"/>
          <w:szCs w:val="22"/>
          <w:lang w:val="en-US"/>
        </w:rPr>
        <w:t xml:space="preserve">n Section 11.1, the NSW Code cites the need to maintain the in-service values of the Australia Standard AS/NZ1158.  This </w:t>
      </w:r>
      <w:r>
        <w:rPr>
          <w:rFonts w:cs="Arial"/>
          <w:szCs w:val="22"/>
          <w:lang w:val="en-US"/>
        </w:rPr>
        <w:t xml:space="preserve">Australian </w:t>
      </w:r>
      <w:r w:rsidRPr="006A6111">
        <w:rPr>
          <w:rFonts w:cs="Arial"/>
          <w:szCs w:val="22"/>
          <w:lang w:val="en-US"/>
        </w:rPr>
        <w:t>Standard sets a minimum 95% availability at any given point.  95% availability is notably several standard deviations lower level of reliability than is being targeted for other classes of network customers.  And, there is no penalty specified for failing to meet even this reliability level or any incentive to exceed it.</w:t>
      </w:r>
      <w:r>
        <w:rPr>
          <w:rFonts w:cs="Arial"/>
          <w:szCs w:val="22"/>
          <w:lang w:val="en-US"/>
        </w:rPr>
        <w:br/>
      </w:r>
    </w:p>
    <w:p w14:paraId="5F89B722" w14:textId="77777777" w:rsidR="001D4E5B" w:rsidRDefault="001D4E5B">
      <w:pPr>
        <w:rPr>
          <w:rFonts w:cs="Arial"/>
          <w:szCs w:val="22"/>
          <w:lang w:val="en-US"/>
        </w:rPr>
      </w:pPr>
      <w:r>
        <w:rPr>
          <w:rFonts w:cs="Arial"/>
          <w:szCs w:val="22"/>
          <w:lang w:val="en-US"/>
        </w:rPr>
        <w:br w:type="page"/>
      </w:r>
    </w:p>
    <w:p w14:paraId="1C769FC0" w14:textId="506576C1" w:rsidR="00464E53" w:rsidRDefault="00464E53" w:rsidP="00464E53">
      <w:pPr>
        <w:autoSpaceDE w:val="0"/>
        <w:autoSpaceDN w:val="0"/>
        <w:adjustRightInd w:val="0"/>
        <w:spacing w:after="60"/>
        <w:ind w:left="360"/>
        <w:rPr>
          <w:rFonts w:cs="Arial"/>
          <w:szCs w:val="22"/>
          <w:lang w:val="en-US"/>
        </w:rPr>
      </w:pPr>
      <w:r>
        <w:rPr>
          <w:rFonts w:cs="Arial"/>
          <w:szCs w:val="22"/>
          <w:lang w:val="en-US"/>
        </w:rPr>
        <w:lastRenderedPageBreak/>
        <w:t>Following the pattern established under STPIS, p</w:t>
      </w:r>
      <w:r w:rsidRPr="006A6111">
        <w:rPr>
          <w:rFonts w:cs="Arial"/>
          <w:szCs w:val="22"/>
          <w:lang w:val="en-US"/>
        </w:rPr>
        <w:t xml:space="preserve">rolonged outages due to underground supply faults have been excluded </w:t>
      </w:r>
      <w:r>
        <w:rPr>
          <w:rFonts w:cs="Arial"/>
          <w:szCs w:val="22"/>
          <w:lang w:val="en-US"/>
        </w:rPr>
        <w:t>from the NSW Public Lighting Code (11.2 b) and there is no requirement for</w:t>
      </w:r>
      <w:r w:rsidRPr="006A6111">
        <w:rPr>
          <w:rFonts w:cs="Arial"/>
          <w:szCs w:val="22"/>
          <w:lang w:val="en-US"/>
        </w:rPr>
        <w:t xml:space="preserve"> </w:t>
      </w:r>
      <w:r>
        <w:rPr>
          <w:rFonts w:cs="Arial"/>
          <w:szCs w:val="22"/>
          <w:lang w:val="en-US"/>
        </w:rPr>
        <w:t>DNSP’s to report</w:t>
      </w:r>
      <w:r w:rsidRPr="006A6111">
        <w:rPr>
          <w:rFonts w:cs="Arial"/>
          <w:szCs w:val="22"/>
          <w:lang w:val="en-US"/>
        </w:rPr>
        <w:t xml:space="preserve"> average repair times to Councils </w:t>
      </w:r>
      <w:r>
        <w:rPr>
          <w:rFonts w:cs="Arial"/>
          <w:szCs w:val="22"/>
          <w:lang w:val="en-US"/>
        </w:rPr>
        <w:t>for such faults</w:t>
      </w:r>
      <w:r w:rsidRPr="006A6111">
        <w:rPr>
          <w:rFonts w:cs="Arial"/>
          <w:szCs w:val="22"/>
          <w:lang w:val="en-US"/>
        </w:rPr>
        <w:t xml:space="preserve">.  Most prolonged street lighting outages (some documented by councils at over 200 days) appear to be caused by network supply faults. </w:t>
      </w:r>
      <w:r w:rsidRPr="006A6111">
        <w:rPr>
          <w:rFonts w:cs="Arial"/>
          <w:szCs w:val="22"/>
          <w:lang w:val="en-US"/>
        </w:rPr>
        <w:br/>
      </w:r>
      <w:r w:rsidRPr="006A6111">
        <w:rPr>
          <w:rFonts w:cs="Arial"/>
          <w:szCs w:val="22"/>
          <w:lang w:val="en-US"/>
        </w:rPr>
        <w:br/>
        <w:t>Even in the case of prolonged outages, Councils are still required by the DNSP to pay the full capital, maintenance, energy and network distributions costs for public lighting despite the service not having been provided.</w:t>
      </w:r>
    </w:p>
    <w:p w14:paraId="0DDB472B" w14:textId="77777777" w:rsidR="00464E53" w:rsidRDefault="00464E53" w:rsidP="00464E53">
      <w:pPr>
        <w:autoSpaceDE w:val="0"/>
        <w:autoSpaceDN w:val="0"/>
        <w:adjustRightInd w:val="0"/>
        <w:spacing w:after="60"/>
        <w:ind w:left="360"/>
        <w:rPr>
          <w:rFonts w:cs="Arial"/>
          <w:szCs w:val="22"/>
          <w:lang w:val="en-US"/>
        </w:rPr>
      </w:pPr>
    </w:p>
    <w:p w14:paraId="3045FBDD" w14:textId="77777777" w:rsidR="00464E53" w:rsidRPr="00816AA5" w:rsidRDefault="00464E53" w:rsidP="00464E53">
      <w:pPr>
        <w:numPr>
          <w:ilvl w:val="0"/>
          <w:numId w:val="19"/>
        </w:numPr>
        <w:autoSpaceDE w:val="0"/>
        <w:autoSpaceDN w:val="0"/>
        <w:adjustRightInd w:val="0"/>
        <w:spacing w:after="240"/>
        <w:ind w:left="357" w:hanging="357"/>
        <w:rPr>
          <w:rFonts w:cs="Arial"/>
          <w:szCs w:val="22"/>
          <w:lang w:val="en-US"/>
        </w:rPr>
      </w:pPr>
      <w:r>
        <w:rPr>
          <w:rFonts w:cs="Arial"/>
          <w:szCs w:val="22"/>
          <w:lang w:val="en-US"/>
        </w:rPr>
        <w:t>Beyond the issues that the AER normally considers in formulating policy</w:t>
      </w:r>
      <w:r w:rsidRPr="00816AA5">
        <w:rPr>
          <w:rFonts w:cs="Arial"/>
          <w:szCs w:val="22"/>
          <w:lang w:val="en-US"/>
        </w:rPr>
        <w:t>, SSROC also notes that there is a consequent public safety risk involved in not addressing this</w:t>
      </w:r>
      <w:r>
        <w:rPr>
          <w:rFonts w:cs="Arial"/>
          <w:szCs w:val="22"/>
          <w:lang w:val="en-US"/>
        </w:rPr>
        <w:t xml:space="preserve"> issue</w:t>
      </w:r>
      <w:r w:rsidRPr="00816AA5">
        <w:rPr>
          <w:rFonts w:cs="Arial"/>
          <w:szCs w:val="22"/>
          <w:lang w:val="en-US"/>
        </w:rPr>
        <w:t xml:space="preserve">.  Main roads, where most prolonged underground supply faults occur, are the roads where the risk of road accidents causing injury and death is greatest.  AS/NZS 1158 </w:t>
      </w:r>
      <w:proofErr w:type="spellStart"/>
      <w:r w:rsidRPr="00816AA5">
        <w:rPr>
          <w:rFonts w:cs="Arial"/>
          <w:szCs w:val="22"/>
          <w:lang w:val="en-US"/>
        </w:rPr>
        <w:t>recognises</w:t>
      </w:r>
      <w:proofErr w:type="spellEnd"/>
      <w:r w:rsidRPr="00816AA5">
        <w:rPr>
          <w:rFonts w:cs="Arial"/>
          <w:szCs w:val="22"/>
          <w:lang w:val="en-US"/>
        </w:rPr>
        <w:t xml:space="preserve"> that street lighting can reduce night time accident rates by about 30%.  Leaving prolonged power supply outages to public lighting unaddressed negates this important community safety benefit.</w:t>
      </w:r>
      <w:r>
        <w:rPr>
          <w:rFonts w:cs="Arial"/>
          <w:szCs w:val="22"/>
          <w:lang w:val="en-US"/>
        </w:rPr>
        <w:t xml:space="preserve">  It is not in society’s interest for there to be no incentive to promptly repair supply faults to public lighting.</w:t>
      </w:r>
    </w:p>
    <w:p w14:paraId="07DC0C74" w14:textId="77777777" w:rsidR="00464E53" w:rsidRPr="006A6111" w:rsidRDefault="00464E53" w:rsidP="00464E53">
      <w:pPr>
        <w:rPr>
          <w:rFonts w:cs="Arial"/>
          <w:szCs w:val="22"/>
          <w:lang w:val="en-US"/>
        </w:rPr>
      </w:pPr>
      <w:r>
        <w:rPr>
          <w:rFonts w:cs="Arial"/>
          <w:szCs w:val="22"/>
          <w:lang w:val="en-GB"/>
        </w:rPr>
        <w:t xml:space="preserve">In summary, </w:t>
      </w:r>
      <w:r w:rsidRPr="006A6111">
        <w:rPr>
          <w:rFonts w:cs="Arial"/>
          <w:szCs w:val="22"/>
          <w:lang w:val="en-US"/>
        </w:rPr>
        <w:t xml:space="preserve">without measurement of </w:t>
      </w:r>
      <w:r>
        <w:rPr>
          <w:rFonts w:cs="Arial"/>
          <w:szCs w:val="22"/>
          <w:lang w:val="en-US"/>
        </w:rPr>
        <w:t xml:space="preserve">the reliability of unmetered supply to </w:t>
      </w:r>
      <w:r w:rsidRPr="006A6111">
        <w:rPr>
          <w:rFonts w:cs="Arial"/>
          <w:szCs w:val="22"/>
          <w:lang w:val="en-US"/>
        </w:rPr>
        <w:t>public lighting</w:t>
      </w:r>
      <w:r>
        <w:rPr>
          <w:rFonts w:cs="Arial"/>
          <w:szCs w:val="22"/>
          <w:lang w:val="en-US"/>
        </w:rPr>
        <w:t>,</w:t>
      </w:r>
      <w:r w:rsidRPr="006A6111">
        <w:rPr>
          <w:rFonts w:cs="Arial"/>
          <w:szCs w:val="22"/>
          <w:lang w:val="en-US"/>
        </w:rPr>
        <w:t xml:space="preserve"> without reporting of </w:t>
      </w:r>
      <w:r>
        <w:rPr>
          <w:rFonts w:cs="Arial"/>
          <w:szCs w:val="22"/>
          <w:lang w:val="en-US"/>
        </w:rPr>
        <w:t>supply interruptions and</w:t>
      </w:r>
      <w:r w:rsidRPr="006A6111">
        <w:rPr>
          <w:rFonts w:cs="Arial"/>
          <w:szCs w:val="22"/>
          <w:lang w:val="en-US"/>
        </w:rPr>
        <w:t xml:space="preserve"> without </w:t>
      </w:r>
      <w:r>
        <w:rPr>
          <w:rFonts w:cs="Arial"/>
          <w:szCs w:val="22"/>
          <w:lang w:val="en-US"/>
        </w:rPr>
        <w:t xml:space="preserve">any financial </w:t>
      </w:r>
      <w:r w:rsidRPr="006A6111">
        <w:rPr>
          <w:rFonts w:cs="Arial"/>
          <w:szCs w:val="22"/>
          <w:lang w:val="en-US"/>
        </w:rPr>
        <w:t xml:space="preserve">incentive to repair network supply faults to public lighting </w:t>
      </w:r>
      <w:r>
        <w:rPr>
          <w:rFonts w:cs="Arial"/>
          <w:szCs w:val="22"/>
          <w:lang w:val="en-US"/>
        </w:rPr>
        <w:t>in a timely fashion</w:t>
      </w:r>
      <w:r w:rsidRPr="006A6111">
        <w:rPr>
          <w:rFonts w:cs="Arial"/>
          <w:szCs w:val="22"/>
          <w:lang w:val="en-US"/>
        </w:rPr>
        <w:t xml:space="preserve">, it is clear that that public lighting is held to </w:t>
      </w:r>
      <w:r>
        <w:rPr>
          <w:rFonts w:cs="Arial"/>
          <w:szCs w:val="22"/>
          <w:lang w:val="en-US"/>
        </w:rPr>
        <w:t xml:space="preserve">both </w:t>
      </w:r>
      <w:r w:rsidRPr="006A6111">
        <w:rPr>
          <w:rFonts w:cs="Arial"/>
          <w:szCs w:val="22"/>
          <w:lang w:val="en-US"/>
        </w:rPr>
        <w:t xml:space="preserve">a substantially lower reliability standard than for all other classes of network distribution customers and that the current policy settings are </w:t>
      </w:r>
      <w:r>
        <w:rPr>
          <w:rFonts w:cs="Arial"/>
          <w:szCs w:val="22"/>
          <w:lang w:val="en-US"/>
        </w:rPr>
        <w:t>incorrect for unmetered supply</w:t>
      </w:r>
      <w:r w:rsidRPr="006A6111">
        <w:rPr>
          <w:rFonts w:cs="Arial"/>
          <w:szCs w:val="22"/>
          <w:lang w:val="en-US"/>
        </w:rPr>
        <w:t xml:space="preserve">. </w:t>
      </w:r>
      <w:r>
        <w:rPr>
          <w:rFonts w:cs="Arial"/>
          <w:szCs w:val="22"/>
          <w:lang w:val="en-US"/>
        </w:rPr>
        <w:t xml:space="preserve"> Unmetered supply should therefore be included in STPIS as an important first step to addressing these issues.</w:t>
      </w:r>
      <w:r w:rsidRPr="006A6111">
        <w:rPr>
          <w:rFonts w:cs="Arial"/>
          <w:szCs w:val="22"/>
          <w:lang w:val="en-US"/>
        </w:rPr>
        <w:t xml:space="preserve"> </w:t>
      </w:r>
    </w:p>
    <w:p w14:paraId="1FD67657" w14:textId="77777777" w:rsidR="00464E53" w:rsidRPr="006A6111" w:rsidRDefault="00464E53" w:rsidP="00464E53">
      <w:pPr>
        <w:rPr>
          <w:rFonts w:cs="Arial"/>
          <w:szCs w:val="22"/>
          <w:lang w:val="en-US"/>
        </w:rPr>
      </w:pPr>
    </w:p>
    <w:p w14:paraId="0186A3ED" w14:textId="77777777" w:rsidR="00464E53" w:rsidRPr="006A6111" w:rsidRDefault="00464E53" w:rsidP="00464E53">
      <w:pPr>
        <w:autoSpaceDE w:val="0"/>
        <w:autoSpaceDN w:val="0"/>
        <w:adjustRightInd w:val="0"/>
        <w:rPr>
          <w:rFonts w:cs="Arial"/>
          <w:szCs w:val="22"/>
          <w:lang w:val="en-US"/>
        </w:rPr>
      </w:pPr>
      <w:r w:rsidRPr="006A6111">
        <w:rPr>
          <w:rFonts w:cs="Arial"/>
          <w:szCs w:val="22"/>
          <w:lang w:val="en-US"/>
        </w:rPr>
        <w:t>SSROC welcomes further discussion with the AE</w:t>
      </w:r>
      <w:r>
        <w:rPr>
          <w:rFonts w:cs="Arial"/>
          <w:szCs w:val="22"/>
          <w:lang w:val="en-US"/>
        </w:rPr>
        <w:t xml:space="preserve">R </w:t>
      </w:r>
      <w:r w:rsidRPr="006A6111">
        <w:rPr>
          <w:rFonts w:cs="Arial"/>
          <w:szCs w:val="22"/>
          <w:lang w:val="en-US"/>
        </w:rPr>
        <w:t>about this submission at any point.</w:t>
      </w:r>
    </w:p>
    <w:p w14:paraId="254B770B" w14:textId="77777777" w:rsidR="00464E53" w:rsidRPr="006A6111" w:rsidRDefault="00464E53" w:rsidP="00464E53">
      <w:pPr>
        <w:autoSpaceDE w:val="0"/>
        <w:autoSpaceDN w:val="0"/>
        <w:adjustRightInd w:val="0"/>
        <w:rPr>
          <w:rFonts w:cs="Arial"/>
          <w:szCs w:val="22"/>
          <w:lang w:val="en-US"/>
        </w:rPr>
      </w:pPr>
    </w:p>
    <w:p w14:paraId="5B22A076" w14:textId="4AE3FE87" w:rsidR="00464E53" w:rsidRPr="006A6111" w:rsidRDefault="00464E53" w:rsidP="00464E53">
      <w:pPr>
        <w:autoSpaceDE w:val="0"/>
        <w:autoSpaceDN w:val="0"/>
        <w:adjustRightInd w:val="0"/>
        <w:rPr>
          <w:rFonts w:cs="Arial"/>
          <w:szCs w:val="22"/>
          <w:lang w:val="en-US"/>
        </w:rPr>
      </w:pPr>
      <w:r w:rsidRPr="006A6111">
        <w:rPr>
          <w:rFonts w:cs="Arial"/>
          <w:szCs w:val="22"/>
          <w:lang w:val="en-US"/>
        </w:rPr>
        <w:t>Yo</w:t>
      </w:r>
      <w:r w:rsidR="001D4E5B">
        <w:rPr>
          <w:rFonts w:cs="Arial"/>
          <w:szCs w:val="22"/>
          <w:lang w:val="en-US"/>
        </w:rPr>
        <w:t>urs sincerely</w:t>
      </w:r>
    </w:p>
    <w:p w14:paraId="5C7CD8B0" w14:textId="3DD885FB" w:rsidR="00464E53" w:rsidRPr="006A6111" w:rsidRDefault="00234FDD" w:rsidP="00464E53">
      <w:pPr>
        <w:autoSpaceDE w:val="0"/>
        <w:autoSpaceDN w:val="0"/>
        <w:adjustRightInd w:val="0"/>
        <w:rPr>
          <w:rFonts w:cs="Arial"/>
          <w:szCs w:val="22"/>
          <w:lang w:val="en-US"/>
        </w:rPr>
      </w:pPr>
      <w:r w:rsidRPr="00234FDD">
        <w:rPr>
          <w:rFonts w:cs="Arial"/>
          <w:szCs w:val="22"/>
          <w:lang w:val="en-US"/>
        </w:rPr>
        <w:drawing>
          <wp:inline distT="0" distB="0" distL="0" distR="0" wp14:anchorId="2CEE8B43" wp14:editId="60B542DA">
            <wp:extent cx="1219201" cy="500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55825" cy="515210"/>
                    </a:xfrm>
                    <a:prstGeom prst="rect">
                      <a:avLst/>
                    </a:prstGeom>
                  </pic:spPr>
                </pic:pic>
              </a:graphicData>
            </a:graphic>
          </wp:inline>
        </w:drawing>
      </w:r>
    </w:p>
    <w:p w14:paraId="3C91B1C7" w14:textId="77777777" w:rsidR="00464E53" w:rsidRPr="006A6111" w:rsidRDefault="00464E53" w:rsidP="00464E53">
      <w:pPr>
        <w:autoSpaceDE w:val="0"/>
        <w:autoSpaceDN w:val="0"/>
        <w:adjustRightInd w:val="0"/>
        <w:rPr>
          <w:rFonts w:cs="Arial"/>
          <w:szCs w:val="22"/>
          <w:lang w:val="en-US"/>
        </w:rPr>
      </w:pPr>
      <w:r w:rsidRPr="006A6111">
        <w:rPr>
          <w:rFonts w:cs="Arial"/>
          <w:szCs w:val="22"/>
          <w:lang w:val="en-US"/>
        </w:rPr>
        <w:t>Namoi Dougall</w:t>
      </w:r>
    </w:p>
    <w:p w14:paraId="3C5DF0F7" w14:textId="77777777" w:rsidR="00464E53" w:rsidRPr="001D4E5B" w:rsidRDefault="00464E53" w:rsidP="00464E53">
      <w:pPr>
        <w:autoSpaceDE w:val="0"/>
        <w:autoSpaceDN w:val="0"/>
        <w:adjustRightInd w:val="0"/>
        <w:rPr>
          <w:rFonts w:cs="Arial"/>
          <w:b/>
          <w:szCs w:val="22"/>
          <w:lang w:val="en-US"/>
        </w:rPr>
      </w:pPr>
      <w:r w:rsidRPr="001D4E5B">
        <w:rPr>
          <w:rFonts w:cs="Arial"/>
          <w:b/>
          <w:szCs w:val="22"/>
          <w:lang w:val="en-US"/>
        </w:rPr>
        <w:t>General Manager</w:t>
      </w:r>
    </w:p>
    <w:p w14:paraId="7AF20D1E" w14:textId="7109AD58" w:rsidR="00464E53" w:rsidRPr="001D4E5B" w:rsidRDefault="001D4E5B" w:rsidP="00464E53">
      <w:pPr>
        <w:autoSpaceDE w:val="0"/>
        <w:autoSpaceDN w:val="0"/>
        <w:adjustRightInd w:val="0"/>
        <w:rPr>
          <w:rFonts w:cs="Arial"/>
          <w:b/>
          <w:szCs w:val="22"/>
          <w:lang w:val="en-US"/>
        </w:rPr>
      </w:pPr>
      <w:r w:rsidRPr="001D4E5B">
        <w:rPr>
          <w:rFonts w:cs="Arial"/>
          <w:b/>
          <w:szCs w:val="22"/>
          <w:lang w:val="en-US"/>
        </w:rPr>
        <w:t>Southern Sydney Regional Organisation of Councils</w:t>
      </w:r>
    </w:p>
    <w:p w14:paraId="32EE2C7D" w14:textId="77777777" w:rsidR="00464E53" w:rsidRPr="006A6111" w:rsidRDefault="00464E53" w:rsidP="00464E53">
      <w:pPr>
        <w:autoSpaceDE w:val="0"/>
        <w:autoSpaceDN w:val="0"/>
        <w:adjustRightInd w:val="0"/>
        <w:rPr>
          <w:rFonts w:cs="Arial"/>
          <w:szCs w:val="22"/>
          <w:lang w:val="en-US"/>
        </w:rPr>
      </w:pPr>
    </w:p>
    <w:p w14:paraId="762D8329" w14:textId="77777777" w:rsidR="00464E53" w:rsidRPr="006A6111" w:rsidRDefault="00464E53" w:rsidP="00464E53">
      <w:pPr>
        <w:autoSpaceDE w:val="0"/>
        <w:autoSpaceDN w:val="0"/>
        <w:adjustRightInd w:val="0"/>
        <w:ind w:left="426" w:hanging="426"/>
        <w:rPr>
          <w:rFonts w:cs="Arial"/>
          <w:i/>
          <w:iCs/>
          <w:szCs w:val="22"/>
          <w:lang w:val="en-US"/>
        </w:rPr>
      </w:pPr>
      <w:r w:rsidRPr="006A6111">
        <w:rPr>
          <w:rFonts w:cs="Arial"/>
          <w:i/>
          <w:iCs/>
          <w:szCs w:val="22"/>
          <w:lang w:val="en-US"/>
        </w:rPr>
        <w:t>CC: SLI Program Councils</w:t>
      </w:r>
    </w:p>
    <w:p w14:paraId="74DFE2F9" w14:textId="77777777" w:rsidR="00E02293" w:rsidRPr="00ED75BB" w:rsidRDefault="00E02293" w:rsidP="00E02293">
      <w:pPr>
        <w:autoSpaceDE w:val="0"/>
        <w:autoSpaceDN w:val="0"/>
        <w:adjustRightInd w:val="0"/>
        <w:rPr>
          <w:rFonts w:cs="Arial"/>
          <w:szCs w:val="22"/>
          <w:lang w:val="en-US"/>
        </w:rPr>
      </w:pPr>
    </w:p>
    <w:sectPr w:rsidR="00E02293" w:rsidRPr="00ED75BB" w:rsidSect="002F49FF">
      <w:footerReference w:type="even" r:id="rId14"/>
      <w:footerReference w:type="default" r:id="rId15"/>
      <w:headerReference w:type="first" r:id="rId16"/>
      <w:footerReference w:type="first" r:id="rId17"/>
      <w:pgSz w:w="11894" w:h="16834"/>
      <w:pgMar w:top="1134" w:right="1134" w:bottom="1418"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E3DAE" w14:textId="77777777" w:rsidR="00444719" w:rsidRDefault="00444719">
      <w:r>
        <w:separator/>
      </w:r>
    </w:p>
  </w:endnote>
  <w:endnote w:type="continuationSeparator" w:id="0">
    <w:p w14:paraId="0344F755" w14:textId="77777777" w:rsidR="00444719" w:rsidRDefault="0044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ITCFranklinGothic LT BookCn">
    <w:altName w:val="Copperplate"/>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Gill Sans Condensed Bold">
    <w:altName w:val="Gill Sans"/>
    <w:panose1 w:val="020B0604020202020204"/>
    <w:charset w:val="00"/>
    <w:family w:val="auto"/>
    <w:pitch w:val="variable"/>
    <w:sig w:usb0="8000026F" w:usb1="5000004A" w:usb2="00000000" w:usb3="00000000" w:csb0="00000005"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5495744"/>
      <w:docPartObj>
        <w:docPartGallery w:val="Page Numbers (Bottom of Page)"/>
        <w:docPartUnique/>
      </w:docPartObj>
    </w:sdtPr>
    <w:sdtEndPr>
      <w:rPr>
        <w:rStyle w:val="PageNumber"/>
      </w:rPr>
    </w:sdtEndPr>
    <w:sdtContent>
      <w:p w14:paraId="361EF8C4" w14:textId="203E5070" w:rsidR="001D4E5B" w:rsidRDefault="001D4E5B" w:rsidP="009C5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90ABA7" w14:textId="77777777" w:rsidR="001D4E5B" w:rsidRDefault="001D4E5B" w:rsidP="001D4E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4145119"/>
      <w:docPartObj>
        <w:docPartGallery w:val="Page Numbers (Bottom of Page)"/>
        <w:docPartUnique/>
      </w:docPartObj>
    </w:sdtPr>
    <w:sdtEndPr>
      <w:rPr>
        <w:rStyle w:val="PageNumber"/>
        <w:sz w:val="18"/>
      </w:rPr>
    </w:sdtEndPr>
    <w:sdtContent>
      <w:p w14:paraId="0D91C41B" w14:textId="76B76D8C" w:rsidR="001D4E5B" w:rsidRDefault="001D4E5B" w:rsidP="009C5B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794A15" w14:textId="46C8E243" w:rsidR="001D4E5B" w:rsidRDefault="001D4E5B" w:rsidP="001D4E5B">
    <w:pPr>
      <w:pStyle w:val="Footer"/>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159E" w14:textId="2F675F30" w:rsidR="004E0E86" w:rsidRDefault="007855AD">
    <w:pPr>
      <w:pStyle w:val="Footer"/>
    </w:pPr>
    <w:r>
      <w:rPr>
        <w:noProof/>
        <w:lang w:val="en-US"/>
      </w:rPr>
      <w:drawing>
        <wp:inline distT="0" distB="0" distL="0" distR="0" wp14:anchorId="2BBB9087" wp14:editId="3374E112">
          <wp:extent cx="6112510" cy="4692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OC Footer (Redfern).eps"/>
                  <pic:cNvPicPr/>
                </pic:nvPicPr>
                <pic:blipFill>
                  <a:blip r:embed="rId1">
                    <a:extLst>
                      <a:ext uri="{28A0092B-C50C-407E-A947-70E740481C1C}">
                        <a14:useLocalDpi xmlns:a14="http://schemas.microsoft.com/office/drawing/2010/main" val="0"/>
                      </a:ext>
                    </a:extLst>
                  </a:blip>
                  <a:stretch>
                    <a:fillRect/>
                  </a:stretch>
                </pic:blipFill>
                <pic:spPr>
                  <a:xfrm>
                    <a:off x="0" y="0"/>
                    <a:ext cx="6112510" cy="469265"/>
                  </a:xfrm>
                  <a:prstGeom prst="rect">
                    <a:avLst/>
                  </a:prstGeom>
                </pic:spPr>
              </pic:pic>
            </a:graphicData>
          </a:graphic>
        </wp:inline>
      </w:drawing>
    </w:r>
    <w:r w:rsidR="003D5494">
      <w:rPr>
        <w:noProof/>
        <w:lang w:val="en-US"/>
      </w:rPr>
      <w:drawing>
        <wp:anchor distT="0" distB="0" distL="114300" distR="114300" simplePos="0" relativeHeight="251661824" behindDoc="0" locked="0" layoutInCell="1" allowOverlap="1" wp14:anchorId="3CA72176" wp14:editId="5C586241">
          <wp:simplePos x="0" y="0"/>
          <wp:positionH relativeFrom="margin">
            <wp:posOffset>-1270</wp:posOffset>
          </wp:positionH>
          <wp:positionV relativeFrom="margin">
            <wp:posOffset>9729470</wp:posOffset>
          </wp:positionV>
          <wp:extent cx="7555865" cy="953770"/>
          <wp:effectExtent l="0" t="0" r="0" b="1143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86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B842F" w14:textId="77777777" w:rsidR="00444719" w:rsidRDefault="00444719">
      <w:r>
        <w:separator/>
      </w:r>
    </w:p>
  </w:footnote>
  <w:footnote w:type="continuationSeparator" w:id="0">
    <w:p w14:paraId="24E422C2" w14:textId="77777777" w:rsidR="00444719" w:rsidRDefault="00444719">
      <w:r>
        <w:continuationSeparator/>
      </w:r>
    </w:p>
  </w:footnote>
  <w:footnote w:id="1">
    <w:p w14:paraId="4B0DAE3C" w14:textId="77777777" w:rsidR="00464E53" w:rsidRDefault="00464E53" w:rsidP="00464E53">
      <w:pPr>
        <w:pStyle w:val="FootnoteText"/>
      </w:pPr>
      <w:r>
        <w:rPr>
          <w:rStyle w:val="FootnoteReference"/>
        </w:rPr>
        <w:footnoteRef/>
      </w:r>
      <w:r>
        <w:t xml:space="preserve"> </w:t>
      </w:r>
      <w:r w:rsidRPr="00534EBC">
        <w:t>https://www.resourcesandenergy.nsw.gov.au/energy-supply-industry/legislation-and-policy/electricity-legislation/code-review/electricity_legislation_nsw_public_lighting_code.pdf</w:t>
      </w:r>
    </w:p>
  </w:footnote>
  <w:footnote w:id="2">
    <w:p w14:paraId="66E214D4" w14:textId="77777777" w:rsidR="00464E53" w:rsidRDefault="00464E53" w:rsidP="00464E53">
      <w:pPr>
        <w:pStyle w:val="FootnoteText"/>
      </w:pPr>
      <w:r>
        <w:rPr>
          <w:rStyle w:val="FootnoteReference"/>
        </w:rPr>
        <w:footnoteRef/>
      </w:r>
      <w:r>
        <w:t xml:space="preserve"> </w:t>
      </w:r>
      <w:r w:rsidRPr="00F02A6B">
        <w:t>file:///C:/Users/Graham%20Mawer/Downloads/Public-Lighting-Code-Version-2%20(3).pdf</w:t>
      </w:r>
    </w:p>
  </w:footnote>
  <w:footnote w:id="3">
    <w:p w14:paraId="0A45EB7A" w14:textId="77777777" w:rsidR="00464E53" w:rsidRPr="003F4CF3" w:rsidRDefault="00464E53" w:rsidP="00464E53">
      <w:pPr>
        <w:pStyle w:val="FootnoteText"/>
        <w:rPr>
          <w:lang w:val="en-US"/>
        </w:rPr>
      </w:pPr>
      <w:r>
        <w:rPr>
          <w:rStyle w:val="FootnoteReference"/>
        </w:rPr>
        <w:footnoteRef/>
      </w:r>
      <w:r>
        <w:t xml:space="preserve"> </w:t>
      </w:r>
      <w:proofErr w:type="spellStart"/>
      <w:r w:rsidRPr="003F4CF3">
        <w:rPr>
          <w:iCs/>
          <w:lang w:val="en-US"/>
        </w:rPr>
        <w:t>EnergyAustralia</w:t>
      </w:r>
      <w:proofErr w:type="spellEnd"/>
      <w:r w:rsidRPr="003F4CF3">
        <w:rPr>
          <w:iCs/>
          <w:lang w:val="en-US"/>
        </w:rPr>
        <w:t xml:space="preserve"> presentation to AER Forum 30 July 2009</w:t>
      </w:r>
    </w:p>
  </w:footnote>
  <w:footnote w:id="4">
    <w:p w14:paraId="37674E5C" w14:textId="77777777" w:rsidR="00464E53" w:rsidRDefault="00464E53" w:rsidP="00464E53">
      <w:pPr>
        <w:pStyle w:val="FootnoteText"/>
      </w:pPr>
      <w:r>
        <w:rPr>
          <w:rStyle w:val="FootnoteReference"/>
        </w:rPr>
        <w:footnoteRef/>
      </w:r>
      <w:r>
        <w:t xml:space="preserve"> </w:t>
      </w:r>
      <w:hyperlink r:id="rId1" w:history="1">
        <w:r w:rsidRPr="00A6023E">
          <w:rPr>
            <w:rStyle w:val="Hyperlink"/>
          </w:rPr>
          <w:t>http://www.resourcesandenergy.nsw.gov.au/__data/assets/pdf_file/0004/564790/Report-2015-Outline-Distribution-Final.pdf</w:t>
        </w:r>
      </w:hyperlink>
      <w:r>
        <w:t xml:space="preserve"> </w:t>
      </w:r>
    </w:p>
  </w:footnote>
  <w:footnote w:id="5">
    <w:p w14:paraId="1135EB41" w14:textId="77777777" w:rsidR="00464E53" w:rsidRDefault="00464E53" w:rsidP="00464E53">
      <w:pPr>
        <w:pStyle w:val="FootnoteText"/>
      </w:pPr>
      <w:r>
        <w:rPr>
          <w:rStyle w:val="FootnoteReference"/>
        </w:rPr>
        <w:footnoteRef/>
      </w:r>
      <w:r>
        <w:t xml:space="preserve"> </w:t>
      </w:r>
      <w:hyperlink r:id="rId2" w:history="1">
        <w:r w:rsidRPr="00A6023E">
          <w:rPr>
            <w:rStyle w:val="Hyperlink"/>
          </w:rPr>
          <w:t>http://www.ipart.nsw.gov.au/files/sharedassets/website/trimholdingbay/reporting_manual_-_electricity_distribution_network_service_provider_-_march_2015.pdf</w:t>
        </w:r>
      </w:hyperlink>
      <w:r>
        <w:t xml:space="preserve"> </w:t>
      </w:r>
    </w:p>
  </w:footnote>
  <w:footnote w:id="6">
    <w:p w14:paraId="5C8EC932" w14:textId="77777777" w:rsidR="00464E53" w:rsidRPr="00122709" w:rsidRDefault="00464E53" w:rsidP="00464E53">
      <w:pPr>
        <w:pStyle w:val="FootnoteText"/>
      </w:pPr>
      <w:r>
        <w:rPr>
          <w:rStyle w:val="FootnoteReference"/>
        </w:rPr>
        <w:footnoteRef/>
      </w:r>
      <w:r>
        <w:t xml:space="preserve"> IPART Reporting Manual – Electricity Distribution Network Service Provider, March 2015</w:t>
      </w:r>
    </w:p>
  </w:footnote>
  <w:footnote w:id="7">
    <w:p w14:paraId="6CC95FEC" w14:textId="77777777" w:rsidR="00464E53" w:rsidRDefault="00464E53" w:rsidP="00464E53">
      <w:pPr>
        <w:pStyle w:val="FootnoteText"/>
      </w:pPr>
      <w:r>
        <w:rPr>
          <w:rStyle w:val="FootnoteReference"/>
        </w:rPr>
        <w:footnoteRef/>
      </w:r>
      <w:r>
        <w:t xml:space="preserve"> </w:t>
      </w:r>
      <w:hyperlink r:id="rId3" w:history="1">
        <w:r w:rsidRPr="00A6023E">
          <w:rPr>
            <w:rStyle w:val="Hyperlink"/>
          </w:rPr>
          <w:t>http://www.resourcesandenergy.nsw.gov.au/energy-supply-industry/legislation-and-policy/electricity-legislation/code-review/electricity_legislation_nsw_public_lighting_code.pdf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69A8" w14:textId="77777777" w:rsidR="004E0E86" w:rsidRDefault="003D5494" w:rsidP="00634AE1">
    <w:pPr>
      <w:pStyle w:val="Header"/>
    </w:pPr>
    <w:r>
      <w:rPr>
        <w:noProof/>
        <w:lang w:val="en-US"/>
      </w:rPr>
      <w:drawing>
        <wp:anchor distT="0" distB="0" distL="114300" distR="114300" simplePos="0" relativeHeight="251665920" behindDoc="0" locked="0" layoutInCell="1" allowOverlap="1" wp14:anchorId="4B0DA719" wp14:editId="7F735CE0">
          <wp:simplePos x="0" y="0"/>
          <wp:positionH relativeFrom="margin">
            <wp:posOffset>-746760</wp:posOffset>
          </wp:positionH>
          <wp:positionV relativeFrom="margin">
            <wp:posOffset>-717550</wp:posOffset>
          </wp:positionV>
          <wp:extent cx="7545705" cy="1485900"/>
          <wp:effectExtent l="0" t="0" r="0" b="12700"/>
          <wp:wrapThrough wrapText="bothSides">
            <wp:wrapPolygon edited="0">
              <wp:start x="0" y="0"/>
              <wp:lineTo x="0" y="21415"/>
              <wp:lineTo x="21522" y="21415"/>
              <wp:lineTo x="21522" y="0"/>
              <wp:lineTo x="0" y="0"/>
            </wp:wrapPolygon>
          </wp:wrapThrough>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70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4E0"/>
    <w:multiLevelType w:val="hybridMultilevel"/>
    <w:tmpl w:val="64D4AC26"/>
    <w:lvl w:ilvl="0" w:tplc="FFFFFFFF">
      <w:start w:val="1"/>
      <w:numFmt w:val="decimal"/>
      <w:lvlText w:val="%1."/>
      <w:lvlJc w:val="left"/>
      <w:pPr>
        <w:tabs>
          <w:tab w:val="num" w:pos="1571"/>
        </w:tabs>
        <w:ind w:left="1571" w:hanging="360"/>
      </w:pPr>
      <w:rPr>
        <w:rFonts w:hint="default"/>
        <w:b/>
      </w:rPr>
    </w:lvl>
    <w:lvl w:ilvl="1" w:tplc="04090003" w:tentative="1">
      <w:start w:val="1"/>
      <w:numFmt w:val="bullet"/>
      <w:lvlText w:val="o"/>
      <w:lvlJc w:val="left"/>
      <w:pPr>
        <w:tabs>
          <w:tab w:val="num" w:pos="2291"/>
        </w:tabs>
        <w:ind w:left="2291" w:hanging="360"/>
      </w:pPr>
      <w:rPr>
        <w:rFonts w:ascii="Courier New" w:hAnsi="Courier New" w:cs="Cambria"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ambria"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ambria"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6523560"/>
    <w:multiLevelType w:val="hybridMultilevel"/>
    <w:tmpl w:val="B088BD10"/>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4631F25"/>
    <w:multiLevelType w:val="hybridMultilevel"/>
    <w:tmpl w:val="275AF372"/>
    <w:lvl w:ilvl="0" w:tplc="0C090019">
      <w:start w:val="1"/>
      <w:numFmt w:val="lowerLetter"/>
      <w:lvlText w:val="%1."/>
      <w:lvlJc w:val="left"/>
      <w:pPr>
        <w:tabs>
          <w:tab w:val="num" w:pos="1724"/>
        </w:tabs>
        <w:ind w:left="1724" w:hanging="360"/>
      </w:pPr>
    </w:lvl>
    <w:lvl w:ilvl="1" w:tplc="0C090019">
      <w:start w:val="1"/>
      <w:numFmt w:val="lowerLetter"/>
      <w:lvlText w:val="%2."/>
      <w:lvlJc w:val="left"/>
      <w:pPr>
        <w:tabs>
          <w:tab w:val="num" w:pos="2444"/>
        </w:tabs>
        <w:ind w:left="2444" w:hanging="360"/>
      </w:pPr>
    </w:lvl>
    <w:lvl w:ilvl="2" w:tplc="0C09001B">
      <w:start w:val="1"/>
      <w:numFmt w:val="lowerRoman"/>
      <w:lvlText w:val="%3."/>
      <w:lvlJc w:val="right"/>
      <w:pPr>
        <w:tabs>
          <w:tab w:val="num" w:pos="3164"/>
        </w:tabs>
        <w:ind w:left="3164" w:hanging="180"/>
      </w:pPr>
    </w:lvl>
    <w:lvl w:ilvl="3" w:tplc="0C09000F" w:tentative="1">
      <w:start w:val="1"/>
      <w:numFmt w:val="decimal"/>
      <w:lvlText w:val="%4."/>
      <w:lvlJc w:val="left"/>
      <w:pPr>
        <w:tabs>
          <w:tab w:val="num" w:pos="3884"/>
        </w:tabs>
        <w:ind w:left="3884" w:hanging="360"/>
      </w:pPr>
    </w:lvl>
    <w:lvl w:ilvl="4" w:tplc="0C090019" w:tentative="1">
      <w:start w:val="1"/>
      <w:numFmt w:val="lowerLetter"/>
      <w:lvlText w:val="%5."/>
      <w:lvlJc w:val="left"/>
      <w:pPr>
        <w:tabs>
          <w:tab w:val="num" w:pos="4604"/>
        </w:tabs>
        <w:ind w:left="4604" w:hanging="360"/>
      </w:pPr>
    </w:lvl>
    <w:lvl w:ilvl="5" w:tplc="0C09001B" w:tentative="1">
      <w:start w:val="1"/>
      <w:numFmt w:val="lowerRoman"/>
      <w:lvlText w:val="%6."/>
      <w:lvlJc w:val="right"/>
      <w:pPr>
        <w:tabs>
          <w:tab w:val="num" w:pos="5324"/>
        </w:tabs>
        <w:ind w:left="5324" w:hanging="180"/>
      </w:pPr>
    </w:lvl>
    <w:lvl w:ilvl="6" w:tplc="0C09000F" w:tentative="1">
      <w:start w:val="1"/>
      <w:numFmt w:val="decimal"/>
      <w:lvlText w:val="%7."/>
      <w:lvlJc w:val="left"/>
      <w:pPr>
        <w:tabs>
          <w:tab w:val="num" w:pos="6044"/>
        </w:tabs>
        <w:ind w:left="6044" w:hanging="360"/>
      </w:pPr>
    </w:lvl>
    <w:lvl w:ilvl="7" w:tplc="0C090019" w:tentative="1">
      <w:start w:val="1"/>
      <w:numFmt w:val="lowerLetter"/>
      <w:lvlText w:val="%8."/>
      <w:lvlJc w:val="left"/>
      <w:pPr>
        <w:tabs>
          <w:tab w:val="num" w:pos="6764"/>
        </w:tabs>
        <w:ind w:left="6764" w:hanging="360"/>
      </w:pPr>
    </w:lvl>
    <w:lvl w:ilvl="8" w:tplc="0C09001B" w:tentative="1">
      <w:start w:val="1"/>
      <w:numFmt w:val="lowerRoman"/>
      <w:lvlText w:val="%9."/>
      <w:lvlJc w:val="right"/>
      <w:pPr>
        <w:tabs>
          <w:tab w:val="num" w:pos="7484"/>
        </w:tabs>
        <w:ind w:left="7484" w:hanging="180"/>
      </w:pPr>
    </w:lvl>
  </w:abstractNum>
  <w:abstractNum w:abstractNumId="3" w15:restartNumberingAfterBreak="0">
    <w:nsid w:val="26F957A0"/>
    <w:multiLevelType w:val="hybridMultilevel"/>
    <w:tmpl w:val="9B7ECF1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7714969"/>
    <w:multiLevelType w:val="hybridMultilevel"/>
    <w:tmpl w:val="E7D2F712"/>
    <w:lvl w:ilvl="0" w:tplc="04090001">
      <w:start w:val="1"/>
      <w:numFmt w:val="bullet"/>
      <w:lvlText w:val=""/>
      <w:lvlJc w:val="left"/>
      <w:pPr>
        <w:tabs>
          <w:tab w:val="num" w:pos="3665"/>
        </w:tabs>
        <w:ind w:left="3665" w:hanging="360"/>
      </w:pPr>
      <w:rPr>
        <w:rFonts w:ascii="Symbol" w:hAnsi="Symbol" w:hint="default"/>
      </w:rPr>
    </w:lvl>
    <w:lvl w:ilvl="1" w:tplc="04090003">
      <w:start w:val="1"/>
      <w:numFmt w:val="bullet"/>
      <w:lvlText w:val="o"/>
      <w:lvlJc w:val="left"/>
      <w:pPr>
        <w:tabs>
          <w:tab w:val="num" w:pos="4385"/>
        </w:tabs>
        <w:ind w:left="4385" w:hanging="360"/>
      </w:pPr>
      <w:rPr>
        <w:rFonts w:ascii="Courier New" w:hAnsi="Courier New" w:hint="default"/>
      </w:rPr>
    </w:lvl>
    <w:lvl w:ilvl="2" w:tplc="04090005" w:tentative="1">
      <w:start w:val="1"/>
      <w:numFmt w:val="bullet"/>
      <w:lvlText w:val=""/>
      <w:lvlJc w:val="left"/>
      <w:pPr>
        <w:tabs>
          <w:tab w:val="num" w:pos="5105"/>
        </w:tabs>
        <w:ind w:left="5105" w:hanging="360"/>
      </w:pPr>
      <w:rPr>
        <w:rFonts w:ascii="Wingdings" w:hAnsi="Wingdings" w:hint="default"/>
      </w:rPr>
    </w:lvl>
    <w:lvl w:ilvl="3" w:tplc="04090001" w:tentative="1">
      <w:start w:val="1"/>
      <w:numFmt w:val="bullet"/>
      <w:lvlText w:val=""/>
      <w:lvlJc w:val="left"/>
      <w:pPr>
        <w:tabs>
          <w:tab w:val="num" w:pos="5825"/>
        </w:tabs>
        <w:ind w:left="5825" w:hanging="360"/>
      </w:pPr>
      <w:rPr>
        <w:rFonts w:ascii="Symbol" w:hAnsi="Symbol" w:hint="default"/>
      </w:rPr>
    </w:lvl>
    <w:lvl w:ilvl="4" w:tplc="04090003" w:tentative="1">
      <w:start w:val="1"/>
      <w:numFmt w:val="bullet"/>
      <w:lvlText w:val="o"/>
      <w:lvlJc w:val="left"/>
      <w:pPr>
        <w:tabs>
          <w:tab w:val="num" w:pos="6545"/>
        </w:tabs>
        <w:ind w:left="6545" w:hanging="360"/>
      </w:pPr>
      <w:rPr>
        <w:rFonts w:ascii="Courier New" w:hAnsi="Courier New" w:hint="default"/>
      </w:rPr>
    </w:lvl>
    <w:lvl w:ilvl="5" w:tplc="04090005" w:tentative="1">
      <w:start w:val="1"/>
      <w:numFmt w:val="bullet"/>
      <w:lvlText w:val=""/>
      <w:lvlJc w:val="left"/>
      <w:pPr>
        <w:tabs>
          <w:tab w:val="num" w:pos="7265"/>
        </w:tabs>
        <w:ind w:left="7265" w:hanging="360"/>
      </w:pPr>
      <w:rPr>
        <w:rFonts w:ascii="Wingdings" w:hAnsi="Wingdings" w:hint="default"/>
      </w:rPr>
    </w:lvl>
    <w:lvl w:ilvl="6" w:tplc="04090001" w:tentative="1">
      <w:start w:val="1"/>
      <w:numFmt w:val="bullet"/>
      <w:lvlText w:val=""/>
      <w:lvlJc w:val="left"/>
      <w:pPr>
        <w:tabs>
          <w:tab w:val="num" w:pos="7985"/>
        </w:tabs>
        <w:ind w:left="7985" w:hanging="360"/>
      </w:pPr>
      <w:rPr>
        <w:rFonts w:ascii="Symbol" w:hAnsi="Symbol" w:hint="default"/>
      </w:rPr>
    </w:lvl>
    <w:lvl w:ilvl="7" w:tplc="04090003" w:tentative="1">
      <w:start w:val="1"/>
      <w:numFmt w:val="bullet"/>
      <w:lvlText w:val="o"/>
      <w:lvlJc w:val="left"/>
      <w:pPr>
        <w:tabs>
          <w:tab w:val="num" w:pos="8705"/>
        </w:tabs>
        <w:ind w:left="8705" w:hanging="360"/>
      </w:pPr>
      <w:rPr>
        <w:rFonts w:ascii="Courier New" w:hAnsi="Courier New" w:hint="default"/>
      </w:rPr>
    </w:lvl>
    <w:lvl w:ilvl="8" w:tplc="04090005" w:tentative="1">
      <w:start w:val="1"/>
      <w:numFmt w:val="bullet"/>
      <w:lvlText w:val=""/>
      <w:lvlJc w:val="left"/>
      <w:pPr>
        <w:tabs>
          <w:tab w:val="num" w:pos="9425"/>
        </w:tabs>
        <w:ind w:left="9425" w:hanging="360"/>
      </w:pPr>
      <w:rPr>
        <w:rFonts w:ascii="Wingdings" w:hAnsi="Wingdings" w:hint="default"/>
      </w:rPr>
    </w:lvl>
  </w:abstractNum>
  <w:abstractNum w:abstractNumId="5" w15:restartNumberingAfterBreak="0">
    <w:nsid w:val="33C3054D"/>
    <w:multiLevelType w:val="hybridMultilevel"/>
    <w:tmpl w:val="0B5C4D5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8E02598"/>
    <w:multiLevelType w:val="hybridMultilevel"/>
    <w:tmpl w:val="F0BAC71E"/>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15:restartNumberingAfterBreak="0">
    <w:nsid w:val="3CBD54B3"/>
    <w:multiLevelType w:val="multilevel"/>
    <w:tmpl w:val="A740B67E"/>
    <w:lvl w:ilvl="0">
      <w:start w:val="1"/>
      <w:numFmt w:val="decimal"/>
      <w:lvlText w:val="%1."/>
      <w:lvlJc w:val="left"/>
      <w:pPr>
        <w:tabs>
          <w:tab w:val="num" w:pos="646"/>
        </w:tabs>
        <w:ind w:left="646" w:hanging="646"/>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33624EE"/>
    <w:multiLevelType w:val="hybridMultilevel"/>
    <w:tmpl w:val="DE38BE4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435302C6"/>
    <w:multiLevelType w:val="hybridMultilevel"/>
    <w:tmpl w:val="29643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AE5B5B"/>
    <w:multiLevelType w:val="hybridMultilevel"/>
    <w:tmpl w:val="D848C3B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ITCFranklinGothic LT BookCn"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ITCFranklinGothic LT BookCn"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ITCFranklinGothic LT BookCn"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467A7EE2"/>
    <w:multiLevelType w:val="hybridMultilevel"/>
    <w:tmpl w:val="070A813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2751DB5"/>
    <w:multiLevelType w:val="hybridMultilevel"/>
    <w:tmpl w:val="B11AE226"/>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67263E1"/>
    <w:multiLevelType w:val="hybridMultilevel"/>
    <w:tmpl w:val="A2E4B110"/>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819559B"/>
    <w:multiLevelType w:val="hybridMultilevel"/>
    <w:tmpl w:val="EB86F246"/>
    <w:lvl w:ilvl="0" w:tplc="04090001">
      <w:start w:val="1"/>
      <w:numFmt w:val="bullet"/>
      <w:lvlText w:val=""/>
      <w:lvlJc w:val="left"/>
      <w:pPr>
        <w:tabs>
          <w:tab w:val="num" w:pos="764"/>
        </w:tabs>
        <w:ind w:left="764" w:hanging="360"/>
      </w:pPr>
      <w:rPr>
        <w:rFonts w:ascii="Symbol" w:hAnsi="Symbol" w:hint="default"/>
      </w:rPr>
    </w:lvl>
    <w:lvl w:ilvl="1" w:tplc="04090003" w:tentative="1">
      <w:start w:val="1"/>
      <w:numFmt w:val="bullet"/>
      <w:lvlText w:val="o"/>
      <w:lvlJc w:val="left"/>
      <w:pPr>
        <w:tabs>
          <w:tab w:val="num" w:pos="1484"/>
        </w:tabs>
        <w:ind w:left="1484" w:hanging="360"/>
      </w:pPr>
      <w:rPr>
        <w:rFonts w:ascii="Courier New" w:hAnsi="Courier New" w:hint="default"/>
      </w:rPr>
    </w:lvl>
    <w:lvl w:ilvl="2" w:tplc="04090005" w:tentative="1">
      <w:start w:val="1"/>
      <w:numFmt w:val="bullet"/>
      <w:lvlText w:val=""/>
      <w:lvlJc w:val="left"/>
      <w:pPr>
        <w:tabs>
          <w:tab w:val="num" w:pos="2204"/>
        </w:tabs>
        <w:ind w:left="2204" w:hanging="360"/>
      </w:pPr>
      <w:rPr>
        <w:rFonts w:ascii="Wingdings" w:hAnsi="Wingdings" w:hint="default"/>
      </w:rPr>
    </w:lvl>
    <w:lvl w:ilvl="3" w:tplc="04090001" w:tentative="1">
      <w:start w:val="1"/>
      <w:numFmt w:val="bullet"/>
      <w:lvlText w:val=""/>
      <w:lvlJc w:val="left"/>
      <w:pPr>
        <w:tabs>
          <w:tab w:val="num" w:pos="2924"/>
        </w:tabs>
        <w:ind w:left="2924" w:hanging="360"/>
      </w:pPr>
      <w:rPr>
        <w:rFonts w:ascii="Symbol" w:hAnsi="Symbol" w:hint="default"/>
      </w:rPr>
    </w:lvl>
    <w:lvl w:ilvl="4" w:tplc="04090003" w:tentative="1">
      <w:start w:val="1"/>
      <w:numFmt w:val="bullet"/>
      <w:lvlText w:val="o"/>
      <w:lvlJc w:val="left"/>
      <w:pPr>
        <w:tabs>
          <w:tab w:val="num" w:pos="3644"/>
        </w:tabs>
        <w:ind w:left="3644" w:hanging="360"/>
      </w:pPr>
      <w:rPr>
        <w:rFonts w:ascii="Courier New" w:hAnsi="Courier New" w:hint="default"/>
      </w:rPr>
    </w:lvl>
    <w:lvl w:ilvl="5" w:tplc="04090005" w:tentative="1">
      <w:start w:val="1"/>
      <w:numFmt w:val="bullet"/>
      <w:lvlText w:val=""/>
      <w:lvlJc w:val="left"/>
      <w:pPr>
        <w:tabs>
          <w:tab w:val="num" w:pos="4364"/>
        </w:tabs>
        <w:ind w:left="4364" w:hanging="360"/>
      </w:pPr>
      <w:rPr>
        <w:rFonts w:ascii="Wingdings" w:hAnsi="Wingdings" w:hint="default"/>
      </w:rPr>
    </w:lvl>
    <w:lvl w:ilvl="6" w:tplc="04090001" w:tentative="1">
      <w:start w:val="1"/>
      <w:numFmt w:val="bullet"/>
      <w:lvlText w:val=""/>
      <w:lvlJc w:val="left"/>
      <w:pPr>
        <w:tabs>
          <w:tab w:val="num" w:pos="5084"/>
        </w:tabs>
        <w:ind w:left="5084" w:hanging="360"/>
      </w:pPr>
      <w:rPr>
        <w:rFonts w:ascii="Symbol" w:hAnsi="Symbol" w:hint="default"/>
      </w:rPr>
    </w:lvl>
    <w:lvl w:ilvl="7" w:tplc="04090003" w:tentative="1">
      <w:start w:val="1"/>
      <w:numFmt w:val="bullet"/>
      <w:lvlText w:val="o"/>
      <w:lvlJc w:val="left"/>
      <w:pPr>
        <w:tabs>
          <w:tab w:val="num" w:pos="5804"/>
        </w:tabs>
        <w:ind w:left="5804" w:hanging="360"/>
      </w:pPr>
      <w:rPr>
        <w:rFonts w:ascii="Courier New" w:hAnsi="Courier New" w:hint="default"/>
      </w:rPr>
    </w:lvl>
    <w:lvl w:ilvl="8" w:tplc="04090005" w:tentative="1">
      <w:start w:val="1"/>
      <w:numFmt w:val="bullet"/>
      <w:lvlText w:val=""/>
      <w:lvlJc w:val="left"/>
      <w:pPr>
        <w:tabs>
          <w:tab w:val="num" w:pos="6524"/>
        </w:tabs>
        <w:ind w:left="6524" w:hanging="360"/>
      </w:pPr>
      <w:rPr>
        <w:rFonts w:ascii="Wingdings" w:hAnsi="Wingdings" w:hint="default"/>
      </w:rPr>
    </w:lvl>
  </w:abstractNum>
  <w:abstractNum w:abstractNumId="15" w15:restartNumberingAfterBreak="0">
    <w:nsid w:val="6A853C56"/>
    <w:multiLevelType w:val="hybridMultilevel"/>
    <w:tmpl w:val="DC903FD6"/>
    <w:lvl w:ilvl="0" w:tplc="0C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F7249E5"/>
    <w:multiLevelType w:val="hybridMultilevel"/>
    <w:tmpl w:val="3938733A"/>
    <w:lvl w:ilvl="0" w:tplc="0664F008">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532C5"/>
    <w:multiLevelType w:val="hybridMultilevel"/>
    <w:tmpl w:val="BAEECD98"/>
    <w:lvl w:ilvl="0" w:tplc="04090001">
      <w:start w:val="1"/>
      <w:numFmt w:val="bullet"/>
      <w:lvlText w:val=""/>
      <w:lvlJc w:val="left"/>
      <w:pPr>
        <w:tabs>
          <w:tab w:val="num" w:pos="1211"/>
        </w:tabs>
        <w:ind w:left="1211" w:hanging="360"/>
      </w:pPr>
      <w:rPr>
        <w:rFonts w:ascii="Symbol" w:hAnsi="Symbol" w:hint="default"/>
      </w:rPr>
    </w:lvl>
    <w:lvl w:ilvl="1" w:tplc="00030409" w:tentative="1">
      <w:start w:val="1"/>
      <w:numFmt w:val="bullet"/>
      <w:lvlText w:val="o"/>
      <w:lvlJc w:val="left"/>
      <w:pPr>
        <w:tabs>
          <w:tab w:val="num" w:pos="1222"/>
        </w:tabs>
        <w:ind w:left="1222" w:hanging="360"/>
      </w:pPr>
      <w:rPr>
        <w:rFonts w:ascii="Courier New" w:hAnsi="Courier New" w:hint="default"/>
      </w:rPr>
    </w:lvl>
    <w:lvl w:ilvl="2" w:tplc="00050409" w:tentative="1">
      <w:start w:val="1"/>
      <w:numFmt w:val="bullet"/>
      <w:lvlText w:val=""/>
      <w:lvlJc w:val="left"/>
      <w:pPr>
        <w:tabs>
          <w:tab w:val="num" w:pos="1942"/>
        </w:tabs>
        <w:ind w:left="1942" w:hanging="360"/>
      </w:pPr>
      <w:rPr>
        <w:rFonts w:ascii="Wingdings" w:hAnsi="Wingdings" w:hint="default"/>
      </w:rPr>
    </w:lvl>
    <w:lvl w:ilvl="3" w:tplc="00010409" w:tentative="1">
      <w:start w:val="1"/>
      <w:numFmt w:val="bullet"/>
      <w:lvlText w:val=""/>
      <w:lvlJc w:val="left"/>
      <w:pPr>
        <w:tabs>
          <w:tab w:val="num" w:pos="2662"/>
        </w:tabs>
        <w:ind w:left="2662" w:hanging="360"/>
      </w:pPr>
      <w:rPr>
        <w:rFonts w:ascii="Symbol" w:hAnsi="Symbol" w:hint="default"/>
      </w:rPr>
    </w:lvl>
    <w:lvl w:ilvl="4" w:tplc="00030409" w:tentative="1">
      <w:start w:val="1"/>
      <w:numFmt w:val="bullet"/>
      <w:lvlText w:val="o"/>
      <w:lvlJc w:val="left"/>
      <w:pPr>
        <w:tabs>
          <w:tab w:val="num" w:pos="3382"/>
        </w:tabs>
        <w:ind w:left="3382" w:hanging="360"/>
      </w:pPr>
      <w:rPr>
        <w:rFonts w:ascii="Courier New" w:hAnsi="Courier New" w:hint="default"/>
      </w:rPr>
    </w:lvl>
    <w:lvl w:ilvl="5" w:tplc="00050409" w:tentative="1">
      <w:start w:val="1"/>
      <w:numFmt w:val="bullet"/>
      <w:lvlText w:val=""/>
      <w:lvlJc w:val="left"/>
      <w:pPr>
        <w:tabs>
          <w:tab w:val="num" w:pos="4102"/>
        </w:tabs>
        <w:ind w:left="4102" w:hanging="360"/>
      </w:pPr>
      <w:rPr>
        <w:rFonts w:ascii="Wingdings" w:hAnsi="Wingdings" w:hint="default"/>
      </w:rPr>
    </w:lvl>
    <w:lvl w:ilvl="6" w:tplc="00010409" w:tentative="1">
      <w:start w:val="1"/>
      <w:numFmt w:val="bullet"/>
      <w:lvlText w:val=""/>
      <w:lvlJc w:val="left"/>
      <w:pPr>
        <w:tabs>
          <w:tab w:val="num" w:pos="4822"/>
        </w:tabs>
        <w:ind w:left="4822" w:hanging="360"/>
      </w:pPr>
      <w:rPr>
        <w:rFonts w:ascii="Symbol" w:hAnsi="Symbol" w:hint="default"/>
      </w:rPr>
    </w:lvl>
    <w:lvl w:ilvl="7" w:tplc="00030409" w:tentative="1">
      <w:start w:val="1"/>
      <w:numFmt w:val="bullet"/>
      <w:lvlText w:val="o"/>
      <w:lvlJc w:val="left"/>
      <w:pPr>
        <w:tabs>
          <w:tab w:val="num" w:pos="5542"/>
        </w:tabs>
        <w:ind w:left="5542" w:hanging="360"/>
      </w:pPr>
      <w:rPr>
        <w:rFonts w:ascii="Courier New" w:hAnsi="Courier New" w:hint="default"/>
      </w:rPr>
    </w:lvl>
    <w:lvl w:ilvl="8" w:tplc="00050409"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73C35E9F"/>
    <w:multiLevelType w:val="hybridMultilevel"/>
    <w:tmpl w:val="648235B0"/>
    <w:lvl w:ilvl="0" w:tplc="00010409">
      <w:start w:val="1"/>
      <w:numFmt w:val="bullet"/>
      <w:lvlText w:val=""/>
      <w:lvlJc w:val="left"/>
      <w:pPr>
        <w:tabs>
          <w:tab w:val="num" w:pos="1178"/>
        </w:tabs>
        <w:ind w:left="1178" w:hanging="360"/>
      </w:pPr>
      <w:rPr>
        <w:rFonts w:ascii="Symbol" w:hAnsi="Symbol" w:hint="default"/>
      </w:rPr>
    </w:lvl>
    <w:lvl w:ilvl="1" w:tplc="00030409" w:tentative="1">
      <w:start w:val="1"/>
      <w:numFmt w:val="bullet"/>
      <w:lvlText w:val="o"/>
      <w:lvlJc w:val="left"/>
      <w:pPr>
        <w:tabs>
          <w:tab w:val="num" w:pos="1898"/>
        </w:tabs>
        <w:ind w:left="1898" w:hanging="360"/>
      </w:pPr>
      <w:rPr>
        <w:rFonts w:ascii="Courier New" w:hAnsi="Courier New" w:hint="default"/>
      </w:rPr>
    </w:lvl>
    <w:lvl w:ilvl="2" w:tplc="00050409" w:tentative="1">
      <w:start w:val="1"/>
      <w:numFmt w:val="bullet"/>
      <w:lvlText w:val=""/>
      <w:lvlJc w:val="left"/>
      <w:pPr>
        <w:tabs>
          <w:tab w:val="num" w:pos="2618"/>
        </w:tabs>
        <w:ind w:left="2618" w:hanging="360"/>
      </w:pPr>
      <w:rPr>
        <w:rFonts w:ascii="Wingdings" w:hAnsi="Wingdings" w:hint="default"/>
      </w:rPr>
    </w:lvl>
    <w:lvl w:ilvl="3" w:tplc="00010409" w:tentative="1">
      <w:start w:val="1"/>
      <w:numFmt w:val="bullet"/>
      <w:lvlText w:val=""/>
      <w:lvlJc w:val="left"/>
      <w:pPr>
        <w:tabs>
          <w:tab w:val="num" w:pos="3338"/>
        </w:tabs>
        <w:ind w:left="3338" w:hanging="360"/>
      </w:pPr>
      <w:rPr>
        <w:rFonts w:ascii="Symbol" w:hAnsi="Symbol" w:hint="default"/>
      </w:rPr>
    </w:lvl>
    <w:lvl w:ilvl="4" w:tplc="00030409" w:tentative="1">
      <w:start w:val="1"/>
      <w:numFmt w:val="bullet"/>
      <w:lvlText w:val="o"/>
      <w:lvlJc w:val="left"/>
      <w:pPr>
        <w:tabs>
          <w:tab w:val="num" w:pos="4058"/>
        </w:tabs>
        <w:ind w:left="4058" w:hanging="360"/>
      </w:pPr>
      <w:rPr>
        <w:rFonts w:ascii="Courier New" w:hAnsi="Courier New" w:hint="default"/>
      </w:rPr>
    </w:lvl>
    <w:lvl w:ilvl="5" w:tplc="00050409" w:tentative="1">
      <w:start w:val="1"/>
      <w:numFmt w:val="bullet"/>
      <w:lvlText w:val=""/>
      <w:lvlJc w:val="left"/>
      <w:pPr>
        <w:tabs>
          <w:tab w:val="num" w:pos="4778"/>
        </w:tabs>
        <w:ind w:left="4778" w:hanging="360"/>
      </w:pPr>
      <w:rPr>
        <w:rFonts w:ascii="Wingdings" w:hAnsi="Wingdings" w:hint="default"/>
      </w:rPr>
    </w:lvl>
    <w:lvl w:ilvl="6" w:tplc="00010409" w:tentative="1">
      <w:start w:val="1"/>
      <w:numFmt w:val="bullet"/>
      <w:lvlText w:val=""/>
      <w:lvlJc w:val="left"/>
      <w:pPr>
        <w:tabs>
          <w:tab w:val="num" w:pos="5498"/>
        </w:tabs>
        <w:ind w:left="5498" w:hanging="360"/>
      </w:pPr>
      <w:rPr>
        <w:rFonts w:ascii="Symbol" w:hAnsi="Symbol" w:hint="default"/>
      </w:rPr>
    </w:lvl>
    <w:lvl w:ilvl="7" w:tplc="00030409" w:tentative="1">
      <w:start w:val="1"/>
      <w:numFmt w:val="bullet"/>
      <w:lvlText w:val="o"/>
      <w:lvlJc w:val="left"/>
      <w:pPr>
        <w:tabs>
          <w:tab w:val="num" w:pos="6218"/>
        </w:tabs>
        <w:ind w:left="6218" w:hanging="360"/>
      </w:pPr>
      <w:rPr>
        <w:rFonts w:ascii="Courier New" w:hAnsi="Courier New" w:hint="default"/>
      </w:rPr>
    </w:lvl>
    <w:lvl w:ilvl="8" w:tplc="00050409" w:tentative="1">
      <w:start w:val="1"/>
      <w:numFmt w:val="bullet"/>
      <w:lvlText w:val=""/>
      <w:lvlJc w:val="left"/>
      <w:pPr>
        <w:tabs>
          <w:tab w:val="num" w:pos="6938"/>
        </w:tabs>
        <w:ind w:left="6938" w:hanging="360"/>
      </w:pPr>
      <w:rPr>
        <w:rFonts w:ascii="Wingdings" w:hAnsi="Wingdings" w:hint="default"/>
      </w:rPr>
    </w:lvl>
  </w:abstractNum>
  <w:abstractNum w:abstractNumId="19" w15:restartNumberingAfterBreak="0">
    <w:nsid w:val="769A3E42"/>
    <w:multiLevelType w:val="hybridMultilevel"/>
    <w:tmpl w:val="4D089812"/>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1"/>
  </w:num>
  <w:num w:numId="6">
    <w:abstractNumId w:val="12"/>
  </w:num>
  <w:num w:numId="7">
    <w:abstractNumId w:val="3"/>
  </w:num>
  <w:num w:numId="8">
    <w:abstractNumId w:val="13"/>
  </w:num>
  <w:num w:numId="9">
    <w:abstractNumId w:val="2"/>
  </w:num>
  <w:num w:numId="10">
    <w:abstractNumId w:val="9"/>
  </w:num>
  <w:num w:numId="11">
    <w:abstractNumId w:val="16"/>
  </w:num>
  <w:num w:numId="12">
    <w:abstractNumId w:val="18"/>
  </w:num>
  <w:num w:numId="13">
    <w:abstractNumId w:val="17"/>
  </w:num>
  <w:num w:numId="14">
    <w:abstractNumId w:val="4"/>
  </w:num>
  <w:num w:numId="15">
    <w:abstractNumId w:val="14"/>
  </w:num>
  <w:num w:numId="16">
    <w:abstractNumId w:val="10"/>
  </w:num>
  <w:num w:numId="17">
    <w:abstractNumId w:val="8"/>
  </w:num>
  <w:num w:numId="18">
    <w:abstractNumId w:val="0"/>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E0"/>
    <w:rsid w:val="0000466E"/>
    <w:rsid w:val="00041949"/>
    <w:rsid w:val="000768C5"/>
    <w:rsid w:val="001D4E5B"/>
    <w:rsid w:val="00216898"/>
    <w:rsid w:val="00234FDD"/>
    <w:rsid w:val="00292B0C"/>
    <w:rsid w:val="00292C73"/>
    <w:rsid w:val="002A5FCB"/>
    <w:rsid w:val="002F49FF"/>
    <w:rsid w:val="00344A33"/>
    <w:rsid w:val="003B7EBC"/>
    <w:rsid w:val="003C2CB2"/>
    <w:rsid w:val="003D5494"/>
    <w:rsid w:val="00444719"/>
    <w:rsid w:val="00464E53"/>
    <w:rsid w:val="004E0E86"/>
    <w:rsid w:val="004F6FD5"/>
    <w:rsid w:val="00634AE1"/>
    <w:rsid w:val="0065500A"/>
    <w:rsid w:val="00731831"/>
    <w:rsid w:val="007855AD"/>
    <w:rsid w:val="007B6B57"/>
    <w:rsid w:val="007E3AEE"/>
    <w:rsid w:val="008F435A"/>
    <w:rsid w:val="00947AF6"/>
    <w:rsid w:val="00973DB3"/>
    <w:rsid w:val="00A113EC"/>
    <w:rsid w:val="00B33660"/>
    <w:rsid w:val="00B743FD"/>
    <w:rsid w:val="00B76420"/>
    <w:rsid w:val="00BB0A93"/>
    <w:rsid w:val="00BB22E0"/>
    <w:rsid w:val="00C11C44"/>
    <w:rsid w:val="00C56B19"/>
    <w:rsid w:val="00C71B36"/>
    <w:rsid w:val="00E02293"/>
    <w:rsid w:val="00ED75BB"/>
    <w:rsid w:val="00EF6F11"/>
    <w:rsid w:val="00F168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1F4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lang w:val="en-AU"/>
    </w:rPr>
  </w:style>
  <w:style w:type="paragraph" w:styleId="Heading2">
    <w:name w:val="heading 2"/>
    <w:basedOn w:val="Normal"/>
    <w:next w:val="Normal"/>
    <w:qFormat/>
    <w:pPr>
      <w:keepNext/>
      <w:outlineLvl w:val="1"/>
    </w:pPr>
    <w:rPr>
      <w:b/>
      <w:sz w:val="20"/>
      <w:lang w:eastAsia="zh-CN"/>
    </w:rPr>
  </w:style>
  <w:style w:type="paragraph" w:styleId="Heading3">
    <w:name w:val="heading 3"/>
    <w:basedOn w:val="Normal"/>
    <w:next w:val="Normal"/>
    <w:qFormat/>
    <w:pPr>
      <w:keepNext/>
      <w:outlineLvl w:val="2"/>
    </w:pPr>
    <w:rPr>
      <w:b/>
      <w:lang w:val="en-GB"/>
    </w:rPr>
  </w:style>
  <w:style w:type="paragraph" w:styleId="Heading4">
    <w:name w:val="heading 4"/>
    <w:basedOn w:val="Normal"/>
    <w:next w:val="Normal"/>
    <w:qFormat/>
    <w:pPr>
      <w:keepNext/>
      <w:outlineLvl w:val="3"/>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rPr>
      <w:rFonts w:ascii="Gill Sans Condensed Bold" w:hAnsi="Gill Sans Condensed Bold"/>
    </w:rPr>
  </w:style>
  <w:style w:type="paragraph" w:customStyle="1" w:styleId="Bold2">
    <w:name w:val="Bold 2"/>
    <w:basedOn w:val="Bold"/>
    <w:rPr>
      <w:rFonts w:ascii="Arial" w:hAnsi="Arial"/>
    </w:rPr>
  </w:style>
  <w:style w:type="paragraph" w:customStyle="1" w:styleId="Normal2">
    <w:name w:val="Normal 2"/>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pPr>
    <w:rPr>
      <w:sz w:val="24"/>
    </w:rPr>
  </w:style>
  <w:style w:type="paragraph" w:styleId="BodyTextIndent2">
    <w:name w:val="Body Text Indent 2"/>
    <w:basedOn w:val="Normal"/>
    <w:pPr>
      <w:ind w:left="709"/>
    </w:pPr>
  </w:style>
  <w:style w:type="paragraph" w:styleId="BodyTextIndent3">
    <w:name w:val="Body Text Indent 3"/>
    <w:basedOn w:val="Normal"/>
    <w:pPr>
      <w:ind w:left="993"/>
    </w:pPr>
  </w:style>
  <w:style w:type="paragraph" w:styleId="BodyText2">
    <w:name w:val="Body Text 2"/>
    <w:basedOn w:val="Normal"/>
    <w:rPr>
      <w:b/>
      <w:sz w:val="20"/>
      <w:lang w:eastAsia="zh-CN"/>
    </w:rPr>
  </w:style>
  <w:style w:type="character" w:styleId="Hyperlink">
    <w:name w:val="Hyperlink"/>
    <w:basedOn w:val="DefaultParagraphFont"/>
    <w:rPr>
      <w:color w:val="0000FF"/>
      <w:u w:val="single"/>
    </w:rPr>
  </w:style>
  <w:style w:type="paragraph" w:styleId="BodyText">
    <w:name w:val="Body Text"/>
    <w:basedOn w:val="Normal"/>
    <w:rPr>
      <w:lang w:val="en-GB"/>
    </w:rPr>
  </w:style>
  <w:style w:type="paragraph" w:styleId="BlockText">
    <w:name w:val="Block Text"/>
    <w:basedOn w:val="Normal"/>
    <w:pPr>
      <w:ind w:left="851" w:right="1076" w:firstLine="283"/>
    </w:pPr>
  </w:style>
  <w:style w:type="paragraph" w:customStyle="1" w:styleId="DefaultText">
    <w:name w:val="Default Text"/>
    <w:basedOn w:val="Normal"/>
    <w:rPr>
      <w:rFonts w:eastAsia="Times New Roman"/>
    </w:rPr>
  </w:style>
  <w:style w:type="paragraph" w:styleId="ListParagraph">
    <w:name w:val="List Paragraph"/>
    <w:basedOn w:val="Normal"/>
    <w:uiPriority w:val="34"/>
    <w:qFormat/>
    <w:rsid w:val="006B1E3E"/>
    <w:pPr>
      <w:spacing w:after="200"/>
      <w:ind w:left="720"/>
      <w:contextualSpacing/>
    </w:pPr>
    <w:rPr>
      <w:rFonts w:ascii="Cambria" w:eastAsia="Cambria" w:hAnsi="Cambria"/>
      <w:sz w:val="24"/>
      <w:szCs w:val="24"/>
    </w:rPr>
  </w:style>
  <w:style w:type="paragraph" w:styleId="BalloonText">
    <w:name w:val="Balloon Text"/>
    <w:basedOn w:val="Normal"/>
    <w:link w:val="BalloonTextChar"/>
    <w:uiPriority w:val="99"/>
    <w:semiHidden/>
    <w:unhideWhenUsed/>
    <w:rsid w:val="007B6B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B57"/>
    <w:rPr>
      <w:rFonts w:ascii="Lucida Grande" w:hAnsi="Lucida Grande" w:cs="Lucida Grande"/>
      <w:sz w:val="18"/>
      <w:szCs w:val="18"/>
      <w:lang w:val="en-AU"/>
    </w:rPr>
  </w:style>
  <w:style w:type="paragraph" w:styleId="FootnoteText">
    <w:name w:val="footnote text"/>
    <w:basedOn w:val="Normal"/>
    <w:link w:val="FootnoteTextChar"/>
    <w:semiHidden/>
    <w:rsid w:val="00E02293"/>
    <w:rPr>
      <w:rFonts w:ascii="Times New Roman" w:eastAsia="Times New Roman" w:hAnsi="Times New Roman"/>
      <w:sz w:val="20"/>
    </w:rPr>
  </w:style>
  <w:style w:type="character" w:customStyle="1" w:styleId="FootnoteTextChar">
    <w:name w:val="Footnote Text Char"/>
    <w:basedOn w:val="DefaultParagraphFont"/>
    <w:link w:val="FootnoteText"/>
    <w:semiHidden/>
    <w:rsid w:val="00E02293"/>
    <w:rPr>
      <w:rFonts w:ascii="Times New Roman" w:eastAsia="Times New Roman" w:hAnsi="Times New Roman"/>
      <w:lang w:val="en-AU"/>
    </w:rPr>
  </w:style>
  <w:style w:type="character" w:styleId="FootnoteReference">
    <w:name w:val="footnote reference"/>
    <w:semiHidden/>
    <w:rsid w:val="00E02293"/>
    <w:rPr>
      <w:vertAlign w:val="superscript"/>
    </w:rPr>
  </w:style>
  <w:style w:type="character" w:styleId="EndnoteReference">
    <w:name w:val="endnote reference"/>
    <w:basedOn w:val="DefaultParagraphFont"/>
    <w:uiPriority w:val="99"/>
    <w:semiHidden/>
    <w:unhideWhenUsed/>
    <w:rsid w:val="00ED75BB"/>
    <w:rPr>
      <w:vertAlign w:val="superscript"/>
    </w:rPr>
  </w:style>
  <w:style w:type="paragraph" w:customStyle="1" w:styleId="Default">
    <w:name w:val="Default"/>
    <w:rsid w:val="00464E53"/>
    <w:pPr>
      <w:autoSpaceDE w:val="0"/>
      <w:autoSpaceDN w:val="0"/>
      <w:adjustRightInd w:val="0"/>
    </w:pPr>
    <w:rPr>
      <w:rFonts w:ascii="Arial" w:eastAsiaTheme="minorHAnsi" w:hAnsi="Arial" w:cs="Arial"/>
      <w:color w:val="000000"/>
      <w:sz w:val="24"/>
      <w:szCs w:val="24"/>
      <w:lang w:val="en-AU"/>
    </w:rPr>
  </w:style>
  <w:style w:type="table" w:styleId="TableGrid">
    <w:name w:val="Table Grid"/>
    <w:basedOn w:val="TableNormal"/>
    <w:uiPriority w:val="59"/>
    <w:rsid w:val="00464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D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rinquiry@aer.gov.au" TargetMode="External"/><Relationship Id="rId13" Type="http://schemas.openxmlformats.org/officeDocument/2006/relationships/image" Target="media/image1.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er.gov.au/system/files/Amended%20STPIS%20-%20November%202009.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c.gov.au/system/files/March%202002%20-%20National%20Regulatory%20Reporting%20for%20Electricity%20Distribution%20and%20Retailing%20Business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emc.gov.au/getattachment/5100b84a-d54c-4f20-9000-028951b922e8/National-Electricity-Rule-Version-61.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chan@aer.gov.au"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resourcesandenergy.nsw.gov.au/energy-supply-industry/legislation-and-policy/electricity-legislation/code-review/electricity_legislation_nsw_public_lighting_code.pdf" TargetMode="External"/><Relationship Id="rId2" Type="http://schemas.openxmlformats.org/officeDocument/2006/relationships/hyperlink" Target="http://www.ipart.nsw.gov.au/files/sharedassets/website/trimholdingbay/reporting_manual_-_electricity_distribution_network_service_provider_-_march_2015.pdf" TargetMode="External"/><Relationship Id="rId1" Type="http://schemas.openxmlformats.org/officeDocument/2006/relationships/hyperlink" Target="http://www.resourcesandenergy.nsw.gov.au/__data/assets/pdf_file/0004/564790/Report-2015-Outline-Distribution-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AC20-399E-B34D-A4B5-A1EA04DF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23 February 2007</vt:lpstr>
    </vt:vector>
  </TitlesOfParts>
  <Company>SSROC</Company>
  <LinksUpToDate>false</LinksUpToDate>
  <CharactersWithSpaces>13428</CharactersWithSpaces>
  <SharedDoc>false</SharedDoc>
  <HLinks>
    <vt:vector size="12" baseType="variant">
      <vt:variant>
        <vt:i4>8192105</vt:i4>
      </vt:variant>
      <vt:variant>
        <vt:i4>2281</vt:i4>
      </vt:variant>
      <vt:variant>
        <vt:i4>1025</vt:i4>
      </vt:variant>
      <vt:variant>
        <vt:i4>1</vt:i4>
      </vt:variant>
      <vt:variant>
        <vt:lpwstr>banner</vt:lpwstr>
      </vt:variant>
      <vt:variant>
        <vt:lpwstr/>
      </vt:variant>
      <vt:variant>
        <vt:i4>6815859</vt:i4>
      </vt:variant>
      <vt:variant>
        <vt:i4>-1</vt:i4>
      </vt:variant>
      <vt:variant>
        <vt:i4>2069</vt:i4>
      </vt:variant>
      <vt:variant>
        <vt:i4>1</vt:i4>
      </vt:variant>
      <vt:variant>
        <vt:lpwstr>Address for 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February 2007</dc:title>
  <dc:subject/>
  <dc:creator>Melissa Gibbs</dc:creator>
  <cp:keywords/>
  <cp:lastModifiedBy>SSROC Admin</cp:lastModifiedBy>
  <cp:revision>5</cp:revision>
  <cp:lastPrinted>2018-02-09T04:40:00Z</cp:lastPrinted>
  <dcterms:created xsi:type="dcterms:W3CDTF">2018-02-09T03:44:00Z</dcterms:created>
  <dcterms:modified xsi:type="dcterms:W3CDTF">2018-02-09T04:48:00Z</dcterms:modified>
</cp:coreProperties>
</file>