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A131FB" w:rsidP="00824CC8">
      <w:pPr>
        <w:pStyle w:val="AERbodytextindent1"/>
        <w:rPr>
          <w:rStyle w:val="AERtextsize8"/>
        </w:rPr>
      </w:pPr>
      <w:r w:rsidRPr="00824CC8">
        <w:rPr>
          <w:noProof/>
          <w:lang w:eastAsia="en-AU"/>
        </w:rPr>
        <w:drawing>
          <wp:anchor distT="0" distB="0" distL="114300" distR="114300" simplePos="0" relativeHeight="251648512" behindDoc="1" locked="0" layoutInCell="1" allowOverlap="1" wp14:anchorId="26C8EE71" wp14:editId="05701C94">
            <wp:simplePos x="0" y="0"/>
            <wp:positionH relativeFrom="column">
              <wp:posOffset>-914400</wp:posOffset>
            </wp:positionH>
            <wp:positionV relativeFrom="paragraph">
              <wp:posOffset>-944169</wp:posOffset>
            </wp:positionV>
            <wp:extent cx="7602854" cy="10783019"/>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02854" cy="107830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49D4" w:rsidRPr="00824CC8">
        <w:rPr>
          <w:noProof/>
          <w:lang w:eastAsia="en-AU"/>
        </w:rPr>
        <w:drawing>
          <wp:anchor distT="0" distB="0" distL="114300" distR="114300" simplePos="0" relativeHeight="251647488" behindDoc="1" locked="0" layoutInCell="1" allowOverlap="1" wp14:anchorId="3904FDBB" wp14:editId="0F86CFF8">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9658F0" w:rsidRDefault="009658F0" w:rsidP="000A1CC2">
      <w:pPr>
        <w:pStyle w:val="AERtitle1"/>
      </w:pPr>
    </w:p>
    <w:p w:rsidR="00A131FB" w:rsidRDefault="00A131FB" w:rsidP="000A1CC2">
      <w:pPr>
        <w:pStyle w:val="AERtitle1"/>
      </w:pPr>
    </w:p>
    <w:p w:rsidR="00A131FB" w:rsidRDefault="00A131FB" w:rsidP="000A1CC2">
      <w:pPr>
        <w:pStyle w:val="AERtitle1"/>
      </w:pPr>
    </w:p>
    <w:p w:rsidR="00A131FB" w:rsidRDefault="00A131FB" w:rsidP="000A1CC2">
      <w:pPr>
        <w:pStyle w:val="AERtitle1"/>
      </w:pPr>
    </w:p>
    <w:p w:rsidR="00A131FB" w:rsidRDefault="00A131FB" w:rsidP="000A1CC2">
      <w:pPr>
        <w:pStyle w:val="AERtitle1"/>
      </w:pPr>
    </w:p>
    <w:p w:rsidR="000A1CC2" w:rsidRPr="003B2062" w:rsidRDefault="00624F72" w:rsidP="000A1CC2">
      <w:pPr>
        <w:pStyle w:val="AERtitle1"/>
        <w:rPr>
          <w:rFonts w:ascii="Arial" w:hAnsi="Arial" w:cs="Arial"/>
        </w:rPr>
      </w:pPr>
      <w:r w:rsidRPr="003B2062">
        <w:rPr>
          <w:rFonts w:ascii="Arial" w:hAnsi="Arial" w:cs="Arial"/>
        </w:rPr>
        <w:t>Gas market s</w:t>
      </w:r>
      <w:r w:rsidR="00DA4AD2" w:rsidRPr="003B2062">
        <w:rPr>
          <w:rFonts w:ascii="Arial" w:hAnsi="Arial" w:cs="Arial"/>
        </w:rPr>
        <w:t>ignificant price variation report</w:t>
      </w:r>
    </w:p>
    <w:p w:rsidR="000A1CC2" w:rsidRPr="003B2062" w:rsidRDefault="000A1CC2" w:rsidP="000A1CC2">
      <w:pPr>
        <w:pStyle w:val="AERtitle1"/>
        <w:rPr>
          <w:rFonts w:ascii="Arial" w:hAnsi="Arial" w:cs="Arial"/>
        </w:rPr>
      </w:pPr>
    </w:p>
    <w:p w:rsidR="00DA4AD2" w:rsidRPr="003B2062" w:rsidRDefault="002838F4" w:rsidP="000B15CA">
      <w:pPr>
        <w:pStyle w:val="AERtitle2"/>
        <w:rPr>
          <w:rFonts w:ascii="Arial" w:hAnsi="Arial" w:cs="Arial"/>
        </w:rPr>
      </w:pPr>
      <w:r w:rsidRPr="003B2062">
        <w:rPr>
          <w:rFonts w:ascii="Arial" w:hAnsi="Arial" w:cs="Arial"/>
        </w:rPr>
        <w:t>17</w:t>
      </w:r>
      <w:r w:rsidR="008747A1" w:rsidRPr="003B2062">
        <w:rPr>
          <w:rFonts w:ascii="Arial" w:hAnsi="Arial" w:cs="Arial"/>
        </w:rPr>
        <w:t xml:space="preserve"> </w:t>
      </w:r>
      <w:r w:rsidRPr="003B2062">
        <w:rPr>
          <w:rFonts w:ascii="Arial" w:hAnsi="Arial" w:cs="Arial"/>
        </w:rPr>
        <w:t>October</w:t>
      </w:r>
      <w:r w:rsidR="008747A1" w:rsidRPr="003B2062">
        <w:rPr>
          <w:rFonts w:ascii="Arial" w:hAnsi="Arial" w:cs="Arial"/>
        </w:rPr>
        <w:t xml:space="preserve"> 2014, Brisbane</w:t>
      </w:r>
      <w:r w:rsidR="00DA4AD2" w:rsidRPr="003B2062">
        <w:rPr>
          <w:rFonts w:ascii="Arial" w:hAnsi="Arial" w:cs="Arial"/>
        </w:rPr>
        <w:t xml:space="preserve"> STTM</w:t>
      </w:r>
    </w:p>
    <w:p w:rsidR="000B15CA" w:rsidRPr="003B2062" w:rsidRDefault="000B15CA" w:rsidP="000B15CA">
      <w:pPr>
        <w:pStyle w:val="AERtitle2"/>
        <w:rPr>
          <w:rFonts w:ascii="Arial" w:hAnsi="Arial" w:cs="Arial"/>
        </w:rPr>
      </w:pPr>
    </w:p>
    <w:p w:rsidR="000B15CA" w:rsidRPr="003B2062" w:rsidRDefault="000B15CA" w:rsidP="000B15CA">
      <w:pPr>
        <w:pStyle w:val="AERtitle2"/>
        <w:rPr>
          <w:rFonts w:ascii="Arial" w:hAnsi="Arial" w:cs="Arial"/>
        </w:rPr>
      </w:pPr>
    </w:p>
    <w:p w:rsidR="000B15CA" w:rsidRPr="003B2062" w:rsidRDefault="000B15CA" w:rsidP="000B15CA">
      <w:pPr>
        <w:pStyle w:val="AERtitle2"/>
        <w:rPr>
          <w:rFonts w:ascii="Arial" w:hAnsi="Arial" w:cs="Arial"/>
        </w:rPr>
      </w:pPr>
    </w:p>
    <w:p w:rsidR="004E73F7" w:rsidRPr="003B2062" w:rsidRDefault="004E73F7" w:rsidP="00507FC5">
      <w:pPr>
        <w:pStyle w:val="AERbodytextnospace"/>
        <w:numPr>
          <w:ilvl w:val="0"/>
          <w:numId w:val="6"/>
        </w:numPr>
        <w:rPr>
          <w:rFonts w:ascii="Arial" w:hAnsi="Arial" w:cs="Arial"/>
        </w:rPr>
      </w:pPr>
    </w:p>
    <w:p w:rsidR="000B15CA" w:rsidRPr="003B2062" w:rsidRDefault="000B15CA" w:rsidP="00507FC5">
      <w:pPr>
        <w:pStyle w:val="AERbodytextnospace"/>
        <w:numPr>
          <w:ilvl w:val="0"/>
          <w:numId w:val="6"/>
        </w:numPr>
        <w:rPr>
          <w:rFonts w:ascii="Arial" w:hAnsi="Arial" w:cs="Arial"/>
        </w:rPr>
      </w:pPr>
    </w:p>
    <w:p w:rsidR="00CC49D4" w:rsidRPr="003B2062" w:rsidRDefault="00CC49D4" w:rsidP="00CC49D4">
      <w:pPr>
        <w:rPr>
          <w:rFonts w:ascii="Arial" w:hAnsi="Arial" w:cs="Arial"/>
        </w:rPr>
      </w:pPr>
    </w:p>
    <w:p w:rsidR="00D36144" w:rsidRPr="003B2062" w:rsidRDefault="00D36144" w:rsidP="00D36144">
      <w:pPr>
        <w:pStyle w:val="AERbodytextnospace"/>
        <w:rPr>
          <w:rStyle w:val="AERtextbold"/>
          <w:rFonts w:ascii="Arial" w:hAnsi="Arial" w:cs="Arial"/>
        </w:rPr>
      </w:pPr>
      <w:bookmarkStart w:id="0" w:name="_Toc360023682"/>
      <w:bookmarkStart w:id="1" w:name="_Toc360024843"/>
      <w:bookmarkStart w:id="2" w:name="_Toc360026187"/>
    </w:p>
    <w:p w:rsidR="00D36144" w:rsidRPr="003B2062" w:rsidRDefault="00D36144" w:rsidP="00D36144">
      <w:pPr>
        <w:pStyle w:val="AERbodytextnospace"/>
        <w:rPr>
          <w:rStyle w:val="AERtextbold"/>
          <w:rFonts w:ascii="Arial" w:hAnsi="Arial" w:cs="Arial"/>
        </w:rPr>
      </w:pPr>
    </w:p>
    <w:p w:rsidR="00D36144" w:rsidRPr="003B2062" w:rsidRDefault="00D36144" w:rsidP="00D36144">
      <w:pPr>
        <w:pStyle w:val="AERbodytextnospace"/>
        <w:rPr>
          <w:rStyle w:val="AERtextbold"/>
          <w:rFonts w:ascii="Arial" w:hAnsi="Arial" w:cs="Arial"/>
        </w:rPr>
      </w:pPr>
    </w:p>
    <w:p w:rsidR="00D36144" w:rsidRPr="003B2062" w:rsidRDefault="00D36144" w:rsidP="00D36144">
      <w:pPr>
        <w:pStyle w:val="AERbodytextnospace"/>
        <w:rPr>
          <w:rStyle w:val="AERtextbold"/>
          <w:rFonts w:ascii="Arial" w:hAnsi="Arial" w:cs="Arial"/>
        </w:rPr>
      </w:pPr>
    </w:p>
    <w:p w:rsidR="00D36144" w:rsidRPr="003B2062" w:rsidRDefault="00D36144" w:rsidP="00D36144">
      <w:pPr>
        <w:pStyle w:val="AERbodytextnospace"/>
        <w:rPr>
          <w:rStyle w:val="AERtextbold"/>
          <w:rFonts w:ascii="Arial" w:hAnsi="Arial" w:cs="Arial"/>
        </w:rPr>
      </w:pPr>
    </w:p>
    <w:p w:rsidR="00D36144" w:rsidRPr="003B2062" w:rsidRDefault="00D36144" w:rsidP="00D36144">
      <w:pPr>
        <w:pStyle w:val="AERbodytextnospace"/>
        <w:rPr>
          <w:rStyle w:val="AERtextbold"/>
          <w:rFonts w:ascii="Arial" w:hAnsi="Arial" w:cs="Arial"/>
        </w:rPr>
      </w:pPr>
    </w:p>
    <w:p w:rsidR="00D36144" w:rsidRPr="003B2062" w:rsidRDefault="00D36144" w:rsidP="00D36144">
      <w:pPr>
        <w:pStyle w:val="AERbodytextnospace"/>
        <w:rPr>
          <w:rStyle w:val="AERtextbold"/>
          <w:rFonts w:ascii="Arial" w:hAnsi="Arial" w:cs="Arial"/>
        </w:rPr>
      </w:pPr>
    </w:p>
    <w:p w:rsidR="00D36144" w:rsidRPr="003B2062" w:rsidRDefault="00D36144" w:rsidP="00D36144">
      <w:pPr>
        <w:pStyle w:val="AERbodytextnospace"/>
        <w:rPr>
          <w:rStyle w:val="AERtextbold"/>
          <w:rFonts w:ascii="Arial" w:hAnsi="Arial" w:cs="Arial"/>
        </w:rPr>
      </w:pPr>
    </w:p>
    <w:p w:rsidR="00D36144" w:rsidRPr="003B2062" w:rsidRDefault="00D36144" w:rsidP="00D36144">
      <w:pPr>
        <w:pStyle w:val="AERbodytextnospace"/>
        <w:rPr>
          <w:rStyle w:val="AERtextbold"/>
          <w:rFonts w:ascii="Arial" w:hAnsi="Arial" w:cs="Arial"/>
        </w:rPr>
      </w:pPr>
    </w:p>
    <w:p w:rsidR="006E0734" w:rsidRPr="003B2062" w:rsidRDefault="006E0734" w:rsidP="00D36144">
      <w:pPr>
        <w:pStyle w:val="AERbodytextnospace"/>
        <w:rPr>
          <w:rStyle w:val="AERtextbold"/>
          <w:rFonts w:ascii="Arial" w:hAnsi="Arial" w:cs="Arial"/>
        </w:rPr>
      </w:pPr>
    </w:p>
    <w:p w:rsidR="007A5812" w:rsidRPr="003B2062" w:rsidRDefault="007A5812" w:rsidP="007A5812">
      <w:pPr>
        <w:pStyle w:val="AERbodytextnospace"/>
        <w:rPr>
          <w:rStyle w:val="AERtextbold"/>
          <w:rFonts w:ascii="Arial" w:hAnsi="Arial" w:cs="Arial"/>
        </w:rPr>
      </w:pPr>
    </w:p>
    <w:p w:rsidR="00D36144" w:rsidRPr="003B2062" w:rsidRDefault="00D36144" w:rsidP="007A5812">
      <w:pPr>
        <w:pStyle w:val="AERbodytextnospace"/>
        <w:rPr>
          <w:rStyle w:val="AERtextbold"/>
          <w:rFonts w:ascii="Arial" w:hAnsi="Arial" w:cs="Arial"/>
        </w:rPr>
      </w:pPr>
      <w:r w:rsidRPr="003B2062">
        <w:rPr>
          <w:rStyle w:val="AERtextbold"/>
          <w:rFonts w:ascii="Arial" w:hAnsi="Arial" w:cs="Arial"/>
        </w:rPr>
        <w:t>©</w:t>
      </w:r>
      <w:r w:rsidR="003604D5" w:rsidRPr="003B2062">
        <w:rPr>
          <w:rStyle w:val="AERtextbold"/>
          <w:rFonts w:ascii="Arial" w:hAnsi="Arial" w:cs="Arial"/>
        </w:rPr>
        <w:t xml:space="preserve"> Commonwealth of Australia 2014</w:t>
      </w:r>
    </w:p>
    <w:p w:rsidR="00D36144" w:rsidRPr="003B2062" w:rsidRDefault="00D36144" w:rsidP="00D36144">
      <w:pPr>
        <w:rPr>
          <w:rFonts w:ascii="Arial" w:hAnsi="Arial" w:cs="Arial"/>
        </w:rPr>
      </w:pPr>
      <w:r w:rsidRPr="003B2062">
        <w:rPr>
          <w:rFonts w:ascii="Arial" w:hAnsi="Arial" w:cs="Arial"/>
        </w:rPr>
        <w:lastRenderedPageBreak/>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36144" w:rsidRPr="003B2062" w:rsidRDefault="00D36144" w:rsidP="00D36144">
      <w:pPr>
        <w:rPr>
          <w:rFonts w:ascii="Arial" w:hAnsi="Arial" w:cs="Arial"/>
        </w:rPr>
      </w:pPr>
      <w:r w:rsidRPr="003B2062">
        <w:rPr>
          <w:rFonts w:ascii="Arial" w:hAnsi="Arial" w:cs="Arial"/>
        </w:rPr>
        <w:t>Inquiries about this document should be addressed to:</w:t>
      </w:r>
    </w:p>
    <w:p w:rsidR="00D36144" w:rsidRPr="003B2062" w:rsidRDefault="00D36144" w:rsidP="00507FC5">
      <w:pPr>
        <w:pStyle w:val="AERbodytextnospace"/>
        <w:numPr>
          <w:ilvl w:val="0"/>
          <w:numId w:val="6"/>
        </w:numPr>
        <w:rPr>
          <w:rFonts w:ascii="Arial" w:hAnsi="Arial" w:cs="Arial"/>
        </w:rPr>
      </w:pPr>
      <w:r w:rsidRPr="003B2062">
        <w:rPr>
          <w:rFonts w:ascii="Arial" w:hAnsi="Arial" w:cs="Arial"/>
        </w:rPr>
        <w:t>Australian Energy Regulator</w:t>
      </w:r>
    </w:p>
    <w:p w:rsidR="00D36144" w:rsidRPr="003B2062" w:rsidRDefault="00D36144" w:rsidP="00507FC5">
      <w:pPr>
        <w:pStyle w:val="AERbodytextnospace"/>
        <w:numPr>
          <w:ilvl w:val="0"/>
          <w:numId w:val="6"/>
        </w:numPr>
        <w:rPr>
          <w:rFonts w:ascii="Arial" w:hAnsi="Arial" w:cs="Arial"/>
        </w:rPr>
      </w:pPr>
      <w:r w:rsidRPr="003B2062">
        <w:rPr>
          <w:rFonts w:ascii="Arial" w:hAnsi="Arial" w:cs="Arial"/>
        </w:rPr>
        <w:t>GPO Box 520</w:t>
      </w:r>
    </w:p>
    <w:p w:rsidR="00D36144" w:rsidRPr="003B2062" w:rsidRDefault="00D36144" w:rsidP="00507FC5">
      <w:pPr>
        <w:pStyle w:val="AERbodytextnospace"/>
        <w:numPr>
          <w:ilvl w:val="0"/>
          <w:numId w:val="6"/>
        </w:numPr>
        <w:rPr>
          <w:rFonts w:ascii="Arial" w:hAnsi="Arial" w:cs="Arial"/>
        </w:rPr>
      </w:pPr>
      <w:r w:rsidRPr="003B2062">
        <w:rPr>
          <w:rFonts w:ascii="Arial" w:hAnsi="Arial" w:cs="Arial"/>
        </w:rPr>
        <w:t>Melbourne  Vic  3001</w:t>
      </w:r>
    </w:p>
    <w:p w:rsidR="00D36144" w:rsidRPr="003B2062" w:rsidRDefault="00D36144" w:rsidP="00507FC5">
      <w:pPr>
        <w:pStyle w:val="AERbodytextnospace"/>
        <w:numPr>
          <w:ilvl w:val="0"/>
          <w:numId w:val="6"/>
        </w:numPr>
        <w:rPr>
          <w:rFonts w:ascii="Arial" w:hAnsi="Arial" w:cs="Arial"/>
        </w:rPr>
      </w:pPr>
      <w:r w:rsidRPr="003B2062">
        <w:rPr>
          <w:rFonts w:ascii="Arial" w:hAnsi="Arial" w:cs="Arial"/>
        </w:rPr>
        <w:t>Tel: (03) 9290 1444</w:t>
      </w:r>
    </w:p>
    <w:p w:rsidR="00D36144" w:rsidRPr="003B2062" w:rsidRDefault="00D36144" w:rsidP="00507FC5">
      <w:pPr>
        <w:pStyle w:val="AERbodytextnospace"/>
        <w:numPr>
          <w:ilvl w:val="0"/>
          <w:numId w:val="6"/>
        </w:numPr>
        <w:rPr>
          <w:rFonts w:ascii="Arial" w:hAnsi="Arial" w:cs="Arial"/>
        </w:rPr>
      </w:pPr>
      <w:r w:rsidRPr="003B2062">
        <w:rPr>
          <w:rFonts w:ascii="Arial" w:hAnsi="Arial" w:cs="Arial"/>
        </w:rPr>
        <w:t>Fax: (03) 9290 1457</w:t>
      </w:r>
    </w:p>
    <w:p w:rsidR="00D36144" w:rsidRPr="003B2062" w:rsidRDefault="00D36144" w:rsidP="00507FC5">
      <w:pPr>
        <w:pStyle w:val="AERbodytextnospace"/>
        <w:numPr>
          <w:ilvl w:val="0"/>
          <w:numId w:val="6"/>
        </w:numPr>
        <w:rPr>
          <w:rFonts w:ascii="Arial" w:hAnsi="Arial" w:cs="Arial"/>
        </w:rPr>
      </w:pPr>
      <w:r w:rsidRPr="003B2062">
        <w:rPr>
          <w:rFonts w:ascii="Arial" w:hAnsi="Arial" w:cs="Arial"/>
        </w:rPr>
        <w:t xml:space="preserve">Email: </w:t>
      </w:r>
      <w:hyperlink r:id="rId10" w:history="1">
        <w:r w:rsidRPr="003B2062">
          <w:rPr>
            <w:rStyle w:val="Hyperlink"/>
            <w:rFonts w:ascii="Arial" w:hAnsi="Arial" w:cs="Arial"/>
          </w:rPr>
          <w:t>AERInquiry@aer.gov.au</w:t>
        </w:r>
      </w:hyperlink>
    </w:p>
    <w:p w:rsidR="00D36144" w:rsidRPr="003B2062" w:rsidRDefault="00D36144" w:rsidP="00D36144">
      <w:pPr>
        <w:rPr>
          <w:rFonts w:ascii="Arial" w:hAnsi="Arial" w:cs="Arial"/>
        </w:rPr>
      </w:pPr>
    </w:p>
    <w:p w:rsidR="00D36144" w:rsidRPr="003B2062" w:rsidRDefault="00D36144" w:rsidP="00D36144">
      <w:pPr>
        <w:rPr>
          <w:rFonts w:ascii="Arial" w:hAnsi="Arial" w:cs="Arial"/>
        </w:rPr>
      </w:pPr>
      <w:r w:rsidRPr="003B2062">
        <w:rPr>
          <w:rFonts w:ascii="Arial" w:hAnsi="Arial" w:cs="Arial"/>
        </w:rPr>
        <w:t xml:space="preserve">AER reference:   </w:t>
      </w:r>
      <w:r w:rsidR="0013058F" w:rsidRPr="003B2062">
        <w:rPr>
          <w:rFonts w:ascii="Arial" w:hAnsi="Arial" w:cs="Arial"/>
        </w:rPr>
        <w:t>5</w:t>
      </w:r>
      <w:r w:rsidR="00804B8F" w:rsidRPr="003B2062">
        <w:rPr>
          <w:rFonts w:ascii="Arial" w:hAnsi="Arial" w:cs="Arial"/>
        </w:rPr>
        <w:t>6130</w:t>
      </w:r>
      <w:r w:rsidR="004E0FBE" w:rsidRPr="003B2062">
        <w:rPr>
          <w:rFonts w:ascii="Arial" w:hAnsi="Arial" w:cs="Arial"/>
        </w:rPr>
        <w:t>-</w:t>
      </w:r>
      <w:r w:rsidR="00216353" w:rsidRPr="003B2062">
        <w:rPr>
          <w:rFonts w:ascii="Arial" w:hAnsi="Arial" w:cs="Arial"/>
        </w:rPr>
        <w:t>D1</w:t>
      </w:r>
      <w:r w:rsidR="007025B0" w:rsidRPr="003B2062">
        <w:rPr>
          <w:rFonts w:ascii="Arial" w:hAnsi="Arial" w:cs="Arial"/>
        </w:rPr>
        <w:t>4</w:t>
      </w:r>
      <w:r w:rsidR="00216353" w:rsidRPr="003B2062">
        <w:rPr>
          <w:rFonts w:ascii="Arial" w:hAnsi="Arial" w:cs="Arial"/>
        </w:rPr>
        <w:t>/14</w:t>
      </w:r>
      <w:r w:rsidR="007025B0" w:rsidRPr="003B2062">
        <w:rPr>
          <w:rFonts w:ascii="Arial" w:hAnsi="Arial" w:cs="Arial"/>
        </w:rPr>
        <w:t>304</w:t>
      </w:r>
      <w:r w:rsidR="00216353" w:rsidRPr="003B2062">
        <w:rPr>
          <w:rFonts w:ascii="Arial" w:hAnsi="Arial" w:cs="Arial"/>
        </w:rPr>
        <w:t>6</w:t>
      </w:r>
    </w:p>
    <w:p w:rsidR="0063440C" w:rsidRPr="003B2062" w:rsidRDefault="00AF3E95" w:rsidP="0063440C">
      <w:pPr>
        <w:pStyle w:val="UnnumberedHeading"/>
        <w:rPr>
          <w:rFonts w:ascii="Arial" w:hAnsi="Arial" w:cs="Arial"/>
        </w:rPr>
      </w:pPr>
      <w:bookmarkStart w:id="3" w:name="_Toc367106863"/>
      <w:bookmarkStart w:id="4" w:name="_Toc367192702"/>
      <w:bookmarkStart w:id="5" w:name="_Toc368048795"/>
      <w:bookmarkStart w:id="6" w:name="_Toc405366930"/>
      <w:r w:rsidRPr="003B2062">
        <w:rPr>
          <w:rFonts w:ascii="Arial" w:hAnsi="Arial" w:cs="Arial"/>
        </w:rPr>
        <w:lastRenderedPageBreak/>
        <w:t>Contents</w:t>
      </w:r>
      <w:bookmarkEnd w:id="0"/>
      <w:bookmarkEnd w:id="1"/>
      <w:bookmarkEnd w:id="2"/>
      <w:bookmarkEnd w:id="3"/>
      <w:bookmarkEnd w:id="4"/>
      <w:bookmarkEnd w:id="5"/>
      <w:bookmarkEnd w:id="6"/>
    </w:p>
    <w:p w:rsidR="0024572B" w:rsidRPr="003B2062" w:rsidRDefault="00824CC8">
      <w:pPr>
        <w:pStyle w:val="TOC1"/>
        <w:tabs>
          <w:tab w:val="right" w:leader="dot" w:pos="9016"/>
        </w:tabs>
        <w:rPr>
          <w:rFonts w:ascii="Arial" w:eastAsiaTheme="minorEastAsia" w:hAnsi="Arial" w:cs="Arial"/>
          <w:b w:val="0"/>
          <w:bCs w:val="0"/>
          <w:noProof/>
          <w:sz w:val="22"/>
          <w:szCs w:val="22"/>
          <w:lang w:eastAsia="en-AU"/>
        </w:rPr>
      </w:pPr>
      <w:r w:rsidRPr="003B2062">
        <w:rPr>
          <w:rFonts w:ascii="Arial" w:eastAsia="Times New Roman" w:hAnsi="Arial" w:cs="Arial"/>
          <w:color w:val="E36C0A"/>
          <w:sz w:val="36"/>
          <w:szCs w:val="28"/>
        </w:rPr>
        <w:fldChar w:fldCharType="begin"/>
      </w:r>
      <w:r w:rsidRPr="003B2062">
        <w:rPr>
          <w:rFonts w:ascii="Arial" w:hAnsi="Arial" w:cs="Arial"/>
        </w:rPr>
        <w:instrText xml:space="preserve"> TOC \o "1-2" \h \z \u </w:instrText>
      </w:r>
      <w:r w:rsidRPr="003B2062">
        <w:rPr>
          <w:rFonts w:ascii="Arial" w:eastAsia="Times New Roman" w:hAnsi="Arial" w:cs="Arial"/>
          <w:color w:val="E36C0A"/>
          <w:sz w:val="36"/>
          <w:szCs w:val="28"/>
        </w:rPr>
        <w:fldChar w:fldCharType="separate"/>
      </w:r>
    </w:p>
    <w:p w:rsidR="0024572B" w:rsidRPr="003B2062" w:rsidRDefault="006900EF">
      <w:pPr>
        <w:pStyle w:val="TOC1"/>
        <w:tabs>
          <w:tab w:val="left" w:pos="400"/>
          <w:tab w:val="right" w:leader="dot" w:pos="9016"/>
        </w:tabs>
        <w:rPr>
          <w:rFonts w:ascii="Arial" w:eastAsiaTheme="minorEastAsia" w:hAnsi="Arial" w:cs="Arial"/>
          <w:b w:val="0"/>
          <w:bCs w:val="0"/>
          <w:noProof/>
          <w:sz w:val="22"/>
          <w:szCs w:val="22"/>
          <w:lang w:eastAsia="en-AU"/>
        </w:rPr>
      </w:pPr>
      <w:hyperlink w:anchor="_Toc405366931" w:history="1">
        <w:r w:rsidR="0024572B" w:rsidRPr="003B2062">
          <w:rPr>
            <w:rStyle w:val="Hyperlink"/>
            <w:rFonts w:ascii="Arial" w:hAnsi="Arial" w:cs="Arial"/>
            <w:noProof/>
          </w:rPr>
          <w:t>1</w:t>
        </w:r>
        <w:r w:rsidR="0024572B" w:rsidRPr="003B2062">
          <w:rPr>
            <w:rFonts w:ascii="Arial" w:eastAsiaTheme="minorEastAsia" w:hAnsi="Arial" w:cs="Arial"/>
            <w:b w:val="0"/>
            <w:bCs w:val="0"/>
            <w:noProof/>
            <w:sz w:val="22"/>
            <w:szCs w:val="22"/>
            <w:lang w:eastAsia="en-AU"/>
          </w:rPr>
          <w:tab/>
        </w:r>
        <w:r w:rsidR="0024572B" w:rsidRPr="003B2062">
          <w:rPr>
            <w:rStyle w:val="Hyperlink"/>
            <w:rFonts w:ascii="Arial" w:hAnsi="Arial" w:cs="Arial"/>
            <w:noProof/>
          </w:rPr>
          <w:t>Background</w:t>
        </w:r>
        <w:r w:rsidR="0024572B" w:rsidRPr="003B2062">
          <w:rPr>
            <w:rFonts w:ascii="Arial" w:hAnsi="Arial" w:cs="Arial"/>
            <w:noProof/>
            <w:webHidden/>
          </w:rPr>
          <w:tab/>
        </w:r>
        <w:r w:rsidR="0024572B" w:rsidRPr="003B2062">
          <w:rPr>
            <w:rFonts w:ascii="Arial" w:hAnsi="Arial" w:cs="Arial"/>
            <w:noProof/>
            <w:webHidden/>
          </w:rPr>
          <w:fldChar w:fldCharType="begin"/>
        </w:r>
        <w:r w:rsidR="0024572B" w:rsidRPr="003B2062">
          <w:rPr>
            <w:rFonts w:ascii="Arial" w:hAnsi="Arial" w:cs="Arial"/>
            <w:noProof/>
            <w:webHidden/>
          </w:rPr>
          <w:instrText xml:space="preserve"> PAGEREF _Toc405366931 \h </w:instrText>
        </w:r>
        <w:r w:rsidR="0024572B" w:rsidRPr="003B2062">
          <w:rPr>
            <w:rFonts w:ascii="Arial" w:hAnsi="Arial" w:cs="Arial"/>
            <w:noProof/>
            <w:webHidden/>
          </w:rPr>
        </w:r>
        <w:r w:rsidR="0024572B" w:rsidRPr="003B2062">
          <w:rPr>
            <w:rFonts w:ascii="Arial" w:hAnsi="Arial" w:cs="Arial"/>
            <w:noProof/>
            <w:webHidden/>
          </w:rPr>
          <w:fldChar w:fldCharType="separate"/>
        </w:r>
        <w:r>
          <w:rPr>
            <w:rFonts w:ascii="Arial" w:hAnsi="Arial" w:cs="Arial"/>
            <w:noProof/>
            <w:webHidden/>
          </w:rPr>
          <w:t>4</w:t>
        </w:r>
        <w:r w:rsidR="0024572B" w:rsidRPr="003B2062">
          <w:rPr>
            <w:rFonts w:ascii="Arial" w:hAnsi="Arial" w:cs="Arial"/>
            <w:noProof/>
            <w:webHidden/>
          </w:rPr>
          <w:fldChar w:fldCharType="end"/>
        </w:r>
      </w:hyperlink>
    </w:p>
    <w:p w:rsidR="0024572B" w:rsidRPr="003B2062" w:rsidRDefault="006900EF">
      <w:pPr>
        <w:pStyle w:val="TOC2"/>
        <w:tabs>
          <w:tab w:val="left" w:pos="800"/>
          <w:tab w:val="right" w:leader="dot" w:pos="9016"/>
        </w:tabs>
        <w:rPr>
          <w:rFonts w:ascii="Arial" w:eastAsiaTheme="minorEastAsia" w:hAnsi="Arial" w:cs="Arial"/>
          <w:iCs w:val="0"/>
          <w:noProof/>
          <w:sz w:val="22"/>
          <w:szCs w:val="22"/>
          <w:lang w:eastAsia="en-AU"/>
        </w:rPr>
      </w:pPr>
      <w:hyperlink w:anchor="_Toc405366932" w:history="1">
        <w:r w:rsidR="0024572B" w:rsidRPr="003B2062">
          <w:rPr>
            <w:rStyle w:val="Hyperlink"/>
            <w:rFonts w:ascii="Arial" w:hAnsi="Arial" w:cs="Arial"/>
            <w:noProof/>
          </w:rPr>
          <w:t>1.1</w:t>
        </w:r>
        <w:r w:rsidR="0024572B" w:rsidRPr="003B2062">
          <w:rPr>
            <w:rFonts w:ascii="Arial" w:eastAsiaTheme="minorEastAsia" w:hAnsi="Arial" w:cs="Arial"/>
            <w:iCs w:val="0"/>
            <w:noProof/>
            <w:sz w:val="22"/>
            <w:szCs w:val="22"/>
            <w:lang w:eastAsia="en-AU"/>
          </w:rPr>
          <w:tab/>
        </w:r>
        <w:r w:rsidR="0024572B" w:rsidRPr="003B2062">
          <w:rPr>
            <w:rStyle w:val="Hyperlink"/>
            <w:rFonts w:ascii="Arial" w:hAnsi="Arial" w:cs="Arial"/>
            <w:noProof/>
          </w:rPr>
          <w:t>The AER's reporting role</w:t>
        </w:r>
        <w:r w:rsidR="0024572B" w:rsidRPr="003B2062">
          <w:rPr>
            <w:rFonts w:ascii="Arial" w:hAnsi="Arial" w:cs="Arial"/>
            <w:noProof/>
            <w:webHidden/>
          </w:rPr>
          <w:tab/>
        </w:r>
        <w:r w:rsidR="0024572B" w:rsidRPr="003B2062">
          <w:rPr>
            <w:rFonts w:ascii="Arial" w:hAnsi="Arial" w:cs="Arial"/>
            <w:noProof/>
            <w:webHidden/>
          </w:rPr>
          <w:fldChar w:fldCharType="begin"/>
        </w:r>
        <w:r w:rsidR="0024572B" w:rsidRPr="003B2062">
          <w:rPr>
            <w:rFonts w:ascii="Arial" w:hAnsi="Arial" w:cs="Arial"/>
            <w:noProof/>
            <w:webHidden/>
          </w:rPr>
          <w:instrText xml:space="preserve"> PAGEREF _Toc405366932 \h </w:instrText>
        </w:r>
        <w:r w:rsidR="0024572B" w:rsidRPr="003B2062">
          <w:rPr>
            <w:rFonts w:ascii="Arial" w:hAnsi="Arial" w:cs="Arial"/>
            <w:noProof/>
            <w:webHidden/>
          </w:rPr>
        </w:r>
        <w:r w:rsidR="0024572B" w:rsidRPr="003B2062">
          <w:rPr>
            <w:rFonts w:ascii="Arial" w:hAnsi="Arial" w:cs="Arial"/>
            <w:noProof/>
            <w:webHidden/>
          </w:rPr>
          <w:fldChar w:fldCharType="separate"/>
        </w:r>
        <w:r>
          <w:rPr>
            <w:rFonts w:ascii="Arial" w:hAnsi="Arial" w:cs="Arial"/>
            <w:noProof/>
            <w:webHidden/>
          </w:rPr>
          <w:t>4</w:t>
        </w:r>
        <w:r w:rsidR="0024572B" w:rsidRPr="003B2062">
          <w:rPr>
            <w:rFonts w:ascii="Arial" w:hAnsi="Arial" w:cs="Arial"/>
            <w:noProof/>
            <w:webHidden/>
          </w:rPr>
          <w:fldChar w:fldCharType="end"/>
        </w:r>
      </w:hyperlink>
    </w:p>
    <w:p w:rsidR="0024572B" w:rsidRPr="003B2062" w:rsidRDefault="006900EF">
      <w:pPr>
        <w:pStyle w:val="TOC2"/>
        <w:tabs>
          <w:tab w:val="left" w:pos="800"/>
          <w:tab w:val="right" w:leader="dot" w:pos="9016"/>
        </w:tabs>
        <w:rPr>
          <w:rFonts w:ascii="Arial" w:eastAsiaTheme="minorEastAsia" w:hAnsi="Arial" w:cs="Arial"/>
          <w:iCs w:val="0"/>
          <w:noProof/>
          <w:sz w:val="22"/>
          <w:szCs w:val="22"/>
          <w:lang w:eastAsia="en-AU"/>
        </w:rPr>
      </w:pPr>
      <w:hyperlink w:anchor="_Toc405366933" w:history="1">
        <w:r w:rsidR="0024572B" w:rsidRPr="003B2062">
          <w:rPr>
            <w:rStyle w:val="Hyperlink"/>
            <w:rFonts w:ascii="Arial" w:hAnsi="Arial" w:cs="Arial"/>
            <w:noProof/>
          </w:rPr>
          <w:t>1.2</w:t>
        </w:r>
        <w:r w:rsidR="0024572B" w:rsidRPr="003B2062">
          <w:rPr>
            <w:rFonts w:ascii="Arial" w:eastAsiaTheme="minorEastAsia" w:hAnsi="Arial" w:cs="Arial"/>
            <w:iCs w:val="0"/>
            <w:noProof/>
            <w:sz w:val="22"/>
            <w:szCs w:val="22"/>
            <w:lang w:eastAsia="en-AU"/>
          </w:rPr>
          <w:tab/>
        </w:r>
        <w:r w:rsidR="0024572B" w:rsidRPr="003B2062">
          <w:rPr>
            <w:rStyle w:val="Hyperlink"/>
            <w:rFonts w:ascii="Arial" w:hAnsi="Arial" w:cs="Arial"/>
            <w:noProof/>
          </w:rPr>
          <w:t>Brisbane STTM</w:t>
        </w:r>
        <w:r w:rsidR="0024572B" w:rsidRPr="003B2062">
          <w:rPr>
            <w:rFonts w:ascii="Arial" w:hAnsi="Arial" w:cs="Arial"/>
            <w:noProof/>
            <w:webHidden/>
          </w:rPr>
          <w:tab/>
        </w:r>
        <w:r w:rsidR="0024572B" w:rsidRPr="003B2062">
          <w:rPr>
            <w:rFonts w:ascii="Arial" w:hAnsi="Arial" w:cs="Arial"/>
            <w:noProof/>
            <w:webHidden/>
          </w:rPr>
          <w:fldChar w:fldCharType="begin"/>
        </w:r>
        <w:r w:rsidR="0024572B" w:rsidRPr="003B2062">
          <w:rPr>
            <w:rFonts w:ascii="Arial" w:hAnsi="Arial" w:cs="Arial"/>
            <w:noProof/>
            <w:webHidden/>
          </w:rPr>
          <w:instrText xml:space="preserve"> PAGEREF _Toc405366933 \h </w:instrText>
        </w:r>
        <w:r w:rsidR="0024572B" w:rsidRPr="003B2062">
          <w:rPr>
            <w:rFonts w:ascii="Arial" w:hAnsi="Arial" w:cs="Arial"/>
            <w:noProof/>
            <w:webHidden/>
          </w:rPr>
        </w:r>
        <w:r w:rsidR="0024572B" w:rsidRPr="003B2062">
          <w:rPr>
            <w:rFonts w:ascii="Arial" w:hAnsi="Arial" w:cs="Arial"/>
            <w:noProof/>
            <w:webHidden/>
          </w:rPr>
          <w:fldChar w:fldCharType="separate"/>
        </w:r>
        <w:r>
          <w:rPr>
            <w:rFonts w:ascii="Arial" w:hAnsi="Arial" w:cs="Arial"/>
            <w:noProof/>
            <w:webHidden/>
          </w:rPr>
          <w:t>4</w:t>
        </w:r>
        <w:r w:rsidR="0024572B" w:rsidRPr="003B2062">
          <w:rPr>
            <w:rFonts w:ascii="Arial" w:hAnsi="Arial" w:cs="Arial"/>
            <w:noProof/>
            <w:webHidden/>
          </w:rPr>
          <w:fldChar w:fldCharType="end"/>
        </w:r>
      </w:hyperlink>
    </w:p>
    <w:p w:rsidR="0024572B" w:rsidRPr="003B2062" w:rsidRDefault="006900EF">
      <w:pPr>
        <w:pStyle w:val="TOC1"/>
        <w:tabs>
          <w:tab w:val="left" w:pos="400"/>
          <w:tab w:val="right" w:leader="dot" w:pos="9016"/>
        </w:tabs>
        <w:rPr>
          <w:rFonts w:ascii="Arial" w:eastAsiaTheme="minorEastAsia" w:hAnsi="Arial" w:cs="Arial"/>
          <w:b w:val="0"/>
          <w:bCs w:val="0"/>
          <w:noProof/>
          <w:sz w:val="22"/>
          <w:szCs w:val="22"/>
          <w:lang w:eastAsia="en-AU"/>
        </w:rPr>
      </w:pPr>
      <w:hyperlink w:anchor="_Toc405366934" w:history="1">
        <w:r w:rsidR="0024572B" w:rsidRPr="003B2062">
          <w:rPr>
            <w:rStyle w:val="Hyperlink"/>
            <w:rFonts w:ascii="Arial" w:hAnsi="Arial" w:cs="Arial"/>
            <w:noProof/>
          </w:rPr>
          <w:t>2</w:t>
        </w:r>
        <w:r w:rsidR="0024572B" w:rsidRPr="003B2062">
          <w:rPr>
            <w:rFonts w:ascii="Arial" w:eastAsiaTheme="minorEastAsia" w:hAnsi="Arial" w:cs="Arial"/>
            <w:b w:val="0"/>
            <w:bCs w:val="0"/>
            <w:noProof/>
            <w:sz w:val="22"/>
            <w:szCs w:val="22"/>
            <w:lang w:eastAsia="en-AU"/>
          </w:rPr>
          <w:tab/>
        </w:r>
        <w:r w:rsidR="0024572B" w:rsidRPr="003B2062">
          <w:rPr>
            <w:rStyle w:val="Hyperlink"/>
            <w:rFonts w:ascii="Arial" w:hAnsi="Arial" w:cs="Arial"/>
            <w:noProof/>
          </w:rPr>
          <w:t>Brisbane Hub – 17 October 2014 gas day</w:t>
        </w:r>
        <w:r w:rsidR="0024572B" w:rsidRPr="003B2062">
          <w:rPr>
            <w:rFonts w:ascii="Arial" w:hAnsi="Arial" w:cs="Arial"/>
            <w:noProof/>
            <w:webHidden/>
          </w:rPr>
          <w:tab/>
        </w:r>
        <w:r w:rsidR="0024572B" w:rsidRPr="003B2062">
          <w:rPr>
            <w:rFonts w:ascii="Arial" w:hAnsi="Arial" w:cs="Arial"/>
            <w:noProof/>
            <w:webHidden/>
          </w:rPr>
          <w:fldChar w:fldCharType="begin"/>
        </w:r>
        <w:r w:rsidR="0024572B" w:rsidRPr="003B2062">
          <w:rPr>
            <w:rFonts w:ascii="Arial" w:hAnsi="Arial" w:cs="Arial"/>
            <w:noProof/>
            <w:webHidden/>
          </w:rPr>
          <w:instrText xml:space="preserve"> PAGEREF _Toc405366934 \h </w:instrText>
        </w:r>
        <w:r w:rsidR="0024572B" w:rsidRPr="003B2062">
          <w:rPr>
            <w:rFonts w:ascii="Arial" w:hAnsi="Arial" w:cs="Arial"/>
            <w:noProof/>
            <w:webHidden/>
          </w:rPr>
        </w:r>
        <w:r w:rsidR="0024572B" w:rsidRPr="003B2062">
          <w:rPr>
            <w:rFonts w:ascii="Arial" w:hAnsi="Arial" w:cs="Arial"/>
            <w:noProof/>
            <w:webHidden/>
          </w:rPr>
          <w:fldChar w:fldCharType="separate"/>
        </w:r>
        <w:r>
          <w:rPr>
            <w:rFonts w:ascii="Arial" w:hAnsi="Arial" w:cs="Arial"/>
            <w:noProof/>
            <w:webHidden/>
          </w:rPr>
          <w:t>6</w:t>
        </w:r>
        <w:r w:rsidR="0024572B" w:rsidRPr="003B2062">
          <w:rPr>
            <w:rFonts w:ascii="Arial" w:hAnsi="Arial" w:cs="Arial"/>
            <w:noProof/>
            <w:webHidden/>
          </w:rPr>
          <w:fldChar w:fldCharType="end"/>
        </w:r>
      </w:hyperlink>
    </w:p>
    <w:p w:rsidR="0024572B" w:rsidRPr="003B2062" w:rsidRDefault="006900EF">
      <w:pPr>
        <w:pStyle w:val="TOC1"/>
        <w:tabs>
          <w:tab w:val="left" w:pos="400"/>
          <w:tab w:val="right" w:leader="dot" w:pos="9016"/>
        </w:tabs>
        <w:rPr>
          <w:rFonts w:ascii="Arial" w:eastAsiaTheme="minorEastAsia" w:hAnsi="Arial" w:cs="Arial"/>
          <w:b w:val="0"/>
          <w:bCs w:val="0"/>
          <w:noProof/>
          <w:sz w:val="22"/>
          <w:szCs w:val="22"/>
          <w:lang w:eastAsia="en-AU"/>
        </w:rPr>
      </w:pPr>
      <w:hyperlink w:anchor="_Toc405366935" w:history="1">
        <w:r w:rsidR="0024572B" w:rsidRPr="003B2062">
          <w:rPr>
            <w:rStyle w:val="Hyperlink"/>
            <w:rFonts w:ascii="Arial" w:hAnsi="Arial" w:cs="Arial"/>
            <w:noProof/>
          </w:rPr>
          <w:t>3</w:t>
        </w:r>
        <w:r w:rsidR="0024572B" w:rsidRPr="003B2062">
          <w:rPr>
            <w:rFonts w:ascii="Arial" w:eastAsiaTheme="minorEastAsia" w:hAnsi="Arial" w:cs="Arial"/>
            <w:b w:val="0"/>
            <w:bCs w:val="0"/>
            <w:noProof/>
            <w:sz w:val="22"/>
            <w:szCs w:val="22"/>
            <w:lang w:eastAsia="en-AU"/>
          </w:rPr>
          <w:tab/>
        </w:r>
        <w:r w:rsidR="0024572B" w:rsidRPr="003B2062">
          <w:rPr>
            <w:rStyle w:val="Hyperlink"/>
            <w:rFonts w:ascii="Arial" w:hAnsi="Arial" w:cs="Arial"/>
            <w:noProof/>
          </w:rPr>
          <w:t>Conclusion</w:t>
        </w:r>
        <w:r w:rsidR="0024572B" w:rsidRPr="003B2062">
          <w:rPr>
            <w:rFonts w:ascii="Arial" w:hAnsi="Arial" w:cs="Arial"/>
            <w:noProof/>
            <w:webHidden/>
          </w:rPr>
          <w:tab/>
        </w:r>
        <w:r w:rsidR="0024572B" w:rsidRPr="003B2062">
          <w:rPr>
            <w:rFonts w:ascii="Arial" w:hAnsi="Arial" w:cs="Arial"/>
            <w:noProof/>
            <w:webHidden/>
          </w:rPr>
          <w:fldChar w:fldCharType="begin"/>
        </w:r>
        <w:r w:rsidR="0024572B" w:rsidRPr="003B2062">
          <w:rPr>
            <w:rFonts w:ascii="Arial" w:hAnsi="Arial" w:cs="Arial"/>
            <w:noProof/>
            <w:webHidden/>
          </w:rPr>
          <w:instrText xml:space="preserve"> PAGEREF _Toc405366935 \h </w:instrText>
        </w:r>
        <w:r w:rsidR="0024572B" w:rsidRPr="003B2062">
          <w:rPr>
            <w:rFonts w:ascii="Arial" w:hAnsi="Arial" w:cs="Arial"/>
            <w:noProof/>
            <w:webHidden/>
          </w:rPr>
        </w:r>
        <w:r w:rsidR="0024572B" w:rsidRPr="003B2062">
          <w:rPr>
            <w:rFonts w:ascii="Arial" w:hAnsi="Arial" w:cs="Arial"/>
            <w:noProof/>
            <w:webHidden/>
          </w:rPr>
          <w:fldChar w:fldCharType="separate"/>
        </w:r>
        <w:r>
          <w:rPr>
            <w:rFonts w:ascii="Arial" w:hAnsi="Arial" w:cs="Arial"/>
            <w:noProof/>
            <w:webHidden/>
          </w:rPr>
          <w:t>10</w:t>
        </w:r>
        <w:r w:rsidR="0024572B" w:rsidRPr="003B2062">
          <w:rPr>
            <w:rFonts w:ascii="Arial" w:hAnsi="Arial" w:cs="Arial"/>
            <w:noProof/>
            <w:webHidden/>
          </w:rPr>
          <w:fldChar w:fldCharType="end"/>
        </w:r>
      </w:hyperlink>
    </w:p>
    <w:p w:rsidR="00AF3E95" w:rsidRPr="003B2062" w:rsidRDefault="00824CC8" w:rsidP="00DF16C2">
      <w:pPr>
        <w:pStyle w:val="TOC1"/>
        <w:rPr>
          <w:rFonts w:ascii="Arial" w:hAnsi="Arial" w:cs="Arial"/>
        </w:rPr>
      </w:pPr>
      <w:r w:rsidRPr="003B2062">
        <w:rPr>
          <w:rFonts w:ascii="Arial" w:hAnsi="Arial" w:cs="Arial"/>
        </w:rPr>
        <w:fldChar w:fldCharType="end"/>
      </w:r>
    </w:p>
    <w:p w:rsidR="00EF0E19" w:rsidRPr="003B2062" w:rsidRDefault="00EF0E19" w:rsidP="00507FC5">
      <w:pPr>
        <w:pStyle w:val="AERbodytextnospace"/>
        <w:numPr>
          <w:ilvl w:val="0"/>
          <w:numId w:val="6"/>
        </w:numPr>
        <w:rPr>
          <w:rFonts w:ascii="Arial" w:hAnsi="Arial" w:cs="Arial"/>
        </w:rPr>
      </w:pPr>
    </w:p>
    <w:p w:rsidR="00EF0E19" w:rsidRPr="003B2062" w:rsidRDefault="00EF0E19" w:rsidP="00EF0E19">
      <w:pPr>
        <w:rPr>
          <w:rFonts w:ascii="Arial" w:hAnsi="Arial" w:cs="Arial"/>
        </w:rPr>
      </w:pPr>
    </w:p>
    <w:p w:rsidR="00EF0E19" w:rsidRPr="003B2062" w:rsidRDefault="00EF0E19" w:rsidP="00EF0E19">
      <w:pPr>
        <w:rPr>
          <w:rFonts w:ascii="Arial" w:hAnsi="Arial" w:cs="Arial"/>
        </w:rPr>
      </w:pPr>
    </w:p>
    <w:p w:rsidR="00EF0E19" w:rsidRPr="003B2062" w:rsidRDefault="00EF0E19" w:rsidP="00EF0E19">
      <w:pPr>
        <w:rPr>
          <w:rFonts w:ascii="Arial" w:hAnsi="Arial" w:cs="Arial"/>
        </w:rPr>
      </w:pPr>
      <w:bookmarkStart w:id="7" w:name="OLE_LINK1"/>
      <w:bookmarkStart w:id="8" w:name="OLE_LINK2"/>
    </w:p>
    <w:p w:rsidR="00EF0E19" w:rsidRPr="003B2062" w:rsidRDefault="00EF0E19" w:rsidP="00EF0E19">
      <w:pPr>
        <w:rPr>
          <w:rFonts w:ascii="Arial" w:hAnsi="Arial" w:cs="Arial"/>
        </w:rPr>
      </w:pPr>
    </w:p>
    <w:p w:rsidR="00EF0E19" w:rsidRPr="003B2062" w:rsidRDefault="00EF0E19" w:rsidP="00EF0E19">
      <w:pPr>
        <w:rPr>
          <w:rFonts w:ascii="Arial" w:hAnsi="Arial" w:cs="Arial"/>
        </w:rPr>
      </w:pPr>
    </w:p>
    <w:bookmarkEnd w:id="7"/>
    <w:bookmarkEnd w:id="8"/>
    <w:p w:rsidR="00A131FB" w:rsidRPr="003B2062" w:rsidRDefault="00A131FB" w:rsidP="00A131FB">
      <w:pPr>
        <w:pStyle w:val="AERbodytextnospace"/>
        <w:numPr>
          <w:ilvl w:val="0"/>
          <w:numId w:val="0"/>
        </w:numPr>
        <w:rPr>
          <w:rFonts w:ascii="Arial" w:eastAsia="Calibri" w:hAnsi="Arial" w:cs="Arial"/>
        </w:rPr>
      </w:pPr>
    </w:p>
    <w:p w:rsidR="009E5905" w:rsidRPr="003B2062" w:rsidRDefault="009E5905" w:rsidP="009E5905">
      <w:pPr>
        <w:pStyle w:val="Heading1"/>
        <w:rPr>
          <w:rFonts w:ascii="Arial" w:hAnsi="Arial" w:cs="Arial"/>
        </w:rPr>
      </w:pPr>
      <w:bookmarkStart w:id="9" w:name="_Toc405366931"/>
      <w:r w:rsidRPr="003B2062">
        <w:rPr>
          <w:rFonts w:ascii="Arial" w:hAnsi="Arial" w:cs="Arial"/>
        </w:rPr>
        <w:lastRenderedPageBreak/>
        <w:t>Background</w:t>
      </w:r>
      <w:bookmarkEnd w:id="9"/>
    </w:p>
    <w:p w:rsidR="003F5741" w:rsidRPr="003B2062" w:rsidRDefault="00667C18" w:rsidP="003F5741">
      <w:pPr>
        <w:pStyle w:val="Heading2"/>
        <w:rPr>
          <w:rFonts w:ascii="Arial" w:hAnsi="Arial" w:cs="Arial"/>
        </w:rPr>
      </w:pPr>
      <w:bookmarkStart w:id="10" w:name="_Toc405366932"/>
      <w:r w:rsidRPr="003B2062">
        <w:rPr>
          <w:rFonts w:ascii="Arial" w:hAnsi="Arial" w:cs="Arial"/>
        </w:rPr>
        <w:t xml:space="preserve">The </w:t>
      </w:r>
      <w:r w:rsidR="003F5741" w:rsidRPr="003B2062">
        <w:rPr>
          <w:rFonts w:ascii="Arial" w:hAnsi="Arial" w:cs="Arial"/>
        </w:rPr>
        <w:t>AER's reporting role</w:t>
      </w:r>
      <w:bookmarkEnd w:id="10"/>
    </w:p>
    <w:p w:rsidR="00670607" w:rsidRPr="003B2062" w:rsidRDefault="00D71AC0" w:rsidP="0018637F">
      <w:pPr>
        <w:pStyle w:val="AERbodytextnospace"/>
        <w:rPr>
          <w:rFonts w:ascii="Arial" w:hAnsi="Arial" w:cs="Arial"/>
        </w:rPr>
      </w:pPr>
      <w:r w:rsidRPr="003B2062">
        <w:rPr>
          <w:rFonts w:ascii="Arial" w:hAnsi="Arial" w:cs="Arial"/>
        </w:rPr>
        <w:t xml:space="preserve">The AER published the </w:t>
      </w:r>
      <w:hyperlink r:id="rId11" w:history="1">
        <w:r w:rsidRPr="003B2062">
          <w:rPr>
            <w:rStyle w:val="Hyperlink"/>
            <w:rFonts w:ascii="Arial" w:hAnsi="Arial" w:cs="Arial"/>
          </w:rPr>
          <w:t>Short Term Trading Market (</w:t>
        </w:r>
        <w:r w:rsidRPr="003B2062">
          <w:rPr>
            <w:rStyle w:val="Hyperlink"/>
            <w:rFonts w:ascii="Arial" w:hAnsi="Arial" w:cs="Arial"/>
            <w:b/>
          </w:rPr>
          <w:t>STTM</w:t>
        </w:r>
        <w:r w:rsidRPr="003B2062">
          <w:rPr>
            <w:rStyle w:val="Hyperlink"/>
            <w:rFonts w:ascii="Arial" w:hAnsi="Arial" w:cs="Arial"/>
          </w:rPr>
          <w:t>) Significant Price Variation (</w:t>
        </w:r>
        <w:r w:rsidRPr="003B2062">
          <w:rPr>
            <w:rStyle w:val="Hyperlink"/>
            <w:rFonts w:ascii="Arial" w:hAnsi="Arial" w:cs="Arial"/>
            <w:b/>
          </w:rPr>
          <w:t>SPV</w:t>
        </w:r>
        <w:r w:rsidRPr="003B2062">
          <w:rPr>
            <w:rStyle w:val="Hyperlink"/>
            <w:rFonts w:ascii="Arial" w:hAnsi="Arial" w:cs="Arial"/>
          </w:rPr>
          <w:t>) Guideline</w:t>
        </w:r>
      </w:hyperlink>
      <w:r w:rsidRPr="003B2062">
        <w:rPr>
          <w:rFonts w:ascii="Arial" w:hAnsi="Arial" w:cs="Arial"/>
        </w:rPr>
        <w:t xml:space="preserve"> on 21 December 2012</w:t>
      </w:r>
      <w:r w:rsidR="0018637F" w:rsidRPr="003B2062">
        <w:rPr>
          <w:rFonts w:ascii="Arial" w:hAnsi="Arial" w:cs="Arial"/>
        </w:rPr>
        <w:t>.</w:t>
      </w:r>
      <w:r w:rsidR="0018637F" w:rsidRPr="003B2062">
        <w:rPr>
          <w:rStyle w:val="FootnoteReference"/>
          <w:rFonts w:ascii="Arial" w:hAnsi="Arial" w:cs="Arial"/>
        </w:rPr>
        <w:footnoteReference w:id="1"/>
      </w:r>
      <w:r w:rsidRPr="003B2062">
        <w:rPr>
          <w:rFonts w:ascii="Arial" w:hAnsi="Arial" w:cs="Arial"/>
        </w:rPr>
        <w:t xml:space="preserve"> </w:t>
      </w:r>
    </w:p>
    <w:p w:rsidR="0018637F" w:rsidRPr="003B2062" w:rsidRDefault="0018637F" w:rsidP="001D10E2">
      <w:pPr>
        <w:pStyle w:val="AERbodytextnospace"/>
        <w:numPr>
          <w:ilvl w:val="0"/>
          <w:numId w:val="0"/>
        </w:numPr>
        <w:rPr>
          <w:rFonts w:ascii="Arial" w:hAnsi="Arial" w:cs="Arial"/>
        </w:rPr>
      </w:pPr>
    </w:p>
    <w:p w:rsidR="0018637F" w:rsidRPr="003B2062" w:rsidRDefault="00670607" w:rsidP="001D10E2">
      <w:pPr>
        <w:pStyle w:val="AERbodytextnospace"/>
        <w:numPr>
          <w:ilvl w:val="0"/>
          <w:numId w:val="0"/>
        </w:numPr>
        <w:rPr>
          <w:rFonts w:ascii="Arial" w:hAnsi="Arial" w:cs="Arial"/>
        </w:rPr>
      </w:pPr>
      <w:r w:rsidRPr="003B2062">
        <w:rPr>
          <w:rFonts w:ascii="Arial" w:hAnsi="Arial" w:cs="Arial"/>
        </w:rPr>
        <w:t>The guideline provides an SPV has occurred when:</w:t>
      </w:r>
    </w:p>
    <w:p w:rsidR="00B22E4A" w:rsidRPr="003B2062" w:rsidRDefault="00B22E4A" w:rsidP="00202B8F">
      <w:pPr>
        <w:pStyle w:val="AERbodytextnospace"/>
        <w:numPr>
          <w:ilvl w:val="0"/>
          <w:numId w:val="0"/>
        </w:numPr>
        <w:rPr>
          <w:rFonts w:ascii="Arial" w:hAnsi="Arial" w:cs="Arial"/>
        </w:rPr>
      </w:pPr>
    </w:p>
    <w:p w:rsidR="002838F4" w:rsidRPr="003B2062" w:rsidRDefault="00134EED" w:rsidP="002838F4">
      <w:pPr>
        <w:pStyle w:val="AERbodytextnospace"/>
        <w:numPr>
          <w:ilvl w:val="0"/>
          <w:numId w:val="16"/>
        </w:numPr>
        <w:rPr>
          <w:rFonts w:ascii="Arial" w:hAnsi="Arial" w:cs="Arial"/>
        </w:rPr>
      </w:pPr>
      <w:r w:rsidRPr="003B2062">
        <w:rPr>
          <w:rFonts w:ascii="Arial" w:hAnsi="Arial" w:cs="Arial"/>
        </w:rPr>
        <w:t xml:space="preserve">the difference between the D-2 provisional price and the </w:t>
      </w:r>
      <w:r w:rsidR="002838F4" w:rsidRPr="003B2062">
        <w:rPr>
          <w:rFonts w:ascii="Arial" w:hAnsi="Arial" w:cs="Arial"/>
        </w:rPr>
        <w:t xml:space="preserve">D-1 </w:t>
      </w:r>
      <w:r w:rsidRPr="003B2062">
        <w:rPr>
          <w:rFonts w:ascii="Arial" w:hAnsi="Arial" w:cs="Arial"/>
        </w:rPr>
        <w:t>ex ante price</w:t>
      </w:r>
      <w:r w:rsidR="002838F4" w:rsidRPr="003B2062">
        <w:rPr>
          <w:rFonts w:ascii="Arial" w:hAnsi="Arial" w:cs="Arial"/>
        </w:rPr>
        <w:t xml:space="preserve"> is greater than $7/GJ</w:t>
      </w:r>
    </w:p>
    <w:p w:rsidR="002838F4" w:rsidRPr="003B2062" w:rsidRDefault="002838F4" w:rsidP="002838F4">
      <w:pPr>
        <w:pStyle w:val="AERbodytextnospace"/>
        <w:numPr>
          <w:ilvl w:val="0"/>
          <w:numId w:val="16"/>
        </w:numPr>
        <w:rPr>
          <w:rFonts w:ascii="Arial" w:hAnsi="Arial" w:cs="Arial"/>
        </w:rPr>
      </w:pPr>
      <w:r w:rsidRPr="003B2062">
        <w:rPr>
          <w:rFonts w:ascii="Arial" w:hAnsi="Arial" w:cs="Arial"/>
        </w:rPr>
        <w:t>the difference between the D-1 ex ante price and the D+1 ex post price is greater than $7/GJ</w:t>
      </w:r>
    </w:p>
    <w:p w:rsidR="00670607" w:rsidRPr="003B2062" w:rsidRDefault="002838F4" w:rsidP="002838F4">
      <w:pPr>
        <w:pStyle w:val="AERbodytextnospace"/>
        <w:numPr>
          <w:ilvl w:val="0"/>
          <w:numId w:val="16"/>
        </w:numPr>
        <w:rPr>
          <w:rFonts w:ascii="Arial" w:hAnsi="Arial" w:cs="Arial"/>
        </w:rPr>
      </w:pPr>
      <w:r w:rsidRPr="003B2062">
        <w:rPr>
          <w:rFonts w:ascii="Arial" w:hAnsi="Arial" w:cs="Arial"/>
        </w:rPr>
        <w:t>the ex ante price is three times the average price for the previous 30 days and greater than $15/GJ</w:t>
      </w:r>
    </w:p>
    <w:p w:rsidR="00670607" w:rsidRPr="003B2062" w:rsidRDefault="00670607" w:rsidP="001D10E2">
      <w:pPr>
        <w:pStyle w:val="AERbodytextnospace"/>
        <w:numPr>
          <w:ilvl w:val="0"/>
          <w:numId w:val="0"/>
        </w:numPr>
        <w:rPr>
          <w:rFonts w:ascii="Arial" w:hAnsi="Arial" w:cs="Arial"/>
        </w:rPr>
      </w:pPr>
    </w:p>
    <w:p w:rsidR="00670607" w:rsidRPr="003B2062" w:rsidRDefault="00B95499" w:rsidP="00670607">
      <w:pPr>
        <w:pStyle w:val="AERbodytextnospace"/>
        <w:numPr>
          <w:ilvl w:val="0"/>
          <w:numId w:val="0"/>
        </w:numPr>
        <w:rPr>
          <w:rFonts w:ascii="Arial" w:hAnsi="Arial" w:cs="Arial"/>
        </w:rPr>
      </w:pPr>
      <w:r w:rsidRPr="003B2062">
        <w:rPr>
          <w:rFonts w:ascii="Arial" w:hAnsi="Arial" w:cs="Arial"/>
        </w:rPr>
        <w:t xml:space="preserve">On </w:t>
      </w:r>
      <w:r w:rsidR="00670607" w:rsidRPr="003B2062">
        <w:rPr>
          <w:rFonts w:ascii="Arial" w:hAnsi="Arial" w:cs="Arial"/>
        </w:rPr>
        <w:t>17 October 2014 in the Brisbane STTM gas hub (Brisbane hub)</w:t>
      </w:r>
      <w:r w:rsidRPr="003B2062">
        <w:rPr>
          <w:rFonts w:ascii="Arial" w:hAnsi="Arial" w:cs="Arial"/>
        </w:rPr>
        <w:t xml:space="preserve"> each of these thresholds were </w:t>
      </w:r>
      <w:r w:rsidR="005B1A03" w:rsidRPr="003B2062">
        <w:rPr>
          <w:rFonts w:ascii="Arial" w:hAnsi="Arial" w:cs="Arial"/>
        </w:rPr>
        <w:t>triggered</w:t>
      </w:r>
      <w:r w:rsidR="00670607" w:rsidRPr="003B2062">
        <w:rPr>
          <w:rFonts w:ascii="Arial" w:hAnsi="Arial" w:cs="Arial"/>
        </w:rPr>
        <w:t>:</w:t>
      </w:r>
    </w:p>
    <w:p w:rsidR="00670607" w:rsidRPr="003B2062" w:rsidRDefault="00670607" w:rsidP="00670607">
      <w:pPr>
        <w:pStyle w:val="AERbodytextnospace"/>
        <w:numPr>
          <w:ilvl w:val="0"/>
          <w:numId w:val="0"/>
        </w:numPr>
        <w:rPr>
          <w:rFonts w:ascii="Arial" w:hAnsi="Arial" w:cs="Arial"/>
        </w:rPr>
      </w:pPr>
    </w:p>
    <w:p w:rsidR="00670607" w:rsidRPr="003B2062" w:rsidRDefault="00670607" w:rsidP="00670607">
      <w:pPr>
        <w:pStyle w:val="AERbodytextnospace"/>
        <w:numPr>
          <w:ilvl w:val="0"/>
          <w:numId w:val="17"/>
        </w:numPr>
        <w:rPr>
          <w:rFonts w:ascii="Arial" w:hAnsi="Arial" w:cs="Arial"/>
        </w:rPr>
      </w:pPr>
      <w:r w:rsidRPr="003B2062">
        <w:rPr>
          <w:rFonts w:ascii="Arial" w:hAnsi="Arial" w:cs="Arial"/>
        </w:rPr>
        <w:t>the difference between the D-2 provisional price and the D-1 ex ante price was $28.82/GJ</w:t>
      </w:r>
    </w:p>
    <w:p w:rsidR="00670607" w:rsidRPr="003B2062" w:rsidRDefault="00670607" w:rsidP="00670607">
      <w:pPr>
        <w:pStyle w:val="AERbodytextnospace"/>
        <w:numPr>
          <w:ilvl w:val="0"/>
          <w:numId w:val="17"/>
        </w:numPr>
        <w:rPr>
          <w:rFonts w:ascii="Arial" w:hAnsi="Arial" w:cs="Arial"/>
        </w:rPr>
      </w:pPr>
      <w:r w:rsidRPr="003B2062">
        <w:rPr>
          <w:rFonts w:ascii="Arial" w:hAnsi="Arial" w:cs="Arial"/>
        </w:rPr>
        <w:t>the difference between the D-1 ex ante and the D+1 ex post price was $29.40/GJ</w:t>
      </w:r>
    </w:p>
    <w:p w:rsidR="00670607" w:rsidRPr="003B2062" w:rsidRDefault="00670607" w:rsidP="00670607">
      <w:pPr>
        <w:pStyle w:val="AERbodytextnospace"/>
        <w:numPr>
          <w:ilvl w:val="0"/>
          <w:numId w:val="17"/>
        </w:numPr>
        <w:rPr>
          <w:rFonts w:ascii="Arial" w:hAnsi="Arial" w:cs="Arial"/>
        </w:rPr>
      </w:pPr>
      <w:r w:rsidRPr="003B2062">
        <w:rPr>
          <w:rFonts w:ascii="Arial" w:hAnsi="Arial" w:cs="Arial"/>
        </w:rPr>
        <w:t>the ex ante price was $29.90/GJ, exceeding three times the average price of $1.30/GJ for the previous 30 days and set higher than $15/GJ</w:t>
      </w:r>
    </w:p>
    <w:p w:rsidR="00670607" w:rsidRPr="003B2062" w:rsidRDefault="00670607" w:rsidP="001D10E2">
      <w:pPr>
        <w:pStyle w:val="AERbodytextnospace"/>
        <w:numPr>
          <w:ilvl w:val="0"/>
          <w:numId w:val="0"/>
        </w:numPr>
        <w:rPr>
          <w:rFonts w:ascii="Arial" w:hAnsi="Arial" w:cs="Arial"/>
        </w:rPr>
      </w:pPr>
    </w:p>
    <w:p w:rsidR="00670607" w:rsidRPr="003B2062" w:rsidRDefault="00B95499" w:rsidP="00670607">
      <w:pPr>
        <w:pStyle w:val="AERbodytextnospace"/>
        <w:numPr>
          <w:ilvl w:val="0"/>
          <w:numId w:val="0"/>
        </w:numPr>
        <w:rPr>
          <w:rFonts w:ascii="Arial" w:hAnsi="Arial" w:cs="Arial"/>
        </w:rPr>
      </w:pPr>
      <w:r w:rsidRPr="003B2062">
        <w:rPr>
          <w:rFonts w:ascii="Arial" w:hAnsi="Arial" w:cs="Arial"/>
        </w:rPr>
        <w:t>The AER is required to publish this report in accordance with rule 498(3</w:t>
      </w:r>
      <w:proofErr w:type="gramStart"/>
      <w:r w:rsidRPr="003B2062">
        <w:rPr>
          <w:rFonts w:ascii="Arial" w:hAnsi="Arial" w:cs="Arial"/>
        </w:rPr>
        <w:t>)(</w:t>
      </w:r>
      <w:proofErr w:type="gramEnd"/>
      <w:r w:rsidRPr="003B2062">
        <w:rPr>
          <w:rFonts w:ascii="Arial" w:hAnsi="Arial" w:cs="Arial"/>
        </w:rPr>
        <w:t>b)</w:t>
      </w:r>
      <w:r w:rsidR="005B1A03" w:rsidRPr="003B2062">
        <w:rPr>
          <w:rFonts w:ascii="Arial" w:hAnsi="Arial" w:cs="Arial"/>
        </w:rPr>
        <w:t xml:space="preserve"> of the National Gas Rules</w:t>
      </w:r>
      <w:r w:rsidRPr="003B2062">
        <w:rPr>
          <w:rFonts w:ascii="Arial" w:hAnsi="Arial" w:cs="Arial"/>
        </w:rPr>
        <w:t>.</w:t>
      </w:r>
    </w:p>
    <w:p w:rsidR="00A315EC" w:rsidRPr="003B2062" w:rsidRDefault="00A315EC" w:rsidP="00202B8F">
      <w:pPr>
        <w:pStyle w:val="AERbodytextnospace"/>
        <w:numPr>
          <w:ilvl w:val="0"/>
          <w:numId w:val="0"/>
        </w:numPr>
        <w:rPr>
          <w:rFonts w:ascii="Arial" w:hAnsi="Arial" w:cs="Arial"/>
        </w:rPr>
      </w:pPr>
    </w:p>
    <w:p w:rsidR="003F5741" w:rsidRPr="003B2062" w:rsidRDefault="00134EED" w:rsidP="003F5741">
      <w:pPr>
        <w:pStyle w:val="Heading2"/>
        <w:rPr>
          <w:rFonts w:ascii="Arial" w:hAnsi="Arial" w:cs="Arial"/>
        </w:rPr>
      </w:pPr>
      <w:bookmarkStart w:id="11" w:name="_Toc405366933"/>
      <w:r w:rsidRPr="003B2062">
        <w:rPr>
          <w:rFonts w:ascii="Arial" w:hAnsi="Arial" w:cs="Arial"/>
        </w:rPr>
        <w:t xml:space="preserve">Brisbane </w:t>
      </w:r>
      <w:r w:rsidR="00FF3784" w:rsidRPr="003B2062">
        <w:rPr>
          <w:rFonts w:ascii="Arial" w:hAnsi="Arial" w:cs="Arial"/>
        </w:rPr>
        <w:t>STTM</w:t>
      </w:r>
      <w:bookmarkEnd w:id="11"/>
      <w:r w:rsidR="00FF3784" w:rsidRPr="003B2062">
        <w:rPr>
          <w:rFonts w:ascii="Arial" w:hAnsi="Arial" w:cs="Arial"/>
        </w:rPr>
        <w:t xml:space="preserve"> </w:t>
      </w:r>
    </w:p>
    <w:p w:rsidR="001D10E2" w:rsidRPr="003B2062" w:rsidRDefault="00B0066B" w:rsidP="001D10E2">
      <w:pPr>
        <w:spacing w:after="0"/>
        <w:rPr>
          <w:rFonts w:ascii="Arial" w:hAnsi="Arial" w:cs="Arial"/>
        </w:rPr>
      </w:pPr>
      <w:bookmarkStart w:id="12" w:name="_Ref364349160"/>
      <w:r w:rsidRPr="003B2062">
        <w:rPr>
          <w:rFonts w:ascii="Arial" w:eastAsia="Times New Roman" w:hAnsi="Arial" w:cs="Arial"/>
          <w:szCs w:val="24"/>
        </w:rPr>
        <w:t xml:space="preserve">The </w:t>
      </w:r>
      <w:r w:rsidR="00614FB5" w:rsidRPr="003B2062">
        <w:rPr>
          <w:rFonts w:ascii="Arial" w:eastAsia="Times New Roman" w:hAnsi="Arial" w:cs="Arial"/>
          <w:szCs w:val="24"/>
        </w:rPr>
        <w:t>Brisbane</w:t>
      </w:r>
      <w:r w:rsidRPr="003B2062">
        <w:rPr>
          <w:rFonts w:ascii="Arial" w:eastAsia="Times New Roman" w:hAnsi="Arial" w:cs="Arial"/>
          <w:szCs w:val="24"/>
        </w:rPr>
        <w:t xml:space="preserve"> </w:t>
      </w:r>
      <w:r w:rsidR="00FF3784" w:rsidRPr="003B2062">
        <w:rPr>
          <w:rFonts w:ascii="Arial" w:eastAsia="Times New Roman" w:hAnsi="Arial" w:cs="Arial"/>
          <w:szCs w:val="24"/>
        </w:rPr>
        <w:t>STTM</w:t>
      </w:r>
      <w:r w:rsidRPr="003B2062">
        <w:rPr>
          <w:rFonts w:ascii="Arial" w:eastAsia="Times New Roman" w:hAnsi="Arial" w:cs="Arial"/>
          <w:szCs w:val="24"/>
        </w:rPr>
        <w:t xml:space="preserve"> </w:t>
      </w:r>
      <w:r w:rsidR="00C95728" w:rsidRPr="003B2062">
        <w:rPr>
          <w:rFonts w:ascii="Arial" w:eastAsia="Times New Roman" w:hAnsi="Arial" w:cs="Arial"/>
          <w:szCs w:val="24"/>
        </w:rPr>
        <w:t>commenced operation</w:t>
      </w:r>
      <w:r w:rsidR="003D4D26" w:rsidRPr="003B2062">
        <w:rPr>
          <w:rFonts w:ascii="Arial" w:eastAsia="Times New Roman" w:hAnsi="Arial" w:cs="Arial"/>
          <w:szCs w:val="24"/>
        </w:rPr>
        <w:t xml:space="preserve"> on</w:t>
      </w:r>
      <w:r w:rsidR="00C95728" w:rsidRPr="003B2062">
        <w:rPr>
          <w:rFonts w:ascii="Arial" w:eastAsia="Times New Roman" w:hAnsi="Arial" w:cs="Arial"/>
          <w:szCs w:val="24"/>
        </w:rPr>
        <w:t xml:space="preserve"> 1 December 2011</w:t>
      </w:r>
      <w:r w:rsidRPr="003B2062">
        <w:rPr>
          <w:rFonts w:ascii="Arial" w:eastAsia="Times New Roman" w:hAnsi="Arial" w:cs="Arial"/>
          <w:szCs w:val="24"/>
        </w:rPr>
        <w:t>.</w:t>
      </w:r>
      <w:r w:rsidR="00614FB5" w:rsidRPr="003B2062">
        <w:rPr>
          <w:rFonts w:ascii="Arial" w:eastAsia="Times New Roman" w:hAnsi="Arial" w:cs="Arial"/>
          <w:szCs w:val="24"/>
        </w:rPr>
        <w:t xml:space="preserve"> </w:t>
      </w:r>
      <w:r w:rsidR="000F3C4F" w:rsidRPr="003B2062">
        <w:rPr>
          <w:rFonts w:ascii="Arial" w:eastAsia="Times New Roman" w:hAnsi="Arial" w:cs="Arial"/>
          <w:szCs w:val="24"/>
        </w:rPr>
        <w:t xml:space="preserve">The </w:t>
      </w:r>
      <w:r w:rsidR="00FF3784" w:rsidRPr="003B2062">
        <w:rPr>
          <w:rFonts w:ascii="Arial" w:eastAsia="Times New Roman" w:hAnsi="Arial" w:cs="Arial"/>
          <w:szCs w:val="24"/>
        </w:rPr>
        <w:t xml:space="preserve">STTM </w:t>
      </w:r>
      <w:r w:rsidR="000F3C4F" w:rsidRPr="003B2062">
        <w:rPr>
          <w:rFonts w:ascii="Arial" w:eastAsia="Times New Roman" w:hAnsi="Arial" w:cs="Arial"/>
          <w:szCs w:val="24"/>
        </w:rPr>
        <w:t xml:space="preserve">provides a market-based mechanism to </w:t>
      </w:r>
      <w:r w:rsidR="00B95499" w:rsidRPr="003B2062">
        <w:rPr>
          <w:rFonts w:ascii="Arial" w:eastAsia="Times New Roman" w:hAnsi="Arial" w:cs="Arial"/>
          <w:szCs w:val="24"/>
        </w:rPr>
        <w:t>transport</w:t>
      </w:r>
      <w:r w:rsidR="000F3C4F" w:rsidRPr="003B2062">
        <w:rPr>
          <w:rFonts w:ascii="Arial" w:eastAsia="Times New Roman" w:hAnsi="Arial" w:cs="Arial"/>
          <w:szCs w:val="24"/>
        </w:rPr>
        <w:t xml:space="preserve"> gas </w:t>
      </w:r>
      <w:r w:rsidR="00B95499" w:rsidRPr="003B2062">
        <w:rPr>
          <w:rFonts w:ascii="Arial" w:eastAsia="Times New Roman" w:hAnsi="Arial" w:cs="Arial"/>
          <w:szCs w:val="24"/>
        </w:rPr>
        <w:t>on the</w:t>
      </w:r>
      <w:r w:rsidR="00FF3784" w:rsidRPr="003B2062">
        <w:rPr>
          <w:rFonts w:ascii="Arial" w:eastAsia="Times New Roman" w:hAnsi="Arial" w:cs="Arial"/>
          <w:szCs w:val="24"/>
        </w:rPr>
        <w:t xml:space="preserve"> </w:t>
      </w:r>
      <w:r w:rsidR="008A08AB" w:rsidRPr="003B2062">
        <w:rPr>
          <w:rFonts w:ascii="Arial" w:eastAsia="Times New Roman" w:hAnsi="Arial" w:cs="Arial"/>
          <w:szCs w:val="24"/>
        </w:rPr>
        <w:t>Roma to Brisbane Pipeline (</w:t>
      </w:r>
      <w:r w:rsidR="008A08AB" w:rsidRPr="003B2062">
        <w:rPr>
          <w:rFonts w:ascii="Arial" w:eastAsia="Times New Roman" w:hAnsi="Arial" w:cs="Arial"/>
          <w:b/>
          <w:szCs w:val="24"/>
        </w:rPr>
        <w:t>RBP</w:t>
      </w:r>
      <w:r w:rsidR="008A08AB" w:rsidRPr="003B2062">
        <w:rPr>
          <w:rFonts w:ascii="Arial" w:eastAsia="Times New Roman" w:hAnsi="Arial" w:cs="Arial"/>
          <w:szCs w:val="24"/>
        </w:rPr>
        <w:t>)</w:t>
      </w:r>
      <w:r w:rsidR="00FF3784" w:rsidRPr="003B2062">
        <w:rPr>
          <w:rFonts w:ascii="Arial" w:eastAsia="Times New Roman" w:hAnsi="Arial" w:cs="Arial"/>
          <w:szCs w:val="24"/>
        </w:rPr>
        <w:t xml:space="preserve"> to and from the Brisbane hub</w:t>
      </w:r>
      <w:r w:rsidR="008A08AB" w:rsidRPr="003B2062">
        <w:rPr>
          <w:rFonts w:ascii="Arial" w:eastAsia="Times New Roman" w:hAnsi="Arial" w:cs="Arial"/>
          <w:szCs w:val="24"/>
        </w:rPr>
        <w:t xml:space="preserve">. </w:t>
      </w:r>
      <w:r w:rsidR="001D10E2" w:rsidRPr="003B2062">
        <w:rPr>
          <w:rFonts w:ascii="Arial" w:eastAsia="Times New Roman" w:hAnsi="Arial" w:cs="Arial"/>
          <w:szCs w:val="24"/>
        </w:rPr>
        <w:t>In contrast to the Adelaide and Sydney hubs, which are serviced by two main pipelines, the Brisbane hub relies on gas delivered by the RBP.</w:t>
      </w:r>
      <w:r w:rsidR="001D10E2" w:rsidRPr="003B2062">
        <w:rPr>
          <w:rFonts w:ascii="Arial" w:hAnsi="Arial" w:cs="Arial"/>
        </w:rPr>
        <w:t xml:space="preserve"> Accordingly, gas can only be scheduled by AEMO up to the capacity of the RBP as determined by APA, the pipeline operator.</w:t>
      </w:r>
      <w:r w:rsidR="001D10E2" w:rsidRPr="003B2062">
        <w:rPr>
          <w:rStyle w:val="FootnoteReference"/>
          <w:rFonts w:ascii="Arial" w:hAnsi="Arial" w:cs="Arial"/>
        </w:rPr>
        <w:footnoteReference w:id="2"/>
      </w:r>
      <w:r w:rsidR="001D10E2" w:rsidRPr="003B2062">
        <w:rPr>
          <w:rFonts w:ascii="Arial" w:hAnsi="Arial" w:cs="Arial"/>
        </w:rPr>
        <w:t xml:space="preserve"> </w:t>
      </w:r>
    </w:p>
    <w:p w:rsidR="001D10E2" w:rsidRPr="003B2062" w:rsidRDefault="001D10E2" w:rsidP="00B72E3E">
      <w:pPr>
        <w:spacing w:after="0"/>
        <w:rPr>
          <w:rFonts w:ascii="Arial" w:eastAsia="Times New Roman" w:hAnsi="Arial" w:cs="Arial"/>
          <w:szCs w:val="24"/>
        </w:rPr>
      </w:pPr>
    </w:p>
    <w:p w:rsidR="00FF3784" w:rsidRPr="003B2062" w:rsidRDefault="008A08AB" w:rsidP="00B72E3E">
      <w:pPr>
        <w:spacing w:after="0"/>
        <w:rPr>
          <w:rFonts w:ascii="Arial" w:eastAsia="Times New Roman" w:hAnsi="Arial" w:cs="Arial"/>
          <w:szCs w:val="24"/>
        </w:rPr>
      </w:pPr>
      <w:r w:rsidRPr="003B2062">
        <w:rPr>
          <w:rFonts w:ascii="Arial" w:eastAsia="Times New Roman" w:hAnsi="Arial" w:cs="Arial"/>
          <w:szCs w:val="24"/>
        </w:rPr>
        <w:t>U</w:t>
      </w:r>
      <w:r w:rsidR="00C740E2" w:rsidRPr="003B2062">
        <w:rPr>
          <w:rFonts w:ascii="Arial" w:eastAsia="Times New Roman" w:hAnsi="Arial" w:cs="Arial"/>
          <w:szCs w:val="24"/>
        </w:rPr>
        <w:t>sers</w:t>
      </w:r>
      <w:r w:rsidR="000F3C4F" w:rsidRPr="003B2062">
        <w:rPr>
          <w:rFonts w:ascii="Arial" w:eastAsia="Times New Roman" w:hAnsi="Arial" w:cs="Arial"/>
          <w:szCs w:val="24"/>
        </w:rPr>
        <w:t xml:space="preserve"> participate in the Brisbane </w:t>
      </w:r>
      <w:r w:rsidR="00FF3784" w:rsidRPr="003B2062">
        <w:rPr>
          <w:rFonts w:ascii="Arial" w:eastAsia="Times New Roman" w:hAnsi="Arial" w:cs="Arial"/>
          <w:szCs w:val="24"/>
        </w:rPr>
        <w:t>STTM</w:t>
      </w:r>
      <w:r w:rsidR="000F3C4F" w:rsidRPr="003B2062">
        <w:rPr>
          <w:rFonts w:ascii="Arial" w:eastAsia="Times New Roman" w:hAnsi="Arial" w:cs="Arial"/>
          <w:szCs w:val="24"/>
        </w:rPr>
        <w:t xml:space="preserve"> by submitting bids</w:t>
      </w:r>
      <w:r w:rsidR="00DE6B15" w:rsidRPr="003B2062">
        <w:rPr>
          <w:rStyle w:val="FootnoteReference"/>
          <w:rFonts w:ascii="Arial" w:eastAsia="Times New Roman" w:hAnsi="Arial" w:cs="Arial"/>
          <w:szCs w:val="24"/>
        </w:rPr>
        <w:footnoteReference w:id="3"/>
      </w:r>
      <w:r w:rsidR="000F3C4F" w:rsidRPr="003B2062">
        <w:rPr>
          <w:rFonts w:ascii="Arial" w:eastAsia="Times New Roman" w:hAnsi="Arial" w:cs="Arial"/>
          <w:szCs w:val="24"/>
        </w:rPr>
        <w:t xml:space="preserve"> or offers for the purchase or supply of gas</w:t>
      </w:r>
      <w:r w:rsidR="00E0393A" w:rsidRPr="003B2062">
        <w:rPr>
          <w:rFonts w:ascii="Arial" w:eastAsia="Times New Roman" w:hAnsi="Arial" w:cs="Arial"/>
          <w:szCs w:val="24"/>
        </w:rPr>
        <w:t>.</w:t>
      </w:r>
      <w:r w:rsidR="00C07880" w:rsidRPr="003B2062">
        <w:rPr>
          <w:rFonts w:ascii="Arial" w:eastAsia="Times New Roman" w:hAnsi="Arial" w:cs="Arial"/>
          <w:szCs w:val="24"/>
        </w:rPr>
        <w:t xml:space="preserve"> </w:t>
      </w:r>
      <w:r w:rsidR="001D10E2" w:rsidRPr="003B2062">
        <w:rPr>
          <w:rFonts w:ascii="Arial" w:hAnsi="Arial" w:cs="Arial"/>
        </w:rPr>
        <w:t xml:space="preserve">Users also submit bids to withdraw gas from the hub such as for </w:t>
      </w:r>
      <w:r w:rsidR="00DE6B15" w:rsidRPr="003B2062">
        <w:rPr>
          <w:rFonts w:ascii="Arial" w:hAnsi="Arial" w:cs="Arial"/>
        </w:rPr>
        <w:t>gas fired</w:t>
      </w:r>
      <w:r w:rsidR="001D10E2" w:rsidRPr="003B2062">
        <w:rPr>
          <w:rFonts w:ascii="Arial" w:hAnsi="Arial" w:cs="Arial"/>
        </w:rPr>
        <w:t xml:space="preserve"> power stations located along the RBP.</w:t>
      </w:r>
      <w:r w:rsidR="001D10E2" w:rsidRPr="003B2062">
        <w:rPr>
          <w:rFonts w:ascii="Arial" w:eastAsia="Times New Roman" w:hAnsi="Arial" w:cs="Arial"/>
          <w:szCs w:val="24"/>
        </w:rPr>
        <w:t xml:space="preserve"> Most of the gas supplied is understood</w:t>
      </w:r>
      <w:r w:rsidR="00244F0F" w:rsidRPr="003B2062">
        <w:rPr>
          <w:rFonts w:ascii="Arial" w:eastAsia="Times New Roman" w:hAnsi="Arial" w:cs="Arial"/>
          <w:szCs w:val="24"/>
        </w:rPr>
        <w:t xml:space="preserve"> to</w:t>
      </w:r>
      <w:r w:rsidR="001D10E2" w:rsidRPr="003B2062">
        <w:rPr>
          <w:rFonts w:ascii="Arial" w:eastAsia="Times New Roman" w:hAnsi="Arial" w:cs="Arial"/>
          <w:szCs w:val="24"/>
        </w:rPr>
        <w:t xml:space="preserve"> originate from the Queensland coal seam gas facilities in the Roma region.</w:t>
      </w:r>
      <w:r w:rsidR="001D10E2" w:rsidRPr="003B2062">
        <w:rPr>
          <w:rStyle w:val="FootnoteReference"/>
          <w:rFonts w:ascii="Arial" w:eastAsia="Times New Roman" w:hAnsi="Arial" w:cs="Arial"/>
          <w:szCs w:val="24"/>
        </w:rPr>
        <w:footnoteReference w:id="4"/>
      </w:r>
    </w:p>
    <w:p w:rsidR="001D10E2" w:rsidRPr="003B2062" w:rsidRDefault="001D10E2" w:rsidP="00B72E3E">
      <w:pPr>
        <w:spacing w:after="0"/>
        <w:rPr>
          <w:rFonts w:ascii="Arial" w:hAnsi="Arial" w:cs="Arial"/>
        </w:rPr>
      </w:pPr>
    </w:p>
    <w:p w:rsidR="00DD68A3" w:rsidRPr="003B2062" w:rsidRDefault="00661846" w:rsidP="00B72E3E">
      <w:pPr>
        <w:spacing w:after="0"/>
        <w:rPr>
          <w:rFonts w:ascii="Arial" w:hAnsi="Arial" w:cs="Arial"/>
        </w:rPr>
      </w:pPr>
      <w:r w:rsidRPr="003B2062">
        <w:rPr>
          <w:rFonts w:ascii="Arial" w:hAnsi="Arial" w:cs="Arial"/>
        </w:rPr>
        <w:fldChar w:fldCharType="begin"/>
      </w:r>
      <w:r w:rsidRPr="003B2062">
        <w:rPr>
          <w:rFonts w:ascii="Arial" w:hAnsi="Arial" w:cs="Arial"/>
        </w:rPr>
        <w:instrText xml:space="preserve"> REF _Ref404772333 \h </w:instrText>
      </w:r>
      <w:r w:rsidRPr="003B2062">
        <w:rPr>
          <w:rFonts w:ascii="Arial" w:hAnsi="Arial" w:cs="Arial"/>
        </w:rPr>
      </w:r>
      <w:r w:rsidR="003B2062" w:rsidRPr="003B2062">
        <w:rPr>
          <w:rFonts w:ascii="Arial" w:hAnsi="Arial" w:cs="Arial"/>
        </w:rPr>
        <w:instrText xml:space="preserve"> \* MERGEFORMAT </w:instrText>
      </w:r>
      <w:r w:rsidRPr="003B2062">
        <w:rPr>
          <w:rFonts w:ascii="Arial" w:hAnsi="Arial" w:cs="Arial"/>
        </w:rPr>
        <w:fldChar w:fldCharType="separate"/>
      </w:r>
      <w:r w:rsidR="006900EF" w:rsidRPr="003B2062">
        <w:rPr>
          <w:rFonts w:ascii="Arial" w:hAnsi="Arial" w:cs="Arial"/>
        </w:rPr>
        <w:t xml:space="preserve">Figure </w:t>
      </w:r>
      <w:r w:rsidR="006900EF">
        <w:rPr>
          <w:rFonts w:ascii="Arial" w:hAnsi="Arial" w:cs="Arial"/>
          <w:noProof/>
        </w:rPr>
        <w:t>1</w:t>
      </w:r>
      <w:r w:rsidRPr="003B2062">
        <w:rPr>
          <w:rFonts w:ascii="Arial" w:hAnsi="Arial" w:cs="Arial"/>
        </w:rPr>
        <w:fldChar w:fldCharType="end"/>
      </w:r>
      <w:r w:rsidRPr="003B2062">
        <w:rPr>
          <w:rFonts w:ascii="Arial" w:hAnsi="Arial" w:cs="Arial"/>
        </w:rPr>
        <w:t xml:space="preserve"> below illustrates the RBP and the Brisbane gas supply system, and shows where some of the participants are located.</w:t>
      </w:r>
      <w:r w:rsidR="001D10E2" w:rsidRPr="003B2062">
        <w:rPr>
          <w:rFonts w:ascii="Arial" w:hAnsi="Arial" w:cs="Arial"/>
        </w:rPr>
        <w:t xml:space="preserve"> Figure 2 shows participation in the Brisbane STTM on 17 October</w:t>
      </w:r>
      <w:r w:rsidR="006309D0" w:rsidRPr="003B2062">
        <w:rPr>
          <w:rFonts w:ascii="Arial" w:hAnsi="Arial" w:cs="Arial"/>
        </w:rPr>
        <w:t xml:space="preserve">. </w:t>
      </w:r>
      <w:r w:rsidR="00FA55B8" w:rsidRPr="003B2062">
        <w:rPr>
          <w:rFonts w:ascii="Arial" w:hAnsi="Arial" w:cs="Arial"/>
        </w:rPr>
        <w:t xml:space="preserve">For </w:t>
      </w:r>
      <w:r w:rsidR="006309D0" w:rsidRPr="003B2062">
        <w:rPr>
          <w:rFonts w:ascii="Arial" w:hAnsi="Arial" w:cs="Arial"/>
        </w:rPr>
        <w:t xml:space="preserve">example </w:t>
      </w:r>
      <w:r w:rsidR="00FA55B8" w:rsidRPr="003B2062">
        <w:rPr>
          <w:rFonts w:ascii="Arial" w:hAnsi="Arial" w:cs="Arial"/>
        </w:rPr>
        <w:t xml:space="preserve">AGL </w:t>
      </w:r>
      <w:r w:rsidR="006309D0" w:rsidRPr="003B2062">
        <w:rPr>
          <w:rFonts w:ascii="Arial" w:hAnsi="Arial" w:cs="Arial"/>
        </w:rPr>
        <w:t>submitted offers to supply the hub</w:t>
      </w:r>
      <w:r w:rsidR="00024776" w:rsidRPr="003B2062">
        <w:rPr>
          <w:rFonts w:ascii="Arial" w:hAnsi="Arial" w:cs="Arial"/>
        </w:rPr>
        <w:t xml:space="preserve">, </w:t>
      </w:r>
      <w:r w:rsidR="00DE6B15" w:rsidRPr="003B2062">
        <w:rPr>
          <w:rFonts w:ascii="Arial" w:hAnsi="Arial" w:cs="Arial"/>
        </w:rPr>
        <w:t xml:space="preserve">and </w:t>
      </w:r>
      <w:r w:rsidR="00024776" w:rsidRPr="003B2062">
        <w:rPr>
          <w:rFonts w:ascii="Arial" w:hAnsi="Arial" w:cs="Arial"/>
        </w:rPr>
        <w:t>price taker bids</w:t>
      </w:r>
      <w:r w:rsidR="00DE6B15" w:rsidRPr="003B2062">
        <w:rPr>
          <w:rFonts w:ascii="Arial" w:hAnsi="Arial" w:cs="Arial"/>
        </w:rPr>
        <w:t xml:space="preserve"> to withdraw from the hub</w:t>
      </w:r>
      <w:r w:rsidR="00024776" w:rsidRPr="003B2062">
        <w:rPr>
          <w:rFonts w:ascii="Arial" w:hAnsi="Arial" w:cs="Arial"/>
        </w:rPr>
        <w:t xml:space="preserve"> </w:t>
      </w:r>
      <w:r w:rsidR="006309D0" w:rsidRPr="003B2062">
        <w:rPr>
          <w:rFonts w:ascii="Arial" w:hAnsi="Arial" w:cs="Arial"/>
        </w:rPr>
        <w:t xml:space="preserve">but unlike some participants did not submit any </w:t>
      </w:r>
      <w:r w:rsidR="00DE6B15" w:rsidRPr="003B2062">
        <w:rPr>
          <w:rFonts w:ascii="Arial" w:hAnsi="Arial" w:cs="Arial"/>
        </w:rPr>
        <w:t>non-price taker</w:t>
      </w:r>
      <w:r w:rsidR="006309D0" w:rsidRPr="003B2062">
        <w:rPr>
          <w:rFonts w:ascii="Arial" w:hAnsi="Arial" w:cs="Arial"/>
        </w:rPr>
        <w:t xml:space="preserve"> bids. </w:t>
      </w:r>
    </w:p>
    <w:p w:rsidR="00DD68A3" w:rsidRPr="003B2062" w:rsidRDefault="00DD68A3" w:rsidP="00B72E3E">
      <w:pPr>
        <w:spacing w:after="0"/>
        <w:rPr>
          <w:rFonts w:ascii="Arial" w:hAnsi="Arial" w:cs="Arial"/>
        </w:rPr>
      </w:pPr>
    </w:p>
    <w:p w:rsidR="00FF3784" w:rsidRPr="003B2062" w:rsidRDefault="00661846" w:rsidP="001D10E2">
      <w:pPr>
        <w:pStyle w:val="Caption"/>
        <w:rPr>
          <w:rFonts w:ascii="Arial" w:hAnsi="Arial" w:cs="Arial"/>
          <w:szCs w:val="20"/>
        </w:rPr>
      </w:pPr>
      <w:bookmarkStart w:id="13" w:name="_Ref404772333"/>
      <w:bookmarkStart w:id="14" w:name="_Ref367369383"/>
      <w:r w:rsidRPr="003B2062">
        <w:rPr>
          <w:rFonts w:ascii="Arial" w:hAnsi="Arial" w:cs="Arial"/>
        </w:rPr>
        <w:lastRenderedPageBreak/>
        <w:t xml:space="preserve">Figure </w:t>
      </w:r>
      <w:r w:rsidR="006900EF" w:rsidRPr="003B2062">
        <w:rPr>
          <w:rFonts w:ascii="Arial" w:hAnsi="Arial" w:cs="Arial"/>
        </w:rPr>
        <w:fldChar w:fldCharType="begin"/>
      </w:r>
      <w:r w:rsidR="006900EF" w:rsidRPr="003B2062">
        <w:rPr>
          <w:rFonts w:ascii="Arial" w:hAnsi="Arial" w:cs="Arial"/>
        </w:rPr>
        <w:instrText xml:space="preserve"> SEQ Figure \* ARABIC </w:instrText>
      </w:r>
      <w:r w:rsidR="006900EF" w:rsidRPr="003B2062">
        <w:rPr>
          <w:rFonts w:ascii="Arial" w:hAnsi="Arial" w:cs="Arial"/>
        </w:rPr>
        <w:fldChar w:fldCharType="separate"/>
      </w:r>
      <w:r w:rsidR="006900EF">
        <w:rPr>
          <w:rFonts w:ascii="Arial" w:hAnsi="Arial" w:cs="Arial"/>
          <w:noProof/>
        </w:rPr>
        <w:t>1</w:t>
      </w:r>
      <w:r w:rsidR="006900EF" w:rsidRPr="003B2062">
        <w:rPr>
          <w:rFonts w:ascii="Arial" w:hAnsi="Arial" w:cs="Arial"/>
          <w:noProof/>
        </w:rPr>
        <w:fldChar w:fldCharType="end"/>
      </w:r>
      <w:bookmarkEnd w:id="13"/>
      <w:r w:rsidRPr="003B2062">
        <w:rPr>
          <w:rFonts w:ascii="Arial" w:hAnsi="Arial" w:cs="Arial"/>
        </w:rPr>
        <w:t xml:space="preserve"> – </w:t>
      </w:r>
      <w:r w:rsidR="00BB65C5" w:rsidRPr="003B2062">
        <w:rPr>
          <w:rFonts w:ascii="Arial" w:hAnsi="Arial" w:cs="Arial"/>
          <w:szCs w:val="20"/>
        </w:rPr>
        <w:t>The Roma Brisbane</w:t>
      </w:r>
      <w:r w:rsidR="005E5DEC" w:rsidRPr="003B2062">
        <w:rPr>
          <w:rFonts w:ascii="Arial" w:hAnsi="Arial" w:cs="Arial"/>
          <w:szCs w:val="20"/>
        </w:rPr>
        <w:t xml:space="preserve"> Pipeline c</w:t>
      </w:r>
      <w:r w:rsidR="00BB65C5" w:rsidRPr="003B2062">
        <w:rPr>
          <w:rFonts w:ascii="Arial" w:hAnsi="Arial" w:cs="Arial"/>
          <w:szCs w:val="20"/>
        </w:rPr>
        <w:t>onnected facilities and t</w:t>
      </w:r>
      <w:r w:rsidR="00CC71E8" w:rsidRPr="003B2062">
        <w:rPr>
          <w:rFonts w:ascii="Arial" w:hAnsi="Arial" w:cs="Arial"/>
          <w:szCs w:val="20"/>
        </w:rPr>
        <w:t>he Brisbane hub</w:t>
      </w:r>
      <w:bookmarkStart w:id="15" w:name="_Ref367186933"/>
      <w:bookmarkEnd w:id="12"/>
      <w:bookmarkEnd w:id="14"/>
    </w:p>
    <w:p w:rsidR="005E5DEC" w:rsidRPr="003B2062" w:rsidRDefault="00D6667C">
      <w:pPr>
        <w:pStyle w:val="AERfigureheading-unnumbered"/>
        <w:numPr>
          <w:ilvl w:val="0"/>
          <w:numId w:val="0"/>
        </w:numPr>
        <w:tabs>
          <w:tab w:val="num" w:pos="1134"/>
        </w:tabs>
        <w:ind w:left="1361" w:hanging="1361"/>
        <w:rPr>
          <w:rFonts w:ascii="Arial" w:hAnsi="Arial" w:cs="Arial"/>
          <w:sz w:val="20"/>
          <w:szCs w:val="20"/>
        </w:rPr>
      </w:pPr>
      <w:r w:rsidRPr="003B2062">
        <w:rPr>
          <w:rFonts w:ascii="Arial" w:hAnsi="Arial" w:cs="Arial"/>
          <w:noProof/>
          <w:lang w:eastAsia="en-AU"/>
        </w:rPr>
        <w:drawing>
          <wp:inline distT="0" distB="0" distL="0" distR="0" wp14:anchorId="196944FB" wp14:editId="7687FF90">
            <wp:extent cx="5796501" cy="487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s STTM.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813070" cy="4888082"/>
                    </a:xfrm>
                    <a:prstGeom prst="rect">
                      <a:avLst/>
                    </a:prstGeom>
                    <a:ln>
                      <a:noFill/>
                    </a:ln>
                    <a:extLst>
                      <a:ext uri="{53640926-AAD7-44D8-BBD7-CCE9431645EC}">
                        <a14:shadowObscured xmlns:a14="http://schemas.microsoft.com/office/drawing/2010/main"/>
                      </a:ext>
                    </a:extLst>
                  </pic:spPr>
                </pic:pic>
              </a:graphicData>
            </a:graphic>
          </wp:inline>
        </w:drawing>
      </w:r>
      <w:bookmarkStart w:id="16" w:name="_Toc365903598"/>
      <w:bookmarkStart w:id="17" w:name="_Toc365903665"/>
      <w:bookmarkStart w:id="18" w:name="_Toc365903599"/>
      <w:bookmarkStart w:id="19" w:name="_Toc365903666"/>
      <w:bookmarkStart w:id="20" w:name="_Toc365903600"/>
      <w:bookmarkStart w:id="21" w:name="_Toc365903667"/>
      <w:bookmarkStart w:id="22" w:name="_Toc365903601"/>
      <w:bookmarkStart w:id="23" w:name="_Toc365903668"/>
      <w:bookmarkStart w:id="24" w:name="_Toc365903602"/>
      <w:bookmarkStart w:id="25" w:name="_Toc365903669"/>
      <w:bookmarkStart w:id="26" w:name="_Toc365903603"/>
      <w:bookmarkStart w:id="27" w:name="_Toc365903670"/>
      <w:bookmarkStart w:id="28" w:name="_Toc365903604"/>
      <w:bookmarkStart w:id="29" w:name="_Toc36590367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1D10E2" w:rsidRPr="003B2062" w:rsidRDefault="001D10E2" w:rsidP="005E5DEC">
      <w:pPr>
        <w:pStyle w:val="Caption"/>
        <w:rPr>
          <w:rFonts w:ascii="Arial" w:hAnsi="Arial" w:cs="Arial"/>
          <w:szCs w:val="20"/>
        </w:rPr>
      </w:pPr>
    </w:p>
    <w:p w:rsidR="005E5DEC" w:rsidRPr="003B2062" w:rsidRDefault="005E5DEC" w:rsidP="005E5DEC">
      <w:pPr>
        <w:pStyle w:val="Caption"/>
        <w:rPr>
          <w:rFonts w:ascii="Arial" w:hAnsi="Arial" w:cs="Arial"/>
          <w:szCs w:val="20"/>
        </w:rPr>
      </w:pPr>
      <w:r w:rsidRPr="003B2062">
        <w:rPr>
          <w:rFonts w:ascii="Arial" w:hAnsi="Arial" w:cs="Arial"/>
          <w:szCs w:val="20"/>
        </w:rPr>
        <w:t xml:space="preserve">Figure 2 – STTM Brisbane hub </w:t>
      </w:r>
      <w:r w:rsidR="001D10E2" w:rsidRPr="003B2062">
        <w:rPr>
          <w:rFonts w:ascii="Arial" w:hAnsi="Arial" w:cs="Arial"/>
          <w:szCs w:val="20"/>
        </w:rPr>
        <w:t xml:space="preserve">participation </w:t>
      </w:r>
      <w:r w:rsidRPr="003B2062">
        <w:rPr>
          <w:rFonts w:ascii="Arial" w:hAnsi="Arial" w:cs="Arial"/>
          <w:szCs w:val="20"/>
        </w:rPr>
        <w:t>(17 October)</w:t>
      </w:r>
    </w:p>
    <w:tbl>
      <w:tblPr>
        <w:tblStyle w:val="AERtable-text"/>
        <w:tblpPr w:leftFromText="180" w:rightFromText="180" w:vertAnchor="text" w:horzAnchor="margin" w:tblpY="383"/>
        <w:tblW w:w="5000" w:type="pct"/>
        <w:tblLook w:val="04A0" w:firstRow="1" w:lastRow="0" w:firstColumn="1" w:lastColumn="0" w:noHBand="0" w:noVBand="1"/>
      </w:tblPr>
      <w:tblGrid>
        <w:gridCol w:w="1990"/>
        <w:gridCol w:w="1013"/>
        <w:gridCol w:w="1015"/>
        <w:gridCol w:w="996"/>
        <w:gridCol w:w="1031"/>
        <w:gridCol w:w="959"/>
        <w:gridCol w:w="1225"/>
        <w:gridCol w:w="1013"/>
      </w:tblGrid>
      <w:tr w:rsidR="001D10E2" w:rsidRPr="003B2062" w:rsidTr="002617E2">
        <w:trPr>
          <w:cnfStyle w:val="100000000000" w:firstRow="1" w:lastRow="0" w:firstColumn="0" w:lastColumn="0" w:oddVBand="0" w:evenVBand="0" w:oddHBand="0" w:evenHBand="0" w:firstRowFirstColumn="0" w:firstRowLastColumn="0" w:lastRowFirstColumn="0" w:lastRowLastColumn="0"/>
        </w:trPr>
        <w:tc>
          <w:tcPr>
            <w:tcW w:w="1076"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Participant / Offer-Bid type</w:t>
            </w:r>
          </w:p>
        </w:tc>
        <w:tc>
          <w:tcPr>
            <w:tcW w:w="548"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AGL</w:t>
            </w:r>
          </w:p>
        </w:tc>
        <w:tc>
          <w:tcPr>
            <w:tcW w:w="549"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Alinta</w:t>
            </w:r>
          </w:p>
        </w:tc>
        <w:tc>
          <w:tcPr>
            <w:tcW w:w="539"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BP</w:t>
            </w:r>
          </w:p>
        </w:tc>
        <w:tc>
          <w:tcPr>
            <w:tcW w:w="558"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Incitec</w:t>
            </w:r>
          </w:p>
        </w:tc>
        <w:tc>
          <w:tcPr>
            <w:tcW w:w="519"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Origin</w:t>
            </w:r>
          </w:p>
        </w:tc>
        <w:tc>
          <w:tcPr>
            <w:tcW w:w="663"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Stanwell</w:t>
            </w:r>
          </w:p>
        </w:tc>
        <w:tc>
          <w:tcPr>
            <w:tcW w:w="549"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Visy</w:t>
            </w:r>
          </w:p>
        </w:tc>
      </w:tr>
      <w:tr w:rsidR="001D10E2" w:rsidRPr="003B2062" w:rsidTr="002617E2">
        <w:tc>
          <w:tcPr>
            <w:tcW w:w="1076"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Offers</w:t>
            </w:r>
          </w:p>
        </w:tc>
        <w:tc>
          <w:tcPr>
            <w:tcW w:w="548"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49"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39"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58"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19"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663"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49" w:type="pct"/>
          </w:tcPr>
          <w:p w:rsidR="001D10E2" w:rsidRPr="003B2062" w:rsidRDefault="00B369B6"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N</w:t>
            </w:r>
          </w:p>
        </w:tc>
      </w:tr>
      <w:tr w:rsidR="001D10E2" w:rsidRPr="003B2062" w:rsidTr="002617E2">
        <w:trPr>
          <w:cnfStyle w:val="000000010000" w:firstRow="0" w:lastRow="0" w:firstColumn="0" w:lastColumn="0" w:oddVBand="0" w:evenVBand="0" w:oddHBand="0" w:evenHBand="1" w:firstRowFirstColumn="0" w:firstRowLastColumn="0" w:lastRowFirstColumn="0" w:lastRowLastColumn="0"/>
        </w:trPr>
        <w:tc>
          <w:tcPr>
            <w:tcW w:w="1076" w:type="pct"/>
          </w:tcPr>
          <w:p w:rsidR="001D10E2" w:rsidRPr="003B2062" w:rsidRDefault="001D10E2" w:rsidP="00F24319">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Price taker bid</w:t>
            </w:r>
            <w:r w:rsidR="00CF28F3" w:rsidRPr="003B2062">
              <w:rPr>
                <w:rFonts w:ascii="Arial" w:hAnsi="Arial" w:cs="Arial"/>
                <w:sz w:val="16"/>
                <w:szCs w:val="16"/>
              </w:rPr>
              <w:t>s</w:t>
            </w:r>
            <w:r w:rsidRPr="003B2062">
              <w:rPr>
                <w:rFonts w:ascii="Arial" w:hAnsi="Arial" w:cs="Arial"/>
                <w:sz w:val="16"/>
                <w:szCs w:val="16"/>
              </w:rPr>
              <w:t xml:space="preserve"> (</w:t>
            </w:r>
            <w:r w:rsidR="00CF28F3" w:rsidRPr="003B2062">
              <w:rPr>
                <w:rFonts w:ascii="Arial" w:hAnsi="Arial" w:cs="Arial"/>
                <w:sz w:val="16"/>
                <w:szCs w:val="16"/>
              </w:rPr>
              <w:t>uncontrollable demand</w:t>
            </w:r>
            <w:r w:rsidRPr="003B2062">
              <w:rPr>
                <w:rFonts w:ascii="Arial" w:hAnsi="Arial" w:cs="Arial"/>
                <w:sz w:val="16"/>
                <w:szCs w:val="16"/>
              </w:rPr>
              <w:t>)</w:t>
            </w:r>
          </w:p>
        </w:tc>
        <w:tc>
          <w:tcPr>
            <w:tcW w:w="548"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49"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39"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58"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19"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663" w:type="pct"/>
          </w:tcPr>
          <w:p w:rsidR="001D10E2" w:rsidRPr="003B2062" w:rsidRDefault="00B369B6"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N</w:t>
            </w:r>
          </w:p>
        </w:tc>
        <w:tc>
          <w:tcPr>
            <w:tcW w:w="549"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r>
      <w:tr w:rsidR="001D10E2" w:rsidRPr="003B2062" w:rsidTr="002617E2">
        <w:tc>
          <w:tcPr>
            <w:tcW w:w="1076" w:type="pct"/>
          </w:tcPr>
          <w:p w:rsidR="001D10E2" w:rsidRPr="003B2062" w:rsidRDefault="001D10E2"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Withdrawal bids</w:t>
            </w:r>
            <w:r w:rsidR="00FD5932" w:rsidRPr="003B2062">
              <w:rPr>
                <w:rFonts w:ascii="Arial" w:hAnsi="Arial" w:cs="Arial"/>
                <w:sz w:val="16"/>
                <w:szCs w:val="16"/>
              </w:rPr>
              <w:t>/non price taker bids</w:t>
            </w:r>
          </w:p>
        </w:tc>
        <w:tc>
          <w:tcPr>
            <w:tcW w:w="548" w:type="pct"/>
          </w:tcPr>
          <w:p w:rsidR="001D10E2" w:rsidRPr="003B2062" w:rsidRDefault="00B369B6"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N</w:t>
            </w:r>
          </w:p>
        </w:tc>
        <w:tc>
          <w:tcPr>
            <w:tcW w:w="549" w:type="pct"/>
          </w:tcPr>
          <w:p w:rsidR="001D10E2" w:rsidRPr="003B2062" w:rsidRDefault="00B369B6"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39" w:type="pct"/>
          </w:tcPr>
          <w:p w:rsidR="001D10E2" w:rsidRPr="003B2062" w:rsidRDefault="00B369B6"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58" w:type="pct"/>
          </w:tcPr>
          <w:p w:rsidR="001D10E2" w:rsidRPr="003B2062" w:rsidRDefault="00B369B6"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N</w:t>
            </w:r>
          </w:p>
        </w:tc>
        <w:tc>
          <w:tcPr>
            <w:tcW w:w="519" w:type="pct"/>
          </w:tcPr>
          <w:p w:rsidR="001D10E2" w:rsidRPr="003B2062" w:rsidRDefault="00B369B6"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663" w:type="pct"/>
          </w:tcPr>
          <w:p w:rsidR="001D10E2" w:rsidRPr="003B2062" w:rsidRDefault="00B369B6"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Y</w:t>
            </w:r>
          </w:p>
        </w:tc>
        <w:tc>
          <w:tcPr>
            <w:tcW w:w="549" w:type="pct"/>
          </w:tcPr>
          <w:p w:rsidR="001D10E2" w:rsidRPr="003B2062" w:rsidRDefault="00B369B6" w:rsidP="001D10E2">
            <w:pPr>
              <w:pStyle w:val="AERfigureheading-unnumbered"/>
              <w:numPr>
                <w:ilvl w:val="0"/>
                <w:numId w:val="0"/>
              </w:numPr>
              <w:tabs>
                <w:tab w:val="num" w:pos="1134"/>
              </w:tabs>
              <w:rPr>
                <w:rFonts w:ascii="Arial" w:hAnsi="Arial" w:cs="Arial"/>
                <w:sz w:val="16"/>
                <w:szCs w:val="16"/>
              </w:rPr>
            </w:pPr>
            <w:r w:rsidRPr="003B2062">
              <w:rPr>
                <w:rFonts w:ascii="Arial" w:hAnsi="Arial" w:cs="Arial"/>
                <w:sz w:val="16"/>
                <w:szCs w:val="16"/>
              </w:rPr>
              <w:t>N</w:t>
            </w:r>
          </w:p>
        </w:tc>
      </w:tr>
    </w:tbl>
    <w:p w:rsidR="00365EDD" w:rsidRPr="003B2062" w:rsidRDefault="00FB0110" w:rsidP="002B6D7E">
      <w:pPr>
        <w:pStyle w:val="Heading1"/>
        <w:rPr>
          <w:rFonts w:ascii="Arial" w:hAnsi="Arial" w:cs="Arial"/>
        </w:rPr>
      </w:pPr>
      <w:bookmarkStart w:id="30" w:name="_Toc405366934"/>
      <w:r w:rsidRPr="003B2062">
        <w:rPr>
          <w:rFonts w:ascii="Arial" w:hAnsi="Arial" w:cs="Arial"/>
        </w:rPr>
        <w:lastRenderedPageBreak/>
        <w:t xml:space="preserve">Brisbane Hub </w:t>
      </w:r>
      <w:r w:rsidR="0031536F" w:rsidRPr="003B2062">
        <w:rPr>
          <w:rFonts w:ascii="Arial" w:hAnsi="Arial" w:cs="Arial"/>
        </w:rPr>
        <w:t>–</w:t>
      </w:r>
      <w:r w:rsidRPr="003B2062">
        <w:rPr>
          <w:rFonts w:ascii="Arial" w:hAnsi="Arial" w:cs="Arial"/>
        </w:rPr>
        <w:t xml:space="preserve"> </w:t>
      </w:r>
      <w:r w:rsidR="0031536F" w:rsidRPr="003B2062">
        <w:rPr>
          <w:rFonts w:ascii="Arial" w:hAnsi="Arial" w:cs="Arial"/>
        </w:rPr>
        <w:t>17 October</w:t>
      </w:r>
      <w:r w:rsidR="00134EED" w:rsidRPr="003B2062">
        <w:rPr>
          <w:rFonts w:ascii="Arial" w:hAnsi="Arial" w:cs="Arial"/>
        </w:rPr>
        <w:t xml:space="preserve"> 2014</w:t>
      </w:r>
      <w:r w:rsidR="00B6144E" w:rsidRPr="003B2062">
        <w:rPr>
          <w:rFonts w:ascii="Arial" w:hAnsi="Arial" w:cs="Arial"/>
        </w:rPr>
        <w:t xml:space="preserve"> </w:t>
      </w:r>
      <w:r w:rsidRPr="003B2062">
        <w:rPr>
          <w:rFonts w:ascii="Arial" w:hAnsi="Arial" w:cs="Arial"/>
        </w:rPr>
        <w:t>gas day</w:t>
      </w:r>
      <w:bookmarkEnd w:id="30"/>
    </w:p>
    <w:p w:rsidR="00C85C2E" w:rsidRPr="003B2062" w:rsidRDefault="005C4689" w:rsidP="001D10E2">
      <w:pPr>
        <w:pStyle w:val="AERbodytext"/>
        <w:rPr>
          <w:rFonts w:ascii="Arial" w:hAnsi="Arial" w:cs="Arial"/>
        </w:rPr>
      </w:pPr>
      <w:r w:rsidRPr="003B2062">
        <w:rPr>
          <w:rFonts w:ascii="Arial" w:hAnsi="Arial" w:cs="Arial"/>
        </w:rPr>
        <w:t>On 17, 18, and 19</w:t>
      </w:r>
      <w:r w:rsidR="00DE6B15" w:rsidRPr="003B2062">
        <w:rPr>
          <w:rFonts w:ascii="Arial" w:hAnsi="Arial" w:cs="Arial"/>
        </w:rPr>
        <w:t xml:space="preserve"> October t</w:t>
      </w:r>
      <w:r w:rsidR="008C2FD8" w:rsidRPr="003B2062">
        <w:rPr>
          <w:rFonts w:ascii="Arial" w:hAnsi="Arial" w:cs="Arial"/>
        </w:rPr>
        <w:t>he capacity to deliver gas to the Brisbane hub was reduced</w:t>
      </w:r>
      <w:r w:rsidRPr="003B2062">
        <w:rPr>
          <w:rFonts w:ascii="Arial" w:hAnsi="Arial" w:cs="Arial"/>
        </w:rPr>
        <w:t xml:space="preserve"> from 186 TJ to 121.3 TJ</w:t>
      </w:r>
      <w:r w:rsidR="00FA55B8" w:rsidRPr="003B2062">
        <w:rPr>
          <w:rFonts w:ascii="Arial" w:hAnsi="Arial" w:cs="Arial"/>
        </w:rPr>
        <w:t xml:space="preserve"> because of </w:t>
      </w:r>
      <w:r w:rsidR="008C2FD8" w:rsidRPr="003B2062">
        <w:rPr>
          <w:rFonts w:ascii="Arial" w:hAnsi="Arial" w:cs="Arial"/>
        </w:rPr>
        <w:t>planned maintenance on the Dalby compressor station</w:t>
      </w:r>
      <w:r w:rsidR="00661846" w:rsidRPr="003B2062">
        <w:rPr>
          <w:rFonts w:ascii="Arial" w:hAnsi="Arial" w:cs="Arial"/>
        </w:rPr>
        <w:t>.</w:t>
      </w:r>
      <w:r w:rsidRPr="003B2062">
        <w:rPr>
          <w:rStyle w:val="FootnoteReference"/>
          <w:rFonts w:ascii="Arial" w:hAnsi="Arial" w:cs="Arial"/>
        </w:rPr>
        <w:t xml:space="preserve"> </w:t>
      </w:r>
      <w:r w:rsidRPr="003B2062">
        <w:rPr>
          <w:rStyle w:val="FootnoteReference"/>
          <w:rFonts w:ascii="Arial" w:hAnsi="Arial" w:cs="Arial"/>
        </w:rPr>
        <w:footnoteReference w:id="5"/>
      </w:r>
      <w:r w:rsidR="008C2FD8" w:rsidRPr="003B2062">
        <w:rPr>
          <w:rFonts w:ascii="Arial" w:hAnsi="Arial" w:cs="Arial"/>
        </w:rPr>
        <w:t xml:space="preserve"> </w:t>
      </w:r>
      <w:r w:rsidR="006309D0" w:rsidRPr="003B2062">
        <w:rPr>
          <w:rFonts w:ascii="Arial" w:hAnsi="Arial" w:cs="Arial"/>
        </w:rPr>
        <w:t xml:space="preserve">APA </w:t>
      </w:r>
      <w:r w:rsidR="002617E2" w:rsidRPr="003B2062">
        <w:rPr>
          <w:rFonts w:ascii="Arial" w:hAnsi="Arial" w:cs="Arial"/>
        </w:rPr>
        <w:t xml:space="preserve">notified </w:t>
      </w:r>
      <w:r w:rsidR="006309D0" w:rsidRPr="003B2062">
        <w:rPr>
          <w:rFonts w:ascii="Arial" w:hAnsi="Arial" w:cs="Arial"/>
        </w:rPr>
        <w:t xml:space="preserve">STTM participants </w:t>
      </w:r>
      <w:r w:rsidR="002617E2" w:rsidRPr="003B2062">
        <w:rPr>
          <w:rFonts w:ascii="Arial" w:hAnsi="Arial" w:cs="Arial"/>
        </w:rPr>
        <w:t>of th</w:t>
      </w:r>
      <w:r w:rsidR="006309D0" w:rsidRPr="003B2062">
        <w:rPr>
          <w:rFonts w:ascii="Arial" w:hAnsi="Arial" w:cs="Arial"/>
        </w:rPr>
        <w:t xml:space="preserve">is </w:t>
      </w:r>
      <w:r w:rsidR="002617E2" w:rsidRPr="003B2062">
        <w:rPr>
          <w:rFonts w:ascii="Arial" w:hAnsi="Arial" w:cs="Arial"/>
        </w:rPr>
        <w:t>reduction in capacity on 14 October</w:t>
      </w:r>
      <w:r w:rsidR="006309D0" w:rsidRPr="003B2062">
        <w:rPr>
          <w:rFonts w:ascii="Arial" w:hAnsi="Arial" w:cs="Arial"/>
        </w:rPr>
        <w:t xml:space="preserve"> when it submitted its D-3 forecast capacity data</w:t>
      </w:r>
      <w:r w:rsidR="00FA55B8" w:rsidRPr="003B2062">
        <w:rPr>
          <w:rFonts w:ascii="Arial" w:hAnsi="Arial" w:cs="Arial"/>
        </w:rPr>
        <w:t xml:space="preserve"> for 17</w:t>
      </w:r>
      <w:r w:rsidR="008F79CE" w:rsidRPr="003B2062">
        <w:rPr>
          <w:rFonts w:ascii="Arial" w:hAnsi="Arial" w:cs="Arial"/>
        </w:rPr>
        <w:t xml:space="preserve"> October</w:t>
      </w:r>
      <w:r w:rsidR="006309D0" w:rsidRPr="003B2062">
        <w:rPr>
          <w:rFonts w:ascii="Arial" w:hAnsi="Arial" w:cs="Arial"/>
        </w:rPr>
        <w:t>.</w:t>
      </w:r>
    </w:p>
    <w:p w:rsidR="00134EED" w:rsidRPr="003B2062" w:rsidRDefault="00661846" w:rsidP="001D10E2">
      <w:pPr>
        <w:pStyle w:val="Caption"/>
        <w:rPr>
          <w:rFonts w:ascii="Arial" w:hAnsi="Arial" w:cs="Arial"/>
        </w:rPr>
      </w:pPr>
      <w:r w:rsidRPr="003B2062">
        <w:rPr>
          <w:rFonts w:ascii="Arial" w:hAnsi="Arial" w:cs="Arial"/>
        </w:rPr>
        <w:t xml:space="preserve">Figure </w:t>
      </w:r>
      <w:r w:rsidR="00B369B6" w:rsidRPr="003B2062">
        <w:rPr>
          <w:rFonts w:ascii="Arial" w:hAnsi="Arial" w:cs="Arial"/>
        </w:rPr>
        <w:t xml:space="preserve">3 </w:t>
      </w:r>
      <w:r w:rsidRPr="003B2062">
        <w:rPr>
          <w:rFonts w:ascii="Arial" w:hAnsi="Arial" w:cs="Arial"/>
        </w:rPr>
        <w:t xml:space="preserve">– Reduced </w:t>
      </w:r>
      <w:r w:rsidRPr="003B2062">
        <w:rPr>
          <w:rFonts w:ascii="Arial" w:hAnsi="Arial" w:cs="Arial"/>
          <w:szCs w:val="20"/>
        </w:rPr>
        <w:t>pipe</w:t>
      </w:r>
      <w:r w:rsidR="00ED7903" w:rsidRPr="003B2062">
        <w:rPr>
          <w:rFonts w:ascii="Arial" w:hAnsi="Arial" w:cs="Arial"/>
          <w:szCs w:val="20"/>
        </w:rPr>
        <w:t>line capacity limiting scheduled</w:t>
      </w:r>
      <w:r w:rsidRPr="003B2062">
        <w:rPr>
          <w:rFonts w:ascii="Arial" w:hAnsi="Arial" w:cs="Arial"/>
          <w:szCs w:val="20"/>
        </w:rPr>
        <w:t xml:space="preserve"> deliveries to the Brisbane STTM hub</w:t>
      </w:r>
    </w:p>
    <w:p w:rsidR="00710583" w:rsidRPr="003B2062" w:rsidRDefault="0056370C" w:rsidP="004C204D">
      <w:pPr>
        <w:pStyle w:val="AERnumberedlistfirststyle"/>
        <w:numPr>
          <w:ilvl w:val="0"/>
          <w:numId w:val="0"/>
        </w:numPr>
        <w:spacing w:after="0" w:line="240" w:lineRule="auto"/>
        <w:rPr>
          <w:rFonts w:ascii="Arial" w:hAnsi="Arial" w:cs="Arial"/>
        </w:rPr>
      </w:pPr>
      <w:r w:rsidRPr="003B2062">
        <w:rPr>
          <w:rFonts w:ascii="Arial" w:hAnsi="Arial" w:cs="Arial"/>
          <w:noProof/>
          <w:lang w:eastAsia="en-AU"/>
        </w:rPr>
        <w:drawing>
          <wp:inline distT="0" distB="0" distL="0" distR="0" wp14:anchorId="5A6421DC" wp14:editId="4E73DA00">
            <wp:extent cx="5731510" cy="2902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902017"/>
                    </a:xfrm>
                    <a:prstGeom prst="rect">
                      <a:avLst/>
                    </a:prstGeom>
                    <a:noFill/>
                    <a:ln>
                      <a:noFill/>
                    </a:ln>
                  </pic:spPr>
                </pic:pic>
              </a:graphicData>
            </a:graphic>
          </wp:inline>
        </w:drawing>
      </w:r>
      <w:r w:rsidR="00647248" w:rsidRPr="003B2062">
        <w:rPr>
          <w:rFonts w:ascii="Arial" w:hAnsi="Arial" w:cs="Arial"/>
        </w:rPr>
        <w:t xml:space="preserve"> </w:t>
      </w:r>
    </w:p>
    <w:p w:rsidR="004C204D" w:rsidRPr="003B2062" w:rsidRDefault="004C204D" w:rsidP="00F52B0F">
      <w:pPr>
        <w:pStyle w:val="AERnumberedlistfirststyle"/>
        <w:numPr>
          <w:ilvl w:val="0"/>
          <w:numId w:val="0"/>
        </w:numPr>
        <w:spacing w:after="0"/>
        <w:jc w:val="right"/>
        <w:rPr>
          <w:rFonts w:ascii="Arial" w:hAnsi="Arial" w:cs="Arial"/>
        </w:rPr>
      </w:pPr>
    </w:p>
    <w:p w:rsidR="00F509EE" w:rsidRPr="003B2062" w:rsidRDefault="00EF556E" w:rsidP="00BF3839">
      <w:pPr>
        <w:pStyle w:val="AERnumberedlistfirststyle"/>
        <w:numPr>
          <w:ilvl w:val="0"/>
          <w:numId w:val="0"/>
        </w:numPr>
        <w:spacing w:after="0"/>
        <w:rPr>
          <w:rFonts w:ascii="Arial" w:hAnsi="Arial" w:cs="Arial"/>
        </w:rPr>
      </w:pPr>
      <w:r w:rsidRPr="003B2062">
        <w:rPr>
          <w:rFonts w:ascii="Arial" w:hAnsi="Arial" w:cs="Arial"/>
        </w:rPr>
        <w:t xml:space="preserve">As shown in figure </w:t>
      </w:r>
      <w:r w:rsidR="00F81705" w:rsidRPr="003B2062">
        <w:rPr>
          <w:rFonts w:ascii="Arial" w:hAnsi="Arial" w:cs="Arial"/>
        </w:rPr>
        <w:t>3</w:t>
      </w:r>
      <w:r w:rsidRPr="003B2062">
        <w:rPr>
          <w:rFonts w:ascii="Arial" w:hAnsi="Arial" w:cs="Arial"/>
        </w:rPr>
        <w:t xml:space="preserve"> above</w:t>
      </w:r>
      <w:r w:rsidR="00A936D9" w:rsidRPr="003B2062">
        <w:rPr>
          <w:rFonts w:ascii="Arial" w:hAnsi="Arial" w:cs="Arial"/>
        </w:rPr>
        <w:t>,</w:t>
      </w:r>
      <w:r w:rsidRPr="003B2062">
        <w:rPr>
          <w:rFonts w:ascii="Arial" w:hAnsi="Arial" w:cs="Arial"/>
        </w:rPr>
        <w:t xml:space="preserve"> </w:t>
      </w:r>
      <w:r w:rsidR="00F509EE" w:rsidRPr="003B2062">
        <w:rPr>
          <w:rFonts w:ascii="Arial" w:hAnsi="Arial" w:cs="Arial"/>
        </w:rPr>
        <w:t>on 17 and 19 October</w:t>
      </w:r>
      <w:r w:rsidR="00F166AB" w:rsidRPr="003B2062">
        <w:rPr>
          <w:rFonts w:ascii="Arial" w:hAnsi="Arial" w:cs="Arial"/>
        </w:rPr>
        <w:t xml:space="preserve"> </w:t>
      </w:r>
      <w:r w:rsidR="008F79CE" w:rsidRPr="003B2062">
        <w:rPr>
          <w:rFonts w:ascii="Arial" w:hAnsi="Arial" w:cs="Arial"/>
        </w:rPr>
        <w:t xml:space="preserve">offers (and bids) were scheduled up to the capacity of the RBP. On these days, </w:t>
      </w:r>
      <w:r w:rsidRPr="003B2062">
        <w:rPr>
          <w:rFonts w:ascii="Arial" w:hAnsi="Arial" w:cs="Arial"/>
        </w:rPr>
        <w:t xml:space="preserve">the </w:t>
      </w:r>
      <w:r w:rsidR="007A0042" w:rsidRPr="003B2062">
        <w:rPr>
          <w:rFonts w:ascii="Arial" w:hAnsi="Arial" w:cs="Arial"/>
        </w:rPr>
        <w:t xml:space="preserve">lower </w:t>
      </w:r>
      <w:r w:rsidR="00F166AB" w:rsidRPr="003B2062">
        <w:rPr>
          <w:rFonts w:ascii="Arial" w:hAnsi="Arial" w:cs="Arial"/>
        </w:rPr>
        <w:t xml:space="preserve">RBP capacity </w:t>
      </w:r>
      <w:r w:rsidRPr="003B2062">
        <w:rPr>
          <w:rFonts w:ascii="Arial" w:hAnsi="Arial" w:cs="Arial"/>
        </w:rPr>
        <w:t xml:space="preserve">prevented the scheduling of further </w:t>
      </w:r>
      <w:r w:rsidR="005C4689" w:rsidRPr="003B2062">
        <w:rPr>
          <w:rFonts w:ascii="Arial" w:hAnsi="Arial" w:cs="Arial"/>
        </w:rPr>
        <w:t>gas despite some bids being priced higher than some offers.</w:t>
      </w:r>
      <w:r w:rsidR="008F12D5" w:rsidRPr="003B2062">
        <w:rPr>
          <w:rStyle w:val="FootnoteReference"/>
          <w:rFonts w:ascii="Arial" w:hAnsi="Arial" w:cs="Arial"/>
        </w:rPr>
        <w:footnoteReference w:id="6"/>
      </w:r>
      <w:r w:rsidR="007A0042" w:rsidRPr="003B2062">
        <w:rPr>
          <w:rFonts w:ascii="Arial" w:hAnsi="Arial" w:cs="Arial"/>
        </w:rPr>
        <w:t xml:space="preserve"> </w:t>
      </w:r>
      <w:r w:rsidR="008F79CE" w:rsidRPr="003B2062">
        <w:rPr>
          <w:rFonts w:ascii="Arial" w:hAnsi="Arial" w:cs="Arial"/>
        </w:rPr>
        <w:t xml:space="preserve">Market rules do not allow volumes of gas to be scheduled to the Brisbane hub beyond the physical forward haul capacity of the pipeline even if there are parties willing to trade more gas.  On both days it resulted in prices being set at the price of the last </w:t>
      </w:r>
      <w:r w:rsidR="00A525EA" w:rsidRPr="003B2062">
        <w:rPr>
          <w:rFonts w:ascii="Arial" w:hAnsi="Arial" w:cs="Arial"/>
        </w:rPr>
        <w:t xml:space="preserve">non-price taker </w:t>
      </w:r>
      <w:r w:rsidR="008F79CE" w:rsidRPr="003B2062">
        <w:rPr>
          <w:rFonts w:ascii="Arial" w:hAnsi="Arial" w:cs="Arial"/>
        </w:rPr>
        <w:t>bid which could be scheduled given constrained capacity (see below). H</w:t>
      </w:r>
      <w:r w:rsidR="00F509EE" w:rsidRPr="003B2062">
        <w:rPr>
          <w:rFonts w:ascii="Arial" w:hAnsi="Arial" w:cs="Arial"/>
        </w:rPr>
        <w:t>owever</w:t>
      </w:r>
      <w:r w:rsidR="008F79CE" w:rsidRPr="003B2062">
        <w:rPr>
          <w:rFonts w:ascii="Arial" w:hAnsi="Arial" w:cs="Arial"/>
        </w:rPr>
        <w:t xml:space="preserve">, this only led to </w:t>
      </w:r>
      <w:r w:rsidR="00F509EE" w:rsidRPr="003B2062">
        <w:rPr>
          <w:rFonts w:ascii="Arial" w:hAnsi="Arial" w:cs="Arial"/>
        </w:rPr>
        <w:t xml:space="preserve">a significant price variation </w:t>
      </w:r>
      <w:r w:rsidR="008F79CE" w:rsidRPr="003B2062">
        <w:rPr>
          <w:rFonts w:ascii="Arial" w:hAnsi="Arial" w:cs="Arial"/>
        </w:rPr>
        <w:t xml:space="preserve">event </w:t>
      </w:r>
      <w:r w:rsidR="00F509EE" w:rsidRPr="003B2062">
        <w:rPr>
          <w:rFonts w:ascii="Arial" w:hAnsi="Arial" w:cs="Arial"/>
        </w:rPr>
        <w:t>on 17 October (circled).</w:t>
      </w:r>
      <w:r w:rsidR="002617E2" w:rsidRPr="003B2062">
        <w:rPr>
          <w:rFonts w:ascii="Arial" w:hAnsi="Arial" w:cs="Arial"/>
        </w:rPr>
        <w:t xml:space="preserve"> </w:t>
      </w:r>
    </w:p>
    <w:p w:rsidR="0024572B" w:rsidRPr="003B2062" w:rsidRDefault="0024572B" w:rsidP="00BF3839">
      <w:pPr>
        <w:pStyle w:val="AERnumberedlistfirststyle"/>
        <w:numPr>
          <w:ilvl w:val="0"/>
          <w:numId w:val="0"/>
        </w:numPr>
        <w:spacing w:after="0"/>
        <w:rPr>
          <w:rFonts w:ascii="Arial" w:hAnsi="Arial" w:cs="Arial"/>
        </w:rPr>
      </w:pPr>
    </w:p>
    <w:p w:rsidR="00CF28F3" w:rsidRPr="003B2062" w:rsidRDefault="00AC394B" w:rsidP="00BF3839">
      <w:pPr>
        <w:pStyle w:val="AERnumberedlistfirststyle"/>
        <w:numPr>
          <w:ilvl w:val="0"/>
          <w:numId w:val="0"/>
        </w:numPr>
        <w:spacing w:after="0"/>
        <w:rPr>
          <w:rFonts w:ascii="Arial" w:hAnsi="Arial" w:cs="Arial"/>
        </w:rPr>
      </w:pPr>
      <w:r w:rsidRPr="003B2062">
        <w:rPr>
          <w:rFonts w:ascii="Arial" w:hAnsi="Arial" w:cs="Arial"/>
        </w:rPr>
        <w:t xml:space="preserve">Stanwell </w:t>
      </w:r>
      <w:r w:rsidR="0024572B" w:rsidRPr="003B2062">
        <w:rPr>
          <w:rFonts w:ascii="Arial" w:hAnsi="Arial" w:cs="Arial"/>
        </w:rPr>
        <w:t xml:space="preserve">has advised the AER </w:t>
      </w:r>
      <w:r w:rsidRPr="003B2062">
        <w:rPr>
          <w:rFonts w:ascii="Arial" w:hAnsi="Arial" w:cs="Arial"/>
        </w:rPr>
        <w:t xml:space="preserve">that </w:t>
      </w:r>
      <w:r w:rsidR="0024572B" w:rsidRPr="003B2062">
        <w:rPr>
          <w:rFonts w:ascii="Arial" w:hAnsi="Arial" w:cs="Arial"/>
        </w:rPr>
        <w:t xml:space="preserve">APA notified it that </w:t>
      </w:r>
      <w:r w:rsidRPr="003B2062">
        <w:rPr>
          <w:rFonts w:ascii="Arial" w:hAnsi="Arial" w:cs="Arial"/>
        </w:rPr>
        <w:t>the capacity reduction would limit its ability to supply gas</w:t>
      </w:r>
      <w:r w:rsidR="0056370C" w:rsidRPr="003B2062">
        <w:rPr>
          <w:rFonts w:ascii="Arial" w:hAnsi="Arial" w:cs="Arial"/>
        </w:rPr>
        <w:t xml:space="preserve"> </w:t>
      </w:r>
      <w:r w:rsidR="00E51407" w:rsidRPr="003B2062">
        <w:rPr>
          <w:rFonts w:ascii="Arial" w:hAnsi="Arial" w:cs="Arial"/>
        </w:rPr>
        <w:t xml:space="preserve">to </w:t>
      </w:r>
      <w:r w:rsidR="0024572B" w:rsidRPr="003B2062">
        <w:rPr>
          <w:rFonts w:ascii="Arial" w:hAnsi="Arial" w:cs="Arial"/>
        </w:rPr>
        <w:t xml:space="preserve">its gas powered generator, Swanbank E, due to </w:t>
      </w:r>
      <w:r w:rsidR="0056370C" w:rsidRPr="003B2062">
        <w:rPr>
          <w:rFonts w:ascii="Arial" w:hAnsi="Arial" w:cs="Arial"/>
        </w:rPr>
        <w:t>reduced pressure during the maintenance period</w:t>
      </w:r>
      <w:r w:rsidRPr="003B2062">
        <w:rPr>
          <w:rFonts w:ascii="Arial" w:hAnsi="Arial" w:cs="Arial"/>
        </w:rPr>
        <w:t xml:space="preserve">. In response to this information, Stanwell lowered its </w:t>
      </w:r>
      <w:r w:rsidR="0056370C" w:rsidRPr="003B2062">
        <w:rPr>
          <w:rFonts w:ascii="Arial" w:hAnsi="Arial" w:cs="Arial"/>
        </w:rPr>
        <w:t xml:space="preserve">price taker and </w:t>
      </w:r>
      <w:r w:rsidR="005C4689" w:rsidRPr="003B2062">
        <w:rPr>
          <w:rFonts w:ascii="Arial" w:hAnsi="Arial" w:cs="Arial"/>
        </w:rPr>
        <w:t xml:space="preserve">non-price taker </w:t>
      </w:r>
      <w:r w:rsidR="0056370C" w:rsidRPr="003B2062">
        <w:rPr>
          <w:rFonts w:ascii="Arial" w:hAnsi="Arial" w:cs="Arial"/>
        </w:rPr>
        <w:t>bid quantities</w:t>
      </w:r>
      <w:r w:rsidR="008F79CE" w:rsidRPr="003B2062">
        <w:rPr>
          <w:rFonts w:ascii="Arial" w:hAnsi="Arial" w:cs="Arial"/>
        </w:rPr>
        <w:t xml:space="preserve"> </w:t>
      </w:r>
      <w:r w:rsidR="00CF28F3" w:rsidRPr="003B2062">
        <w:rPr>
          <w:rFonts w:ascii="Arial" w:hAnsi="Arial" w:cs="Arial"/>
        </w:rPr>
        <w:t xml:space="preserve">from 17 October. This is </w:t>
      </w:r>
      <w:r w:rsidR="008F79CE" w:rsidRPr="003B2062">
        <w:rPr>
          <w:rFonts w:ascii="Arial" w:hAnsi="Arial" w:cs="Arial"/>
        </w:rPr>
        <w:t xml:space="preserve">shown </w:t>
      </w:r>
      <w:r w:rsidR="00CF28F3" w:rsidRPr="003B2062">
        <w:rPr>
          <w:rFonts w:ascii="Arial" w:hAnsi="Arial" w:cs="Arial"/>
        </w:rPr>
        <w:t xml:space="preserve">in the reduction in price taker bids in figure 3 above. </w:t>
      </w:r>
      <w:r w:rsidR="005C4689" w:rsidRPr="003B2062">
        <w:rPr>
          <w:rFonts w:ascii="Arial" w:hAnsi="Arial" w:cs="Arial"/>
        </w:rPr>
        <w:t>If</w:t>
      </w:r>
      <w:r w:rsidR="00CF28F3" w:rsidRPr="003B2062">
        <w:rPr>
          <w:rFonts w:ascii="Arial" w:hAnsi="Arial" w:cs="Arial"/>
        </w:rPr>
        <w:t xml:space="preserve"> Stanwell had not reduced its price taker bids</w:t>
      </w:r>
      <w:r w:rsidR="005C4689" w:rsidRPr="003B2062">
        <w:rPr>
          <w:rFonts w:ascii="Arial" w:hAnsi="Arial" w:cs="Arial"/>
        </w:rPr>
        <w:t>,</w:t>
      </w:r>
      <w:r w:rsidR="00CF28F3" w:rsidRPr="003B2062">
        <w:rPr>
          <w:rFonts w:ascii="Arial" w:hAnsi="Arial" w:cs="Arial"/>
        </w:rPr>
        <w:t xml:space="preserve"> the ex ante price would have likely been set at $400/GJ</w:t>
      </w:r>
      <w:r w:rsidR="005C4689" w:rsidRPr="003B2062">
        <w:rPr>
          <w:rFonts w:ascii="Arial" w:hAnsi="Arial" w:cs="Arial"/>
        </w:rPr>
        <w:t xml:space="preserve"> (the market </w:t>
      </w:r>
      <w:r w:rsidR="00E30131" w:rsidRPr="003B2062">
        <w:rPr>
          <w:rFonts w:ascii="Arial" w:hAnsi="Arial" w:cs="Arial"/>
        </w:rPr>
        <w:t xml:space="preserve">price </w:t>
      </w:r>
      <w:r w:rsidR="005C4689" w:rsidRPr="003B2062">
        <w:rPr>
          <w:rFonts w:ascii="Arial" w:hAnsi="Arial" w:cs="Arial"/>
        </w:rPr>
        <w:t>cap)</w:t>
      </w:r>
      <w:r w:rsidR="00CF28F3" w:rsidRPr="003B2062">
        <w:rPr>
          <w:rFonts w:ascii="Arial" w:hAnsi="Arial" w:cs="Arial"/>
        </w:rPr>
        <w:t xml:space="preserve"> whereby offers could not have been scheduled to meet all price taker bids. </w:t>
      </w:r>
    </w:p>
    <w:p w:rsidR="0024572B" w:rsidRPr="003B2062" w:rsidRDefault="0024572B" w:rsidP="00BF3839">
      <w:pPr>
        <w:pStyle w:val="AERnumberedlistfirststyle"/>
        <w:numPr>
          <w:ilvl w:val="0"/>
          <w:numId w:val="0"/>
        </w:numPr>
        <w:spacing w:after="0"/>
        <w:rPr>
          <w:rFonts w:ascii="Arial" w:hAnsi="Arial" w:cs="Arial"/>
        </w:rPr>
      </w:pPr>
    </w:p>
    <w:p w:rsidR="007A0042" w:rsidRPr="003B2062" w:rsidRDefault="00CE28EE" w:rsidP="00BF3839">
      <w:pPr>
        <w:pStyle w:val="AERnumberedlistfirststyle"/>
        <w:numPr>
          <w:ilvl w:val="0"/>
          <w:numId w:val="0"/>
        </w:numPr>
        <w:spacing w:after="0"/>
        <w:rPr>
          <w:rFonts w:ascii="Arial" w:hAnsi="Arial" w:cs="Arial"/>
        </w:rPr>
      </w:pPr>
      <w:r w:rsidRPr="003B2062">
        <w:rPr>
          <w:rFonts w:ascii="Arial" w:hAnsi="Arial" w:cs="Arial"/>
        </w:rPr>
        <w:t xml:space="preserve">As shown in figure </w:t>
      </w:r>
      <w:r w:rsidR="00F81705" w:rsidRPr="003B2062">
        <w:rPr>
          <w:rFonts w:ascii="Arial" w:hAnsi="Arial" w:cs="Arial"/>
        </w:rPr>
        <w:t>4</w:t>
      </w:r>
      <w:r w:rsidRPr="003B2062">
        <w:rPr>
          <w:rFonts w:ascii="Arial" w:hAnsi="Arial" w:cs="Arial"/>
        </w:rPr>
        <w:t>,</w:t>
      </w:r>
      <w:r w:rsidR="00BF3839" w:rsidRPr="003B2062">
        <w:rPr>
          <w:rFonts w:ascii="Arial" w:hAnsi="Arial" w:cs="Arial"/>
        </w:rPr>
        <w:t xml:space="preserve"> </w:t>
      </w:r>
      <w:r w:rsidR="005C4689" w:rsidRPr="003B2062">
        <w:rPr>
          <w:rFonts w:ascii="Arial" w:hAnsi="Arial" w:cs="Arial"/>
        </w:rPr>
        <w:t xml:space="preserve">on </w:t>
      </w:r>
      <w:r w:rsidR="005C09CB" w:rsidRPr="003B2062">
        <w:rPr>
          <w:rFonts w:ascii="Arial" w:hAnsi="Arial" w:cs="Arial"/>
        </w:rPr>
        <w:t>17 October</w:t>
      </w:r>
      <w:r w:rsidR="007A0042" w:rsidRPr="003B2062">
        <w:rPr>
          <w:rFonts w:ascii="Arial" w:hAnsi="Arial" w:cs="Arial"/>
        </w:rPr>
        <w:t xml:space="preserve"> across the three schedules:</w:t>
      </w:r>
    </w:p>
    <w:p w:rsidR="007A0042" w:rsidRPr="003B2062" w:rsidRDefault="007A0042" w:rsidP="00BF3839">
      <w:pPr>
        <w:pStyle w:val="AERnumberedlistfirststyle"/>
        <w:numPr>
          <w:ilvl w:val="0"/>
          <w:numId w:val="0"/>
        </w:numPr>
        <w:spacing w:after="0"/>
        <w:rPr>
          <w:rFonts w:ascii="Arial" w:hAnsi="Arial" w:cs="Arial"/>
        </w:rPr>
      </w:pPr>
    </w:p>
    <w:p w:rsidR="00E30131" w:rsidRPr="003B2062" w:rsidRDefault="00E30131" w:rsidP="007A0042">
      <w:pPr>
        <w:pStyle w:val="AERnumberedlistfirststyle"/>
        <w:numPr>
          <w:ilvl w:val="0"/>
          <w:numId w:val="15"/>
        </w:numPr>
        <w:spacing w:after="0"/>
        <w:rPr>
          <w:rFonts w:ascii="Arial" w:hAnsi="Arial" w:cs="Arial"/>
        </w:rPr>
      </w:pPr>
      <w:r w:rsidRPr="003B2062">
        <w:rPr>
          <w:rFonts w:ascii="Arial" w:hAnsi="Arial" w:cs="Arial"/>
        </w:rPr>
        <w:t xml:space="preserve">Given the capacity constraint, </w:t>
      </w:r>
      <w:r w:rsidR="00865D13" w:rsidRPr="003B2062">
        <w:rPr>
          <w:rFonts w:ascii="Arial" w:hAnsi="Arial" w:cs="Arial"/>
        </w:rPr>
        <w:t>121.3</w:t>
      </w:r>
      <w:r w:rsidR="007A0042" w:rsidRPr="003B2062">
        <w:rPr>
          <w:rFonts w:ascii="Arial" w:hAnsi="Arial" w:cs="Arial"/>
        </w:rPr>
        <w:t xml:space="preserve"> TJ of </w:t>
      </w:r>
      <w:r w:rsidR="00CE28EE" w:rsidRPr="003B2062">
        <w:rPr>
          <w:rFonts w:ascii="Arial" w:hAnsi="Arial" w:cs="Arial"/>
        </w:rPr>
        <w:t xml:space="preserve">offers </w:t>
      </w:r>
      <w:r w:rsidR="00EF556E" w:rsidRPr="003B2062">
        <w:rPr>
          <w:rFonts w:ascii="Arial" w:hAnsi="Arial" w:cs="Arial"/>
        </w:rPr>
        <w:t>were</w:t>
      </w:r>
      <w:r w:rsidRPr="003B2062">
        <w:rPr>
          <w:rFonts w:ascii="Arial" w:hAnsi="Arial" w:cs="Arial"/>
        </w:rPr>
        <w:t xml:space="preserve"> scheduled across all three schedules with the marginal offer price at 121.3 TJ changing slightly across schedules.</w:t>
      </w:r>
    </w:p>
    <w:p w:rsidR="00E30131" w:rsidRPr="003B2062" w:rsidRDefault="00E30131" w:rsidP="007A0042">
      <w:pPr>
        <w:pStyle w:val="AERnumberedlistfirststyle"/>
        <w:numPr>
          <w:ilvl w:val="0"/>
          <w:numId w:val="15"/>
        </w:numPr>
        <w:spacing w:after="0"/>
        <w:rPr>
          <w:rFonts w:ascii="Arial" w:hAnsi="Arial" w:cs="Arial"/>
        </w:rPr>
      </w:pPr>
      <w:r w:rsidRPr="003B2062">
        <w:rPr>
          <w:rFonts w:ascii="Arial" w:hAnsi="Arial" w:cs="Arial"/>
        </w:rPr>
        <w:lastRenderedPageBreak/>
        <w:t>For each schedule t</w:t>
      </w:r>
      <w:r w:rsidR="00535459" w:rsidRPr="003B2062">
        <w:rPr>
          <w:rFonts w:ascii="Arial" w:hAnsi="Arial" w:cs="Arial"/>
        </w:rPr>
        <w:t>he</w:t>
      </w:r>
      <w:r w:rsidR="0024572B" w:rsidRPr="003B2062">
        <w:rPr>
          <w:rFonts w:ascii="Arial" w:hAnsi="Arial" w:cs="Arial"/>
        </w:rPr>
        <w:t>se</w:t>
      </w:r>
      <w:r w:rsidR="00535459" w:rsidRPr="003B2062">
        <w:rPr>
          <w:rFonts w:ascii="Arial" w:hAnsi="Arial" w:cs="Arial"/>
        </w:rPr>
        <w:t xml:space="preserve"> offers were matched </w:t>
      </w:r>
      <w:r w:rsidR="00C73CBD" w:rsidRPr="003B2062">
        <w:rPr>
          <w:rFonts w:ascii="Arial" w:hAnsi="Arial" w:cs="Arial"/>
        </w:rPr>
        <w:t xml:space="preserve">by price taker bids </w:t>
      </w:r>
      <w:r w:rsidRPr="003B2062">
        <w:rPr>
          <w:rFonts w:ascii="Arial" w:hAnsi="Arial" w:cs="Arial"/>
        </w:rPr>
        <w:t xml:space="preserve">between </w:t>
      </w:r>
      <w:r w:rsidR="00F06386" w:rsidRPr="003B2062">
        <w:rPr>
          <w:rFonts w:ascii="Arial" w:hAnsi="Arial" w:cs="Arial"/>
        </w:rPr>
        <w:t>107.8 and 111.8 TJ</w:t>
      </w:r>
      <w:r w:rsidRPr="003B2062">
        <w:rPr>
          <w:rFonts w:ascii="Arial" w:hAnsi="Arial" w:cs="Arial"/>
        </w:rPr>
        <w:t xml:space="preserve"> </w:t>
      </w:r>
    </w:p>
    <w:p w:rsidR="00F06386" w:rsidRPr="003B2062" w:rsidRDefault="00E30131" w:rsidP="007A0042">
      <w:pPr>
        <w:pStyle w:val="AERnumberedlistfirststyle"/>
        <w:numPr>
          <w:ilvl w:val="0"/>
          <w:numId w:val="15"/>
        </w:numPr>
        <w:spacing w:after="0"/>
        <w:rPr>
          <w:rFonts w:ascii="Arial" w:hAnsi="Arial" w:cs="Arial"/>
        </w:rPr>
      </w:pPr>
      <w:r w:rsidRPr="003B2062">
        <w:rPr>
          <w:rFonts w:ascii="Arial" w:hAnsi="Arial" w:cs="Arial"/>
        </w:rPr>
        <w:t xml:space="preserve">For each schedule an additional small </w:t>
      </w:r>
      <w:r w:rsidR="0024572B" w:rsidRPr="003B2062">
        <w:rPr>
          <w:rFonts w:ascii="Arial" w:hAnsi="Arial" w:cs="Arial"/>
        </w:rPr>
        <w:t xml:space="preserve">quantity of </w:t>
      </w:r>
      <w:r w:rsidR="005C4689" w:rsidRPr="003B2062">
        <w:rPr>
          <w:rFonts w:ascii="Arial" w:hAnsi="Arial" w:cs="Arial"/>
        </w:rPr>
        <w:t>non-price taker</w:t>
      </w:r>
      <w:r w:rsidR="00CF28F3" w:rsidRPr="003B2062">
        <w:rPr>
          <w:rFonts w:ascii="Arial" w:hAnsi="Arial" w:cs="Arial"/>
        </w:rPr>
        <w:t xml:space="preserve"> bids</w:t>
      </w:r>
      <w:r w:rsidRPr="003B2062">
        <w:rPr>
          <w:rFonts w:ascii="Arial" w:hAnsi="Arial" w:cs="Arial"/>
        </w:rPr>
        <w:t xml:space="preserve"> was scheduled </w:t>
      </w:r>
      <w:r w:rsidR="003C5399" w:rsidRPr="003B2062">
        <w:rPr>
          <w:rFonts w:ascii="Arial" w:hAnsi="Arial" w:cs="Arial"/>
        </w:rPr>
        <w:t>bringing the</w:t>
      </w:r>
      <w:r w:rsidRPr="003B2062">
        <w:rPr>
          <w:rFonts w:ascii="Arial" w:hAnsi="Arial" w:cs="Arial"/>
        </w:rPr>
        <w:t xml:space="preserve"> total bids </w:t>
      </w:r>
      <w:r w:rsidR="003C5399" w:rsidRPr="003B2062">
        <w:rPr>
          <w:rFonts w:ascii="Arial" w:hAnsi="Arial" w:cs="Arial"/>
        </w:rPr>
        <w:t>t</w:t>
      </w:r>
      <w:r w:rsidR="00F06386" w:rsidRPr="003B2062">
        <w:rPr>
          <w:rFonts w:ascii="Arial" w:hAnsi="Arial" w:cs="Arial"/>
        </w:rPr>
        <w:t xml:space="preserve">o </w:t>
      </w:r>
      <w:r w:rsidRPr="003B2062">
        <w:rPr>
          <w:rFonts w:ascii="Arial" w:hAnsi="Arial" w:cs="Arial"/>
        </w:rPr>
        <w:t xml:space="preserve">121.3 TJ </w:t>
      </w:r>
    </w:p>
    <w:p w:rsidR="007A0042" w:rsidRPr="003B2062" w:rsidRDefault="00F06386" w:rsidP="007A0042">
      <w:pPr>
        <w:pStyle w:val="AERnumberedlistfirststyle"/>
        <w:numPr>
          <w:ilvl w:val="0"/>
          <w:numId w:val="15"/>
        </w:numPr>
        <w:spacing w:after="0"/>
        <w:rPr>
          <w:rFonts w:ascii="Arial" w:hAnsi="Arial" w:cs="Arial"/>
        </w:rPr>
      </w:pPr>
      <w:r w:rsidRPr="003B2062">
        <w:rPr>
          <w:rFonts w:ascii="Arial" w:hAnsi="Arial" w:cs="Arial"/>
        </w:rPr>
        <w:t xml:space="preserve">The </w:t>
      </w:r>
      <w:r w:rsidR="00E30131" w:rsidRPr="003B2062">
        <w:rPr>
          <w:rFonts w:ascii="Arial" w:hAnsi="Arial" w:cs="Arial"/>
        </w:rPr>
        <w:t>marginal bid price for each schedule changed markedly</w:t>
      </w:r>
      <w:r w:rsidRPr="003B2062">
        <w:rPr>
          <w:rFonts w:ascii="Arial" w:hAnsi="Arial" w:cs="Arial"/>
        </w:rPr>
        <w:t xml:space="preserve"> compared to the marginal offer</w:t>
      </w:r>
    </w:p>
    <w:p w:rsidR="00F509EE" w:rsidRPr="003B2062" w:rsidRDefault="00F509EE">
      <w:pPr>
        <w:pStyle w:val="AERnumberedlistfirststyle"/>
        <w:numPr>
          <w:ilvl w:val="0"/>
          <w:numId w:val="0"/>
        </w:numPr>
        <w:spacing w:after="0"/>
        <w:rPr>
          <w:rFonts w:ascii="Arial" w:hAnsi="Arial" w:cs="Arial"/>
        </w:rPr>
      </w:pPr>
    </w:p>
    <w:p w:rsidR="0031536F" w:rsidRPr="003B2062" w:rsidRDefault="00F509EE" w:rsidP="001D10E2">
      <w:pPr>
        <w:pStyle w:val="Caption"/>
        <w:rPr>
          <w:rFonts w:ascii="Arial" w:hAnsi="Arial" w:cs="Arial"/>
          <w:szCs w:val="20"/>
        </w:rPr>
      </w:pPr>
      <w:r w:rsidRPr="003B2062">
        <w:rPr>
          <w:rFonts w:ascii="Arial" w:hAnsi="Arial" w:cs="Arial"/>
        </w:rPr>
        <w:t xml:space="preserve">Figure </w:t>
      </w:r>
      <w:r w:rsidR="00B369B6" w:rsidRPr="003B2062">
        <w:rPr>
          <w:rFonts w:ascii="Arial" w:hAnsi="Arial" w:cs="Arial"/>
        </w:rPr>
        <w:t xml:space="preserve">4 </w:t>
      </w:r>
      <w:r w:rsidRPr="003B2062">
        <w:rPr>
          <w:rFonts w:ascii="Arial" w:hAnsi="Arial" w:cs="Arial"/>
        </w:rPr>
        <w:t>–</w:t>
      </w:r>
      <w:r w:rsidR="00ED7903" w:rsidRPr="003B2062">
        <w:rPr>
          <w:rFonts w:ascii="Arial" w:hAnsi="Arial" w:cs="Arial"/>
        </w:rPr>
        <w:t xml:space="preserve"> </w:t>
      </w:r>
      <w:r w:rsidR="00ED7903" w:rsidRPr="003B2062">
        <w:rPr>
          <w:rFonts w:ascii="Arial" w:hAnsi="Arial" w:cs="Arial"/>
          <w:szCs w:val="20"/>
        </w:rPr>
        <w:t>C</w:t>
      </w:r>
      <w:r w:rsidR="0031536F" w:rsidRPr="003B2062">
        <w:rPr>
          <w:rFonts w:ascii="Arial" w:hAnsi="Arial" w:cs="Arial"/>
          <w:szCs w:val="20"/>
        </w:rPr>
        <w:t xml:space="preserve">apacity, </w:t>
      </w:r>
      <w:r w:rsidR="00F06386" w:rsidRPr="003B2062">
        <w:rPr>
          <w:rFonts w:ascii="Arial" w:hAnsi="Arial" w:cs="Arial"/>
          <w:szCs w:val="20"/>
        </w:rPr>
        <w:t xml:space="preserve">offer, bid </w:t>
      </w:r>
      <w:r w:rsidR="0031536F" w:rsidRPr="003B2062">
        <w:rPr>
          <w:rFonts w:ascii="Arial" w:hAnsi="Arial" w:cs="Arial"/>
          <w:szCs w:val="20"/>
        </w:rPr>
        <w:t>and pricing information</w:t>
      </w:r>
    </w:p>
    <w:tbl>
      <w:tblPr>
        <w:tblStyle w:val="AERtable-numbers"/>
        <w:tblW w:w="7928" w:type="dxa"/>
        <w:tblLook w:val="04A0" w:firstRow="1" w:lastRow="0" w:firstColumn="1" w:lastColumn="0" w:noHBand="0" w:noVBand="1"/>
      </w:tblPr>
      <w:tblGrid>
        <w:gridCol w:w="1242"/>
        <w:gridCol w:w="1134"/>
        <w:gridCol w:w="1026"/>
        <w:gridCol w:w="1525"/>
        <w:gridCol w:w="1418"/>
        <w:gridCol w:w="1583"/>
      </w:tblGrid>
      <w:tr w:rsidR="00E30131" w:rsidRPr="003B2062" w:rsidTr="00E30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E30131" w:rsidRPr="003B2062" w:rsidRDefault="00E30131" w:rsidP="004C204D">
            <w:pPr>
              <w:pStyle w:val="AERbodytext"/>
              <w:jc w:val="left"/>
              <w:rPr>
                <w:rFonts w:ascii="Arial" w:hAnsi="Arial" w:cs="Arial"/>
              </w:rPr>
            </w:pPr>
            <w:r w:rsidRPr="003B2062">
              <w:rPr>
                <w:rFonts w:ascii="Arial" w:hAnsi="Arial" w:cs="Arial"/>
              </w:rPr>
              <w:t>Schedule</w:t>
            </w:r>
          </w:p>
        </w:tc>
        <w:tc>
          <w:tcPr>
            <w:tcW w:w="1134" w:type="dxa"/>
            <w:vAlign w:val="top"/>
          </w:tcPr>
          <w:p w:rsidR="00E30131" w:rsidRPr="003B2062" w:rsidRDefault="00E30131" w:rsidP="004C204D">
            <w:pPr>
              <w:pStyle w:val="AERbodyt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062">
              <w:rPr>
                <w:rFonts w:ascii="Arial" w:hAnsi="Arial" w:cs="Arial"/>
              </w:rPr>
              <w:t>Capacity &amp; Scheduled Offers (TJ)</w:t>
            </w:r>
          </w:p>
          <w:p w:rsidR="00E30131" w:rsidRPr="003B2062" w:rsidRDefault="00E30131" w:rsidP="004C204D">
            <w:pPr>
              <w:pStyle w:val="AERbodytext"/>
              <w:jc w:val="left"/>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026" w:type="dxa"/>
            <w:vAlign w:val="top"/>
          </w:tcPr>
          <w:p w:rsidR="00E30131" w:rsidRPr="003B2062" w:rsidRDefault="00E30131" w:rsidP="004C204D">
            <w:pPr>
              <w:pStyle w:val="AERbodytex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062">
              <w:rPr>
                <w:rFonts w:ascii="Arial" w:hAnsi="Arial" w:cs="Arial"/>
              </w:rPr>
              <w:t>Price taker bids  (TJ)</w:t>
            </w:r>
          </w:p>
        </w:tc>
        <w:tc>
          <w:tcPr>
            <w:tcW w:w="1525" w:type="dxa"/>
            <w:vAlign w:val="top"/>
          </w:tcPr>
          <w:p w:rsidR="00E30131" w:rsidRPr="003B2062" w:rsidRDefault="00E30131" w:rsidP="004C204D">
            <w:pPr>
              <w:pStyle w:val="AERbodytex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062">
              <w:rPr>
                <w:rFonts w:ascii="Arial" w:hAnsi="Arial" w:cs="Arial"/>
              </w:rPr>
              <w:t>Non price-taker bids (TJ)</w:t>
            </w:r>
          </w:p>
        </w:tc>
        <w:tc>
          <w:tcPr>
            <w:tcW w:w="1418" w:type="dxa"/>
            <w:vAlign w:val="top"/>
          </w:tcPr>
          <w:p w:rsidR="00E30131" w:rsidRPr="003B2062" w:rsidRDefault="00E30131" w:rsidP="00E30131">
            <w:pPr>
              <w:pStyle w:val="AERbodytex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062">
              <w:rPr>
                <w:rFonts w:ascii="Arial" w:hAnsi="Arial" w:cs="Arial"/>
              </w:rPr>
              <w:t>Marginal offer (MO) price at capacity ($/GJ)</w:t>
            </w:r>
          </w:p>
        </w:tc>
        <w:tc>
          <w:tcPr>
            <w:tcW w:w="1583" w:type="dxa"/>
            <w:vAlign w:val="top"/>
          </w:tcPr>
          <w:p w:rsidR="00E30131" w:rsidRPr="003B2062" w:rsidRDefault="00E30131" w:rsidP="00E30131">
            <w:pPr>
              <w:pStyle w:val="AERbodytext"/>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B2062">
              <w:rPr>
                <w:rFonts w:ascii="Arial" w:hAnsi="Arial" w:cs="Arial"/>
              </w:rPr>
              <w:t>Marginal bid (MB) price at capacity ($/GJ)</w:t>
            </w:r>
          </w:p>
        </w:tc>
      </w:tr>
      <w:tr w:rsidR="00E30131" w:rsidRPr="003B2062" w:rsidTr="00E30131">
        <w:tc>
          <w:tcPr>
            <w:cnfStyle w:val="001000000000" w:firstRow="0" w:lastRow="0" w:firstColumn="1" w:lastColumn="0" w:oddVBand="0" w:evenVBand="0" w:oddHBand="0" w:evenHBand="0" w:firstRowFirstColumn="0" w:firstRowLastColumn="0" w:lastRowFirstColumn="0" w:lastRowLastColumn="0"/>
            <w:tcW w:w="1242" w:type="dxa"/>
            <w:vAlign w:val="top"/>
          </w:tcPr>
          <w:p w:rsidR="00E30131" w:rsidRPr="003B2062" w:rsidRDefault="00E30131" w:rsidP="004C204D">
            <w:pPr>
              <w:pStyle w:val="AERbodytext"/>
              <w:jc w:val="left"/>
              <w:rPr>
                <w:rFonts w:ascii="Arial" w:hAnsi="Arial" w:cs="Arial"/>
              </w:rPr>
            </w:pPr>
            <w:r w:rsidRPr="003B2062">
              <w:rPr>
                <w:rFonts w:ascii="Arial" w:hAnsi="Arial" w:cs="Arial"/>
                <w:color w:val="000000"/>
              </w:rPr>
              <w:t>D-3</w:t>
            </w:r>
          </w:p>
        </w:tc>
        <w:tc>
          <w:tcPr>
            <w:tcW w:w="1134" w:type="dxa"/>
          </w:tcPr>
          <w:p w:rsidR="00E30131" w:rsidRPr="003B2062" w:rsidRDefault="00E3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6"/>
              </w:rPr>
            </w:pPr>
            <w:r w:rsidRPr="003B2062">
              <w:rPr>
                <w:rFonts w:ascii="Arial" w:hAnsi="Arial" w:cs="Arial"/>
                <w:color w:val="000000"/>
                <w:szCs w:val="16"/>
              </w:rPr>
              <w:t>121.3</w:t>
            </w:r>
          </w:p>
        </w:tc>
        <w:tc>
          <w:tcPr>
            <w:tcW w:w="1026" w:type="dxa"/>
          </w:tcPr>
          <w:p w:rsidR="00E30131" w:rsidRPr="003B2062" w:rsidRDefault="00E3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6"/>
              </w:rPr>
            </w:pPr>
            <w:r w:rsidRPr="003B2062">
              <w:rPr>
                <w:rFonts w:ascii="Arial" w:hAnsi="Arial" w:cs="Arial"/>
                <w:color w:val="000000"/>
                <w:szCs w:val="16"/>
              </w:rPr>
              <w:t>109.3</w:t>
            </w:r>
          </w:p>
        </w:tc>
        <w:tc>
          <w:tcPr>
            <w:tcW w:w="1525" w:type="dxa"/>
          </w:tcPr>
          <w:p w:rsidR="00E30131" w:rsidRPr="003B2062" w:rsidRDefault="00E3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6"/>
              </w:rPr>
            </w:pPr>
            <w:r w:rsidRPr="003B2062">
              <w:rPr>
                <w:rFonts w:ascii="Arial" w:hAnsi="Arial" w:cs="Arial"/>
                <w:color w:val="000000"/>
                <w:szCs w:val="16"/>
              </w:rPr>
              <w:t>11.99</w:t>
            </w:r>
          </w:p>
        </w:tc>
        <w:tc>
          <w:tcPr>
            <w:tcW w:w="1418" w:type="dxa"/>
          </w:tcPr>
          <w:p w:rsidR="00E30131" w:rsidRPr="003B2062" w:rsidRDefault="00E3013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Cs w:val="16"/>
              </w:rPr>
            </w:pPr>
            <w:r w:rsidRPr="003B2062">
              <w:rPr>
                <w:rFonts w:ascii="Arial" w:hAnsi="Arial" w:cs="Arial"/>
                <w:b/>
                <w:bCs/>
                <w:color w:val="000000"/>
                <w:szCs w:val="16"/>
              </w:rPr>
              <w:t>$0.95</w:t>
            </w:r>
          </w:p>
        </w:tc>
        <w:tc>
          <w:tcPr>
            <w:tcW w:w="1583" w:type="dxa"/>
          </w:tcPr>
          <w:p w:rsidR="00E30131" w:rsidRPr="003B2062" w:rsidRDefault="00E30131" w:rsidP="00D719C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Cs w:val="16"/>
              </w:rPr>
            </w:pPr>
            <w:r w:rsidRPr="003B2062">
              <w:rPr>
                <w:rFonts w:ascii="Arial" w:hAnsi="Arial" w:cs="Arial"/>
                <w:b/>
                <w:bCs/>
                <w:color w:val="000000"/>
                <w:szCs w:val="16"/>
              </w:rPr>
              <w:t>$29.90</w:t>
            </w:r>
          </w:p>
        </w:tc>
      </w:tr>
      <w:tr w:rsidR="00E30131" w:rsidRPr="003B2062" w:rsidTr="00E301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E30131" w:rsidRPr="003B2062" w:rsidRDefault="00E30131" w:rsidP="004C204D">
            <w:pPr>
              <w:pStyle w:val="AERbodytext"/>
              <w:jc w:val="left"/>
              <w:rPr>
                <w:rFonts w:ascii="Arial" w:hAnsi="Arial" w:cs="Arial"/>
              </w:rPr>
            </w:pPr>
            <w:r w:rsidRPr="003B2062">
              <w:rPr>
                <w:rFonts w:ascii="Arial" w:hAnsi="Arial" w:cs="Arial"/>
                <w:color w:val="000000"/>
              </w:rPr>
              <w:t>D-2</w:t>
            </w:r>
          </w:p>
        </w:tc>
        <w:tc>
          <w:tcPr>
            <w:tcW w:w="1134" w:type="dxa"/>
          </w:tcPr>
          <w:p w:rsidR="00E30131" w:rsidRPr="003B2062" w:rsidRDefault="00E30131">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16"/>
              </w:rPr>
            </w:pPr>
            <w:r w:rsidRPr="003B2062">
              <w:rPr>
                <w:rFonts w:ascii="Arial" w:hAnsi="Arial" w:cs="Arial"/>
                <w:color w:val="000000"/>
                <w:szCs w:val="16"/>
              </w:rPr>
              <w:t>121.3</w:t>
            </w:r>
          </w:p>
        </w:tc>
        <w:tc>
          <w:tcPr>
            <w:tcW w:w="1026" w:type="dxa"/>
          </w:tcPr>
          <w:p w:rsidR="00E30131" w:rsidRPr="003B2062" w:rsidRDefault="00E30131">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16"/>
              </w:rPr>
            </w:pPr>
            <w:r w:rsidRPr="003B2062">
              <w:rPr>
                <w:rFonts w:ascii="Arial" w:hAnsi="Arial" w:cs="Arial"/>
                <w:color w:val="000000"/>
                <w:szCs w:val="16"/>
              </w:rPr>
              <w:t>108.3</w:t>
            </w:r>
          </w:p>
        </w:tc>
        <w:tc>
          <w:tcPr>
            <w:tcW w:w="1525" w:type="dxa"/>
          </w:tcPr>
          <w:p w:rsidR="00E30131" w:rsidRPr="003B2062" w:rsidRDefault="00E30131">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16"/>
              </w:rPr>
            </w:pPr>
            <w:r w:rsidRPr="003B2062">
              <w:rPr>
                <w:rFonts w:ascii="Arial" w:hAnsi="Arial" w:cs="Arial"/>
                <w:color w:val="000000"/>
                <w:szCs w:val="16"/>
              </w:rPr>
              <w:t>12.99</w:t>
            </w:r>
          </w:p>
        </w:tc>
        <w:tc>
          <w:tcPr>
            <w:tcW w:w="1418" w:type="dxa"/>
          </w:tcPr>
          <w:p w:rsidR="00E30131" w:rsidRPr="003B2062" w:rsidRDefault="00E30131">
            <w:pP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Cs w:val="16"/>
              </w:rPr>
            </w:pPr>
            <w:r w:rsidRPr="003B2062">
              <w:rPr>
                <w:rFonts w:ascii="Arial" w:hAnsi="Arial" w:cs="Arial"/>
                <w:b/>
                <w:bCs/>
                <w:color w:val="000000"/>
                <w:szCs w:val="16"/>
              </w:rPr>
              <w:t>$0.40</w:t>
            </w:r>
          </w:p>
        </w:tc>
        <w:tc>
          <w:tcPr>
            <w:tcW w:w="1583" w:type="dxa"/>
          </w:tcPr>
          <w:p w:rsidR="00E30131" w:rsidRPr="003B2062" w:rsidRDefault="00E30131" w:rsidP="00D719C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Cs w:val="16"/>
              </w:rPr>
            </w:pPr>
            <w:r w:rsidRPr="003B2062">
              <w:rPr>
                <w:rFonts w:ascii="Arial" w:hAnsi="Arial" w:cs="Arial"/>
                <w:b/>
                <w:bCs/>
                <w:color w:val="000000"/>
                <w:szCs w:val="16"/>
              </w:rPr>
              <w:t>$1.08</w:t>
            </w:r>
          </w:p>
        </w:tc>
      </w:tr>
      <w:tr w:rsidR="00E30131" w:rsidRPr="003B2062" w:rsidTr="00E30131">
        <w:trPr>
          <w:trHeight w:val="507"/>
        </w:trPr>
        <w:tc>
          <w:tcPr>
            <w:cnfStyle w:val="001000000000" w:firstRow="0" w:lastRow="0" w:firstColumn="1" w:lastColumn="0" w:oddVBand="0" w:evenVBand="0" w:oddHBand="0" w:evenHBand="0" w:firstRowFirstColumn="0" w:firstRowLastColumn="0" w:lastRowFirstColumn="0" w:lastRowLastColumn="0"/>
            <w:tcW w:w="1242" w:type="dxa"/>
            <w:tcBorders>
              <w:bottom w:val="nil"/>
            </w:tcBorders>
            <w:vAlign w:val="top"/>
          </w:tcPr>
          <w:p w:rsidR="00E30131" w:rsidRPr="003B2062" w:rsidRDefault="00E30131" w:rsidP="004C204D">
            <w:pPr>
              <w:pStyle w:val="AERbodytext"/>
              <w:jc w:val="left"/>
              <w:rPr>
                <w:rFonts w:ascii="Arial" w:hAnsi="Arial" w:cs="Arial"/>
              </w:rPr>
            </w:pPr>
            <w:r w:rsidRPr="003B2062">
              <w:rPr>
                <w:rFonts w:ascii="Arial" w:hAnsi="Arial" w:cs="Arial"/>
                <w:color w:val="000000"/>
              </w:rPr>
              <w:t>D-1</w:t>
            </w:r>
          </w:p>
        </w:tc>
        <w:tc>
          <w:tcPr>
            <w:tcW w:w="1134" w:type="dxa"/>
            <w:tcBorders>
              <w:bottom w:val="nil"/>
            </w:tcBorders>
          </w:tcPr>
          <w:p w:rsidR="00E30131" w:rsidRPr="003B2062" w:rsidRDefault="00E3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6"/>
              </w:rPr>
            </w:pPr>
            <w:r w:rsidRPr="003B2062">
              <w:rPr>
                <w:rFonts w:ascii="Arial" w:hAnsi="Arial" w:cs="Arial"/>
                <w:color w:val="000000"/>
                <w:szCs w:val="16"/>
              </w:rPr>
              <w:t>121.3</w:t>
            </w:r>
          </w:p>
        </w:tc>
        <w:tc>
          <w:tcPr>
            <w:tcW w:w="1026" w:type="dxa"/>
            <w:tcBorders>
              <w:bottom w:val="nil"/>
            </w:tcBorders>
          </w:tcPr>
          <w:p w:rsidR="00E30131" w:rsidRPr="003B2062" w:rsidRDefault="00E3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6"/>
              </w:rPr>
            </w:pPr>
            <w:r w:rsidRPr="003B2062">
              <w:rPr>
                <w:rFonts w:ascii="Arial" w:hAnsi="Arial" w:cs="Arial"/>
                <w:color w:val="000000"/>
                <w:szCs w:val="16"/>
              </w:rPr>
              <w:t>111.8</w:t>
            </w:r>
          </w:p>
        </w:tc>
        <w:tc>
          <w:tcPr>
            <w:tcW w:w="1525" w:type="dxa"/>
            <w:tcBorders>
              <w:bottom w:val="nil"/>
            </w:tcBorders>
          </w:tcPr>
          <w:p w:rsidR="00E30131" w:rsidRPr="003B2062" w:rsidRDefault="00E30131">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6"/>
              </w:rPr>
            </w:pPr>
            <w:r w:rsidRPr="003B2062">
              <w:rPr>
                <w:rFonts w:ascii="Arial" w:hAnsi="Arial" w:cs="Arial"/>
                <w:color w:val="000000"/>
                <w:szCs w:val="16"/>
              </w:rPr>
              <w:t xml:space="preserve">  9.46</w:t>
            </w:r>
          </w:p>
        </w:tc>
        <w:tc>
          <w:tcPr>
            <w:tcW w:w="1418" w:type="dxa"/>
            <w:tcBorders>
              <w:bottom w:val="nil"/>
            </w:tcBorders>
          </w:tcPr>
          <w:p w:rsidR="00E30131" w:rsidRPr="003B2062" w:rsidRDefault="00E30131">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Cs w:val="16"/>
              </w:rPr>
            </w:pPr>
            <w:r w:rsidRPr="003B2062">
              <w:rPr>
                <w:rFonts w:ascii="Arial" w:hAnsi="Arial" w:cs="Arial"/>
                <w:b/>
                <w:bCs/>
                <w:color w:val="000000"/>
                <w:szCs w:val="16"/>
              </w:rPr>
              <w:t>$0.00</w:t>
            </w:r>
          </w:p>
        </w:tc>
        <w:tc>
          <w:tcPr>
            <w:tcW w:w="1583" w:type="dxa"/>
            <w:tcBorders>
              <w:bottom w:val="nil"/>
            </w:tcBorders>
          </w:tcPr>
          <w:p w:rsidR="00E30131" w:rsidRPr="003B2062" w:rsidRDefault="00E30131" w:rsidP="00D719C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Cs w:val="16"/>
              </w:rPr>
            </w:pPr>
            <w:r w:rsidRPr="003B2062">
              <w:rPr>
                <w:rFonts w:ascii="Arial" w:hAnsi="Arial" w:cs="Arial"/>
                <w:b/>
                <w:bCs/>
                <w:color w:val="000000"/>
                <w:szCs w:val="16"/>
              </w:rPr>
              <w:t>$29.90</w:t>
            </w:r>
          </w:p>
        </w:tc>
      </w:tr>
      <w:tr w:rsidR="00E30131" w:rsidRPr="003B2062" w:rsidTr="00E30131">
        <w:trPr>
          <w:cnfStyle w:val="000000010000" w:firstRow="0" w:lastRow="0" w:firstColumn="0" w:lastColumn="0" w:oddVBand="0" w:evenVBand="0" w:oddHBand="0" w:evenHBand="1"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42" w:type="dxa"/>
            <w:tcBorders>
              <w:bottom w:val="single" w:sz="4" w:space="0" w:color="39639D" w:themeColor="accent4"/>
            </w:tcBorders>
            <w:vAlign w:val="top"/>
          </w:tcPr>
          <w:p w:rsidR="00E30131" w:rsidRPr="003B2062" w:rsidRDefault="00E30131" w:rsidP="004C204D">
            <w:pPr>
              <w:pStyle w:val="AERbodytext"/>
              <w:jc w:val="left"/>
              <w:rPr>
                <w:rFonts w:ascii="Arial" w:hAnsi="Arial" w:cs="Arial"/>
                <w:color w:val="000000"/>
              </w:rPr>
            </w:pPr>
            <w:r w:rsidRPr="003B2062">
              <w:rPr>
                <w:rFonts w:ascii="Arial" w:hAnsi="Arial" w:cs="Arial"/>
                <w:color w:val="000000"/>
              </w:rPr>
              <w:t>D+1</w:t>
            </w:r>
            <w:r w:rsidRPr="003B2062">
              <w:rPr>
                <w:rStyle w:val="FootnoteReference"/>
                <w:rFonts w:ascii="Arial" w:hAnsi="Arial" w:cs="Arial"/>
                <w:color w:val="000000"/>
              </w:rPr>
              <w:footnoteReference w:id="7"/>
            </w:r>
          </w:p>
        </w:tc>
        <w:tc>
          <w:tcPr>
            <w:tcW w:w="1134" w:type="dxa"/>
            <w:tcBorders>
              <w:bottom w:val="single" w:sz="4" w:space="0" w:color="39639D" w:themeColor="accent4"/>
            </w:tcBorders>
          </w:tcPr>
          <w:p w:rsidR="00E30131" w:rsidRPr="003B2062" w:rsidRDefault="00E30131">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16"/>
              </w:rPr>
            </w:pPr>
            <w:r w:rsidRPr="003B2062">
              <w:rPr>
                <w:rFonts w:ascii="Arial" w:hAnsi="Arial" w:cs="Arial"/>
                <w:color w:val="000000"/>
                <w:szCs w:val="16"/>
              </w:rPr>
              <w:t>121.3</w:t>
            </w:r>
          </w:p>
        </w:tc>
        <w:tc>
          <w:tcPr>
            <w:tcW w:w="1026" w:type="dxa"/>
            <w:tcBorders>
              <w:bottom w:val="single" w:sz="4" w:space="0" w:color="39639D" w:themeColor="accent4"/>
            </w:tcBorders>
          </w:tcPr>
          <w:p w:rsidR="00E30131" w:rsidRPr="003B2062" w:rsidRDefault="00E30131">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16"/>
              </w:rPr>
            </w:pPr>
            <w:r w:rsidRPr="003B2062">
              <w:rPr>
                <w:rFonts w:ascii="Arial" w:hAnsi="Arial" w:cs="Arial"/>
                <w:color w:val="000000"/>
                <w:szCs w:val="16"/>
              </w:rPr>
              <w:t>107.8</w:t>
            </w:r>
          </w:p>
        </w:tc>
        <w:tc>
          <w:tcPr>
            <w:tcW w:w="1525" w:type="dxa"/>
            <w:tcBorders>
              <w:bottom w:val="single" w:sz="4" w:space="0" w:color="39639D" w:themeColor="accent4"/>
            </w:tcBorders>
          </w:tcPr>
          <w:p w:rsidR="00E30131" w:rsidRPr="003B2062" w:rsidRDefault="00E30131">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16"/>
              </w:rPr>
            </w:pPr>
            <w:r w:rsidRPr="003B2062">
              <w:rPr>
                <w:rFonts w:ascii="Arial" w:hAnsi="Arial" w:cs="Arial"/>
                <w:color w:val="000000"/>
                <w:szCs w:val="16"/>
              </w:rPr>
              <w:t>13.50</w:t>
            </w:r>
          </w:p>
        </w:tc>
        <w:tc>
          <w:tcPr>
            <w:tcW w:w="1418" w:type="dxa"/>
            <w:tcBorders>
              <w:bottom w:val="single" w:sz="4" w:space="0" w:color="39639D" w:themeColor="accent4"/>
            </w:tcBorders>
          </w:tcPr>
          <w:p w:rsidR="00E30131" w:rsidRPr="003B2062" w:rsidRDefault="00E30131">
            <w:pP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Cs w:val="16"/>
              </w:rPr>
            </w:pPr>
            <w:r w:rsidRPr="003B2062">
              <w:rPr>
                <w:rFonts w:ascii="Arial" w:hAnsi="Arial" w:cs="Arial"/>
                <w:b/>
                <w:bCs/>
                <w:color w:val="000000"/>
                <w:szCs w:val="16"/>
              </w:rPr>
              <w:t>$0.00</w:t>
            </w:r>
          </w:p>
        </w:tc>
        <w:tc>
          <w:tcPr>
            <w:tcW w:w="1583" w:type="dxa"/>
            <w:tcBorders>
              <w:bottom w:val="single" w:sz="4" w:space="0" w:color="39639D" w:themeColor="accent4"/>
            </w:tcBorders>
          </w:tcPr>
          <w:p w:rsidR="00E30131" w:rsidRPr="003B2062" w:rsidRDefault="00E30131" w:rsidP="00D719C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Cs w:val="16"/>
              </w:rPr>
            </w:pPr>
            <w:r w:rsidRPr="003B2062">
              <w:rPr>
                <w:rFonts w:ascii="Arial" w:hAnsi="Arial" w:cs="Arial"/>
                <w:b/>
                <w:bCs/>
                <w:color w:val="000000"/>
                <w:szCs w:val="16"/>
              </w:rPr>
              <w:t>$ 0.50</w:t>
            </w:r>
          </w:p>
        </w:tc>
      </w:tr>
    </w:tbl>
    <w:p w:rsidR="00DB69B1" w:rsidRPr="003B2062" w:rsidRDefault="00DB69B1" w:rsidP="008A1109">
      <w:pPr>
        <w:pStyle w:val="AERnumberedlistfirststyle"/>
        <w:numPr>
          <w:ilvl w:val="0"/>
          <w:numId w:val="0"/>
        </w:numPr>
        <w:spacing w:after="0"/>
        <w:rPr>
          <w:rFonts w:ascii="Arial" w:hAnsi="Arial" w:cs="Arial"/>
          <w:b/>
          <w:szCs w:val="20"/>
        </w:rPr>
      </w:pPr>
    </w:p>
    <w:p w:rsidR="00F52B0F" w:rsidRPr="003B2062" w:rsidRDefault="00F52B0F" w:rsidP="00345EE1">
      <w:pPr>
        <w:pStyle w:val="AERnumberedlistfirststyle"/>
        <w:numPr>
          <w:ilvl w:val="0"/>
          <w:numId w:val="0"/>
        </w:numPr>
        <w:spacing w:after="0"/>
        <w:rPr>
          <w:rFonts w:ascii="Arial" w:hAnsi="Arial" w:cs="Arial"/>
          <w:i/>
        </w:rPr>
      </w:pPr>
      <w:r w:rsidRPr="003B2062">
        <w:rPr>
          <w:rFonts w:ascii="Arial" w:hAnsi="Arial" w:cs="Arial"/>
          <w:i/>
        </w:rPr>
        <w:t>D-3, D-2 and D-1 schedules</w:t>
      </w:r>
    </w:p>
    <w:p w:rsidR="00F52B0F" w:rsidRPr="003B2062" w:rsidRDefault="00F52B0F" w:rsidP="00345EE1">
      <w:pPr>
        <w:pStyle w:val="AERnumberedlistfirststyle"/>
        <w:numPr>
          <w:ilvl w:val="0"/>
          <w:numId w:val="0"/>
        </w:numPr>
        <w:spacing w:after="0"/>
        <w:rPr>
          <w:rFonts w:ascii="Arial" w:hAnsi="Arial" w:cs="Arial"/>
          <w:i/>
        </w:rPr>
      </w:pPr>
    </w:p>
    <w:p w:rsidR="00D02FE5" w:rsidRPr="003B2062" w:rsidRDefault="00D02FE5" w:rsidP="00345EE1">
      <w:pPr>
        <w:pStyle w:val="AERnumberedlistfirststyle"/>
        <w:numPr>
          <w:ilvl w:val="0"/>
          <w:numId w:val="0"/>
        </w:numPr>
        <w:spacing w:after="0"/>
        <w:rPr>
          <w:rFonts w:ascii="Arial" w:hAnsi="Arial" w:cs="Arial"/>
        </w:rPr>
      </w:pPr>
      <w:r w:rsidRPr="003B2062">
        <w:rPr>
          <w:rFonts w:ascii="Arial" w:hAnsi="Arial" w:cs="Arial"/>
        </w:rPr>
        <w:t>Figure 5 illustrates how the capacity constraint impacted on prices throughout the D-3, D-2 and D-1 schedules. The supply and demand balance for each schedule is represented using a different colour (D-3 is blue, D-2 is red, and D-1 is green). The supply line for each schedule is made up using offers.</w:t>
      </w:r>
      <w:r w:rsidR="00494D9D" w:rsidRPr="003B2062">
        <w:rPr>
          <w:rStyle w:val="FootnoteReference"/>
          <w:rFonts w:ascii="Arial" w:hAnsi="Arial" w:cs="Arial"/>
        </w:rPr>
        <w:footnoteReference w:id="8"/>
      </w:r>
      <w:r w:rsidRPr="003B2062">
        <w:rPr>
          <w:rFonts w:ascii="Arial" w:hAnsi="Arial" w:cs="Arial"/>
        </w:rPr>
        <w:t xml:space="preserve"> The demand line for each schedule is made up using price taker bids and non-price taker bids.</w:t>
      </w:r>
      <w:r w:rsidR="00494D9D" w:rsidRPr="003B2062">
        <w:rPr>
          <w:rStyle w:val="FootnoteReference"/>
          <w:rFonts w:ascii="Arial" w:hAnsi="Arial" w:cs="Arial"/>
        </w:rPr>
        <w:footnoteReference w:id="9"/>
      </w:r>
      <w:r w:rsidRPr="003B2062">
        <w:rPr>
          <w:rFonts w:ascii="Arial" w:hAnsi="Arial" w:cs="Arial"/>
        </w:rPr>
        <w:t xml:space="preserve"> The capacity constraint is represented with the grey dotted vertical line.</w:t>
      </w:r>
    </w:p>
    <w:p w:rsidR="00D02FE5" w:rsidRPr="003B2062" w:rsidRDefault="00D02FE5" w:rsidP="00345EE1">
      <w:pPr>
        <w:pStyle w:val="AERnumberedlistfirststyle"/>
        <w:numPr>
          <w:ilvl w:val="0"/>
          <w:numId w:val="0"/>
        </w:numPr>
        <w:spacing w:after="0"/>
        <w:rPr>
          <w:rFonts w:ascii="Arial" w:hAnsi="Arial" w:cs="Arial"/>
        </w:rPr>
      </w:pPr>
    </w:p>
    <w:p w:rsidR="00D02FE5" w:rsidRPr="003B2062" w:rsidRDefault="00D02FE5" w:rsidP="00345EE1">
      <w:pPr>
        <w:pStyle w:val="AERnumberedlistfirststyle"/>
        <w:numPr>
          <w:ilvl w:val="0"/>
          <w:numId w:val="0"/>
        </w:numPr>
        <w:spacing w:after="0"/>
        <w:rPr>
          <w:rFonts w:ascii="Arial" w:hAnsi="Arial" w:cs="Arial"/>
        </w:rPr>
      </w:pPr>
      <w:r w:rsidRPr="003B2062">
        <w:rPr>
          <w:rFonts w:ascii="Arial" w:hAnsi="Arial" w:cs="Arial"/>
        </w:rPr>
        <w:t>The capacity constraint line intersects the demand line for both the D-3 and D-1 schedules at $29.90/GJ</w:t>
      </w:r>
      <w:r w:rsidR="00494D9D" w:rsidRPr="003B2062">
        <w:rPr>
          <w:rFonts w:ascii="Arial" w:hAnsi="Arial" w:cs="Arial"/>
        </w:rPr>
        <w:t xml:space="preserve"> (a Stanwell bid)</w:t>
      </w:r>
      <w:r w:rsidRPr="003B2062">
        <w:rPr>
          <w:rFonts w:ascii="Arial" w:hAnsi="Arial" w:cs="Arial"/>
        </w:rPr>
        <w:t xml:space="preserve">. This set the price for these schedules. A </w:t>
      </w:r>
      <w:r w:rsidR="00ED7903" w:rsidRPr="003B2062">
        <w:rPr>
          <w:rFonts w:ascii="Arial" w:hAnsi="Arial" w:cs="Arial"/>
        </w:rPr>
        <w:t xml:space="preserve">small </w:t>
      </w:r>
      <w:r w:rsidRPr="003B2062">
        <w:rPr>
          <w:rFonts w:ascii="Arial" w:hAnsi="Arial" w:cs="Arial"/>
        </w:rPr>
        <w:t xml:space="preserve">reduction in </w:t>
      </w:r>
      <w:r w:rsidR="00494D9D" w:rsidRPr="003B2062">
        <w:rPr>
          <w:rFonts w:ascii="Arial" w:hAnsi="Arial" w:cs="Arial"/>
        </w:rPr>
        <w:t>price taker bids (</w:t>
      </w:r>
      <w:r w:rsidRPr="003B2062">
        <w:rPr>
          <w:rFonts w:ascii="Arial" w:hAnsi="Arial" w:cs="Arial"/>
        </w:rPr>
        <w:t>demand</w:t>
      </w:r>
      <w:r w:rsidR="00494D9D" w:rsidRPr="003B2062">
        <w:rPr>
          <w:rFonts w:ascii="Arial" w:hAnsi="Arial" w:cs="Arial"/>
        </w:rPr>
        <w:t>)</w:t>
      </w:r>
      <w:r w:rsidRPr="003B2062">
        <w:rPr>
          <w:rFonts w:ascii="Arial" w:hAnsi="Arial" w:cs="Arial"/>
        </w:rPr>
        <w:t xml:space="preserve"> during the D-2 schedule (shown by the red</w:t>
      </w:r>
      <w:r w:rsidR="00494D9D" w:rsidRPr="003B2062">
        <w:rPr>
          <w:rFonts w:ascii="Arial" w:hAnsi="Arial" w:cs="Arial"/>
        </w:rPr>
        <w:t xml:space="preserve"> </w:t>
      </w:r>
      <w:r w:rsidR="00F24319" w:rsidRPr="003B2062">
        <w:rPr>
          <w:rFonts w:ascii="Arial" w:hAnsi="Arial" w:cs="Arial"/>
        </w:rPr>
        <w:t xml:space="preserve">demand </w:t>
      </w:r>
      <w:r w:rsidRPr="003B2062">
        <w:rPr>
          <w:rFonts w:ascii="Arial" w:hAnsi="Arial" w:cs="Arial"/>
        </w:rPr>
        <w:t>line moving to the left) meant the capacity constraint intersects with the demand line at $1.08/GJ</w:t>
      </w:r>
      <w:r w:rsidR="00494D9D" w:rsidRPr="003B2062">
        <w:rPr>
          <w:rFonts w:ascii="Arial" w:hAnsi="Arial" w:cs="Arial"/>
        </w:rPr>
        <w:t xml:space="preserve"> (an Alinta bid)</w:t>
      </w:r>
      <w:r w:rsidRPr="003B2062">
        <w:rPr>
          <w:rFonts w:ascii="Arial" w:hAnsi="Arial" w:cs="Arial"/>
        </w:rPr>
        <w:t xml:space="preserve">. </w:t>
      </w:r>
      <w:r w:rsidR="00494D9D" w:rsidRPr="003B2062">
        <w:rPr>
          <w:rFonts w:ascii="Arial" w:hAnsi="Arial" w:cs="Arial"/>
        </w:rPr>
        <w:t>This set the price for the D-2 schedule.</w:t>
      </w:r>
    </w:p>
    <w:p w:rsidR="0024572B" w:rsidRPr="003B2062" w:rsidRDefault="0024572B" w:rsidP="00345EE1">
      <w:pPr>
        <w:pStyle w:val="AERnumberedlistfirststyle"/>
        <w:numPr>
          <w:ilvl w:val="0"/>
          <w:numId w:val="0"/>
        </w:numPr>
        <w:spacing w:after="0"/>
        <w:rPr>
          <w:rFonts w:ascii="Arial" w:hAnsi="Arial" w:cs="Arial"/>
        </w:rPr>
      </w:pPr>
    </w:p>
    <w:p w:rsidR="006070E7" w:rsidRPr="003B2062" w:rsidRDefault="002C769F" w:rsidP="00345EE1">
      <w:pPr>
        <w:pStyle w:val="AERnumberedlistfirststyle"/>
        <w:numPr>
          <w:ilvl w:val="0"/>
          <w:numId w:val="0"/>
        </w:numPr>
        <w:spacing w:after="0"/>
        <w:rPr>
          <w:rFonts w:ascii="Arial" w:hAnsi="Arial" w:cs="Arial"/>
        </w:rPr>
      </w:pPr>
      <w:r w:rsidRPr="003B2062">
        <w:rPr>
          <w:rFonts w:ascii="Arial" w:hAnsi="Arial" w:cs="Arial"/>
        </w:rPr>
        <w:t>For the D-1 schedule</w:t>
      </w:r>
      <w:r w:rsidR="00F87762" w:rsidRPr="003B2062">
        <w:rPr>
          <w:rFonts w:ascii="Arial" w:hAnsi="Arial" w:cs="Arial"/>
        </w:rPr>
        <w:t xml:space="preserve">, </w:t>
      </w:r>
      <w:r w:rsidRPr="003B2062">
        <w:rPr>
          <w:rFonts w:ascii="Arial" w:hAnsi="Arial" w:cs="Arial"/>
        </w:rPr>
        <w:t>price taker bids</w:t>
      </w:r>
      <w:r w:rsidR="00494D9D" w:rsidRPr="003B2062">
        <w:rPr>
          <w:rFonts w:ascii="Arial" w:hAnsi="Arial" w:cs="Arial"/>
        </w:rPr>
        <w:t xml:space="preserve"> </w:t>
      </w:r>
      <w:r w:rsidRPr="003B2062">
        <w:rPr>
          <w:rFonts w:ascii="Arial" w:hAnsi="Arial" w:cs="Arial"/>
        </w:rPr>
        <w:t>increased by 3.5 TJ</w:t>
      </w:r>
      <w:r w:rsidR="00494D9D" w:rsidRPr="003B2062">
        <w:rPr>
          <w:rFonts w:ascii="Arial" w:hAnsi="Arial" w:cs="Arial"/>
        </w:rPr>
        <w:t xml:space="preserve"> (shown by the green </w:t>
      </w:r>
      <w:r w:rsidR="005D5D01" w:rsidRPr="003B2062">
        <w:rPr>
          <w:rFonts w:ascii="Arial" w:hAnsi="Arial" w:cs="Arial"/>
        </w:rPr>
        <w:t>demand</w:t>
      </w:r>
      <w:r w:rsidR="00024776" w:rsidRPr="003B2062">
        <w:rPr>
          <w:rFonts w:ascii="Arial" w:hAnsi="Arial" w:cs="Arial"/>
        </w:rPr>
        <w:t xml:space="preserve"> </w:t>
      </w:r>
      <w:r w:rsidR="00494D9D" w:rsidRPr="003B2062">
        <w:rPr>
          <w:rFonts w:ascii="Arial" w:hAnsi="Arial" w:cs="Arial"/>
        </w:rPr>
        <w:t>line moving to the right)</w:t>
      </w:r>
      <w:r w:rsidRPr="003B2062">
        <w:rPr>
          <w:rFonts w:ascii="Arial" w:hAnsi="Arial" w:cs="Arial"/>
        </w:rPr>
        <w:t xml:space="preserve">. Because of this, only part of the $29.90/GJ </w:t>
      </w:r>
      <w:r w:rsidR="007751A5" w:rsidRPr="003B2062">
        <w:rPr>
          <w:rFonts w:ascii="Arial" w:hAnsi="Arial" w:cs="Arial"/>
        </w:rPr>
        <w:t xml:space="preserve">non-price taker </w:t>
      </w:r>
      <w:r w:rsidRPr="003B2062">
        <w:rPr>
          <w:rFonts w:ascii="Arial" w:hAnsi="Arial" w:cs="Arial"/>
        </w:rPr>
        <w:t xml:space="preserve">bid </w:t>
      </w:r>
      <w:r w:rsidR="00F52B0F" w:rsidRPr="003B2062">
        <w:rPr>
          <w:rFonts w:ascii="Arial" w:hAnsi="Arial" w:cs="Arial"/>
        </w:rPr>
        <w:t xml:space="preserve">was able to be scheduled, which again set the price. </w:t>
      </w:r>
    </w:p>
    <w:p w:rsidR="002C769F" w:rsidRPr="003B2062" w:rsidRDefault="002C769F" w:rsidP="00345EE1">
      <w:pPr>
        <w:pStyle w:val="AERnumberedlistfirststyle"/>
        <w:numPr>
          <w:ilvl w:val="0"/>
          <w:numId w:val="0"/>
        </w:numPr>
        <w:spacing w:after="0"/>
        <w:rPr>
          <w:rFonts w:ascii="Arial" w:hAnsi="Arial" w:cs="Arial"/>
        </w:rPr>
      </w:pPr>
    </w:p>
    <w:p w:rsidR="0013493C" w:rsidRPr="003B2062" w:rsidRDefault="0013493C" w:rsidP="00345EE1">
      <w:pPr>
        <w:pStyle w:val="AERnumberedlistfirststyle"/>
        <w:numPr>
          <w:ilvl w:val="0"/>
          <w:numId w:val="0"/>
        </w:numPr>
        <w:spacing w:after="0"/>
        <w:rPr>
          <w:rFonts w:ascii="Arial" w:hAnsi="Arial" w:cs="Arial"/>
        </w:rPr>
      </w:pPr>
      <w:r w:rsidRPr="003B2062">
        <w:rPr>
          <w:rFonts w:ascii="Arial" w:hAnsi="Arial" w:cs="Arial"/>
        </w:rPr>
        <w:t xml:space="preserve">One of the contributing factors to the increase in price taker bids was </w:t>
      </w:r>
      <w:r w:rsidR="005D5D01" w:rsidRPr="003B2062">
        <w:rPr>
          <w:rFonts w:ascii="Arial" w:hAnsi="Arial" w:cs="Arial"/>
        </w:rPr>
        <w:t xml:space="preserve">the </w:t>
      </w:r>
      <w:r w:rsidRPr="003B2062">
        <w:rPr>
          <w:rFonts w:ascii="Arial" w:hAnsi="Arial" w:cs="Arial"/>
        </w:rPr>
        <w:t xml:space="preserve">bidding behaviour of Visy. Visy did not submit price taker bids for the D-3 and D-2 schedules. However it did submit a price taker bid for the D-1 schedule. Visy explained that the reason it did not submit price taker bids for the D-3 and D-2 schedules is because it did not expect its plant would require gas on </w:t>
      </w:r>
      <w:r w:rsidR="00024776" w:rsidRPr="003B2062">
        <w:rPr>
          <w:rFonts w:ascii="Arial" w:hAnsi="Arial" w:cs="Arial"/>
        </w:rPr>
        <w:t xml:space="preserve">17 October at the time of </w:t>
      </w:r>
      <w:r w:rsidR="00F52B0F" w:rsidRPr="003B2062">
        <w:rPr>
          <w:rFonts w:ascii="Arial" w:hAnsi="Arial" w:cs="Arial"/>
        </w:rPr>
        <w:t xml:space="preserve">provisional data </w:t>
      </w:r>
      <w:r w:rsidR="00024776" w:rsidRPr="003B2062">
        <w:rPr>
          <w:rFonts w:ascii="Arial" w:hAnsi="Arial" w:cs="Arial"/>
        </w:rPr>
        <w:t>submission (14</w:t>
      </w:r>
      <w:r w:rsidR="00D96BE0" w:rsidRPr="003B2062">
        <w:rPr>
          <w:rFonts w:ascii="Arial" w:hAnsi="Arial" w:cs="Arial"/>
        </w:rPr>
        <w:t xml:space="preserve"> and </w:t>
      </w:r>
      <w:r w:rsidR="00024776" w:rsidRPr="003B2062">
        <w:rPr>
          <w:rFonts w:ascii="Arial" w:hAnsi="Arial" w:cs="Arial"/>
        </w:rPr>
        <w:t>15 October)</w:t>
      </w:r>
      <w:r w:rsidRPr="003B2062">
        <w:rPr>
          <w:rFonts w:ascii="Arial" w:hAnsi="Arial" w:cs="Arial"/>
        </w:rPr>
        <w:t>. However</w:t>
      </w:r>
      <w:r w:rsidR="00D96BE0" w:rsidRPr="003B2062">
        <w:rPr>
          <w:rFonts w:ascii="Arial" w:hAnsi="Arial" w:cs="Arial"/>
        </w:rPr>
        <w:t>,</w:t>
      </w:r>
      <w:r w:rsidRPr="003B2062">
        <w:rPr>
          <w:rFonts w:ascii="Arial" w:hAnsi="Arial" w:cs="Arial"/>
        </w:rPr>
        <w:t xml:space="preserve"> Visy </w:t>
      </w:r>
      <w:r w:rsidR="00024776" w:rsidRPr="003B2062">
        <w:rPr>
          <w:rFonts w:ascii="Arial" w:hAnsi="Arial" w:cs="Arial"/>
        </w:rPr>
        <w:t xml:space="preserve">later </w:t>
      </w:r>
      <w:r w:rsidRPr="003B2062">
        <w:rPr>
          <w:rFonts w:ascii="Arial" w:hAnsi="Arial" w:cs="Arial"/>
        </w:rPr>
        <w:t>became aware that its plant would require gas</w:t>
      </w:r>
      <w:r w:rsidR="005D5D01" w:rsidRPr="003B2062">
        <w:rPr>
          <w:rFonts w:ascii="Arial" w:hAnsi="Arial" w:cs="Arial"/>
        </w:rPr>
        <w:t xml:space="preserve"> and </w:t>
      </w:r>
      <w:r w:rsidRPr="003B2062">
        <w:rPr>
          <w:rFonts w:ascii="Arial" w:hAnsi="Arial" w:cs="Arial"/>
        </w:rPr>
        <w:t>submit</w:t>
      </w:r>
      <w:r w:rsidR="003C5399" w:rsidRPr="003B2062">
        <w:rPr>
          <w:rFonts w:ascii="Arial" w:hAnsi="Arial" w:cs="Arial"/>
        </w:rPr>
        <w:t>ted</w:t>
      </w:r>
      <w:r w:rsidRPr="003B2062">
        <w:rPr>
          <w:rFonts w:ascii="Arial" w:hAnsi="Arial" w:cs="Arial"/>
        </w:rPr>
        <w:t xml:space="preserve"> a price taker bid for the D-1 schedule </w:t>
      </w:r>
      <w:r w:rsidR="00024776" w:rsidRPr="003B2062">
        <w:rPr>
          <w:rFonts w:ascii="Arial" w:hAnsi="Arial" w:cs="Arial"/>
        </w:rPr>
        <w:t xml:space="preserve">on </w:t>
      </w:r>
      <w:r w:rsidR="00E51407" w:rsidRPr="003B2062">
        <w:rPr>
          <w:rFonts w:ascii="Arial" w:hAnsi="Arial" w:cs="Arial"/>
        </w:rPr>
        <w:t>16 </w:t>
      </w:r>
      <w:r w:rsidR="00024776" w:rsidRPr="003B2062">
        <w:rPr>
          <w:rFonts w:ascii="Arial" w:hAnsi="Arial" w:cs="Arial"/>
        </w:rPr>
        <w:t>October</w:t>
      </w:r>
      <w:r w:rsidRPr="003B2062">
        <w:rPr>
          <w:rFonts w:ascii="Arial" w:hAnsi="Arial" w:cs="Arial"/>
        </w:rPr>
        <w:t>.</w:t>
      </w:r>
      <w:r w:rsidR="005D5D01" w:rsidRPr="003B2062">
        <w:rPr>
          <w:rFonts w:ascii="Arial" w:hAnsi="Arial" w:cs="Arial"/>
        </w:rPr>
        <w:t xml:space="preserve"> Th</w:t>
      </w:r>
      <w:r w:rsidR="003C5399" w:rsidRPr="003B2062">
        <w:rPr>
          <w:rFonts w:ascii="Arial" w:hAnsi="Arial" w:cs="Arial"/>
        </w:rPr>
        <w:t>e</w:t>
      </w:r>
      <w:r w:rsidR="005D5D01" w:rsidRPr="003B2062">
        <w:rPr>
          <w:rFonts w:ascii="Arial" w:hAnsi="Arial" w:cs="Arial"/>
        </w:rPr>
        <w:t xml:space="preserve"> </w:t>
      </w:r>
      <w:r w:rsidR="003C5399" w:rsidRPr="003B2062">
        <w:rPr>
          <w:rFonts w:ascii="Arial" w:hAnsi="Arial" w:cs="Arial"/>
        </w:rPr>
        <w:t xml:space="preserve">change </w:t>
      </w:r>
      <w:r w:rsidR="005D5D01" w:rsidRPr="003B2062">
        <w:rPr>
          <w:rFonts w:ascii="Arial" w:hAnsi="Arial" w:cs="Arial"/>
        </w:rPr>
        <w:t>was related to an</w:t>
      </w:r>
      <w:r w:rsidR="00024776" w:rsidRPr="003B2062">
        <w:rPr>
          <w:rFonts w:ascii="Arial" w:hAnsi="Arial" w:cs="Arial"/>
        </w:rPr>
        <w:t xml:space="preserve"> on-going</w:t>
      </w:r>
      <w:r w:rsidR="005D5D01" w:rsidRPr="003B2062">
        <w:rPr>
          <w:rFonts w:ascii="Arial" w:hAnsi="Arial" w:cs="Arial"/>
        </w:rPr>
        <w:t xml:space="preserve"> issue it was having with running the plant on its primary fuel source, coal.</w:t>
      </w:r>
    </w:p>
    <w:p w:rsidR="00F06386" w:rsidRPr="003B2062" w:rsidRDefault="00F06386" w:rsidP="00F06386">
      <w:pPr>
        <w:pStyle w:val="Caption"/>
        <w:rPr>
          <w:rFonts w:ascii="Arial" w:hAnsi="Arial" w:cs="Arial"/>
          <w:szCs w:val="20"/>
        </w:rPr>
      </w:pPr>
      <w:r w:rsidRPr="003B2062">
        <w:rPr>
          <w:rFonts w:ascii="Arial" w:hAnsi="Arial" w:cs="Arial"/>
        </w:rPr>
        <w:lastRenderedPageBreak/>
        <w:t xml:space="preserve">Figure 5 – </w:t>
      </w:r>
      <w:r w:rsidRPr="003B2062">
        <w:rPr>
          <w:rFonts w:ascii="Arial" w:hAnsi="Arial" w:cs="Arial"/>
          <w:szCs w:val="20"/>
        </w:rPr>
        <w:t>Reduced pipeline capacity and steep bid curve affecting D-3, D-2, D-1 prices *</w:t>
      </w:r>
    </w:p>
    <w:p w:rsidR="00F06386" w:rsidRPr="003B2062" w:rsidRDefault="00F06386" w:rsidP="00F06386">
      <w:pPr>
        <w:pStyle w:val="AERnumberedlistfirststyle"/>
        <w:numPr>
          <w:ilvl w:val="0"/>
          <w:numId w:val="0"/>
        </w:numPr>
        <w:spacing w:after="0"/>
        <w:rPr>
          <w:rFonts w:ascii="Arial" w:hAnsi="Arial" w:cs="Arial"/>
        </w:rPr>
      </w:pPr>
      <w:r w:rsidRPr="003B2062">
        <w:rPr>
          <w:rFonts w:ascii="Arial" w:hAnsi="Arial" w:cs="Arial"/>
          <w:noProof/>
          <w:lang w:eastAsia="en-AU"/>
        </w:rPr>
        <w:drawing>
          <wp:inline distT="0" distB="0" distL="0" distR="0" wp14:anchorId="4D7F0D1D" wp14:editId="1E26E695">
            <wp:extent cx="5726793" cy="271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720039"/>
                    </a:xfrm>
                    <a:prstGeom prst="rect">
                      <a:avLst/>
                    </a:prstGeom>
                    <a:noFill/>
                    <a:ln>
                      <a:noFill/>
                    </a:ln>
                  </pic:spPr>
                </pic:pic>
              </a:graphicData>
            </a:graphic>
          </wp:inline>
        </w:drawing>
      </w:r>
    </w:p>
    <w:p w:rsidR="00F06386" w:rsidRPr="003B2062" w:rsidRDefault="00F06386" w:rsidP="00F06386">
      <w:pPr>
        <w:pStyle w:val="AERnumberedlistfirststyle"/>
        <w:numPr>
          <w:ilvl w:val="0"/>
          <w:numId w:val="0"/>
        </w:numPr>
        <w:spacing w:after="0"/>
        <w:rPr>
          <w:rFonts w:ascii="Arial" w:hAnsi="Arial" w:cs="Arial"/>
          <w:sz w:val="16"/>
          <w:szCs w:val="16"/>
        </w:rPr>
      </w:pPr>
      <w:r w:rsidRPr="003B2062">
        <w:rPr>
          <w:rFonts w:ascii="Arial" w:hAnsi="Arial" w:cs="Arial"/>
          <w:sz w:val="16"/>
          <w:szCs w:val="16"/>
        </w:rPr>
        <w:t xml:space="preserve">*Not all offers and bids shown </w:t>
      </w:r>
    </w:p>
    <w:p w:rsidR="002C5746" w:rsidRPr="003B2062" w:rsidRDefault="002C5746" w:rsidP="00345EE1">
      <w:pPr>
        <w:pStyle w:val="AERnumberedlistfirststyle"/>
        <w:numPr>
          <w:ilvl w:val="0"/>
          <w:numId w:val="0"/>
        </w:numPr>
        <w:spacing w:after="0"/>
        <w:rPr>
          <w:rFonts w:ascii="Arial" w:hAnsi="Arial" w:cs="Arial"/>
        </w:rPr>
      </w:pPr>
    </w:p>
    <w:p w:rsidR="00F52B0F" w:rsidRPr="003B2062" w:rsidRDefault="00F52B0F" w:rsidP="00345EE1">
      <w:pPr>
        <w:pStyle w:val="AERnumberedlistfirststyle"/>
        <w:numPr>
          <w:ilvl w:val="0"/>
          <w:numId w:val="0"/>
        </w:numPr>
        <w:spacing w:after="0"/>
        <w:rPr>
          <w:rFonts w:ascii="Arial" w:hAnsi="Arial" w:cs="Arial"/>
          <w:i/>
        </w:rPr>
      </w:pPr>
      <w:r w:rsidRPr="003B2062">
        <w:rPr>
          <w:rFonts w:ascii="Arial" w:hAnsi="Arial" w:cs="Arial"/>
          <w:i/>
        </w:rPr>
        <w:t>Ex post price</w:t>
      </w:r>
    </w:p>
    <w:p w:rsidR="00F52B0F" w:rsidRPr="003B2062" w:rsidRDefault="00F52B0F" w:rsidP="00345EE1">
      <w:pPr>
        <w:pStyle w:val="AERnumberedlistfirststyle"/>
        <w:numPr>
          <w:ilvl w:val="0"/>
          <w:numId w:val="0"/>
        </w:numPr>
        <w:spacing w:after="0"/>
        <w:rPr>
          <w:rFonts w:ascii="Arial" w:hAnsi="Arial" w:cs="Arial"/>
          <w:i/>
        </w:rPr>
      </w:pPr>
    </w:p>
    <w:p w:rsidR="007751A5" w:rsidRPr="003B2062" w:rsidRDefault="00494D9D" w:rsidP="00345EE1">
      <w:pPr>
        <w:pStyle w:val="AERnumberedlistfirststyle"/>
        <w:numPr>
          <w:ilvl w:val="0"/>
          <w:numId w:val="0"/>
        </w:numPr>
        <w:spacing w:after="0"/>
        <w:rPr>
          <w:rFonts w:ascii="Arial" w:hAnsi="Arial" w:cs="Arial"/>
        </w:rPr>
      </w:pPr>
      <w:r w:rsidRPr="003B2062">
        <w:rPr>
          <w:rFonts w:ascii="Arial" w:hAnsi="Arial" w:cs="Arial"/>
        </w:rPr>
        <w:t>Figure 6</w:t>
      </w:r>
      <w:r w:rsidR="006070E7" w:rsidRPr="003B2062">
        <w:rPr>
          <w:rFonts w:ascii="Arial" w:hAnsi="Arial" w:cs="Arial"/>
        </w:rPr>
        <w:t xml:space="preserve"> </w:t>
      </w:r>
      <w:r w:rsidR="007751A5" w:rsidRPr="003B2062">
        <w:rPr>
          <w:rFonts w:ascii="Arial" w:hAnsi="Arial" w:cs="Arial"/>
        </w:rPr>
        <w:t>illustrates why the ex post schedule’s price lowered to $0.5001/GJ</w:t>
      </w:r>
      <w:r w:rsidR="006070E7" w:rsidRPr="003B2062">
        <w:rPr>
          <w:rFonts w:ascii="Arial" w:hAnsi="Arial" w:cs="Arial"/>
        </w:rPr>
        <w:t xml:space="preserve">. </w:t>
      </w:r>
    </w:p>
    <w:p w:rsidR="007751A5" w:rsidRPr="003B2062" w:rsidRDefault="007751A5" w:rsidP="00345EE1">
      <w:pPr>
        <w:pStyle w:val="AERnumberedlistfirststyle"/>
        <w:numPr>
          <w:ilvl w:val="0"/>
          <w:numId w:val="0"/>
        </w:numPr>
        <w:spacing w:after="0"/>
        <w:rPr>
          <w:rFonts w:ascii="Arial" w:hAnsi="Arial" w:cs="Arial"/>
        </w:rPr>
      </w:pPr>
    </w:p>
    <w:p w:rsidR="001F1D39" w:rsidRPr="003B2062" w:rsidRDefault="001F1D39" w:rsidP="00345EE1">
      <w:pPr>
        <w:pStyle w:val="AERnumberedlistfirststyle"/>
        <w:numPr>
          <w:ilvl w:val="0"/>
          <w:numId w:val="0"/>
        </w:numPr>
        <w:spacing w:after="0"/>
        <w:rPr>
          <w:rFonts w:ascii="Arial" w:hAnsi="Arial" w:cs="Arial"/>
        </w:rPr>
      </w:pPr>
      <w:r w:rsidRPr="003B2062">
        <w:rPr>
          <w:rFonts w:ascii="Arial" w:hAnsi="Arial" w:cs="Arial"/>
        </w:rPr>
        <w:t>Alinta rebid its non-price taker bid from $1.08/GJ</w:t>
      </w:r>
      <w:r w:rsidR="00494D9D" w:rsidRPr="003B2062">
        <w:rPr>
          <w:rFonts w:ascii="Arial" w:hAnsi="Arial" w:cs="Arial"/>
        </w:rPr>
        <w:t xml:space="preserve"> (which set the D-2 price)</w:t>
      </w:r>
      <w:r w:rsidRPr="003B2062">
        <w:rPr>
          <w:rFonts w:ascii="Arial" w:hAnsi="Arial" w:cs="Arial"/>
        </w:rPr>
        <w:t xml:space="preserve"> to $0.50/GJ for the </w:t>
      </w:r>
      <w:r w:rsidR="00DB5D23" w:rsidRPr="003B2062">
        <w:rPr>
          <w:rFonts w:ascii="Arial" w:hAnsi="Arial" w:cs="Arial"/>
        </w:rPr>
        <w:t>D</w:t>
      </w:r>
      <w:r w:rsidR="00DB5D23" w:rsidRPr="003B2062">
        <w:rPr>
          <w:rFonts w:ascii="Arial" w:hAnsi="Arial" w:cs="Arial"/>
        </w:rPr>
        <w:noBreakHyphen/>
        <w:t xml:space="preserve">1 </w:t>
      </w:r>
      <w:r w:rsidRPr="003B2062">
        <w:rPr>
          <w:rFonts w:ascii="Arial" w:hAnsi="Arial" w:cs="Arial"/>
        </w:rPr>
        <w:t xml:space="preserve">schedule. While this had no impact on the </w:t>
      </w:r>
      <w:r w:rsidR="00494D9D" w:rsidRPr="003B2062">
        <w:rPr>
          <w:rFonts w:ascii="Arial" w:hAnsi="Arial" w:cs="Arial"/>
        </w:rPr>
        <w:t>D-1 price</w:t>
      </w:r>
      <w:r w:rsidRPr="003B2062">
        <w:rPr>
          <w:rFonts w:ascii="Arial" w:hAnsi="Arial" w:cs="Arial"/>
        </w:rPr>
        <w:t xml:space="preserve">, it did set the price for the ex post schedule because there was a negative imbalance quantity of 4.048 TJ. </w:t>
      </w:r>
      <w:r w:rsidR="00494D9D" w:rsidRPr="003B2062">
        <w:rPr>
          <w:rFonts w:ascii="Arial" w:hAnsi="Arial" w:cs="Arial"/>
        </w:rPr>
        <w:t xml:space="preserve">A negative imbalance means less gas was required on the day than forecast in the D-1 schedule. </w:t>
      </w:r>
      <w:r w:rsidR="002E5F82" w:rsidRPr="003B2062">
        <w:rPr>
          <w:rFonts w:ascii="Arial" w:hAnsi="Arial" w:cs="Arial"/>
        </w:rPr>
        <w:t>Therefore a new price is calculated based on this level of demand</w:t>
      </w:r>
      <w:r w:rsidR="00977D2D" w:rsidRPr="003B2062">
        <w:rPr>
          <w:rFonts w:ascii="Arial" w:hAnsi="Arial" w:cs="Arial"/>
        </w:rPr>
        <w:t xml:space="preserve"> to show what the price would have been with accurately forecast demand</w:t>
      </w:r>
      <w:r w:rsidR="002E5F82" w:rsidRPr="003B2062">
        <w:rPr>
          <w:rFonts w:ascii="Arial" w:hAnsi="Arial" w:cs="Arial"/>
        </w:rPr>
        <w:t>.</w:t>
      </w:r>
      <w:r w:rsidR="00F06386" w:rsidRPr="003B2062">
        <w:rPr>
          <w:rStyle w:val="FootnoteReference"/>
          <w:rFonts w:ascii="Arial" w:hAnsi="Arial" w:cs="Arial"/>
        </w:rPr>
        <w:footnoteReference w:id="10"/>
      </w:r>
      <w:r w:rsidR="002E5F82" w:rsidRPr="003B2062">
        <w:rPr>
          <w:rFonts w:ascii="Arial" w:hAnsi="Arial" w:cs="Arial"/>
        </w:rPr>
        <w:t xml:space="preserve"> </w:t>
      </w:r>
      <w:r w:rsidR="00F81705" w:rsidRPr="003B2062">
        <w:rPr>
          <w:rFonts w:ascii="Arial" w:hAnsi="Arial" w:cs="Arial"/>
        </w:rPr>
        <w:t>The new price is</w:t>
      </w:r>
      <w:r w:rsidR="002E5F82" w:rsidRPr="003B2062">
        <w:rPr>
          <w:rFonts w:ascii="Arial" w:hAnsi="Arial" w:cs="Arial"/>
        </w:rPr>
        <w:t xml:space="preserve"> calculated by moving the demand curve to the left </w:t>
      </w:r>
      <w:r w:rsidR="00F81705" w:rsidRPr="003B2062">
        <w:rPr>
          <w:rFonts w:ascii="Arial" w:hAnsi="Arial" w:cs="Arial"/>
        </w:rPr>
        <w:t>to reflect the</w:t>
      </w:r>
      <w:r w:rsidR="002E5F82" w:rsidRPr="003B2062">
        <w:rPr>
          <w:rFonts w:ascii="Arial" w:hAnsi="Arial" w:cs="Arial"/>
        </w:rPr>
        <w:t xml:space="preserve"> </w:t>
      </w:r>
      <w:r w:rsidR="00F81705" w:rsidRPr="003B2062">
        <w:rPr>
          <w:rFonts w:ascii="Arial" w:hAnsi="Arial" w:cs="Arial"/>
        </w:rPr>
        <w:t xml:space="preserve">lower </w:t>
      </w:r>
      <w:r w:rsidR="002E5F82" w:rsidRPr="003B2062">
        <w:rPr>
          <w:rFonts w:ascii="Arial" w:hAnsi="Arial" w:cs="Arial"/>
        </w:rPr>
        <w:t>demand).</w:t>
      </w:r>
      <w:r w:rsidR="00F81705" w:rsidRPr="003B2062">
        <w:rPr>
          <w:rFonts w:ascii="Arial" w:hAnsi="Arial" w:cs="Arial"/>
        </w:rPr>
        <w:t xml:space="preserve"> The solid green line in figure 6 illustrates this change. After the shift, the constraint line no lon</w:t>
      </w:r>
      <w:r w:rsidR="00F52B0F" w:rsidRPr="003B2062">
        <w:rPr>
          <w:rFonts w:ascii="Arial" w:hAnsi="Arial" w:cs="Arial"/>
        </w:rPr>
        <w:t>ger intersects it at $29.90/GJ. I</w:t>
      </w:r>
      <w:r w:rsidR="00F81705" w:rsidRPr="003B2062">
        <w:rPr>
          <w:rFonts w:ascii="Arial" w:hAnsi="Arial" w:cs="Arial"/>
        </w:rPr>
        <w:t>nstead the intersection point is $0.50/GJ.</w:t>
      </w:r>
    </w:p>
    <w:p w:rsidR="00D96BE0" w:rsidRPr="003B2062" w:rsidRDefault="00D96BE0" w:rsidP="00345EE1">
      <w:pPr>
        <w:pStyle w:val="AERnumberedlistfirststyle"/>
        <w:numPr>
          <w:ilvl w:val="0"/>
          <w:numId w:val="0"/>
        </w:numPr>
        <w:spacing w:after="0"/>
        <w:rPr>
          <w:rFonts w:ascii="Arial" w:hAnsi="Arial" w:cs="Arial"/>
        </w:rPr>
      </w:pPr>
    </w:p>
    <w:p w:rsidR="00D96BE0" w:rsidRPr="003B2062" w:rsidRDefault="00D96BE0" w:rsidP="00345EE1">
      <w:pPr>
        <w:pStyle w:val="AERnumberedlistfirststyle"/>
        <w:numPr>
          <w:ilvl w:val="0"/>
          <w:numId w:val="0"/>
        </w:numPr>
        <w:spacing w:after="0"/>
        <w:rPr>
          <w:rFonts w:ascii="Arial" w:hAnsi="Arial" w:cs="Arial"/>
        </w:rPr>
      </w:pPr>
      <w:r w:rsidRPr="003B2062">
        <w:rPr>
          <w:rFonts w:ascii="Arial" w:hAnsi="Arial" w:cs="Arial"/>
        </w:rPr>
        <w:t>All participants slightly over forecast demand for the D-1 schedule. Therefore, the negative imbalance can be attributed to all participants</w:t>
      </w:r>
      <w:r w:rsidR="00F52B0F" w:rsidRPr="003B2062">
        <w:rPr>
          <w:rFonts w:ascii="Arial" w:hAnsi="Arial" w:cs="Arial"/>
        </w:rPr>
        <w:t xml:space="preserve">. </w:t>
      </w:r>
      <w:r w:rsidRPr="003B2062">
        <w:rPr>
          <w:rFonts w:ascii="Arial" w:hAnsi="Arial" w:cs="Arial"/>
        </w:rPr>
        <w:t>The over for</w:t>
      </w:r>
      <w:r w:rsidR="00F52B0F" w:rsidRPr="003B2062">
        <w:rPr>
          <w:rFonts w:ascii="Arial" w:hAnsi="Arial" w:cs="Arial"/>
        </w:rPr>
        <w:t xml:space="preserve">ecast is not particularly large based on historical fluctuations between forecast and actual demand. </w:t>
      </w:r>
    </w:p>
    <w:p w:rsidR="00B57574" w:rsidRPr="003B2062" w:rsidRDefault="00B57574" w:rsidP="00345EE1">
      <w:pPr>
        <w:pStyle w:val="AERnumberedlistfirststyle"/>
        <w:numPr>
          <w:ilvl w:val="0"/>
          <w:numId w:val="0"/>
        </w:numPr>
        <w:spacing w:after="0"/>
        <w:rPr>
          <w:rFonts w:ascii="Arial" w:hAnsi="Arial" w:cs="Arial"/>
        </w:rPr>
      </w:pPr>
    </w:p>
    <w:p w:rsidR="0031536F" w:rsidRPr="003B2062" w:rsidRDefault="002C769F" w:rsidP="001D10E2">
      <w:pPr>
        <w:pStyle w:val="Caption"/>
        <w:rPr>
          <w:rFonts w:ascii="Arial" w:hAnsi="Arial" w:cs="Arial"/>
          <w:szCs w:val="20"/>
        </w:rPr>
      </w:pPr>
      <w:r w:rsidRPr="003B2062">
        <w:rPr>
          <w:rFonts w:ascii="Arial" w:hAnsi="Arial" w:cs="Arial"/>
        </w:rPr>
        <w:lastRenderedPageBreak/>
        <w:t xml:space="preserve">Figure </w:t>
      </w:r>
      <w:r w:rsidR="00B369B6" w:rsidRPr="003B2062">
        <w:rPr>
          <w:rFonts w:ascii="Arial" w:hAnsi="Arial" w:cs="Arial"/>
        </w:rPr>
        <w:t xml:space="preserve">6 </w:t>
      </w:r>
      <w:r w:rsidRPr="003B2062">
        <w:rPr>
          <w:rFonts w:ascii="Arial" w:hAnsi="Arial" w:cs="Arial"/>
        </w:rPr>
        <w:t xml:space="preserve">– </w:t>
      </w:r>
      <w:r w:rsidR="0031536F" w:rsidRPr="003B2062">
        <w:rPr>
          <w:rFonts w:ascii="Arial" w:hAnsi="Arial" w:cs="Arial"/>
          <w:szCs w:val="20"/>
        </w:rPr>
        <w:t xml:space="preserve">Effect of over </w:t>
      </w:r>
      <w:r w:rsidR="00F06386" w:rsidRPr="003B2062">
        <w:rPr>
          <w:rFonts w:ascii="Arial" w:hAnsi="Arial" w:cs="Arial"/>
          <w:szCs w:val="20"/>
        </w:rPr>
        <w:t xml:space="preserve">forecast price taker bids </w:t>
      </w:r>
      <w:r w:rsidR="0031536F" w:rsidRPr="003B2062">
        <w:rPr>
          <w:rFonts w:ascii="Arial" w:hAnsi="Arial" w:cs="Arial"/>
          <w:szCs w:val="20"/>
        </w:rPr>
        <w:t>on the ex post price for 17 October*</w:t>
      </w:r>
    </w:p>
    <w:p w:rsidR="00CE52A7" w:rsidRPr="003B2062" w:rsidRDefault="00CE52A7" w:rsidP="00CC71E8">
      <w:pPr>
        <w:pStyle w:val="AERnumberedlistfirststyle"/>
        <w:numPr>
          <w:ilvl w:val="0"/>
          <w:numId w:val="0"/>
        </w:numPr>
        <w:spacing w:after="0"/>
        <w:rPr>
          <w:rFonts w:ascii="Arial" w:hAnsi="Arial" w:cs="Arial"/>
          <w:b/>
        </w:rPr>
      </w:pPr>
      <w:r w:rsidRPr="003B2062">
        <w:rPr>
          <w:rFonts w:ascii="Arial" w:hAnsi="Arial" w:cs="Arial"/>
          <w:noProof/>
          <w:lang w:eastAsia="en-AU"/>
        </w:rPr>
        <w:drawing>
          <wp:inline distT="0" distB="0" distL="0" distR="0" wp14:anchorId="55689BD3" wp14:editId="292EC240">
            <wp:extent cx="5727700" cy="2762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764087"/>
                    </a:xfrm>
                    <a:prstGeom prst="rect">
                      <a:avLst/>
                    </a:prstGeom>
                    <a:noFill/>
                    <a:ln>
                      <a:noFill/>
                    </a:ln>
                  </pic:spPr>
                </pic:pic>
              </a:graphicData>
            </a:graphic>
          </wp:inline>
        </w:drawing>
      </w:r>
    </w:p>
    <w:p w:rsidR="00CE52A7" w:rsidRPr="003B2062" w:rsidRDefault="00CE52A7" w:rsidP="00CE52A7">
      <w:pPr>
        <w:pStyle w:val="AERnumberedlistfirststyle"/>
        <w:numPr>
          <w:ilvl w:val="0"/>
          <w:numId w:val="0"/>
        </w:numPr>
        <w:spacing w:after="0"/>
        <w:rPr>
          <w:rFonts w:ascii="Arial" w:hAnsi="Arial" w:cs="Arial"/>
          <w:sz w:val="16"/>
          <w:szCs w:val="16"/>
        </w:rPr>
      </w:pPr>
      <w:r w:rsidRPr="003B2062">
        <w:rPr>
          <w:rFonts w:ascii="Arial" w:hAnsi="Arial" w:cs="Arial"/>
          <w:sz w:val="16"/>
          <w:szCs w:val="16"/>
        </w:rPr>
        <w:t xml:space="preserve">*Not all offers and bids shown </w:t>
      </w:r>
    </w:p>
    <w:p w:rsidR="005D5D01" w:rsidRPr="003B2062" w:rsidRDefault="005D5D01" w:rsidP="00CC71E8">
      <w:pPr>
        <w:pStyle w:val="AERnumberedlistfirststyle"/>
        <w:numPr>
          <w:ilvl w:val="0"/>
          <w:numId w:val="0"/>
        </w:numPr>
        <w:spacing w:after="0"/>
        <w:rPr>
          <w:rFonts w:ascii="Arial" w:hAnsi="Arial" w:cs="Arial"/>
          <w:b/>
        </w:rPr>
      </w:pPr>
    </w:p>
    <w:p w:rsidR="00DC3433" w:rsidRPr="003B2062" w:rsidRDefault="00ED7903" w:rsidP="0002512B">
      <w:pPr>
        <w:pStyle w:val="AERnumberedlistfirststyle"/>
        <w:keepNext/>
        <w:numPr>
          <w:ilvl w:val="0"/>
          <w:numId w:val="0"/>
        </w:numPr>
        <w:spacing w:after="0"/>
        <w:rPr>
          <w:rFonts w:ascii="Arial" w:hAnsi="Arial" w:cs="Arial"/>
          <w:b/>
        </w:rPr>
      </w:pPr>
      <w:r w:rsidRPr="003B2062">
        <w:rPr>
          <w:rFonts w:ascii="Arial" w:hAnsi="Arial" w:cs="Arial"/>
          <w:b/>
        </w:rPr>
        <w:t>A note on c</w:t>
      </w:r>
      <w:r w:rsidR="00D14C4C" w:rsidRPr="003B2062">
        <w:rPr>
          <w:rFonts w:ascii="Arial" w:hAnsi="Arial" w:cs="Arial"/>
          <w:b/>
        </w:rPr>
        <w:t xml:space="preserve">apacity </w:t>
      </w:r>
      <w:r w:rsidR="00321FFF" w:rsidRPr="003B2062">
        <w:rPr>
          <w:rFonts w:ascii="Arial" w:hAnsi="Arial" w:cs="Arial"/>
          <w:b/>
        </w:rPr>
        <w:t>p</w:t>
      </w:r>
      <w:r w:rsidR="00D14C4C" w:rsidRPr="003B2062">
        <w:rPr>
          <w:rFonts w:ascii="Arial" w:hAnsi="Arial" w:cs="Arial"/>
          <w:b/>
        </w:rPr>
        <w:t xml:space="preserve">rices and </w:t>
      </w:r>
      <w:r w:rsidR="00321FFF" w:rsidRPr="003B2062">
        <w:rPr>
          <w:rFonts w:ascii="Arial" w:hAnsi="Arial" w:cs="Arial"/>
          <w:b/>
        </w:rPr>
        <w:t>p</w:t>
      </w:r>
      <w:r w:rsidR="00D14C4C" w:rsidRPr="003B2062">
        <w:rPr>
          <w:rFonts w:ascii="Arial" w:hAnsi="Arial" w:cs="Arial"/>
          <w:b/>
        </w:rPr>
        <w:t>ayments</w:t>
      </w:r>
      <w:r w:rsidR="00F96525" w:rsidRPr="003B2062">
        <w:rPr>
          <w:rFonts w:ascii="Arial" w:hAnsi="Arial" w:cs="Arial"/>
          <w:b/>
        </w:rPr>
        <w:t xml:space="preserve"> </w:t>
      </w:r>
    </w:p>
    <w:p w:rsidR="00DC3433" w:rsidRPr="003B2062" w:rsidRDefault="00DC3433" w:rsidP="0002512B">
      <w:pPr>
        <w:pStyle w:val="AERnumberedlistfirststyle"/>
        <w:keepNext/>
        <w:numPr>
          <w:ilvl w:val="0"/>
          <w:numId w:val="0"/>
        </w:numPr>
        <w:spacing w:after="0"/>
        <w:rPr>
          <w:rFonts w:ascii="Arial" w:hAnsi="Arial" w:cs="Arial"/>
        </w:rPr>
      </w:pPr>
    </w:p>
    <w:p w:rsidR="00D17464" w:rsidRPr="003B2062" w:rsidRDefault="00D33D35" w:rsidP="00F52B0F">
      <w:pPr>
        <w:pStyle w:val="AERnumberedlistfirststyle"/>
        <w:numPr>
          <w:ilvl w:val="0"/>
          <w:numId w:val="0"/>
        </w:numPr>
        <w:spacing w:after="0"/>
        <w:rPr>
          <w:rFonts w:ascii="Arial" w:hAnsi="Arial" w:cs="Arial"/>
        </w:rPr>
      </w:pPr>
      <w:r w:rsidRPr="003B2062">
        <w:rPr>
          <w:rFonts w:ascii="Arial" w:hAnsi="Arial" w:cs="Arial"/>
        </w:rPr>
        <w:t xml:space="preserve">There </w:t>
      </w:r>
      <w:proofErr w:type="gramStart"/>
      <w:r w:rsidRPr="003B2062">
        <w:rPr>
          <w:rFonts w:ascii="Arial" w:hAnsi="Arial" w:cs="Arial"/>
        </w:rPr>
        <w:t>were</w:t>
      </w:r>
      <w:proofErr w:type="gramEnd"/>
      <w:r w:rsidR="00FA55B8" w:rsidRPr="003B2062">
        <w:rPr>
          <w:rFonts w:ascii="Arial" w:hAnsi="Arial" w:cs="Arial"/>
        </w:rPr>
        <w:t xml:space="preserve"> </w:t>
      </w:r>
      <w:r w:rsidRPr="003B2062">
        <w:rPr>
          <w:rFonts w:ascii="Arial" w:hAnsi="Arial" w:cs="Arial"/>
        </w:rPr>
        <w:t>capacity prices set due to the pipeline constraint. However, as only firm gas was scheduled, there were no capacity payments.</w:t>
      </w:r>
      <w:r w:rsidR="00EE3E5C" w:rsidRPr="003B2062">
        <w:rPr>
          <w:rFonts w:ascii="Arial" w:hAnsi="Arial" w:cs="Arial"/>
        </w:rPr>
        <w:t xml:space="preserve"> </w:t>
      </w:r>
      <w:r w:rsidR="00ED7903" w:rsidRPr="003B2062">
        <w:rPr>
          <w:rFonts w:ascii="Arial" w:hAnsi="Arial" w:cs="Arial"/>
        </w:rPr>
        <w:t>The capacity price and payment mechanism is described in more detail in the AER’s 7 July STTM Brisbane hub significant price variation report.</w:t>
      </w:r>
      <w:r w:rsidR="00ED7903" w:rsidRPr="003B2062">
        <w:rPr>
          <w:rStyle w:val="FootnoteReference"/>
          <w:rFonts w:ascii="Arial" w:hAnsi="Arial" w:cs="Arial"/>
        </w:rPr>
        <w:footnoteReference w:id="11"/>
      </w:r>
    </w:p>
    <w:p w:rsidR="00D17464" w:rsidRPr="003B2062" w:rsidRDefault="00D17464" w:rsidP="00D17464">
      <w:pPr>
        <w:pStyle w:val="Heading1"/>
        <w:rPr>
          <w:rFonts w:ascii="Arial" w:hAnsi="Arial" w:cs="Arial"/>
        </w:rPr>
      </w:pPr>
      <w:bookmarkStart w:id="31" w:name="_Toc405366935"/>
      <w:bookmarkStart w:id="32" w:name="_GoBack"/>
      <w:bookmarkEnd w:id="32"/>
      <w:r w:rsidRPr="003B2062">
        <w:rPr>
          <w:rFonts w:ascii="Arial" w:hAnsi="Arial" w:cs="Arial"/>
        </w:rPr>
        <w:lastRenderedPageBreak/>
        <w:t>Conclusion</w:t>
      </w:r>
      <w:bookmarkEnd w:id="31"/>
    </w:p>
    <w:p w:rsidR="00D17464" w:rsidRPr="003B2062" w:rsidRDefault="00D17464" w:rsidP="00D17464">
      <w:pPr>
        <w:pStyle w:val="AERnumberedlistfirststyle"/>
        <w:numPr>
          <w:ilvl w:val="0"/>
          <w:numId w:val="0"/>
        </w:numPr>
        <w:spacing w:after="0" w:line="240" w:lineRule="auto"/>
        <w:rPr>
          <w:rFonts w:ascii="Arial" w:hAnsi="Arial" w:cs="Arial"/>
        </w:rPr>
      </w:pPr>
      <w:r w:rsidRPr="003B2062">
        <w:rPr>
          <w:rFonts w:ascii="Arial" w:hAnsi="Arial" w:cs="Arial"/>
        </w:rPr>
        <w:t xml:space="preserve">Gas can only be scheduled to Brisbane up to the capacity of the RBP determined by APA. As a result of a constraint on 17 October, pipeline capacity was insufficient to service all demand including </w:t>
      </w:r>
      <w:r w:rsidR="00F06386" w:rsidRPr="003B2062">
        <w:rPr>
          <w:rFonts w:ascii="Arial" w:hAnsi="Arial" w:cs="Arial"/>
        </w:rPr>
        <w:t xml:space="preserve">non- price taker </w:t>
      </w:r>
      <w:r w:rsidRPr="003B2062">
        <w:rPr>
          <w:rFonts w:ascii="Arial" w:hAnsi="Arial" w:cs="Arial"/>
        </w:rPr>
        <w:t>bids.</w:t>
      </w:r>
    </w:p>
    <w:p w:rsidR="00D17464" w:rsidRPr="003B2062" w:rsidRDefault="00D17464" w:rsidP="00D17464">
      <w:pPr>
        <w:pStyle w:val="AERnumberedlistfirststyle"/>
        <w:numPr>
          <w:ilvl w:val="0"/>
          <w:numId w:val="0"/>
        </w:numPr>
        <w:spacing w:after="0" w:line="240" w:lineRule="auto"/>
        <w:rPr>
          <w:rFonts w:ascii="Arial" w:hAnsi="Arial" w:cs="Arial"/>
        </w:rPr>
      </w:pPr>
    </w:p>
    <w:p w:rsidR="00D17464" w:rsidRPr="003B2062" w:rsidRDefault="00977D2D" w:rsidP="00D17464">
      <w:pPr>
        <w:pStyle w:val="AERnumberedlistfirststyle"/>
        <w:numPr>
          <w:ilvl w:val="0"/>
          <w:numId w:val="0"/>
        </w:numPr>
        <w:spacing w:after="0" w:line="240" w:lineRule="auto"/>
        <w:rPr>
          <w:rFonts w:ascii="Arial" w:hAnsi="Arial" w:cs="Arial"/>
        </w:rPr>
      </w:pPr>
      <w:r w:rsidRPr="003B2062">
        <w:rPr>
          <w:rFonts w:ascii="Arial" w:hAnsi="Arial" w:cs="Arial"/>
        </w:rPr>
        <w:t xml:space="preserve">Some volumes of </w:t>
      </w:r>
      <w:r w:rsidR="00F06386" w:rsidRPr="003B2062">
        <w:rPr>
          <w:rFonts w:ascii="Arial" w:hAnsi="Arial" w:cs="Arial"/>
        </w:rPr>
        <w:t xml:space="preserve">non-price </w:t>
      </w:r>
      <w:r w:rsidR="00D96BE0" w:rsidRPr="003B2062">
        <w:rPr>
          <w:rFonts w:ascii="Arial" w:hAnsi="Arial" w:cs="Arial"/>
        </w:rPr>
        <w:t>taker</w:t>
      </w:r>
      <w:r w:rsidRPr="003B2062">
        <w:rPr>
          <w:rFonts w:ascii="Arial" w:hAnsi="Arial" w:cs="Arial"/>
        </w:rPr>
        <w:t xml:space="preserve"> </w:t>
      </w:r>
      <w:r w:rsidR="00D17464" w:rsidRPr="003B2062">
        <w:rPr>
          <w:rFonts w:ascii="Arial" w:hAnsi="Arial" w:cs="Arial"/>
        </w:rPr>
        <w:t>bids</w:t>
      </w:r>
      <w:r w:rsidR="00D96BE0" w:rsidRPr="003B2062">
        <w:rPr>
          <w:rFonts w:ascii="Arial" w:hAnsi="Arial" w:cs="Arial"/>
        </w:rPr>
        <w:t xml:space="preserve"> were not scheduled despite being priced higher than offers. </w:t>
      </w:r>
      <w:r w:rsidR="00D17464" w:rsidRPr="003B2062">
        <w:rPr>
          <w:rFonts w:ascii="Arial" w:hAnsi="Arial" w:cs="Arial"/>
        </w:rPr>
        <w:t>This is in line with market rules which do not allow forward haul gas to be scheduled beyond the capacity of the pipeline</w:t>
      </w:r>
      <w:r w:rsidRPr="003B2062">
        <w:rPr>
          <w:rFonts w:ascii="Arial" w:hAnsi="Arial" w:cs="Arial"/>
        </w:rPr>
        <w:t xml:space="preserve"> (non-price taker bids require matching offers)</w:t>
      </w:r>
      <w:r w:rsidR="00D17464" w:rsidRPr="003B2062">
        <w:rPr>
          <w:rFonts w:ascii="Arial" w:hAnsi="Arial" w:cs="Arial"/>
        </w:rPr>
        <w:t xml:space="preserve">. </w:t>
      </w:r>
    </w:p>
    <w:p w:rsidR="00D17464" w:rsidRPr="003B2062" w:rsidRDefault="00D17464" w:rsidP="00D17464">
      <w:pPr>
        <w:pStyle w:val="AERnumberedlistfirststyle"/>
        <w:numPr>
          <w:ilvl w:val="0"/>
          <w:numId w:val="0"/>
        </w:numPr>
        <w:spacing w:after="0" w:line="240" w:lineRule="auto"/>
        <w:rPr>
          <w:rFonts w:ascii="Arial" w:hAnsi="Arial" w:cs="Arial"/>
        </w:rPr>
      </w:pPr>
    </w:p>
    <w:p w:rsidR="00CD63F5" w:rsidRPr="003B2062" w:rsidRDefault="00D17464" w:rsidP="00D17464">
      <w:pPr>
        <w:pStyle w:val="AERnumberedlistfirststyle"/>
        <w:numPr>
          <w:ilvl w:val="0"/>
          <w:numId w:val="0"/>
        </w:numPr>
        <w:spacing w:after="0" w:line="240" w:lineRule="auto"/>
        <w:rPr>
          <w:rFonts w:ascii="Arial" w:hAnsi="Arial" w:cs="Arial"/>
        </w:rPr>
      </w:pPr>
      <w:r w:rsidRPr="003B2062">
        <w:rPr>
          <w:rFonts w:ascii="Arial" w:hAnsi="Arial" w:cs="Arial"/>
        </w:rPr>
        <w:t>For the D</w:t>
      </w:r>
      <w:r w:rsidRPr="003B2062">
        <w:rPr>
          <w:rFonts w:ascii="Arial" w:hAnsi="Arial" w:cs="Arial"/>
        </w:rPr>
        <w:noBreakHyphen/>
        <w:t xml:space="preserve">2 provisional schedule, the </w:t>
      </w:r>
      <w:r w:rsidR="00977D2D" w:rsidRPr="003B2062">
        <w:rPr>
          <w:rFonts w:ascii="Arial" w:hAnsi="Arial" w:cs="Arial"/>
        </w:rPr>
        <w:t xml:space="preserve">lower </w:t>
      </w:r>
      <w:r w:rsidRPr="003B2062">
        <w:rPr>
          <w:rFonts w:ascii="Arial" w:hAnsi="Arial" w:cs="Arial"/>
        </w:rPr>
        <w:t xml:space="preserve">price </w:t>
      </w:r>
      <w:r w:rsidR="00977D2D" w:rsidRPr="003B2062">
        <w:rPr>
          <w:rFonts w:ascii="Arial" w:hAnsi="Arial" w:cs="Arial"/>
        </w:rPr>
        <w:t xml:space="preserve">($1.08/GJ) </w:t>
      </w:r>
      <w:r w:rsidRPr="003B2062">
        <w:rPr>
          <w:rFonts w:ascii="Arial" w:hAnsi="Arial" w:cs="Arial"/>
        </w:rPr>
        <w:t>appears to have been</w:t>
      </w:r>
      <w:r w:rsidR="00BE1093" w:rsidRPr="003B2062">
        <w:rPr>
          <w:rFonts w:ascii="Arial" w:hAnsi="Arial" w:cs="Arial"/>
        </w:rPr>
        <w:t xml:space="preserve"> caused by</w:t>
      </w:r>
      <w:r w:rsidRPr="003B2062">
        <w:rPr>
          <w:rFonts w:ascii="Arial" w:hAnsi="Arial" w:cs="Arial"/>
        </w:rPr>
        <w:t xml:space="preserve"> a slight reduction in </w:t>
      </w:r>
      <w:r w:rsidR="00CD63F5" w:rsidRPr="003B2062">
        <w:rPr>
          <w:rFonts w:ascii="Arial" w:hAnsi="Arial" w:cs="Arial"/>
        </w:rPr>
        <w:t>price taker bids</w:t>
      </w:r>
      <w:r w:rsidR="00BE1093" w:rsidRPr="003B2062">
        <w:rPr>
          <w:rFonts w:ascii="Arial" w:hAnsi="Arial" w:cs="Arial"/>
        </w:rPr>
        <w:t>. The</w:t>
      </w:r>
      <w:r w:rsidRPr="003B2062">
        <w:rPr>
          <w:rFonts w:ascii="Arial" w:hAnsi="Arial" w:cs="Arial"/>
        </w:rPr>
        <w:t xml:space="preserve"> D-1 ex-ante </w:t>
      </w:r>
      <w:r w:rsidR="00977D2D" w:rsidRPr="003B2062">
        <w:rPr>
          <w:rFonts w:ascii="Arial" w:hAnsi="Arial" w:cs="Arial"/>
        </w:rPr>
        <w:t xml:space="preserve">($29.90/GJ) </w:t>
      </w:r>
      <w:r w:rsidRPr="003B2062">
        <w:rPr>
          <w:rFonts w:ascii="Arial" w:hAnsi="Arial" w:cs="Arial"/>
        </w:rPr>
        <w:t>price return</w:t>
      </w:r>
      <w:r w:rsidR="00BE1093" w:rsidRPr="003B2062">
        <w:rPr>
          <w:rFonts w:ascii="Arial" w:hAnsi="Arial" w:cs="Arial"/>
        </w:rPr>
        <w:t>ed</w:t>
      </w:r>
      <w:r w:rsidRPr="003B2062">
        <w:rPr>
          <w:rFonts w:ascii="Arial" w:hAnsi="Arial" w:cs="Arial"/>
        </w:rPr>
        <w:t xml:space="preserve"> to a much higher level when </w:t>
      </w:r>
      <w:r w:rsidR="00BE1093" w:rsidRPr="003B2062">
        <w:rPr>
          <w:rFonts w:ascii="Arial" w:hAnsi="Arial" w:cs="Arial"/>
        </w:rPr>
        <w:t>price taker</w:t>
      </w:r>
      <w:r w:rsidRPr="003B2062">
        <w:rPr>
          <w:rFonts w:ascii="Arial" w:hAnsi="Arial" w:cs="Arial"/>
        </w:rPr>
        <w:t xml:space="preserve"> </w:t>
      </w:r>
      <w:r w:rsidR="00BE1093" w:rsidRPr="003B2062">
        <w:rPr>
          <w:rFonts w:ascii="Arial" w:hAnsi="Arial" w:cs="Arial"/>
        </w:rPr>
        <w:t>bids</w:t>
      </w:r>
      <w:r w:rsidR="00CD63F5" w:rsidRPr="003B2062">
        <w:rPr>
          <w:rFonts w:ascii="Arial" w:hAnsi="Arial" w:cs="Arial"/>
        </w:rPr>
        <w:t xml:space="preserve"> </w:t>
      </w:r>
      <w:r w:rsidRPr="003B2062">
        <w:rPr>
          <w:rFonts w:ascii="Arial" w:hAnsi="Arial" w:cs="Arial"/>
        </w:rPr>
        <w:t>increased</w:t>
      </w:r>
      <w:r w:rsidR="00FA55B8" w:rsidRPr="003B2062">
        <w:rPr>
          <w:rFonts w:ascii="Arial" w:hAnsi="Arial" w:cs="Arial"/>
        </w:rPr>
        <w:t>.</w:t>
      </w:r>
      <w:r w:rsidR="00977D2D" w:rsidRPr="003B2062">
        <w:rPr>
          <w:rFonts w:ascii="Arial" w:hAnsi="Arial" w:cs="Arial"/>
        </w:rPr>
        <w:t xml:space="preserve"> The ex post price was lower ($0.50/GJ) because demand was over-forecast.</w:t>
      </w:r>
    </w:p>
    <w:p w:rsidR="00CD63F5" w:rsidRPr="003B2062" w:rsidRDefault="00CD63F5" w:rsidP="00D17464">
      <w:pPr>
        <w:pStyle w:val="AERnumberedlistfirststyle"/>
        <w:numPr>
          <w:ilvl w:val="0"/>
          <w:numId w:val="0"/>
        </w:numPr>
        <w:spacing w:after="0" w:line="240" w:lineRule="auto"/>
        <w:rPr>
          <w:rFonts w:ascii="Arial" w:hAnsi="Arial" w:cs="Arial"/>
        </w:rPr>
      </w:pPr>
    </w:p>
    <w:p w:rsidR="00DA5FD6" w:rsidRPr="003B2062" w:rsidRDefault="00DA5FD6" w:rsidP="00D17464">
      <w:pPr>
        <w:pStyle w:val="AERnumberedlistfirststyle"/>
        <w:numPr>
          <w:ilvl w:val="0"/>
          <w:numId w:val="0"/>
        </w:numPr>
        <w:spacing w:after="0" w:line="240" w:lineRule="auto"/>
        <w:rPr>
          <w:rFonts w:ascii="Arial" w:hAnsi="Arial" w:cs="Arial"/>
        </w:rPr>
      </w:pPr>
      <w:r w:rsidRPr="003B2062">
        <w:rPr>
          <w:rFonts w:ascii="Arial" w:hAnsi="Arial" w:cs="Arial"/>
        </w:rPr>
        <w:t>T</w:t>
      </w:r>
      <w:r w:rsidR="00D17464" w:rsidRPr="003B2062">
        <w:rPr>
          <w:rFonts w:ascii="Arial" w:hAnsi="Arial" w:cs="Arial"/>
        </w:rPr>
        <w:t xml:space="preserve">he high ex ante price for </w:t>
      </w:r>
      <w:r w:rsidR="00977D2D" w:rsidRPr="003B2062">
        <w:rPr>
          <w:rFonts w:ascii="Arial" w:hAnsi="Arial" w:cs="Arial"/>
        </w:rPr>
        <w:t xml:space="preserve">17 October </w:t>
      </w:r>
      <w:r w:rsidRPr="003B2062">
        <w:rPr>
          <w:rFonts w:ascii="Arial" w:hAnsi="Arial" w:cs="Arial"/>
        </w:rPr>
        <w:t xml:space="preserve">and the variation of the ex ante price to provisional and ex post prices </w:t>
      </w:r>
      <w:r w:rsidR="00D17464" w:rsidRPr="003B2062">
        <w:rPr>
          <w:rFonts w:ascii="Arial" w:hAnsi="Arial" w:cs="Arial"/>
        </w:rPr>
        <w:t xml:space="preserve">appears to be largely the result of </w:t>
      </w:r>
      <w:r w:rsidR="00F06386" w:rsidRPr="003B2062">
        <w:rPr>
          <w:rFonts w:ascii="Arial" w:hAnsi="Arial" w:cs="Arial"/>
        </w:rPr>
        <w:t>three inter</w:t>
      </w:r>
      <w:r w:rsidRPr="003B2062">
        <w:rPr>
          <w:rFonts w:ascii="Arial" w:hAnsi="Arial" w:cs="Arial"/>
        </w:rPr>
        <w:t>related factors:</w:t>
      </w:r>
    </w:p>
    <w:p w:rsidR="00DA5FD6" w:rsidRPr="003B2062" w:rsidRDefault="00DA5FD6" w:rsidP="00D17464">
      <w:pPr>
        <w:pStyle w:val="AERnumberedlistfirststyle"/>
        <w:numPr>
          <w:ilvl w:val="0"/>
          <w:numId w:val="0"/>
        </w:numPr>
        <w:spacing w:after="0" w:line="240" w:lineRule="auto"/>
        <w:rPr>
          <w:rFonts w:ascii="Arial" w:hAnsi="Arial" w:cs="Arial"/>
        </w:rPr>
      </w:pPr>
    </w:p>
    <w:p w:rsidR="00DA5FD6" w:rsidRPr="003B2062" w:rsidRDefault="00DA5FD6" w:rsidP="00977D2D">
      <w:pPr>
        <w:pStyle w:val="AERnumberedlistfirststyle"/>
        <w:numPr>
          <w:ilvl w:val="0"/>
          <w:numId w:val="18"/>
        </w:numPr>
        <w:spacing w:after="0" w:line="240" w:lineRule="auto"/>
        <w:rPr>
          <w:rFonts w:ascii="Arial" w:hAnsi="Arial" w:cs="Arial"/>
        </w:rPr>
      </w:pPr>
      <w:r w:rsidRPr="003B2062">
        <w:rPr>
          <w:rFonts w:ascii="Arial" w:hAnsi="Arial" w:cs="Arial"/>
        </w:rPr>
        <w:t xml:space="preserve">pipeline capacity constraints which set prices at the bid price of the last </w:t>
      </w:r>
      <w:r w:rsidR="00977D2D" w:rsidRPr="003B2062">
        <w:rPr>
          <w:rFonts w:ascii="Arial" w:hAnsi="Arial" w:cs="Arial"/>
        </w:rPr>
        <w:t xml:space="preserve">non price taker </w:t>
      </w:r>
      <w:r w:rsidRPr="003B2062">
        <w:rPr>
          <w:rFonts w:ascii="Arial" w:hAnsi="Arial" w:cs="Arial"/>
        </w:rPr>
        <w:t>bid which could be scheduled</w:t>
      </w:r>
    </w:p>
    <w:p w:rsidR="00DA5FD6" w:rsidRPr="003B2062" w:rsidRDefault="00D17464" w:rsidP="00977D2D">
      <w:pPr>
        <w:pStyle w:val="AERnumberedlistfirststyle"/>
        <w:numPr>
          <w:ilvl w:val="0"/>
          <w:numId w:val="18"/>
        </w:numPr>
        <w:spacing w:after="0" w:line="240" w:lineRule="auto"/>
        <w:rPr>
          <w:rFonts w:ascii="Arial" w:hAnsi="Arial" w:cs="Arial"/>
        </w:rPr>
      </w:pPr>
      <w:r w:rsidRPr="003B2062">
        <w:rPr>
          <w:rFonts w:ascii="Arial" w:hAnsi="Arial" w:cs="Arial"/>
        </w:rPr>
        <w:t xml:space="preserve">small aggregate changes to </w:t>
      </w:r>
      <w:r w:rsidR="00CD63F5" w:rsidRPr="003B2062">
        <w:rPr>
          <w:rFonts w:ascii="Arial" w:hAnsi="Arial" w:cs="Arial"/>
        </w:rPr>
        <w:t>price taker bids</w:t>
      </w:r>
      <w:r w:rsidRPr="003B2062">
        <w:rPr>
          <w:rFonts w:ascii="Arial" w:hAnsi="Arial" w:cs="Arial"/>
        </w:rPr>
        <w:t xml:space="preserve"> between schedules</w:t>
      </w:r>
      <w:r w:rsidR="00DA5FD6" w:rsidRPr="003B2062">
        <w:rPr>
          <w:rFonts w:ascii="Arial" w:hAnsi="Arial" w:cs="Arial"/>
        </w:rPr>
        <w:t xml:space="preserve"> influencing which </w:t>
      </w:r>
      <w:r w:rsidR="00977D2D" w:rsidRPr="003B2062">
        <w:rPr>
          <w:rFonts w:ascii="Arial" w:hAnsi="Arial" w:cs="Arial"/>
        </w:rPr>
        <w:t>non</w:t>
      </w:r>
      <w:r w:rsidR="00317DD1" w:rsidRPr="003B2062">
        <w:rPr>
          <w:rFonts w:ascii="Arial" w:hAnsi="Arial" w:cs="Arial"/>
        </w:rPr>
        <w:t>-</w:t>
      </w:r>
      <w:r w:rsidR="00977D2D" w:rsidRPr="003B2062">
        <w:rPr>
          <w:rFonts w:ascii="Arial" w:hAnsi="Arial" w:cs="Arial"/>
        </w:rPr>
        <w:t>price</w:t>
      </w:r>
      <w:r w:rsidR="00317DD1" w:rsidRPr="003B2062">
        <w:rPr>
          <w:rFonts w:ascii="Arial" w:hAnsi="Arial" w:cs="Arial"/>
        </w:rPr>
        <w:t xml:space="preserve"> </w:t>
      </w:r>
      <w:r w:rsidR="00977D2D" w:rsidRPr="003B2062">
        <w:rPr>
          <w:rFonts w:ascii="Arial" w:hAnsi="Arial" w:cs="Arial"/>
        </w:rPr>
        <w:t xml:space="preserve">taker </w:t>
      </w:r>
      <w:r w:rsidR="00DA5FD6" w:rsidRPr="003B2062">
        <w:rPr>
          <w:rFonts w:ascii="Arial" w:hAnsi="Arial" w:cs="Arial"/>
        </w:rPr>
        <w:t>bid</w:t>
      </w:r>
      <w:r w:rsidR="00977D2D" w:rsidRPr="003B2062">
        <w:rPr>
          <w:rFonts w:ascii="Arial" w:hAnsi="Arial" w:cs="Arial"/>
        </w:rPr>
        <w:t>s</w:t>
      </w:r>
      <w:r w:rsidR="00DA5FD6" w:rsidRPr="003B2062">
        <w:rPr>
          <w:rFonts w:ascii="Arial" w:hAnsi="Arial" w:cs="Arial"/>
        </w:rPr>
        <w:t xml:space="preserve"> set the price and</w:t>
      </w:r>
    </w:p>
    <w:p w:rsidR="002C5746" w:rsidRPr="003B2062" w:rsidRDefault="00DA5FD6" w:rsidP="00977D2D">
      <w:pPr>
        <w:pStyle w:val="AERnumberedlistfirststyle"/>
        <w:numPr>
          <w:ilvl w:val="0"/>
          <w:numId w:val="18"/>
        </w:numPr>
        <w:spacing w:after="0" w:line="240" w:lineRule="auto"/>
        <w:rPr>
          <w:rFonts w:ascii="Arial" w:hAnsi="Arial" w:cs="Arial"/>
        </w:rPr>
      </w:pPr>
      <w:proofErr w:type="gramStart"/>
      <w:r w:rsidRPr="003B2062">
        <w:rPr>
          <w:rFonts w:ascii="Arial" w:hAnsi="Arial" w:cs="Arial"/>
        </w:rPr>
        <w:t>steep</w:t>
      </w:r>
      <w:proofErr w:type="gramEnd"/>
      <w:r w:rsidRPr="003B2062">
        <w:rPr>
          <w:rFonts w:ascii="Arial" w:hAnsi="Arial" w:cs="Arial"/>
        </w:rPr>
        <w:t xml:space="preserve"> price steps between </w:t>
      </w:r>
      <w:r w:rsidR="00F06386" w:rsidRPr="003B2062">
        <w:rPr>
          <w:rFonts w:ascii="Arial" w:hAnsi="Arial" w:cs="Arial"/>
        </w:rPr>
        <w:t xml:space="preserve">non-price </w:t>
      </w:r>
      <w:r w:rsidR="00977D2D" w:rsidRPr="003B2062">
        <w:rPr>
          <w:rFonts w:ascii="Arial" w:hAnsi="Arial" w:cs="Arial"/>
        </w:rPr>
        <w:t xml:space="preserve">taker </w:t>
      </w:r>
      <w:r w:rsidRPr="003B2062">
        <w:rPr>
          <w:rFonts w:ascii="Arial" w:hAnsi="Arial" w:cs="Arial"/>
        </w:rPr>
        <w:t>bids.</w:t>
      </w:r>
      <w:r w:rsidR="00D17464" w:rsidRPr="003B2062">
        <w:rPr>
          <w:rFonts w:ascii="Arial" w:hAnsi="Arial" w:cs="Arial"/>
        </w:rPr>
        <w:t xml:space="preserve"> </w:t>
      </w:r>
    </w:p>
    <w:p w:rsidR="002C5746" w:rsidRPr="003B2062" w:rsidRDefault="002C5746" w:rsidP="00D17464">
      <w:pPr>
        <w:pStyle w:val="AERnumberedlistfirststyle"/>
        <w:numPr>
          <w:ilvl w:val="0"/>
          <w:numId w:val="0"/>
        </w:numPr>
        <w:spacing w:after="0" w:line="240" w:lineRule="auto"/>
        <w:rPr>
          <w:rFonts w:ascii="Arial" w:hAnsi="Arial" w:cs="Arial"/>
        </w:rPr>
      </w:pPr>
    </w:p>
    <w:p w:rsidR="00AA1107" w:rsidRPr="003B2062" w:rsidRDefault="00AA1107" w:rsidP="00D17464">
      <w:pPr>
        <w:pStyle w:val="AERnumberedlistfirststyle"/>
        <w:numPr>
          <w:ilvl w:val="0"/>
          <w:numId w:val="0"/>
        </w:numPr>
        <w:spacing w:after="0" w:line="240" w:lineRule="auto"/>
        <w:rPr>
          <w:rFonts w:ascii="Arial" w:hAnsi="Arial" w:cs="Arial"/>
        </w:rPr>
      </w:pPr>
    </w:p>
    <w:p w:rsidR="00AA1107" w:rsidRPr="003B2062" w:rsidRDefault="00AA1107" w:rsidP="00D17464">
      <w:pPr>
        <w:pStyle w:val="AERnumberedlistfirststyle"/>
        <w:numPr>
          <w:ilvl w:val="0"/>
          <w:numId w:val="0"/>
        </w:numPr>
        <w:spacing w:after="0" w:line="240" w:lineRule="auto"/>
        <w:rPr>
          <w:rFonts w:ascii="Arial" w:hAnsi="Arial" w:cs="Arial"/>
        </w:rPr>
      </w:pPr>
    </w:p>
    <w:p w:rsidR="00D17464" w:rsidRPr="003B2062" w:rsidRDefault="00D17464" w:rsidP="001D10E2">
      <w:pPr>
        <w:pStyle w:val="AERnumberedlistfirststyle"/>
        <w:numPr>
          <w:ilvl w:val="0"/>
          <w:numId w:val="0"/>
        </w:numPr>
        <w:spacing w:after="0" w:line="240" w:lineRule="auto"/>
        <w:rPr>
          <w:rFonts w:ascii="Arial" w:hAnsi="Arial" w:cs="Arial"/>
        </w:rPr>
      </w:pPr>
    </w:p>
    <w:sectPr w:rsidR="00D17464" w:rsidRPr="003B2062" w:rsidSect="00551A9D">
      <w:footerReference w:type="even" r:id="rId16"/>
      <w:footerReference w:type="default" r:id="rId17"/>
      <w:pgSz w:w="11906" w:h="16838"/>
      <w:pgMar w:top="1418"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F4" w:rsidRPr="00AB4345" w:rsidRDefault="00450AF4" w:rsidP="00AB4345">
      <w:r>
        <w:separator/>
      </w:r>
    </w:p>
  </w:endnote>
  <w:endnote w:type="continuationSeparator" w:id="0">
    <w:p w:rsidR="00450AF4" w:rsidRPr="00AB4345" w:rsidRDefault="00450AF4"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swiss"/>
    <w:notTrueType/>
    <w:pitch w:val="default"/>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383038"/>
      <w:docPartObj>
        <w:docPartGallery w:val="Page Numbers (Bottom of Page)"/>
        <w:docPartUnique/>
      </w:docPartObj>
    </w:sdtPr>
    <w:sdtEndPr>
      <w:rPr>
        <w:rFonts w:ascii="Arial" w:hAnsi="Arial" w:cs="Arial"/>
      </w:rPr>
    </w:sdtEndPr>
    <w:sdtContent>
      <w:p w:rsidR="00450AF4" w:rsidRPr="003B2062" w:rsidRDefault="00450AF4" w:rsidP="00824CC8">
        <w:pPr>
          <w:pStyle w:val="Footer"/>
          <w:rPr>
            <w:rFonts w:ascii="Arial" w:hAnsi="Arial" w:cs="Arial"/>
          </w:rPr>
        </w:pPr>
        <w:r w:rsidRPr="003B2062">
          <w:rPr>
            <w:rFonts w:ascii="Arial" w:hAnsi="Arial" w:cs="Arial"/>
          </w:rPr>
          <w:fldChar w:fldCharType="begin"/>
        </w:r>
        <w:r w:rsidRPr="003B2062">
          <w:rPr>
            <w:rFonts w:ascii="Arial" w:hAnsi="Arial" w:cs="Arial"/>
          </w:rPr>
          <w:instrText xml:space="preserve"> PAGE   \* MERGEFORMAT </w:instrText>
        </w:r>
        <w:r w:rsidRPr="003B2062">
          <w:rPr>
            <w:rFonts w:ascii="Arial" w:hAnsi="Arial" w:cs="Arial"/>
          </w:rPr>
          <w:fldChar w:fldCharType="separate"/>
        </w:r>
        <w:r w:rsidR="006900EF">
          <w:rPr>
            <w:rFonts w:ascii="Arial" w:hAnsi="Arial" w:cs="Arial"/>
            <w:noProof/>
          </w:rPr>
          <w:t>2</w:t>
        </w:r>
        <w:r w:rsidRPr="003B2062">
          <w:rPr>
            <w:rFonts w:ascii="Arial" w:hAnsi="Arial" w:cs="Arial"/>
          </w:rPr>
          <w:fldChar w:fldCharType="end"/>
        </w:r>
        <w:r w:rsidRPr="003B2062">
          <w:rPr>
            <w:rFonts w:ascii="Arial" w:hAnsi="Arial" w:cs="Arial"/>
          </w:rPr>
          <w:tab/>
        </w:r>
        <w:r w:rsidRPr="003B2062">
          <w:rPr>
            <w:rStyle w:val="AERbody"/>
            <w:rFonts w:ascii="Arial" w:hAnsi="Arial" w:cs="Arial"/>
          </w:rPr>
          <w:t xml:space="preserve">SPV report - </w:t>
        </w:r>
        <w:r w:rsidR="002838F4" w:rsidRPr="003B2062">
          <w:rPr>
            <w:rStyle w:val="AERbody"/>
            <w:rFonts w:ascii="Arial" w:hAnsi="Arial" w:cs="Arial"/>
          </w:rPr>
          <w:t>17</w:t>
        </w:r>
        <w:r w:rsidRPr="003B2062">
          <w:rPr>
            <w:rStyle w:val="AERbody"/>
            <w:rFonts w:ascii="Arial" w:hAnsi="Arial" w:cs="Arial"/>
          </w:rPr>
          <w:t xml:space="preserve"> </w:t>
        </w:r>
        <w:r w:rsidR="002838F4" w:rsidRPr="003B2062">
          <w:rPr>
            <w:rStyle w:val="AERbody"/>
            <w:rFonts w:ascii="Arial" w:hAnsi="Arial" w:cs="Arial"/>
          </w:rPr>
          <w:t>October</w:t>
        </w:r>
        <w:r w:rsidRPr="003B2062">
          <w:rPr>
            <w:rStyle w:val="AERbody"/>
            <w:rFonts w:ascii="Arial" w:hAnsi="Arial" w:cs="Arial"/>
          </w:rPr>
          <w:t xml:space="preserve"> 2014, Brisbane STTM</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F4" w:rsidRPr="003B2062" w:rsidRDefault="00676CC2" w:rsidP="00824CC8">
    <w:pPr>
      <w:pStyle w:val="Footer"/>
      <w:rPr>
        <w:rStyle w:val="AERbody"/>
        <w:rFonts w:ascii="Arial" w:hAnsi="Arial" w:cs="Arial"/>
      </w:rPr>
    </w:pPr>
    <w:r w:rsidRPr="003B2062">
      <w:rPr>
        <w:rStyle w:val="AERbody"/>
        <w:rFonts w:ascii="Arial" w:hAnsi="Arial" w:cs="Arial"/>
      </w:rPr>
      <w:t xml:space="preserve">SPV report </w:t>
    </w:r>
    <w:r w:rsidR="00D72154" w:rsidRPr="003B2062">
      <w:rPr>
        <w:rStyle w:val="AERbody"/>
        <w:rFonts w:ascii="Arial" w:hAnsi="Arial" w:cs="Arial"/>
      </w:rPr>
      <w:t>–</w:t>
    </w:r>
    <w:r w:rsidRPr="003B2062">
      <w:rPr>
        <w:rStyle w:val="AERbody"/>
        <w:rFonts w:ascii="Arial" w:hAnsi="Arial" w:cs="Arial"/>
      </w:rPr>
      <w:t xml:space="preserve"> </w:t>
    </w:r>
    <w:r w:rsidR="00D72154" w:rsidRPr="003B2062">
      <w:rPr>
        <w:rStyle w:val="AERbody"/>
        <w:rFonts w:ascii="Arial" w:hAnsi="Arial" w:cs="Arial"/>
      </w:rPr>
      <w:t>17 October</w:t>
    </w:r>
    <w:r w:rsidRPr="003B2062">
      <w:rPr>
        <w:rStyle w:val="AERbody"/>
        <w:rFonts w:ascii="Arial" w:hAnsi="Arial" w:cs="Arial"/>
      </w:rPr>
      <w:t xml:space="preserve"> 2014, Brisbane STTM</w:t>
    </w:r>
    <w:r w:rsidR="00450AF4" w:rsidRPr="003B2062">
      <w:rPr>
        <w:rStyle w:val="AERbody"/>
        <w:rFonts w:ascii="Arial" w:hAnsi="Arial" w:cs="Arial"/>
      </w:rPr>
      <w:tab/>
    </w:r>
    <w:r w:rsidR="00450AF4" w:rsidRPr="003B2062">
      <w:rPr>
        <w:rStyle w:val="AERbody"/>
        <w:rFonts w:ascii="Arial" w:hAnsi="Arial" w:cs="Arial"/>
      </w:rPr>
      <w:fldChar w:fldCharType="begin"/>
    </w:r>
    <w:r w:rsidR="00450AF4" w:rsidRPr="003B2062">
      <w:rPr>
        <w:rStyle w:val="AERbody"/>
        <w:rFonts w:ascii="Arial" w:hAnsi="Arial" w:cs="Arial"/>
      </w:rPr>
      <w:instrText xml:space="preserve"> PAGE   \* MERGEFORMAT </w:instrText>
    </w:r>
    <w:r w:rsidR="00450AF4" w:rsidRPr="003B2062">
      <w:rPr>
        <w:rStyle w:val="AERbody"/>
        <w:rFonts w:ascii="Arial" w:hAnsi="Arial" w:cs="Arial"/>
      </w:rPr>
      <w:fldChar w:fldCharType="separate"/>
    </w:r>
    <w:r w:rsidR="006900EF">
      <w:rPr>
        <w:rStyle w:val="AERbody"/>
        <w:rFonts w:ascii="Arial" w:hAnsi="Arial" w:cs="Arial"/>
        <w:noProof/>
      </w:rPr>
      <w:t>1</w:t>
    </w:r>
    <w:r w:rsidR="00450AF4" w:rsidRPr="003B2062">
      <w:rPr>
        <w:rStyle w:val="AERbod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F4" w:rsidRPr="00AB4345" w:rsidRDefault="00450AF4" w:rsidP="00AB4345">
      <w:r>
        <w:separator/>
      </w:r>
    </w:p>
  </w:footnote>
  <w:footnote w:type="continuationSeparator" w:id="0">
    <w:p w:rsidR="00450AF4" w:rsidRPr="00AB4345" w:rsidRDefault="00450AF4" w:rsidP="00AB4345">
      <w:r>
        <w:continuationSeparator/>
      </w:r>
    </w:p>
  </w:footnote>
  <w:footnote w:id="1">
    <w:p w:rsidR="0018637F" w:rsidRPr="003B2062" w:rsidRDefault="0018637F">
      <w:pPr>
        <w:pStyle w:val="FootnoteText"/>
        <w:rPr>
          <w:rFonts w:ascii="Arial" w:hAnsi="Arial" w:cs="Arial"/>
        </w:rPr>
      </w:pPr>
      <w:r w:rsidRPr="003B2062">
        <w:rPr>
          <w:rStyle w:val="FootnoteReference"/>
          <w:rFonts w:ascii="Arial" w:hAnsi="Arial" w:cs="Arial"/>
        </w:rPr>
        <w:footnoteRef/>
      </w:r>
      <w:r w:rsidRPr="003B2062">
        <w:rPr>
          <w:rFonts w:ascii="Arial" w:hAnsi="Arial" w:cs="Arial"/>
        </w:rPr>
        <w:t xml:space="preserve"> </w:t>
      </w:r>
      <w:r w:rsidRPr="003B2062">
        <w:rPr>
          <w:rFonts w:ascii="Arial" w:hAnsi="Arial" w:cs="Arial"/>
        </w:rPr>
        <w:tab/>
        <w:t>Rule 498(2) of the National Gas Rules</w:t>
      </w:r>
      <w:r w:rsidR="00B22E4A" w:rsidRPr="003B2062">
        <w:rPr>
          <w:rFonts w:ascii="Arial" w:hAnsi="Arial" w:cs="Arial"/>
        </w:rPr>
        <w:t xml:space="preserve"> (Gas Rules)</w:t>
      </w:r>
    </w:p>
  </w:footnote>
  <w:footnote w:id="2">
    <w:p w:rsidR="001D10E2" w:rsidRPr="003B2062" w:rsidRDefault="001D10E2" w:rsidP="001D10E2">
      <w:pPr>
        <w:pStyle w:val="FootnoteText"/>
        <w:rPr>
          <w:rFonts w:ascii="Arial" w:hAnsi="Arial" w:cs="Arial"/>
        </w:rPr>
      </w:pPr>
      <w:r w:rsidRPr="003B2062">
        <w:rPr>
          <w:rStyle w:val="FootnoteReference"/>
          <w:rFonts w:ascii="Arial" w:hAnsi="Arial" w:cs="Arial"/>
        </w:rPr>
        <w:footnoteRef/>
      </w:r>
      <w:r w:rsidRPr="003B2062">
        <w:rPr>
          <w:rFonts w:ascii="Arial" w:hAnsi="Arial" w:cs="Arial"/>
        </w:rPr>
        <w:t xml:space="preserve"> </w:t>
      </w:r>
      <w:r w:rsidRPr="003B2062">
        <w:rPr>
          <w:rFonts w:ascii="Arial" w:hAnsi="Arial" w:cs="Arial"/>
        </w:rPr>
        <w:tab/>
        <w:t xml:space="preserve">Rule 405 of the Gas Rules </w:t>
      </w:r>
    </w:p>
  </w:footnote>
  <w:footnote w:id="3">
    <w:p w:rsidR="00DE6B15" w:rsidRPr="003B2062" w:rsidRDefault="00DE6B15">
      <w:pPr>
        <w:pStyle w:val="FootnoteText"/>
        <w:rPr>
          <w:rFonts w:ascii="Arial" w:hAnsi="Arial" w:cs="Arial"/>
        </w:rPr>
      </w:pPr>
      <w:r w:rsidRPr="003B2062">
        <w:rPr>
          <w:rStyle w:val="FootnoteReference"/>
          <w:rFonts w:ascii="Arial" w:hAnsi="Arial" w:cs="Arial"/>
        </w:rPr>
        <w:footnoteRef/>
      </w:r>
      <w:r w:rsidRPr="003B2062">
        <w:rPr>
          <w:rFonts w:ascii="Arial" w:hAnsi="Arial" w:cs="Arial"/>
        </w:rPr>
        <w:t xml:space="preserve"> </w:t>
      </w:r>
      <w:r w:rsidRPr="003B2062">
        <w:rPr>
          <w:rFonts w:ascii="Arial" w:hAnsi="Arial" w:cs="Arial"/>
        </w:rPr>
        <w:tab/>
        <w:t>There are two types of bids – price taker bids and non-price taker bids. Price taker bids are used by participants to reflect uncontrollable demand. Non-price taker bids reflect controllable demand.</w:t>
      </w:r>
    </w:p>
  </w:footnote>
  <w:footnote w:id="4">
    <w:p w:rsidR="001D10E2" w:rsidRDefault="001D10E2" w:rsidP="001D10E2">
      <w:pPr>
        <w:pStyle w:val="FootnoteText"/>
      </w:pPr>
      <w:r w:rsidRPr="003B2062">
        <w:rPr>
          <w:rStyle w:val="FootnoteReference"/>
          <w:rFonts w:ascii="Arial" w:hAnsi="Arial" w:cs="Arial"/>
        </w:rPr>
        <w:footnoteRef/>
      </w:r>
      <w:r w:rsidRPr="003B2062">
        <w:rPr>
          <w:rFonts w:ascii="Arial" w:hAnsi="Arial" w:cs="Arial"/>
        </w:rPr>
        <w:t xml:space="preserve"> </w:t>
      </w:r>
      <w:r w:rsidRPr="003B2062">
        <w:rPr>
          <w:rFonts w:ascii="Arial" w:hAnsi="Arial" w:cs="Arial"/>
        </w:rPr>
        <w:tab/>
        <w:t>Based on flows on the natural gas services bulletin board, there is no gas flowing east from gas facilities to the south at Moomba. www.gasbb.com.au</w:t>
      </w:r>
    </w:p>
  </w:footnote>
  <w:footnote w:id="5">
    <w:p w:rsidR="005C4689" w:rsidRPr="003B2062" w:rsidRDefault="005C4689" w:rsidP="005C4689">
      <w:pPr>
        <w:pStyle w:val="FootnoteText"/>
        <w:rPr>
          <w:rFonts w:ascii="Arial" w:hAnsi="Arial" w:cs="Arial"/>
        </w:rPr>
      </w:pPr>
      <w:r w:rsidRPr="003B2062">
        <w:rPr>
          <w:rStyle w:val="FootnoteReference"/>
          <w:rFonts w:ascii="Arial" w:hAnsi="Arial" w:cs="Arial"/>
        </w:rPr>
        <w:footnoteRef/>
      </w:r>
      <w:r w:rsidRPr="003B2062">
        <w:rPr>
          <w:rFonts w:ascii="Arial" w:hAnsi="Arial" w:cs="Arial"/>
        </w:rPr>
        <w:t xml:space="preserve"> </w:t>
      </w:r>
      <w:r w:rsidRPr="003B2062">
        <w:rPr>
          <w:rFonts w:ascii="Arial" w:hAnsi="Arial" w:cs="Arial"/>
        </w:rPr>
        <w:tab/>
        <w:t>Previous pipeline capacity for Brisbane STTM hub gas deliveries on the RBP had been 206.3 TJ since mid-May, reduced to 186 TJ in late June due to the detection and isolation of a defect in the RBP 10” pipeline.</w:t>
      </w:r>
    </w:p>
  </w:footnote>
  <w:footnote w:id="6">
    <w:p w:rsidR="008F12D5" w:rsidRDefault="008F12D5" w:rsidP="00DD4A9D">
      <w:pPr>
        <w:pStyle w:val="FootnoteText"/>
      </w:pPr>
      <w:r w:rsidRPr="003B2062">
        <w:rPr>
          <w:rStyle w:val="FootnoteReference"/>
          <w:rFonts w:ascii="Arial" w:hAnsi="Arial" w:cs="Arial"/>
        </w:rPr>
        <w:footnoteRef/>
      </w:r>
      <w:r w:rsidRPr="003B2062">
        <w:rPr>
          <w:rFonts w:ascii="Arial" w:hAnsi="Arial" w:cs="Arial"/>
        </w:rPr>
        <w:t xml:space="preserve"> </w:t>
      </w:r>
      <w:r w:rsidR="00DD4A9D" w:rsidRPr="003B2062">
        <w:rPr>
          <w:rFonts w:ascii="Arial" w:hAnsi="Arial" w:cs="Arial"/>
        </w:rPr>
        <w:tab/>
      </w:r>
      <w:r w:rsidR="005C09CB" w:rsidRPr="003B2062">
        <w:rPr>
          <w:rFonts w:ascii="Arial" w:hAnsi="Arial" w:cs="Arial"/>
        </w:rPr>
        <w:t>Both days (Friday 17 October and Sunday 19 October) saw the scheduling of further offers/bids restricted by the capacity constraint, and resulted in capacity constraint pricing across the provisional and ex ante schedules.</w:t>
      </w:r>
    </w:p>
  </w:footnote>
  <w:footnote w:id="7">
    <w:p w:rsidR="00E30131" w:rsidRPr="003B2062" w:rsidRDefault="00E30131">
      <w:pPr>
        <w:pStyle w:val="FootnoteText"/>
        <w:rPr>
          <w:rFonts w:ascii="Arial" w:hAnsi="Arial" w:cs="Arial"/>
        </w:rPr>
      </w:pPr>
      <w:r w:rsidRPr="003B2062">
        <w:rPr>
          <w:rStyle w:val="FootnoteReference"/>
          <w:rFonts w:ascii="Arial" w:hAnsi="Arial" w:cs="Arial"/>
        </w:rPr>
        <w:footnoteRef/>
      </w:r>
      <w:r w:rsidRPr="003B2062">
        <w:rPr>
          <w:rFonts w:ascii="Arial" w:hAnsi="Arial" w:cs="Arial"/>
        </w:rPr>
        <w:t xml:space="preserve"> </w:t>
      </w:r>
      <w:r w:rsidRPr="003B2062">
        <w:rPr>
          <w:rFonts w:ascii="Arial" w:hAnsi="Arial" w:cs="Arial"/>
        </w:rPr>
        <w:tab/>
        <w:t>Values for ex post quantities and prices are derived by offsetting the ex ante bids by the imbalance quantity (-4.048 TJ).</w:t>
      </w:r>
    </w:p>
  </w:footnote>
  <w:footnote w:id="8">
    <w:p w:rsidR="00494D9D" w:rsidRPr="003B2062" w:rsidRDefault="00494D9D" w:rsidP="00494D9D">
      <w:pPr>
        <w:pStyle w:val="FootnoteText"/>
        <w:rPr>
          <w:rFonts w:ascii="Arial" w:hAnsi="Arial" w:cs="Arial"/>
        </w:rPr>
      </w:pPr>
      <w:r w:rsidRPr="003B2062">
        <w:rPr>
          <w:rStyle w:val="FootnoteReference"/>
          <w:rFonts w:ascii="Arial" w:hAnsi="Arial" w:cs="Arial"/>
        </w:rPr>
        <w:footnoteRef/>
      </w:r>
      <w:r w:rsidRPr="003B2062">
        <w:rPr>
          <w:rFonts w:ascii="Arial" w:hAnsi="Arial" w:cs="Arial"/>
        </w:rPr>
        <w:t xml:space="preserve"> </w:t>
      </w:r>
      <w:r w:rsidRPr="003B2062">
        <w:rPr>
          <w:rFonts w:ascii="Arial" w:hAnsi="Arial" w:cs="Arial"/>
        </w:rPr>
        <w:tab/>
        <w:t>The supply line stretches from the bottom left corner to the top right</w:t>
      </w:r>
    </w:p>
  </w:footnote>
  <w:footnote w:id="9">
    <w:p w:rsidR="00494D9D" w:rsidRDefault="00494D9D">
      <w:pPr>
        <w:pStyle w:val="FootnoteText"/>
      </w:pPr>
      <w:r w:rsidRPr="003B2062">
        <w:rPr>
          <w:rStyle w:val="FootnoteReference"/>
          <w:rFonts w:ascii="Arial" w:hAnsi="Arial" w:cs="Arial"/>
        </w:rPr>
        <w:footnoteRef/>
      </w:r>
      <w:r w:rsidRPr="003B2062">
        <w:rPr>
          <w:rFonts w:ascii="Arial" w:hAnsi="Arial" w:cs="Arial"/>
        </w:rPr>
        <w:t xml:space="preserve"> </w:t>
      </w:r>
      <w:r w:rsidRPr="003B2062">
        <w:rPr>
          <w:rFonts w:ascii="Arial" w:hAnsi="Arial" w:cs="Arial"/>
        </w:rPr>
        <w:tab/>
        <w:t>The demand line stretches from the top left corner to the bottom right</w:t>
      </w:r>
    </w:p>
  </w:footnote>
  <w:footnote w:id="10">
    <w:p w:rsidR="00F06386" w:rsidRPr="003B2062" w:rsidRDefault="00F06386" w:rsidP="00F06386">
      <w:pPr>
        <w:pStyle w:val="FootnoteText"/>
        <w:tabs>
          <w:tab w:val="clear" w:pos="426"/>
          <w:tab w:val="left" w:pos="0"/>
        </w:tabs>
        <w:ind w:left="0" w:firstLine="0"/>
        <w:rPr>
          <w:rFonts w:ascii="Arial" w:hAnsi="Arial" w:cs="Arial"/>
        </w:rPr>
      </w:pPr>
      <w:r w:rsidRPr="003B2062">
        <w:rPr>
          <w:rStyle w:val="FootnoteReference"/>
          <w:rFonts w:ascii="Arial" w:hAnsi="Arial" w:cs="Arial"/>
        </w:rPr>
        <w:footnoteRef/>
      </w:r>
      <w:r w:rsidRPr="003B2062">
        <w:rPr>
          <w:rFonts w:ascii="Arial" w:hAnsi="Arial" w:cs="Arial"/>
        </w:rPr>
        <w:t xml:space="preserve"> The ex post price is </w:t>
      </w:r>
      <w:r w:rsidR="00856197" w:rsidRPr="003B2062">
        <w:rPr>
          <w:rFonts w:ascii="Arial" w:hAnsi="Arial" w:cs="Arial"/>
        </w:rPr>
        <w:t xml:space="preserve">one of several parameters </w:t>
      </w:r>
      <w:r w:rsidRPr="003B2062">
        <w:rPr>
          <w:rFonts w:ascii="Arial" w:hAnsi="Arial" w:cs="Arial"/>
        </w:rPr>
        <w:t xml:space="preserve">used in the calculation of deviation charges and payments. </w:t>
      </w:r>
      <w:r w:rsidR="009B7378" w:rsidRPr="003B2062">
        <w:rPr>
          <w:rFonts w:ascii="Arial" w:hAnsi="Arial" w:cs="Arial"/>
        </w:rPr>
        <w:t xml:space="preserve">The ex post imbalance price is calculated the day after the gas day to determine a price that reflects the impact that deviations on the gas day would have had on the </w:t>
      </w:r>
      <w:proofErr w:type="spellStart"/>
      <w:r w:rsidR="009B7378" w:rsidRPr="003B2062">
        <w:rPr>
          <w:rFonts w:ascii="Arial" w:hAnsi="Arial" w:cs="Arial"/>
        </w:rPr>
        <w:t>ex ante</w:t>
      </w:r>
      <w:proofErr w:type="spellEnd"/>
      <w:r w:rsidR="009B7378" w:rsidRPr="003B2062">
        <w:rPr>
          <w:rFonts w:ascii="Arial" w:hAnsi="Arial" w:cs="Arial"/>
        </w:rPr>
        <w:t xml:space="preserve"> market price if they had been included in the original schedule. On the day a</w:t>
      </w:r>
      <w:r w:rsidRPr="003B2062">
        <w:rPr>
          <w:rFonts w:ascii="Arial" w:hAnsi="Arial" w:cs="Arial"/>
        </w:rPr>
        <w:t>ll participants over-forecast their deman</w:t>
      </w:r>
      <w:r w:rsidR="009B7378" w:rsidRPr="003B2062">
        <w:rPr>
          <w:rFonts w:ascii="Arial" w:hAnsi="Arial" w:cs="Arial"/>
        </w:rPr>
        <w:t xml:space="preserve">d (they </w:t>
      </w:r>
      <w:r w:rsidRPr="003B2062">
        <w:rPr>
          <w:rFonts w:ascii="Arial" w:hAnsi="Arial" w:cs="Arial"/>
        </w:rPr>
        <w:t>us</w:t>
      </w:r>
      <w:r w:rsidR="009B7378" w:rsidRPr="003B2062">
        <w:rPr>
          <w:rFonts w:ascii="Arial" w:hAnsi="Arial" w:cs="Arial"/>
        </w:rPr>
        <w:t>ed</w:t>
      </w:r>
      <w:r w:rsidRPr="003B2062">
        <w:rPr>
          <w:rFonts w:ascii="Arial" w:hAnsi="Arial" w:cs="Arial"/>
        </w:rPr>
        <w:t xml:space="preserve"> less gas than scheduled</w:t>
      </w:r>
      <w:r w:rsidR="009B7378" w:rsidRPr="003B2062">
        <w:rPr>
          <w:rFonts w:ascii="Arial" w:hAnsi="Arial" w:cs="Arial"/>
        </w:rPr>
        <w:t>). This led to</w:t>
      </w:r>
      <w:r w:rsidRPr="003B2062">
        <w:rPr>
          <w:rFonts w:ascii="Arial" w:hAnsi="Arial" w:cs="Arial"/>
        </w:rPr>
        <w:t xml:space="preserve"> deviation payment</w:t>
      </w:r>
      <w:r w:rsidR="00856197" w:rsidRPr="003B2062">
        <w:rPr>
          <w:rFonts w:ascii="Arial" w:hAnsi="Arial" w:cs="Arial"/>
        </w:rPr>
        <w:t>s</w:t>
      </w:r>
      <w:r w:rsidR="009B7378" w:rsidRPr="003B2062">
        <w:rPr>
          <w:rFonts w:ascii="Arial" w:hAnsi="Arial" w:cs="Arial"/>
        </w:rPr>
        <w:t xml:space="preserve">.  Deviation payments </w:t>
      </w:r>
      <w:r w:rsidR="00301F7F" w:rsidRPr="003B2062">
        <w:rPr>
          <w:rFonts w:ascii="Arial" w:hAnsi="Arial" w:cs="Arial"/>
        </w:rPr>
        <w:t xml:space="preserve">are </w:t>
      </w:r>
      <w:r w:rsidRPr="003B2062">
        <w:rPr>
          <w:rFonts w:ascii="Arial" w:hAnsi="Arial" w:cs="Arial"/>
        </w:rPr>
        <w:t xml:space="preserve">calculated on the basis of the deviation </w:t>
      </w:r>
      <w:r w:rsidR="009B7378" w:rsidRPr="003B2062">
        <w:rPr>
          <w:rFonts w:ascii="Arial" w:hAnsi="Arial" w:cs="Arial"/>
        </w:rPr>
        <w:t>quantity</w:t>
      </w:r>
      <w:r w:rsidR="00856197" w:rsidRPr="003B2062">
        <w:rPr>
          <w:rFonts w:ascii="Arial" w:hAnsi="Arial" w:cs="Arial"/>
        </w:rPr>
        <w:t xml:space="preserve">, using </w:t>
      </w:r>
      <w:r w:rsidRPr="003B2062">
        <w:rPr>
          <w:rFonts w:ascii="Arial" w:hAnsi="Arial" w:cs="Arial"/>
        </w:rPr>
        <w:t>the lesser of the ex ante and ex post price</w:t>
      </w:r>
      <w:r w:rsidR="00856197" w:rsidRPr="003B2062">
        <w:rPr>
          <w:rFonts w:ascii="Arial" w:hAnsi="Arial" w:cs="Arial"/>
        </w:rPr>
        <w:t xml:space="preserve"> (after considering variations to the market schedule)</w:t>
      </w:r>
      <w:r w:rsidRPr="003B2062">
        <w:rPr>
          <w:rFonts w:ascii="Arial" w:hAnsi="Arial" w:cs="Arial"/>
        </w:rPr>
        <w:t xml:space="preserve">. </w:t>
      </w:r>
    </w:p>
  </w:footnote>
  <w:footnote w:id="11">
    <w:p w:rsidR="00ED7903" w:rsidRPr="003B2062" w:rsidRDefault="00ED7903">
      <w:pPr>
        <w:pStyle w:val="FootnoteText"/>
        <w:rPr>
          <w:rFonts w:ascii="Arial" w:hAnsi="Arial" w:cs="Arial"/>
        </w:rPr>
      </w:pPr>
      <w:r w:rsidRPr="003B2062">
        <w:rPr>
          <w:rStyle w:val="FootnoteReference"/>
          <w:rFonts w:ascii="Arial" w:hAnsi="Arial" w:cs="Arial"/>
        </w:rPr>
        <w:footnoteRef/>
      </w:r>
      <w:r w:rsidRPr="003B2062">
        <w:rPr>
          <w:rFonts w:ascii="Arial" w:hAnsi="Arial" w:cs="Arial"/>
        </w:rPr>
        <w:t xml:space="preserve"> </w:t>
      </w:r>
      <w:hyperlink r:id="rId1" w:history="1">
        <w:r w:rsidRPr="003B2062">
          <w:rPr>
            <w:rStyle w:val="Hyperlink"/>
            <w:rFonts w:ascii="Arial" w:hAnsi="Arial" w:cs="Arial"/>
          </w:rPr>
          <w:t>http://www.aer.gov.au/node/27587</w:t>
        </w:r>
      </w:hyperlink>
      <w:r w:rsidRPr="003B2062">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0F68E5"/>
    <w:multiLevelType w:val="hybridMultilevel"/>
    <w:tmpl w:val="BE729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597CF9"/>
    <w:multiLevelType w:val="multilevel"/>
    <w:tmpl w:val="B478DFE6"/>
    <w:numStyleLink w:val="AERnumberedlist"/>
  </w:abstractNum>
  <w:abstractNum w:abstractNumId="3">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69A430F"/>
    <w:multiLevelType w:val="hybridMultilevel"/>
    <w:tmpl w:val="D7848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0895FE3"/>
    <w:multiLevelType w:val="multilevel"/>
    <w:tmpl w:val="B6FEDB8A"/>
    <w:lvl w:ilvl="0">
      <w:start w:val="1"/>
      <w:numFmt w:val="decimal"/>
      <w:pStyle w:val="AERheading1"/>
      <w:lvlText w:val="%1"/>
      <w:lvlJc w:val="left"/>
      <w:pPr>
        <w:tabs>
          <w:tab w:val="num" w:pos="851"/>
        </w:tabs>
        <w:ind w:left="851" w:hanging="851"/>
      </w:pPr>
      <w:rPr>
        <w:rFonts w:hint="default"/>
      </w:rPr>
    </w:lvl>
    <w:lvl w:ilvl="1">
      <w:start w:val="1"/>
      <w:numFmt w:val="decimal"/>
      <w:pStyle w:val="AERheading2"/>
      <w:lvlText w:val="%1.%2"/>
      <w:lvlJc w:val="left"/>
      <w:pPr>
        <w:tabs>
          <w:tab w:val="num" w:pos="851"/>
        </w:tabs>
        <w:ind w:left="851" w:hanging="851"/>
      </w:pPr>
      <w:rPr>
        <w:rFonts w:hint="default"/>
      </w:rPr>
    </w:lvl>
    <w:lvl w:ilvl="2">
      <w:start w:val="1"/>
      <w:numFmt w:val="decimal"/>
      <w:pStyle w:val="AERheading3"/>
      <w:lvlText w:val="%1.%2.%3"/>
      <w:lvlJc w:val="left"/>
      <w:pPr>
        <w:tabs>
          <w:tab w:val="num" w:pos="851"/>
        </w:tabs>
        <w:ind w:left="851" w:hanging="851"/>
      </w:pPr>
      <w:rPr>
        <w:rFonts w:hint="default"/>
      </w:rPr>
    </w:lvl>
    <w:lvl w:ilvl="3">
      <w:start w:val="1"/>
      <w:numFmt w:val="decimal"/>
      <w:pStyle w:val="AERheading4"/>
      <w:lvlText w:val="%1.%2.%3.%4"/>
      <w:lvlJc w:val="left"/>
      <w:pPr>
        <w:tabs>
          <w:tab w:val="num" w:pos="851"/>
        </w:tabs>
        <w:ind w:left="851" w:hanging="851"/>
      </w:pPr>
      <w:rPr>
        <w:rFonts w:hint="default"/>
      </w:rPr>
    </w:lvl>
    <w:lvl w:ilvl="4">
      <w:start w:val="1"/>
      <w:numFmt w:val="decimal"/>
      <w:lvlRestart w:val="1"/>
      <w:pStyle w:val="AERtableheading"/>
      <w:lvlText w:val="Table %1.%5"/>
      <w:lvlJc w:val="left"/>
      <w:pPr>
        <w:tabs>
          <w:tab w:val="num" w:pos="1361"/>
        </w:tabs>
        <w:ind w:left="1361" w:hanging="1361"/>
      </w:pPr>
      <w:rPr>
        <w:rFonts w:hint="default"/>
      </w:rPr>
    </w:lvl>
    <w:lvl w:ilvl="5">
      <w:start w:val="1"/>
      <w:numFmt w:val="decimal"/>
      <w:lvlRestart w:val="1"/>
      <w:pStyle w:val="AERfigureheading"/>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lowerLetter"/>
      <w:lvlRestart w:val="0"/>
      <w:pStyle w:val="AERtableheading-unnumbered"/>
      <w:lvlText w:val="Figure 2.2 (%7)"/>
      <w:lvlJc w:val="left"/>
      <w:pPr>
        <w:tabs>
          <w:tab w:val="num" w:pos="1361"/>
        </w:tabs>
        <w:ind w:left="1361" w:hanging="1361"/>
      </w:pPr>
      <w:rPr>
        <w:rFonts w:hint="default"/>
      </w:rPr>
    </w:lvl>
    <w:lvl w:ilvl="7">
      <w:start w:val="1"/>
      <w:numFmt w:val="decimal"/>
      <w:lvlRestart w:val="0"/>
      <w:pStyle w:val="AERfigureheading-unnumbered"/>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9">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D0D1180"/>
    <w:multiLevelType w:val="hybridMultilevel"/>
    <w:tmpl w:val="19B23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AC6DD7"/>
    <w:multiLevelType w:val="multilevel"/>
    <w:tmpl w:val="950A1C52"/>
    <w:numStyleLink w:val="AERHeadings"/>
  </w:abstractNum>
  <w:abstractNum w:abstractNumId="12">
    <w:nsid w:val="7ACA5BE3"/>
    <w:multiLevelType w:val="hybridMultilevel"/>
    <w:tmpl w:val="9FC27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3"/>
  </w:num>
  <w:num w:numId="5">
    <w:abstractNumId w:val="0"/>
  </w:num>
  <w:num w:numId="6">
    <w:abstractNumId w:val="9"/>
  </w:num>
  <w:num w:numId="7">
    <w:abstractNumId w:val="5"/>
  </w:num>
  <w:num w:numId="8">
    <w:abstractNumId w:val="2"/>
  </w:num>
  <w:num w:numId="9">
    <w:abstractNumId w:val="11"/>
  </w:num>
  <w:num w:numId="10">
    <w:abstractNumId w:val="8"/>
  </w:num>
  <w:num w:numId="11">
    <w:abstractNumId w:val="11"/>
  </w:num>
  <w:num w:numId="12">
    <w:abstractNumId w:val="11"/>
  </w:num>
  <w:num w:numId="13">
    <w:abstractNumId w:val="11"/>
  </w:num>
  <w:num w:numId="14">
    <w:abstractNumId w:val="11"/>
  </w:num>
  <w:num w:numId="15">
    <w:abstractNumId w:val="1"/>
  </w:num>
  <w:num w:numId="16">
    <w:abstractNumId w:val="12"/>
  </w:num>
  <w:num w:numId="17">
    <w:abstractNumId w:val="7"/>
  </w:num>
  <w:num w:numId="1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83969" style="mso-width-relative:margin;mso-height-relative:margin">
      <v:stroke dashstyle="1 1" weight="2.25pt" endcap="round"/>
      <v:textbox style="mso-fit-shape-to-text:t"/>
      <o:colormru v:ext="edit" colors="white,#39f,#0c0,red,#06f,#f2f2f2,#38ce4a,#b2ecb9"/>
      <o:colormenu v:ext="edit" fillcolor="white" strokecolor="#b2ecb9"/>
    </o:shapedefaults>
  </w:hdrShapeDefaults>
  <w:footnotePr>
    <w:footnote w:id="-1"/>
    <w:footnote w:id="0"/>
  </w:footnotePr>
  <w:endnotePr>
    <w:endnote w:id="-1"/>
    <w:endnote w:id="0"/>
  </w:endnotePr>
  <w:compat>
    <w:compatSetting w:name="compatibilityMode" w:uri="http://schemas.microsoft.com/office/word" w:val="12"/>
  </w:compat>
  <w:docVars>
    <w:docVar w:name="currentname" w:val="\\cdchnas-evs02\home$\wvosp\Significant price event - 17 October 2014 Brisbane.docx"/>
  </w:docVars>
  <w:rsids>
    <w:rsidRoot w:val="000C052F"/>
    <w:rsid w:val="000006B6"/>
    <w:rsid w:val="00002ACE"/>
    <w:rsid w:val="00002BFE"/>
    <w:rsid w:val="00006032"/>
    <w:rsid w:val="00011129"/>
    <w:rsid w:val="0001461C"/>
    <w:rsid w:val="00022606"/>
    <w:rsid w:val="00024776"/>
    <w:rsid w:val="0002512B"/>
    <w:rsid w:val="0002799F"/>
    <w:rsid w:val="00036855"/>
    <w:rsid w:val="0003711C"/>
    <w:rsid w:val="00040599"/>
    <w:rsid w:val="00040749"/>
    <w:rsid w:val="00045A71"/>
    <w:rsid w:val="0005303E"/>
    <w:rsid w:val="00055123"/>
    <w:rsid w:val="00056574"/>
    <w:rsid w:val="00056CA5"/>
    <w:rsid w:val="0006365C"/>
    <w:rsid w:val="00072DAA"/>
    <w:rsid w:val="00077265"/>
    <w:rsid w:val="00080D0C"/>
    <w:rsid w:val="0008178B"/>
    <w:rsid w:val="000867BC"/>
    <w:rsid w:val="00087DC1"/>
    <w:rsid w:val="000916A4"/>
    <w:rsid w:val="000A06F7"/>
    <w:rsid w:val="000A0E97"/>
    <w:rsid w:val="000A1CC2"/>
    <w:rsid w:val="000A5342"/>
    <w:rsid w:val="000A6022"/>
    <w:rsid w:val="000B15CA"/>
    <w:rsid w:val="000B5976"/>
    <w:rsid w:val="000B5CD6"/>
    <w:rsid w:val="000C052F"/>
    <w:rsid w:val="000C2F88"/>
    <w:rsid w:val="000C3430"/>
    <w:rsid w:val="000C5BD9"/>
    <w:rsid w:val="000D03C2"/>
    <w:rsid w:val="000D04B1"/>
    <w:rsid w:val="000D401F"/>
    <w:rsid w:val="000D6926"/>
    <w:rsid w:val="000D7F32"/>
    <w:rsid w:val="000E097C"/>
    <w:rsid w:val="000E1A25"/>
    <w:rsid w:val="000E7C0F"/>
    <w:rsid w:val="000E7D06"/>
    <w:rsid w:val="000F3A6A"/>
    <w:rsid w:val="000F3C4F"/>
    <w:rsid w:val="00100243"/>
    <w:rsid w:val="00101272"/>
    <w:rsid w:val="001033B3"/>
    <w:rsid w:val="00105636"/>
    <w:rsid w:val="001069D9"/>
    <w:rsid w:val="00107E7D"/>
    <w:rsid w:val="0011090F"/>
    <w:rsid w:val="001120A6"/>
    <w:rsid w:val="001162B7"/>
    <w:rsid w:val="0011673A"/>
    <w:rsid w:val="00120874"/>
    <w:rsid w:val="00121636"/>
    <w:rsid w:val="0012471E"/>
    <w:rsid w:val="00124E45"/>
    <w:rsid w:val="001269DD"/>
    <w:rsid w:val="0013058F"/>
    <w:rsid w:val="00132FF9"/>
    <w:rsid w:val="001339D5"/>
    <w:rsid w:val="0013493C"/>
    <w:rsid w:val="00134EED"/>
    <w:rsid w:val="001357A4"/>
    <w:rsid w:val="00136427"/>
    <w:rsid w:val="001406B0"/>
    <w:rsid w:val="00143A51"/>
    <w:rsid w:val="001500DA"/>
    <w:rsid w:val="001528F1"/>
    <w:rsid w:val="001543D2"/>
    <w:rsid w:val="0016224B"/>
    <w:rsid w:val="00163CDD"/>
    <w:rsid w:val="00165ADF"/>
    <w:rsid w:val="00173125"/>
    <w:rsid w:val="00174026"/>
    <w:rsid w:val="00175B58"/>
    <w:rsid w:val="001764B0"/>
    <w:rsid w:val="00176E86"/>
    <w:rsid w:val="00177157"/>
    <w:rsid w:val="001823C4"/>
    <w:rsid w:val="001856EE"/>
    <w:rsid w:val="0018637F"/>
    <w:rsid w:val="00194C3C"/>
    <w:rsid w:val="001A03D1"/>
    <w:rsid w:val="001B0AFE"/>
    <w:rsid w:val="001B2045"/>
    <w:rsid w:val="001C12E5"/>
    <w:rsid w:val="001C1510"/>
    <w:rsid w:val="001C2F68"/>
    <w:rsid w:val="001C601D"/>
    <w:rsid w:val="001C68F0"/>
    <w:rsid w:val="001C76D1"/>
    <w:rsid w:val="001C7A79"/>
    <w:rsid w:val="001D04AC"/>
    <w:rsid w:val="001D10E2"/>
    <w:rsid w:val="001D3F82"/>
    <w:rsid w:val="001D7F68"/>
    <w:rsid w:val="001E01B9"/>
    <w:rsid w:val="001E4D56"/>
    <w:rsid w:val="001E591F"/>
    <w:rsid w:val="001F1D39"/>
    <w:rsid w:val="001F2B35"/>
    <w:rsid w:val="001F3973"/>
    <w:rsid w:val="00202B8F"/>
    <w:rsid w:val="002042B9"/>
    <w:rsid w:val="00205474"/>
    <w:rsid w:val="00205A83"/>
    <w:rsid w:val="0020711E"/>
    <w:rsid w:val="00210880"/>
    <w:rsid w:val="002126F1"/>
    <w:rsid w:val="00216353"/>
    <w:rsid w:val="00217086"/>
    <w:rsid w:val="002225C9"/>
    <w:rsid w:val="002257B9"/>
    <w:rsid w:val="0022670F"/>
    <w:rsid w:val="00227519"/>
    <w:rsid w:val="00230B94"/>
    <w:rsid w:val="0023137D"/>
    <w:rsid w:val="002363B8"/>
    <w:rsid w:val="00244E46"/>
    <w:rsid w:val="00244F0F"/>
    <w:rsid w:val="0024572B"/>
    <w:rsid w:val="00246177"/>
    <w:rsid w:val="0025211D"/>
    <w:rsid w:val="002551B9"/>
    <w:rsid w:val="00257CD0"/>
    <w:rsid w:val="002606F8"/>
    <w:rsid w:val="002617E2"/>
    <w:rsid w:val="00265A4B"/>
    <w:rsid w:val="00266710"/>
    <w:rsid w:val="00271648"/>
    <w:rsid w:val="00274DAF"/>
    <w:rsid w:val="002805B8"/>
    <w:rsid w:val="002838F4"/>
    <w:rsid w:val="00292F56"/>
    <w:rsid w:val="0029318B"/>
    <w:rsid w:val="002938CE"/>
    <w:rsid w:val="002A6D9A"/>
    <w:rsid w:val="002B590F"/>
    <w:rsid w:val="002B6640"/>
    <w:rsid w:val="002B6D7E"/>
    <w:rsid w:val="002C4408"/>
    <w:rsid w:val="002C5746"/>
    <w:rsid w:val="002C731C"/>
    <w:rsid w:val="002C769F"/>
    <w:rsid w:val="002D1D83"/>
    <w:rsid w:val="002D61AC"/>
    <w:rsid w:val="002D6F11"/>
    <w:rsid w:val="002D7706"/>
    <w:rsid w:val="002E4720"/>
    <w:rsid w:val="002E49C5"/>
    <w:rsid w:val="002E5F82"/>
    <w:rsid w:val="002E620D"/>
    <w:rsid w:val="002E6998"/>
    <w:rsid w:val="00301368"/>
    <w:rsid w:val="00301F7F"/>
    <w:rsid w:val="00303452"/>
    <w:rsid w:val="00310C10"/>
    <w:rsid w:val="0031536F"/>
    <w:rsid w:val="00317DD1"/>
    <w:rsid w:val="0032027D"/>
    <w:rsid w:val="00320C51"/>
    <w:rsid w:val="00321278"/>
    <w:rsid w:val="00321639"/>
    <w:rsid w:val="00321FFF"/>
    <w:rsid w:val="00324B28"/>
    <w:rsid w:val="0032559F"/>
    <w:rsid w:val="00325AC6"/>
    <w:rsid w:val="003324F7"/>
    <w:rsid w:val="00334F88"/>
    <w:rsid w:val="00335425"/>
    <w:rsid w:val="00335EAE"/>
    <w:rsid w:val="00340127"/>
    <w:rsid w:val="00343061"/>
    <w:rsid w:val="00345EE1"/>
    <w:rsid w:val="00346246"/>
    <w:rsid w:val="003604D5"/>
    <w:rsid w:val="00363EA9"/>
    <w:rsid w:val="00364653"/>
    <w:rsid w:val="00364A7F"/>
    <w:rsid w:val="00365EDD"/>
    <w:rsid w:val="00366472"/>
    <w:rsid w:val="0036775C"/>
    <w:rsid w:val="003707DB"/>
    <w:rsid w:val="00371C43"/>
    <w:rsid w:val="00373C45"/>
    <w:rsid w:val="00375AEC"/>
    <w:rsid w:val="00376236"/>
    <w:rsid w:val="0037652C"/>
    <w:rsid w:val="003800E4"/>
    <w:rsid w:val="00380FF5"/>
    <w:rsid w:val="00385135"/>
    <w:rsid w:val="003866A9"/>
    <w:rsid w:val="00395A13"/>
    <w:rsid w:val="003A2BC0"/>
    <w:rsid w:val="003A4CD1"/>
    <w:rsid w:val="003A4F7F"/>
    <w:rsid w:val="003A6174"/>
    <w:rsid w:val="003A6E70"/>
    <w:rsid w:val="003B1089"/>
    <w:rsid w:val="003B196B"/>
    <w:rsid w:val="003B2062"/>
    <w:rsid w:val="003B73A4"/>
    <w:rsid w:val="003C5399"/>
    <w:rsid w:val="003D4D26"/>
    <w:rsid w:val="003E4D99"/>
    <w:rsid w:val="003E5430"/>
    <w:rsid w:val="003E7367"/>
    <w:rsid w:val="003F2DC0"/>
    <w:rsid w:val="003F3C5C"/>
    <w:rsid w:val="003F5741"/>
    <w:rsid w:val="004030AB"/>
    <w:rsid w:val="00410853"/>
    <w:rsid w:val="00412282"/>
    <w:rsid w:val="004136AD"/>
    <w:rsid w:val="00416764"/>
    <w:rsid w:val="00421517"/>
    <w:rsid w:val="004256BA"/>
    <w:rsid w:val="00430388"/>
    <w:rsid w:val="00431999"/>
    <w:rsid w:val="00435682"/>
    <w:rsid w:val="00441796"/>
    <w:rsid w:val="00442844"/>
    <w:rsid w:val="004442B1"/>
    <w:rsid w:val="00450AF4"/>
    <w:rsid w:val="00451343"/>
    <w:rsid w:val="00456081"/>
    <w:rsid w:val="00456D9E"/>
    <w:rsid w:val="00464F5D"/>
    <w:rsid w:val="00466B6E"/>
    <w:rsid w:val="00472197"/>
    <w:rsid w:val="0047307B"/>
    <w:rsid w:val="00474FBD"/>
    <w:rsid w:val="004760FE"/>
    <w:rsid w:val="00477F18"/>
    <w:rsid w:val="004821D0"/>
    <w:rsid w:val="0048266C"/>
    <w:rsid w:val="00482C77"/>
    <w:rsid w:val="00491D7D"/>
    <w:rsid w:val="00493362"/>
    <w:rsid w:val="004938B9"/>
    <w:rsid w:val="00494D9D"/>
    <w:rsid w:val="00495E53"/>
    <w:rsid w:val="004974B4"/>
    <w:rsid w:val="00497517"/>
    <w:rsid w:val="004A6FD9"/>
    <w:rsid w:val="004B0B73"/>
    <w:rsid w:val="004B3549"/>
    <w:rsid w:val="004B5111"/>
    <w:rsid w:val="004C204D"/>
    <w:rsid w:val="004C3F45"/>
    <w:rsid w:val="004C535D"/>
    <w:rsid w:val="004D0C4E"/>
    <w:rsid w:val="004D17A3"/>
    <w:rsid w:val="004E0FBE"/>
    <w:rsid w:val="004E40EF"/>
    <w:rsid w:val="004E7117"/>
    <w:rsid w:val="004E73F7"/>
    <w:rsid w:val="004F76A0"/>
    <w:rsid w:val="005005C0"/>
    <w:rsid w:val="00500E7F"/>
    <w:rsid w:val="00502780"/>
    <w:rsid w:val="00503B13"/>
    <w:rsid w:val="00507FC5"/>
    <w:rsid w:val="00510C44"/>
    <w:rsid w:val="0052086C"/>
    <w:rsid w:val="0052179D"/>
    <w:rsid w:val="00522CD0"/>
    <w:rsid w:val="005340F2"/>
    <w:rsid w:val="00534E74"/>
    <w:rsid w:val="00535459"/>
    <w:rsid w:val="00537105"/>
    <w:rsid w:val="005456A9"/>
    <w:rsid w:val="00547F06"/>
    <w:rsid w:val="0055077F"/>
    <w:rsid w:val="00550B7A"/>
    <w:rsid w:val="00551A9D"/>
    <w:rsid w:val="00554BE4"/>
    <w:rsid w:val="00555D52"/>
    <w:rsid w:val="005566D7"/>
    <w:rsid w:val="00561F7F"/>
    <w:rsid w:val="0056370C"/>
    <w:rsid w:val="005639E8"/>
    <w:rsid w:val="005668A0"/>
    <w:rsid w:val="00566B35"/>
    <w:rsid w:val="00567724"/>
    <w:rsid w:val="005732CC"/>
    <w:rsid w:val="00574EE9"/>
    <w:rsid w:val="00575422"/>
    <w:rsid w:val="00576DC7"/>
    <w:rsid w:val="005814F0"/>
    <w:rsid w:val="005938C6"/>
    <w:rsid w:val="005A0431"/>
    <w:rsid w:val="005A089A"/>
    <w:rsid w:val="005A420E"/>
    <w:rsid w:val="005B0EEA"/>
    <w:rsid w:val="005B1A03"/>
    <w:rsid w:val="005B3752"/>
    <w:rsid w:val="005B5CDF"/>
    <w:rsid w:val="005B61C2"/>
    <w:rsid w:val="005B7309"/>
    <w:rsid w:val="005C09CB"/>
    <w:rsid w:val="005C1F22"/>
    <w:rsid w:val="005C4689"/>
    <w:rsid w:val="005C5D03"/>
    <w:rsid w:val="005C6DAB"/>
    <w:rsid w:val="005D0DF3"/>
    <w:rsid w:val="005D2574"/>
    <w:rsid w:val="005D26B7"/>
    <w:rsid w:val="005D3B18"/>
    <w:rsid w:val="005D4AA1"/>
    <w:rsid w:val="005D55A9"/>
    <w:rsid w:val="005D5D01"/>
    <w:rsid w:val="005E5DEC"/>
    <w:rsid w:val="005E6872"/>
    <w:rsid w:val="005F5268"/>
    <w:rsid w:val="0060146C"/>
    <w:rsid w:val="00601FEF"/>
    <w:rsid w:val="0060207D"/>
    <w:rsid w:val="00602A0B"/>
    <w:rsid w:val="006039F2"/>
    <w:rsid w:val="00605A71"/>
    <w:rsid w:val="006061B0"/>
    <w:rsid w:val="006070E7"/>
    <w:rsid w:val="0060732E"/>
    <w:rsid w:val="006076A9"/>
    <w:rsid w:val="00611457"/>
    <w:rsid w:val="00614B7F"/>
    <w:rsid w:val="00614FB5"/>
    <w:rsid w:val="00624306"/>
    <w:rsid w:val="00624E40"/>
    <w:rsid w:val="00624F72"/>
    <w:rsid w:val="006309D0"/>
    <w:rsid w:val="0063440C"/>
    <w:rsid w:val="00635A76"/>
    <w:rsid w:val="00637AD2"/>
    <w:rsid w:val="00642B58"/>
    <w:rsid w:val="00642D2E"/>
    <w:rsid w:val="00647248"/>
    <w:rsid w:val="006544EA"/>
    <w:rsid w:val="00654C07"/>
    <w:rsid w:val="00655B34"/>
    <w:rsid w:val="0066176E"/>
    <w:rsid w:val="00661846"/>
    <w:rsid w:val="0066569F"/>
    <w:rsid w:val="00667C18"/>
    <w:rsid w:val="00670607"/>
    <w:rsid w:val="0067271C"/>
    <w:rsid w:val="0067658A"/>
    <w:rsid w:val="00676CC2"/>
    <w:rsid w:val="006827E4"/>
    <w:rsid w:val="0068291B"/>
    <w:rsid w:val="00682FC9"/>
    <w:rsid w:val="00683459"/>
    <w:rsid w:val="00684B6D"/>
    <w:rsid w:val="0069004B"/>
    <w:rsid w:val="006900EF"/>
    <w:rsid w:val="0069109B"/>
    <w:rsid w:val="00691F5C"/>
    <w:rsid w:val="00691FE5"/>
    <w:rsid w:val="006A06EA"/>
    <w:rsid w:val="006A2D4B"/>
    <w:rsid w:val="006A32F5"/>
    <w:rsid w:val="006B08EB"/>
    <w:rsid w:val="006B481F"/>
    <w:rsid w:val="006B6C7E"/>
    <w:rsid w:val="006C0ECE"/>
    <w:rsid w:val="006C7AEE"/>
    <w:rsid w:val="006D1C58"/>
    <w:rsid w:val="006E0734"/>
    <w:rsid w:val="006E33E7"/>
    <w:rsid w:val="006F24EE"/>
    <w:rsid w:val="006F2E77"/>
    <w:rsid w:val="006F2EA1"/>
    <w:rsid w:val="006F638E"/>
    <w:rsid w:val="007022A6"/>
    <w:rsid w:val="007025B0"/>
    <w:rsid w:val="00703E42"/>
    <w:rsid w:val="007061F5"/>
    <w:rsid w:val="007100B4"/>
    <w:rsid w:val="00710583"/>
    <w:rsid w:val="007140C3"/>
    <w:rsid w:val="00714471"/>
    <w:rsid w:val="007219EE"/>
    <w:rsid w:val="0072289F"/>
    <w:rsid w:val="00730559"/>
    <w:rsid w:val="00731A89"/>
    <w:rsid w:val="00733602"/>
    <w:rsid w:val="0073614B"/>
    <w:rsid w:val="007368AD"/>
    <w:rsid w:val="00747AE4"/>
    <w:rsid w:val="00751D2A"/>
    <w:rsid w:val="00753BCE"/>
    <w:rsid w:val="00755095"/>
    <w:rsid w:val="00755896"/>
    <w:rsid w:val="00763C27"/>
    <w:rsid w:val="0076587E"/>
    <w:rsid w:val="00771497"/>
    <w:rsid w:val="00771A37"/>
    <w:rsid w:val="00773BB9"/>
    <w:rsid w:val="00774B28"/>
    <w:rsid w:val="007751A5"/>
    <w:rsid w:val="007765A0"/>
    <w:rsid w:val="00777D81"/>
    <w:rsid w:val="00782D2E"/>
    <w:rsid w:val="00786EFB"/>
    <w:rsid w:val="007908DC"/>
    <w:rsid w:val="007945C4"/>
    <w:rsid w:val="00796A07"/>
    <w:rsid w:val="007A0042"/>
    <w:rsid w:val="007A5812"/>
    <w:rsid w:val="007B0480"/>
    <w:rsid w:val="007B1189"/>
    <w:rsid w:val="007B3F74"/>
    <w:rsid w:val="007B5D46"/>
    <w:rsid w:val="007B619D"/>
    <w:rsid w:val="007D10DD"/>
    <w:rsid w:val="007D4FF5"/>
    <w:rsid w:val="007D5C52"/>
    <w:rsid w:val="007E0071"/>
    <w:rsid w:val="007E075A"/>
    <w:rsid w:val="007F10E3"/>
    <w:rsid w:val="007F2C0E"/>
    <w:rsid w:val="007F57DA"/>
    <w:rsid w:val="007F5A18"/>
    <w:rsid w:val="00801566"/>
    <w:rsid w:val="00801931"/>
    <w:rsid w:val="008019AA"/>
    <w:rsid w:val="00804AEB"/>
    <w:rsid w:val="00804B8F"/>
    <w:rsid w:val="00806509"/>
    <w:rsid w:val="00812E1D"/>
    <w:rsid w:val="00813CB3"/>
    <w:rsid w:val="00814033"/>
    <w:rsid w:val="008217C9"/>
    <w:rsid w:val="00824CC8"/>
    <w:rsid w:val="008251C7"/>
    <w:rsid w:val="00825661"/>
    <w:rsid w:val="00826120"/>
    <w:rsid w:val="0083145B"/>
    <w:rsid w:val="0083610B"/>
    <w:rsid w:val="008362DC"/>
    <w:rsid w:val="00836A23"/>
    <w:rsid w:val="00836D17"/>
    <w:rsid w:val="00837604"/>
    <w:rsid w:val="00840A55"/>
    <w:rsid w:val="00840E4B"/>
    <w:rsid w:val="00841E25"/>
    <w:rsid w:val="00842513"/>
    <w:rsid w:val="008464CD"/>
    <w:rsid w:val="00846916"/>
    <w:rsid w:val="00847181"/>
    <w:rsid w:val="00851335"/>
    <w:rsid w:val="008515EE"/>
    <w:rsid w:val="00856197"/>
    <w:rsid w:val="008570F5"/>
    <w:rsid w:val="00860BF9"/>
    <w:rsid w:val="00861C4E"/>
    <w:rsid w:val="00864AAF"/>
    <w:rsid w:val="00865D13"/>
    <w:rsid w:val="00866D21"/>
    <w:rsid w:val="00872D85"/>
    <w:rsid w:val="008743E9"/>
    <w:rsid w:val="008747A1"/>
    <w:rsid w:val="00875F02"/>
    <w:rsid w:val="00881D72"/>
    <w:rsid w:val="00883DDA"/>
    <w:rsid w:val="0088415D"/>
    <w:rsid w:val="00884F03"/>
    <w:rsid w:val="00887D61"/>
    <w:rsid w:val="008916DE"/>
    <w:rsid w:val="00891FF9"/>
    <w:rsid w:val="00893186"/>
    <w:rsid w:val="00893367"/>
    <w:rsid w:val="008A08AB"/>
    <w:rsid w:val="008A1109"/>
    <w:rsid w:val="008A51F6"/>
    <w:rsid w:val="008A6B41"/>
    <w:rsid w:val="008B04B9"/>
    <w:rsid w:val="008B7956"/>
    <w:rsid w:val="008C2D62"/>
    <w:rsid w:val="008C2FD8"/>
    <w:rsid w:val="008C31E6"/>
    <w:rsid w:val="008C3B67"/>
    <w:rsid w:val="008C3F48"/>
    <w:rsid w:val="008D1A22"/>
    <w:rsid w:val="008D49B4"/>
    <w:rsid w:val="008D7498"/>
    <w:rsid w:val="008E3B37"/>
    <w:rsid w:val="008F12D5"/>
    <w:rsid w:val="008F1CBF"/>
    <w:rsid w:val="008F79CE"/>
    <w:rsid w:val="00900E45"/>
    <w:rsid w:val="00902592"/>
    <w:rsid w:val="00905A62"/>
    <w:rsid w:val="00910101"/>
    <w:rsid w:val="00913BB4"/>
    <w:rsid w:val="009223EE"/>
    <w:rsid w:val="009247D2"/>
    <w:rsid w:val="009254E7"/>
    <w:rsid w:val="0092618F"/>
    <w:rsid w:val="00927EA1"/>
    <w:rsid w:val="00932E96"/>
    <w:rsid w:val="0093307E"/>
    <w:rsid w:val="009418E6"/>
    <w:rsid w:val="00941D2D"/>
    <w:rsid w:val="0094235F"/>
    <w:rsid w:val="0094279F"/>
    <w:rsid w:val="009441F7"/>
    <w:rsid w:val="00946B98"/>
    <w:rsid w:val="00947050"/>
    <w:rsid w:val="0095052A"/>
    <w:rsid w:val="00950EE5"/>
    <w:rsid w:val="00952874"/>
    <w:rsid w:val="00957E14"/>
    <w:rsid w:val="00962D90"/>
    <w:rsid w:val="00965041"/>
    <w:rsid w:val="009658F0"/>
    <w:rsid w:val="00971655"/>
    <w:rsid w:val="00971C63"/>
    <w:rsid w:val="0097394A"/>
    <w:rsid w:val="009743AB"/>
    <w:rsid w:val="00977D2D"/>
    <w:rsid w:val="0098503B"/>
    <w:rsid w:val="0099079E"/>
    <w:rsid w:val="009909A2"/>
    <w:rsid w:val="009917C7"/>
    <w:rsid w:val="009960B9"/>
    <w:rsid w:val="009A1E1E"/>
    <w:rsid w:val="009A29B5"/>
    <w:rsid w:val="009A2BB8"/>
    <w:rsid w:val="009A3318"/>
    <w:rsid w:val="009A4AE9"/>
    <w:rsid w:val="009A4CBF"/>
    <w:rsid w:val="009A6DCE"/>
    <w:rsid w:val="009B04E9"/>
    <w:rsid w:val="009B4FE9"/>
    <w:rsid w:val="009B637A"/>
    <w:rsid w:val="009B7378"/>
    <w:rsid w:val="009B784F"/>
    <w:rsid w:val="009B7ED9"/>
    <w:rsid w:val="009C71D5"/>
    <w:rsid w:val="009D00C4"/>
    <w:rsid w:val="009D4938"/>
    <w:rsid w:val="009D7ECF"/>
    <w:rsid w:val="009E4047"/>
    <w:rsid w:val="009E5905"/>
    <w:rsid w:val="009E5CF9"/>
    <w:rsid w:val="009F6AC3"/>
    <w:rsid w:val="009F7CE4"/>
    <w:rsid w:val="00A00197"/>
    <w:rsid w:val="00A0233C"/>
    <w:rsid w:val="00A040C9"/>
    <w:rsid w:val="00A0563B"/>
    <w:rsid w:val="00A107A2"/>
    <w:rsid w:val="00A11162"/>
    <w:rsid w:val="00A131FB"/>
    <w:rsid w:val="00A20CCD"/>
    <w:rsid w:val="00A22573"/>
    <w:rsid w:val="00A227F7"/>
    <w:rsid w:val="00A23C18"/>
    <w:rsid w:val="00A24E9A"/>
    <w:rsid w:val="00A2518F"/>
    <w:rsid w:val="00A2532A"/>
    <w:rsid w:val="00A3143E"/>
    <w:rsid w:val="00A315EC"/>
    <w:rsid w:val="00A337A1"/>
    <w:rsid w:val="00A33A19"/>
    <w:rsid w:val="00A40E2A"/>
    <w:rsid w:val="00A40E6C"/>
    <w:rsid w:val="00A41D58"/>
    <w:rsid w:val="00A43227"/>
    <w:rsid w:val="00A464B3"/>
    <w:rsid w:val="00A469BA"/>
    <w:rsid w:val="00A46CCD"/>
    <w:rsid w:val="00A5068A"/>
    <w:rsid w:val="00A525EA"/>
    <w:rsid w:val="00A60D13"/>
    <w:rsid w:val="00A65133"/>
    <w:rsid w:val="00A652C5"/>
    <w:rsid w:val="00A654BA"/>
    <w:rsid w:val="00A855F4"/>
    <w:rsid w:val="00A85C5A"/>
    <w:rsid w:val="00A936D9"/>
    <w:rsid w:val="00A95107"/>
    <w:rsid w:val="00A96A08"/>
    <w:rsid w:val="00AA0161"/>
    <w:rsid w:val="00AA1107"/>
    <w:rsid w:val="00AA576B"/>
    <w:rsid w:val="00AA7236"/>
    <w:rsid w:val="00AB1D08"/>
    <w:rsid w:val="00AB4345"/>
    <w:rsid w:val="00AB43D5"/>
    <w:rsid w:val="00AB5BD7"/>
    <w:rsid w:val="00AC0135"/>
    <w:rsid w:val="00AC070D"/>
    <w:rsid w:val="00AC1B94"/>
    <w:rsid w:val="00AC1D36"/>
    <w:rsid w:val="00AC394B"/>
    <w:rsid w:val="00AC63A7"/>
    <w:rsid w:val="00AD0616"/>
    <w:rsid w:val="00AD0A5C"/>
    <w:rsid w:val="00AD34FF"/>
    <w:rsid w:val="00AD38B9"/>
    <w:rsid w:val="00AD4DE6"/>
    <w:rsid w:val="00AD50D2"/>
    <w:rsid w:val="00AD54E9"/>
    <w:rsid w:val="00AD65C9"/>
    <w:rsid w:val="00AD68E9"/>
    <w:rsid w:val="00AD779C"/>
    <w:rsid w:val="00AE2159"/>
    <w:rsid w:val="00AE22FD"/>
    <w:rsid w:val="00AE5913"/>
    <w:rsid w:val="00AE6DBC"/>
    <w:rsid w:val="00AE6FB3"/>
    <w:rsid w:val="00AF1143"/>
    <w:rsid w:val="00AF264A"/>
    <w:rsid w:val="00AF3E95"/>
    <w:rsid w:val="00AF5F7A"/>
    <w:rsid w:val="00AF7C67"/>
    <w:rsid w:val="00B0066B"/>
    <w:rsid w:val="00B015A2"/>
    <w:rsid w:val="00B02460"/>
    <w:rsid w:val="00B131D7"/>
    <w:rsid w:val="00B15FE9"/>
    <w:rsid w:val="00B16C03"/>
    <w:rsid w:val="00B21FBA"/>
    <w:rsid w:val="00B22E4A"/>
    <w:rsid w:val="00B26AD4"/>
    <w:rsid w:val="00B31CE6"/>
    <w:rsid w:val="00B33688"/>
    <w:rsid w:val="00B33B4A"/>
    <w:rsid w:val="00B369B6"/>
    <w:rsid w:val="00B50C46"/>
    <w:rsid w:val="00B5102F"/>
    <w:rsid w:val="00B51776"/>
    <w:rsid w:val="00B51883"/>
    <w:rsid w:val="00B540F1"/>
    <w:rsid w:val="00B57574"/>
    <w:rsid w:val="00B6144E"/>
    <w:rsid w:val="00B61FD4"/>
    <w:rsid w:val="00B62EC6"/>
    <w:rsid w:val="00B674DB"/>
    <w:rsid w:val="00B72E3E"/>
    <w:rsid w:val="00B75096"/>
    <w:rsid w:val="00B80FE1"/>
    <w:rsid w:val="00B82E8D"/>
    <w:rsid w:val="00B878DD"/>
    <w:rsid w:val="00B90801"/>
    <w:rsid w:val="00B9264D"/>
    <w:rsid w:val="00B935E4"/>
    <w:rsid w:val="00B93CD7"/>
    <w:rsid w:val="00B94D99"/>
    <w:rsid w:val="00B95499"/>
    <w:rsid w:val="00B97E98"/>
    <w:rsid w:val="00BA0DE0"/>
    <w:rsid w:val="00BA1CE5"/>
    <w:rsid w:val="00BA64D9"/>
    <w:rsid w:val="00BB3FA1"/>
    <w:rsid w:val="00BB4795"/>
    <w:rsid w:val="00BB526A"/>
    <w:rsid w:val="00BB5CF6"/>
    <w:rsid w:val="00BB62BB"/>
    <w:rsid w:val="00BB65C5"/>
    <w:rsid w:val="00BC05C5"/>
    <w:rsid w:val="00BC195E"/>
    <w:rsid w:val="00BD04BE"/>
    <w:rsid w:val="00BD439A"/>
    <w:rsid w:val="00BD4FB0"/>
    <w:rsid w:val="00BD7647"/>
    <w:rsid w:val="00BE0A09"/>
    <w:rsid w:val="00BE1093"/>
    <w:rsid w:val="00BE4F86"/>
    <w:rsid w:val="00BE5B6C"/>
    <w:rsid w:val="00BE6ADF"/>
    <w:rsid w:val="00BE6F28"/>
    <w:rsid w:val="00BF1A73"/>
    <w:rsid w:val="00BF29FA"/>
    <w:rsid w:val="00BF3839"/>
    <w:rsid w:val="00BF503D"/>
    <w:rsid w:val="00BF6919"/>
    <w:rsid w:val="00C010AF"/>
    <w:rsid w:val="00C04D2B"/>
    <w:rsid w:val="00C06F8B"/>
    <w:rsid w:val="00C07880"/>
    <w:rsid w:val="00C1268E"/>
    <w:rsid w:val="00C16F84"/>
    <w:rsid w:val="00C260DD"/>
    <w:rsid w:val="00C276B6"/>
    <w:rsid w:val="00C278CE"/>
    <w:rsid w:val="00C33357"/>
    <w:rsid w:val="00C35C97"/>
    <w:rsid w:val="00C37289"/>
    <w:rsid w:val="00C37E32"/>
    <w:rsid w:val="00C42C1C"/>
    <w:rsid w:val="00C659EC"/>
    <w:rsid w:val="00C721DE"/>
    <w:rsid w:val="00C7272F"/>
    <w:rsid w:val="00C737C5"/>
    <w:rsid w:val="00C73CBD"/>
    <w:rsid w:val="00C740E2"/>
    <w:rsid w:val="00C74781"/>
    <w:rsid w:val="00C85C2E"/>
    <w:rsid w:val="00C95728"/>
    <w:rsid w:val="00C97229"/>
    <w:rsid w:val="00C97335"/>
    <w:rsid w:val="00CA3540"/>
    <w:rsid w:val="00CA6DED"/>
    <w:rsid w:val="00CB05ED"/>
    <w:rsid w:val="00CC1C94"/>
    <w:rsid w:val="00CC36A9"/>
    <w:rsid w:val="00CC4157"/>
    <w:rsid w:val="00CC49D4"/>
    <w:rsid w:val="00CC663E"/>
    <w:rsid w:val="00CC71E8"/>
    <w:rsid w:val="00CD0CA8"/>
    <w:rsid w:val="00CD63F5"/>
    <w:rsid w:val="00CE28EE"/>
    <w:rsid w:val="00CE52A7"/>
    <w:rsid w:val="00CE5D01"/>
    <w:rsid w:val="00CE6F5A"/>
    <w:rsid w:val="00CE7E10"/>
    <w:rsid w:val="00CF28DF"/>
    <w:rsid w:val="00CF28F3"/>
    <w:rsid w:val="00CF32AA"/>
    <w:rsid w:val="00CF42CF"/>
    <w:rsid w:val="00CF730C"/>
    <w:rsid w:val="00D02FE5"/>
    <w:rsid w:val="00D06830"/>
    <w:rsid w:val="00D07489"/>
    <w:rsid w:val="00D102E9"/>
    <w:rsid w:val="00D14C4C"/>
    <w:rsid w:val="00D1688F"/>
    <w:rsid w:val="00D17464"/>
    <w:rsid w:val="00D2117F"/>
    <w:rsid w:val="00D21362"/>
    <w:rsid w:val="00D246C2"/>
    <w:rsid w:val="00D249DF"/>
    <w:rsid w:val="00D25317"/>
    <w:rsid w:val="00D25C7F"/>
    <w:rsid w:val="00D30C24"/>
    <w:rsid w:val="00D32E08"/>
    <w:rsid w:val="00D33D35"/>
    <w:rsid w:val="00D36144"/>
    <w:rsid w:val="00D3716F"/>
    <w:rsid w:val="00D41924"/>
    <w:rsid w:val="00D4255A"/>
    <w:rsid w:val="00D46AC7"/>
    <w:rsid w:val="00D4780E"/>
    <w:rsid w:val="00D50C51"/>
    <w:rsid w:val="00D62583"/>
    <w:rsid w:val="00D6353C"/>
    <w:rsid w:val="00D63B7E"/>
    <w:rsid w:val="00D6667C"/>
    <w:rsid w:val="00D66E8B"/>
    <w:rsid w:val="00D703A7"/>
    <w:rsid w:val="00D71756"/>
    <w:rsid w:val="00D719C1"/>
    <w:rsid w:val="00D71AC0"/>
    <w:rsid w:val="00D72154"/>
    <w:rsid w:val="00D805DB"/>
    <w:rsid w:val="00D818B1"/>
    <w:rsid w:val="00D85715"/>
    <w:rsid w:val="00D8706C"/>
    <w:rsid w:val="00D90972"/>
    <w:rsid w:val="00D934DF"/>
    <w:rsid w:val="00D94FB6"/>
    <w:rsid w:val="00D96BE0"/>
    <w:rsid w:val="00D97586"/>
    <w:rsid w:val="00DA0A0B"/>
    <w:rsid w:val="00DA22C0"/>
    <w:rsid w:val="00DA4AD2"/>
    <w:rsid w:val="00DA4C62"/>
    <w:rsid w:val="00DA5FD6"/>
    <w:rsid w:val="00DB18D1"/>
    <w:rsid w:val="00DB1F71"/>
    <w:rsid w:val="00DB4010"/>
    <w:rsid w:val="00DB5D23"/>
    <w:rsid w:val="00DB69B1"/>
    <w:rsid w:val="00DB6A17"/>
    <w:rsid w:val="00DB70BE"/>
    <w:rsid w:val="00DC2C51"/>
    <w:rsid w:val="00DC3155"/>
    <w:rsid w:val="00DC3433"/>
    <w:rsid w:val="00DC47AB"/>
    <w:rsid w:val="00DC7ED4"/>
    <w:rsid w:val="00DD163A"/>
    <w:rsid w:val="00DD43AF"/>
    <w:rsid w:val="00DD4A9D"/>
    <w:rsid w:val="00DD5520"/>
    <w:rsid w:val="00DD6019"/>
    <w:rsid w:val="00DD68A3"/>
    <w:rsid w:val="00DE3394"/>
    <w:rsid w:val="00DE3D3C"/>
    <w:rsid w:val="00DE5C9D"/>
    <w:rsid w:val="00DE6B15"/>
    <w:rsid w:val="00DE716B"/>
    <w:rsid w:val="00DF16C2"/>
    <w:rsid w:val="00DF20E8"/>
    <w:rsid w:val="00DF26E5"/>
    <w:rsid w:val="00DF5231"/>
    <w:rsid w:val="00E00029"/>
    <w:rsid w:val="00E0016E"/>
    <w:rsid w:val="00E00F76"/>
    <w:rsid w:val="00E01197"/>
    <w:rsid w:val="00E0393A"/>
    <w:rsid w:val="00E05DE3"/>
    <w:rsid w:val="00E13CF0"/>
    <w:rsid w:val="00E14CE8"/>
    <w:rsid w:val="00E16658"/>
    <w:rsid w:val="00E20C02"/>
    <w:rsid w:val="00E21E75"/>
    <w:rsid w:val="00E274B8"/>
    <w:rsid w:val="00E30131"/>
    <w:rsid w:val="00E45711"/>
    <w:rsid w:val="00E51407"/>
    <w:rsid w:val="00E519DC"/>
    <w:rsid w:val="00E56C5B"/>
    <w:rsid w:val="00E56D67"/>
    <w:rsid w:val="00E57343"/>
    <w:rsid w:val="00E62CA9"/>
    <w:rsid w:val="00E807DA"/>
    <w:rsid w:val="00E823E3"/>
    <w:rsid w:val="00E841C2"/>
    <w:rsid w:val="00E84E3A"/>
    <w:rsid w:val="00E9715A"/>
    <w:rsid w:val="00EA05AF"/>
    <w:rsid w:val="00EA2114"/>
    <w:rsid w:val="00EB67CD"/>
    <w:rsid w:val="00EB78AE"/>
    <w:rsid w:val="00EC43B9"/>
    <w:rsid w:val="00EC50C5"/>
    <w:rsid w:val="00ED17CE"/>
    <w:rsid w:val="00ED2768"/>
    <w:rsid w:val="00ED33C6"/>
    <w:rsid w:val="00ED4D69"/>
    <w:rsid w:val="00ED613A"/>
    <w:rsid w:val="00ED7903"/>
    <w:rsid w:val="00EE1C64"/>
    <w:rsid w:val="00EE362F"/>
    <w:rsid w:val="00EE3E5C"/>
    <w:rsid w:val="00EE5773"/>
    <w:rsid w:val="00EE7F17"/>
    <w:rsid w:val="00EF0E19"/>
    <w:rsid w:val="00EF556E"/>
    <w:rsid w:val="00EF5BB7"/>
    <w:rsid w:val="00EF5C27"/>
    <w:rsid w:val="00EF6D74"/>
    <w:rsid w:val="00F06386"/>
    <w:rsid w:val="00F07190"/>
    <w:rsid w:val="00F1144B"/>
    <w:rsid w:val="00F114AE"/>
    <w:rsid w:val="00F117AD"/>
    <w:rsid w:val="00F166AB"/>
    <w:rsid w:val="00F21568"/>
    <w:rsid w:val="00F22A17"/>
    <w:rsid w:val="00F24319"/>
    <w:rsid w:val="00F308E8"/>
    <w:rsid w:val="00F33212"/>
    <w:rsid w:val="00F34588"/>
    <w:rsid w:val="00F34B9C"/>
    <w:rsid w:val="00F356A4"/>
    <w:rsid w:val="00F36989"/>
    <w:rsid w:val="00F4216D"/>
    <w:rsid w:val="00F43CA0"/>
    <w:rsid w:val="00F509EE"/>
    <w:rsid w:val="00F52B0F"/>
    <w:rsid w:val="00F55030"/>
    <w:rsid w:val="00F5746D"/>
    <w:rsid w:val="00F613C3"/>
    <w:rsid w:val="00F63CCF"/>
    <w:rsid w:val="00F65AA9"/>
    <w:rsid w:val="00F7696F"/>
    <w:rsid w:val="00F81705"/>
    <w:rsid w:val="00F8209B"/>
    <w:rsid w:val="00F87762"/>
    <w:rsid w:val="00F96525"/>
    <w:rsid w:val="00F97CD9"/>
    <w:rsid w:val="00FA0576"/>
    <w:rsid w:val="00FA55B8"/>
    <w:rsid w:val="00FA5FE6"/>
    <w:rsid w:val="00FA6FE3"/>
    <w:rsid w:val="00FA7F23"/>
    <w:rsid w:val="00FB0110"/>
    <w:rsid w:val="00FB50B4"/>
    <w:rsid w:val="00FB5FBD"/>
    <w:rsid w:val="00FB7E51"/>
    <w:rsid w:val="00FC0331"/>
    <w:rsid w:val="00FC045A"/>
    <w:rsid w:val="00FC40B7"/>
    <w:rsid w:val="00FC5CAD"/>
    <w:rsid w:val="00FC5DC4"/>
    <w:rsid w:val="00FD0056"/>
    <w:rsid w:val="00FD07CE"/>
    <w:rsid w:val="00FD4B97"/>
    <w:rsid w:val="00FD5932"/>
    <w:rsid w:val="00FD5CBE"/>
    <w:rsid w:val="00FE4C08"/>
    <w:rsid w:val="00FE5511"/>
    <w:rsid w:val="00FE55EB"/>
    <w:rsid w:val="00FF0645"/>
    <w:rsid w:val="00FF3784"/>
    <w:rsid w:val="00FF42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style="mso-width-relative:margin;mso-height-relative:margin">
      <v:stroke dashstyle="1 1" weight="2.25pt" endcap="round"/>
      <v:textbox style="mso-fit-shape-to-text:t"/>
      <o:colormru v:ext="edit" colors="white,#39f,#0c0,red,#06f,#f2f2f2,#38ce4a,#b2ecb9"/>
      <o:colormenu v:ext="edit" fillcolor="white" strokecolor="#b2ecb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9"/>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21798E"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21798E"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21798E" w:themeColor="accent1" w:themeShade="BF"/>
    </w:rPr>
  </w:style>
  <w:style w:type="character" w:styleId="PageNumber">
    <w:name w:val="page number"/>
    <w:basedOn w:val="DefaultParagraphFont"/>
    <w:rsid w:val="00CC49D4"/>
    <w:rPr>
      <w:rFonts w:ascii="Gautami" w:hAnsi="Gautami"/>
      <w:sz w:val="18"/>
    </w:rPr>
  </w:style>
  <w:style w:type="character" w:styleId="FollowedHyperlink">
    <w:name w:val="FollowedHyperlink"/>
    <w:basedOn w:val="DefaultParagraphFont"/>
    <w:uiPriority w:val="99"/>
    <w:semiHidden/>
    <w:unhideWhenUsed/>
    <w:rsid w:val="009A29B5"/>
    <w:rPr>
      <w:color w:val="44B9E8" w:themeColor="followedHyperlink"/>
      <w:u w:val="single"/>
    </w:rPr>
  </w:style>
  <w:style w:type="paragraph" w:styleId="Revision">
    <w:name w:val="Revision"/>
    <w:hidden/>
    <w:uiPriority w:val="99"/>
    <w:semiHidden/>
    <w:rsid w:val="00BB5CF6"/>
    <w:rPr>
      <w:lang w:eastAsia="en-US"/>
    </w:rPr>
  </w:style>
  <w:style w:type="paragraph" w:styleId="NormalWeb">
    <w:name w:val="Normal (Web)"/>
    <w:basedOn w:val="Normal"/>
    <w:uiPriority w:val="99"/>
    <w:semiHidden/>
    <w:unhideWhenUsed/>
    <w:locked/>
    <w:rsid w:val="009B04E9"/>
    <w:rPr>
      <w:rFonts w:ascii="Times New Roman" w:hAnsi="Times New Roman"/>
      <w:sz w:val="24"/>
      <w:szCs w:val="24"/>
    </w:rPr>
  </w:style>
  <w:style w:type="paragraph" w:customStyle="1" w:styleId="AERheading2">
    <w:name w:val="AER heading 2"/>
    <w:basedOn w:val="Heading2"/>
    <w:next w:val="AERbodytext"/>
    <w:rsid w:val="00134EED"/>
    <w:pPr>
      <w:keepLines w:val="0"/>
      <w:numPr>
        <w:ilvl w:val="1"/>
        <w:numId w:val="10"/>
      </w:numPr>
      <w:spacing w:before="240" w:line="240" w:lineRule="auto"/>
    </w:pPr>
    <w:rPr>
      <w:rFonts w:ascii="Times New Roman" w:hAnsi="Times New Roman" w:cs="Arial"/>
      <w:bCs/>
      <w:iCs/>
      <w:color w:val="auto"/>
      <w:sz w:val="30"/>
      <w:szCs w:val="28"/>
      <w:lang w:eastAsia="en-AU"/>
    </w:rPr>
  </w:style>
  <w:style w:type="paragraph" w:customStyle="1" w:styleId="AERheading3">
    <w:name w:val="AER heading 3"/>
    <w:basedOn w:val="Heading3"/>
    <w:next w:val="AERbodytext"/>
    <w:rsid w:val="00134EED"/>
    <w:pPr>
      <w:keepLines w:val="0"/>
      <w:numPr>
        <w:ilvl w:val="2"/>
        <w:numId w:val="10"/>
      </w:numPr>
      <w:spacing w:before="240" w:line="240" w:lineRule="auto"/>
    </w:pPr>
    <w:rPr>
      <w:rFonts w:ascii="Arial Bold" w:hAnsi="Arial Bold" w:cs="Arial"/>
      <w:color w:val="auto"/>
      <w:szCs w:val="24"/>
      <w:lang w:eastAsia="en-AU"/>
    </w:rPr>
  </w:style>
  <w:style w:type="paragraph" w:customStyle="1" w:styleId="AERheading4">
    <w:name w:val="AER heading 4"/>
    <w:basedOn w:val="Heading4"/>
    <w:next w:val="AERbodytext"/>
    <w:rsid w:val="00134EED"/>
    <w:pPr>
      <w:numPr>
        <w:ilvl w:val="3"/>
        <w:numId w:val="10"/>
      </w:numPr>
      <w:spacing w:before="240" w:after="120" w:line="240" w:lineRule="auto"/>
      <w:jc w:val="left"/>
    </w:pPr>
    <w:rPr>
      <w:rFonts w:ascii="Times New Roman" w:hAnsi="Times New Roman"/>
      <w:bCs/>
      <w:iCs w:val="0"/>
      <w:color w:val="auto"/>
      <w:szCs w:val="28"/>
      <w:lang w:eastAsia="en-AU"/>
    </w:rPr>
  </w:style>
  <w:style w:type="paragraph" w:customStyle="1" w:styleId="AERtableheading">
    <w:name w:val="AER table heading"/>
    <w:basedOn w:val="Normal"/>
    <w:next w:val="Normal"/>
    <w:rsid w:val="00134EED"/>
    <w:pPr>
      <w:keepNext/>
      <w:numPr>
        <w:ilvl w:val="4"/>
        <w:numId w:val="10"/>
      </w:numPr>
      <w:spacing w:before="240" w:after="120" w:line="240" w:lineRule="auto"/>
      <w:jc w:val="left"/>
      <w:outlineLvl w:val="3"/>
    </w:pPr>
    <w:rPr>
      <w:rFonts w:ascii="Times New Roman" w:eastAsia="Times New Roman" w:hAnsi="Times New Roman"/>
      <w:b/>
      <w:sz w:val="22"/>
      <w:szCs w:val="24"/>
    </w:rPr>
  </w:style>
  <w:style w:type="paragraph" w:customStyle="1" w:styleId="AERfigureheading">
    <w:name w:val="AER figure heading"/>
    <w:basedOn w:val="Normal"/>
    <w:next w:val="AERbodytext"/>
    <w:rsid w:val="00134EED"/>
    <w:pPr>
      <w:keepNext/>
      <w:numPr>
        <w:ilvl w:val="5"/>
        <w:numId w:val="10"/>
      </w:numPr>
      <w:spacing w:before="240" w:after="120" w:line="240" w:lineRule="auto"/>
      <w:jc w:val="left"/>
      <w:outlineLvl w:val="3"/>
    </w:pPr>
    <w:rPr>
      <w:rFonts w:ascii="Times New Roman" w:eastAsia="Times New Roman" w:hAnsi="Times New Roman"/>
      <w:b/>
      <w:sz w:val="22"/>
      <w:szCs w:val="24"/>
    </w:rPr>
  </w:style>
  <w:style w:type="paragraph" w:customStyle="1" w:styleId="AERtableheading-unnumbered">
    <w:name w:val="AER table heading - unnumbered"/>
    <w:basedOn w:val="AERtableheading"/>
    <w:rsid w:val="00134EED"/>
    <w:pPr>
      <w:numPr>
        <w:ilvl w:val="6"/>
      </w:numPr>
    </w:pPr>
  </w:style>
  <w:style w:type="paragraph" w:customStyle="1" w:styleId="AERfigureheading-unnumbered">
    <w:name w:val="AER figure heading - unnumbered"/>
    <w:basedOn w:val="AERfigureheading"/>
    <w:rsid w:val="00134EED"/>
    <w:pPr>
      <w:numPr>
        <w:ilvl w:val="7"/>
      </w:numPr>
    </w:pPr>
  </w:style>
  <w:style w:type="paragraph" w:customStyle="1" w:styleId="AERheading1">
    <w:name w:val="AER heading 1"/>
    <w:basedOn w:val="Heading1"/>
    <w:next w:val="AERbodytext"/>
    <w:rsid w:val="00134EED"/>
    <w:pPr>
      <w:keepLines w:val="0"/>
      <w:numPr>
        <w:ilvl w:val="0"/>
        <w:numId w:val="10"/>
      </w:numPr>
      <w:spacing w:before="240" w:line="240" w:lineRule="auto"/>
    </w:pPr>
    <w:rPr>
      <w:rFonts w:ascii="Arial" w:hAnsi="Arial" w:cs="Arial"/>
      <w:color w:val="auto"/>
      <w:kern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88950">
      <w:bodyDiv w:val="1"/>
      <w:marLeft w:val="0"/>
      <w:marRight w:val="0"/>
      <w:marTop w:val="0"/>
      <w:marBottom w:val="0"/>
      <w:divBdr>
        <w:top w:val="none" w:sz="0" w:space="0" w:color="auto"/>
        <w:left w:val="none" w:sz="0" w:space="0" w:color="auto"/>
        <w:bottom w:val="none" w:sz="0" w:space="0" w:color="auto"/>
        <w:right w:val="none" w:sz="0" w:space="0" w:color="auto"/>
      </w:divBdr>
    </w:div>
    <w:div w:id="701906631">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214582918">
      <w:bodyDiv w:val="1"/>
      <w:marLeft w:val="0"/>
      <w:marRight w:val="0"/>
      <w:marTop w:val="0"/>
      <w:marBottom w:val="0"/>
      <w:divBdr>
        <w:top w:val="none" w:sz="0" w:space="0" w:color="auto"/>
        <w:left w:val="none" w:sz="0" w:space="0" w:color="auto"/>
        <w:bottom w:val="none" w:sz="0" w:space="0" w:color="auto"/>
        <w:right w:val="none" w:sz="0" w:space="0" w:color="auto"/>
      </w:divBdr>
    </w:div>
    <w:div w:id="1419063370">
      <w:bodyDiv w:val="1"/>
      <w:marLeft w:val="0"/>
      <w:marRight w:val="0"/>
      <w:marTop w:val="0"/>
      <w:marBottom w:val="0"/>
      <w:divBdr>
        <w:top w:val="none" w:sz="0" w:space="0" w:color="auto"/>
        <w:left w:val="none" w:sz="0" w:space="0" w:color="auto"/>
        <w:bottom w:val="none" w:sz="0" w:space="0" w:color="auto"/>
        <w:right w:val="none" w:sz="0" w:space="0" w:color="auto"/>
      </w:divBdr>
    </w:div>
    <w:div w:id="17032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node/18400" TargetMode="Externa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27587" TargetMode="Externa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7684-A46E-4F2F-B975-374D5D81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26A6A8CB.dotm</Template>
  <TotalTime>0</TotalTime>
  <Pages>10</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2014-12-08T03:58:00Z</dcterms:created>
  <dcterms:modified xsi:type="dcterms:W3CDTF">2014-12-08T04:00:00Z</dcterms:modified>
</cp:coreProperties>
</file>