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AF4" w:rsidRDefault="00752397" w:rsidP="00C7068C">
      <w:pPr>
        <w:rPr>
          <w:b/>
          <w:color w:val="076A92" w:themeColor="text1"/>
          <w:sz w:val="24"/>
          <w:szCs w:val="20"/>
        </w:rPr>
      </w:pPr>
      <w:bookmarkStart w:id="0" w:name="_GoBack"/>
      <w:bookmarkEnd w:id="0"/>
      <w:r w:rsidRPr="00290C63">
        <w:rPr>
          <w:noProof/>
          <w:lang w:eastAsia="en-AU"/>
        </w:rPr>
        <w:drawing>
          <wp:anchor distT="0" distB="0" distL="114300" distR="114300" simplePos="0" relativeHeight="251685888" behindDoc="1" locked="0" layoutInCell="1" allowOverlap="1" wp14:anchorId="14292A23" wp14:editId="0A424E45">
            <wp:simplePos x="0" y="0"/>
            <wp:positionH relativeFrom="column">
              <wp:posOffset>-1143635</wp:posOffset>
            </wp:positionH>
            <wp:positionV relativeFrom="paragraph">
              <wp:posOffset>-921385</wp:posOffset>
            </wp:positionV>
            <wp:extent cx="7796530" cy="10925175"/>
            <wp:effectExtent l="0" t="0" r="0" b="9525"/>
            <wp:wrapNone/>
            <wp:docPr id="36" name="Picture 36"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96530" cy="10925175"/>
                    </a:xfrm>
                    <a:prstGeom prst="rect">
                      <a:avLst/>
                    </a:prstGeom>
                    <a:noFill/>
                  </pic:spPr>
                </pic:pic>
              </a:graphicData>
            </a:graphic>
            <wp14:sizeRelH relativeFrom="page">
              <wp14:pctWidth>0</wp14:pctWidth>
            </wp14:sizeRelH>
            <wp14:sizeRelV relativeFrom="page">
              <wp14:pctHeight>0</wp14:pctHeight>
            </wp14:sizeRelV>
          </wp:anchor>
        </w:drawing>
      </w:r>
      <w:r w:rsidR="00400438">
        <w:rPr>
          <w:b/>
          <w:color w:val="076A92" w:themeColor="text1"/>
          <w:sz w:val="24"/>
          <w:szCs w:val="20"/>
        </w:rPr>
        <w:t>1</w:t>
      </w:r>
      <w:r w:rsidR="00E44938">
        <w:rPr>
          <w:b/>
          <w:color w:val="076A92" w:themeColor="text1"/>
          <w:sz w:val="24"/>
          <w:szCs w:val="20"/>
        </w:rPr>
        <w:tab/>
      </w:r>
    </w:p>
    <w:sdt>
      <w:sdtPr>
        <w:rPr>
          <w:rFonts w:eastAsiaTheme="majorEastAsia" w:cstheme="majorBidi"/>
          <w:b/>
          <w:bCs/>
          <w:color w:val="076A92" w:themeColor="text1"/>
          <w:sz w:val="24"/>
          <w:szCs w:val="20"/>
        </w:rPr>
        <w:id w:val="1099676627"/>
        <w:docPartObj>
          <w:docPartGallery w:val="Cover Pages"/>
          <w:docPartUnique/>
        </w:docPartObj>
      </w:sdtPr>
      <w:sdtEndPr>
        <w:rPr>
          <w:rFonts w:eastAsiaTheme="minorHAnsi" w:cstheme="minorBidi"/>
          <w:b w:val="0"/>
          <w:bCs w:val="0"/>
          <w:color w:val="auto"/>
          <w:sz w:val="22"/>
          <w:szCs w:val="22"/>
        </w:rPr>
      </w:sdtEndPr>
      <w:sdtContent>
        <w:p w:rsidR="00C7068C" w:rsidRDefault="00C7068C" w:rsidP="00C7068C">
          <w:r w:rsidRPr="004300F1">
            <w:t xml:space="preserve"> </w:t>
          </w:r>
        </w:p>
        <w:sdt>
          <w:sdtPr>
            <w:id w:val="-244801280"/>
            <w:docPartObj>
              <w:docPartGallery w:val="Cover Pages"/>
              <w:docPartUnique/>
            </w:docPartObj>
          </w:sdtPr>
          <w:sdtEndPr>
            <w:rPr>
              <w:rFonts w:eastAsiaTheme="majorEastAsia" w:cstheme="majorBidi"/>
              <w:b/>
              <w:noProof/>
              <w:sz w:val="72"/>
              <w:szCs w:val="72"/>
              <w:lang w:eastAsia="en-AU"/>
            </w:rPr>
          </w:sdtEndPr>
          <w:sdtContent>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654F52" w:rsidP="00C7068C">
              <w:pPr>
                <w:pStyle w:val="ReportTitle"/>
              </w:pPr>
              <w:r>
                <w:t>S</w:t>
              </w:r>
              <w:r w:rsidR="00CD6876">
                <w:t>ignificant price variation report</w:t>
              </w:r>
            </w:p>
            <w:p w:rsidR="00C7068C" w:rsidRDefault="00C7068C" w:rsidP="00C7068C">
              <w:pPr>
                <w:pStyle w:val="ReportSubtitle"/>
              </w:pPr>
            </w:p>
            <w:p w:rsidR="00F46E8C" w:rsidRDefault="00F46E8C" w:rsidP="00C7068C">
              <w:pPr>
                <w:pStyle w:val="ReportSubtitle"/>
              </w:pPr>
              <w:r>
                <w:t>Victorian gas wholesale market</w:t>
              </w:r>
            </w:p>
            <w:p w:rsidR="00F46E8C" w:rsidRDefault="00F46E8C" w:rsidP="00C7068C">
              <w:pPr>
                <w:pStyle w:val="ReportSubtitle"/>
              </w:pPr>
            </w:p>
            <w:p w:rsidR="00C7068C" w:rsidRPr="00DB723B" w:rsidRDefault="00A56240" w:rsidP="00C7068C">
              <w:pPr>
                <w:pStyle w:val="ReportSubtitle"/>
              </w:pPr>
              <w:r>
                <w:t>Negative Ancillary Payments</w:t>
              </w:r>
              <w:r w:rsidR="00C7068C">
                <w:t xml:space="preserve"> </w:t>
              </w:r>
              <w:r w:rsidR="008634F6">
                <w:br/>
              </w:r>
              <w:r w:rsidR="006531C4">
                <w:t>1</w:t>
              </w:r>
              <w:r>
                <w:t>4</w:t>
              </w:r>
              <w:r w:rsidR="006531C4">
                <w:t xml:space="preserve"> </w:t>
              </w:r>
              <w:r w:rsidR="00832408">
                <w:t>October</w:t>
              </w:r>
              <w:r w:rsidR="00303022">
                <w:t xml:space="preserve"> 2016</w:t>
              </w:r>
            </w:p>
            <w:p w:rsidR="00C7068C" w:rsidRDefault="00C7068C" w:rsidP="00C7068C">
              <w:pPr>
                <w:pStyle w:val="ReportDate"/>
              </w:pPr>
            </w:p>
            <w:p w:rsidR="00C7068C" w:rsidRDefault="00C7068C" w:rsidP="00C7068C">
              <w:pPr>
                <w:pStyle w:val="ReportDate"/>
              </w:pPr>
            </w:p>
            <w:p w:rsidR="00C7068C" w:rsidRPr="00300AF1" w:rsidRDefault="00C217FC" w:rsidP="00C7068C">
              <w:pPr>
                <w:pStyle w:val="ReportDate"/>
              </w:pPr>
              <w:r>
                <w:t xml:space="preserve">10 </w:t>
              </w:r>
              <w:r w:rsidR="007A09E5">
                <w:t xml:space="preserve">March </w:t>
              </w:r>
              <w:r w:rsidR="00C7068C" w:rsidRPr="00311DB0">
                <w:t>201</w:t>
              </w:r>
              <w:r w:rsidR="007A09E5">
                <w:t>7</w:t>
              </w:r>
            </w:p>
            <w:p w:rsidR="00C7068C" w:rsidRPr="0015715D" w:rsidRDefault="00C7068C" w:rsidP="0015715D">
              <w:r w:rsidRPr="00DB723B">
                <w:br w:type="page"/>
              </w:r>
            </w:p>
          </w:sdtContent>
        </w:sdt>
        <w:p w:rsidR="00C7068C" w:rsidRDefault="0015715D" w:rsidP="00C7068C">
          <w:pPr>
            <w:spacing w:line="240" w:lineRule="auto"/>
          </w:pPr>
          <w:r>
            <w:lastRenderedPageBreak/>
            <w:t>© Commonwealth of Australia 201</w:t>
          </w:r>
          <w:r w:rsidR="00CD6876">
            <w:t>6</w:t>
          </w:r>
        </w:p>
        <w:p w:rsidR="00C7068C" w:rsidRDefault="00C7068C" w:rsidP="00C7068C">
          <w:pPr>
            <w:pStyle w:val="Copyright"/>
          </w:pPr>
          <w:r>
            <w:t>This work is copyright. In addition to any use permitted under the Copyright Act 1968, all material contained within this work is provided under a Creative Commons Attributions 3.0 Australia licence, with the exception of:</w:t>
          </w:r>
        </w:p>
        <w:p w:rsidR="00C7068C" w:rsidRDefault="00C7068C" w:rsidP="0090574A">
          <w:pPr>
            <w:pStyle w:val="StyleCopyrightBefore0pt"/>
            <w:numPr>
              <w:ilvl w:val="0"/>
              <w:numId w:val="22"/>
            </w:numPr>
          </w:pPr>
          <w:r>
            <w:t>the Commonwealth Coat of Arms</w:t>
          </w:r>
        </w:p>
        <w:p w:rsidR="00C7068C" w:rsidRDefault="00C7068C" w:rsidP="0090574A">
          <w:pPr>
            <w:pStyle w:val="StyleCopyrightBefore0pt"/>
            <w:numPr>
              <w:ilvl w:val="0"/>
              <w:numId w:val="22"/>
            </w:numPr>
          </w:pPr>
          <w:r>
            <w:t>the ACCC and AER logos</w:t>
          </w:r>
        </w:p>
        <w:p w:rsidR="00C7068C" w:rsidRPr="00B927D8" w:rsidRDefault="00C7068C" w:rsidP="0090574A">
          <w:pPr>
            <w:pStyle w:val="ListBullet"/>
            <w:numPr>
              <w:ilvl w:val="0"/>
              <w:numId w:val="22"/>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7068C" w:rsidRDefault="00C7068C" w:rsidP="00C7068C">
          <w:pPr>
            <w:pStyle w:val="Copyright"/>
            <w:jc w:val="lef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t xml:space="preserve">Canberra ACT 2601 </w:t>
          </w:r>
          <w:r>
            <w:br/>
            <w:t>or publishing.unit@accc.gov.au.</w:t>
          </w:r>
        </w:p>
        <w:p w:rsidR="00C7068C" w:rsidRDefault="00C7068C" w:rsidP="00C7068C">
          <w:pPr>
            <w:pStyle w:val="Copyright"/>
            <w:jc w:val="left"/>
          </w:pPr>
          <w:r>
            <w:t>Inquiries about this publication should be addressed to:</w:t>
          </w:r>
        </w:p>
        <w:p w:rsidR="00C7068C" w:rsidRDefault="00C7068C" w:rsidP="00C7068C">
          <w:pPr>
            <w:pStyle w:val="Copyright"/>
            <w:jc w:val="left"/>
          </w:pPr>
          <w:r>
            <w:t xml:space="preserve">Australian Energy </w:t>
          </w:r>
          <w:r w:rsidRPr="00F171E0">
            <w:t>Regulator</w:t>
          </w:r>
          <w:r>
            <w:br/>
            <w:t>GPO Box 520</w:t>
          </w:r>
          <w:r>
            <w:br/>
            <w:t>Melbourne</w:t>
          </w:r>
          <w:r w:rsidR="00D816CB">
            <w:t xml:space="preserve"> </w:t>
          </w:r>
          <w:r>
            <w:t>Vic</w:t>
          </w:r>
          <w:r w:rsidR="00D816CB">
            <w:t xml:space="preserve"> </w:t>
          </w:r>
          <w:r>
            <w:t>3001</w:t>
          </w:r>
        </w:p>
        <w:p w:rsidR="00C7068C" w:rsidRDefault="00C7068C" w:rsidP="00C7068C">
          <w:pPr>
            <w:pStyle w:val="Copyright"/>
            <w:jc w:val="left"/>
          </w:pPr>
          <w:r>
            <w:t>Tel: (03) 9290 1444</w:t>
          </w:r>
          <w:r>
            <w:br/>
            <w:t>Fax: (03) 9290 1457</w:t>
          </w:r>
        </w:p>
        <w:p w:rsidR="00C7068C" w:rsidRPr="00CC65AF" w:rsidRDefault="00C7068C" w:rsidP="00C7068C">
          <w:pPr>
            <w:pStyle w:val="Copyright"/>
            <w:jc w:val="left"/>
          </w:pPr>
          <w:r>
            <w:t xml:space="preserve">Email: </w:t>
          </w:r>
          <w:hyperlink r:id="rId11" w:history="1">
            <w:r w:rsidRPr="00D64888">
              <w:rPr>
                <w:rStyle w:val="Hyperlink"/>
              </w:rPr>
              <w:t>AERInquiry@aer.gov.au</w:t>
            </w:r>
          </w:hyperlink>
          <w:r>
            <w:rPr>
              <w:rStyle w:val="Hyperlink"/>
            </w:rPr>
            <w:br/>
          </w:r>
          <w:r w:rsidRPr="00CC65AF">
            <w:t>AER Referenc</w:t>
          </w:r>
          <w:r w:rsidRPr="0033044A">
            <w:t xml:space="preserve">e: </w:t>
          </w:r>
          <w:r w:rsidR="00751AFB">
            <w:t>6</w:t>
          </w:r>
          <w:r w:rsidR="00A56240">
            <w:t>1614</w:t>
          </w:r>
          <w:r w:rsidR="007976ED">
            <w:t>-</w:t>
          </w:r>
          <w:r w:rsidR="00FA2FA1">
            <w:rPr>
              <w:rFonts w:cs="Arial"/>
              <w:szCs w:val="18"/>
            </w:rPr>
            <w:t>D1</w:t>
          </w:r>
          <w:r w:rsidR="00A56240">
            <w:rPr>
              <w:rFonts w:cs="Arial"/>
              <w:szCs w:val="18"/>
            </w:rPr>
            <w:t>7</w:t>
          </w:r>
          <w:r w:rsidR="00FA2FA1">
            <w:rPr>
              <w:rFonts w:cs="Arial"/>
              <w:szCs w:val="18"/>
            </w:rPr>
            <w:t>/</w:t>
          </w:r>
          <w:r w:rsidR="00B354DD">
            <w:rPr>
              <w:rFonts w:cs="Arial"/>
              <w:szCs w:val="18"/>
            </w:rPr>
            <w:t>19521</w:t>
          </w:r>
        </w:p>
        <w:p w:rsidR="00C7068C" w:rsidRDefault="00C7068C" w:rsidP="00C7068C"/>
        <w:p w:rsidR="00C7068C" w:rsidRPr="00C569B4" w:rsidRDefault="00C7068C" w:rsidP="00C7068C">
          <w:r w:rsidRPr="00C569B4">
            <w:t>Amendment Record</w:t>
          </w:r>
        </w:p>
        <w:tbl>
          <w:tblPr>
            <w:tblStyle w:val="AERTable-Text"/>
            <w:tblW w:w="0" w:type="auto"/>
            <w:tblLook w:val="04A0" w:firstRow="1" w:lastRow="0" w:firstColumn="1" w:lastColumn="0" w:noHBand="0" w:noVBand="1"/>
          </w:tblPr>
          <w:tblGrid>
            <w:gridCol w:w="2899"/>
            <w:gridCol w:w="2906"/>
            <w:gridCol w:w="2888"/>
          </w:tblGrid>
          <w:tr w:rsidR="00C7068C" w:rsidTr="00CC65AF">
            <w:trPr>
              <w:cnfStyle w:val="100000000000" w:firstRow="1" w:lastRow="0" w:firstColumn="0" w:lastColumn="0" w:oddVBand="0" w:evenVBand="0" w:oddHBand="0" w:evenHBand="0" w:firstRowFirstColumn="0" w:firstRowLastColumn="0" w:lastRowFirstColumn="0" w:lastRowLastColumn="0"/>
            </w:trPr>
            <w:tc>
              <w:tcPr>
                <w:tcW w:w="2899" w:type="dxa"/>
              </w:tcPr>
              <w:p w:rsidR="00C7068C" w:rsidRDefault="00C7068C" w:rsidP="009B028C">
                <w:r>
                  <w:t>Version</w:t>
                </w:r>
              </w:p>
            </w:tc>
            <w:tc>
              <w:tcPr>
                <w:tcW w:w="2906" w:type="dxa"/>
              </w:tcPr>
              <w:p w:rsidR="00C7068C" w:rsidRDefault="00C7068C" w:rsidP="009B028C">
                <w:r>
                  <w:t>Date</w:t>
                </w:r>
              </w:p>
            </w:tc>
            <w:tc>
              <w:tcPr>
                <w:tcW w:w="2888" w:type="dxa"/>
              </w:tcPr>
              <w:p w:rsidR="00C7068C" w:rsidRDefault="00C7068C" w:rsidP="009B028C">
                <w:r>
                  <w:t>Pages</w:t>
                </w:r>
              </w:p>
            </w:tc>
          </w:tr>
          <w:tr w:rsidR="00C7068C" w:rsidTr="00F41E8A">
            <w:trPr>
              <w:cnfStyle w:val="000000100000" w:firstRow="0" w:lastRow="0" w:firstColumn="0" w:lastColumn="0" w:oddVBand="0" w:evenVBand="0" w:oddHBand="1" w:evenHBand="0" w:firstRowFirstColumn="0" w:firstRowLastColumn="0" w:lastRowFirstColumn="0" w:lastRowLastColumn="0"/>
              <w:trHeight w:val="624"/>
            </w:trPr>
            <w:tc>
              <w:tcPr>
                <w:tcW w:w="2899" w:type="dxa"/>
                <w:vAlign w:val="bottom"/>
              </w:tcPr>
              <w:p w:rsidR="00C7068C" w:rsidRPr="00430350" w:rsidRDefault="00147AD2" w:rsidP="00192970">
                <w:pPr>
                  <w:spacing w:before="0" w:after="200"/>
                  <w:jc w:val="left"/>
                </w:pPr>
                <w:r w:rsidRPr="00430350">
                  <w:t>1 version for publication</w:t>
                </w:r>
              </w:p>
            </w:tc>
            <w:tc>
              <w:tcPr>
                <w:tcW w:w="2906" w:type="dxa"/>
                <w:shd w:val="clear" w:color="auto" w:fill="auto"/>
                <w:vAlign w:val="bottom"/>
              </w:tcPr>
              <w:p w:rsidR="00C7068C" w:rsidRPr="00430350" w:rsidRDefault="00F41E8A" w:rsidP="00594A4B">
                <w:pPr>
                  <w:spacing w:before="0" w:after="200"/>
                  <w:jc w:val="left"/>
                </w:pPr>
                <w:r>
                  <w:t>10</w:t>
                </w:r>
                <w:r w:rsidR="00567D52" w:rsidRPr="00F41E8A">
                  <w:t> March</w:t>
                </w:r>
                <w:r w:rsidR="00C1032C" w:rsidRPr="00F41E8A">
                  <w:t xml:space="preserve"> 2016</w:t>
                </w:r>
              </w:p>
            </w:tc>
            <w:tc>
              <w:tcPr>
                <w:tcW w:w="2888" w:type="dxa"/>
                <w:shd w:val="clear" w:color="auto" w:fill="auto"/>
                <w:vAlign w:val="bottom"/>
              </w:tcPr>
              <w:p w:rsidR="00C7068C" w:rsidRPr="00430350" w:rsidRDefault="00B354DD" w:rsidP="00567D52">
                <w:pPr>
                  <w:spacing w:before="0" w:after="200"/>
                  <w:jc w:val="left"/>
                </w:pPr>
                <w:r w:rsidRPr="00F41E8A">
                  <w:t>1</w:t>
                </w:r>
                <w:r w:rsidR="00567D52" w:rsidRPr="00F41E8A">
                  <w:t>2</w:t>
                </w:r>
              </w:p>
            </w:tc>
          </w:tr>
        </w:tbl>
        <w:p w:rsidR="00C7068C" w:rsidRDefault="00C7068C" w:rsidP="00C7068C"/>
        <w:p w:rsidR="00C7068C" w:rsidRDefault="00C7068C" w:rsidP="00C7068C">
          <w:pPr>
            <w:spacing w:line="240" w:lineRule="auto"/>
          </w:pPr>
          <w:r>
            <w:br w:type="page"/>
          </w:r>
        </w:p>
        <w:p w:rsidR="00C7068C" w:rsidRDefault="00C7068C" w:rsidP="00C7068C">
          <w:pPr>
            <w:pStyle w:val="TOCHeading"/>
          </w:pPr>
          <w:r>
            <w:lastRenderedPageBreak/>
            <w:t>Contents</w:t>
          </w:r>
        </w:p>
        <w:bookmarkStart w:id="1" w:name="_Toc213047617"/>
        <w:p w:rsidR="007A09E5" w:rsidRDefault="006007DC">
          <w:pPr>
            <w:pStyle w:val="TOC1"/>
            <w:rPr>
              <w:rFonts w:asciiTheme="minorHAnsi" w:eastAsiaTheme="minorEastAsia" w:hAnsiTheme="minorHAnsi"/>
              <w:b w:val="0"/>
              <w:color w:val="auto"/>
              <w:sz w:val="22"/>
              <w:lang w:val="en-AU" w:eastAsia="en-AU"/>
            </w:rPr>
          </w:pPr>
          <w:r>
            <w:rPr>
              <w:b w:val="0"/>
            </w:rPr>
            <w:fldChar w:fldCharType="begin"/>
          </w:r>
          <w:r>
            <w:rPr>
              <w:b w:val="0"/>
            </w:rPr>
            <w:instrText xml:space="preserve"> TOC \o "1-3" \h \z \u </w:instrText>
          </w:r>
          <w:r>
            <w:rPr>
              <w:b w:val="0"/>
            </w:rPr>
            <w:fldChar w:fldCharType="separate"/>
          </w:r>
          <w:hyperlink w:anchor="_Toc476562776" w:history="1">
            <w:r w:rsidR="007A09E5" w:rsidRPr="004B12D5">
              <w:rPr>
                <w:rStyle w:val="Hyperlink"/>
              </w:rPr>
              <w:t>Executive summary</w:t>
            </w:r>
            <w:r w:rsidR="007A09E5">
              <w:rPr>
                <w:webHidden/>
              </w:rPr>
              <w:tab/>
            </w:r>
            <w:r w:rsidR="007A09E5">
              <w:rPr>
                <w:webHidden/>
              </w:rPr>
              <w:fldChar w:fldCharType="begin"/>
            </w:r>
            <w:r w:rsidR="007A09E5">
              <w:rPr>
                <w:webHidden/>
              </w:rPr>
              <w:instrText xml:space="preserve"> PAGEREF _Toc476562776 \h </w:instrText>
            </w:r>
            <w:r w:rsidR="007A09E5">
              <w:rPr>
                <w:webHidden/>
              </w:rPr>
            </w:r>
            <w:r w:rsidR="007A09E5">
              <w:rPr>
                <w:webHidden/>
              </w:rPr>
              <w:fldChar w:fldCharType="separate"/>
            </w:r>
            <w:r w:rsidR="007A09E5">
              <w:rPr>
                <w:webHidden/>
              </w:rPr>
              <w:t>4</w:t>
            </w:r>
            <w:r w:rsidR="007A09E5">
              <w:rPr>
                <w:webHidden/>
              </w:rPr>
              <w:fldChar w:fldCharType="end"/>
            </w:r>
          </w:hyperlink>
        </w:p>
        <w:p w:rsidR="007A09E5" w:rsidRDefault="00555AC5">
          <w:pPr>
            <w:pStyle w:val="TOC1"/>
            <w:rPr>
              <w:rFonts w:asciiTheme="minorHAnsi" w:eastAsiaTheme="minorEastAsia" w:hAnsiTheme="minorHAnsi"/>
              <w:b w:val="0"/>
              <w:color w:val="auto"/>
              <w:sz w:val="22"/>
              <w:lang w:val="en-AU" w:eastAsia="en-AU"/>
            </w:rPr>
          </w:pPr>
          <w:hyperlink w:anchor="_Toc476562777" w:history="1">
            <w:r w:rsidR="007A09E5" w:rsidRPr="004B12D5">
              <w:rPr>
                <w:rStyle w:val="Hyperlink"/>
              </w:rPr>
              <w:t>1</w:t>
            </w:r>
            <w:r w:rsidR="007A09E5">
              <w:rPr>
                <w:rFonts w:asciiTheme="minorHAnsi" w:eastAsiaTheme="minorEastAsia" w:hAnsiTheme="minorHAnsi"/>
                <w:b w:val="0"/>
                <w:color w:val="auto"/>
                <w:sz w:val="22"/>
                <w:lang w:val="en-AU" w:eastAsia="en-AU"/>
              </w:rPr>
              <w:tab/>
            </w:r>
            <w:r w:rsidR="007A09E5" w:rsidRPr="004B12D5">
              <w:rPr>
                <w:rStyle w:val="Hyperlink"/>
              </w:rPr>
              <w:t>Background</w:t>
            </w:r>
            <w:r w:rsidR="007A09E5">
              <w:rPr>
                <w:webHidden/>
              </w:rPr>
              <w:tab/>
            </w:r>
            <w:r w:rsidR="007A09E5">
              <w:rPr>
                <w:webHidden/>
              </w:rPr>
              <w:fldChar w:fldCharType="begin"/>
            </w:r>
            <w:r w:rsidR="007A09E5">
              <w:rPr>
                <w:webHidden/>
              </w:rPr>
              <w:instrText xml:space="preserve"> PAGEREF _Toc476562777 \h </w:instrText>
            </w:r>
            <w:r w:rsidR="007A09E5">
              <w:rPr>
                <w:webHidden/>
              </w:rPr>
            </w:r>
            <w:r w:rsidR="007A09E5">
              <w:rPr>
                <w:webHidden/>
              </w:rPr>
              <w:fldChar w:fldCharType="separate"/>
            </w:r>
            <w:r w:rsidR="007A09E5">
              <w:rPr>
                <w:webHidden/>
              </w:rPr>
              <w:t>5</w:t>
            </w:r>
            <w:r w:rsidR="007A09E5">
              <w:rPr>
                <w:webHidden/>
              </w:rPr>
              <w:fldChar w:fldCharType="end"/>
            </w:r>
          </w:hyperlink>
        </w:p>
        <w:p w:rsidR="007A09E5" w:rsidRDefault="00555AC5">
          <w:pPr>
            <w:pStyle w:val="TOC2"/>
            <w:rPr>
              <w:rFonts w:asciiTheme="minorHAnsi" w:eastAsiaTheme="minorEastAsia" w:hAnsiTheme="minorHAnsi"/>
              <w:b w:val="0"/>
              <w:color w:val="auto"/>
              <w:sz w:val="22"/>
              <w:lang w:eastAsia="en-AU"/>
            </w:rPr>
          </w:pPr>
          <w:hyperlink w:anchor="_Toc476562778" w:history="1">
            <w:r w:rsidR="007A09E5" w:rsidRPr="004B12D5">
              <w:rPr>
                <w:rStyle w:val="Hyperlink"/>
              </w:rPr>
              <w:t>1.1</w:t>
            </w:r>
            <w:r w:rsidR="007A09E5">
              <w:rPr>
                <w:rFonts w:asciiTheme="minorHAnsi" w:eastAsiaTheme="minorEastAsia" w:hAnsiTheme="minorHAnsi"/>
                <w:b w:val="0"/>
                <w:color w:val="auto"/>
                <w:sz w:val="22"/>
                <w:lang w:eastAsia="en-AU"/>
              </w:rPr>
              <w:tab/>
            </w:r>
            <w:r w:rsidR="007A09E5" w:rsidRPr="004B12D5">
              <w:rPr>
                <w:rStyle w:val="Hyperlink"/>
              </w:rPr>
              <w:t>Primary Market mechanisms</w:t>
            </w:r>
            <w:r w:rsidR="007A09E5">
              <w:rPr>
                <w:webHidden/>
              </w:rPr>
              <w:tab/>
            </w:r>
            <w:r w:rsidR="007A09E5">
              <w:rPr>
                <w:webHidden/>
              </w:rPr>
              <w:fldChar w:fldCharType="begin"/>
            </w:r>
            <w:r w:rsidR="007A09E5">
              <w:rPr>
                <w:webHidden/>
              </w:rPr>
              <w:instrText xml:space="preserve"> PAGEREF _Toc476562778 \h </w:instrText>
            </w:r>
            <w:r w:rsidR="007A09E5">
              <w:rPr>
                <w:webHidden/>
              </w:rPr>
            </w:r>
            <w:r w:rsidR="007A09E5">
              <w:rPr>
                <w:webHidden/>
              </w:rPr>
              <w:fldChar w:fldCharType="separate"/>
            </w:r>
            <w:r w:rsidR="007A09E5">
              <w:rPr>
                <w:webHidden/>
              </w:rPr>
              <w:t>5</w:t>
            </w:r>
            <w:r w:rsidR="007A09E5">
              <w:rPr>
                <w:webHidden/>
              </w:rPr>
              <w:fldChar w:fldCharType="end"/>
            </w:r>
          </w:hyperlink>
        </w:p>
        <w:p w:rsidR="007A09E5" w:rsidRDefault="00555AC5">
          <w:pPr>
            <w:pStyle w:val="TOC2"/>
            <w:rPr>
              <w:rFonts w:asciiTheme="minorHAnsi" w:eastAsiaTheme="minorEastAsia" w:hAnsiTheme="minorHAnsi"/>
              <w:b w:val="0"/>
              <w:color w:val="auto"/>
              <w:sz w:val="22"/>
              <w:lang w:eastAsia="en-AU"/>
            </w:rPr>
          </w:pPr>
          <w:hyperlink w:anchor="_Toc476562779" w:history="1">
            <w:r w:rsidR="007A09E5" w:rsidRPr="004B12D5">
              <w:rPr>
                <w:rStyle w:val="Hyperlink"/>
              </w:rPr>
              <w:t>1.2</w:t>
            </w:r>
            <w:r w:rsidR="007A09E5">
              <w:rPr>
                <w:rFonts w:asciiTheme="minorHAnsi" w:eastAsiaTheme="minorEastAsia" w:hAnsiTheme="minorHAnsi"/>
                <w:b w:val="0"/>
                <w:color w:val="auto"/>
                <w:sz w:val="22"/>
                <w:lang w:eastAsia="en-AU"/>
              </w:rPr>
              <w:tab/>
            </w:r>
            <w:r w:rsidR="007A09E5" w:rsidRPr="004B12D5">
              <w:rPr>
                <w:rStyle w:val="Hyperlink"/>
              </w:rPr>
              <w:t>Ancillary Market mechanisms</w:t>
            </w:r>
            <w:r w:rsidR="007A09E5">
              <w:rPr>
                <w:webHidden/>
              </w:rPr>
              <w:tab/>
            </w:r>
            <w:r w:rsidR="007A09E5">
              <w:rPr>
                <w:webHidden/>
              </w:rPr>
              <w:fldChar w:fldCharType="begin"/>
            </w:r>
            <w:r w:rsidR="007A09E5">
              <w:rPr>
                <w:webHidden/>
              </w:rPr>
              <w:instrText xml:space="preserve"> PAGEREF _Toc476562779 \h </w:instrText>
            </w:r>
            <w:r w:rsidR="007A09E5">
              <w:rPr>
                <w:webHidden/>
              </w:rPr>
            </w:r>
            <w:r w:rsidR="007A09E5">
              <w:rPr>
                <w:webHidden/>
              </w:rPr>
              <w:fldChar w:fldCharType="separate"/>
            </w:r>
            <w:r w:rsidR="007A09E5">
              <w:rPr>
                <w:webHidden/>
              </w:rPr>
              <w:t>6</w:t>
            </w:r>
            <w:r w:rsidR="007A09E5">
              <w:rPr>
                <w:webHidden/>
              </w:rPr>
              <w:fldChar w:fldCharType="end"/>
            </w:r>
          </w:hyperlink>
        </w:p>
        <w:p w:rsidR="007A09E5" w:rsidRDefault="00555AC5">
          <w:pPr>
            <w:pStyle w:val="TOC1"/>
            <w:rPr>
              <w:rFonts w:asciiTheme="minorHAnsi" w:eastAsiaTheme="minorEastAsia" w:hAnsiTheme="minorHAnsi"/>
              <w:b w:val="0"/>
              <w:color w:val="auto"/>
              <w:sz w:val="22"/>
              <w:lang w:val="en-AU" w:eastAsia="en-AU"/>
            </w:rPr>
          </w:pPr>
          <w:hyperlink w:anchor="_Toc476562780" w:history="1">
            <w:r w:rsidR="007A09E5" w:rsidRPr="004B12D5">
              <w:rPr>
                <w:rStyle w:val="Hyperlink"/>
              </w:rPr>
              <w:t>2</w:t>
            </w:r>
            <w:r w:rsidR="007A09E5">
              <w:rPr>
                <w:rFonts w:asciiTheme="minorHAnsi" w:eastAsiaTheme="minorEastAsia" w:hAnsiTheme="minorHAnsi"/>
                <w:b w:val="0"/>
                <w:color w:val="auto"/>
                <w:sz w:val="22"/>
                <w:lang w:val="en-AU" w:eastAsia="en-AU"/>
              </w:rPr>
              <w:tab/>
            </w:r>
            <w:r w:rsidR="007A09E5" w:rsidRPr="004B12D5">
              <w:rPr>
                <w:rStyle w:val="Hyperlink"/>
              </w:rPr>
              <w:t>Overview of the negative AP causes</w:t>
            </w:r>
            <w:r w:rsidR="007A09E5">
              <w:rPr>
                <w:webHidden/>
              </w:rPr>
              <w:tab/>
            </w:r>
            <w:r w:rsidR="007A09E5">
              <w:rPr>
                <w:webHidden/>
              </w:rPr>
              <w:fldChar w:fldCharType="begin"/>
            </w:r>
            <w:r w:rsidR="007A09E5">
              <w:rPr>
                <w:webHidden/>
              </w:rPr>
              <w:instrText xml:space="preserve"> PAGEREF _Toc476562780 \h </w:instrText>
            </w:r>
            <w:r w:rsidR="007A09E5">
              <w:rPr>
                <w:webHidden/>
              </w:rPr>
            </w:r>
            <w:r w:rsidR="007A09E5">
              <w:rPr>
                <w:webHidden/>
              </w:rPr>
              <w:fldChar w:fldCharType="separate"/>
            </w:r>
            <w:r w:rsidR="007A09E5">
              <w:rPr>
                <w:webHidden/>
              </w:rPr>
              <w:t>8</w:t>
            </w:r>
            <w:r w:rsidR="007A09E5">
              <w:rPr>
                <w:webHidden/>
              </w:rPr>
              <w:fldChar w:fldCharType="end"/>
            </w:r>
          </w:hyperlink>
        </w:p>
        <w:p w:rsidR="007A09E5" w:rsidRDefault="00555AC5">
          <w:pPr>
            <w:pStyle w:val="TOC1"/>
            <w:rPr>
              <w:rFonts w:asciiTheme="minorHAnsi" w:eastAsiaTheme="minorEastAsia" w:hAnsiTheme="minorHAnsi"/>
              <w:b w:val="0"/>
              <w:color w:val="auto"/>
              <w:sz w:val="22"/>
              <w:lang w:val="en-AU" w:eastAsia="en-AU"/>
            </w:rPr>
          </w:pPr>
          <w:hyperlink w:anchor="_Toc476562781" w:history="1">
            <w:r w:rsidR="007A09E5" w:rsidRPr="004B12D5">
              <w:rPr>
                <w:rStyle w:val="Hyperlink"/>
              </w:rPr>
              <w:t>Appendix A – AER SPV reporting thresholds</w:t>
            </w:r>
            <w:r w:rsidR="007A09E5">
              <w:rPr>
                <w:webHidden/>
              </w:rPr>
              <w:tab/>
            </w:r>
            <w:r w:rsidR="007A09E5">
              <w:rPr>
                <w:webHidden/>
              </w:rPr>
              <w:fldChar w:fldCharType="begin"/>
            </w:r>
            <w:r w:rsidR="007A09E5">
              <w:rPr>
                <w:webHidden/>
              </w:rPr>
              <w:instrText xml:space="preserve"> PAGEREF _Toc476562781 \h </w:instrText>
            </w:r>
            <w:r w:rsidR="007A09E5">
              <w:rPr>
                <w:webHidden/>
              </w:rPr>
            </w:r>
            <w:r w:rsidR="007A09E5">
              <w:rPr>
                <w:webHidden/>
              </w:rPr>
              <w:fldChar w:fldCharType="separate"/>
            </w:r>
            <w:r w:rsidR="007A09E5">
              <w:rPr>
                <w:webHidden/>
              </w:rPr>
              <w:t>11</w:t>
            </w:r>
            <w:r w:rsidR="007A09E5">
              <w:rPr>
                <w:webHidden/>
              </w:rPr>
              <w:fldChar w:fldCharType="end"/>
            </w:r>
          </w:hyperlink>
        </w:p>
        <w:p w:rsidR="007A09E5" w:rsidRDefault="00555AC5">
          <w:pPr>
            <w:pStyle w:val="TOC1"/>
            <w:rPr>
              <w:rFonts w:asciiTheme="minorHAnsi" w:eastAsiaTheme="minorEastAsia" w:hAnsiTheme="minorHAnsi"/>
              <w:b w:val="0"/>
              <w:color w:val="auto"/>
              <w:sz w:val="22"/>
              <w:lang w:val="en-AU" w:eastAsia="en-AU"/>
            </w:rPr>
          </w:pPr>
          <w:hyperlink w:anchor="_Toc476562782" w:history="1">
            <w:r w:rsidR="007A09E5" w:rsidRPr="004B12D5">
              <w:rPr>
                <w:rStyle w:val="Hyperlink"/>
              </w:rPr>
              <w:t>Appendix B – De-scheduling &amp; Negative APs</w:t>
            </w:r>
            <w:r w:rsidR="007A09E5">
              <w:rPr>
                <w:webHidden/>
              </w:rPr>
              <w:tab/>
            </w:r>
            <w:r w:rsidR="007A09E5">
              <w:rPr>
                <w:webHidden/>
              </w:rPr>
              <w:fldChar w:fldCharType="begin"/>
            </w:r>
            <w:r w:rsidR="007A09E5">
              <w:rPr>
                <w:webHidden/>
              </w:rPr>
              <w:instrText xml:space="preserve"> PAGEREF _Toc476562782 \h </w:instrText>
            </w:r>
            <w:r w:rsidR="007A09E5">
              <w:rPr>
                <w:webHidden/>
              </w:rPr>
            </w:r>
            <w:r w:rsidR="007A09E5">
              <w:rPr>
                <w:webHidden/>
              </w:rPr>
              <w:fldChar w:fldCharType="separate"/>
            </w:r>
            <w:r w:rsidR="007A09E5">
              <w:rPr>
                <w:webHidden/>
              </w:rPr>
              <w:t>12</w:t>
            </w:r>
            <w:r w:rsidR="007A09E5">
              <w:rPr>
                <w:webHidden/>
              </w:rPr>
              <w:fldChar w:fldCharType="end"/>
            </w:r>
          </w:hyperlink>
        </w:p>
        <w:p w:rsidR="00C7068C" w:rsidRDefault="006007DC" w:rsidP="00C7068C">
          <w:pPr>
            <w:sectPr w:rsidR="00C7068C" w:rsidSect="00581454">
              <w:footerReference w:type="default" r:id="rId12"/>
              <w:pgSz w:w="11906" w:h="16838" w:code="9"/>
              <w:pgMar w:top="1440" w:right="1700" w:bottom="1582" w:left="1729" w:header="720" w:footer="1009" w:gutter="0"/>
              <w:pgNumType w:fmt="lowerRoman"/>
              <w:cols w:space="720"/>
              <w:docGrid w:linePitch="326"/>
            </w:sectPr>
          </w:pPr>
          <w:r>
            <w:rPr>
              <w:b/>
              <w:noProof/>
              <w:color w:val="70635A" w:themeColor="text2"/>
              <w:sz w:val="24"/>
              <w:lang w:val="en-US" w:eastAsia="ja-JP"/>
            </w:rPr>
            <w:fldChar w:fldCharType="end"/>
          </w:r>
        </w:p>
        <w:p w:rsidR="00902006" w:rsidRDefault="00902006" w:rsidP="00902006">
          <w:pPr>
            <w:pStyle w:val="Heading1notnumber"/>
          </w:pPr>
          <w:bookmarkStart w:id="2" w:name="_Toc476562776"/>
          <w:bookmarkEnd w:id="1"/>
          <w:r>
            <w:lastRenderedPageBreak/>
            <w:t>Executive summary</w:t>
          </w:r>
          <w:bookmarkEnd w:id="2"/>
        </w:p>
        <w:p w:rsidR="00A65D67" w:rsidRDefault="00CF1D20" w:rsidP="00590724">
          <w:r>
            <w:t xml:space="preserve">On Friday 14 October 2016, </w:t>
          </w:r>
          <w:r w:rsidR="00D7710D">
            <w:t xml:space="preserve">large negative </w:t>
          </w:r>
          <w:r w:rsidR="00FC42B3">
            <w:t xml:space="preserve">ancillary payments </w:t>
          </w:r>
          <w:r w:rsidR="0065729A" w:rsidRPr="0065729A">
            <w:rPr>
              <w:b/>
            </w:rPr>
            <w:t>(negative APs)</w:t>
          </w:r>
          <w:r w:rsidR="0065729A">
            <w:t xml:space="preserve"> </w:t>
          </w:r>
          <w:r w:rsidR="00A65D67">
            <w:t xml:space="preserve">totalling </w:t>
          </w:r>
          <w:r w:rsidR="00FC42B3">
            <w:noBreakHyphen/>
            <w:t>$365</w:t>
          </w:r>
          <w:r w:rsidR="006444AA">
            <w:t> 612</w:t>
          </w:r>
          <w:r w:rsidR="00A65D67">
            <w:t xml:space="preserve"> occurred </w:t>
          </w:r>
          <w:r w:rsidR="002A687A">
            <w:t xml:space="preserve">in the Victorian Gas Market </w:t>
          </w:r>
          <w:r w:rsidR="002A687A">
            <w:rPr>
              <w:b/>
            </w:rPr>
            <w:t xml:space="preserve">(VGM) </w:t>
          </w:r>
          <w:r w:rsidR="00A65D67">
            <w:t xml:space="preserve">which is the highest level of negative </w:t>
          </w:r>
          <w:r w:rsidR="0065729A">
            <w:t xml:space="preserve">APs </w:t>
          </w:r>
          <w:r w:rsidR="00A65D67">
            <w:t>since October 2008.</w:t>
          </w:r>
        </w:p>
        <w:p w:rsidR="000D3FE0" w:rsidRDefault="00A65D67" w:rsidP="00590724">
          <w:r>
            <w:t xml:space="preserve">The AER’s SPV guideline specifies reporting on </w:t>
          </w:r>
          <w:r w:rsidR="0065729A">
            <w:t xml:space="preserve">ancillary </w:t>
          </w:r>
          <w:r>
            <w:t>payments which exceed the threshold set in 2011 of $250,000 for a gas day</w:t>
          </w:r>
          <w:r w:rsidR="0065729A">
            <w:t>.</w:t>
          </w:r>
          <w:r>
            <w:rPr>
              <w:rStyle w:val="FootnoteReference"/>
            </w:rPr>
            <w:footnoteReference w:id="1"/>
          </w:r>
          <w:r>
            <w:t xml:space="preserve">  Consultation with industry in 2011 indicates the intent was to report on positive ancillary payments only</w:t>
          </w:r>
          <w:r w:rsidR="00223B64">
            <w:t>. H</w:t>
          </w:r>
          <w:r>
            <w:t xml:space="preserve">owever given the rarity of this event </w:t>
          </w:r>
          <w:r w:rsidR="00411522">
            <w:t xml:space="preserve">and the magnitude of the payments </w:t>
          </w:r>
          <w:r>
            <w:t>we are publishing an additional report to better inform industry</w:t>
          </w:r>
          <w:r w:rsidR="00223B64">
            <w:t xml:space="preserve">, particularly newer participants, </w:t>
          </w:r>
          <w:r>
            <w:t>on the factors causing such a large negative payment and the market impact.</w:t>
          </w:r>
        </w:p>
        <w:p w:rsidR="00411522" w:rsidRDefault="00411522" w:rsidP="00411522">
          <w:r>
            <w:t xml:space="preserve">In short, on this day de-scheduled </w:t>
          </w:r>
          <w:r w:rsidR="008055D1">
            <w:t>withdrawal</w:t>
          </w:r>
          <w:r w:rsidR="00F41E8A">
            <w:t xml:space="preserve"> (and injection)</w:t>
          </w:r>
          <w:r w:rsidR="008055D1">
            <w:t xml:space="preserve"> </w:t>
          </w:r>
          <w:r>
            <w:t>quantities resulted in large negative ancillary payments</w:t>
          </w:r>
          <w:r w:rsidR="008055D1">
            <w:t xml:space="preserve">, </w:t>
          </w:r>
          <w:r w:rsidR="00E43F32">
            <w:t>particularly at 10 am</w:t>
          </w:r>
          <w:r>
            <w:t xml:space="preserve">, </w:t>
          </w:r>
          <w:r w:rsidR="007A09E5">
            <w:t>account</w:t>
          </w:r>
          <w:r w:rsidR="008055D1">
            <w:t xml:space="preserve">ing </w:t>
          </w:r>
          <w:r w:rsidR="007A09E5">
            <w:t xml:space="preserve">for the large price difference between </w:t>
          </w:r>
          <w:r w:rsidR="008055D1">
            <w:t xml:space="preserve">the </w:t>
          </w:r>
          <w:r w:rsidR="007A09E5">
            <w:t>6 am and 10 am price of $11/GJ</w:t>
          </w:r>
          <w:r w:rsidR="008055D1">
            <w:t xml:space="preserve">. The negative APs formed part of the </w:t>
          </w:r>
          <w:r w:rsidR="007A09E5">
            <w:t xml:space="preserve">offset </w:t>
          </w:r>
          <w:r w:rsidR="008055D1">
            <w:t xml:space="preserve">mechanism involved with </w:t>
          </w:r>
          <w:r>
            <w:t>payments for gas that was no longer required</w:t>
          </w:r>
          <w:r w:rsidR="00223B64">
            <w:t xml:space="preserve">. An example of the application of negative APs in the context of one bid on the day </w:t>
          </w:r>
          <w:r w:rsidR="00430350">
            <w:t xml:space="preserve">is </w:t>
          </w:r>
          <w:r w:rsidR="008055D1">
            <w:t>discussed at the end of the report.</w:t>
          </w:r>
        </w:p>
        <w:p w:rsidR="00E43F32" w:rsidRDefault="00E43F32" w:rsidP="009D7E30">
          <w:r>
            <w:t xml:space="preserve">Driving this de-scheduling </w:t>
          </w:r>
          <w:r w:rsidR="00567D52">
            <w:t xml:space="preserve">was </w:t>
          </w:r>
          <w:r w:rsidR="003C1DF1">
            <w:t xml:space="preserve">a constraint imposed in response to a request by Esso based on unplanned offshore maintenance at Longford. Application of the </w:t>
          </w:r>
          <w:r w:rsidR="00305FA6">
            <w:t>constraint</w:t>
          </w:r>
          <w:r w:rsidR="00DA2588">
            <w:t xml:space="preserve"> </w:t>
          </w:r>
          <w:r>
            <w:t xml:space="preserve">resulted in </w:t>
          </w:r>
          <w:r w:rsidR="003C1DF1">
            <w:t xml:space="preserve">a reduction in supply from the </w:t>
          </w:r>
          <w:r>
            <w:t xml:space="preserve">facility. When a constraint was applied on injections at the facility </w:t>
          </w:r>
          <w:r w:rsidR="005D5687">
            <w:t xml:space="preserve">at </w:t>
          </w:r>
          <w:r>
            <w:t>10</w:t>
          </w:r>
          <w:r w:rsidR="0065729A">
            <w:t> </w:t>
          </w:r>
          <w:r>
            <w:t>am the market price increased from $5.75</w:t>
          </w:r>
          <w:r w:rsidR="0065729A">
            <w:t>/GJ</w:t>
          </w:r>
          <w:r>
            <w:t xml:space="preserve"> to $16.89/GJ and large quanti</w:t>
          </w:r>
          <w:r w:rsidR="003C1DF1">
            <w:t>ties of withdrawal bids were de-</w:t>
          </w:r>
          <w:r>
            <w:t xml:space="preserve">scheduled reducing </w:t>
          </w:r>
          <w:r w:rsidR="00F41E8A">
            <w:t xml:space="preserve">controllable </w:t>
          </w:r>
          <w:r>
            <w:t>demand.</w:t>
          </w:r>
          <w:r w:rsidR="00F41E8A">
            <w:rPr>
              <w:rStyle w:val="FootnoteReference"/>
            </w:rPr>
            <w:footnoteReference w:id="2"/>
          </w:r>
          <w:r w:rsidDel="00411522">
            <w:t xml:space="preserve"> </w:t>
          </w:r>
        </w:p>
        <w:p w:rsidR="00411522" w:rsidRDefault="00411522" w:rsidP="009D7E30">
          <w:r>
            <w:t>Negative ancillary payments occur relatively frequently in the Victorian gas market</w:t>
          </w:r>
          <w:r w:rsidR="00E43F32">
            <w:t xml:space="preserve"> in small amounts of quantity and payment</w:t>
          </w:r>
          <w:r>
            <w:t xml:space="preserve">. </w:t>
          </w:r>
          <w:r w:rsidR="00E43F32">
            <w:t>According to the pricing methodology, t</w:t>
          </w:r>
          <w:r>
            <w:t>he negative AP is calculated for each GJ of de-scheduled gas at a rate equal to the difference between the applicable bid price and the relevant market price</w:t>
          </w:r>
          <w:r w:rsidR="00223B64">
            <w:t>.</w:t>
          </w:r>
          <w:r w:rsidR="00E43F32">
            <w:rPr>
              <w:rStyle w:val="FootnoteReference"/>
            </w:rPr>
            <w:footnoteReference w:id="3"/>
          </w:r>
          <w:r w:rsidR="00E43F32">
            <w:t xml:space="preserve"> </w:t>
          </w:r>
        </w:p>
        <w:p w:rsidR="0027679A" w:rsidRDefault="00223B64" w:rsidP="00430350">
          <w:pPr>
            <w:rPr>
              <w:rFonts w:eastAsiaTheme="majorEastAsia" w:cstheme="majorBidi"/>
              <w:b/>
              <w:bCs/>
              <w:color w:val="70635A"/>
              <w:sz w:val="36"/>
              <w:szCs w:val="28"/>
            </w:rPr>
          </w:pPr>
          <w:r>
            <w:t xml:space="preserve">AEMO in 2012 analysed negative APs (which do not follow a previous Ancillary Payment) and concluded that the method of calculation works as intended. The negative AP “claws back” some but not all of the profit difference caused by </w:t>
          </w:r>
          <w:r w:rsidR="00F66014">
            <w:t xml:space="preserve">for withdrawals, gas </w:t>
          </w:r>
          <w:r>
            <w:t xml:space="preserve">being bought at </w:t>
          </w:r>
          <w:r w:rsidR="00F66014">
            <w:t xml:space="preserve">a lower </w:t>
          </w:r>
          <w:r>
            <w:t xml:space="preserve">price and then </w:t>
          </w:r>
          <w:r w:rsidR="00F66014">
            <w:t xml:space="preserve">when </w:t>
          </w:r>
          <w:r>
            <w:t>later de-scheduled bought back</w:t>
          </w:r>
          <w:r w:rsidR="00F66014">
            <w:t xml:space="preserve"> by the market at a higher price.</w:t>
          </w:r>
          <w:r w:rsidR="0027679A">
            <w:br w:type="page"/>
          </w:r>
        </w:p>
        <w:p w:rsidR="007B2D5C" w:rsidRDefault="00885955" w:rsidP="00EF1B43">
          <w:pPr>
            <w:pStyle w:val="Heading1"/>
          </w:pPr>
          <w:bookmarkStart w:id="3" w:name="_Toc476562777"/>
          <w:r>
            <w:lastRenderedPageBreak/>
            <w:t>Background</w:t>
          </w:r>
          <w:bookmarkEnd w:id="3"/>
        </w:p>
        <w:p w:rsidR="000D3FE0" w:rsidRDefault="002A687A" w:rsidP="007524E0">
          <w:r>
            <w:t xml:space="preserve">Relevant to the 14 October gas day, there were a number of VGM </w:t>
          </w:r>
          <w:r w:rsidR="000D3FE0">
            <w:t>primary market</w:t>
          </w:r>
          <w:r w:rsidR="007524E0">
            <w:t xml:space="preserve"> mechanisms </w:t>
          </w:r>
          <w:r w:rsidR="000D3FE0">
            <w:t xml:space="preserve">and </w:t>
          </w:r>
          <w:r w:rsidR="00107B3D">
            <w:t>a</w:t>
          </w:r>
          <w:r w:rsidR="000D3FE0">
            <w:t xml:space="preserve">ncillary </w:t>
          </w:r>
          <w:r w:rsidR="007524E0">
            <w:t>payment mechanisms</w:t>
          </w:r>
          <w:r>
            <w:t xml:space="preserve"> which influenced market outcomes. Ancillary market mechanisms occur </w:t>
          </w:r>
          <w:r w:rsidR="00A65D67">
            <w:t xml:space="preserve">less frequently </w:t>
          </w:r>
          <w:r w:rsidR="005D5687">
            <w:t xml:space="preserve">and </w:t>
          </w:r>
          <w:r w:rsidR="000D3FE0">
            <w:t xml:space="preserve">further </w:t>
          </w:r>
          <w:r w:rsidR="007524E0">
            <w:t xml:space="preserve">compensate </w:t>
          </w:r>
          <w:r>
            <w:t xml:space="preserve">participants beyond primary market mechanisms </w:t>
          </w:r>
          <w:r w:rsidR="007524E0">
            <w:t>for their gas supply</w:t>
          </w:r>
          <w:r>
            <w:t xml:space="preserve"> (or in the case of 14 October </w:t>
          </w:r>
          <w:r w:rsidR="004308A4">
            <w:t xml:space="preserve">claw-back </w:t>
          </w:r>
          <w:r w:rsidR="00B51F6E">
            <w:t xml:space="preserve">amounts </w:t>
          </w:r>
          <w:r w:rsidR="004308A4">
            <w:t xml:space="preserve">from </w:t>
          </w:r>
          <w:r>
            <w:t xml:space="preserve">participants </w:t>
          </w:r>
          <w:r w:rsidR="00B51F6E">
            <w:t xml:space="preserve">who are </w:t>
          </w:r>
          <w:r>
            <w:t>de</w:t>
          </w:r>
          <w:r w:rsidR="004308A4">
            <w:noBreakHyphen/>
          </w:r>
          <w:r>
            <w:t>scheduled).</w:t>
          </w:r>
        </w:p>
        <w:p w:rsidR="007524E0" w:rsidRDefault="007524E0" w:rsidP="007524E0">
          <w:r>
            <w:t xml:space="preserve">Further information detailing the structure of the Victoria’s gas market arrangements and the roles and responsibilities of participants can be found in the </w:t>
          </w:r>
          <w:hyperlink r:id="rId13" w:history="1">
            <w:r w:rsidRPr="00BB1898">
              <w:rPr>
                <w:rStyle w:val="Hyperlink"/>
              </w:rPr>
              <w:t>gas</w:t>
            </w:r>
            <w:r>
              <w:rPr>
                <w:rStyle w:val="Hyperlink"/>
              </w:rPr>
              <w:t xml:space="preserve"> </w:t>
            </w:r>
            <w:r w:rsidRPr="00BB1898">
              <w:rPr>
                <w:rStyle w:val="Hyperlink"/>
              </w:rPr>
              <w:t>weekly</w:t>
            </w:r>
            <w:r>
              <w:rPr>
                <w:rStyle w:val="Hyperlink"/>
              </w:rPr>
              <w:t xml:space="preserve"> user guide</w:t>
            </w:r>
          </w:hyperlink>
          <w:r>
            <w:t xml:space="preserve"> and the </w:t>
          </w:r>
          <w:hyperlink r:id="rId14" w:history="1">
            <w:r>
              <w:rPr>
                <w:rStyle w:val="Hyperlink"/>
              </w:rPr>
              <w:t>Longford outage report</w:t>
            </w:r>
          </w:hyperlink>
          <w:r>
            <w:t xml:space="preserve"> located on our website.</w:t>
          </w:r>
        </w:p>
        <w:p w:rsidR="00F7123D" w:rsidRDefault="00464E1C" w:rsidP="00F7123D">
          <w:pPr>
            <w:pStyle w:val="Heading2"/>
            <w:numPr>
              <w:ilvl w:val="1"/>
              <w:numId w:val="24"/>
            </w:numPr>
          </w:pPr>
          <w:bookmarkStart w:id="4" w:name="_Toc476562778"/>
          <w:r>
            <w:t xml:space="preserve">Primary </w:t>
          </w:r>
          <w:r w:rsidR="005D5687">
            <w:t>M</w:t>
          </w:r>
          <w:r w:rsidR="009B18B1">
            <w:t xml:space="preserve">arket </w:t>
          </w:r>
          <w:r w:rsidR="00A56240">
            <w:t>mechanisms</w:t>
          </w:r>
          <w:bookmarkEnd w:id="4"/>
        </w:p>
        <w:p w:rsidR="00280F9A" w:rsidRPr="00280F9A" w:rsidRDefault="00280F9A" w:rsidP="00E44938">
          <w:pPr>
            <w:rPr>
              <w:i/>
            </w:rPr>
          </w:pPr>
          <w:r w:rsidRPr="00280F9A">
            <w:rPr>
              <w:i/>
            </w:rPr>
            <w:t>Scheduling</w:t>
          </w:r>
        </w:p>
        <w:p w:rsidR="00AC675A" w:rsidRDefault="00AC675A" w:rsidP="00E44938">
          <w:r>
            <w:t xml:space="preserve">In the Victorian gas market, </w:t>
          </w:r>
          <w:r w:rsidR="007524E0">
            <w:t xml:space="preserve">participants submit </w:t>
          </w:r>
          <w:r w:rsidR="002A687A">
            <w:t xml:space="preserve">daily </w:t>
          </w:r>
          <w:r w:rsidR="007524E0">
            <w:t>injection (offers) and withdrawal bids for the gas day to set a market price. These bids can be revised over 5 daily scheduling horizons, setting 5 schedule prices during the gas day.</w:t>
          </w:r>
          <w:r w:rsidR="002755BB">
            <w:t xml:space="preserve"> The quantity of gas scheduled during each horizon covers the volume of gas set to be delivered across the entire gas day.</w:t>
          </w:r>
          <w:r w:rsidR="00CC6407">
            <w:t xml:space="preserve"> This process is referred to as the Pricing Schedule.</w:t>
          </w:r>
        </w:p>
        <w:p w:rsidR="00343A31" w:rsidRDefault="00343A31" w:rsidP="00343A31">
          <w:r>
            <w:t>While gas market prices are set using the available injection and withdrawal bids in merit order, quantities of gas which otherwise could be scheduled at each of the injection points across the Victorian market may not be deliverable due to physical supply constraints.</w:t>
          </w:r>
          <w:r w:rsidR="004308A4">
            <w:rPr>
              <w:rStyle w:val="FootnoteReference"/>
            </w:rPr>
            <w:footnoteReference w:id="4"/>
          </w:r>
          <w:r w:rsidR="004308A4">
            <w:t xml:space="preserve"> </w:t>
          </w:r>
          <w:r>
            <w:t xml:space="preserve">On 14 October during the day, a constraint limited the quantity of gas which could be supplied to the market through the Longford system injection point and caused gas originally scheduled at 6 am to be de-scheduled later in the day (and also influenced the change to a higher market price). </w:t>
          </w:r>
        </w:p>
        <w:p w:rsidR="00280F9A" w:rsidRPr="00280F9A" w:rsidRDefault="00280F9A" w:rsidP="00E44938">
          <w:pPr>
            <w:rPr>
              <w:i/>
            </w:rPr>
          </w:pPr>
          <w:r w:rsidRPr="00280F9A">
            <w:rPr>
              <w:i/>
            </w:rPr>
            <w:t>Imbalance Payments</w:t>
          </w:r>
        </w:p>
        <w:p w:rsidR="009E131F" w:rsidRDefault="00A23026" w:rsidP="00E44938">
          <w:r>
            <w:t xml:space="preserve">Imbalance positions are determined based on the difference between supply and demand. </w:t>
          </w:r>
          <w:r w:rsidR="007524E0">
            <w:t xml:space="preserve">Individual net (imbalance) positions are calculated </w:t>
          </w:r>
          <w:r>
            <w:t xml:space="preserve">for each participant </w:t>
          </w:r>
          <w:r w:rsidR="007524E0">
            <w:t>based on forecast information at the beginning of each schedule, where participants are either paid for their net supply</w:t>
          </w:r>
          <w:r w:rsidR="00280F9A">
            <w:t xml:space="preserve"> (imbalance injection)</w:t>
          </w:r>
          <w:r w:rsidR="007524E0">
            <w:t xml:space="preserve">, or pay for their net demand </w:t>
          </w:r>
          <w:r w:rsidR="00280F9A">
            <w:t xml:space="preserve">(imbalance withdrawal) </w:t>
          </w:r>
          <w:r w:rsidR="007524E0">
            <w:t>position in the market.</w:t>
          </w:r>
          <w:r w:rsidR="00280F9A">
            <w:t xml:space="preserve"> The schedule price is applied to these imbalance quantities and results in ‘imbalance payments’. </w:t>
          </w:r>
        </w:p>
        <w:p w:rsidR="00343A31" w:rsidRDefault="00280F9A" w:rsidP="00E44938">
          <w:r>
            <w:t xml:space="preserve">In summary, the mechanism is applied for what participants are </w:t>
          </w:r>
          <w:r w:rsidRPr="00280F9A">
            <w:rPr>
              <w:u w:val="single"/>
            </w:rPr>
            <w:t>scheduled</w:t>
          </w:r>
          <w:r>
            <w:t xml:space="preserve"> to do for the </w:t>
          </w:r>
          <w:r w:rsidR="009E131F">
            <w:t xml:space="preserve">gas day at each </w:t>
          </w:r>
          <w:r>
            <w:t xml:space="preserve">scheduling horizon. </w:t>
          </w:r>
        </w:p>
        <w:p w:rsidR="00280F9A" w:rsidRPr="00280F9A" w:rsidRDefault="00280F9A" w:rsidP="00E44938">
          <w:pPr>
            <w:rPr>
              <w:i/>
            </w:rPr>
          </w:pPr>
          <w:r w:rsidRPr="00280F9A">
            <w:rPr>
              <w:i/>
            </w:rPr>
            <w:t>Deviation payments</w:t>
          </w:r>
        </w:p>
        <w:p w:rsidR="00280F9A" w:rsidRDefault="009E131F" w:rsidP="00E44938">
          <w:r>
            <w:t xml:space="preserve">While participants are paid or pay for their imbalance position during each schedule, actual injections and withdrawals at the end of each scheduling horizon may not match </w:t>
          </w:r>
          <w:r>
            <w:lastRenderedPageBreak/>
            <w:t>the quantities scheduled. These deviations from the gas schedule may result in a shortfall of gas supply or an oversupply. As such, scheduled quantities for the upcoming horizon need to be adjusted to maintain adequate levels of linepack in the system, which could result in additional gas being scheduled (raising the price) or less gas being scheduled (lowering the price) for the subsequent scheduling interval. As such, the schedule price during the following interval is applied to these deviation quantities that occur within a given schedule.</w:t>
          </w:r>
        </w:p>
        <w:p w:rsidR="00280F9A" w:rsidRDefault="00280F9A" w:rsidP="00280F9A">
          <w:r>
            <w:t xml:space="preserve">In summary, the mechanism is applied for what participants </w:t>
          </w:r>
          <w:r w:rsidRPr="00280F9A">
            <w:rPr>
              <w:u w:val="single"/>
            </w:rPr>
            <w:t>actually</w:t>
          </w:r>
          <w:r>
            <w:t xml:space="preserve"> did by the end of each scheduling horizon. </w:t>
          </w:r>
        </w:p>
        <w:p w:rsidR="00343A31" w:rsidRDefault="00343A31" w:rsidP="00280F9A">
          <w:r>
            <w:t xml:space="preserve">This mechanism was not particularly </w:t>
          </w:r>
          <w:r w:rsidR="004308A4">
            <w:t>relevant to the negative APs which occurred</w:t>
          </w:r>
          <w:r>
            <w:t xml:space="preserve"> on 14</w:t>
          </w:r>
          <w:r w:rsidR="004308A4">
            <w:t> </w:t>
          </w:r>
          <w:r>
            <w:t>October</w:t>
          </w:r>
          <w:r w:rsidR="004308A4">
            <w:t>.</w:t>
          </w:r>
          <w:r>
            <w:t xml:space="preserve"> </w:t>
          </w:r>
        </w:p>
        <w:p w:rsidR="00AD30D4" w:rsidRDefault="00464E1C" w:rsidP="00AD30D4">
          <w:pPr>
            <w:pStyle w:val="Heading2"/>
            <w:numPr>
              <w:ilvl w:val="1"/>
              <w:numId w:val="24"/>
            </w:numPr>
          </w:pPr>
          <w:bookmarkStart w:id="5" w:name="_Toc476562779"/>
          <w:r>
            <w:t xml:space="preserve">Ancillary </w:t>
          </w:r>
          <w:r w:rsidR="005D5687">
            <w:t>M</w:t>
          </w:r>
          <w:r>
            <w:t>arket mechanisms</w:t>
          </w:r>
          <w:bookmarkEnd w:id="5"/>
          <w:r>
            <w:t xml:space="preserve"> </w:t>
          </w:r>
        </w:p>
        <w:p w:rsidR="00EB3F5F" w:rsidRPr="00280F9A" w:rsidRDefault="00EB3F5F" w:rsidP="00EB3F5F">
          <w:pPr>
            <w:rPr>
              <w:i/>
            </w:rPr>
          </w:pPr>
          <w:r>
            <w:rPr>
              <w:i/>
            </w:rPr>
            <w:t>Ancillary payments</w:t>
          </w:r>
        </w:p>
        <w:p w:rsidR="00EB3F5F" w:rsidRDefault="00EB3F5F" w:rsidP="00EB3F5F">
          <w:r>
            <w:t xml:space="preserve">Ancillary payments </w:t>
          </w:r>
          <w:r w:rsidRPr="004308A4">
            <w:rPr>
              <w:b/>
            </w:rPr>
            <w:t>(APs)</w:t>
          </w:r>
          <w:r>
            <w:t xml:space="preserve"> are designed to compensate participants who inject gas above the market price to assist in reducing congestion in the transmission network. </w:t>
          </w:r>
        </w:p>
        <w:p w:rsidR="00EB3F5F" w:rsidRPr="00280F9A" w:rsidRDefault="00EB3F5F" w:rsidP="00EB3F5F">
          <w:r>
            <w:t>As constraints may affect where gas can be physically supplied in the market, out of merit order gas may be required to reduce system congestion. When available injection bids are scheduled at prices above the market price through the operational schedule, ancillary payments are required to compensate participants who have placed a higher value on their gas supply.</w:t>
          </w:r>
        </w:p>
        <w:p w:rsidR="00EB3F5F" w:rsidRDefault="00EB3F5F" w:rsidP="00EB3F5F">
          <w:r>
            <w:t>As these participants have placed a higher value on their gas injections, above the market price applied to their injection quantities via imbalance payments, out of merit order gas suppliers will not be fully remunerated through the imbalance mechanism. Thus, the ancillary mechanism provides additional payments to ancillary service providers to adjust for the shortfall in the amount paid for the higher priced gas.</w:t>
          </w:r>
        </w:p>
        <w:p w:rsidR="00EB3F5F" w:rsidRPr="00EB3F5F" w:rsidRDefault="00EB3F5F" w:rsidP="00CA4F57">
          <w:pPr>
            <w:rPr>
              <w:bCs/>
              <w:i/>
            </w:rPr>
          </w:pPr>
          <w:r>
            <w:rPr>
              <w:bCs/>
              <w:i/>
            </w:rPr>
            <w:t>Negative Ancillary Payments – 14</w:t>
          </w:r>
          <w:r w:rsidR="004308A4">
            <w:rPr>
              <w:bCs/>
              <w:i/>
            </w:rPr>
            <w:t> </w:t>
          </w:r>
          <w:r>
            <w:rPr>
              <w:bCs/>
              <w:i/>
            </w:rPr>
            <w:t>October 2016</w:t>
          </w:r>
        </w:p>
        <w:p w:rsidR="002A687A" w:rsidRDefault="00BB6E87" w:rsidP="00CA4F57">
          <w:pPr>
            <w:rPr>
              <w:bCs/>
            </w:rPr>
          </w:pPr>
          <w:r>
            <w:rPr>
              <w:bCs/>
            </w:rPr>
            <w:t xml:space="preserve">Negative ancillary payments </w:t>
          </w:r>
          <w:r w:rsidRPr="004308A4">
            <w:rPr>
              <w:b/>
              <w:bCs/>
            </w:rPr>
            <w:t>(negative APs)</w:t>
          </w:r>
          <w:r>
            <w:rPr>
              <w:bCs/>
            </w:rPr>
            <w:t xml:space="preserve"> </w:t>
          </w:r>
          <w:r w:rsidR="00EB3F5F">
            <w:rPr>
              <w:bCs/>
            </w:rPr>
            <w:t xml:space="preserve">may occur with </w:t>
          </w:r>
          <w:r w:rsidR="007A09E5">
            <w:rPr>
              <w:bCs/>
            </w:rPr>
            <w:t xml:space="preserve">or without </w:t>
          </w:r>
          <w:r w:rsidR="00EB3F5F">
            <w:rPr>
              <w:bCs/>
            </w:rPr>
            <w:t xml:space="preserve">prior </w:t>
          </w:r>
          <w:r>
            <w:rPr>
              <w:bCs/>
            </w:rPr>
            <w:t xml:space="preserve">scheduling </w:t>
          </w:r>
          <w:r w:rsidR="00D80AA1">
            <w:rPr>
              <w:bCs/>
            </w:rPr>
            <w:t>of out of mer</w:t>
          </w:r>
          <w:r>
            <w:rPr>
              <w:bCs/>
            </w:rPr>
            <w:t>it order gas</w:t>
          </w:r>
          <w:r w:rsidR="00343A31">
            <w:rPr>
              <w:bCs/>
            </w:rPr>
            <w:t xml:space="preserve"> </w:t>
          </w:r>
          <w:r w:rsidR="00B51F6E">
            <w:rPr>
              <w:bCs/>
            </w:rPr>
            <w:t>(see Appendix B</w:t>
          </w:r>
          <w:r w:rsidR="00343A31">
            <w:rPr>
              <w:bCs/>
            </w:rPr>
            <w:t>)</w:t>
          </w:r>
          <w:r w:rsidR="002A687A">
            <w:rPr>
              <w:bCs/>
            </w:rPr>
            <w:t xml:space="preserve">. </w:t>
          </w:r>
        </w:p>
        <w:p w:rsidR="006C5DE0" w:rsidRDefault="00EB3F5F" w:rsidP="00CA4F57">
          <w:pPr>
            <w:rPr>
              <w:bCs/>
            </w:rPr>
          </w:pPr>
          <w:r>
            <w:rPr>
              <w:bCs/>
            </w:rPr>
            <w:t>However, as occurred on 14</w:t>
          </w:r>
          <w:r w:rsidR="004308A4">
            <w:rPr>
              <w:bCs/>
            </w:rPr>
            <w:t> </w:t>
          </w:r>
          <w:r>
            <w:rPr>
              <w:bCs/>
            </w:rPr>
            <w:t>October i</w:t>
          </w:r>
          <w:r w:rsidR="00D80AA1">
            <w:rPr>
              <w:bCs/>
            </w:rPr>
            <w:t xml:space="preserve">n the </w:t>
          </w:r>
          <w:r>
            <w:rPr>
              <w:bCs/>
            </w:rPr>
            <w:t>VGM</w:t>
          </w:r>
          <w:r w:rsidR="00D80AA1">
            <w:rPr>
              <w:bCs/>
            </w:rPr>
            <w:t xml:space="preserve">, changes to market factors or physical conditions across the gas day may result in changes to the schedules, such </w:t>
          </w:r>
          <w:r>
            <w:rPr>
              <w:bCs/>
            </w:rPr>
            <w:t xml:space="preserve">that gas is </w:t>
          </w:r>
          <w:r w:rsidR="00D80AA1">
            <w:rPr>
              <w:bCs/>
            </w:rPr>
            <w:t>de-scheduled</w:t>
          </w:r>
          <w:r>
            <w:rPr>
              <w:bCs/>
            </w:rPr>
            <w:t xml:space="preserve"> and negative APs occur without any prior positive APs (see Appendix B, scenario 4)</w:t>
          </w:r>
          <w:r w:rsidR="00D80AA1">
            <w:rPr>
              <w:bCs/>
            </w:rPr>
            <w:t>.</w:t>
          </w:r>
          <w:r w:rsidR="004308A4">
            <w:rPr>
              <w:bCs/>
            </w:rPr>
            <w:t xml:space="preserve"> </w:t>
          </w:r>
          <w:r w:rsidR="007E4355">
            <w:rPr>
              <w:bCs/>
            </w:rPr>
            <w:t xml:space="preserve">These </w:t>
          </w:r>
          <w:r w:rsidR="00D80AA1">
            <w:rPr>
              <w:bCs/>
            </w:rPr>
            <w:t xml:space="preserve">factors may include events such as changes to the market </w:t>
          </w:r>
          <w:r w:rsidR="00B51F6E">
            <w:rPr>
              <w:bCs/>
            </w:rPr>
            <w:t xml:space="preserve">price or participants rebidding or </w:t>
          </w:r>
          <w:r w:rsidR="00D80AA1">
            <w:rPr>
              <w:bCs/>
            </w:rPr>
            <w:t>physical constraints</w:t>
          </w:r>
          <w:r w:rsidR="00B51F6E">
            <w:rPr>
              <w:bCs/>
            </w:rPr>
            <w:t xml:space="preserve"> on supply points</w:t>
          </w:r>
          <w:r w:rsidR="00D80AA1">
            <w:rPr>
              <w:bCs/>
            </w:rPr>
            <w:t xml:space="preserve">. </w:t>
          </w:r>
        </w:p>
        <w:p w:rsidR="009F0566" w:rsidRDefault="00D80AA1" w:rsidP="00CA4F57">
          <w:pPr>
            <w:rPr>
              <w:bCs/>
            </w:rPr>
          </w:pPr>
          <w:r>
            <w:rPr>
              <w:bCs/>
            </w:rPr>
            <w:t xml:space="preserve">In these instances, money has been paid to the market participants based on their </w:t>
          </w:r>
          <w:r w:rsidR="00777793">
            <w:rPr>
              <w:bCs/>
            </w:rPr>
            <w:t xml:space="preserve">forecast </w:t>
          </w:r>
          <w:r>
            <w:rPr>
              <w:bCs/>
            </w:rPr>
            <w:t>position in a given schedul</w:t>
          </w:r>
          <w:r w:rsidR="00777793">
            <w:rPr>
              <w:bCs/>
            </w:rPr>
            <w:t>ing interval</w:t>
          </w:r>
          <w:r>
            <w:rPr>
              <w:bCs/>
            </w:rPr>
            <w:t xml:space="preserve"> </w:t>
          </w:r>
          <w:r w:rsidR="00777793">
            <w:rPr>
              <w:bCs/>
            </w:rPr>
            <w:t>(</w:t>
          </w:r>
          <w:r>
            <w:rPr>
              <w:bCs/>
            </w:rPr>
            <w:t>through imbalance payments</w:t>
          </w:r>
          <w:r w:rsidR="00777793">
            <w:rPr>
              <w:bCs/>
            </w:rPr>
            <w:t>)</w:t>
          </w:r>
          <w:r>
            <w:rPr>
              <w:bCs/>
            </w:rPr>
            <w:t xml:space="preserve">. </w:t>
          </w:r>
          <w:r w:rsidR="00777793">
            <w:rPr>
              <w:bCs/>
            </w:rPr>
            <w:t>If condition</w:t>
          </w:r>
          <w:r w:rsidR="004308A4">
            <w:rPr>
              <w:bCs/>
            </w:rPr>
            <w:t>s</w:t>
          </w:r>
          <w:r>
            <w:rPr>
              <w:bCs/>
            </w:rPr>
            <w:t xml:space="preserve"> </w:t>
          </w:r>
          <w:r w:rsidR="00777793">
            <w:rPr>
              <w:bCs/>
            </w:rPr>
            <w:t>change</w:t>
          </w:r>
          <w:r>
            <w:rPr>
              <w:bCs/>
            </w:rPr>
            <w:t xml:space="preserve">, negative ancillary payments recover that </w:t>
          </w:r>
          <w:r w:rsidR="00777793">
            <w:rPr>
              <w:bCs/>
            </w:rPr>
            <w:t>payment when gas is de</w:t>
          </w:r>
          <w:r w:rsidR="004308A4">
            <w:rPr>
              <w:bCs/>
            </w:rPr>
            <w:noBreakHyphen/>
          </w:r>
          <w:r w:rsidR="00777793">
            <w:rPr>
              <w:bCs/>
            </w:rPr>
            <w:t>scheduled</w:t>
          </w:r>
          <w:r w:rsidR="007A09E5">
            <w:rPr>
              <w:bCs/>
            </w:rPr>
            <w:t xml:space="preserve"> (accounting for the price difference between schedules)</w:t>
          </w:r>
          <w:r w:rsidR="00777793">
            <w:rPr>
              <w:bCs/>
            </w:rPr>
            <w:t xml:space="preserve">. </w:t>
          </w:r>
          <w:r w:rsidR="007A09E5">
            <w:rPr>
              <w:bCs/>
            </w:rPr>
            <w:t>Therefore, w</w:t>
          </w:r>
          <w:r w:rsidR="00777793">
            <w:rPr>
              <w:bCs/>
            </w:rPr>
            <w:t xml:space="preserve">hen assessing the market impact of negative APs, the money being returned to the </w:t>
          </w:r>
          <w:r w:rsidR="00777793">
            <w:rPr>
              <w:bCs/>
            </w:rPr>
            <w:lastRenderedPageBreak/>
            <w:t xml:space="preserve">market must then be considered alongside the </w:t>
          </w:r>
          <w:r w:rsidR="009F0566">
            <w:rPr>
              <w:bCs/>
            </w:rPr>
            <w:t xml:space="preserve">initial </w:t>
          </w:r>
          <w:r w:rsidR="00777793">
            <w:rPr>
              <w:bCs/>
            </w:rPr>
            <w:t>imbalance payments for gas that did not actually flow on the day.</w:t>
          </w:r>
          <w:r w:rsidR="009F0566">
            <w:rPr>
              <w:bCs/>
            </w:rPr>
            <w:t xml:space="preserve"> </w:t>
          </w:r>
        </w:p>
        <w:p w:rsidR="00EB3F5F" w:rsidRPr="00F77499" w:rsidRDefault="00EB3F5F" w:rsidP="00EB3F5F">
          <w:pPr>
            <w:rPr>
              <w:i/>
            </w:rPr>
          </w:pPr>
          <w:r>
            <w:rPr>
              <w:i/>
            </w:rPr>
            <w:t>Uplift payments</w:t>
          </w:r>
          <w:r w:rsidR="00305FA6">
            <w:rPr>
              <w:i/>
            </w:rPr>
            <w:t xml:space="preserve"> associated with Ancillary Payments</w:t>
          </w:r>
        </w:p>
        <w:p w:rsidR="004308A4" w:rsidRDefault="00EB3F5F" w:rsidP="004308A4">
          <w:r>
            <w:t xml:space="preserve">Ancillary costs generated over a gas day are usually recouped through uplift payments, which are divided into three areas in regard to participants’ payments. These are </w:t>
          </w:r>
          <w:r w:rsidR="00A23026">
            <w:t xml:space="preserve">surprise </w:t>
          </w:r>
          <w:r>
            <w:t xml:space="preserve">uplift (when there is a deviation or a change in forecast demand), congestion uplift (when the system is constrained and participants exceed their allowable quantities) and common uplift (covering a participant’s proportion of the </w:t>
          </w:r>
          <w:r w:rsidR="004308A4">
            <w:t>daily withdrawals, when the quantity is not related to surprise or congestion).</w:t>
          </w:r>
          <w:r w:rsidR="007A09E5">
            <w:rPr>
              <w:rStyle w:val="FootnoteReference"/>
            </w:rPr>
            <w:footnoteReference w:id="5"/>
          </w:r>
        </w:p>
        <w:p w:rsidR="006C5DE0" w:rsidRDefault="006C5DE0" w:rsidP="00CA4F57">
          <w:pPr>
            <w:rPr>
              <w:bCs/>
            </w:rPr>
          </w:pPr>
        </w:p>
        <w:p w:rsidR="00D4394A" w:rsidRDefault="00EB3F5F" w:rsidP="00D4394A">
          <w:pPr>
            <w:pStyle w:val="Heading1"/>
            <w:numPr>
              <w:ilvl w:val="0"/>
              <w:numId w:val="24"/>
            </w:numPr>
            <w:spacing w:before="0"/>
            <w:ind w:left="431" w:hanging="431"/>
          </w:pPr>
          <w:bookmarkStart w:id="6" w:name="_Toc476562780"/>
          <w:r>
            <w:lastRenderedPageBreak/>
            <w:t>O</w:t>
          </w:r>
          <w:r w:rsidR="00D4394A">
            <w:t xml:space="preserve">verview of the </w:t>
          </w:r>
          <w:r w:rsidR="00DD4023">
            <w:t xml:space="preserve">large </w:t>
          </w:r>
          <w:r w:rsidR="00A56240">
            <w:t xml:space="preserve">negative </w:t>
          </w:r>
          <w:r w:rsidR="000F7A1E">
            <w:t>AP</w:t>
          </w:r>
          <w:r w:rsidR="00A56240">
            <w:t xml:space="preserve"> cause</w:t>
          </w:r>
          <w:bookmarkEnd w:id="6"/>
          <w:r w:rsidR="004D24CC">
            <w:t xml:space="preserve"> </w:t>
          </w:r>
        </w:p>
        <w:p w:rsidR="00E0429F" w:rsidRDefault="00E0429F" w:rsidP="00233255">
          <w:r>
            <w:t xml:space="preserve">The de-scheduling of gas quantities from 10 am led to the accumulation of negative ancillary payments (negative APs) to the amount of </w:t>
          </w:r>
          <w:r>
            <w:noBreakHyphen/>
            <w:t>$365 612 across the 14 October gas day.</w:t>
          </w:r>
        </w:p>
        <w:p w:rsidR="00AC6415" w:rsidRDefault="00E03952" w:rsidP="009D7E30">
          <w:r>
            <w:t xml:space="preserve">The beginning-of-day schedule included 586.7 TJ of available $0/GJ </w:t>
          </w:r>
          <w:r w:rsidR="007A09E5">
            <w:t xml:space="preserve">(cheap) </w:t>
          </w:r>
          <w:r>
            <w:t>injection bids at the Longford production facility</w:t>
          </w:r>
          <w:r w:rsidR="007A09E5">
            <w:t xml:space="preserve"> to supply the market</w:t>
          </w:r>
          <w:r>
            <w:t xml:space="preserve">. </w:t>
          </w:r>
          <w:r w:rsidR="00AC6415">
            <w:t xml:space="preserve">Esso later announced </w:t>
          </w:r>
          <w:r w:rsidR="007A09E5">
            <w:t xml:space="preserve">that </w:t>
          </w:r>
          <w:r w:rsidR="00AC6415">
            <w:t>u</w:t>
          </w:r>
          <w:r>
            <w:t xml:space="preserve">nplanned offshore maintenance at the facility </w:t>
          </w:r>
          <w:r w:rsidR="00AC6415">
            <w:t xml:space="preserve">on-the-day was impacting supply.  Accordingly, </w:t>
          </w:r>
          <w:r w:rsidR="00B555CA">
            <w:t xml:space="preserve">at the request of Esso, </w:t>
          </w:r>
          <w:r w:rsidR="003C066C">
            <w:t>A</w:t>
          </w:r>
          <w:r w:rsidR="00AC6415">
            <w:t>EMO imposed a</w:t>
          </w:r>
          <w:r w:rsidR="003C066C">
            <w:t xml:space="preserve"> constraint on the </w:t>
          </w:r>
          <w:r w:rsidR="00AC6415">
            <w:t xml:space="preserve">Longford </w:t>
          </w:r>
          <w:r w:rsidR="003C066C">
            <w:t xml:space="preserve">system injection point to limit the daily deliverable quantity to less than 453 TJ </w:t>
          </w:r>
          <w:r w:rsidR="007A09E5">
            <w:t xml:space="preserve">for the </w:t>
          </w:r>
          <w:r w:rsidR="003C066C">
            <w:t xml:space="preserve">day. </w:t>
          </w:r>
        </w:p>
        <w:p w:rsidR="003C066C" w:rsidRDefault="00AC6415" w:rsidP="009D7E30">
          <w:r>
            <w:t>T</w:t>
          </w:r>
          <w:r w:rsidR="003C066C">
            <w:t xml:space="preserve">he constraint was not invoked until 8.45 am, </w:t>
          </w:r>
          <w:r>
            <w:t xml:space="preserve">and accordingly </w:t>
          </w:r>
          <w:r w:rsidR="003C066C">
            <w:t xml:space="preserve">there was only 15 minutes before the bid cut-off time for participants to submit revised bids to the market for the 10 am scheduling horizon. As such, the quantity offered </w:t>
          </w:r>
          <w:r>
            <w:t xml:space="preserve">by participants </w:t>
          </w:r>
          <w:r w:rsidR="003C066C">
            <w:t>at Longford remained at 586.7 TJ until the following schedule</w:t>
          </w:r>
          <w:r>
            <w:t xml:space="preserve">. There appears to have been little time for </w:t>
          </w:r>
          <w:r w:rsidR="003C066C">
            <w:t xml:space="preserve">market </w:t>
          </w:r>
          <w:r>
            <w:t xml:space="preserve">participants to respond to rebid e.g. to reduce offers at Longford in accordance with the </w:t>
          </w:r>
          <w:r w:rsidR="00305FA6">
            <w:t xml:space="preserve">constraint </w:t>
          </w:r>
          <w:r>
            <w:t xml:space="preserve">or submit </w:t>
          </w:r>
          <w:r w:rsidR="007A09E5">
            <w:t xml:space="preserve">changed offers </w:t>
          </w:r>
          <w:r w:rsidR="003C066C">
            <w:t xml:space="preserve">at other </w:t>
          </w:r>
          <w:r>
            <w:t xml:space="preserve">system </w:t>
          </w:r>
          <w:r w:rsidR="003C066C">
            <w:t>points</w:t>
          </w:r>
          <w:r>
            <w:t xml:space="preserve"> for the 10 am schedule</w:t>
          </w:r>
          <w:r w:rsidR="007A09E5">
            <w:t xml:space="preserve"> (to prevent the sharp price increase to almost $17/GJ</w:t>
          </w:r>
          <w:r w:rsidR="00B555CA">
            <w:t>)</w:t>
          </w:r>
          <w:r w:rsidR="003C066C">
            <w:t>.</w:t>
          </w:r>
        </w:p>
        <w:p w:rsidR="003A796B" w:rsidRDefault="003A796B" w:rsidP="009D7E30">
          <w:r>
            <w:fldChar w:fldCharType="begin"/>
          </w:r>
          <w:r>
            <w:instrText xml:space="preserve"> REF _Ref450555829 \h </w:instrText>
          </w:r>
          <w:r>
            <w:fldChar w:fldCharType="separate"/>
          </w:r>
          <w:r>
            <w:t>Figure </w:t>
          </w:r>
          <w:r>
            <w:rPr>
              <w:noProof/>
            </w:rPr>
            <w:t>1</w:t>
          </w:r>
          <w:r>
            <w:fldChar w:fldCharType="end"/>
          </w:r>
          <w:r>
            <w:t xml:space="preserve"> illustrates the change in the available offers </w:t>
          </w:r>
          <w:r w:rsidR="00AC6415">
            <w:t>(accounting largely for the Longford</w:t>
          </w:r>
          <w:r w:rsidR="00305FA6">
            <w:t xml:space="preserve"> constraint</w:t>
          </w:r>
          <w:r w:rsidR="00AC6415">
            <w:t xml:space="preserve">) </w:t>
          </w:r>
          <w:r>
            <w:t>which led to higher prices in the 10 am scheduling horizon.</w:t>
          </w:r>
          <w:r w:rsidR="00C03468">
            <w:rPr>
              <w:rStyle w:val="FootnoteReference"/>
            </w:rPr>
            <w:footnoteReference w:id="6"/>
          </w:r>
        </w:p>
        <w:p w:rsidR="003A796B" w:rsidRDefault="003A796B" w:rsidP="003A796B">
          <w:pPr>
            <w:pStyle w:val="Caption"/>
          </w:pPr>
          <w:bookmarkStart w:id="7" w:name="_Ref450555829"/>
          <w:bookmarkStart w:id="8" w:name="_Ref451263972"/>
          <w:r>
            <w:t>Figure </w:t>
          </w:r>
          <w:fldSimple w:instr=" SEQ Figure \* ARABIC ">
            <w:r>
              <w:rPr>
                <w:noProof/>
              </w:rPr>
              <w:t>1</w:t>
            </w:r>
          </w:fldSimple>
          <w:bookmarkEnd w:id="7"/>
          <w:r>
            <w:t xml:space="preserve">: </w:t>
          </w:r>
          <w:bookmarkEnd w:id="8"/>
          <w:r>
            <w:t>The supply/demand balance for the 6 am and 10 am schedules</w:t>
          </w:r>
        </w:p>
        <w:p w:rsidR="003A796B" w:rsidRDefault="003A796B" w:rsidP="009D7E30">
          <w:r w:rsidRPr="003A796B">
            <w:rPr>
              <w:noProof/>
              <w:lang w:eastAsia="en-AU"/>
            </w:rPr>
            <w:drawing>
              <wp:inline distT="0" distB="0" distL="0" distR="0" wp14:anchorId="79FFAD43" wp14:editId="60A6EDBB">
                <wp:extent cx="5382895" cy="3102554"/>
                <wp:effectExtent l="0" t="0" r="8255" b="3175"/>
                <wp:docPr id="3" name="Picture 3" descr="Figure 1 illustrates the change in the available offers which led to higher prices in the 10 am scheduling horizon. The figure does not take into account the beginning-of-day linepack target at 6 am. Injection and withdrawal (supply/demand) bid curves at 10 am have been adjusted to represent the constraint on supply at Longford and the shortfall in Longford injections from the previous sched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3102554"/>
                        </a:xfrm>
                        <a:prstGeom prst="rect">
                          <a:avLst/>
                        </a:prstGeom>
                        <a:noFill/>
                        <a:ln>
                          <a:noFill/>
                        </a:ln>
                      </pic:spPr>
                    </pic:pic>
                  </a:graphicData>
                </a:graphic>
              </wp:inline>
            </w:drawing>
          </w:r>
        </w:p>
        <w:p w:rsidR="00AC6415" w:rsidRDefault="00AC6415" w:rsidP="009D7E30"/>
        <w:p w:rsidR="00AC6415" w:rsidRDefault="00C019EE" w:rsidP="009D7E30">
          <w:r>
            <w:t xml:space="preserve">In addition to changed supply conditions, </w:t>
          </w:r>
          <w:r w:rsidR="00AC6415">
            <w:t xml:space="preserve">higher demand </w:t>
          </w:r>
          <w:r>
            <w:t xml:space="preserve">forecasts (5.4 TJ) </w:t>
          </w:r>
          <w:r w:rsidR="00AC6415">
            <w:t>led to AEMO scheduling higher priced injections, which increased the schedule price from $5.75/GJ to $16.89/GJ at 10 am.</w:t>
          </w:r>
        </w:p>
        <w:p w:rsidR="00B524BE" w:rsidRDefault="009B5B13" w:rsidP="009D7E30">
          <w:r>
            <w:t>As the price increased</w:t>
          </w:r>
          <w:r w:rsidR="00C019EE">
            <w:t xml:space="preserve"> for the 10 am schedule</w:t>
          </w:r>
          <w:r>
            <w:t>, there were a number of withdrawal bids which had been above the 6 am price, but were now below the higher 10 am price</w:t>
          </w:r>
          <w:r w:rsidR="00C019EE">
            <w:t xml:space="preserve"> and no longer scheduled</w:t>
          </w:r>
          <w:r>
            <w:t>. These were largely located at the Culcairn an</w:t>
          </w:r>
          <w:r w:rsidR="00C019EE">
            <w:t xml:space="preserve">d Iona withdrawal points. </w:t>
          </w:r>
          <w:r>
            <w:t>This resulted in those withdrawal bids being de-scheduled</w:t>
          </w:r>
          <w:r w:rsidR="00B524BE">
            <w:t xml:space="preserve"> (48.75 TJ)</w:t>
          </w:r>
          <w:r>
            <w:t xml:space="preserve">, accounting for just under $293,000 of the </w:t>
          </w:r>
          <w:r w:rsidR="00E0429F">
            <w:t>negative APs</w:t>
          </w:r>
          <w:r>
            <w:t xml:space="preserve">. </w:t>
          </w:r>
        </w:p>
        <w:p w:rsidR="00B524BE" w:rsidRDefault="00B524BE" w:rsidP="009D7E30">
          <w:r>
            <w:t>Following de-scheduling, participants no longer supplying the quantities of gas they had been paid for at 6 am must refund that money to the market. That is, participants who had been paid for their supply, through imbalance payments related to the 6 am scheduled quantity at the 6 am schedule price, were now required to pay back money for the amount of gas they were no longer forecast to provide.</w:t>
          </w:r>
        </w:p>
        <w:p w:rsidR="001B1668" w:rsidRDefault="001B1668" w:rsidP="001B1668">
          <w:pPr>
            <w:rPr>
              <w:bCs/>
            </w:rPr>
          </w:pPr>
          <w:r>
            <w:rPr>
              <w:bCs/>
            </w:rPr>
            <w:fldChar w:fldCharType="begin"/>
          </w:r>
          <w:r>
            <w:rPr>
              <w:bCs/>
            </w:rPr>
            <w:instrText xml:space="preserve"> REF _Ref475020483 \h </w:instrText>
          </w:r>
          <w:r>
            <w:rPr>
              <w:bCs/>
            </w:rPr>
          </w:r>
          <w:r>
            <w:rPr>
              <w:bCs/>
            </w:rPr>
            <w:fldChar w:fldCharType="separate"/>
          </w:r>
          <w:r w:rsidR="00E43F32">
            <w:t xml:space="preserve">Table </w:t>
          </w:r>
          <w:r w:rsidR="00E43F32">
            <w:rPr>
              <w:noProof/>
            </w:rPr>
            <w:t>1</w:t>
          </w:r>
          <w:r>
            <w:rPr>
              <w:bCs/>
            </w:rPr>
            <w:fldChar w:fldCharType="end"/>
          </w:r>
          <w:r>
            <w:rPr>
              <w:bCs/>
            </w:rPr>
            <w:t xml:space="preserve"> shows a breakdown of the separate components which factor into the negative ancillary payment amounts accrued across the five daily schedules</w:t>
          </w:r>
          <w:r w:rsidR="007A09E5">
            <w:rPr>
              <w:bCs/>
            </w:rPr>
            <w:t xml:space="preserve"> highlighting the </w:t>
          </w:r>
          <w:r w:rsidR="00B555CA">
            <w:rPr>
              <w:bCs/>
            </w:rPr>
            <w:t>10 </w:t>
          </w:r>
          <w:r w:rsidR="007A09E5">
            <w:rPr>
              <w:bCs/>
            </w:rPr>
            <w:t>am schedule</w:t>
          </w:r>
          <w:r>
            <w:rPr>
              <w:bCs/>
            </w:rPr>
            <w:t>. The c</w:t>
          </w:r>
          <w:r w:rsidRPr="00CE6FD9">
            <w:rPr>
              <w:bCs/>
            </w:rPr>
            <w:t xml:space="preserve">lawed back negative APs are redistributed to </w:t>
          </w:r>
          <w:r>
            <w:rPr>
              <w:bCs/>
            </w:rPr>
            <w:t xml:space="preserve">participants </w:t>
          </w:r>
          <w:r w:rsidRPr="00CE6FD9">
            <w:rPr>
              <w:bCs/>
            </w:rPr>
            <w:t>via negative uplifts</w:t>
          </w:r>
          <w:r>
            <w:rPr>
              <w:bCs/>
            </w:rPr>
            <w:t>.</w:t>
          </w:r>
          <w:r w:rsidR="006B67EA" w:rsidRPr="006B67EA">
            <w:t xml:space="preserve"> </w:t>
          </w:r>
        </w:p>
        <w:p w:rsidR="001B1668" w:rsidRDefault="001B1668" w:rsidP="001B1668">
          <w:pPr>
            <w:pStyle w:val="Caption"/>
          </w:pPr>
          <w:bookmarkStart w:id="9" w:name="_Ref475020483"/>
          <w:r>
            <w:t xml:space="preserve">Table </w:t>
          </w:r>
          <w:fldSimple w:instr=" SEQ Table \* ARABIC ">
            <w:r w:rsidR="00E43F32">
              <w:rPr>
                <w:noProof/>
              </w:rPr>
              <w:t>1</w:t>
            </w:r>
          </w:fldSimple>
          <w:bookmarkEnd w:id="9"/>
          <w:r>
            <w:t xml:space="preserve"> – </w:t>
          </w:r>
          <w:r w:rsidR="00C019EE">
            <w:t xml:space="preserve">Volumes / </w:t>
          </w:r>
          <w:r>
            <w:t>payment</w:t>
          </w:r>
          <w:r w:rsidR="00C019EE">
            <w:t>s</w:t>
          </w:r>
          <w:r>
            <w:t xml:space="preserve"> </w:t>
          </w:r>
          <w:r w:rsidR="00C019EE">
            <w:t xml:space="preserve">(including funding allocation) </w:t>
          </w:r>
          <w:r>
            <w:t>by schedule</w:t>
          </w:r>
        </w:p>
        <w:tbl>
          <w:tblPr>
            <w:tblStyle w:val="AERTable-Text1"/>
            <w:tblW w:w="8472" w:type="dxa"/>
            <w:tblLook w:val="04A0" w:firstRow="1" w:lastRow="0" w:firstColumn="1" w:lastColumn="0" w:noHBand="0" w:noVBand="1"/>
          </w:tblPr>
          <w:tblGrid>
            <w:gridCol w:w="1526"/>
            <w:gridCol w:w="1559"/>
            <w:gridCol w:w="1316"/>
            <w:gridCol w:w="1377"/>
            <w:gridCol w:w="1418"/>
            <w:gridCol w:w="1276"/>
          </w:tblGrid>
          <w:tr w:rsidR="00C019EE" w:rsidRPr="00C80E9B" w:rsidTr="00F41E8A">
            <w:trPr>
              <w:cnfStyle w:val="100000000000" w:firstRow="1" w:lastRow="0" w:firstColumn="0" w:lastColumn="0" w:oddVBand="0" w:evenVBand="0" w:oddHBand="0" w:evenHBand="0" w:firstRowFirstColumn="0" w:firstRowLastColumn="0" w:lastRowFirstColumn="0" w:lastRowLastColumn="0"/>
              <w:trHeight w:val="202"/>
            </w:trPr>
            <w:tc>
              <w:tcPr>
                <w:tcW w:w="1526" w:type="dxa"/>
                <w:vMerge w:val="restart"/>
                <w:vAlign w:val="center"/>
              </w:tcPr>
              <w:p w:rsidR="00C019EE" w:rsidRPr="00C80E9B" w:rsidRDefault="00C019EE" w:rsidP="00F41E8A">
                <w:pPr>
                  <w:jc w:val="center"/>
                </w:pPr>
                <w:r w:rsidRPr="00C80E9B">
                  <w:t>Schedule</w:t>
                </w:r>
              </w:p>
            </w:tc>
            <w:tc>
              <w:tcPr>
                <w:tcW w:w="1559" w:type="dxa"/>
                <w:vMerge w:val="restart"/>
                <w:vAlign w:val="center"/>
              </w:tcPr>
              <w:p w:rsidR="00C019EE" w:rsidRPr="00C80E9B" w:rsidRDefault="00C019EE" w:rsidP="00430350">
                <w:pPr>
                  <w:jc w:val="center"/>
                </w:pPr>
                <w:r>
                  <w:t>De-scheduled quantity (TJ)</w:t>
                </w:r>
              </w:p>
            </w:tc>
            <w:tc>
              <w:tcPr>
                <w:tcW w:w="4111" w:type="dxa"/>
                <w:gridSpan w:val="3"/>
                <w:vAlign w:val="center"/>
              </w:tcPr>
              <w:p w:rsidR="00C019EE" w:rsidRPr="00C80E9B" w:rsidRDefault="00C019EE" w:rsidP="00F41E8A">
                <w:pPr>
                  <w:spacing w:before="120" w:after="0"/>
                  <w:jc w:val="center"/>
                </w:pPr>
                <w:r>
                  <w:t>ANCILLARY PAYMENT</w:t>
                </w:r>
                <w:r w:rsidR="00B51F6E">
                  <w:t>S</w:t>
                </w:r>
              </w:p>
            </w:tc>
            <w:tc>
              <w:tcPr>
                <w:tcW w:w="1276" w:type="dxa"/>
                <w:vMerge w:val="restart"/>
                <w:vAlign w:val="center"/>
              </w:tcPr>
              <w:p w:rsidR="00C019EE" w:rsidRPr="00C80E9B" w:rsidRDefault="00C019EE" w:rsidP="00430350">
                <w:pPr>
                  <w:jc w:val="center"/>
                </w:pPr>
                <w:r w:rsidRPr="00C80E9B">
                  <w:t>Total amount</w:t>
                </w:r>
                <w:r>
                  <w:t xml:space="preserve"> ($)</w:t>
                </w:r>
              </w:p>
            </w:tc>
          </w:tr>
          <w:tr w:rsidR="00C019EE" w:rsidRPr="00C80E9B" w:rsidTr="00F41E8A">
            <w:trPr>
              <w:cnfStyle w:val="000000100000" w:firstRow="0" w:lastRow="0" w:firstColumn="0" w:lastColumn="0" w:oddVBand="0" w:evenVBand="0" w:oddHBand="1" w:evenHBand="0" w:firstRowFirstColumn="0" w:firstRowLastColumn="0" w:lastRowFirstColumn="0" w:lastRowLastColumn="0"/>
              <w:trHeight w:val="201"/>
            </w:trPr>
            <w:tc>
              <w:tcPr>
                <w:tcW w:w="1526" w:type="dxa"/>
                <w:vMerge/>
              </w:tcPr>
              <w:p w:rsidR="00C019EE" w:rsidRPr="00C80E9B" w:rsidRDefault="00C019EE" w:rsidP="003631CA"/>
            </w:tc>
            <w:tc>
              <w:tcPr>
                <w:tcW w:w="1559" w:type="dxa"/>
                <w:vMerge/>
                <w:vAlign w:val="center"/>
              </w:tcPr>
              <w:p w:rsidR="00C019EE" w:rsidRDefault="00C019EE">
                <w:pPr>
                  <w:jc w:val="center"/>
                </w:pPr>
              </w:p>
            </w:tc>
            <w:tc>
              <w:tcPr>
                <w:tcW w:w="1316" w:type="dxa"/>
                <w:tcBorders>
                  <w:bottom w:val="nil"/>
                </w:tcBorders>
                <w:shd w:val="clear" w:color="auto" w:fill="076A92" w:themeFill="text1"/>
                <w:vAlign w:val="center"/>
              </w:tcPr>
              <w:p w:rsidR="00C019EE" w:rsidRPr="00C019EE" w:rsidRDefault="00C019EE">
                <w:pPr>
                  <w:jc w:val="center"/>
                  <w:rPr>
                    <w:color w:val="FFFFFF" w:themeColor="background1"/>
                  </w:rPr>
                </w:pPr>
                <w:r w:rsidRPr="00C019EE">
                  <w:rPr>
                    <w:color w:val="FFFFFF" w:themeColor="background1"/>
                  </w:rPr>
                  <w:t>Congestion amount ($)</w:t>
                </w:r>
              </w:p>
            </w:tc>
            <w:tc>
              <w:tcPr>
                <w:tcW w:w="1377" w:type="dxa"/>
                <w:shd w:val="clear" w:color="auto" w:fill="076A92"/>
                <w:vAlign w:val="center"/>
              </w:tcPr>
              <w:p w:rsidR="00C019EE" w:rsidRPr="00C019EE" w:rsidRDefault="00C019EE">
                <w:pPr>
                  <w:jc w:val="center"/>
                  <w:rPr>
                    <w:color w:val="FFFFFF" w:themeColor="background1"/>
                  </w:rPr>
                </w:pPr>
                <w:r w:rsidRPr="00C019EE">
                  <w:rPr>
                    <w:color w:val="FFFFFF" w:themeColor="background1"/>
                  </w:rPr>
                  <w:t>Surprise amount ($)</w:t>
                </w:r>
              </w:p>
            </w:tc>
            <w:tc>
              <w:tcPr>
                <w:tcW w:w="1418" w:type="dxa"/>
                <w:shd w:val="clear" w:color="auto" w:fill="076A92"/>
                <w:vAlign w:val="center"/>
              </w:tcPr>
              <w:p w:rsidR="00C019EE" w:rsidRPr="00C019EE" w:rsidRDefault="00C019EE">
                <w:pPr>
                  <w:jc w:val="center"/>
                  <w:rPr>
                    <w:color w:val="FFFFFF" w:themeColor="background1"/>
                  </w:rPr>
                </w:pPr>
                <w:r w:rsidRPr="00C019EE">
                  <w:rPr>
                    <w:color w:val="FFFFFF" w:themeColor="background1"/>
                  </w:rPr>
                  <w:t>Common amount ($)</w:t>
                </w:r>
              </w:p>
            </w:tc>
            <w:tc>
              <w:tcPr>
                <w:tcW w:w="1276" w:type="dxa"/>
                <w:vMerge/>
                <w:vAlign w:val="center"/>
              </w:tcPr>
              <w:p w:rsidR="00C019EE" w:rsidRPr="00C80E9B" w:rsidRDefault="00C019EE">
                <w:pPr>
                  <w:jc w:val="center"/>
                </w:pPr>
              </w:p>
            </w:tc>
          </w:tr>
          <w:tr w:rsidR="00E93043" w:rsidRPr="00181A65" w:rsidTr="00C019EE">
            <w:trPr>
              <w:cnfStyle w:val="000000010000" w:firstRow="0" w:lastRow="0" w:firstColumn="0" w:lastColumn="0" w:oddVBand="0" w:evenVBand="0" w:oddHBand="0" w:evenHBand="1" w:firstRowFirstColumn="0" w:firstRowLastColumn="0" w:lastRowFirstColumn="0" w:lastRowLastColumn="0"/>
            </w:trPr>
            <w:tc>
              <w:tcPr>
                <w:tcW w:w="1526" w:type="dxa"/>
              </w:tcPr>
              <w:p w:rsidR="00E93043" w:rsidRPr="00B555CA" w:rsidRDefault="00E93043" w:rsidP="003631CA">
                <w:pPr>
                  <w:rPr>
                    <w:sz w:val="16"/>
                    <w:szCs w:val="16"/>
                  </w:rPr>
                </w:pPr>
                <w:r w:rsidRPr="00B555CA">
                  <w:rPr>
                    <w:sz w:val="16"/>
                    <w:szCs w:val="16"/>
                  </w:rPr>
                  <w:t>6 am</w:t>
                </w:r>
              </w:p>
            </w:tc>
            <w:tc>
              <w:tcPr>
                <w:tcW w:w="1559" w:type="dxa"/>
              </w:tcPr>
              <w:p w:rsidR="00E93043" w:rsidRPr="00B555CA" w:rsidRDefault="00E93043" w:rsidP="003631CA">
                <w:pPr>
                  <w:ind w:right="175"/>
                  <w:jc w:val="right"/>
                  <w:rPr>
                    <w:sz w:val="16"/>
                    <w:szCs w:val="16"/>
                  </w:rPr>
                </w:pPr>
              </w:p>
            </w:tc>
            <w:tc>
              <w:tcPr>
                <w:tcW w:w="1316" w:type="dxa"/>
                <w:tcBorders>
                  <w:top w:val="nil"/>
                </w:tcBorders>
              </w:tcPr>
              <w:p w:rsidR="00E93043" w:rsidRPr="00B555CA" w:rsidRDefault="00E93043" w:rsidP="003631CA">
                <w:pPr>
                  <w:ind w:right="175"/>
                  <w:jc w:val="right"/>
                  <w:rPr>
                    <w:sz w:val="16"/>
                    <w:szCs w:val="16"/>
                  </w:rPr>
                </w:pPr>
                <w:r w:rsidRPr="00B555CA">
                  <w:rPr>
                    <w:sz w:val="16"/>
                    <w:szCs w:val="16"/>
                  </w:rPr>
                  <w:t xml:space="preserve">-   </w:t>
                </w:r>
              </w:p>
            </w:tc>
            <w:tc>
              <w:tcPr>
                <w:tcW w:w="1377" w:type="dxa"/>
              </w:tcPr>
              <w:p w:rsidR="00E93043" w:rsidRPr="00B555CA" w:rsidRDefault="00E93043" w:rsidP="003631CA">
                <w:pPr>
                  <w:ind w:right="175"/>
                  <w:jc w:val="right"/>
                  <w:rPr>
                    <w:sz w:val="16"/>
                    <w:szCs w:val="16"/>
                  </w:rPr>
                </w:pPr>
                <w:r w:rsidRPr="00B555CA">
                  <w:rPr>
                    <w:sz w:val="16"/>
                    <w:szCs w:val="16"/>
                  </w:rPr>
                  <w:t xml:space="preserve">-   </w:t>
                </w:r>
              </w:p>
            </w:tc>
            <w:tc>
              <w:tcPr>
                <w:tcW w:w="1418" w:type="dxa"/>
              </w:tcPr>
              <w:p w:rsidR="00E93043" w:rsidRPr="00B555CA" w:rsidRDefault="00E93043" w:rsidP="003631CA">
                <w:pPr>
                  <w:ind w:right="175"/>
                  <w:jc w:val="right"/>
                  <w:rPr>
                    <w:sz w:val="16"/>
                    <w:szCs w:val="16"/>
                  </w:rPr>
                </w:pPr>
                <w:r w:rsidRPr="00B555CA">
                  <w:rPr>
                    <w:sz w:val="16"/>
                    <w:szCs w:val="16"/>
                  </w:rPr>
                  <w:t xml:space="preserve">-   </w:t>
                </w:r>
              </w:p>
            </w:tc>
            <w:tc>
              <w:tcPr>
                <w:tcW w:w="1276" w:type="dxa"/>
              </w:tcPr>
              <w:p w:rsidR="00E93043" w:rsidRPr="00B555CA" w:rsidRDefault="00E93043" w:rsidP="003631CA">
                <w:pPr>
                  <w:ind w:right="175"/>
                  <w:jc w:val="right"/>
                  <w:rPr>
                    <w:sz w:val="16"/>
                    <w:szCs w:val="16"/>
                  </w:rPr>
                </w:pPr>
                <w:r w:rsidRPr="00B555CA">
                  <w:rPr>
                    <w:sz w:val="16"/>
                    <w:szCs w:val="16"/>
                  </w:rPr>
                  <w:t xml:space="preserve">-   </w:t>
                </w:r>
              </w:p>
            </w:tc>
          </w:tr>
          <w:tr w:rsidR="00B51F6E" w:rsidRPr="00181A65" w:rsidTr="003631CA">
            <w:trPr>
              <w:cnfStyle w:val="000000100000" w:firstRow="0" w:lastRow="0" w:firstColumn="0" w:lastColumn="0" w:oddVBand="0" w:evenVBand="0" w:oddHBand="1" w:evenHBand="0" w:firstRowFirstColumn="0" w:firstRowLastColumn="0" w:lastRowFirstColumn="0" w:lastRowLastColumn="0"/>
            </w:trPr>
            <w:tc>
              <w:tcPr>
                <w:tcW w:w="1526" w:type="dxa"/>
              </w:tcPr>
              <w:p w:rsidR="00E93043" w:rsidRPr="00B555CA" w:rsidRDefault="00E93043" w:rsidP="003631CA">
                <w:pPr>
                  <w:rPr>
                    <w:b/>
                    <w:sz w:val="20"/>
                    <w:szCs w:val="20"/>
                  </w:rPr>
                </w:pPr>
                <w:r w:rsidRPr="00B555CA">
                  <w:rPr>
                    <w:b/>
                    <w:sz w:val="20"/>
                    <w:szCs w:val="20"/>
                  </w:rPr>
                  <w:t>10 am</w:t>
                </w:r>
              </w:p>
            </w:tc>
            <w:tc>
              <w:tcPr>
                <w:tcW w:w="1559" w:type="dxa"/>
              </w:tcPr>
              <w:p w:rsidR="00E93043" w:rsidRPr="00B555CA" w:rsidRDefault="00E93043" w:rsidP="003631CA">
                <w:pPr>
                  <w:ind w:right="175"/>
                  <w:jc w:val="right"/>
                  <w:rPr>
                    <w:b/>
                    <w:sz w:val="20"/>
                    <w:szCs w:val="20"/>
                  </w:rPr>
                </w:pPr>
                <w:r w:rsidRPr="00B555CA">
                  <w:rPr>
                    <w:b/>
                    <w:sz w:val="20"/>
                    <w:szCs w:val="20"/>
                  </w:rPr>
                  <w:t>48.75</w:t>
                </w:r>
              </w:p>
            </w:tc>
            <w:tc>
              <w:tcPr>
                <w:tcW w:w="1316" w:type="dxa"/>
              </w:tcPr>
              <w:p w:rsidR="00E93043" w:rsidRPr="00B555CA" w:rsidRDefault="00E93043" w:rsidP="003631CA">
                <w:pPr>
                  <w:ind w:right="175"/>
                  <w:jc w:val="right"/>
                  <w:rPr>
                    <w:b/>
                    <w:sz w:val="20"/>
                    <w:szCs w:val="20"/>
                  </w:rPr>
                </w:pPr>
                <w:r w:rsidRPr="00B555CA">
                  <w:rPr>
                    <w:b/>
                    <w:sz w:val="20"/>
                    <w:szCs w:val="20"/>
                  </w:rPr>
                  <w:t xml:space="preserve">-78,523 </w:t>
                </w:r>
              </w:p>
            </w:tc>
            <w:tc>
              <w:tcPr>
                <w:tcW w:w="1377" w:type="dxa"/>
              </w:tcPr>
              <w:p w:rsidR="00E93043" w:rsidRPr="00B555CA" w:rsidRDefault="00E93043" w:rsidP="003631CA">
                <w:pPr>
                  <w:ind w:right="175"/>
                  <w:jc w:val="right"/>
                  <w:rPr>
                    <w:b/>
                    <w:sz w:val="20"/>
                    <w:szCs w:val="20"/>
                  </w:rPr>
                </w:pPr>
                <w:r w:rsidRPr="00B555CA">
                  <w:rPr>
                    <w:b/>
                    <w:sz w:val="20"/>
                    <w:szCs w:val="20"/>
                  </w:rPr>
                  <w:t xml:space="preserve">-87,924 </w:t>
                </w:r>
              </w:p>
            </w:tc>
            <w:tc>
              <w:tcPr>
                <w:tcW w:w="1418" w:type="dxa"/>
              </w:tcPr>
              <w:p w:rsidR="00E93043" w:rsidRPr="00B555CA" w:rsidRDefault="00E93043" w:rsidP="003631CA">
                <w:pPr>
                  <w:ind w:right="175"/>
                  <w:jc w:val="right"/>
                  <w:rPr>
                    <w:b/>
                    <w:sz w:val="20"/>
                    <w:szCs w:val="20"/>
                  </w:rPr>
                </w:pPr>
                <w:r w:rsidRPr="00B555CA">
                  <w:rPr>
                    <w:b/>
                    <w:sz w:val="20"/>
                    <w:szCs w:val="20"/>
                  </w:rPr>
                  <w:t xml:space="preserve">-126,206 </w:t>
                </w:r>
              </w:p>
            </w:tc>
            <w:tc>
              <w:tcPr>
                <w:tcW w:w="1276" w:type="dxa"/>
              </w:tcPr>
              <w:p w:rsidR="00E93043" w:rsidRPr="00B555CA" w:rsidRDefault="00E93043" w:rsidP="003631CA">
                <w:pPr>
                  <w:ind w:right="175"/>
                  <w:jc w:val="right"/>
                  <w:rPr>
                    <w:b/>
                    <w:sz w:val="20"/>
                    <w:szCs w:val="20"/>
                  </w:rPr>
                </w:pPr>
                <w:r w:rsidRPr="00B555CA">
                  <w:rPr>
                    <w:b/>
                    <w:sz w:val="20"/>
                    <w:szCs w:val="20"/>
                  </w:rPr>
                  <w:t xml:space="preserve">-292,653 </w:t>
                </w:r>
              </w:p>
            </w:tc>
          </w:tr>
          <w:tr w:rsidR="00E93043" w:rsidRPr="00181A65" w:rsidTr="003631CA">
            <w:trPr>
              <w:cnfStyle w:val="000000010000" w:firstRow="0" w:lastRow="0" w:firstColumn="0" w:lastColumn="0" w:oddVBand="0" w:evenVBand="0" w:oddHBand="0" w:evenHBand="1" w:firstRowFirstColumn="0" w:firstRowLastColumn="0" w:lastRowFirstColumn="0" w:lastRowLastColumn="0"/>
            </w:trPr>
            <w:tc>
              <w:tcPr>
                <w:tcW w:w="1526" w:type="dxa"/>
              </w:tcPr>
              <w:p w:rsidR="00E93043" w:rsidRPr="00B555CA" w:rsidRDefault="00E93043" w:rsidP="003631CA">
                <w:pPr>
                  <w:rPr>
                    <w:sz w:val="16"/>
                    <w:szCs w:val="16"/>
                  </w:rPr>
                </w:pPr>
                <w:r w:rsidRPr="00B555CA">
                  <w:rPr>
                    <w:sz w:val="16"/>
                    <w:szCs w:val="16"/>
                  </w:rPr>
                  <w:t>2 pm</w:t>
                </w:r>
              </w:p>
            </w:tc>
            <w:tc>
              <w:tcPr>
                <w:tcW w:w="1559" w:type="dxa"/>
              </w:tcPr>
              <w:p w:rsidR="00E93043" w:rsidRPr="00B555CA" w:rsidRDefault="00E93043" w:rsidP="003631CA">
                <w:pPr>
                  <w:ind w:right="175"/>
                  <w:jc w:val="right"/>
                  <w:rPr>
                    <w:sz w:val="16"/>
                    <w:szCs w:val="16"/>
                  </w:rPr>
                </w:pPr>
                <w:r w:rsidRPr="00B555CA">
                  <w:rPr>
                    <w:sz w:val="16"/>
                    <w:szCs w:val="16"/>
                  </w:rPr>
                  <w:t>16.67</w:t>
                </w:r>
              </w:p>
            </w:tc>
            <w:tc>
              <w:tcPr>
                <w:tcW w:w="1316" w:type="dxa"/>
              </w:tcPr>
              <w:p w:rsidR="00E93043" w:rsidRPr="00B555CA" w:rsidRDefault="00E93043" w:rsidP="003631CA">
                <w:pPr>
                  <w:ind w:right="175"/>
                  <w:jc w:val="right"/>
                  <w:rPr>
                    <w:sz w:val="16"/>
                    <w:szCs w:val="16"/>
                  </w:rPr>
                </w:pPr>
                <w:r w:rsidRPr="00B555CA">
                  <w:rPr>
                    <w:sz w:val="16"/>
                    <w:szCs w:val="16"/>
                  </w:rPr>
                  <w:t xml:space="preserve">-6,798 </w:t>
                </w:r>
              </w:p>
            </w:tc>
            <w:tc>
              <w:tcPr>
                <w:tcW w:w="1377" w:type="dxa"/>
              </w:tcPr>
              <w:p w:rsidR="00E93043" w:rsidRPr="00B555CA" w:rsidRDefault="00E93043" w:rsidP="003631CA">
                <w:pPr>
                  <w:ind w:right="175"/>
                  <w:jc w:val="right"/>
                  <w:rPr>
                    <w:sz w:val="16"/>
                    <w:szCs w:val="16"/>
                  </w:rPr>
                </w:pPr>
                <w:r w:rsidRPr="00B555CA">
                  <w:rPr>
                    <w:sz w:val="16"/>
                    <w:szCs w:val="16"/>
                  </w:rPr>
                  <w:t xml:space="preserve">-52,218 </w:t>
                </w:r>
              </w:p>
            </w:tc>
            <w:tc>
              <w:tcPr>
                <w:tcW w:w="1418" w:type="dxa"/>
              </w:tcPr>
              <w:p w:rsidR="00E93043" w:rsidRPr="00B555CA" w:rsidRDefault="00E93043" w:rsidP="003631CA">
                <w:pPr>
                  <w:ind w:right="175"/>
                  <w:jc w:val="right"/>
                  <w:rPr>
                    <w:sz w:val="16"/>
                    <w:szCs w:val="16"/>
                  </w:rPr>
                </w:pPr>
                <w:r w:rsidRPr="00B555CA">
                  <w:rPr>
                    <w:sz w:val="16"/>
                    <w:szCs w:val="16"/>
                  </w:rPr>
                  <w:t xml:space="preserve">-1,128 </w:t>
                </w:r>
              </w:p>
            </w:tc>
            <w:tc>
              <w:tcPr>
                <w:tcW w:w="1276" w:type="dxa"/>
              </w:tcPr>
              <w:p w:rsidR="00E93043" w:rsidRPr="00B555CA" w:rsidRDefault="00E93043" w:rsidP="003631CA">
                <w:pPr>
                  <w:ind w:right="175"/>
                  <w:jc w:val="right"/>
                  <w:rPr>
                    <w:sz w:val="16"/>
                    <w:szCs w:val="16"/>
                  </w:rPr>
                </w:pPr>
                <w:r w:rsidRPr="00B555CA">
                  <w:rPr>
                    <w:sz w:val="16"/>
                    <w:szCs w:val="16"/>
                  </w:rPr>
                  <w:t xml:space="preserve">-60,144 </w:t>
                </w:r>
              </w:p>
            </w:tc>
          </w:tr>
          <w:tr w:rsidR="00B51F6E" w:rsidRPr="00181A65" w:rsidTr="003631CA">
            <w:trPr>
              <w:cnfStyle w:val="000000100000" w:firstRow="0" w:lastRow="0" w:firstColumn="0" w:lastColumn="0" w:oddVBand="0" w:evenVBand="0" w:oddHBand="1" w:evenHBand="0" w:firstRowFirstColumn="0" w:firstRowLastColumn="0" w:lastRowFirstColumn="0" w:lastRowLastColumn="0"/>
            </w:trPr>
            <w:tc>
              <w:tcPr>
                <w:tcW w:w="1526" w:type="dxa"/>
              </w:tcPr>
              <w:p w:rsidR="00E93043" w:rsidRPr="00B555CA" w:rsidRDefault="00E93043" w:rsidP="003631CA">
                <w:pPr>
                  <w:rPr>
                    <w:sz w:val="16"/>
                    <w:szCs w:val="16"/>
                  </w:rPr>
                </w:pPr>
                <w:r w:rsidRPr="00B555CA">
                  <w:rPr>
                    <w:sz w:val="16"/>
                    <w:szCs w:val="16"/>
                  </w:rPr>
                  <w:t>6 pm</w:t>
                </w:r>
              </w:p>
            </w:tc>
            <w:tc>
              <w:tcPr>
                <w:tcW w:w="1559" w:type="dxa"/>
              </w:tcPr>
              <w:p w:rsidR="00E93043" w:rsidRPr="00B555CA" w:rsidRDefault="00E93043" w:rsidP="003631CA">
                <w:pPr>
                  <w:ind w:right="175"/>
                  <w:jc w:val="right"/>
                  <w:rPr>
                    <w:sz w:val="16"/>
                    <w:szCs w:val="16"/>
                  </w:rPr>
                </w:pPr>
                <w:r w:rsidRPr="00B555CA">
                  <w:rPr>
                    <w:sz w:val="16"/>
                    <w:szCs w:val="16"/>
                  </w:rPr>
                  <w:t>28.62</w:t>
                </w:r>
              </w:p>
            </w:tc>
            <w:tc>
              <w:tcPr>
                <w:tcW w:w="1316" w:type="dxa"/>
              </w:tcPr>
              <w:p w:rsidR="00E93043" w:rsidRPr="00B555CA" w:rsidRDefault="00E93043" w:rsidP="003631CA">
                <w:pPr>
                  <w:ind w:right="175"/>
                  <w:jc w:val="right"/>
                  <w:rPr>
                    <w:sz w:val="16"/>
                    <w:szCs w:val="16"/>
                  </w:rPr>
                </w:pPr>
                <w:r w:rsidRPr="00B555CA">
                  <w:rPr>
                    <w:sz w:val="16"/>
                    <w:szCs w:val="16"/>
                  </w:rPr>
                  <w:t xml:space="preserve">-   </w:t>
                </w:r>
              </w:p>
            </w:tc>
            <w:tc>
              <w:tcPr>
                <w:tcW w:w="1377" w:type="dxa"/>
              </w:tcPr>
              <w:p w:rsidR="00E93043" w:rsidRPr="00B555CA" w:rsidRDefault="00E93043" w:rsidP="003631CA">
                <w:pPr>
                  <w:ind w:right="175"/>
                  <w:jc w:val="right"/>
                  <w:rPr>
                    <w:sz w:val="16"/>
                    <w:szCs w:val="16"/>
                  </w:rPr>
                </w:pPr>
                <w:r w:rsidRPr="00B555CA">
                  <w:rPr>
                    <w:sz w:val="16"/>
                    <w:szCs w:val="16"/>
                  </w:rPr>
                  <w:t xml:space="preserve">-8,763 </w:t>
                </w:r>
              </w:p>
            </w:tc>
            <w:tc>
              <w:tcPr>
                <w:tcW w:w="1418" w:type="dxa"/>
              </w:tcPr>
              <w:p w:rsidR="00E93043" w:rsidRPr="00B555CA" w:rsidRDefault="00E93043" w:rsidP="003631CA">
                <w:pPr>
                  <w:ind w:right="175"/>
                  <w:jc w:val="right"/>
                  <w:rPr>
                    <w:sz w:val="16"/>
                    <w:szCs w:val="16"/>
                  </w:rPr>
                </w:pPr>
                <w:r w:rsidRPr="00B555CA">
                  <w:rPr>
                    <w:sz w:val="16"/>
                    <w:szCs w:val="16"/>
                  </w:rPr>
                  <w:t xml:space="preserve">-683 </w:t>
                </w:r>
              </w:p>
            </w:tc>
            <w:tc>
              <w:tcPr>
                <w:tcW w:w="1276" w:type="dxa"/>
              </w:tcPr>
              <w:p w:rsidR="00E93043" w:rsidRPr="00B555CA" w:rsidRDefault="00E93043" w:rsidP="003631CA">
                <w:pPr>
                  <w:ind w:right="175"/>
                  <w:jc w:val="right"/>
                  <w:rPr>
                    <w:sz w:val="16"/>
                    <w:szCs w:val="16"/>
                  </w:rPr>
                </w:pPr>
                <w:r w:rsidRPr="00B555CA">
                  <w:rPr>
                    <w:sz w:val="16"/>
                    <w:szCs w:val="16"/>
                  </w:rPr>
                  <w:t xml:space="preserve">-9,447 </w:t>
                </w:r>
              </w:p>
            </w:tc>
          </w:tr>
          <w:tr w:rsidR="00E93043" w:rsidRPr="00181A65" w:rsidTr="003631CA">
            <w:trPr>
              <w:cnfStyle w:val="000000010000" w:firstRow="0" w:lastRow="0" w:firstColumn="0" w:lastColumn="0" w:oddVBand="0" w:evenVBand="0" w:oddHBand="0" w:evenHBand="1" w:firstRowFirstColumn="0" w:firstRowLastColumn="0" w:lastRowFirstColumn="0" w:lastRowLastColumn="0"/>
            </w:trPr>
            <w:tc>
              <w:tcPr>
                <w:tcW w:w="1526" w:type="dxa"/>
              </w:tcPr>
              <w:p w:rsidR="00E93043" w:rsidRPr="00B555CA" w:rsidRDefault="00E93043" w:rsidP="003631CA">
                <w:pPr>
                  <w:rPr>
                    <w:sz w:val="16"/>
                    <w:szCs w:val="16"/>
                  </w:rPr>
                </w:pPr>
                <w:r w:rsidRPr="00B555CA">
                  <w:rPr>
                    <w:sz w:val="16"/>
                    <w:szCs w:val="16"/>
                  </w:rPr>
                  <w:t>10 pm</w:t>
                </w:r>
              </w:p>
            </w:tc>
            <w:tc>
              <w:tcPr>
                <w:tcW w:w="1559" w:type="dxa"/>
              </w:tcPr>
              <w:p w:rsidR="00E93043" w:rsidRPr="00B555CA" w:rsidRDefault="00E93043" w:rsidP="003631CA">
                <w:pPr>
                  <w:ind w:right="175"/>
                  <w:jc w:val="right"/>
                  <w:rPr>
                    <w:sz w:val="16"/>
                    <w:szCs w:val="16"/>
                  </w:rPr>
                </w:pPr>
                <w:r w:rsidRPr="00B555CA">
                  <w:rPr>
                    <w:sz w:val="16"/>
                    <w:szCs w:val="16"/>
                  </w:rPr>
                  <w:t>4.34</w:t>
                </w:r>
              </w:p>
            </w:tc>
            <w:tc>
              <w:tcPr>
                <w:tcW w:w="1316" w:type="dxa"/>
              </w:tcPr>
              <w:p w:rsidR="00E93043" w:rsidRPr="00B555CA" w:rsidRDefault="00E93043" w:rsidP="003631CA">
                <w:pPr>
                  <w:ind w:right="175"/>
                  <w:jc w:val="right"/>
                  <w:rPr>
                    <w:sz w:val="16"/>
                    <w:szCs w:val="16"/>
                  </w:rPr>
                </w:pPr>
                <w:r w:rsidRPr="00B555CA">
                  <w:rPr>
                    <w:sz w:val="16"/>
                    <w:szCs w:val="16"/>
                  </w:rPr>
                  <w:t xml:space="preserve">-   </w:t>
                </w:r>
              </w:p>
            </w:tc>
            <w:tc>
              <w:tcPr>
                <w:tcW w:w="1377" w:type="dxa"/>
              </w:tcPr>
              <w:p w:rsidR="00E93043" w:rsidRPr="00B555CA" w:rsidRDefault="00E93043" w:rsidP="003631CA">
                <w:pPr>
                  <w:ind w:right="175"/>
                  <w:jc w:val="right"/>
                  <w:rPr>
                    <w:sz w:val="16"/>
                    <w:szCs w:val="16"/>
                  </w:rPr>
                </w:pPr>
                <w:r w:rsidRPr="00B555CA">
                  <w:rPr>
                    <w:sz w:val="16"/>
                    <w:szCs w:val="16"/>
                  </w:rPr>
                  <w:t xml:space="preserve">-3,369 </w:t>
                </w:r>
              </w:p>
            </w:tc>
            <w:tc>
              <w:tcPr>
                <w:tcW w:w="1418" w:type="dxa"/>
              </w:tcPr>
              <w:p w:rsidR="00E93043" w:rsidRPr="00B555CA" w:rsidRDefault="00E93043" w:rsidP="003631CA">
                <w:pPr>
                  <w:ind w:right="175"/>
                  <w:jc w:val="right"/>
                  <w:rPr>
                    <w:sz w:val="16"/>
                    <w:szCs w:val="16"/>
                  </w:rPr>
                </w:pPr>
                <w:r w:rsidRPr="00B555CA">
                  <w:rPr>
                    <w:sz w:val="16"/>
                    <w:szCs w:val="16"/>
                  </w:rPr>
                  <w:t xml:space="preserve">-   </w:t>
                </w:r>
              </w:p>
            </w:tc>
            <w:tc>
              <w:tcPr>
                <w:tcW w:w="1276" w:type="dxa"/>
              </w:tcPr>
              <w:p w:rsidR="00E93043" w:rsidRPr="00B555CA" w:rsidRDefault="00E93043" w:rsidP="003631CA">
                <w:pPr>
                  <w:ind w:right="175"/>
                  <w:jc w:val="right"/>
                  <w:rPr>
                    <w:sz w:val="16"/>
                    <w:szCs w:val="16"/>
                  </w:rPr>
                </w:pPr>
                <w:r w:rsidRPr="00B555CA">
                  <w:rPr>
                    <w:sz w:val="16"/>
                    <w:szCs w:val="16"/>
                  </w:rPr>
                  <w:t xml:space="preserve">-3,369 </w:t>
                </w:r>
              </w:p>
            </w:tc>
          </w:tr>
        </w:tbl>
        <w:p w:rsidR="0081739C" w:rsidRDefault="001B1668" w:rsidP="009D7E30">
          <w:r>
            <w:t>From 2 pm, further gas withdrawal</w:t>
          </w:r>
          <w:r w:rsidRPr="001B1668">
            <w:t xml:space="preserve"> </w:t>
          </w:r>
          <w:r>
            <w:t>quantities at Iona and Culcairn were de-scheduled</w:t>
          </w:r>
          <w:r w:rsidR="009370AF">
            <w:t>,</w:t>
          </w:r>
          <w:r>
            <w:t xml:space="preserve"> </w:t>
          </w:r>
          <w:r w:rsidR="005D5687">
            <w:t>despite the fall in schedule price to $6.24/GJ</w:t>
          </w:r>
          <w:r w:rsidR="009370AF">
            <w:t>,</w:t>
          </w:r>
          <w:r w:rsidR="005D5687">
            <w:t xml:space="preserve"> because </w:t>
          </w:r>
          <w:r>
            <w:t>participants rebid</w:t>
          </w:r>
          <w:r w:rsidR="005D5687">
            <w:t xml:space="preserve"> further</w:t>
          </w:r>
          <w:r>
            <w:t xml:space="preserve"> to reduce high</w:t>
          </w:r>
          <w:r w:rsidR="005D5687">
            <w:t>er</w:t>
          </w:r>
          <w:r>
            <w:t xml:space="preserve"> priced withdrawal bids. </w:t>
          </w:r>
          <w:r w:rsidR="00B51F6E">
            <w:t xml:space="preserve"> Remaining </w:t>
          </w:r>
          <w:r w:rsidR="00B10BD2">
            <w:t xml:space="preserve">schedules saw further reductions </w:t>
          </w:r>
          <w:r w:rsidR="00B51F6E">
            <w:t xml:space="preserve">still </w:t>
          </w:r>
          <w:r w:rsidR="00B10BD2">
            <w:t>to the market price and similar de</w:t>
          </w:r>
          <w:r w:rsidR="0005646E">
            <w:noBreakHyphen/>
          </w:r>
          <w:r w:rsidR="00B10BD2">
            <w:t xml:space="preserve">scheduled injection quantities at 6 pm (28.6 TJ) and 10 pm (4.3 TJ). </w:t>
          </w:r>
        </w:p>
        <w:p w:rsidR="009D7E30" w:rsidRPr="00CE6FD9" w:rsidRDefault="00B51F6E" w:rsidP="009D7E30">
          <w:pPr>
            <w:rPr>
              <w:bCs/>
            </w:rPr>
          </w:pPr>
          <w:r>
            <w:rPr>
              <w:bCs/>
            </w:rPr>
            <w:t>As can be seen in Table 1, t</w:t>
          </w:r>
          <w:r w:rsidR="009D7E30">
            <w:rPr>
              <w:bCs/>
            </w:rPr>
            <w:t xml:space="preserve">he </w:t>
          </w:r>
          <w:r>
            <w:rPr>
              <w:bCs/>
            </w:rPr>
            <w:t xml:space="preserve">overwhelming </w:t>
          </w:r>
          <w:r w:rsidR="009D7E30">
            <w:rPr>
              <w:bCs/>
            </w:rPr>
            <w:t>m</w:t>
          </w:r>
          <w:r w:rsidR="009D7E30" w:rsidRPr="00CE6FD9">
            <w:rPr>
              <w:bCs/>
            </w:rPr>
            <w:t>ajority of negative congestion and surprise uplift</w:t>
          </w:r>
          <w:r w:rsidR="009D7E30">
            <w:rPr>
              <w:bCs/>
            </w:rPr>
            <w:t xml:space="preserve"> was accrued during the </w:t>
          </w:r>
          <w:r w:rsidR="009D7E30" w:rsidRPr="00CE6FD9">
            <w:rPr>
              <w:bCs/>
            </w:rPr>
            <w:t>10</w:t>
          </w:r>
          <w:r w:rsidR="009D7E30">
            <w:rPr>
              <w:bCs/>
            </w:rPr>
            <w:t> </w:t>
          </w:r>
          <w:r w:rsidR="009D7E30" w:rsidRPr="00CE6FD9">
            <w:rPr>
              <w:bCs/>
            </w:rPr>
            <w:t>am schedule</w:t>
          </w:r>
          <w:r w:rsidR="009D7E30">
            <w:rPr>
              <w:bCs/>
            </w:rPr>
            <w:t xml:space="preserve"> following the de</w:t>
          </w:r>
          <w:r w:rsidR="001067C3">
            <w:rPr>
              <w:bCs/>
            </w:rPr>
            <w:t>-</w:t>
          </w:r>
          <w:r w:rsidR="009D7E30">
            <w:rPr>
              <w:bCs/>
            </w:rPr>
            <w:t xml:space="preserve">scheduling of low-priced </w:t>
          </w:r>
          <w:r w:rsidR="009D7E30" w:rsidRPr="00CE6FD9">
            <w:rPr>
              <w:bCs/>
            </w:rPr>
            <w:t>withdrawal bids</w:t>
          </w:r>
          <w:r w:rsidR="009D7E30">
            <w:rPr>
              <w:bCs/>
            </w:rPr>
            <w:t xml:space="preserve">. This reduced system demand led to </w:t>
          </w:r>
          <w:r w:rsidR="009D7E30" w:rsidRPr="00CE6FD9">
            <w:rPr>
              <w:bCs/>
            </w:rPr>
            <w:t xml:space="preserve">a negative change in </w:t>
          </w:r>
          <w:r w:rsidR="009D7E30" w:rsidRPr="00CE6FD9">
            <w:rPr>
              <w:bCs/>
            </w:rPr>
            <w:lastRenderedPageBreak/>
            <w:t xml:space="preserve">both the congestion and the surprise uplift quantities between </w:t>
          </w:r>
          <w:r w:rsidR="009D7E30">
            <w:rPr>
              <w:bCs/>
            </w:rPr>
            <w:t xml:space="preserve">the </w:t>
          </w:r>
          <w:r w:rsidR="009D7E30" w:rsidRPr="00CE6FD9">
            <w:rPr>
              <w:bCs/>
            </w:rPr>
            <w:t>6</w:t>
          </w:r>
          <w:r w:rsidR="009D7E30">
            <w:rPr>
              <w:bCs/>
            </w:rPr>
            <w:t> </w:t>
          </w:r>
          <w:r w:rsidR="009D7E30" w:rsidRPr="00CE6FD9">
            <w:rPr>
              <w:bCs/>
            </w:rPr>
            <w:t>am and 10</w:t>
          </w:r>
          <w:r w:rsidR="009D7E30">
            <w:rPr>
              <w:bCs/>
            </w:rPr>
            <w:t> </w:t>
          </w:r>
          <w:r w:rsidR="009D7E30" w:rsidRPr="00CE6FD9">
            <w:rPr>
              <w:bCs/>
            </w:rPr>
            <w:t>am schedule</w:t>
          </w:r>
          <w:r w:rsidR="009D7E30">
            <w:rPr>
              <w:bCs/>
            </w:rPr>
            <w:t>s</w:t>
          </w:r>
          <w:r w:rsidR="009D7E30" w:rsidRPr="00CE6FD9">
            <w:rPr>
              <w:bCs/>
            </w:rPr>
            <w:t>.</w:t>
          </w:r>
          <w:r w:rsidR="009D7E30">
            <w:rPr>
              <w:rStyle w:val="FootnoteReference"/>
              <w:bCs/>
            </w:rPr>
            <w:footnoteReference w:id="7"/>
          </w:r>
        </w:p>
        <w:p w:rsidR="00B35A52" w:rsidRDefault="00EB3F5F" w:rsidP="00233255">
          <w:pPr>
            <w:rPr>
              <w:bCs/>
            </w:rPr>
          </w:pPr>
          <w:r>
            <w:rPr>
              <w:bCs/>
            </w:rPr>
            <w:t>In summary, the cost recovery of de</w:t>
          </w:r>
          <w:r w:rsidR="0005646E">
            <w:rPr>
              <w:bCs/>
            </w:rPr>
            <w:noBreakHyphen/>
          </w:r>
          <w:r>
            <w:rPr>
              <w:bCs/>
            </w:rPr>
            <w:t>scheduled gas quantities is applied through both imbalance payments and negative APs. The mechanism to recoup these costs is referred to as claw</w:t>
          </w:r>
          <w:r w:rsidR="00130B56">
            <w:rPr>
              <w:bCs/>
            </w:rPr>
            <w:t>-</w:t>
          </w:r>
          <w:r>
            <w:rPr>
              <w:bCs/>
            </w:rPr>
            <w:t>back.</w:t>
          </w:r>
        </w:p>
        <w:p w:rsidR="00F66014" w:rsidRDefault="00EB3F5F">
          <w:pPr>
            <w:rPr>
              <w:b/>
              <w:i/>
            </w:rPr>
          </w:pPr>
          <w:r>
            <w:rPr>
              <w:bCs/>
            </w:rPr>
            <w:t xml:space="preserve">Where gas has been scheduled </w:t>
          </w:r>
          <w:r w:rsidR="00924E32">
            <w:rPr>
              <w:bCs/>
            </w:rPr>
            <w:t xml:space="preserve">prior </w:t>
          </w:r>
          <w:r>
            <w:rPr>
              <w:bCs/>
            </w:rPr>
            <w:t xml:space="preserve">to mitigate system security concerns </w:t>
          </w:r>
          <w:r w:rsidR="00924E32">
            <w:rPr>
              <w:bCs/>
            </w:rPr>
            <w:t xml:space="preserve">and/or in the presence of constraints </w:t>
          </w:r>
          <w:r>
            <w:rPr>
              <w:bCs/>
            </w:rPr>
            <w:t>(</w:t>
          </w:r>
          <w:r w:rsidR="00924E32">
            <w:rPr>
              <w:bCs/>
            </w:rPr>
            <w:t>such as the scheduling of LNG)</w:t>
          </w:r>
          <w:r>
            <w:rPr>
              <w:bCs/>
            </w:rPr>
            <w:t xml:space="preserve">, negative APs </w:t>
          </w:r>
          <w:r w:rsidR="00924E32">
            <w:rPr>
              <w:bCs/>
            </w:rPr>
            <w:t xml:space="preserve">might </w:t>
          </w:r>
          <w:r>
            <w:rPr>
              <w:bCs/>
            </w:rPr>
            <w:t xml:space="preserve">occur alongside </w:t>
          </w:r>
          <w:r w:rsidR="00924E32">
            <w:rPr>
              <w:bCs/>
            </w:rPr>
            <w:t xml:space="preserve">previous </w:t>
          </w:r>
          <w:r>
            <w:rPr>
              <w:bCs/>
            </w:rPr>
            <w:t xml:space="preserve">positive ancillary payments. However, such as on </w:t>
          </w:r>
          <w:r w:rsidR="0005646E">
            <w:rPr>
              <w:bCs/>
            </w:rPr>
            <w:t>14 October</w:t>
          </w:r>
          <w:r>
            <w:rPr>
              <w:bCs/>
            </w:rPr>
            <w:t>, if gas is de-scheduled when a participant changes their bid price or reduces the volume of their bid quantity, or where gas is de</w:t>
          </w:r>
          <w:r w:rsidR="0005646E">
            <w:rPr>
              <w:bCs/>
            </w:rPr>
            <w:noBreakHyphen/>
          </w:r>
          <w:r>
            <w:rPr>
              <w:bCs/>
            </w:rPr>
            <w:t>scheduled due to fluctuations in the schedule price, negative APs may occur without any positive APs having been paid to the market.</w:t>
          </w:r>
          <w:r w:rsidR="00924E32">
            <w:rPr>
              <w:bCs/>
            </w:rPr>
            <w:t xml:space="preserve"> Negative APs happen very often </w:t>
          </w:r>
          <w:r w:rsidR="00B51F6E">
            <w:rPr>
              <w:bCs/>
            </w:rPr>
            <w:t>but until now have</w:t>
          </w:r>
          <w:r w:rsidR="00924E32">
            <w:rPr>
              <w:bCs/>
            </w:rPr>
            <w:t xml:space="preserve"> not exceeded - $250, 000.</w:t>
          </w:r>
        </w:p>
        <w:p w:rsidR="00F66014" w:rsidRPr="00D6175F" w:rsidRDefault="002531CB">
          <w:pPr>
            <w:rPr>
              <w:b/>
              <w:i/>
            </w:rPr>
          </w:pPr>
          <w:r w:rsidRPr="00430350">
            <w:rPr>
              <w:b/>
              <w:i/>
            </w:rPr>
            <w:t>Example in relation to one of the withdrawal bids de-scheduled at 10 AM</w:t>
          </w:r>
        </w:p>
        <w:p w:rsidR="002531CB" w:rsidRPr="00A40E80" w:rsidRDefault="002531CB" w:rsidP="00D6175F">
          <w:pPr>
            <w:pStyle w:val="ListParagraph"/>
            <w:numPr>
              <w:ilvl w:val="0"/>
              <w:numId w:val="37"/>
            </w:numPr>
          </w:pPr>
          <w:r>
            <w:t xml:space="preserve">For the 6 am schedule with a market clearing price of $5.75/GJ a withdrawal bid </w:t>
          </w:r>
          <w:r w:rsidR="00A40E80">
            <w:t xml:space="preserve">priced at $15 </w:t>
          </w:r>
          <w:r>
            <w:t>/GJ of 4000 GJ was scheduled in merit order. The participant paid $</w:t>
          </w:r>
          <w:r w:rsidR="00A40E80">
            <w:t xml:space="preserve">23 000 </w:t>
          </w:r>
          <w:r>
            <w:t xml:space="preserve"> being the quantity multiplied by the 6 am price</w:t>
          </w:r>
          <w:r w:rsidR="00130B56">
            <w:t>.</w:t>
          </w:r>
        </w:p>
        <w:p w:rsidR="002531CB" w:rsidRPr="00D6175F" w:rsidRDefault="002531CB" w:rsidP="00D6175F">
          <w:pPr>
            <w:pStyle w:val="ListParagraph"/>
            <w:numPr>
              <w:ilvl w:val="0"/>
              <w:numId w:val="37"/>
            </w:numPr>
            <w:rPr>
              <w:b/>
            </w:rPr>
          </w:pPr>
          <w:r>
            <w:t xml:space="preserve">At 10 AM when the market price rose to $16.90 </w:t>
          </w:r>
          <w:r w:rsidR="00A40E80">
            <w:t xml:space="preserve">most of this </w:t>
          </w:r>
          <w:r>
            <w:t>quantity was de</w:t>
          </w:r>
          <w:r w:rsidR="00D6175F">
            <w:noBreakHyphen/>
          </w:r>
          <w:r>
            <w:t>scheduled</w:t>
          </w:r>
          <w:r w:rsidR="00F66014">
            <w:t>.</w:t>
          </w:r>
          <w:r w:rsidR="00A40E80">
            <w:t xml:space="preserve"> </w:t>
          </w:r>
          <w:r>
            <w:t xml:space="preserve">The participant </w:t>
          </w:r>
          <w:r w:rsidR="00A40E80">
            <w:t xml:space="preserve">was then </w:t>
          </w:r>
          <w:r w:rsidR="00A40E80" w:rsidRPr="00D6175F">
            <w:rPr>
              <w:u w:val="single"/>
            </w:rPr>
            <w:t>paid</w:t>
          </w:r>
          <w:r w:rsidR="00A40E80">
            <w:t xml:space="preserve"> for that quantity now not needed over the rest of the day at the higher 10 am price.</w:t>
          </w:r>
        </w:p>
        <w:p w:rsidR="00A40E80" w:rsidRPr="00D6175F" w:rsidRDefault="00A40E80" w:rsidP="00D6175F">
          <w:pPr>
            <w:pStyle w:val="ListParagraph"/>
            <w:numPr>
              <w:ilvl w:val="0"/>
              <w:numId w:val="37"/>
            </w:numPr>
            <w:rPr>
              <w:b/>
            </w:rPr>
          </w:pPr>
          <w:r>
            <w:t>At this stage it had an “imbalance profit” in general terms being the volume de</w:t>
          </w:r>
          <w:r w:rsidR="00D6175F">
            <w:noBreakHyphen/>
          </w:r>
          <w:r>
            <w:t>scheduled times the difference between the 6 am and 10 am price.</w:t>
          </w:r>
        </w:p>
        <w:p w:rsidR="00A40E80" w:rsidRPr="00D6175F" w:rsidRDefault="00A40E80" w:rsidP="00D6175F">
          <w:pPr>
            <w:pStyle w:val="ListParagraph"/>
            <w:numPr>
              <w:ilvl w:val="0"/>
              <w:numId w:val="37"/>
            </w:numPr>
            <w:rPr>
              <w:b/>
            </w:rPr>
          </w:pPr>
          <w:r>
            <w:t xml:space="preserve">In these circumstances, the negative ancillary payment mechanism acts in addition to other mechanisms to claw back some of the imbalance profit that participant would otherwise receive through having gas </w:t>
          </w:r>
          <w:r w:rsidR="00D6175F">
            <w:t>de</w:t>
          </w:r>
          <w:r w:rsidR="00D6175F">
            <w:noBreakHyphen/>
          </w:r>
          <w:r>
            <w:t>scheduled.</w:t>
          </w:r>
        </w:p>
        <w:p w:rsidR="00CF1D20" w:rsidRDefault="00555AC5" w:rsidP="00233255"/>
      </w:sdtContent>
    </w:sdt>
    <w:p w:rsidR="004D7D5B" w:rsidRDefault="009925A8">
      <w:pPr>
        <w:pStyle w:val="Heading1notnumber"/>
      </w:pPr>
      <w:bookmarkStart w:id="10" w:name="_Toc476562781"/>
      <w:r>
        <w:lastRenderedPageBreak/>
        <w:t>A</w:t>
      </w:r>
      <w:r w:rsidR="004D7D5B" w:rsidRPr="004D7D5B">
        <w:t>ppendix A – AER SPV reporting thresholds</w:t>
      </w:r>
      <w:bookmarkEnd w:id="10"/>
    </w:p>
    <w:p w:rsidR="004D7D5B" w:rsidRDefault="004D7D5B" w:rsidP="00567D52">
      <w:r>
        <w:t xml:space="preserve">The Significant Price Variation Reporting thresholds are set out below. </w:t>
      </w:r>
    </w:p>
    <w:p w:rsidR="004D7D5B" w:rsidRDefault="004D7D5B" w:rsidP="00567D52">
      <w:r>
        <w:t xml:space="preserve">The two reporting thresholds set out in the </w:t>
      </w:r>
      <w:hyperlink r:id="rId16" w:history="1">
        <w:r w:rsidRPr="00010935">
          <w:rPr>
            <w:rStyle w:val="Hyperlink"/>
          </w:rPr>
          <w:t>Victorian SPV guideline</w:t>
        </w:r>
      </w:hyperlink>
      <w:r>
        <w:t xml:space="preserve"> are when:</w:t>
      </w:r>
    </w:p>
    <w:p w:rsidR="00464E1C" w:rsidRPr="005D5687" w:rsidRDefault="00464E1C" w:rsidP="00567D52">
      <w:pPr>
        <w:rPr>
          <w:i/>
        </w:rPr>
      </w:pPr>
      <w:r w:rsidRPr="005D5687">
        <w:rPr>
          <w:i/>
        </w:rPr>
        <w:t>Primary Market Reporting Mechanism</w:t>
      </w:r>
    </w:p>
    <w:p w:rsidR="00464E1C" w:rsidRDefault="004D7D5B" w:rsidP="00567D52">
      <w:pPr>
        <w:pStyle w:val="ListBullet"/>
      </w:pPr>
      <w:r>
        <w:t>the trade weighted market price published by AEMO on a gas day is more than three times the average price for the previous 30 days and the trade weighted market price is equal to or greater than $15/GJ</w:t>
      </w:r>
    </w:p>
    <w:p w:rsidR="00464E1C" w:rsidRPr="000D3FE0" w:rsidRDefault="00464E1C" w:rsidP="00567D52">
      <w:pPr>
        <w:pStyle w:val="ListBullet"/>
        <w:numPr>
          <w:ilvl w:val="0"/>
          <w:numId w:val="0"/>
        </w:numPr>
        <w:tabs>
          <w:tab w:val="left" w:pos="0"/>
        </w:tabs>
        <w:rPr>
          <w:i/>
        </w:rPr>
      </w:pPr>
      <w:r w:rsidRPr="000D3FE0">
        <w:rPr>
          <w:i/>
        </w:rPr>
        <w:t>Ancillary Market Reporting Mechanism</w:t>
      </w:r>
    </w:p>
    <w:p w:rsidR="00656C05" w:rsidRDefault="004D7D5B" w:rsidP="00567D52">
      <w:pPr>
        <w:pStyle w:val="ListBullet"/>
      </w:pPr>
      <w:r>
        <w:t>the ancillary payment amount published by AEMO on a gas day is an amount payable or receivable which exceeds $250</w:t>
      </w:r>
      <w:r w:rsidR="004308A4">
        <w:t> 000</w:t>
      </w:r>
      <w:r w:rsidR="00924E32">
        <w:t>*</w:t>
      </w:r>
      <w:r>
        <w:t xml:space="preserve"> </w:t>
      </w:r>
    </w:p>
    <w:p w:rsidR="00EB3F5F" w:rsidRPr="00305FA6" w:rsidRDefault="00924E32" w:rsidP="00305FA6">
      <w:pPr>
        <w:pStyle w:val="ListBullet"/>
        <w:numPr>
          <w:ilvl w:val="0"/>
          <w:numId w:val="0"/>
        </w:numPr>
        <w:ind w:left="284" w:hanging="284"/>
        <w:rPr>
          <w:sz w:val="18"/>
        </w:rPr>
      </w:pPr>
      <w:r w:rsidRPr="00305FA6">
        <w:rPr>
          <w:sz w:val="18"/>
        </w:rPr>
        <w:t xml:space="preserve">* </w:t>
      </w:r>
      <w:r w:rsidR="00567D52">
        <w:rPr>
          <w:sz w:val="18"/>
        </w:rPr>
        <w:tab/>
      </w:r>
      <w:r w:rsidRPr="00305FA6">
        <w:rPr>
          <w:sz w:val="18"/>
        </w:rPr>
        <w:t>The AER will continue to treat this to mean when there is a positive amount of ancillary payments generated for a day in excess of $250 000.</w:t>
      </w:r>
    </w:p>
    <w:p w:rsidR="00EB3F5F" w:rsidRDefault="00EB3F5F" w:rsidP="005D5687">
      <w:pPr>
        <w:pStyle w:val="ListBullet"/>
        <w:numPr>
          <w:ilvl w:val="0"/>
          <w:numId w:val="0"/>
        </w:numPr>
        <w:ind w:left="720" w:hanging="360"/>
        <w:jc w:val="left"/>
      </w:pPr>
    </w:p>
    <w:p w:rsidR="00EB3F5F" w:rsidRDefault="00EB3F5F" w:rsidP="005D5687">
      <w:pPr>
        <w:pStyle w:val="ListBullet"/>
        <w:numPr>
          <w:ilvl w:val="0"/>
          <w:numId w:val="0"/>
        </w:numPr>
        <w:ind w:left="720" w:hanging="360"/>
        <w:jc w:val="left"/>
        <w:sectPr w:rsidR="00EB3F5F" w:rsidSect="007315D9">
          <w:pgSz w:w="11906" w:h="16838" w:code="9"/>
          <w:pgMar w:top="1134" w:right="1700" w:bottom="1560" w:left="1729" w:header="720" w:footer="1009" w:gutter="0"/>
          <w:cols w:space="720"/>
          <w:docGrid w:linePitch="326"/>
        </w:sectPr>
      </w:pPr>
    </w:p>
    <w:p w:rsidR="00656C05" w:rsidRDefault="00656C05" w:rsidP="00EB3F5F">
      <w:pPr>
        <w:pStyle w:val="Heading1notnumber"/>
        <w:jc w:val="left"/>
      </w:pPr>
      <w:bookmarkStart w:id="11" w:name="_Toc476562782"/>
      <w:bookmarkStart w:id="12" w:name="_Toc327029417"/>
      <w:r>
        <w:lastRenderedPageBreak/>
        <w:t xml:space="preserve">Appendix B </w:t>
      </w:r>
      <w:r w:rsidR="00D812A5" w:rsidRPr="004D7D5B">
        <w:t xml:space="preserve">– </w:t>
      </w:r>
      <w:r>
        <w:t>De-scheduling &amp; Negative APs</w:t>
      </w:r>
      <w:bookmarkEnd w:id="11"/>
    </w:p>
    <w:bookmarkEnd w:id="12"/>
    <w:p w:rsidR="00343A31" w:rsidRDefault="00656C05" w:rsidP="00D812A5">
      <w:pPr>
        <w:pStyle w:val="BodyText"/>
      </w:pPr>
      <w:r>
        <w:t>In a paper dated 12 June 2012 for the Gas Wholesale Consultative Forum, AEMO published a paper titled “Inves</w:t>
      </w:r>
      <w:r w:rsidR="00D812A5">
        <w:t>tigation of Ancillary Payments”</w:t>
      </w:r>
      <w:r>
        <w:t>. In this paper AEMO noted a number of factors that can cause gas—scheduled in a previous schedule—to be de</w:t>
      </w:r>
      <w:r w:rsidR="00D812A5">
        <w:noBreakHyphen/>
      </w:r>
      <w:r>
        <w:t>scheduled subsequently</w:t>
      </w:r>
      <w:r w:rsidR="00924E32">
        <w:t>.</w:t>
      </w:r>
      <w:r>
        <w:t xml:space="preserve"> </w:t>
      </w:r>
    </w:p>
    <w:p w:rsidR="00656C05" w:rsidRDefault="00656C05" w:rsidP="00D812A5">
      <w:pPr>
        <w:pStyle w:val="BodyText"/>
      </w:pPr>
      <w:r>
        <w:t xml:space="preserve">AEMO noted </w:t>
      </w:r>
      <w:r w:rsidRPr="00EB3F5F">
        <w:rPr>
          <w:b/>
        </w:rPr>
        <w:t>four scenarios</w:t>
      </w:r>
      <w:r>
        <w:t>:</w:t>
      </w:r>
    </w:p>
    <w:p w:rsidR="00656C05" w:rsidRDefault="00656C05" w:rsidP="00D812A5">
      <w:pPr>
        <w:pStyle w:val="ListBullet"/>
        <w:numPr>
          <w:ilvl w:val="0"/>
          <w:numId w:val="36"/>
        </w:numPr>
        <w:tabs>
          <w:tab w:val="clear" w:pos="340"/>
        </w:tabs>
        <w:spacing w:after="120" w:line="240" w:lineRule="auto"/>
      </w:pPr>
      <w:r>
        <w:t>LNG can be scheduled initially, out of merit order,—for e.g., at the 2</w:t>
      </w:r>
      <w:r w:rsidR="00D812A5">
        <w:t> </w:t>
      </w:r>
      <w:r>
        <w:t>pm schedule</w:t>
      </w:r>
      <w:r w:rsidRPr="007B5A64">
        <w:t>—</w:t>
      </w:r>
      <w:r>
        <w:t>to meet high forecast gas demand for the 2</w:t>
      </w:r>
      <w:r w:rsidR="00D812A5">
        <w:t> </w:t>
      </w:r>
      <w:r>
        <w:t xml:space="preserve">pm scheduling horizon.  LNG is subsequently de-scheduled due to the revised warmer forecast weather conditions.  Under these circumstances, the injecting </w:t>
      </w:r>
      <w:r w:rsidR="00D812A5">
        <w:t xml:space="preserve">participants </w:t>
      </w:r>
      <w:r>
        <w:t xml:space="preserve">are compensated via APs, but must refund the market via negative APs in subsequent schedule(s) when that gas is no longer required. </w:t>
      </w:r>
    </w:p>
    <w:p w:rsidR="00656C05" w:rsidRDefault="00656C05" w:rsidP="00D812A5">
      <w:pPr>
        <w:pStyle w:val="ListBullet"/>
        <w:numPr>
          <w:ilvl w:val="0"/>
          <w:numId w:val="36"/>
        </w:numPr>
        <w:tabs>
          <w:tab w:val="clear" w:pos="340"/>
        </w:tabs>
        <w:spacing w:after="120" w:line="240" w:lineRule="auto"/>
      </w:pPr>
      <w:r>
        <w:t xml:space="preserve">Gas can be de-scheduled because AEMO applies supply-demand point constraints (SDPC) at a system point due to operational requirements.  Under this scenario, the affected </w:t>
      </w:r>
      <w:r w:rsidR="00D812A5">
        <w:t>participant</w:t>
      </w:r>
      <w:r>
        <w:t xml:space="preserve">s only incur imbalance and deviation payments.  Negative APs will not be generated.  </w:t>
      </w:r>
    </w:p>
    <w:p w:rsidR="00656C05" w:rsidRDefault="00656C05" w:rsidP="00D812A5">
      <w:pPr>
        <w:pStyle w:val="ListBullet"/>
        <w:numPr>
          <w:ilvl w:val="0"/>
          <w:numId w:val="36"/>
        </w:numPr>
        <w:tabs>
          <w:tab w:val="clear" w:pos="340"/>
        </w:tabs>
        <w:spacing w:after="120" w:line="240" w:lineRule="auto"/>
      </w:pPr>
      <w:r>
        <w:t xml:space="preserve">An injecting </w:t>
      </w:r>
      <w:r w:rsidR="00D812A5">
        <w:t>participant</w:t>
      </w:r>
      <w:r>
        <w:t xml:space="preserve"> rebids its gas higher than market price, and possibly at VoLL to be de-scheduled.  Similarly, a withdrawing </w:t>
      </w:r>
      <w:r w:rsidR="00D812A5">
        <w:t>participant</w:t>
      </w:r>
      <w:r>
        <w:t xml:space="preserve"> can revise its bid price lower than market price to de-schedule itself.  Negative APs can occur.</w:t>
      </w:r>
    </w:p>
    <w:p w:rsidR="00656C05" w:rsidRDefault="00656C05" w:rsidP="00D812A5">
      <w:pPr>
        <w:pStyle w:val="ListBullet"/>
        <w:numPr>
          <w:ilvl w:val="0"/>
          <w:numId w:val="36"/>
        </w:numPr>
        <w:tabs>
          <w:tab w:val="clear" w:pos="340"/>
        </w:tabs>
        <w:spacing w:after="120" w:line="240" w:lineRule="auto"/>
      </w:pPr>
      <w:r>
        <w:t xml:space="preserve">In other scenarios, the injecting or withdrawing </w:t>
      </w:r>
      <w:r w:rsidR="00D812A5">
        <w:t>participant</w:t>
      </w:r>
      <w:r>
        <w:t>s do not change bid prices in subsequent schedules.  But market prices move below the relevant injection bid prices, or above the relevant withdrawal bid prices.  Gas is hence de-scheduled in subsequent schedules and negative APs can occur.</w:t>
      </w:r>
    </w:p>
    <w:p w:rsidR="00656C05" w:rsidRDefault="009370AF" w:rsidP="00D812A5">
      <w:pPr>
        <w:pStyle w:val="BodyText"/>
      </w:pPr>
      <w:r>
        <w:t>AEMO</w:t>
      </w:r>
      <w:r w:rsidR="00656C05">
        <w:t xml:space="preserve"> noted that only scenarios 3 and 4 above can involve negative APs without associated positive APs in previous schedules.</w:t>
      </w:r>
      <w:r w:rsidR="00EB3F5F">
        <w:t xml:space="preserve"> </w:t>
      </w:r>
      <w:r w:rsidR="00656C05">
        <w:t xml:space="preserve">The </w:t>
      </w:r>
      <w:r w:rsidR="00D812A5">
        <w:t>14 </w:t>
      </w:r>
      <w:r w:rsidR="00656C05">
        <w:t xml:space="preserve">October </w:t>
      </w:r>
      <w:r w:rsidR="00924E32">
        <w:t xml:space="preserve">2017 </w:t>
      </w:r>
      <w:r w:rsidR="00656C05">
        <w:t xml:space="preserve">gas day fits most neatly into scenario 4. </w:t>
      </w:r>
    </w:p>
    <w:p w:rsidR="004D7D5B" w:rsidRDefault="004D7D5B" w:rsidP="005D5687">
      <w:pPr>
        <w:pStyle w:val="ListBullet"/>
        <w:numPr>
          <w:ilvl w:val="0"/>
          <w:numId w:val="0"/>
        </w:numPr>
      </w:pPr>
    </w:p>
    <w:sectPr w:rsidR="004D7D5B" w:rsidSect="007315D9">
      <w:pgSz w:w="11906" w:h="16838" w:code="9"/>
      <w:pgMar w:top="1134" w:right="1700" w:bottom="1560" w:left="1729" w:header="720" w:footer="10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415" w:rsidRDefault="003D1415">
      <w:pPr>
        <w:spacing w:before="0" w:line="240" w:lineRule="auto"/>
      </w:pPr>
      <w:r>
        <w:separator/>
      </w:r>
    </w:p>
  </w:endnote>
  <w:endnote w:type="continuationSeparator" w:id="0">
    <w:p w:rsidR="003D1415" w:rsidRDefault="003D141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15" w:rsidRPr="007A4D1F" w:rsidRDefault="003D1415" w:rsidP="003610D1">
    <w:pPr>
      <w:tabs>
        <w:tab w:val="left" w:pos="1623"/>
        <w:tab w:val="center" w:pos="4513"/>
        <w:tab w:val="right" w:pos="9026"/>
      </w:tabs>
      <w:spacing w:after="120"/>
      <w:rPr>
        <w:rFonts w:eastAsia="Arial" w:cs="Times New Roman"/>
        <w:color w:val="076A92" w:themeColor="text1"/>
        <w:sz w:val="18"/>
      </w:rPr>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separate"/>
    </w:r>
    <w:r w:rsidR="00555AC5" w:rsidRPr="00555AC5">
      <w:rPr>
        <w:rFonts w:eastAsia="Arial" w:cs="Times New Roman"/>
        <w:b/>
        <w:bCs/>
        <w:noProof/>
        <w:color w:val="076A92" w:themeColor="text1"/>
        <w:sz w:val="18"/>
        <w:lang w:val="en-US"/>
      </w:rPr>
      <w:t>Significant price variation report</w:t>
    </w:r>
    <w:r>
      <w:rPr>
        <w:rFonts w:eastAsia="Arial" w:cs="Times New Roman"/>
        <w:color w:val="076A92" w:themeColor="text1"/>
        <w:sz w:val="18"/>
      </w:rPr>
      <w:fldChar w:fldCharType="end"/>
    </w:r>
    <w:r>
      <w:rPr>
        <w:rFonts w:eastAsia="Arial" w:cs="Times New Roman"/>
        <w:color w:val="076A92" w:themeColor="text1"/>
        <w:sz w:val="18"/>
      </w:rPr>
      <w:t xml:space="preserve"> Victorian Gas Market </w:t>
    </w:r>
    <w:r w:rsidR="00C904B3">
      <w:rPr>
        <w:rFonts w:eastAsia="Arial" w:cs="Times New Roman"/>
        <w:color w:val="076A92" w:themeColor="text1"/>
        <w:sz w:val="18"/>
      </w:rPr>
      <w:t>Negative Ancillary Payments</w:t>
    </w:r>
    <w:r>
      <w:rPr>
        <w:rFonts w:eastAsia="Arial" w:cs="Times New Roman"/>
        <w:color w:val="076A92" w:themeColor="text1"/>
        <w:sz w:val="18"/>
      </w:rPr>
      <w:t xml:space="preserve"> 1</w:t>
    </w:r>
    <w:r w:rsidR="00C904B3">
      <w:rPr>
        <w:rFonts w:eastAsia="Arial" w:cs="Times New Roman"/>
        <w:color w:val="076A92" w:themeColor="text1"/>
        <w:sz w:val="18"/>
      </w:rPr>
      <w:t xml:space="preserve">4 October </w:t>
    </w:r>
    <w:r>
      <w:rPr>
        <w:rFonts w:eastAsia="Arial" w:cs="Times New Roman"/>
        <w:color w:val="076A92" w:themeColor="text1"/>
        <w:sz w:val="18"/>
      </w:rPr>
      <w:t>2016</w:t>
    </w:r>
    <w:r>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555AC5">
      <w:rPr>
        <w:rFonts w:eastAsia="Arial" w:cs="Times New Roman"/>
        <w:noProof/>
        <w:color w:val="076A92" w:themeColor="text1"/>
        <w:sz w:val="18"/>
      </w:rPr>
      <w:t>ii</w:t>
    </w:r>
    <w:r w:rsidRPr="007A4D1F">
      <w:rPr>
        <w:rFonts w:eastAsia="Arial" w:cs="Times New Roman"/>
        <w:noProof/>
        <w:color w:val="076A92" w:themeColor="text1"/>
        <w:sz w:val="18"/>
      </w:rPr>
      <w:fldChar w:fldCharType="end"/>
    </w:r>
    <w:r w:rsidRPr="007A4D1F">
      <w:rPr>
        <w:rFonts w:eastAsia="Arial" w:cs="Times New Roman"/>
        <w:color w:val="076A92" w:themeColor="text1"/>
        <w:sz w:val="18"/>
      </w:rPr>
      <w:tab/>
    </w:r>
  </w:p>
  <w:p w:rsidR="003D1415" w:rsidRDefault="003D1415" w:rsidP="003610D1">
    <w:pPr>
      <w:pStyle w:val="Footer"/>
      <w:tabs>
        <w:tab w:val="clear" w:pos="4513"/>
        <w:tab w:val="clear" w:pos="9026"/>
        <w:tab w:val="left" w:pos="85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415" w:rsidRDefault="003D1415">
      <w:pPr>
        <w:spacing w:before="0" w:line="240" w:lineRule="auto"/>
      </w:pPr>
      <w:r>
        <w:separator/>
      </w:r>
    </w:p>
  </w:footnote>
  <w:footnote w:type="continuationSeparator" w:id="0">
    <w:p w:rsidR="003D1415" w:rsidRDefault="003D1415">
      <w:pPr>
        <w:spacing w:before="0" w:line="240" w:lineRule="auto"/>
      </w:pPr>
      <w:r>
        <w:continuationSeparator/>
      </w:r>
    </w:p>
  </w:footnote>
  <w:footnote w:id="1">
    <w:p w:rsidR="00A65D67" w:rsidRPr="0065729A" w:rsidRDefault="00A65D67">
      <w:pPr>
        <w:pStyle w:val="FootnoteText"/>
      </w:pPr>
      <w:r w:rsidRPr="0065729A">
        <w:rPr>
          <w:rStyle w:val="FootnoteReference"/>
        </w:rPr>
        <w:footnoteRef/>
      </w:r>
      <w:r w:rsidR="0065729A" w:rsidRPr="0065729A">
        <w:tab/>
      </w:r>
      <w:hyperlink r:id="rId1" w:history="1">
        <w:r w:rsidR="00C03468" w:rsidRPr="00C0222B">
          <w:rPr>
            <w:rStyle w:val="Hyperlink"/>
            <w:sz w:val="16"/>
          </w:rPr>
          <w:t>http://www.aer.gov.au/wholesale-markets/market-guidelines/significant-price-variation-guideline-for-victorian-declared-wholesale-market</w:t>
        </w:r>
      </w:hyperlink>
      <w:r w:rsidR="00C03468">
        <w:t xml:space="preserve"> </w:t>
      </w:r>
      <w:r w:rsidR="0065729A" w:rsidRPr="0065729A">
        <w:t xml:space="preserve"> </w:t>
      </w:r>
    </w:p>
  </w:footnote>
  <w:footnote w:id="2">
    <w:p w:rsidR="00F41E8A" w:rsidRDefault="00F41E8A">
      <w:pPr>
        <w:pStyle w:val="FootnoteText"/>
      </w:pPr>
      <w:r>
        <w:rPr>
          <w:rStyle w:val="FootnoteReference"/>
        </w:rPr>
        <w:footnoteRef/>
      </w:r>
      <w:r>
        <w:t xml:space="preserve"> </w:t>
      </w:r>
      <w:r>
        <w:tab/>
        <w:t xml:space="preserve">While controllable demand associated with withdrawal bids was reduced at 10 am, other factors such as increased uncontrollable demand forecasts and the shortfall in linepack following lower than expected injections at Longford drove higher supply requirements for the 10 am scheduling horizon. </w:t>
      </w:r>
    </w:p>
  </w:footnote>
  <w:footnote w:id="3">
    <w:p w:rsidR="00E43F32" w:rsidRDefault="00E43F32">
      <w:pPr>
        <w:pStyle w:val="FootnoteText"/>
      </w:pPr>
      <w:r w:rsidRPr="0065729A">
        <w:rPr>
          <w:rStyle w:val="FootnoteReference"/>
        </w:rPr>
        <w:footnoteRef/>
      </w:r>
      <w:r w:rsidRPr="0065729A">
        <w:t xml:space="preserve"> </w:t>
      </w:r>
      <w:r w:rsidR="004308A4">
        <w:tab/>
      </w:r>
      <w:r w:rsidRPr="0065729A">
        <w:t>The methodology appears in a document titled Investigation of Ancillary Payments GWCF-12-017-01</w:t>
      </w:r>
    </w:p>
  </w:footnote>
  <w:footnote w:id="4">
    <w:p w:rsidR="004308A4" w:rsidRDefault="004308A4" w:rsidP="004308A4">
      <w:pPr>
        <w:pStyle w:val="FootnoteText"/>
      </w:pPr>
      <w:r w:rsidRPr="0065729A">
        <w:rPr>
          <w:rStyle w:val="FootnoteReference"/>
        </w:rPr>
        <w:footnoteRef/>
      </w:r>
      <w:r w:rsidRPr="0065729A">
        <w:t xml:space="preserve"> </w:t>
      </w:r>
      <w:r>
        <w:tab/>
      </w:r>
      <w:r w:rsidRPr="005D5687">
        <w:rPr>
          <w:szCs w:val="16"/>
        </w:rPr>
        <w:t xml:space="preserve">These constraints on individual injection or withdrawal meter locations are referred to as Supply Demand Point </w:t>
      </w:r>
      <w:r>
        <w:rPr>
          <w:szCs w:val="16"/>
        </w:rPr>
        <w:t xml:space="preserve">  </w:t>
      </w:r>
      <w:r w:rsidRPr="005D5687">
        <w:rPr>
          <w:szCs w:val="16"/>
        </w:rPr>
        <w:t>Constraints (SDPCs).</w:t>
      </w:r>
      <w:r w:rsidR="00F41E8A">
        <w:rPr>
          <w:szCs w:val="16"/>
        </w:rPr>
        <w:t xml:space="preserve"> Other constraints also limit gas </w:t>
      </w:r>
      <w:r w:rsidR="00A23026">
        <w:rPr>
          <w:szCs w:val="16"/>
        </w:rPr>
        <w:t>injections/withdrawals</w:t>
      </w:r>
      <w:r w:rsidR="00F41E8A">
        <w:rPr>
          <w:szCs w:val="16"/>
        </w:rPr>
        <w:t xml:space="preserve"> to maintain ideal operating pressures.</w:t>
      </w:r>
    </w:p>
  </w:footnote>
  <w:footnote w:id="5">
    <w:p w:rsidR="00C03468" w:rsidRDefault="007A09E5" w:rsidP="00C03468">
      <w:pPr>
        <w:pStyle w:val="FootnoteText"/>
      </w:pPr>
      <w:r>
        <w:rPr>
          <w:rStyle w:val="FootnoteReference"/>
        </w:rPr>
        <w:footnoteRef/>
      </w:r>
      <w:r>
        <w:t xml:space="preserve"> </w:t>
      </w:r>
      <w:r w:rsidR="00C03468">
        <w:tab/>
      </w:r>
      <w:r>
        <w:t>Uplift payments are described more fully</w:t>
      </w:r>
      <w:r w:rsidR="00DD4023">
        <w:t xml:space="preserve"> within the AEMO’s procedure </w:t>
      </w:r>
      <w:r>
        <w:t xml:space="preserve"> at </w:t>
      </w:r>
    </w:p>
    <w:p w:rsidR="007A09E5" w:rsidRDefault="00C03468" w:rsidP="00C03468">
      <w:pPr>
        <w:pStyle w:val="FootnoteText"/>
      </w:pPr>
      <w:r>
        <w:tab/>
      </w:r>
      <w:hyperlink r:id="rId2" w:history="1">
        <w:r w:rsidR="007A09E5" w:rsidRPr="0087035B">
          <w:rPr>
            <w:rStyle w:val="Hyperlink"/>
            <w:sz w:val="16"/>
          </w:rPr>
          <w:t>https://www.aemo.com.au/media/Files/Other/consultations/gas/1091-0021%20pdf.pdf</w:t>
        </w:r>
      </w:hyperlink>
      <w:r w:rsidR="007A09E5">
        <w:t xml:space="preserve"> </w:t>
      </w:r>
    </w:p>
  </w:footnote>
  <w:footnote w:id="6">
    <w:p w:rsidR="00C03468" w:rsidRDefault="00C03468">
      <w:pPr>
        <w:pStyle w:val="FootnoteText"/>
      </w:pPr>
      <w:r>
        <w:rPr>
          <w:rStyle w:val="FootnoteReference"/>
        </w:rPr>
        <w:footnoteRef/>
      </w:r>
      <w:r>
        <w:t xml:space="preserve"> </w:t>
      </w:r>
      <w:r>
        <w:tab/>
      </w:r>
      <w:r w:rsidRPr="00C03468">
        <w:t>The Supply Demand curve is illustrative only. The 10 am withdrawal bid curve has been adjusted to the right to take into account the higher uncontrollable demand and the shortfall in linepack resulting from lower than expected injections from Longford during the beginning of day schedule. The 10 am injection bid curve has been adjusted to the left to account for the constraint applied to Longford injections on Esso’s request.</w:t>
      </w:r>
    </w:p>
  </w:footnote>
  <w:footnote w:id="7">
    <w:p w:rsidR="003D1415" w:rsidRDefault="003D1415" w:rsidP="009D7E30">
      <w:pPr>
        <w:pStyle w:val="FootnoteText"/>
      </w:pPr>
      <w:r>
        <w:rPr>
          <w:rStyle w:val="FootnoteReference"/>
        </w:rPr>
        <w:footnoteRef/>
      </w:r>
      <w:r>
        <w:t xml:space="preserve"> </w:t>
      </w:r>
      <w:r>
        <w:tab/>
      </w:r>
      <w:r w:rsidRPr="00CE6FD9">
        <w:rPr>
          <w:bCs/>
        </w:rPr>
        <w:t>Uplift</w:t>
      </w:r>
      <w:r>
        <w:rPr>
          <w:bCs/>
        </w:rPr>
        <w:t xml:space="preserve"> quantities</w:t>
      </w:r>
      <w:r w:rsidRPr="00CE6FD9">
        <w:rPr>
          <w:bCs/>
        </w:rPr>
        <w:t xml:space="preserve"> that cannot be attributed to congestion or surprise </w:t>
      </w:r>
      <w:r>
        <w:rPr>
          <w:bCs/>
        </w:rPr>
        <w:t>factors a</w:t>
      </w:r>
      <w:r w:rsidRPr="00CE6FD9">
        <w:rPr>
          <w:bCs/>
        </w:rPr>
        <w:t xml:space="preserve">re redistributed to </w:t>
      </w:r>
      <w:r>
        <w:rPr>
          <w:bCs/>
        </w:rPr>
        <w:t>participant</w:t>
      </w:r>
      <w:r w:rsidRPr="00CE6FD9">
        <w:rPr>
          <w:bCs/>
        </w:rPr>
        <w:t xml:space="preserve">s according to their share of the total withdrawal </w:t>
      </w:r>
      <w:r>
        <w:rPr>
          <w:bCs/>
        </w:rPr>
        <w:t xml:space="preserve">quantity </w:t>
      </w:r>
      <w:r w:rsidRPr="00CE6FD9">
        <w:rPr>
          <w:bCs/>
        </w:rPr>
        <w:t>on th</w:t>
      </w:r>
      <w:r>
        <w:rPr>
          <w:bCs/>
        </w:rPr>
        <w:t>e</w:t>
      </w:r>
      <w:r w:rsidRPr="00CE6FD9">
        <w:rPr>
          <w:bCs/>
        </w:rPr>
        <w:t xml:space="preserve"> gas day (known as the common uplift).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DED07EA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823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AD41087"/>
    <w:multiLevelType w:val="hybridMultilevel"/>
    <w:tmpl w:val="FA4A825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06F2C43"/>
    <w:multiLevelType w:val="hybridMultilevel"/>
    <w:tmpl w:val="94C831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0797DF6"/>
    <w:multiLevelType w:val="hybridMultilevel"/>
    <w:tmpl w:val="14D826F0"/>
    <w:lvl w:ilvl="0" w:tplc="0C09000F">
      <w:start w:val="1"/>
      <w:numFmt w:val="decimal"/>
      <w:lvlText w:val="%1."/>
      <w:lvlJc w:val="left"/>
      <w:pPr>
        <w:tabs>
          <w:tab w:val="num" w:pos="714"/>
        </w:tabs>
        <w:ind w:left="714" w:hanging="354"/>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6AE2D4F"/>
    <w:multiLevelType w:val="hybridMultilevel"/>
    <w:tmpl w:val="DC8443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nsid w:val="36010FAB"/>
    <w:multiLevelType w:val="hybridMultilevel"/>
    <w:tmpl w:val="894838DA"/>
    <w:lvl w:ilvl="0" w:tplc="F35CBA52">
      <w:start w:val="1"/>
      <w:numFmt w:val="bullet"/>
      <w:lvlText w:val=""/>
      <w:lvlJc w:val="left"/>
      <w:pPr>
        <w:tabs>
          <w:tab w:val="num" w:pos="714"/>
        </w:tabs>
        <w:ind w:left="714" w:hanging="35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923347D"/>
    <w:multiLevelType w:val="hybridMultilevel"/>
    <w:tmpl w:val="E4008A74"/>
    <w:lvl w:ilvl="0" w:tplc="D66A534E">
      <w:start w:val="1"/>
      <w:numFmt w:val="bullet"/>
      <w:pStyle w:val="List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5DB155F"/>
    <w:multiLevelType w:val="multilevel"/>
    <w:tmpl w:val="34CCF7D8"/>
    <w:lvl w:ilvl="0">
      <w:start w:val="1"/>
      <w:numFmt w:val="upperLetter"/>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46C71223"/>
    <w:multiLevelType w:val="hybridMultilevel"/>
    <w:tmpl w:val="EAB48A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6F125CC"/>
    <w:multiLevelType w:val="hybridMultilevel"/>
    <w:tmpl w:val="7F14AE80"/>
    <w:lvl w:ilvl="0" w:tplc="1FCE885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9">
    <w:nsid w:val="5BDE1C66"/>
    <w:multiLevelType w:val="hybridMultilevel"/>
    <w:tmpl w:val="606A3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DD576EF"/>
    <w:multiLevelType w:val="hybridMultilevel"/>
    <w:tmpl w:val="ECD65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5A82800"/>
    <w:multiLevelType w:val="hybridMultilevel"/>
    <w:tmpl w:val="66E24464"/>
    <w:lvl w:ilvl="0" w:tplc="0C090001">
      <w:start w:val="1"/>
      <w:numFmt w:val="bullet"/>
      <w:lvlText w:val=""/>
      <w:lvlJc w:val="left"/>
      <w:pPr>
        <w:ind w:left="907" w:hanging="360"/>
      </w:pPr>
      <w:rPr>
        <w:rFonts w:ascii="Symbol" w:hAnsi="Symbol" w:hint="default"/>
      </w:rPr>
    </w:lvl>
    <w:lvl w:ilvl="1" w:tplc="0C090003">
      <w:start w:val="1"/>
      <w:numFmt w:val="bullet"/>
      <w:lvlText w:val="o"/>
      <w:lvlJc w:val="left"/>
      <w:pPr>
        <w:ind w:left="1627" w:hanging="360"/>
      </w:pPr>
      <w:rPr>
        <w:rFonts w:ascii="Courier New" w:hAnsi="Courier New" w:cs="Courier New" w:hint="default"/>
      </w:rPr>
    </w:lvl>
    <w:lvl w:ilvl="2" w:tplc="0C090005" w:tentative="1">
      <w:start w:val="1"/>
      <w:numFmt w:val="bullet"/>
      <w:lvlText w:val=""/>
      <w:lvlJc w:val="left"/>
      <w:pPr>
        <w:ind w:left="2347" w:hanging="360"/>
      </w:pPr>
      <w:rPr>
        <w:rFonts w:ascii="Wingdings" w:hAnsi="Wingdings" w:hint="default"/>
      </w:rPr>
    </w:lvl>
    <w:lvl w:ilvl="3" w:tplc="0C090001" w:tentative="1">
      <w:start w:val="1"/>
      <w:numFmt w:val="bullet"/>
      <w:lvlText w:val=""/>
      <w:lvlJc w:val="left"/>
      <w:pPr>
        <w:ind w:left="3067" w:hanging="360"/>
      </w:pPr>
      <w:rPr>
        <w:rFonts w:ascii="Symbol" w:hAnsi="Symbol" w:hint="default"/>
      </w:rPr>
    </w:lvl>
    <w:lvl w:ilvl="4" w:tplc="0C090003" w:tentative="1">
      <w:start w:val="1"/>
      <w:numFmt w:val="bullet"/>
      <w:lvlText w:val="o"/>
      <w:lvlJc w:val="left"/>
      <w:pPr>
        <w:ind w:left="3787" w:hanging="360"/>
      </w:pPr>
      <w:rPr>
        <w:rFonts w:ascii="Courier New" w:hAnsi="Courier New" w:cs="Courier New" w:hint="default"/>
      </w:rPr>
    </w:lvl>
    <w:lvl w:ilvl="5" w:tplc="0C090005" w:tentative="1">
      <w:start w:val="1"/>
      <w:numFmt w:val="bullet"/>
      <w:lvlText w:val=""/>
      <w:lvlJc w:val="left"/>
      <w:pPr>
        <w:ind w:left="4507" w:hanging="360"/>
      </w:pPr>
      <w:rPr>
        <w:rFonts w:ascii="Wingdings" w:hAnsi="Wingdings" w:hint="default"/>
      </w:rPr>
    </w:lvl>
    <w:lvl w:ilvl="6" w:tplc="0C090001" w:tentative="1">
      <w:start w:val="1"/>
      <w:numFmt w:val="bullet"/>
      <w:lvlText w:val=""/>
      <w:lvlJc w:val="left"/>
      <w:pPr>
        <w:ind w:left="5227" w:hanging="360"/>
      </w:pPr>
      <w:rPr>
        <w:rFonts w:ascii="Symbol" w:hAnsi="Symbol" w:hint="default"/>
      </w:rPr>
    </w:lvl>
    <w:lvl w:ilvl="7" w:tplc="0C090003" w:tentative="1">
      <w:start w:val="1"/>
      <w:numFmt w:val="bullet"/>
      <w:lvlText w:val="o"/>
      <w:lvlJc w:val="left"/>
      <w:pPr>
        <w:ind w:left="5947" w:hanging="360"/>
      </w:pPr>
      <w:rPr>
        <w:rFonts w:ascii="Courier New" w:hAnsi="Courier New" w:cs="Courier New" w:hint="default"/>
      </w:rPr>
    </w:lvl>
    <w:lvl w:ilvl="8" w:tplc="0C090005" w:tentative="1">
      <w:start w:val="1"/>
      <w:numFmt w:val="bullet"/>
      <w:lvlText w:val=""/>
      <w:lvlJc w:val="left"/>
      <w:pPr>
        <w:ind w:left="6667" w:hanging="360"/>
      </w:pPr>
      <w:rPr>
        <w:rFonts w:ascii="Wingdings" w:hAnsi="Wingdings" w:hint="default"/>
      </w:rPr>
    </w:lvl>
  </w:abstractNum>
  <w:abstractNum w:abstractNumId="32">
    <w:nsid w:val="6726588A"/>
    <w:multiLevelType w:val="hybridMultilevel"/>
    <w:tmpl w:val="CC927964"/>
    <w:lvl w:ilvl="0" w:tplc="0C09000F">
      <w:start w:val="1"/>
      <w:numFmt w:val="bullet"/>
      <w:pStyle w:val="Bulletpoint2"/>
      <w:lvlText w:val="o"/>
      <w:lvlJc w:val="left"/>
      <w:pPr>
        <w:ind w:left="-279" w:hanging="360"/>
      </w:pPr>
      <w:rPr>
        <w:rFonts w:ascii="Courier New" w:hAnsi="Courier New" w:cs="Courier New" w:hint="default"/>
      </w:rPr>
    </w:lvl>
    <w:lvl w:ilvl="1" w:tplc="0C090019" w:tentative="1">
      <w:start w:val="1"/>
      <w:numFmt w:val="bullet"/>
      <w:lvlText w:val="o"/>
      <w:lvlJc w:val="left"/>
      <w:pPr>
        <w:ind w:left="441" w:hanging="360"/>
      </w:pPr>
      <w:rPr>
        <w:rFonts w:ascii="Courier New" w:hAnsi="Courier New" w:cs="Courier New" w:hint="default"/>
      </w:rPr>
    </w:lvl>
    <w:lvl w:ilvl="2" w:tplc="0C09001B" w:tentative="1">
      <w:start w:val="1"/>
      <w:numFmt w:val="bullet"/>
      <w:lvlText w:val=""/>
      <w:lvlJc w:val="left"/>
      <w:pPr>
        <w:ind w:left="1161" w:hanging="360"/>
      </w:pPr>
      <w:rPr>
        <w:rFonts w:ascii="Wingdings" w:hAnsi="Wingdings" w:hint="default"/>
      </w:rPr>
    </w:lvl>
    <w:lvl w:ilvl="3" w:tplc="0C09000F" w:tentative="1">
      <w:start w:val="1"/>
      <w:numFmt w:val="bullet"/>
      <w:lvlText w:val=""/>
      <w:lvlJc w:val="left"/>
      <w:pPr>
        <w:ind w:left="1881" w:hanging="360"/>
      </w:pPr>
      <w:rPr>
        <w:rFonts w:ascii="Symbol" w:hAnsi="Symbol" w:hint="default"/>
      </w:rPr>
    </w:lvl>
    <w:lvl w:ilvl="4" w:tplc="0C090019" w:tentative="1">
      <w:start w:val="1"/>
      <w:numFmt w:val="bullet"/>
      <w:lvlText w:val="o"/>
      <w:lvlJc w:val="left"/>
      <w:pPr>
        <w:ind w:left="2601" w:hanging="360"/>
      </w:pPr>
      <w:rPr>
        <w:rFonts w:ascii="Courier New" w:hAnsi="Courier New" w:cs="Courier New" w:hint="default"/>
      </w:rPr>
    </w:lvl>
    <w:lvl w:ilvl="5" w:tplc="0C09001B" w:tentative="1">
      <w:start w:val="1"/>
      <w:numFmt w:val="bullet"/>
      <w:lvlText w:val=""/>
      <w:lvlJc w:val="left"/>
      <w:pPr>
        <w:ind w:left="3321" w:hanging="360"/>
      </w:pPr>
      <w:rPr>
        <w:rFonts w:ascii="Wingdings" w:hAnsi="Wingdings" w:hint="default"/>
      </w:rPr>
    </w:lvl>
    <w:lvl w:ilvl="6" w:tplc="0C09000F" w:tentative="1">
      <w:start w:val="1"/>
      <w:numFmt w:val="bullet"/>
      <w:lvlText w:val=""/>
      <w:lvlJc w:val="left"/>
      <w:pPr>
        <w:ind w:left="4041" w:hanging="360"/>
      </w:pPr>
      <w:rPr>
        <w:rFonts w:ascii="Symbol" w:hAnsi="Symbol" w:hint="default"/>
      </w:rPr>
    </w:lvl>
    <w:lvl w:ilvl="7" w:tplc="0C090019" w:tentative="1">
      <w:start w:val="1"/>
      <w:numFmt w:val="bullet"/>
      <w:lvlText w:val="o"/>
      <w:lvlJc w:val="left"/>
      <w:pPr>
        <w:ind w:left="4761" w:hanging="360"/>
      </w:pPr>
      <w:rPr>
        <w:rFonts w:ascii="Courier New" w:hAnsi="Courier New" w:cs="Courier New" w:hint="default"/>
      </w:rPr>
    </w:lvl>
    <w:lvl w:ilvl="8" w:tplc="0C09001B" w:tentative="1">
      <w:start w:val="1"/>
      <w:numFmt w:val="bullet"/>
      <w:lvlText w:val=""/>
      <w:lvlJc w:val="left"/>
      <w:pPr>
        <w:ind w:left="5481" w:hanging="360"/>
      </w:pPr>
      <w:rPr>
        <w:rFonts w:ascii="Wingdings" w:hAnsi="Wingdings" w:hint="default"/>
      </w:rPr>
    </w:lvl>
  </w:abstractNum>
  <w:abstractNum w:abstractNumId="33">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98F2484"/>
    <w:multiLevelType w:val="hybridMultilevel"/>
    <w:tmpl w:val="04824B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3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22"/>
  </w:num>
  <w:num w:numId="14">
    <w:abstractNumId w:val="13"/>
  </w:num>
  <w:num w:numId="15">
    <w:abstractNumId w:val="17"/>
  </w:num>
  <w:num w:numId="16">
    <w:abstractNumId w:val="25"/>
  </w:num>
  <w:num w:numId="17">
    <w:abstractNumId w:val="12"/>
  </w:num>
  <w:num w:numId="18">
    <w:abstractNumId w:val="20"/>
  </w:num>
  <w:num w:numId="19">
    <w:abstractNumId w:val="26"/>
  </w:num>
  <w:num w:numId="20">
    <w:abstractNumId w:val="33"/>
  </w:num>
  <w:num w:numId="21">
    <w:abstractNumId w:val="28"/>
  </w:num>
  <w:num w:numId="22">
    <w:abstractNumId w:val="9"/>
  </w:num>
  <w:num w:numId="23">
    <w:abstractNumId w:val="16"/>
  </w:num>
  <w:num w:numId="24">
    <w:abstractNumId w:val="10"/>
  </w:num>
  <w:num w:numId="25">
    <w:abstractNumId w:val="10"/>
  </w:num>
  <w:num w:numId="26">
    <w:abstractNumId w:val="31"/>
  </w:num>
  <w:num w:numId="27">
    <w:abstractNumId w:val="34"/>
  </w:num>
  <w:num w:numId="28">
    <w:abstractNumId w:val="29"/>
  </w:num>
  <w:num w:numId="29">
    <w:abstractNumId w:val="11"/>
  </w:num>
  <w:num w:numId="30">
    <w:abstractNumId w:val="14"/>
  </w:num>
  <w:num w:numId="31">
    <w:abstractNumId w:val="24"/>
  </w:num>
  <w:num w:numId="32">
    <w:abstractNumId w:val="19"/>
  </w:num>
  <w:num w:numId="33">
    <w:abstractNumId w:val="27"/>
  </w:num>
  <w:num w:numId="34">
    <w:abstractNumId w:val="21"/>
  </w:num>
  <w:num w:numId="35">
    <w:abstractNumId w:val="23"/>
  </w:num>
  <w:num w:numId="36">
    <w:abstractNumId w:val="18"/>
  </w:num>
  <w:num w:numId="37">
    <w:abstractNumId w:val="30"/>
  </w:num>
  <w:num w:numId="38">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trackRevisions/>
  <w:defaultTabStop w:val="720"/>
  <w:characterSpacingControl w:val="doNotCompress"/>
  <w:hdrShapeDefaults>
    <o:shapedefaults v:ext="edit" spidmax="559105">
      <o:colormru v:ext="edit" colors="#4bf75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5332\D17 19521  Significant price variation report - 14 October 2016.DOCX"/>
  </w:docVars>
  <w:rsids>
    <w:rsidRoot w:val="003610D1"/>
    <w:rsid w:val="00001779"/>
    <w:rsid w:val="000018C4"/>
    <w:rsid w:val="000018E6"/>
    <w:rsid w:val="00001FB6"/>
    <w:rsid w:val="00002750"/>
    <w:rsid w:val="000028FB"/>
    <w:rsid w:val="0000325E"/>
    <w:rsid w:val="00004BE2"/>
    <w:rsid w:val="00006537"/>
    <w:rsid w:val="00007EC7"/>
    <w:rsid w:val="00010920"/>
    <w:rsid w:val="00010935"/>
    <w:rsid w:val="00010B1A"/>
    <w:rsid w:val="0001186D"/>
    <w:rsid w:val="00011933"/>
    <w:rsid w:val="00011B93"/>
    <w:rsid w:val="000131A5"/>
    <w:rsid w:val="00013CDB"/>
    <w:rsid w:val="00013D02"/>
    <w:rsid w:val="00013FD9"/>
    <w:rsid w:val="0001433F"/>
    <w:rsid w:val="00016666"/>
    <w:rsid w:val="000175F5"/>
    <w:rsid w:val="00017BF7"/>
    <w:rsid w:val="0002079F"/>
    <w:rsid w:val="000208CC"/>
    <w:rsid w:val="00021644"/>
    <w:rsid w:val="000221E2"/>
    <w:rsid w:val="0002263E"/>
    <w:rsid w:val="00022D75"/>
    <w:rsid w:val="00024297"/>
    <w:rsid w:val="00024726"/>
    <w:rsid w:val="000248F1"/>
    <w:rsid w:val="00027C33"/>
    <w:rsid w:val="00027FCE"/>
    <w:rsid w:val="000305BF"/>
    <w:rsid w:val="00030632"/>
    <w:rsid w:val="00031D46"/>
    <w:rsid w:val="00032426"/>
    <w:rsid w:val="000332F2"/>
    <w:rsid w:val="00033D07"/>
    <w:rsid w:val="000342CE"/>
    <w:rsid w:val="000354F5"/>
    <w:rsid w:val="000365DE"/>
    <w:rsid w:val="00037142"/>
    <w:rsid w:val="00040D80"/>
    <w:rsid w:val="00041065"/>
    <w:rsid w:val="000420DC"/>
    <w:rsid w:val="00043A64"/>
    <w:rsid w:val="00043BD3"/>
    <w:rsid w:val="00043F8E"/>
    <w:rsid w:val="000442A8"/>
    <w:rsid w:val="00044AA4"/>
    <w:rsid w:val="0004626C"/>
    <w:rsid w:val="000463C3"/>
    <w:rsid w:val="00047668"/>
    <w:rsid w:val="0004766E"/>
    <w:rsid w:val="00047881"/>
    <w:rsid w:val="0005029C"/>
    <w:rsid w:val="000508E0"/>
    <w:rsid w:val="00050C1C"/>
    <w:rsid w:val="0005162D"/>
    <w:rsid w:val="00051AA5"/>
    <w:rsid w:val="000545DD"/>
    <w:rsid w:val="0005494B"/>
    <w:rsid w:val="00055385"/>
    <w:rsid w:val="000554BB"/>
    <w:rsid w:val="0005646E"/>
    <w:rsid w:val="0005685F"/>
    <w:rsid w:val="000570C9"/>
    <w:rsid w:val="00057D63"/>
    <w:rsid w:val="00060440"/>
    <w:rsid w:val="000606EB"/>
    <w:rsid w:val="00060D1F"/>
    <w:rsid w:val="00061314"/>
    <w:rsid w:val="00061456"/>
    <w:rsid w:val="00061A48"/>
    <w:rsid w:val="000625FD"/>
    <w:rsid w:val="00062951"/>
    <w:rsid w:val="00062FFB"/>
    <w:rsid w:val="000635D7"/>
    <w:rsid w:val="0006378A"/>
    <w:rsid w:val="00063A97"/>
    <w:rsid w:val="000648CC"/>
    <w:rsid w:val="00064EC8"/>
    <w:rsid w:val="0006532E"/>
    <w:rsid w:val="0006553A"/>
    <w:rsid w:val="00066AAB"/>
    <w:rsid w:val="00066D30"/>
    <w:rsid w:val="0006788A"/>
    <w:rsid w:val="00067B49"/>
    <w:rsid w:val="0007086D"/>
    <w:rsid w:val="000708CF"/>
    <w:rsid w:val="00071AF3"/>
    <w:rsid w:val="0007263E"/>
    <w:rsid w:val="00073C34"/>
    <w:rsid w:val="000760CB"/>
    <w:rsid w:val="000773E4"/>
    <w:rsid w:val="000801EF"/>
    <w:rsid w:val="00080965"/>
    <w:rsid w:val="00080981"/>
    <w:rsid w:val="00080C63"/>
    <w:rsid w:val="00081DF0"/>
    <w:rsid w:val="00082075"/>
    <w:rsid w:val="00082934"/>
    <w:rsid w:val="00082F76"/>
    <w:rsid w:val="00083611"/>
    <w:rsid w:val="00083FB8"/>
    <w:rsid w:val="000844CC"/>
    <w:rsid w:val="00084EC0"/>
    <w:rsid w:val="000851EA"/>
    <w:rsid w:val="00085C6B"/>
    <w:rsid w:val="00085EF2"/>
    <w:rsid w:val="000872A0"/>
    <w:rsid w:val="00090DE0"/>
    <w:rsid w:val="00090E9D"/>
    <w:rsid w:val="00091C2D"/>
    <w:rsid w:val="00092C07"/>
    <w:rsid w:val="00094459"/>
    <w:rsid w:val="000955FC"/>
    <w:rsid w:val="0009562F"/>
    <w:rsid w:val="000958D9"/>
    <w:rsid w:val="00096EFD"/>
    <w:rsid w:val="00097E52"/>
    <w:rsid w:val="000A002A"/>
    <w:rsid w:val="000A282B"/>
    <w:rsid w:val="000A434F"/>
    <w:rsid w:val="000A5A40"/>
    <w:rsid w:val="000A5BD1"/>
    <w:rsid w:val="000A6DEE"/>
    <w:rsid w:val="000B06FD"/>
    <w:rsid w:val="000B1671"/>
    <w:rsid w:val="000B2C10"/>
    <w:rsid w:val="000B42D8"/>
    <w:rsid w:val="000B4D64"/>
    <w:rsid w:val="000B527E"/>
    <w:rsid w:val="000B5557"/>
    <w:rsid w:val="000B590C"/>
    <w:rsid w:val="000B5C64"/>
    <w:rsid w:val="000C027D"/>
    <w:rsid w:val="000C0941"/>
    <w:rsid w:val="000C0E4B"/>
    <w:rsid w:val="000C0F97"/>
    <w:rsid w:val="000C1000"/>
    <w:rsid w:val="000C190D"/>
    <w:rsid w:val="000C2B33"/>
    <w:rsid w:val="000C30EF"/>
    <w:rsid w:val="000C3347"/>
    <w:rsid w:val="000C3DAC"/>
    <w:rsid w:val="000C461D"/>
    <w:rsid w:val="000C55AE"/>
    <w:rsid w:val="000C6AD3"/>
    <w:rsid w:val="000C6BC6"/>
    <w:rsid w:val="000C6CDD"/>
    <w:rsid w:val="000D0554"/>
    <w:rsid w:val="000D0FD5"/>
    <w:rsid w:val="000D107C"/>
    <w:rsid w:val="000D31DC"/>
    <w:rsid w:val="000D3815"/>
    <w:rsid w:val="000D3E04"/>
    <w:rsid w:val="000D3FE0"/>
    <w:rsid w:val="000D446F"/>
    <w:rsid w:val="000D4BE2"/>
    <w:rsid w:val="000D557D"/>
    <w:rsid w:val="000D677E"/>
    <w:rsid w:val="000E0460"/>
    <w:rsid w:val="000E07AB"/>
    <w:rsid w:val="000E2251"/>
    <w:rsid w:val="000E22C2"/>
    <w:rsid w:val="000E2989"/>
    <w:rsid w:val="000E298E"/>
    <w:rsid w:val="000E2F78"/>
    <w:rsid w:val="000E32A2"/>
    <w:rsid w:val="000E3FA1"/>
    <w:rsid w:val="000E5B1E"/>
    <w:rsid w:val="000E68C8"/>
    <w:rsid w:val="000E7278"/>
    <w:rsid w:val="000E72CD"/>
    <w:rsid w:val="000E77F2"/>
    <w:rsid w:val="000E7C66"/>
    <w:rsid w:val="000E7C94"/>
    <w:rsid w:val="000E7E38"/>
    <w:rsid w:val="000F0132"/>
    <w:rsid w:val="000F0BA0"/>
    <w:rsid w:val="000F1443"/>
    <w:rsid w:val="000F15E7"/>
    <w:rsid w:val="000F1EC5"/>
    <w:rsid w:val="000F218F"/>
    <w:rsid w:val="000F297D"/>
    <w:rsid w:val="000F2E53"/>
    <w:rsid w:val="000F4279"/>
    <w:rsid w:val="000F4333"/>
    <w:rsid w:val="000F4D76"/>
    <w:rsid w:val="000F56A6"/>
    <w:rsid w:val="000F5D51"/>
    <w:rsid w:val="000F60B8"/>
    <w:rsid w:val="000F720B"/>
    <w:rsid w:val="000F761B"/>
    <w:rsid w:val="000F7A1E"/>
    <w:rsid w:val="00101623"/>
    <w:rsid w:val="00101A55"/>
    <w:rsid w:val="0010261D"/>
    <w:rsid w:val="00102E51"/>
    <w:rsid w:val="00103088"/>
    <w:rsid w:val="001036A1"/>
    <w:rsid w:val="0010381E"/>
    <w:rsid w:val="00103C36"/>
    <w:rsid w:val="00103D3D"/>
    <w:rsid w:val="001040BE"/>
    <w:rsid w:val="001060D2"/>
    <w:rsid w:val="001065BC"/>
    <w:rsid w:val="001067C3"/>
    <w:rsid w:val="00106F58"/>
    <w:rsid w:val="001070C8"/>
    <w:rsid w:val="00107B3D"/>
    <w:rsid w:val="00107D12"/>
    <w:rsid w:val="00110A91"/>
    <w:rsid w:val="00111FF2"/>
    <w:rsid w:val="00112012"/>
    <w:rsid w:val="001135AB"/>
    <w:rsid w:val="001136BF"/>
    <w:rsid w:val="00113CC5"/>
    <w:rsid w:val="0011409E"/>
    <w:rsid w:val="001143C4"/>
    <w:rsid w:val="00114564"/>
    <w:rsid w:val="0011518C"/>
    <w:rsid w:val="001159DC"/>
    <w:rsid w:val="0011645F"/>
    <w:rsid w:val="00116D63"/>
    <w:rsid w:val="0011728A"/>
    <w:rsid w:val="0011741C"/>
    <w:rsid w:val="0012004B"/>
    <w:rsid w:val="0012020B"/>
    <w:rsid w:val="00120A30"/>
    <w:rsid w:val="00121189"/>
    <w:rsid w:val="00121D1A"/>
    <w:rsid w:val="00121FB1"/>
    <w:rsid w:val="00122806"/>
    <w:rsid w:val="00122B4E"/>
    <w:rsid w:val="001232CB"/>
    <w:rsid w:val="00123403"/>
    <w:rsid w:val="001234FF"/>
    <w:rsid w:val="00123864"/>
    <w:rsid w:val="001251A8"/>
    <w:rsid w:val="00125E21"/>
    <w:rsid w:val="00126A4F"/>
    <w:rsid w:val="001279C5"/>
    <w:rsid w:val="00130B56"/>
    <w:rsid w:val="00132608"/>
    <w:rsid w:val="001329D4"/>
    <w:rsid w:val="00132B65"/>
    <w:rsid w:val="00132CF6"/>
    <w:rsid w:val="00133B9A"/>
    <w:rsid w:val="00134063"/>
    <w:rsid w:val="00134B32"/>
    <w:rsid w:val="00134C27"/>
    <w:rsid w:val="00135270"/>
    <w:rsid w:val="00135FF7"/>
    <w:rsid w:val="001363FE"/>
    <w:rsid w:val="00136AAB"/>
    <w:rsid w:val="00136AF6"/>
    <w:rsid w:val="00137954"/>
    <w:rsid w:val="00140C95"/>
    <w:rsid w:val="00140FFC"/>
    <w:rsid w:val="001418DB"/>
    <w:rsid w:val="00141D53"/>
    <w:rsid w:val="0014299B"/>
    <w:rsid w:val="00142F97"/>
    <w:rsid w:val="001442F0"/>
    <w:rsid w:val="001444AF"/>
    <w:rsid w:val="00144712"/>
    <w:rsid w:val="00144763"/>
    <w:rsid w:val="001448A7"/>
    <w:rsid w:val="0014513D"/>
    <w:rsid w:val="001454C2"/>
    <w:rsid w:val="00145A16"/>
    <w:rsid w:val="00145B08"/>
    <w:rsid w:val="00146D5D"/>
    <w:rsid w:val="00146E94"/>
    <w:rsid w:val="00147796"/>
    <w:rsid w:val="001478ED"/>
    <w:rsid w:val="0014793F"/>
    <w:rsid w:val="00147AD2"/>
    <w:rsid w:val="00147F0E"/>
    <w:rsid w:val="00151193"/>
    <w:rsid w:val="001516C7"/>
    <w:rsid w:val="00151CC0"/>
    <w:rsid w:val="00153F66"/>
    <w:rsid w:val="00154DA7"/>
    <w:rsid w:val="00155614"/>
    <w:rsid w:val="00155CFA"/>
    <w:rsid w:val="0015715D"/>
    <w:rsid w:val="001571AB"/>
    <w:rsid w:val="001578CD"/>
    <w:rsid w:val="00157982"/>
    <w:rsid w:val="00157B32"/>
    <w:rsid w:val="001613A8"/>
    <w:rsid w:val="00161921"/>
    <w:rsid w:val="00161AD4"/>
    <w:rsid w:val="0016213A"/>
    <w:rsid w:val="00163D79"/>
    <w:rsid w:val="001640AB"/>
    <w:rsid w:val="0016468E"/>
    <w:rsid w:val="001651C0"/>
    <w:rsid w:val="001653F0"/>
    <w:rsid w:val="00165EF5"/>
    <w:rsid w:val="00166022"/>
    <w:rsid w:val="00166763"/>
    <w:rsid w:val="00170045"/>
    <w:rsid w:val="00170BB8"/>
    <w:rsid w:val="00170CAA"/>
    <w:rsid w:val="00171580"/>
    <w:rsid w:val="001716FC"/>
    <w:rsid w:val="001737FF"/>
    <w:rsid w:val="00173F30"/>
    <w:rsid w:val="00174796"/>
    <w:rsid w:val="00175815"/>
    <w:rsid w:val="00175D96"/>
    <w:rsid w:val="00176941"/>
    <w:rsid w:val="001773C2"/>
    <w:rsid w:val="00181A65"/>
    <w:rsid w:val="001820ED"/>
    <w:rsid w:val="001823A8"/>
    <w:rsid w:val="00183714"/>
    <w:rsid w:val="0018389C"/>
    <w:rsid w:val="00183F9A"/>
    <w:rsid w:val="001841B5"/>
    <w:rsid w:val="00184DEC"/>
    <w:rsid w:val="00185629"/>
    <w:rsid w:val="00186C3C"/>
    <w:rsid w:val="00187BD9"/>
    <w:rsid w:val="0019021C"/>
    <w:rsid w:val="00190BEC"/>
    <w:rsid w:val="0019191C"/>
    <w:rsid w:val="0019265C"/>
    <w:rsid w:val="00192970"/>
    <w:rsid w:val="00192B8F"/>
    <w:rsid w:val="0019352B"/>
    <w:rsid w:val="001943A5"/>
    <w:rsid w:val="00194640"/>
    <w:rsid w:val="00194E60"/>
    <w:rsid w:val="00194E7C"/>
    <w:rsid w:val="0019621B"/>
    <w:rsid w:val="00197254"/>
    <w:rsid w:val="00197545"/>
    <w:rsid w:val="001A0BD1"/>
    <w:rsid w:val="001A1B52"/>
    <w:rsid w:val="001A1CA9"/>
    <w:rsid w:val="001A2BF5"/>
    <w:rsid w:val="001A2CD9"/>
    <w:rsid w:val="001A34CC"/>
    <w:rsid w:val="001A34F5"/>
    <w:rsid w:val="001A4D36"/>
    <w:rsid w:val="001A4F02"/>
    <w:rsid w:val="001A6982"/>
    <w:rsid w:val="001B044D"/>
    <w:rsid w:val="001B0767"/>
    <w:rsid w:val="001B0A95"/>
    <w:rsid w:val="001B1048"/>
    <w:rsid w:val="001B1668"/>
    <w:rsid w:val="001B24F2"/>
    <w:rsid w:val="001B26A5"/>
    <w:rsid w:val="001B2DD5"/>
    <w:rsid w:val="001B2F26"/>
    <w:rsid w:val="001B311E"/>
    <w:rsid w:val="001B34AB"/>
    <w:rsid w:val="001B3907"/>
    <w:rsid w:val="001B3A02"/>
    <w:rsid w:val="001B3A22"/>
    <w:rsid w:val="001B3F3A"/>
    <w:rsid w:val="001B70CD"/>
    <w:rsid w:val="001B70FC"/>
    <w:rsid w:val="001B7252"/>
    <w:rsid w:val="001C10F8"/>
    <w:rsid w:val="001C1E43"/>
    <w:rsid w:val="001C24E9"/>
    <w:rsid w:val="001C28FD"/>
    <w:rsid w:val="001C2CEA"/>
    <w:rsid w:val="001C4168"/>
    <w:rsid w:val="001C4856"/>
    <w:rsid w:val="001C558F"/>
    <w:rsid w:val="001C5A6F"/>
    <w:rsid w:val="001C5C5C"/>
    <w:rsid w:val="001C6B85"/>
    <w:rsid w:val="001C6D91"/>
    <w:rsid w:val="001C7779"/>
    <w:rsid w:val="001D0229"/>
    <w:rsid w:val="001D0365"/>
    <w:rsid w:val="001D0520"/>
    <w:rsid w:val="001D287B"/>
    <w:rsid w:val="001D3866"/>
    <w:rsid w:val="001D3EE7"/>
    <w:rsid w:val="001D4864"/>
    <w:rsid w:val="001D4960"/>
    <w:rsid w:val="001D4C98"/>
    <w:rsid w:val="001D59E8"/>
    <w:rsid w:val="001D75E1"/>
    <w:rsid w:val="001E0460"/>
    <w:rsid w:val="001E0F54"/>
    <w:rsid w:val="001E1806"/>
    <w:rsid w:val="001E190B"/>
    <w:rsid w:val="001E1B07"/>
    <w:rsid w:val="001E1DEB"/>
    <w:rsid w:val="001E2051"/>
    <w:rsid w:val="001E34C6"/>
    <w:rsid w:val="001E3970"/>
    <w:rsid w:val="001E414F"/>
    <w:rsid w:val="001E41B4"/>
    <w:rsid w:val="001E45D4"/>
    <w:rsid w:val="001E50C3"/>
    <w:rsid w:val="001E50FC"/>
    <w:rsid w:val="001E58CE"/>
    <w:rsid w:val="001E5BF5"/>
    <w:rsid w:val="001E65A9"/>
    <w:rsid w:val="001E75EC"/>
    <w:rsid w:val="001E78DB"/>
    <w:rsid w:val="001E7A45"/>
    <w:rsid w:val="001E7E6E"/>
    <w:rsid w:val="001F02A3"/>
    <w:rsid w:val="001F0D21"/>
    <w:rsid w:val="001F0D4F"/>
    <w:rsid w:val="001F20E4"/>
    <w:rsid w:val="001F3290"/>
    <w:rsid w:val="001F33E6"/>
    <w:rsid w:val="001F34E0"/>
    <w:rsid w:val="001F36AA"/>
    <w:rsid w:val="001F37F7"/>
    <w:rsid w:val="001F3F51"/>
    <w:rsid w:val="001F44D1"/>
    <w:rsid w:val="001F496F"/>
    <w:rsid w:val="001F4FE1"/>
    <w:rsid w:val="001F6C30"/>
    <w:rsid w:val="00200735"/>
    <w:rsid w:val="0020088C"/>
    <w:rsid w:val="00200ADD"/>
    <w:rsid w:val="00201459"/>
    <w:rsid w:val="0020179E"/>
    <w:rsid w:val="00203218"/>
    <w:rsid w:val="00203AB5"/>
    <w:rsid w:val="00204154"/>
    <w:rsid w:val="00204DA7"/>
    <w:rsid w:val="002055FD"/>
    <w:rsid w:val="002056EB"/>
    <w:rsid w:val="0020678F"/>
    <w:rsid w:val="00206817"/>
    <w:rsid w:val="00206B96"/>
    <w:rsid w:val="0020724A"/>
    <w:rsid w:val="00207783"/>
    <w:rsid w:val="00207EB6"/>
    <w:rsid w:val="00210172"/>
    <w:rsid w:val="00210AF3"/>
    <w:rsid w:val="002114E0"/>
    <w:rsid w:val="002114E4"/>
    <w:rsid w:val="00211B57"/>
    <w:rsid w:val="00211DDA"/>
    <w:rsid w:val="002122ED"/>
    <w:rsid w:val="002124FF"/>
    <w:rsid w:val="00212C3D"/>
    <w:rsid w:val="00213E1F"/>
    <w:rsid w:val="002161BB"/>
    <w:rsid w:val="002163EB"/>
    <w:rsid w:val="002165D0"/>
    <w:rsid w:val="0021719F"/>
    <w:rsid w:val="00217BDA"/>
    <w:rsid w:val="00217D32"/>
    <w:rsid w:val="00220318"/>
    <w:rsid w:val="00220337"/>
    <w:rsid w:val="00221530"/>
    <w:rsid w:val="0022233D"/>
    <w:rsid w:val="00222478"/>
    <w:rsid w:val="00223138"/>
    <w:rsid w:val="002239C4"/>
    <w:rsid w:val="00223B64"/>
    <w:rsid w:val="00223DE7"/>
    <w:rsid w:val="00223F3E"/>
    <w:rsid w:val="00224DCB"/>
    <w:rsid w:val="002251D1"/>
    <w:rsid w:val="00225B31"/>
    <w:rsid w:val="00225DFA"/>
    <w:rsid w:val="00226555"/>
    <w:rsid w:val="002266C8"/>
    <w:rsid w:val="00226DC2"/>
    <w:rsid w:val="0023016C"/>
    <w:rsid w:val="0023087C"/>
    <w:rsid w:val="00230C6B"/>
    <w:rsid w:val="00231620"/>
    <w:rsid w:val="002318EF"/>
    <w:rsid w:val="0023313E"/>
    <w:rsid w:val="00233255"/>
    <w:rsid w:val="00233351"/>
    <w:rsid w:val="002337E0"/>
    <w:rsid w:val="00234DF3"/>
    <w:rsid w:val="00235D3C"/>
    <w:rsid w:val="00235D6C"/>
    <w:rsid w:val="0023674F"/>
    <w:rsid w:val="0023686D"/>
    <w:rsid w:val="00236A62"/>
    <w:rsid w:val="00237413"/>
    <w:rsid w:val="00237CB4"/>
    <w:rsid w:val="00237E0C"/>
    <w:rsid w:val="0024023C"/>
    <w:rsid w:val="002403A5"/>
    <w:rsid w:val="002406E0"/>
    <w:rsid w:val="00241296"/>
    <w:rsid w:val="00241FE3"/>
    <w:rsid w:val="002420CB"/>
    <w:rsid w:val="002433A1"/>
    <w:rsid w:val="00244125"/>
    <w:rsid w:val="00244D74"/>
    <w:rsid w:val="002451D2"/>
    <w:rsid w:val="00245BA3"/>
    <w:rsid w:val="00246631"/>
    <w:rsid w:val="00247FC3"/>
    <w:rsid w:val="00250603"/>
    <w:rsid w:val="00251131"/>
    <w:rsid w:val="00251722"/>
    <w:rsid w:val="00251A91"/>
    <w:rsid w:val="00251B0E"/>
    <w:rsid w:val="00251D33"/>
    <w:rsid w:val="00251D61"/>
    <w:rsid w:val="0025206B"/>
    <w:rsid w:val="00252B0A"/>
    <w:rsid w:val="002531CB"/>
    <w:rsid w:val="00253233"/>
    <w:rsid w:val="002532B0"/>
    <w:rsid w:val="00253361"/>
    <w:rsid w:val="00254B38"/>
    <w:rsid w:val="00255EEF"/>
    <w:rsid w:val="00256B60"/>
    <w:rsid w:val="00260176"/>
    <w:rsid w:val="002614FF"/>
    <w:rsid w:val="00262704"/>
    <w:rsid w:val="002642AB"/>
    <w:rsid w:val="00264398"/>
    <w:rsid w:val="002667D4"/>
    <w:rsid w:val="00266915"/>
    <w:rsid w:val="0026692D"/>
    <w:rsid w:val="002669E4"/>
    <w:rsid w:val="002677FF"/>
    <w:rsid w:val="0027015A"/>
    <w:rsid w:val="00270867"/>
    <w:rsid w:val="002733BB"/>
    <w:rsid w:val="00273C2F"/>
    <w:rsid w:val="002743BE"/>
    <w:rsid w:val="00275561"/>
    <w:rsid w:val="002755BB"/>
    <w:rsid w:val="0027679A"/>
    <w:rsid w:val="00277918"/>
    <w:rsid w:val="0028007A"/>
    <w:rsid w:val="0028085B"/>
    <w:rsid w:val="0028094F"/>
    <w:rsid w:val="00280BEC"/>
    <w:rsid w:val="00280C7F"/>
    <w:rsid w:val="00280F9A"/>
    <w:rsid w:val="002812C2"/>
    <w:rsid w:val="002813D7"/>
    <w:rsid w:val="002817AA"/>
    <w:rsid w:val="00282390"/>
    <w:rsid w:val="0028273B"/>
    <w:rsid w:val="00282EAC"/>
    <w:rsid w:val="0028311C"/>
    <w:rsid w:val="002836C8"/>
    <w:rsid w:val="002852EF"/>
    <w:rsid w:val="0028532A"/>
    <w:rsid w:val="00285557"/>
    <w:rsid w:val="00285D3C"/>
    <w:rsid w:val="002877BC"/>
    <w:rsid w:val="00292AF9"/>
    <w:rsid w:val="00292BBD"/>
    <w:rsid w:val="002931DC"/>
    <w:rsid w:val="002932B5"/>
    <w:rsid w:val="00293828"/>
    <w:rsid w:val="00293956"/>
    <w:rsid w:val="00293A0A"/>
    <w:rsid w:val="00293C20"/>
    <w:rsid w:val="00293DE9"/>
    <w:rsid w:val="00294143"/>
    <w:rsid w:val="0029452B"/>
    <w:rsid w:val="00294DBE"/>
    <w:rsid w:val="00294ED3"/>
    <w:rsid w:val="00295A09"/>
    <w:rsid w:val="00296BB3"/>
    <w:rsid w:val="00296D34"/>
    <w:rsid w:val="00297821"/>
    <w:rsid w:val="00297D01"/>
    <w:rsid w:val="002A0699"/>
    <w:rsid w:val="002A2A93"/>
    <w:rsid w:val="002A582A"/>
    <w:rsid w:val="002A5CF9"/>
    <w:rsid w:val="002A6276"/>
    <w:rsid w:val="002A687A"/>
    <w:rsid w:val="002A68C4"/>
    <w:rsid w:val="002A6BEC"/>
    <w:rsid w:val="002A765C"/>
    <w:rsid w:val="002A7F8B"/>
    <w:rsid w:val="002B06D6"/>
    <w:rsid w:val="002B20BA"/>
    <w:rsid w:val="002B2896"/>
    <w:rsid w:val="002B3F9A"/>
    <w:rsid w:val="002B4F2D"/>
    <w:rsid w:val="002B50F8"/>
    <w:rsid w:val="002B5295"/>
    <w:rsid w:val="002B6D54"/>
    <w:rsid w:val="002B6EDD"/>
    <w:rsid w:val="002B701C"/>
    <w:rsid w:val="002B7066"/>
    <w:rsid w:val="002B723A"/>
    <w:rsid w:val="002B7724"/>
    <w:rsid w:val="002C0471"/>
    <w:rsid w:val="002C051F"/>
    <w:rsid w:val="002C083D"/>
    <w:rsid w:val="002C0B8B"/>
    <w:rsid w:val="002C325C"/>
    <w:rsid w:val="002C5674"/>
    <w:rsid w:val="002C609C"/>
    <w:rsid w:val="002C76BC"/>
    <w:rsid w:val="002C7F09"/>
    <w:rsid w:val="002C7FF0"/>
    <w:rsid w:val="002D0D7B"/>
    <w:rsid w:val="002D0DA8"/>
    <w:rsid w:val="002D0F6E"/>
    <w:rsid w:val="002D15FD"/>
    <w:rsid w:val="002D16B8"/>
    <w:rsid w:val="002D2BAB"/>
    <w:rsid w:val="002D3A96"/>
    <w:rsid w:val="002D41EB"/>
    <w:rsid w:val="002D4EE4"/>
    <w:rsid w:val="002D5102"/>
    <w:rsid w:val="002D5D79"/>
    <w:rsid w:val="002D5DBD"/>
    <w:rsid w:val="002D5FF9"/>
    <w:rsid w:val="002D62D5"/>
    <w:rsid w:val="002D63D6"/>
    <w:rsid w:val="002D67E3"/>
    <w:rsid w:val="002D6F9A"/>
    <w:rsid w:val="002D7FFB"/>
    <w:rsid w:val="002E031B"/>
    <w:rsid w:val="002E0AF3"/>
    <w:rsid w:val="002E1A7F"/>
    <w:rsid w:val="002E1F41"/>
    <w:rsid w:val="002E20F9"/>
    <w:rsid w:val="002E22AE"/>
    <w:rsid w:val="002E3D6C"/>
    <w:rsid w:val="002E4748"/>
    <w:rsid w:val="002E4D6E"/>
    <w:rsid w:val="002E5340"/>
    <w:rsid w:val="002E663E"/>
    <w:rsid w:val="002E6ABC"/>
    <w:rsid w:val="002F025A"/>
    <w:rsid w:val="002F23F5"/>
    <w:rsid w:val="002F320E"/>
    <w:rsid w:val="002F41D5"/>
    <w:rsid w:val="002F48D5"/>
    <w:rsid w:val="002F51F3"/>
    <w:rsid w:val="002F59A8"/>
    <w:rsid w:val="002F5EE3"/>
    <w:rsid w:val="002F60BE"/>
    <w:rsid w:val="002F63F2"/>
    <w:rsid w:val="002F6C95"/>
    <w:rsid w:val="002F7406"/>
    <w:rsid w:val="002F7C60"/>
    <w:rsid w:val="00300470"/>
    <w:rsid w:val="00300895"/>
    <w:rsid w:val="00300AF1"/>
    <w:rsid w:val="00300DE2"/>
    <w:rsid w:val="00300F89"/>
    <w:rsid w:val="00301859"/>
    <w:rsid w:val="003018C8"/>
    <w:rsid w:val="00302121"/>
    <w:rsid w:val="0030268F"/>
    <w:rsid w:val="00302CCE"/>
    <w:rsid w:val="00302DD6"/>
    <w:rsid w:val="00303022"/>
    <w:rsid w:val="00305FA6"/>
    <w:rsid w:val="00306049"/>
    <w:rsid w:val="003061A8"/>
    <w:rsid w:val="00307951"/>
    <w:rsid w:val="00311066"/>
    <w:rsid w:val="0031159B"/>
    <w:rsid w:val="00311893"/>
    <w:rsid w:val="00311DB0"/>
    <w:rsid w:val="00312374"/>
    <w:rsid w:val="00313320"/>
    <w:rsid w:val="00313B2B"/>
    <w:rsid w:val="00315A6A"/>
    <w:rsid w:val="003168F1"/>
    <w:rsid w:val="003171AA"/>
    <w:rsid w:val="00317E79"/>
    <w:rsid w:val="003206A8"/>
    <w:rsid w:val="00321AB7"/>
    <w:rsid w:val="00321D5A"/>
    <w:rsid w:val="003237BF"/>
    <w:rsid w:val="00323C0D"/>
    <w:rsid w:val="00323C23"/>
    <w:rsid w:val="00324878"/>
    <w:rsid w:val="00324CCF"/>
    <w:rsid w:val="00326005"/>
    <w:rsid w:val="00326DD4"/>
    <w:rsid w:val="00326EEF"/>
    <w:rsid w:val="00327A0C"/>
    <w:rsid w:val="00327A75"/>
    <w:rsid w:val="00330287"/>
    <w:rsid w:val="0033044A"/>
    <w:rsid w:val="00330DD6"/>
    <w:rsid w:val="00331F89"/>
    <w:rsid w:val="00332AAD"/>
    <w:rsid w:val="003335CE"/>
    <w:rsid w:val="00334209"/>
    <w:rsid w:val="0033615C"/>
    <w:rsid w:val="00336359"/>
    <w:rsid w:val="003364FF"/>
    <w:rsid w:val="00336B09"/>
    <w:rsid w:val="0033700F"/>
    <w:rsid w:val="003373C4"/>
    <w:rsid w:val="00337FC1"/>
    <w:rsid w:val="0034136A"/>
    <w:rsid w:val="00341D08"/>
    <w:rsid w:val="00342809"/>
    <w:rsid w:val="00343A31"/>
    <w:rsid w:val="00344B92"/>
    <w:rsid w:val="00345F5A"/>
    <w:rsid w:val="00346620"/>
    <w:rsid w:val="00346649"/>
    <w:rsid w:val="00346A2B"/>
    <w:rsid w:val="003471A7"/>
    <w:rsid w:val="0035174A"/>
    <w:rsid w:val="00351D22"/>
    <w:rsid w:val="00353C34"/>
    <w:rsid w:val="00355A64"/>
    <w:rsid w:val="003570BD"/>
    <w:rsid w:val="003610D1"/>
    <w:rsid w:val="00361390"/>
    <w:rsid w:val="00362F0C"/>
    <w:rsid w:val="00364729"/>
    <w:rsid w:val="00365697"/>
    <w:rsid w:val="0036573A"/>
    <w:rsid w:val="00366388"/>
    <w:rsid w:val="003669C2"/>
    <w:rsid w:val="00367430"/>
    <w:rsid w:val="003674C2"/>
    <w:rsid w:val="00370288"/>
    <w:rsid w:val="0037052A"/>
    <w:rsid w:val="00370EE8"/>
    <w:rsid w:val="003712DE"/>
    <w:rsid w:val="00371583"/>
    <w:rsid w:val="00371762"/>
    <w:rsid w:val="0037216A"/>
    <w:rsid w:val="00372443"/>
    <w:rsid w:val="003729B2"/>
    <w:rsid w:val="00373A36"/>
    <w:rsid w:val="003745C3"/>
    <w:rsid w:val="00374AB0"/>
    <w:rsid w:val="003757B0"/>
    <w:rsid w:val="00376E63"/>
    <w:rsid w:val="003807C9"/>
    <w:rsid w:val="00381186"/>
    <w:rsid w:val="003811F9"/>
    <w:rsid w:val="00381538"/>
    <w:rsid w:val="00381976"/>
    <w:rsid w:val="003821FE"/>
    <w:rsid w:val="00383054"/>
    <w:rsid w:val="003830FC"/>
    <w:rsid w:val="00383D8C"/>
    <w:rsid w:val="00383DB5"/>
    <w:rsid w:val="00386951"/>
    <w:rsid w:val="003873EE"/>
    <w:rsid w:val="003874BC"/>
    <w:rsid w:val="00390216"/>
    <w:rsid w:val="0039047D"/>
    <w:rsid w:val="00390B79"/>
    <w:rsid w:val="003913F5"/>
    <w:rsid w:val="00393A49"/>
    <w:rsid w:val="00395335"/>
    <w:rsid w:val="00395B06"/>
    <w:rsid w:val="003964F8"/>
    <w:rsid w:val="003A04F3"/>
    <w:rsid w:val="003A20A2"/>
    <w:rsid w:val="003A3C41"/>
    <w:rsid w:val="003A4202"/>
    <w:rsid w:val="003A4880"/>
    <w:rsid w:val="003A5FF8"/>
    <w:rsid w:val="003A67D6"/>
    <w:rsid w:val="003A791D"/>
    <w:rsid w:val="003A796B"/>
    <w:rsid w:val="003A7C5D"/>
    <w:rsid w:val="003A7C97"/>
    <w:rsid w:val="003B07C1"/>
    <w:rsid w:val="003B14CE"/>
    <w:rsid w:val="003B2190"/>
    <w:rsid w:val="003B2283"/>
    <w:rsid w:val="003B2F44"/>
    <w:rsid w:val="003B3643"/>
    <w:rsid w:val="003B37A3"/>
    <w:rsid w:val="003B3803"/>
    <w:rsid w:val="003B4D22"/>
    <w:rsid w:val="003B50E4"/>
    <w:rsid w:val="003B5126"/>
    <w:rsid w:val="003B6009"/>
    <w:rsid w:val="003B6AE8"/>
    <w:rsid w:val="003C066C"/>
    <w:rsid w:val="003C0BAD"/>
    <w:rsid w:val="003C106A"/>
    <w:rsid w:val="003C1DF1"/>
    <w:rsid w:val="003C29F6"/>
    <w:rsid w:val="003C2ADB"/>
    <w:rsid w:val="003C2B11"/>
    <w:rsid w:val="003C2BBD"/>
    <w:rsid w:val="003C3458"/>
    <w:rsid w:val="003C35FE"/>
    <w:rsid w:val="003C3DD5"/>
    <w:rsid w:val="003C4833"/>
    <w:rsid w:val="003C48C8"/>
    <w:rsid w:val="003C4956"/>
    <w:rsid w:val="003C5F95"/>
    <w:rsid w:val="003C6647"/>
    <w:rsid w:val="003C6726"/>
    <w:rsid w:val="003C67EB"/>
    <w:rsid w:val="003C6B41"/>
    <w:rsid w:val="003C6BE6"/>
    <w:rsid w:val="003C78FA"/>
    <w:rsid w:val="003D0C4C"/>
    <w:rsid w:val="003D1415"/>
    <w:rsid w:val="003D2B47"/>
    <w:rsid w:val="003D32A1"/>
    <w:rsid w:val="003D360E"/>
    <w:rsid w:val="003D6FB8"/>
    <w:rsid w:val="003E117E"/>
    <w:rsid w:val="003E1CBE"/>
    <w:rsid w:val="003E29B5"/>
    <w:rsid w:val="003E37D8"/>
    <w:rsid w:val="003E5061"/>
    <w:rsid w:val="003E5099"/>
    <w:rsid w:val="003E569C"/>
    <w:rsid w:val="003E5F2A"/>
    <w:rsid w:val="003E6EBE"/>
    <w:rsid w:val="003E78F9"/>
    <w:rsid w:val="003F01D3"/>
    <w:rsid w:val="003F151F"/>
    <w:rsid w:val="003F29ED"/>
    <w:rsid w:val="003F29F2"/>
    <w:rsid w:val="003F3477"/>
    <w:rsid w:val="003F3F07"/>
    <w:rsid w:val="003F4971"/>
    <w:rsid w:val="003F4BAB"/>
    <w:rsid w:val="003F54EA"/>
    <w:rsid w:val="003F596A"/>
    <w:rsid w:val="003F7D97"/>
    <w:rsid w:val="003F7D9A"/>
    <w:rsid w:val="00400438"/>
    <w:rsid w:val="004005DC"/>
    <w:rsid w:val="00400DC1"/>
    <w:rsid w:val="004024F3"/>
    <w:rsid w:val="00402667"/>
    <w:rsid w:val="00402F66"/>
    <w:rsid w:val="00403A49"/>
    <w:rsid w:val="00405DEA"/>
    <w:rsid w:val="004063EF"/>
    <w:rsid w:val="004075BD"/>
    <w:rsid w:val="004079A7"/>
    <w:rsid w:val="00407B22"/>
    <w:rsid w:val="0041007E"/>
    <w:rsid w:val="0041057A"/>
    <w:rsid w:val="00410BFF"/>
    <w:rsid w:val="00410F22"/>
    <w:rsid w:val="004114C8"/>
    <w:rsid w:val="00411522"/>
    <w:rsid w:val="00411EE1"/>
    <w:rsid w:val="0041303E"/>
    <w:rsid w:val="00413568"/>
    <w:rsid w:val="00413CE7"/>
    <w:rsid w:val="00413F1C"/>
    <w:rsid w:val="00415BF5"/>
    <w:rsid w:val="00415FCA"/>
    <w:rsid w:val="00416A6C"/>
    <w:rsid w:val="00416B89"/>
    <w:rsid w:val="00420231"/>
    <w:rsid w:val="0042078C"/>
    <w:rsid w:val="0042166F"/>
    <w:rsid w:val="004225A4"/>
    <w:rsid w:val="00423508"/>
    <w:rsid w:val="0042394F"/>
    <w:rsid w:val="00424976"/>
    <w:rsid w:val="00424E79"/>
    <w:rsid w:val="004259F3"/>
    <w:rsid w:val="00427066"/>
    <w:rsid w:val="00427215"/>
    <w:rsid w:val="004300F1"/>
    <w:rsid w:val="00430350"/>
    <w:rsid w:val="004308A4"/>
    <w:rsid w:val="00430FFC"/>
    <w:rsid w:val="004311CA"/>
    <w:rsid w:val="00431500"/>
    <w:rsid w:val="004319DA"/>
    <w:rsid w:val="00431B5D"/>
    <w:rsid w:val="00432771"/>
    <w:rsid w:val="00432F60"/>
    <w:rsid w:val="004339C9"/>
    <w:rsid w:val="004339F4"/>
    <w:rsid w:val="00433F91"/>
    <w:rsid w:val="004340B8"/>
    <w:rsid w:val="004346E5"/>
    <w:rsid w:val="00434949"/>
    <w:rsid w:val="00435ACE"/>
    <w:rsid w:val="00436166"/>
    <w:rsid w:val="00437D8B"/>
    <w:rsid w:val="004406D1"/>
    <w:rsid w:val="004408B3"/>
    <w:rsid w:val="00440A60"/>
    <w:rsid w:val="00440F08"/>
    <w:rsid w:val="00441403"/>
    <w:rsid w:val="004415F0"/>
    <w:rsid w:val="00441A57"/>
    <w:rsid w:val="004428F7"/>
    <w:rsid w:val="00442C9C"/>
    <w:rsid w:val="004442C5"/>
    <w:rsid w:val="00445B07"/>
    <w:rsid w:val="00447194"/>
    <w:rsid w:val="00447B49"/>
    <w:rsid w:val="00447EE4"/>
    <w:rsid w:val="00447F78"/>
    <w:rsid w:val="0045223F"/>
    <w:rsid w:val="004523FB"/>
    <w:rsid w:val="00452B4C"/>
    <w:rsid w:val="0045492C"/>
    <w:rsid w:val="00455469"/>
    <w:rsid w:val="0045558A"/>
    <w:rsid w:val="004564F4"/>
    <w:rsid w:val="00457706"/>
    <w:rsid w:val="00461394"/>
    <w:rsid w:val="00462130"/>
    <w:rsid w:val="00462149"/>
    <w:rsid w:val="004622DA"/>
    <w:rsid w:val="004641AB"/>
    <w:rsid w:val="0046432C"/>
    <w:rsid w:val="00464E1C"/>
    <w:rsid w:val="00464E90"/>
    <w:rsid w:val="004655C5"/>
    <w:rsid w:val="00465F35"/>
    <w:rsid w:val="00466CAC"/>
    <w:rsid w:val="004677C7"/>
    <w:rsid w:val="0047074E"/>
    <w:rsid w:val="004707BB"/>
    <w:rsid w:val="00471063"/>
    <w:rsid w:val="004710D5"/>
    <w:rsid w:val="0047159A"/>
    <w:rsid w:val="004727DB"/>
    <w:rsid w:val="00472A4D"/>
    <w:rsid w:val="00473AAF"/>
    <w:rsid w:val="00473E87"/>
    <w:rsid w:val="00475ED4"/>
    <w:rsid w:val="00476AE6"/>
    <w:rsid w:val="00476EE8"/>
    <w:rsid w:val="00476F81"/>
    <w:rsid w:val="0047706C"/>
    <w:rsid w:val="00477496"/>
    <w:rsid w:val="004777A6"/>
    <w:rsid w:val="004777D0"/>
    <w:rsid w:val="00477B83"/>
    <w:rsid w:val="00477D66"/>
    <w:rsid w:val="0048005B"/>
    <w:rsid w:val="00480623"/>
    <w:rsid w:val="004809C2"/>
    <w:rsid w:val="004812E7"/>
    <w:rsid w:val="0048191E"/>
    <w:rsid w:val="00482C2B"/>
    <w:rsid w:val="00483940"/>
    <w:rsid w:val="00484168"/>
    <w:rsid w:val="00484335"/>
    <w:rsid w:val="00484539"/>
    <w:rsid w:val="004845E9"/>
    <w:rsid w:val="0048483C"/>
    <w:rsid w:val="00485C9C"/>
    <w:rsid w:val="00485E66"/>
    <w:rsid w:val="00487C05"/>
    <w:rsid w:val="004904B5"/>
    <w:rsid w:val="0049123B"/>
    <w:rsid w:val="00491930"/>
    <w:rsid w:val="0049210A"/>
    <w:rsid w:val="00492D26"/>
    <w:rsid w:val="00492E2C"/>
    <w:rsid w:val="004939B4"/>
    <w:rsid w:val="00493B57"/>
    <w:rsid w:val="00494F70"/>
    <w:rsid w:val="004954EE"/>
    <w:rsid w:val="0049588F"/>
    <w:rsid w:val="00496138"/>
    <w:rsid w:val="0049613A"/>
    <w:rsid w:val="00496709"/>
    <w:rsid w:val="00496827"/>
    <w:rsid w:val="00496CA8"/>
    <w:rsid w:val="00496DC8"/>
    <w:rsid w:val="00497F88"/>
    <w:rsid w:val="004A0304"/>
    <w:rsid w:val="004A0D3E"/>
    <w:rsid w:val="004A0E84"/>
    <w:rsid w:val="004A16C7"/>
    <w:rsid w:val="004A1F9F"/>
    <w:rsid w:val="004A22F6"/>
    <w:rsid w:val="004A24E2"/>
    <w:rsid w:val="004A3CD0"/>
    <w:rsid w:val="004A4717"/>
    <w:rsid w:val="004A5809"/>
    <w:rsid w:val="004A5F3B"/>
    <w:rsid w:val="004A7122"/>
    <w:rsid w:val="004A7149"/>
    <w:rsid w:val="004A7C09"/>
    <w:rsid w:val="004A7E7D"/>
    <w:rsid w:val="004B0A01"/>
    <w:rsid w:val="004B1578"/>
    <w:rsid w:val="004B2FAB"/>
    <w:rsid w:val="004B3BA7"/>
    <w:rsid w:val="004B56EF"/>
    <w:rsid w:val="004B59DD"/>
    <w:rsid w:val="004B6729"/>
    <w:rsid w:val="004B72CF"/>
    <w:rsid w:val="004B74D3"/>
    <w:rsid w:val="004B7931"/>
    <w:rsid w:val="004B7C61"/>
    <w:rsid w:val="004C10AA"/>
    <w:rsid w:val="004C10C3"/>
    <w:rsid w:val="004C23AA"/>
    <w:rsid w:val="004C26C4"/>
    <w:rsid w:val="004C2889"/>
    <w:rsid w:val="004C2EF4"/>
    <w:rsid w:val="004C3151"/>
    <w:rsid w:val="004C32B0"/>
    <w:rsid w:val="004C3CFB"/>
    <w:rsid w:val="004C496A"/>
    <w:rsid w:val="004C4AA5"/>
    <w:rsid w:val="004C5470"/>
    <w:rsid w:val="004C6120"/>
    <w:rsid w:val="004C61C9"/>
    <w:rsid w:val="004C6AE0"/>
    <w:rsid w:val="004C6FFD"/>
    <w:rsid w:val="004C76E6"/>
    <w:rsid w:val="004C7AD7"/>
    <w:rsid w:val="004C7E24"/>
    <w:rsid w:val="004D0B56"/>
    <w:rsid w:val="004D1195"/>
    <w:rsid w:val="004D1AE0"/>
    <w:rsid w:val="004D2432"/>
    <w:rsid w:val="004D24CC"/>
    <w:rsid w:val="004D2950"/>
    <w:rsid w:val="004D2E2F"/>
    <w:rsid w:val="004D41F7"/>
    <w:rsid w:val="004D438D"/>
    <w:rsid w:val="004D4662"/>
    <w:rsid w:val="004D51D9"/>
    <w:rsid w:val="004D53C4"/>
    <w:rsid w:val="004D7BFF"/>
    <w:rsid w:val="004D7CAC"/>
    <w:rsid w:val="004D7D5B"/>
    <w:rsid w:val="004D7FA9"/>
    <w:rsid w:val="004E075F"/>
    <w:rsid w:val="004E3781"/>
    <w:rsid w:val="004E42DC"/>
    <w:rsid w:val="004E4D29"/>
    <w:rsid w:val="004E53B3"/>
    <w:rsid w:val="004E566F"/>
    <w:rsid w:val="004E57C9"/>
    <w:rsid w:val="004E5A3A"/>
    <w:rsid w:val="004E5C29"/>
    <w:rsid w:val="004E63C3"/>
    <w:rsid w:val="004E65EA"/>
    <w:rsid w:val="004E6A37"/>
    <w:rsid w:val="004E6B57"/>
    <w:rsid w:val="004E6CAC"/>
    <w:rsid w:val="004E6FA8"/>
    <w:rsid w:val="004E7595"/>
    <w:rsid w:val="004E7CCD"/>
    <w:rsid w:val="004E7E65"/>
    <w:rsid w:val="004F02AA"/>
    <w:rsid w:val="004F08B8"/>
    <w:rsid w:val="004F0F22"/>
    <w:rsid w:val="004F0F7E"/>
    <w:rsid w:val="004F156F"/>
    <w:rsid w:val="004F1AC3"/>
    <w:rsid w:val="004F1B9E"/>
    <w:rsid w:val="004F3440"/>
    <w:rsid w:val="004F3496"/>
    <w:rsid w:val="004F3D52"/>
    <w:rsid w:val="004F4071"/>
    <w:rsid w:val="004F5584"/>
    <w:rsid w:val="004F581F"/>
    <w:rsid w:val="004F607F"/>
    <w:rsid w:val="004F6D0B"/>
    <w:rsid w:val="004F6FFA"/>
    <w:rsid w:val="004F7C87"/>
    <w:rsid w:val="00500119"/>
    <w:rsid w:val="00500500"/>
    <w:rsid w:val="00500525"/>
    <w:rsid w:val="0050246B"/>
    <w:rsid w:val="0050374D"/>
    <w:rsid w:val="00504A1C"/>
    <w:rsid w:val="00505647"/>
    <w:rsid w:val="00505844"/>
    <w:rsid w:val="00505B30"/>
    <w:rsid w:val="00506034"/>
    <w:rsid w:val="0050656A"/>
    <w:rsid w:val="00507262"/>
    <w:rsid w:val="00507F51"/>
    <w:rsid w:val="00510511"/>
    <w:rsid w:val="00510D74"/>
    <w:rsid w:val="005112D4"/>
    <w:rsid w:val="005113DA"/>
    <w:rsid w:val="0051165D"/>
    <w:rsid w:val="005137DD"/>
    <w:rsid w:val="00516D6B"/>
    <w:rsid w:val="005171A9"/>
    <w:rsid w:val="005174A6"/>
    <w:rsid w:val="00517A20"/>
    <w:rsid w:val="00517C7C"/>
    <w:rsid w:val="00521216"/>
    <w:rsid w:val="005214E2"/>
    <w:rsid w:val="00521A48"/>
    <w:rsid w:val="00521A9F"/>
    <w:rsid w:val="00522217"/>
    <w:rsid w:val="005244F6"/>
    <w:rsid w:val="00526C83"/>
    <w:rsid w:val="0052704E"/>
    <w:rsid w:val="00527764"/>
    <w:rsid w:val="005277AD"/>
    <w:rsid w:val="00527B57"/>
    <w:rsid w:val="005302F6"/>
    <w:rsid w:val="00530813"/>
    <w:rsid w:val="00530E5C"/>
    <w:rsid w:val="005312A4"/>
    <w:rsid w:val="00531686"/>
    <w:rsid w:val="00531C8A"/>
    <w:rsid w:val="00531E10"/>
    <w:rsid w:val="00531FF8"/>
    <w:rsid w:val="0053243C"/>
    <w:rsid w:val="00533895"/>
    <w:rsid w:val="005348DE"/>
    <w:rsid w:val="00535116"/>
    <w:rsid w:val="0053635C"/>
    <w:rsid w:val="005366CC"/>
    <w:rsid w:val="005367F2"/>
    <w:rsid w:val="0054028F"/>
    <w:rsid w:val="005412A6"/>
    <w:rsid w:val="0054243F"/>
    <w:rsid w:val="00542497"/>
    <w:rsid w:val="00542793"/>
    <w:rsid w:val="00542899"/>
    <w:rsid w:val="00542CA9"/>
    <w:rsid w:val="00542CC7"/>
    <w:rsid w:val="005438CF"/>
    <w:rsid w:val="00543D9D"/>
    <w:rsid w:val="0054547A"/>
    <w:rsid w:val="00545C0F"/>
    <w:rsid w:val="00545CA8"/>
    <w:rsid w:val="00545DA8"/>
    <w:rsid w:val="00545DEE"/>
    <w:rsid w:val="005467C2"/>
    <w:rsid w:val="00546D8D"/>
    <w:rsid w:val="00547484"/>
    <w:rsid w:val="00547A1A"/>
    <w:rsid w:val="0055219F"/>
    <w:rsid w:val="005535F1"/>
    <w:rsid w:val="0055483C"/>
    <w:rsid w:val="00554CAF"/>
    <w:rsid w:val="005553BA"/>
    <w:rsid w:val="0055566B"/>
    <w:rsid w:val="00555AC5"/>
    <w:rsid w:val="0055779C"/>
    <w:rsid w:val="00560CCF"/>
    <w:rsid w:val="00560E7A"/>
    <w:rsid w:val="0056189F"/>
    <w:rsid w:val="0056278B"/>
    <w:rsid w:val="0056290C"/>
    <w:rsid w:val="00562AAE"/>
    <w:rsid w:val="00562CBF"/>
    <w:rsid w:val="00562DFC"/>
    <w:rsid w:val="005635FC"/>
    <w:rsid w:val="00563711"/>
    <w:rsid w:val="00563DBD"/>
    <w:rsid w:val="00564052"/>
    <w:rsid w:val="0056435F"/>
    <w:rsid w:val="00564669"/>
    <w:rsid w:val="00565294"/>
    <w:rsid w:val="005668D7"/>
    <w:rsid w:val="00567343"/>
    <w:rsid w:val="00567AE4"/>
    <w:rsid w:val="00567D52"/>
    <w:rsid w:val="005702BD"/>
    <w:rsid w:val="005704FF"/>
    <w:rsid w:val="00571067"/>
    <w:rsid w:val="00571703"/>
    <w:rsid w:val="00571963"/>
    <w:rsid w:val="00572A42"/>
    <w:rsid w:val="0057321C"/>
    <w:rsid w:val="00575F70"/>
    <w:rsid w:val="005769DA"/>
    <w:rsid w:val="0057715F"/>
    <w:rsid w:val="0058006E"/>
    <w:rsid w:val="00581454"/>
    <w:rsid w:val="00581B15"/>
    <w:rsid w:val="00582442"/>
    <w:rsid w:val="00582F99"/>
    <w:rsid w:val="00585B82"/>
    <w:rsid w:val="005860BC"/>
    <w:rsid w:val="00586B65"/>
    <w:rsid w:val="00586DCB"/>
    <w:rsid w:val="0058747A"/>
    <w:rsid w:val="0058767D"/>
    <w:rsid w:val="00587F96"/>
    <w:rsid w:val="00590126"/>
    <w:rsid w:val="00590724"/>
    <w:rsid w:val="0059123B"/>
    <w:rsid w:val="00592A56"/>
    <w:rsid w:val="00592BC4"/>
    <w:rsid w:val="00593638"/>
    <w:rsid w:val="00594926"/>
    <w:rsid w:val="00594A4B"/>
    <w:rsid w:val="005952B2"/>
    <w:rsid w:val="005961E9"/>
    <w:rsid w:val="0059708C"/>
    <w:rsid w:val="00597E00"/>
    <w:rsid w:val="005A0009"/>
    <w:rsid w:val="005A06EA"/>
    <w:rsid w:val="005A1498"/>
    <w:rsid w:val="005A2081"/>
    <w:rsid w:val="005A2549"/>
    <w:rsid w:val="005A33ED"/>
    <w:rsid w:val="005A3BF4"/>
    <w:rsid w:val="005A6768"/>
    <w:rsid w:val="005B0395"/>
    <w:rsid w:val="005B115B"/>
    <w:rsid w:val="005B12BB"/>
    <w:rsid w:val="005B1CD1"/>
    <w:rsid w:val="005B2572"/>
    <w:rsid w:val="005B2BBD"/>
    <w:rsid w:val="005B2CB1"/>
    <w:rsid w:val="005B3503"/>
    <w:rsid w:val="005B3713"/>
    <w:rsid w:val="005B4C54"/>
    <w:rsid w:val="005B4DE3"/>
    <w:rsid w:val="005B5747"/>
    <w:rsid w:val="005B6A93"/>
    <w:rsid w:val="005B6B0F"/>
    <w:rsid w:val="005B6DE2"/>
    <w:rsid w:val="005B76EF"/>
    <w:rsid w:val="005B7713"/>
    <w:rsid w:val="005B7BEA"/>
    <w:rsid w:val="005C0D15"/>
    <w:rsid w:val="005C1074"/>
    <w:rsid w:val="005C10DA"/>
    <w:rsid w:val="005C139A"/>
    <w:rsid w:val="005C167B"/>
    <w:rsid w:val="005C2E42"/>
    <w:rsid w:val="005C2FBB"/>
    <w:rsid w:val="005C3E6D"/>
    <w:rsid w:val="005C3EC3"/>
    <w:rsid w:val="005C3F69"/>
    <w:rsid w:val="005C3FFC"/>
    <w:rsid w:val="005C4D80"/>
    <w:rsid w:val="005C4FDF"/>
    <w:rsid w:val="005C68CB"/>
    <w:rsid w:val="005C6A7C"/>
    <w:rsid w:val="005D0F29"/>
    <w:rsid w:val="005D17F8"/>
    <w:rsid w:val="005D1A13"/>
    <w:rsid w:val="005D259F"/>
    <w:rsid w:val="005D2641"/>
    <w:rsid w:val="005D502B"/>
    <w:rsid w:val="005D5094"/>
    <w:rsid w:val="005D5668"/>
    <w:rsid w:val="005D5687"/>
    <w:rsid w:val="005D581A"/>
    <w:rsid w:val="005D5857"/>
    <w:rsid w:val="005D6979"/>
    <w:rsid w:val="005D709D"/>
    <w:rsid w:val="005D7F50"/>
    <w:rsid w:val="005E081D"/>
    <w:rsid w:val="005E32EB"/>
    <w:rsid w:val="005E3705"/>
    <w:rsid w:val="005E385C"/>
    <w:rsid w:val="005E49B6"/>
    <w:rsid w:val="005E51B2"/>
    <w:rsid w:val="005E7608"/>
    <w:rsid w:val="005E7666"/>
    <w:rsid w:val="005E76FB"/>
    <w:rsid w:val="005E7DC8"/>
    <w:rsid w:val="005F05B1"/>
    <w:rsid w:val="005F2807"/>
    <w:rsid w:val="005F392C"/>
    <w:rsid w:val="005F3C2E"/>
    <w:rsid w:val="005F470B"/>
    <w:rsid w:val="005F4843"/>
    <w:rsid w:val="005F495A"/>
    <w:rsid w:val="005F52A5"/>
    <w:rsid w:val="005F5C0D"/>
    <w:rsid w:val="005F5F4C"/>
    <w:rsid w:val="005F6137"/>
    <w:rsid w:val="005F670E"/>
    <w:rsid w:val="005F7AF3"/>
    <w:rsid w:val="00600109"/>
    <w:rsid w:val="006007DC"/>
    <w:rsid w:val="00600BF5"/>
    <w:rsid w:val="00600D9F"/>
    <w:rsid w:val="00600EDC"/>
    <w:rsid w:val="00601D10"/>
    <w:rsid w:val="00601F12"/>
    <w:rsid w:val="00601F52"/>
    <w:rsid w:val="006022E2"/>
    <w:rsid w:val="006023E9"/>
    <w:rsid w:val="006036AA"/>
    <w:rsid w:val="006038F9"/>
    <w:rsid w:val="00604189"/>
    <w:rsid w:val="00606017"/>
    <w:rsid w:val="00606422"/>
    <w:rsid w:val="0060685F"/>
    <w:rsid w:val="00607BB0"/>
    <w:rsid w:val="00611A92"/>
    <w:rsid w:val="00611D13"/>
    <w:rsid w:val="006120E3"/>
    <w:rsid w:val="00612500"/>
    <w:rsid w:val="00612CDA"/>
    <w:rsid w:val="00612F42"/>
    <w:rsid w:val="00614BBE"/>
    <w:rsid w:val="00615007"/>
    <w:rsid w:val="00616783"/>
    <w:rsid w:val="00616C07"/>
    <w:rsid w:val="0061760D"/>
    <w:rsid w:val="00617D72"/>
    <w:rsid w:val="00620AC7"/>
    <w:rsid w:val="00620F21"/>
    <w:rsid w:val="00621217"/>
    <w:rsid w:val="00621681"/>
    <w:rsid w:val="006219A1"/>
    <w:rsid w:val="00622DD4"/>
    <w:rsid w:val="0062303E"/>
    <w:rsid w:val="00624E14"/>
    <w:rsid w:val="0062590C"/>
    <w:rsid w:val="00625E5E"/>
    <w:rsid w:val="00627307"/>
    <w:rsid w:val="0063028E"/>
    <w:rsid w:val="00631FA3"/>
    <w:rsid w:val="00632309"/>
    <w:rsid w:val="00633BFF"/>
    <w:rsid w:val="00635554"/>
    <w:rsid w:val="00635581"/>
    <w:rsid w:val="00636EC5"/>
    <w:rsid w:val="0063775E"/>
    <w:rsid w:val="00637FCC"/>
    <w:rsid w:val="006402E4"/>
    <w:rsid w:val="00640950"/>
    <w:rsid w:val="00640DFD"/>
    <w:rsid w:val="006412A3"/>
    <w:rsid w:val="006414C2"/>
    <w:rsid w:val="00641CB4"/>
    <w:rsid w:val="006421ED"/>
    <w:rsid w:val="006429F8"/>
    <w:rsid w:val="00643B62"/>
    <w:rsid w:val="006444AA"/>
    <w:rsid w:val="00644AF3"/>
    <w:rsid w:val="00646207"/>
    <w:rsid w:val="00646424"/>
    <w:rsid w:val="00647517"/>
    <w:rsid w:val="00647F47"/>
    <w:rsid w:val="00650912"/>
    <w:rsid w:val="00651659"/>
    <w:rsid w:val="00652C4C"/>
    <w:rsid w:val="00652C6E"/>
    <w:rsid w:val="006531C4"/>
    <w:rsid w:val="00654081"/>
    <w:rsid w:val="00654F52"/>
    <w:rsid w:val="00655E33"/>
    <w:rsid w:val="00656423"/>
    <w:rsid w:val="00656C05"/>
    <w:rsid w:val="0065729A"/>
    <w:rsid w:val="00661B33"/>
    <w:rsid w:val="006624AF"/>
    <w:rsid w:val="00663313"/>
    <w:rsid w:val="006653A9"/>
    <w:rsid w:val="006654B9"/>
    <w:rsid w:val="00665553"/>
    <w:rsid w:val="00665AE3"/>
    <w:rsid w:val="00667403"/>
    <w:rsid w:val="0067052C"/>
    <w:rsid w:val="00670642"/>
    <w:rsid w:val="00670B02"/>
    <w:rsid w:val="00671CE5"/>
    <w:rsid w:val="00672FFE"/>
    <w:rsid w:val="006735D7"/>
    <w:rsid w:val="00674962"/>
    <w:rsid w:val="00675176"/>
    <w:rsid w:val="0067533B"/>
    <w:rsid w:val="006756DD"/>
    <w:rsid w:val="00677119"/>
    <w:rsid w:val="006771C7"/>
    <w:rsid w:val="00677A98"/>
    <w:rsid w:val="006804C5"/>
    <w:rsid w:val="006806A4"/>
    <w:rsid w:val="00680BF9"/>
    <w:rsid w:val="0068227E"/>
    <w:rsid w:val="0068304B"/>
    <w:rsid w:val="00683D85"/>
    <w:rsid w:val="00685F9B"/>
    <w:rsid w:val="006860D2"/>
    <w:rsid w:val="006869C4"/>
    <w:rsid w:val="00686FEF"/>
    <w:rsid w:val="0069086D"/>
    <w:rsid w:val="00692128"/>
    <w:rsid w:val="0069250E"/>
    <w:rsid w:val="00694767"/>
    <w:rsid w:val="00694B5A"/>
    <w:rsid w:val="00694E92"/>
    <w:rsid w:val="00695748"/>
    <w:rsid w:val="00695903"/>
    <w:rsid w:val="00695C84"/>
    <w:rsid w:val="00695FA0"/>
    <w:rsid w:val="00696AC2"/>
    <w:rsid w:val="006978F9"/>
    <w:rsid w:val="00697920"/>
    <w:rsid w:val="00697D2E"/>
    <w:rsid w:val="006A0D9C"/>
    <w:rsid w:val="006A0FAC"/>
    <w:rsid w:val="006A1105"/>
    <w:rsid w:val="006A176B"/>
    <w:rsid w:val="006A35CE"/>
    <w:rsid w:val="006A3973"/>
    <w:rsid w:val="006A3B1C"/>
    <w:rsid w:val="006A40F2"/>
    <w:rsid w:val="006A4511"/>
    <w:rsid w:val="006A54E0"/>
    <w:rsid w:val="006A5E8F"/>
    <w:rsid w:val="006A6523"/>
    <w:rsid w:val="006A6A8A"/>
    <w:rsid w:val="006A6D77"/>
    <w:rsid w:val="006A7127"/>
    <w:rsid w:val="006B0099"/>
    <w:rsid w:val="006B032F"/>
    <w:rsid w:val="006B038C"/>
    <w:rsid w:val="006B1728"/>
    <w:rsid w:val="006B2AE0"/>
    <w:rsid w:val="006B2EFD"/>
    <w:rsid w:val="006B3111"/>
    <w:rsid w:val="006B369C"/>
    <w:rsid w:val="006B3873"/>
    <w:rsid w:val="006B3F3F"/>
    <w:rsid w:val="006B52D7"/>
    <w:rsid w:val="006B54C6"/>
    <w:rsid w:val="006B5EF7"/>
    <w:rsid w:val="006B6416"/>
    <w:rsid w:val="006B660D"/>
    <w:rsid w:val="006B67EA"/>
    <w:rsid w:val="006B6F44"/>
    <w:rsid w:val="006B7190"/>
    <w:rsid w:val="006B7CAD"/>
    <w:rsid w:val="006C0D4C"/>
    <w:rsid w:val="006C1FFB"/>
    <w:rsid w:val="006C2BAC"/>
    <w:rsid w:val="006C3A7D"/>
    <w:rsid w:val="006C527A"/>
    <w:rsid w:val="006C53B5"/>
    <w:rsid w:val="006C5DE0"/>
    <w:rsid w:val="006C7729"/>
    <w:rsid w:val="006C7FFC"/>
    <w:rsid w:val="006D0401"/>
    <w:rsid w:val="006D0F6F"/>
    <w:rsid w:val="006D2AFC"/>
    <w:rsid w:val="006D3029"/>
    <w:rsid w:val="006D3562"/>
    <w:rsid w:val="006D3958"/>
    <w:rsid w:val="006D3C75"/>
    <w:rsid w:val="006D45CA"/>
    <w:rsid w:val="006D4C89"/>
    <w:rsid w:val="006D510D"/>
    <w:rsid w:val="006D60F2"/>
    <w:rsid w:val="006D691C"/>
    <w:rsid w:val="006D6CEE"/>
    <w:rsid w:val="006D79CD"/>
    <w:rsid w:val="006E136B"/>
    <w:rsid w:val="006E1B99"/>
    <w:rsid w:val="006E1C2B"/>
    <w:rsid w:val="006E32A9"/>
    <w:rsid w:val="006E3F5A"/>
    <w:rsid w:val="006E3F6F"/>
    <w:rsid w:val="006E3FF1"/>
    <w:rsid w:val="006E5982"/>
    <w:rsid w:val="006E6CB7"/>
    <w:rsid w:val="006E7E32"/>
    <w:rsid w:val="006E7F70"/>
    <w:rsid w:val="006F0224"/>
    <w:rsid w:val="006F1CE7"/>
    <w:rsid w:val="006F2091"/>
    <w:rsid w:val="006F2861"/>
    <w:rsid w:val="006F2875"/>
    <w:rsid w:val="006F2FC2"/>
    <w:rsid w:val="006F3333"/>
    <w:rsid w:val="006F5060"/>
    <w:rsid w:val="006F51C1"/>
    <w:rsid w:val="006F5225"/>
    <w:rsid w:val="006F5343"/>
    <w:rsid w:val="006F5672"/>
    <w:rsid w:val="006F5C0E"/>
    <w:rsid w:val="006F5C2B"/>
    <w:rsid w:val="006F6843"/>
    <w:rsid w:val="006F692A"/>
    <w:rsid w:val="006F6C90"/>
    <w:rsid w:val="006F6E4E"/>
    <w:rsid w:val="006F7DC5"/>
    <w:rsid w:val="00700FDA"/>
    <w:rsid w:val="00702B7C"/>
    <w:rsid w:val="00703233"/>
    <w:rsid w:val="007042B0"/>
    <w:rsid w:val="0070460A"/>
    <w:rsid w:val="00704FF1"/>
    <w:rsid w:val="00705C66"/>
    <w:rsid w:val="00705F2C"/>
    <w:rsid w:val="007079A7"/>
    <w:rsid w:val="00711068"/>
    <w:rsid w:val="007121C4"/>
    <w:rsid w:val="007124C8"/>
    <w:rsid w:val="00712C6A"/>
    <w:rsid w:val="007143F6"/>
    <w:rsid w:val="007147EF"/>
    <w:rsid w:val="007151A3"/>
    <w:rsid w:val="00715AC6"/>
    <w:rsid w:val="00716EED"/>
    <w:rsid w:val="0071749D"/>
    <w:rsid w:val="0071769A"/>
    <w:rsid w:val="00720352"/>
    <w:rsid w:val="00720DE3"/>
    <w:rsid w:val="007211E5"/>
    <w:rsid w:val="00721D00"/>
    <w:rsid w:val="007225F2"/>
    <w:rsid w:val="00722AC8"/>
    <w:rsid w:val="00722FB1"/>
    <w:rsid w:val="00723310"/>
    <w:rsid w:val="00725F22"/>
    <w:rsid w:val="007260E5"/>
    <w:rsid w:val="00726173"/>
    <w:rsid w:val="00726715"/>
    <w:rsid w:val="00726D9E"/>
    <w:rsid w:val="0072716D"/>
    <w:rsid w:val="007307B0"/>
    <w:rsid w:val="0073081F"/>
    <w:rsid w:val="00730BA4"/>
    <w:rsid w:val="00730CF1"/>
    <w:rsid w:val="007315D9"/>
    <w:rsid w:val="0073178F"/>
    <w:rsid w:val="007336BF"/>
    <w:rsid w:val="00733D66"/>
    <w:rsid w:val="00734DC2"/>
    <w:rsid w:val="0073630C"/>
    <w:rsid w:val="0073651D"/>
    <w:rsid w:val="00737B40"/>
    <w:rsid w:val="00737B44"/>
    <w:rsid w:val="00737D5B"/>
    <w:rsid w:val="0074012B"/>
    <w:rsid w:val="00740A70"/>
    <w:rsid w:val="00740C0E"/>
    <w:rsid w:val="007416BB"/>
    <w:rsid w:val="00742AA9"/>
    <w:rsid w:val="00742BC7"/>
    <w:rsid w:val="00743441"/>
    <w:rsid w:val="00743AA7"/>
    <w:rsid w:val="00743C09"/>
    <w:rsid w:val="007456AB"/>
    <w:rsid w:val="007460AF"/>
    <w:rsid w:val="007462CD"/>
    <w:rsid w:val="007464F4"/>
    <w:rsid w:val="00746A39"/>
    <w:rsid w:val="00747545"/>
    <w:rsid w:val="007501F5"/>
    <w:rsid w:val="00750C17"/>
    <w:rsid w:val="00751A5F"/>
    <w:rsid w:val="00751AFB"/>
    <w:rsid w:val="00751EA6"/>
    <w:rsid w:val="00752397"/>
    <w:rsid w:val="007524E0"/>
    <w:rsid w:val="00752E13"/>
    <w:rsid w:val="00753294"/>
    <w:rsid w:val="007532DE"/>
    <w:rsid w:val="00753660"/>
    <w:rsid w:val="0075399C"/>
    <w:rsid w:val="00753B67"/>
    <w:rsid w:val="00753BBA"/>
    <w:rsid w:val="0075407C"/>
    <w:rsid w:val="00754590"/>
    <w:rsid w:val="00755536"/>
    <w:rsid w:val="007566A7"/>
    <w:rsid w:val="00756B19"/>
    <w:rsid w:val="00756B95"/>
    <w:rsid w:val="00757193"/>
    <w:rsid w:val="00757CB3"/>
    <w:rsid w:val="00760401"/>
    <w:rsid w:val="00760BB3"/>
    <w:rsid w:val="00761CB1"/>
    <w:rsid w:val="0076201A"/>
    <w:rsid w:val="0076255C"/>
    <w:rsid w:val="007634DC"/>
    <w:rsid w:val="00763826"/>
    <w:rsid w:val="00766DDD"/>
    <w:rsid w:val="0077094F"/>
    <w:rsid w:val="00770A8B"/>
    <w:rsid w:val="00770CBE"/>
    <w:rsid w:val="00771571"/>
    <w:rsid w:val="00772869"/>
    <w:rsid w:val="00772B5E"/>
    <w:rsid w:val="00773DF0"/>
    <w:rsid w:val="00774131"/>
    <w:rsid w:val="00774293"/>
    <w:rsid w:val="00774916"/>
    <w:rsid w:val="00775384"/>
    <w:rsid w:val="00775925"/>
    <w:rsid w:val="00775DF8"/>
    <w:rsid w:val="00776191"/>
    <w:rsid w:val="0077626C"/>
    <w:rsid w:val="007762CF"/>
    <w:rsid w:val="0077634A"/>
    <w:rsid w:val="007766B0"/>
    <w:rsid w:val="00776DF6"/>
    <w:rsid w:val="00777793"/>
    <w:rsid w:val="00777DEE"/>
    <w:rsid w:val="00777E7F"/>
    <w:rsid w:val="00777EE9"/>
    <w:rsid w:val="007804F5"/>
    <w:rsid w:val="0078087D"/>
    <w:rsid w:val="00781B7B"/>
    <w:rsid w:val="00782108"/>
    <w:rsid w:val="007821EC"/>
    <w:rsid w:val="00782CE4"/>
    <w:rsid w:val="00782D37"/>
    <w:rsid w:val="007853D7"/>
    <w:rsid w:val="007858B7"/>
    <w:rsid w:val="00785A63"/>
    <w:rsid w:val="0078658B"/>
    <w:rsid w:val="00786FFD"/>
    <w:rsid w:val="0078743F"/>
    <w:rsid w:val="00787D6E"/>
    <w:rsid w:val="0079014F"/>
    <w:rsid w:val="007909D9"/>
    <w:rsid w:val="00790BF7"/>
    <w:rsid w:val="00791E39"/>
    <w:rsid w:val="00792A59"/>
    <w:rsid w:val="00792E85"/>
    <w:rsid w:val="0079356A"/>
    <w:rsid w:val="00793F47"/>
    <w:rsid w:val="00793FA9"/>
    <w:rsid w:val="00794043"/>
    <w:rsid w:val="00794441"/>
    <w:rsid w:val="007948BC"/>
    <w:rsid w:val="007962E7"/>
    <w:rsid w:val="00796450"/>
    <w:rsid w:val="007965E4"/>
    <w:rsid w:val="0079754A"/>
    <w:rsid w:val="007976ED"/>
    <w:rsid w:val="007977AF"/>
    <w:rsid w:val="007A0814"/>
    <w:rsid w:val="007A09BB"/>
    <w:rsid w:val="007A09E5"/>
    <w:rsid w:val="007A0D38"/>
    <w:rsid w:val="007A210A"/>
    <w:rsid w:val="007A223D"/>
    <w:rsid w:val="007A23C8"/>
    <w:rsid w:val="007A312F"/>
    <w:rsid w:val="007A32BC"/>
    <w:rsid w:val="007A3970"/>
    <w:rsid w:val="007A49B9"/>
    <w:rsid w:val="007A4C62"/>
    <w:rsid w:val="007A4D73"/>
    <w:rsid w:val="007A6095"/>
    <w:rsid w:val="007A6376"/>
    <w:rsid w:val="007A7279"/>
    <w:rsid w:val="007A7AB0"/>
    <w:rsid w:val="007A7B0C"/>
    <w:rsid w:val="007B18C1"/>
    <w:rsid w:val="007B1D4F"/>
    <w:rsid w:val="007B1FFF"/>
    <w:rsid w:val="007B23CA"/>
    <w:rsid w:val="007B2D5C"/>
    <w:rsid w:val="007B2DB3"/>
    <w:rsid w:val="007B42BB"/>
    <w:rsid w:val="007B4B0E"/>
    <w:rsid w:val="007B4D86"/>
    <w:rsid w:val="007B5014"/>
    <w:rsid w:val="007B5A66"/>
    <w:rsid w:val="007B6036"/>
    <w:rsid w:val="007B683F"/>
    <w:rsid w:val="007B7BBD"/>
    <w:rsid w:val="007C005E"/>
    <w:rsid w:val="007C1EB4"/>
    <w:rsid w:val="007C2848"/>
    <w:rsid w:val="007C3093"/>
    <w:rsid w:val="007C31DF"/>
    <w:rsid w:val="007C3C98"/>
    <w:rsid w:val="007C4AAD"/>
    <w:rsid w:val="007C51E1"/>
    <w:rsid w:val="007C5E47"/>
    <w:rsid w:val="007C64CA"/>
    <w:rsid w:val="007C66BE"/>
    <w:rsid w:val="007C68BF"/>
    <w:rsid w:val="007C7569"/>
    <w:rsid w:val="007C7FCB"/>
    <w:rsid w:val="007D17E3"/>
    <w:rsid w:val="007D1978"/>
    <w:rsid w:val="007D24AD"/>
    <w:rsid w:val="007D2CE9"/>
    <w:rsid w:val="007D324D"/>
    <w:rsid w:val="007D337D"/>
    <w:rsid w:val="007D3E10"/>
    <w:rsid w:val="007D57E4"/>
    <w:rsid w:val="007D65F2"/>
    <w:rsid w:val="007D6F45"/>
    <w:rsid w:val="007D7145"/>
    <w:rsid w:val="007E0091"/>
    <w:rsid w:val="007E052C"/>
    <w:rsid w:val="007E0A53"/>
    <w:rsid w:val="007E0D91"/>
    <w:rsid w:val="007E11C7"/>
    <w:rsid w:val="007E12D3"/>
    <w:rsid w:val="007E1B08"/>
    <w:rsid w:val="007E24B2"/>
    <w:rsid w:val="007E29C4"/>
    <w:rsid w:val="007E2EC9"/>
    <w:rsid w:val="007E3A6C"/>
    <w:rsid w:val="007E4355"/>
    <w:rsid w:val="007E4800"/>
    <w:rsid w:val="007E4B5F"/>
    <w:rsid w:val="007E52DA"/>
    <w:rsid w:val="007E5792"/>
    <w:rsid w:val="007E7313"/>
    <w:rsid w:val="007E7E05"/>
    <w:rsid w:val="007F0500"/>
    <w:rsid w:val="007F09C9"/>
    <w:rsid w:val="007F14AF"/>
    <w:rsid w:val="007F1CF0"/>
    <w:rsid w:val="007F203F"/>
    <w:rsid w:val="007F2A33"/>
    <w:rsid w:val="007F4415"/>
    <w:rsid w:val="007F7B63"/>
    <w:rsid w:val="00800E60"/>
    <w:rsid w:val="00800E8F"/>
    <w:rsid w:val="00801EB4"/>
    <w:rsid w:val="008026F1"/>
    <w:rsid w:val="00803E40"/>
    <w:rsid w:val="00804245"/>
    <w:rsid w:val="008055D1"/>
    <w:rsid w:val="00807202"/>
    <w:rsid w:val="008100A0"/>
    <w:rsid w:val="00810A0D"/>
    <w:rsid w:val="00811747"/>
    <w:rsid w:val="00812012"/>
    <w:rsid w:val="00813B63"/>
    <w:rsid w:val="00814A3E"/>
    <w:rsid w:val="00814E82"/>
    <w:rsid w:val="00815CA0"/>
    <w:rsid w:val="008164F4"/>
    <w:rsid w:val="00817300"/>
    <w:rsid w:val="0081739C"/>
    <w:rsid w:val="0082028E"/>
    <w:rsid w:val="00820444"/>
    <w:rsid w:val="008204FE"/>
    <w:rsid w:val="00821417"/>
    <w:rsid w:val="00822B1B"/>
    <w:rsid w:val="00822C03"/>
    <w:rsid w:val="00822DA4"/>
    <w:rsid w:val="00824481"/>
    <w:rsid w:val="00824608"/>
    <w:rsid w:val="00826CFE"/>
    <w:rsid w:val="00827105"/>
    <w:rsid w:val="00830639"/>
    <w:rsid w:val="008315BA"/>
    <w:rsid w:val="00831DFF"/>
    <w:rsid w:val="00832306"/>
    <w:rsid w:val="00832408"/>
    <w:rsid w:val="00832689"/>
    <w:rsid w:val="00833394"/>
    <w:rsid w:val="008354D1"/>
    <w:rsid w:val="00835A3D"/>
    <w:rsid w:val="00836C9A"/>
    <w:rsid w:val="00837B78"/>
    <w:rsid w:val="00837FAF"/>
    <w:rsid w:val="00840157"/>
    <w:rsid w:val="00842FDF"/>
    <w:rsid w:val="0084375E"/>
    <w:rsid w:val="00843BA8"/>
    <w:rsid w:val="008440C3"/>
    <w:rsid w:val="00844EEE"/>
    <w:rsid w:val="00850300"/>
    <w:rsid w:val="00850566"/>
    <w:rsid w:val="00850BD9"/>
    <w:rsid w:val="00850F12"/>
    <w:rsid w:val="00851AF8"/>
    <w:rsid w:val="00852168"/>
    <w:rsid w:val="0085242F"/>
    <w:rsid w:val="00852549"/>
    <w:rsid w:val="008532B2"/>
    <w:rsid w:val="00853346"/>
    <w:rsid w:val="008538B1"/>
    <w:rsid w:val="008545CC"/>
    <w:rsid w:val="0085477B"/>
    <w:rsid w:val="00855153"/>
    <w:rsid w:val="00855DB4"/>
    <w:rsid w:val="008572C9"/>
    <w:rsid w:val="0085759C"/>
    <w:rsid w:val="008577D4"/>
    <w:rsid w:val="00860086"/>
    <w:rsid w:val="008612B9"/>
    <w:rsid w:val="00862328"/>
    <w:rsid w:val="008623D7"/>
    <w:rsid w:val="0086284F"/>
    <w:rsid w:val="008632FD"/>
    <w:rsid w:val="008634F6"/>
    <w:rsid w:val="00866E8B"/>
    <w:rsid w:val="00867568"/>
    <w:rsid w:val="00867A64"/>
    <w:rsid w:val="00870107"/>
    <w:rsid w:val="008705EE"/>
    <w:rsid w:val="00872C3A"/>
    <w:rsid w:val="00872C60"/>
    <w:rsid w:val="00873CC7"/>
    <w:rsid w:val="008744DA"/>
    <w:rsid w:val="00874BA5"/>
    <w:rsid w:val="00874E50"/>
    <w:rsid w:val="008800AD"/>
    <w:rsid w:val="00882B39"/>
    <w:rsid w:val="008834E5"/>
    <w:rsid w:val="00883CC2"/>
    <w:rsid w:val="0088426B"/>
    <w:rsid w:val="0088472D"/>
    <w:rsid w:val="008850C7"/>
    <w:rsid w:val="0088523D"/>
    <w:rsid w:val="00885659"/>
    <w:rsid w:val="00885955"/>
    <w:rsid w:val="00885E7B"/>
    <w:rsid w:val="00886244"/>
    <w:rsid w:val="00886B8A"/>
    <w:rsid w:val="00887CD9"/>
    <w:rsid w:val="00890A1F"/>
    <w:rsid w:val="00892119"/>
    <w:rsid w:val="0089225D"/>
    <w:rsid w:val="008928BC"/>
    <w:rsid w:val="00892FEA"/>
    <w:rsid w:val="0089366F"/>
    <w:rsid w:val="00893889"/>
    <w:rsid w:val="00895102"/>
    <w:rsid w:val="00895492"/>
    <w:rsid w:val="00895586"/>
    <w:rsid w:val="0089561B"/>
    <w:rsid w:val="00895669"/>
    <w:rsid w:val="0089637B"/>
    <w:rsid w:val="00896963"/>
    <w:rsid w:val="00896B0F"/>
    <w:rsid w:val="00897134"/>
    <w:rsid w:val="008A049A"/>
    <w:rsid w:val="008A07BF"/>
    <w:rsid w:val="008A0A02"/>
    <w:rsid w:val="008A11D3"/>
    <w:rsid w:val="008A1316"/>
    <w:rsid w:val="008A2176"/>
    <w:rsid w:val="008A2795"/>
    <w:rsid w:val="008A28E4"/>
    <w:rsid w:val="008A2B2A"/>
    <w:rsid w:val="008A481E"/>
    <w:rsid w:val="008A7791"/>
    <w:rsid w:val="008A77A3"/>
    <w:rsid w:val="008A7820"/>
    <w:rsid w:val="008B01CD"/>
    <w:rsid w:val="008B0738"/>
    <w:rsid w:val="008B0D0C"/>
    <w:rsid w:val="008B0DD7"/>
    <w:rsid w:val="008B1DE3"/>
    <w:rsid w:val="008B2F8C"/>
    <w:rsid w:val="008B4C96"/>
    <w:rsid w:val="008B4EF8"/>
    <w:rsid w:val="008B66AF"/>
    <w:rsid w:val="008B681A"/>
    <w:rsid w:val="008C11BF"/>
    <w:rsid w:val="008C16ED"/>
    <w:rsid w:val="008C2164"/>
    <w:rsid w:val="008C2644"/>
    <w:rsid w:val="008C2CF2"/>
    <w:rsid w:val="008C3433"/>
    <w:rsid w:val="008C3C9E"/>
    <w:rsid w:val="008C3D66"/>
    <w:rsid w:val="008C3E60"/>
    <w:rsid w:val="008C449E"/>
    <w:rsid w:val="008C4DBD"/>
    <w:rsid w:val="008D0458"/>
    <w:rsid w:val="008D0EF8"/>
    <w:rsid w:val="008D0F8B"/>
    <w:rsid w:val="008D16C0"/>
    <w:rsid w:val="008D1990"/>
    <w:rsid w:val="008D199B"/>
    <w:rsid w:val="008D1FFC"/>
    <w:rsid w:val="008D2331"/>
    <w:rsid w:val="008D248E"/>
    <w:rsid w:val="008D2C93"/>
    <w:rsid w:val="008D2CC1"/>
    <w:rsid w:val="008D38CE"/>
    <w:rsid w:val="008D3AE4"/>
    <w:rsid w:val="008D46BD"/>
    <w:rsid w:val="008D4FED"/>
    <w:rsid w:val="008D5102"/>
    <w:rsid w:val="008D5309"/>
    <w:rsid w:val="008D6938"/>
    <w:rsid w:val="008D7D4B"/>
    <w:rsid w:val="008D7DFA"/>
    <w:rsid w:val="008E00B5"/>
    <w:rsid w:val="008E17A5"/>
    <w:rsid w:val="008E184A"/>
    <w:rsid w:val="008E2403"/>
    <w:rsid w:val="008E3267"/>
    <w:rsid w:val="008E33F7"/>
    <w:rsid w:val="008E441C"/>
    <w:rsid w:val="008E53EA"/>
    <w:rsid w:val="008E58DD"/>
    <w:rsid w:val="008E626F"/>
    <w:rsid w:val="008E688C"/>
    <w:rsid w:val="008E7021"/>
    <w:rsid w:val="008E7218"/>
    <w:rsid w:val="008E722C"/>
    <w:rsid w:val="008F01EF"/>
    <w:rsid w:val="008F0410"/>
    <w:rsid w:val="008F186D"/>
    <w:rsid w:val="008F3083"/>
    <w:rsid w:val="008F3374"/>
    <w:rsid w:val="008F3779"/>
    <w:rsid w:val="008F4AE1"/>
    <w:rsid w:val="008F504D"/>
    <w:rsid w:val="008F53DD"/>
    <w:rsid w:val="008F56DA"/>
    <w:rsid w:val="008F639A"/>
    <w:rsid w:val="008F6B6B"/>
    <w:rsid w:val="008F773E"/>
    <w:rsid w:val="00901377"/>
    <w:rsid w:val="00901619"/>
    <w:rsid w:val="00901763"/>
    <w:rsid w:val="00901858"/>
    <w:rsid w:val="00902006"/>
    <w:rsid w:val="009023D9"/>
    <w:rsid w:val="009026D7"/>
    <w:rsid w:val="00902D04"/>
    <w:rsid w:val="009035BB"/>
    <w:rsid w:val="00903CA3"/>
    <w:rsid w:val="00903CF8"/>
    <w:rsid w:val="009046C7"/>
    <w:rsid w:val="00904BFC"/>
    <w:rsid w:val="0090574A"/>
    <w:rsid w:val="00905A72"/>
    <w:rsid w:val="00905BED"/>
    <w:rsid w:val="0090736F"/>
    <w:rsid w:val="00907A32"/>
    <w:rsid w:val="00907D61"/>
    <w:rsid w:val="009100EB"/>
    <w:rsid w:val="00911E80"/>
    <w:rsid w:val="0091301E"/>
    <w:rsid w:val="00913476"/>
    <w:rsid w:val="00913EE8"/>
    <w:rsid w:val="00915364"/>
    <w:rsid w:val="00915755"/>
    <w:rsid w:val="00916414"/>
    <w:rsid w:val="00916A79"/>
    <w:rsid w:val="00917EC0"/>
    <w:rsid w:val="00920B0B"/>
    <w:rsid w:val="009212EC"/>
    <w:rsid w:val="009213C6"/>
    <w:rsid w:val="00921A32"/>
    <w:rsid w:val="00921A5D"/>
    <w:rsid w:val="0092234E"/>
    <w:rsid w:val="00922510"/>
    <w:rsid w:val="00922A09"/>
    <w:rsid w:val="00922D11"/>
    <w:rsid w:val="00923169"/>
    <w:rsid w:val="00924190"/>
    <w:rsid w:val="00924E32"/>
    <w:rsid w:val="009254EB"/>
    <w:rsid w:val="0092702B"/>
    <w:rsid w:val="009273E1"/>
    <w:rsid w:val="00930C62"/>
    <w:rsid w:val="00931A04"/>
    <w:rsid w:val="00932AC1"/>
    <w:rsid w:val="00932DA9"/>
    <w:rsid w:val="00933035"/>
    <w:rsid w:val="00933CB7"/>
    <w:rsid w:val="00934D8F"/>
    <w:rsid w:val="0093504B"/>
    <w:rsid w:val="00935C1A"/>
    <w:rsid w:val="00936B5D"/>
    <w:rsid w:val="00936DE7"/>
    <w:rsid w:val="009370AF"/>
    <w:rsid w:val="00937398"/>
    <w:rsid w:val="009377F6"/>
    <w:rsid w:val="00937BE5"/>
    <w:rsid w:val="00937D26"/>
    <w:rsid w:val="00940988"/>
    <w:rsid w:val="00940ED3"/>
    <w:rsid w:val="0094213A"/>
    <w:rsid w:val="0094294B"/>
    <w:rsid w:val="00943D11"/>
    <w:rsid w:val="00945175"/>
    <w:rsid w:val="009453D8"/>
    <w:rsid w:val="00946018"/>
    <w:rsid w:val="00946263"/>
    <w:rsid w:val="00947202"/>
    <w:rsid w:val="009476C9"/>
    <w:rsid w:val="00947CA1"/>
    <w:rsid w:val="00950032"/>
    <w:rsid w:val="009505DC"/>
    <w:rsid w:val="00950E57"/>
    <w:rsid w:val="00951995"/>
    <w:rsid w:val="00955A02"/>
    <w:rsid w:val="00956522"/>
    <w:rsid w:val="0095725E"/>
    <w:rsid w:val="00957487"/>
    <w:rsid w:val="009605CD"/>
    <w:rsid w:val="00960807"/>
    <w:rsid w:val="00960A97"/>
    <w:rsid w:val="00961F77"/>
    <w:rsid w:val="00962DE8"/>
    <w:rsid w:val="0096353B"/>
    <w:rsid w:val="00965C10"/>
    <w:rsid w:val="009669FA"/>
    <w:rsid w:val="009678A9"/>
    <w:rsid w:val="00967977"/>
    <w:rsid w:val="00971493"/>
    <w:rsid w:val="00971B49"/>
    <w:rsid w:val="00972FBF"/>
    <w:rsid w:val="00973418"/>
    <w:rsid w:val="00974507"/>
    <w:rsid w:val="00974999"/>
    <w:rsid w:val="00975AFF"/>
    <w:rsid w:val="00977721"/>
    <w:rsid w:val="009802AE"/>
    <w:rsid w:val="00981107"/>
    <w:rsid w:val="00981289"/>
    <w:rsid w:val="00982427"/>
    <w:rsid w:val="00983943"/>
    <w:rsid w:val="00984554"/>
    <w:rsid w:val="00984FCB"/>
    <w:rsid w:val="0098584D"/>
    <w:rsid w:val="009865F5"/>
    <w:rsid w:val="00986A77"/>
    <w:rsid w:val="0098706B"/>
    <w:rsid w:val="0098717B"/>
    <w:rsid w:val="009903BA"/>
    <w:rsid w:val="00990DD8"/>
    <w:rsid w:val="00991247"/>
    <w:rsid w:val="00992010"/>
    <w:rsid w:val="009925A8"/>
    <w:rsid w:val="00993FB8"/>
    <w:rsid w:val="0099408E"/>
    <w:rsid w:val="00995555"/>
    <w:rsid w:val="00995DF5"/>
    <w:rsid w:val="00996508"/>
    <w:rsid w:val="009978CD"/>
    <w:rsid w:val="00997BAD"/>
    <w:rsid w:val="009A0576"/>
    <w:rsid w:val="009A0E05"/>
    <w:rsid w:val="009A2006"/>
    <w:rsid w:val="009A22D5"/>
    <w:rsid w:val="009A3277"/>
    <w:rsid w:val="009A3422"/>
    <w:rsid w:val="009A3F03"/>
    <w:rsid w:val="009A4BCA"/>
    <w:rsid w:val="009A5760"/>
    <w:rsid w:val="009A6124"/>
    <w:rsid w:val="009A7DB4"/>
    <w:rsid w:val="009B028C"/>
    <w:rsid w:val="009B05C8"/>
    <w:rsid w:val="009B18B1"/>
    <w:rsid w:val="009B2162"/>
    <w:rsid w:val="009B235D"/>
    <w:rsid w:val="009B2617"/>
    <w:rsid w:val="009B31B7"/>
    <w:rsid w:val="009B4297"/>
    <w:rsid w:val="009B4746"/>
    <w:rsid w:val="009B4D56"/>
    <w:rsid w:val="009B4EEA"/>
    <w:rsid w:val="009B500E"/>
    <w:rsid w:val="009B5488"/>
    <w:rsid w:val="009B5B13"/>
    <w:rsid w:val="009B5D0A"/>
    <w:rsid w:val="009B5D66"/>
    <w:rsid w:val="009B63C7"/>
    <w:rsid w:val="009B7525"/>
    <w:rsid w:val="009B7798"/>
    <w:rsid w:val="009B77DD"/>
    <w:rsid w:val="009C06A3"/>
    <w:rsid w:val="009C2314"/>
    <w:rsid w:val="009C2A29"/>
    <w:rsid w:val="009C38BE"/>
    <w:rsid w:val="009C454F"/>
    <w:rsid w:val="009C4FB2"/>
    <w:rsid w:val="009C53E8"/>
    <w:rsid w:val="009C6724"/>
    <w:rsid w:val="009C680D"/>
    <w:rsid w:val="009C6AAF"/>
    <w:rsid w:val="009C758F"/>
    <w:rsid w:val="009D1002"/>
    <w:rsid w:val="009D3094"/>
    <w:rsid w:val="009D3582"/>
    <w:rsid w:val="009D359E"/>
    <w:rsid w:val="009D3F99"/>
    <w:rsid w:val="009D44E3"/>
    <w:rsid w:val="009D4C79"/>
    <w:rsid w:val="009D4CBE"/>
    <w:rsid w:val="009D5039"/>
    <w:rsid w:val="009D59C9"/>
    <w:rsid w:val="009D5C40"/>
    <w:rsid w:val="009D7E30"/>
    <w:rsid w:val="009D7EB3"/>
    <w:rsid w:val="009E027D"/>
    <w:rsid w:val="009E0E19"/>
    <w:rsid w:val="009E131F"/>
    <w:rsid w:val="009E15E2"/>
    <w:rsid w:val="009E1941"/>
    <w:rsid w:val="009E2063"/>
    <w:rsid w:val="009E324D"/>
    <w:rsid w:val="009E55A2"/>
    <w:rsid w:val="009E58E4"/>
    <w:rsid w:val="009E6888"/>
    <w:rsid w:val="009E7327"/>
    <w:rsid w:val="009E7D16"/>
    <w:rsid w:val="009F037A"/>
    <w:rsid w:val="009F046F"/>
    <w:rsid w:val="009F0566"/>
    <w:rsid w:val="009F095A"/>
    <w:rsid w:val="009F38DC"/>
    <w:rsid w:val="009F54F8"/>
    <w:rsid w:val="009F5D6A"/>
    <w:rsid w:val="009F64E7"/>
    <w:rsid w:val="009F6AFA"/>
    <w:rsid w:val="009F6CBC"/>
    <w:rsid w:val="009F7864"/>
    <w:rsid w:val="009F7A8E"/>
    <w:rsid w:val="00A00550"/>
    <w:rsid w:val="00A00832"/>
    <w:rsid w:val="00A00BB8"/>
    <w:rsid w:val="00A00DF7"/>
    <w:rsid w:val="00A017AD"/>
    <w:rsid w:val="00A01A99"/>
    <w:rsid w:val="00A029BF"/>
    <w:rsid w:val="00A03107"/>
    <w:rsid w:val="00A033A8"/>
    <w:rsid w:val="00A037D4"/>
    <w:rsid w:val="00A037DB"/>
    <w:rsid w:val="00A0402F"/>
    <w:rsid w:val="00A05C26"/>
    <w:rsid w:val="00A06265"/>
    <w:rsid w:val="00A065B8"/>
    <w:rsid w:val="00A06A41"/>
    <w:rsid w:val="00A0720F"/>
    <w:rsid w:val="00A076BE"/>
    <w:rsid w:val="00A10C65"/>
    <w:rsid w:val="00A1197B"/>
    <w:rsid w:val="00A11DDF"/>
    <w:rsid w:val="00A12AE3"/>
    <w:rsid w:val="00A12CAE"/>
    <w:rsid w:val="00A14069"/>
    <w:rsid w:val="00A14640"/>
    <w:rsid w:val="00A14EDE"/>
    <w:rsid w:val="00A152E1"/>
    <w:rsid w:val="00A15502"/>
    <w:rsid w:val="00A21291"/>
    <w:rsid w:val="00A216B6"/>
    <w:rsid w:val="00A22FC6"/>
    <w:rsid w:val="00A23026"/>
    <w:rsid w:val="00A24E49"/>
    <w:rsid w:val="00A25E7B"/>
    <w:rsid w:val="00A262E1"/>
    <w:rsid w:val="00A275C3"/>
    <w:rsid w:val="00A27F48"/>
    <w:rsid w:val="00A3046C"/>
    <w:rsid w:val="00A30EFA"/>
    <w:rsid w:val="00A318D9"/>
    <w:rsid w:val="00A31CC7"/>
    <w:rsid w:val="00A32420"/>
    <w:rsid w:val="00A32A80"/>
    <w:rsid w:val="00A3342C"/>
    <w:rsid w:val="00A340BB"/>
    <w:rsid w:val="00A341C4"/>
    <w:rsid w:val="00A344AC"/>
    <w:rsid w:val="00A34B9B"/>
    <w:rsid w:val="00A34C1E"/>
    <w:rsid w:val="00A35427"/>
    <w:rsid w:val="00A36187"/>
    <w:rsid w:val="00A36AA2"/>
    <w:rsid w:val="00A3710C"/>
    <w:rsid w:val="00A375C9"/>
    <w:rsid w:val="00A40CE7"/>
    <w:rsid w:val="00A40E80"/>
    <w:rsid w:val="00A41576"/>
    <w:rsid w:val="00A43540"/>
    <w:rsid w:val="00A43829"/>
    <w:rsid w:val="00A43A5C"/>
    <w:rsid w:val="00A44447"/>
    <w:rsid w:val="00A44E42"/>
    <w:rsid w:val="00A469F9"/>
    <w:rsid w:val="00A46C3E"/>
    <w:rsid w:val="00A50591"/>
    <w:rsid w:val="00A50632"/>
    <w:rsid w:val="00A514B2"/>
    <w:rsid w:val="00A53898"/>
    <w:rsid w:val="00A54ABD"/>
    <w:rsid w:val="00A555B1"/>
    <w:rsid w:val="00A55AE4"/>
    <w:rsid w:val="00A56240"/>
    <w:rsid w:val="00A56528"/>
    <w:rsid w:val="00A56C02"/>
    <w:rsid w:val="00A56F41"/>
    <w:rsid w:val="00A57823"/>
    <w:rsid w:val="00A579AF"/>
    <w:rsid w:val="00A57EFC"/>
    <w:rsid w:val="00A57FFA"/>
    <w:rsid w:val="00A6075B"/>
    <w:rsid w:val="00A61060"/>
    <w:rsid w:val="00A61D6F"/>
    <w:rsid w:val="00A61E01"/>
    <w:rsid w:val="00A61F09"/>
    <w:rsid w:val="00A62AFE"/>
    <w:rsid w:val="00A6326C"/>
    <w:rsid w:val="00A632FC"/>
    <w:rsid w:val="00A634BB"/>
    <w:rsid w:val="00A65D67"/>
    <w:rsid w:val="00A66938"/>
    <w:rsid w:val="00A66985"/>
    <w:rsid w:val="00A66A43"/>
    <w:rsid w:val="00A677C8"/>
    <w:rsid w:val="00A67F8B"/>
    <w:rsid w:val="00A701F1"/>
    <w:rsid w:val="00A70456"/>
    <w:rsid w:val="00A7077C"/>
    <w:rsid w:val="00A70AEC"/>
    <w:rsid w:val="00A74D7E"/>
    <w:rsid w:val="00A75CD2"/>
    <w:rsid w:val="00A77A1A"/>
    <w:rsid w:val="00A77E8F"/>
    <w:rsid w:val="00A807CD"/>
    <w:rsid w:val="00A80B0D"/>
    <w:rsid w:val="00A81051"/>
    <w:rsid w:val="00A81D6C"/>
    <w:rsid w:val="00A8220F"/>
    <w:rsid w:val="00A82E24"/>
    <w:rsid w:val="00A83D83"/>
    <w:rsid w:val="00A86334"/>
    <w:rsid w:val="00A86749"/>
    <w:rsid w:val="00A872C5"/>
    <w:rsid w:val="00A912E6"/>
    <w:rsid w:val="00A91794"/>
    <w:rsid w:val="00A91F83"/>
    <w:rsid w:val="00A9337F"/>
    <w:rsid w:val="00A93951"/>
    <w:rsid w:val="00A94100"/>
    <w:rsid w:val="00A9473F"/>
    <w:rsid w:val="00A9530C"/>
    <w:rsid w:val="00A9591D"/>
    <w:rsid w:val="00A9661C"/>
    <w:rsid w:val="00A96D53"/>
    <w:rsid w:val="00A974A8"/>
    <w:rsid w:val="00A978DA"/>
    <w:rsid w:val="00AA0FEA"/>
    <w:rsid w:val="00AA24EE"/>
    <w:rsid w:val="00AA2D90"/>
    <w:rsid w:val="00AA31CF"/>
    <w:rsid w:val="00AA36A0"/>
    <w:rsid w:val="00AA40BA"/>
    <w:rsid w:val="00AA44B4"/>
    <w:rsid w:val="00AA55ED"/>
    <w:rsid w:val="00AA5DE5"/>
    <w:rsid w:val="00AB0647"/>
    <w:rsid w:val="00AB0D4E"/>
    <w:rsid w:val="00AB15EA"/>
    <w:rsid w:val="00AB1D83"/>
    <w:rsid w:val="00AB2581"/>
    <w:rsid w:val="00AB28E2"/>
    <w:rsid w:val="00AB2C6C"/>
    <w:rsid w:val="00AB494E"/>
    <w:rsid w:val="00AB573A"/>
    <w:rsid w:val="00AB58CB"/>
    <w:rsid w:val="00AB598C"/>
    <w:rsid w:val="00AB6A90"/>
    <w:rsid w:val="00AC0552"/>
    <w:rsid w:val="00AC06B3"/>
    <w:rsid w:val="00AC1468"/>
    <w:rsid w:val="00AC1E95"/>
    <w:rsid w:val="00AC3636"/>
    <w:rsid w:val="00AC3738"/>
    <w:rsid w:val="00AC4665"/>
    <w:rsid w:val="00AC4770"/>
    <w:rsid w:val="00AC482C"/>
    <w:rsid w:val="00AC4901"/>
    <w:rsid w:val="00AC4D78"/>
    <w:rsid w:val="00AC6415"/>
    <w:rsid w:val="00AC675A"/>
    <w:rsid w:val="00AC67ED"/>
    <w:rsid w:val="00AC77B5"/>
    <w:rsid w:val="00AD1BDA"/>
    <w:rsid w:val="00AD25B1"/>
    <w:rsid w:val="00AD285D"/>
    <w:rsid w:val="00AD2AFD"/>
    <w:rsid w:val="00AD2FEA"/>
    <w:rsid w:val="00AD30D4"/>
    <w:rsid w:val="00AD3848"/>
    <w:rsid w:val="00AD3A94"/>
    <w:rsid w:val="00AD3DAC"/>
    <w:rsid w:val="00AD4BE9"/>
    <w:rsid w:val="00AD4FF0"/>
    <w:rsid w:val="00AD5901"/>
    <w:rsid w:val="00AD5A0F"/>
    <w:rsid w:val="00AD60B5"/>
    <w:rsid w:val="00AD74EA"/>
    <w:rsid w:val="00AD7560"/>
    <w:rsid w:val="00AD7592"/>
    <w:rsid w:val="00AE09CE"/>
    <w:rsid w:val="00AE1298"/>
    <w:rsid w:val="00AE1E9B"/>
    <w:rsid w:val="00AE24AF"/>
    <w:rsid w:val="00AE2502"/>
    <w:rsid w:val="00AE2E8F"/>
    <w:rsid w:val="00AE47DC"/>
    <w:rsid w:val="00AE4C64"/>
    <w:rsid w:val="00AE577E"/>
    <w:rsid w:val="00AE6347"/>
    <w:rsid w:val="00AE641A"/>
    <w:rsid w:val="00AE6710"/>
    <w:rsid w:val="00AE6B6B"/>
    <w:rsid w:val="00AE7C30"/>
    <w:rsid w:val="00AE7C54"/>
    <w:rsid w:val="00AF09C5"/>
    <w:rsid w:val="00AF200E"/>
    <w:rsid w:val="00AF2C48"/>
    <w:rsid w:val="00AF30DC"/>
    <w:rsid w:val="00AF333F"/>
    <w:rsid w:val="00AF3768"/>
    <w:rsid w:val="00AF4D75"/>
    <w:rsid w:val="00AF5B93"/>
    <w:rsid w:val="00AF6F50"/>
    <w:rsid w:val="00B010B8"/>
    <w:rsid w:val="00B0168F"/>
    <w:rsid w:val="00B01FE1"/>
    <w:rsid w:val="00B03598"/>
    <w:rsid w:val="00B03F78"/>
    <w:rsid w:val="00B04576"/>
    <w:rsid w:val="00B04C51"/>
    <w:rsid w:val="00B05C04"/>
    <w:rsid w:val="00B06222"/>
    <w:rsid w:val="00B06489"/>
    <w:rsid w:val="00B06725"/>
    <w:rsid w:val="00B06AA6"/>
    <w:rsid w:val="00B07916"/>
    <w:rsid w:val="00B07B04"/>
    <w:rsid w:val="00B101C4"/>
    <w:rsid w:val="00B10227"/>
    <w:rsid w:val="00B1040A"/>
    <w:rsid w:val="00B10674"/>
    <w:rsid w:val="00B10BD2"/>
    <w:rsid w:val="00B10EDC"/>
    <w:rsid w:val="00B1149E"/>
    <w:rsid w:val="00B11C1D"/>
    <w:rsid w:val="00B11FAE"/>
    <w:rsid w:val="00B133B4"/>
    <w:rsid w:val="00B14FA3"/>
    <w:rsid w:val="00B152DF"/>
    <w:rsid w:val="00B15946"/>
    <w:rsid w:val="00B16BC8"/>
    <w:rsid w:val="00B16F10"/>
    <w:rsid w:val="00B170AC"/>
    <w:rsid w:val="00B20697"/>
    <w:rsid w:val="00B21064"/>
    <w:rsid w:val="00B21C95"/>
    <w:rsid w:val="00B21F58"/>
    <w:rsid w:val="00B22232"/>
    <w:rsid w:val="00B22A33"/>
    <w:rsid w:val="00B24699"/>
    <w:rsid w:val="00B25180"/>
    <w:rsid w:val="00B25979"/>
    <w:rsid w:val="00B26225"/>
    <w:rsid w:val="00B27E58"/>
    <w:rsid w:val="00B30077"/>
    <w:rsid w:val="00B302E3"/>
    <w:rsid w:val="00B30632"/>
    <w:rsid w:val="00B319BB"/>
    <w:rsid w:val="00B326F7"/>
    <w:rsid w:val="00B336BD"/>
    <w:rsid w:val="00B34500"/>
    <w:rsid w:val="00B352CB"/>
    <w:rsid w:val="00B354DD"/>
    <w:rsid w:val="00B35883"/>
    <w:rsid w:val="00B35A52"/>
    <w:rsid w:val="00B35AE4"/>
    <w:rsid w:val="00B36447"/>
    <w:rsid w:val="00B368DC"/>
    <w:rsid w:val="00B371BE"/>
    <w:rsid w:val="00B37F64"/>
    <w:rsid w:val="00B40AF4"/>
    <w:rsid w:val="00B40C1B"/>
    <w:rsid w:val="00B412C7"/>
    <w:rsid w:val="00B4193E"/>
    <w:rsid w:val="00B41F75"/>
    <w:rsid w:val="00B41FF7"/>
    <w:rsid w:val="00B42C0B"/>
    <w:rsid w:val="00B42D8E"/>
    <w:rsid w:val="00B43398"/>
    <w:rsid w:val="00B46D3C"/>
    <w:rsid w:val="00B46F0C"/>
    <w:rsid w:val="00B472EC"/>
    <w:rsid w:val="00B479E9"/>
    <w:rsid w:val="00B47D8C"/>
    <w:rsid w:val="00B47F77"/>
    <w:rsid w:val="00B508A0"/>
    <w:rsid w:val="00B50D30"/>
    <w:rsid w:val="00B51F6E"/>
    <w:rsid w:val="00B520DE"/>
    <w:rsid w:val="00B524BE"/>
    <w:rsid w:val="00B526F1"/>
    <w:rsid w:val="00B54C36"/>
    <w:rsid w:val="00B550C4"/>
    <w:rsid w:val="00B55333"/>
    <w:rsid w:val="00B555CA"/>
    <w:rsid w:val="00B56403"/>
    <w:rsid w:val="00B56698"/>
    <w:rsid w:val="00B57905"/>
    <w:rsid w:val="00B6099C"/>
    <w:rsid w:val="00B61083"/>
    <w:rsid w:val="00B61628"/>
    <w:rsid w:val="00B61D87"/>
    <w:rsid w:val="00B621D6"/>
    <w:rsid w:val="00B633DE"/>
    <w:rsid w:val="00B63450"/>
    <w:rsid w:val="00B65230"/>
    <w:rsid w:val="00B65643"/>
    <w:rsid w:val="00B657B9"/>
    <w:rsid w:val="00B65E5B"/>
    <w:rsid w:val="00B67430"/>
    <w:rsid w:val="00B6750E"/>
    <w:rsid w:val="00B70ECC"/>
    <w:rsid w:val="00B70F06"/>
    <w:rsid w:val="00B718C2"/>
    <w:rsid w:val="00B72328"/>
    <w:rsid w:val="00B724EC"/>
    <w:rsid w:val="00B72B4C"/>
    <w:rsid w:val="00B72D11"/>
    <w:rsid w:val="00B72D5C"/>
    <w:rsid w:val="00B72F43"/>
    <w:rsid w:val="00B73625"/>
    <w:rsid w:val="00B736DB"/>
    <w:rsid w:val="00B73881"/>
    <w:rsid w:val="00B73C4D"/>
    <w:rsid w:val="00B74E69"/>
    <w:rsid w:val="00B74FEE"/>
    <w:rsid w:val="00B75658"/>
    <w:rsid w:val="00B76E1A"/>
    <w:rsid w:val="00B77018"/>
    <w:rsid w:val="00B7788C"/>
    <w:rsid w:val="00B77A8F"/>
    <w:rsid w:val="00B77FC4"/>
    <w:rsid w:val="00B80409"/>
    <w:rsid w:val="00B8059A"/>
    <w:rsid w:val="00B825A6"/>
    <w:rsid w:val="00B8287F"/>
    <w:rsid w:val="00B82990"/>
    <w:rsid w:val="00B82F0C"/>
    <w:rsid w:val="00B847D9"/>
    <w:rsid w:val="00B84932"/>
    <w:rsid w:val="00B84C6B"/>
    <w:rsid w:val="00B84D0F"/>
    <w:rsid w:val="00B85130"/>
    <w:rsid w:val="00B85679"/>
    <w:rsid w:val="00B861B8"/>
    <w:rsid w:val="00B8689A"/>
    <w:rsid w:val="00B90CA8"/>
    <w:rsid w:val="00B917FD"/>
    <w:rsid w:val="00B92C7B"/>
    <w:rsid w:val="00B933CA"/>
    <w:rsid w:val="00B93C74"/>
    <w:rsid w:val="00B9465E"/>
    <w:rsid w:val="00B95EDB"/>
    <w:rsid w:val="00B96C23"/>
    <w:rsid w:val="00B974C2"/>
    <w:rsid w:val="00B97818"/>
    <w:rsid w:val="00B97CBE"/>
    <w:rsid w:val="00BA0FB1"/>
    <w:rsid w:val="00BA1F97"/>
    <w:rsid w:val="00BA2DC8"/>
    <w:rsid w:val="00BA4FA2"/>
    <w:rsid w:val="00BA615A"/>
    <w:rsid w:val="00BA6591"/>
    <w:rsid w:val="00BA741E"/>
    <w:rsid w:val="00BA7B1A"/>
    <w:rsid w:val="00BA7CC3"/>
    <w:rsid w:val="00BB3C3E"/>
    <w:rsid w:val="00BB54EA"/>
    <w:rsid w:val="00BB5887"/>
    <w:rsid w:val="00BB6777"/>
    <w:rsid w:val="00BB6A96"/>
    <w:rsid w:val="00BB6E87"/>
    <w:rsid w:val="00BB78DB"/>
    <w:rsid w:val="00BC036D"/>
    <w:rsid w:val="00BC15D5"/>
    <w:rsid w:val="00BC1C68"/>
    <w:rsid w:val="00BC2C68"/>
    <w:rsid w:val="00BC43B4"/>
    <w:rsid w:val="00BC452D"/>
    <w:rsid w:val="00BC4C6E"/>
    <w:rsid w:val="00BC5516"/>
    <w:rsid w:val="00BC5C52"/>
    <w:rsid w:val="00BC7843"/>
    <w:rsid w:val="00BC794B"/>
    <w:rsid w:val="00BC7EB6"/>
    <w:rsid w:val="00BD0F16"/>
    <w:rsid w:val="00BD226B"/>
    <w:rsid w:val="00BD2C79"/>
    <w:rsid w:val="00BD3BC9"/>
    <w:rsid w:val="00BD3D5C"/>
    <w:rsid w:val="00BD4B65"/>
    <w:rsid w:val="00BD5827"/>
    <w:rsid w:val="00BD58B9"/>
    <w:rsid w:val="00BD593D"/>
    <w:rsid w:val="00BD5F24"/>
    <w:rsid w:val="00BD652C"/>
    <w:rsid w:val="00BD6886"/>
    <w:rsid w:val="00BD69CF"/>
    <w:rsid w:val="00BD6C0B"/>
    <w:rsid w:val="00BD7141"/>
    <w:rsid w:val="00BD750A"/>
    <w:rsid w:val="00BE09C6"/>
    <w:rsid w:val="00BE0D8B"/>
    <w:rsid w:val="00BE12DB"/>
    <w:rsid w:val="00BE168A"/>
    <w:rsid w:val="00BE1AE4"/>
    <w:rsid w:val="00BE2A24"/>
    <w:rsid w:val="00BE3D09"/>
    <w:rsid w:val="00BE49AA"/>
    <w:rsid w:val="00BE53C5"/>
    <w:rsid w:val="00BE5555"/>
    <w:rsid w:val="00BE583C"/>
    <w:rsid w:val="00BE5B26"/>
    <w:rsid w:val="00BE63FF"/>
    <w:rsid w:val="00BE7342"/>
    <w:rsid w:val="00BE7D58"/>
    <w:rsid w:val="00BF1E99"/>
    <w:rsid w:val="00BF285C"/>
    <w:rsid w:val="00BF2DF7"/>
    <w:rsid w:val="00BF31A2"/>
    <w:rsid w:val="00BF51F4"/>
    <w:rsid w:val="00BF5A4B"/>
    <w:rsid w:val="00BF6617"/>
    <w:rsid w:val="00BF6D3A"/>
    <w:rsid w:val="00BF6EC7"/>
    <w:rsid w:val="00BF754F"/>
    <w:rsid w:val="00BF7D60"/>
    <w:rsid w:val="00C00084"/>
    <w:rsid w:val="00C000ED"/>
    <w:rsid w:val="00C0059B"/>
    <w:rsid w:val="00C01146"/>
    <w:rsid w:val="00C0159F"/>
    <w:rsid w:val="00C019EE"/>
    <w:rsid w:val="00C03468"/>
    <w:rsid w:val="00C04155"/>
    <w:rsid w:val="00C045E9"/>
    <w:rsid w:val="00C0477C"/>
    <w:rsid w:val="00C04983"/>
    <w:rsid w:val="00C04ABE"/>
    <w:rsid w:val="00C04C8A"/>
    <w:rsid w:val="00C05079"/>
    <w:rsid w:val="00C05B59"/>
    <w:rsid w:val="00C05F4E"/>
    <w:rsid w:val="00C06A9C"/>
    <w:rsid w:val="00C06D6D"/>
    <w:rsid w:val="00C1032C"/>
    <w:rsid w:val="00C1097E"/>
    <w:rsid w:val="00C10CED"/>
    <w:rsid w:val="00C118D7"/>
    <w:rsid w:val="00C1227F"/>
    <w:rsid w:val="00C122C0"/>
    <w:rsid w:val="00C1328C"/>
    <w:rsid w:val="00C15B58"/>
    <w:rsid w:val="00C16089"/>
    <w:rsid w:val="00C20BC6"/>
    <w:rsid w:val="00C217B6"/>
    <w:rsid w:val="00C217FC"/>
    <w:rsid w:val="00C21C11"/>
    <w:rsid w:val="00C24296"/>
    <w:rsid w:val="00C25639"/>
    <w:rsid w:val="00C2594F"/>
    <w:rsid w:val="00C26086"/>
    <w:rsid w:val="00C26AE5"/>
    <w:rsid w:val="00C27415"/>
    <w:rsid w:val="00C27A73"/>
    <w:rsid w:val="00C27FBD"/>
    <w:rsid w:val="00C301DC"/>
    <w:rsid w:val="00C30527"/>
    <w:rsid w:val="00C30A3A"/>
    <w:rsid w:val="00C30ACC"/>
    <w:rsid w:val="00C30B5C"/>
    <w:rsid w:val="00C314EC"/>
    <w:rsid w:val="00C31562"/>
    <w:rsid w:val="00C33BEB"/>
    <w:rsid w:val="00C34023"/>
    <w:rsid w:val="00C36118"/>
    <w:rsid w:val="00C36729"/>
    <w:rsid w:val="00C36DD4"/>
    <w:rsid w:val="00C376CD"/>
    <w:rsid w:val="00C41602"/>
    <w:rsid w:val="00C4207C"/>
    <w:rsid w:val="00C424C5"/>
    <w:rsid w:val="00C4306E"/>
    <w:rsid w:val="00C4434A"/>
    <w:rsid w:val="00C45908"/>
    <w:rsid w:val="00C47CF4"/>
    <w:rsid w:val="00C47E86"/>
    <w:rsid w:val="00C50669"/>
    <w:rsid w:val="00C508E9"/>
    <w:rsid w:val="00C50D21"/>
    <w:rsid w:val="00C50FE2"/>
    <w:rsid w:val="00C5144D"/>
    <w:rsid w:val="00C5192E"/>
    <w:rsid w:val="00C51CDE"/>
    <w:rsid w:val="00C52966"/>
    <w:rsid w:val="00C538C4"/>
    <w:rsid w:val="00C5408F"/>
    <w:rsid w:val="00C55632"/>
    <w:rsid w:val="00C557F5"/>
    <w:rsid w:val="00C55BB0"/>
    <w:rsid w:val="00C55FDC"/>
    <w:rsid w:val="00C6053C"/>
    <w:rsid w:val="00C61674"/>
    <w:rsid w:val="00C628B0"/>
    <w:rsid w:val="00C62D8B"/>
    <w:rsid w:val="00C62DCB"/>
    <w:rsid w:val="00C6596B"/>
    <w:rsid w:val="00C66636"/>
    <w:rsid w:val="00C66E57"/>
    <w:rsid w:val="00C670A2"/>
    <w:rsid w:val="00C67A44"/>
    <w:rsid w:val="00C67BB3"/>
    <w:rsid w:val="00C67C40"/>
    <w:rsid w:val="00C701C4"/>
    <w:rsid w:val="00C7068C"/>
    <w:rsid w:val="00C7072B"/>
    <w:rsid w:val="00C72661"/>
    <w:rsid w:val="00C727CA"/>
    <w:rsid w:val="00C7298B"/>
    <w:rsid w:val="00C72B8E"/>
    <w:rsid w:val="00C72F03"/>
    <w:rsid w:val="00C7348E"/>
    <w:rsid w:val="00C73ECF"/>
    <w:rsid w:val="00C74B6A"/>
    <w:rsid w:val="00C74EF2"/>
    <w:rsid w:val="00C751D1"/>
    <w:rsid w:val="00C76187"/>
    <w:rsid w:val="00C769C9"/>
    <w:rsid w:val="00C76F8E"/>
    <w:rsid w:val="00C77C70"/>
    <w:rsid w:val="00C8064B"/>
    <w:rsid w:val="00C81C32"/>
    <w:rsid w:val="00C821CE"/>
    <w:rsid w:val="00C82235"/>
    <w:rsid w:val="00C830D8"/>
    <w:rsid w:val="00C83C5D"/>
    <w:rsid w:val="00C840DE"/>
    <w:rsid w:val="00C8469B"/>
    <w:rsid w:val="00C85687"/>
    <w:rsid w:val="00C85712"/>
    <w:rsid w:val="00C859CE"/>
    <w:rsid w:val="00C8664E"/>
    <w:rsid w:val="00C904B3"/>
    <w:rsid w:val="00C91BAB"/>
    <w:rsid w:val="00C91CB1"/>
    <w:rsid w:val="00C91EF4"/>
    <w:rsid w:val="00C92174"/>
    <w:rsid w:val="00C932EA"/>
    <w:rsid w:val="00C9343E"/>
    <w:rsid w:val="00C945B1"/>
    <w:rsid w:val="00C94EC3"/>
    <w:rsid w:val="00C95114"/>
    <w:rsid w:val="00C961A1"/>
    <w:rsid w:val="00C96478"/>
    <w:rsid w:val="00C96E9A"/>
    <w:rsid w:val="00C97163"/>
    <w:rsid w:val="00C973E2"/>
    <w:rsid w:val="00C97F8C"/>
    <w:rsid w:val="00CA004B"/>
    <w:rsid w:val="00CA1616"/>
    <w:rsid w:val="00CA1B1B"/>
    <w:rsid w:val="00CA22EF"/>
    <w:rsid w:val="00CA2626"/>
    <w:rsid w:val="00CA27BA"/>
    <w:rsid w:val="00CA42FB"/>
    <w:rsid w:val="00CA467B"/>
    <w:rsid w:val="00CA49F1"/>
    <w:rsid w:val="00CA4B27"/>
    <w:rsid w:val="00CA4D60"/>
    <w:rsid w:val="00CA4F57"/>
    <w:rsid w:val="00CA7CEA"/>
    <w:rsid w:val="00CA7F8E"/>
    <w:rsid w:val="00CB01E6"/>
    <w:rsid w:val="00CB04F8"/>
    <w:rsid w:val="00CB0D5B"/>
    <w:rsid w:val="00CB1FC0"/>
    <w:rsid w:val="00CB2392"/>
    <w:rsid w:val="00CB2535"/>
    <w:rsid w:val="00CB25D9"/>
    <w:rsid w:val="00CB2BEB"/>
    <w:rsid w:val="00CB3AD1"/>
    <w:rsid w:val="00CB4139"/>
    <w:rsid w:val="00CB4920"/>
    <w:rsid w:val="00CB4ABB"/>
    <w:rsid w:val="00CB5485"/>
    <w:rsid w:val="00CB552D"/>
    <w:rsid w:val="00CB566F"/>
    <w:rsid w:val="00CB5CA0"/>
    <w:rsid w:val="00CB62DD"/>
    <w:rsid w:val="00CB7065"/>
    <w:rsid w:val="00CC001C"/>
    <w:rsid w:val="00CC0738"/>
    <w:rsid w:val="00CC0CD3"/>
    <w:rsid w:val="00CC1514"/>
    <w:rsid w:val="00CC1E91"/>
    <w:rsid w:val="00CC2345"/>
    <w:rsid w:val="00CC29E6"/>
    <w:rsid w:val="00CC3154"/>
    <w:rsid w:val="00CC3456"/>
    <w:rsid w:val="00CC35B8"/>
    <w:rsid w:val="00CC445F"/>
    <w:rsid w:val="00CC4D58"/>
    <w:rsid w:val="00CC503C"/>
    <w:rsid w:val="00CC5E28"/>
    <w:rsid w:val="00CC63CD"/>
    <w:rsid w:val="00CC6407"/>
    <w:rsid w:val="00CC65AF"/>
    <w:rsid w:val="00CC6B71"/>
    <w:rsid w:val="00CC7EB2"/>
    <w:rsid w:val="00CD08F0"/>
    <w:rsid w:val="00CD1255"/>
    <w:rsid w:val="00CD2492"/>
    <w:rsid w:val="00CD2D44"/>
    <w:rsid w:val="00CD2E93"/>
    <w:rsid w:val="00CD2FDB"/>
    <w:rsid w:val="00CD313F"/>
    <w:rsid w:val="00CD3910"/>
    <w:rsid w:val="00CD53E3"/>
    <w:rsid w:val="00CD6876"/>
    <w:rsid w:val="00CD7B01"/>
    <w:rsid w:val="00CE140F"/>
    <w:rsid w:val="00CE2A67"/>
    <w:rsid w:val="00CE3937"/>
    <w:rsid w:val="00CE3BF3"/>
    <w:rsid w:val="00CE3E82"/>
    <w:rsid w:val="00CE3E98"/>
    <w:rsid w:val="00CE4343"/>
    <w:rsid w:val="00CE4815"/>
    <w:rsid w:val="00CE4819"/>
    <w:rsid w:val="00CE634A"/>
    <w:rsid w:val="00CE6FD9"/>
    <w:rsid w:val="00CE7898"/>
    <w:rsid w:val="00CE7E37"/>
    <w:rsid w:val="00CF0730"/>
    <w:rsid w:val="00CF0BC0"/>
    <w:rsid w:val="00CF1D20"/>
    <w:rsid w:val="00CF2FAC"/>
    <w:rsid w:val="00CF3380"/>
    <w:rsid w:val="00CF34E2"/>
    <w:rsid w:val="00CF40CF"/>
    <w:rsid w:val="00CF4EAE"/>
    <w:rsid w:val="00CF538C"/>
    <w:rsid w:val="00CF53CD"/>
    <w:rsid w:val="00CF5B32"/>
    <w:rsid w:val="00CF69BC"/>
    <w:rsid w:val="00CF6EB3"/>
    <w:rsid w:val="00CF7345"/>
    <w:rsid w:val="00D0047C"/>
    <w:rsid w:val="00D02FD5"/>
    <w:rsid w:val="00D03362"/>
    <w:rsid w:val="00D033B3"/>
    <w:rsid w:val="00D037DC"/>
    <w:rsid w:val="00D03922"/>
    <w:rsid w:val="00D04079"/>
    <w:rsid w:val="00D04151"/>
    <w:rsid w:val="00D04195"/>
    <w:rsid w:val="00D0454A"/>
    <w:rsid w:val="00D04F70"/>
    <w:rsid w:val="00D057E0"/>
    <w:rsid w:val="00D05F9E"/>
    <w:rsid w:val="00D065B3"/>
    <w:rsid w:val="00D06908"/>
    <w:rsid w:val="00D06E10"/>
    <w:rsid w:val="00D10573"/>
    <w:rsid w:val="00D112C0"/>
    <w:rsid w:val="00D115B9"/>
    <w:rsid w:val="00D11C73"/>
    <w:rsid w:val="00D120EB"/>
    <w:rsid w:val="00D12442"/>
    <w:rsid w:val="00D131B3"/>
    <w:rsid w:val="00D140E5"/>
    <w:rsid w:val="00D14FA6"/>
    <w:rsid w:val="00D15D03"/>
    <w:rsid w:val="00D15D64"/>
    <w:rsid w:val="00D15E02"/>
    <w:rsid w:val="00D15E40"/>
    <w:rsid w:val="00D20ADE"/>
    <w:rsid w:val="00D20DC9"/>
    <w:rsid w:val="00D20EFE"/>
    <w:rsid w:val="00D229F3"/>
    <w:rsid w:val="00D235D0"/>
    <w:rsid w:val="00D244DB"/>
    <w:rsid w:val="00D24776"/>
    <w:rsid w:val="00D2494F"/>
    <w:rsid w:val="00D24C4B"/>
    <w:rsid w:val="00D262E3"/>
    <w:rsid w:val="00D27AE7"/>
    <w:rsid w:val="00D30787"/>
    <w:rsid w:val="00D30E88"/>
    <w:rsid w:val="00D31B41"/>
    <w:rsid w:val="00D329AF"/>
    <w:rsid w:val="00D33039"/>
    <w:rsid w:val="00D332B9"/>
    <w:rsid w:val="00D33AA3"/>
    <w:rsid w:val="00D34940"/>
    <w:rsid w:val="00D34B6B"/>
    <w:rsid w:val="00D34CBC"/>
    <w:rsid w:val="00D350CD"/>
    <w:rsid w:val="00D35257"/>
    <w:rsid w:val="00D3557A"/>
    <w:rsid w:val="00D37123"/>
    <w:rsid w:val="00D37413"/>
    <w:rsid w:val="00D40755"/>
    <w:rsid w:val="00D408C7"/>
    <w:rsid w:val="00D4290C"/>
    <w:rsid w:val="00D42B1C"/>
    <w:rsid w:val="00D42D00"/>
    <w:rsid w:val="00D42F3D"/>
    <w:rsid w:val="00D4379A"/>
    <w:rsid w:val="00D4394A"/>
    <w:rsid w:val="00D44525"/>
    <w:rsid w:val="00D449D5"/>
    <w:rsid w:val="00D4666B"/>
    <w:rsid w:val="00D469F5"/>
    <w:rsid w:val="00D4765B"/>
    <w:rsid w:val="00D47BB3"/>
    <w:rsid w:val="00D50215"/>
    <w:rsid w:val="00D50E79"/>
    <w:rsid w:val="00D5106A"/>
    <w:rsid w:val="00D515E1"/>
    <w:rsid w:val="00D520CD"/>
    <w:rsid w:val="00D52637"/>
    <w:rsid w:val="00D530EE"/>
    <w:rsid w:val="00D541C0"/>
    <w:rsid w:val="00D54225"/>
    <w:rsid w:val="00D5481C"/>
    <w:rsid w:val="00D553E1"/>
    <w:rsid w:val="00D568C9"/>
    <w:rsid w:val="00D5707F"/>
    <w:rsid w:val="00D57396"/>
    <w:rsid w:val="00D57BF1"/>
    <w:rsid w:val="00D57E14"/>
    <w:rsid w:val="00D6069F"/>
    <w:rsid w:val="00D60872"/>
    <w:rsid w:val="00D609FA"/>
    <w:rsid w:val="00D60A95"/>
    <w:rsid w:val="00D613AB"/>
    <w:rsid w:val="00D6162D"/>
    <w:rsid w:val="00D6175F"/>
    <w:rsid w:val="00D619CF"/>
    <w:rsid w:val="00D61D57"/>
    <w:rsid w:val="00D623D8"/>
    <w:rsid w:val="00D62AD5"/>
    <w:rsid w:val="00D62D05"/>
    <w:rsid w:val="00D63152"/>
    <w:rsid w:val="00D632D6"/>
    <w:rsid w:val="00D634B1"/>
    <w:rsid w:val="00D636C4"/>
    <w:rsid w:val="00D6469B"/>
    <w:rsid w:val="00D64AB7"/>
    <w:rsid w:val="00D64DC2"/>
    <w:rsid w:val="00D65737"/>
    <w:rsid w:val="00D66388"/>
    <w:rsid w:val="00D66E1D"/>
    <w:rsid w:val="00D67C0C"/>
    <w:rsid w:val="00D70218"/>
    <w:rsid w:val="00D702E8"/>
    <w:rsid w:val="00D70531"/>
    <w:rsid w:val="00D71C61"/>
    <w:rsid w:val="00D73E22"/>
    <w:rsid w:val="00D75197"/>
    <w:rsid w:val="00D75404"/>
    <w:rsid w:val="00D75AEF"/>
    <w:rsid w:val="00D7611E"/>
    <w:rsid w:val="00D764C4"/>
    <w:rsid w:val="00D770AB"/>
    <w:rsid w:val="00D7710D"/>
    <w:rsid w:val="00D77458"/>
    <w:rsid w:val="00D776A2"/>
    <w:rsid w:val="00D80AA1"/>
    <w:rsid w:val="00D80D0E"/>
    <w:rsid w:val="00D812A5"/>
    <w:rsid w:val="00D816CB"/>
    <w:rsid w:val="00D83055"/>
    <w:rsid w:val="00D845BE"/>
    <w:rsid w:val="00D85238"/>
    <w:rsid w:val="00D87E36"/>
    <w:rsid w:val="00D92E7C"/>
    <w:rsid w:val="00D933E4"/>
    <w:rsid w:val="00D939AF"/>
    <w:rsid w:val="00D93AA4"/>
    <w:rsid w:val="00D94301"/>
    <w:rsid w:val="00D9491D"/>
    <w:rsid w:val="00D94B83"/>
    <w:rsid w:val="00D94C93"/>
    <w:rsid w:val="00DA0651"/>
    <w:rsid w:val="00DA0766"/>
    <w:rsid w:val="00DA1078"/>
    <w:rsid w:val="00DA21F3"/>
    <w:rsid w:val="00DA2588"/>
    <w:rsid w:val="00DA35F4"/>
    <w:rsid w:val="00DA452B"/>
    <w:rsid w:val="00DA495F"/>
    <w:rsid w:val="00DA5EEB"/>
    <w:rsid w:val="00DA65B1"/>
    <w:rsid w:val="00DA6B05"/>
    <w:rsid w:val="00DA744D"/>
    <w:rsid w:val="00DA7635"/>
    <w:rsid w:val="00DB114D"/>
    <w:rsid w:val="00DB297C"/>
    <w:rsid w:val="00DB4344"/>
    <w:rsid w:val="00DB4D47"/>
    <w:rsid w:val="00DB5504"/>
    <w:rsid w:val="00DB7186"/>
    <w:rsid w:val="00DB7ACB"/>
    <w:rsid w:val="00DC0046"/>
    <w:rsid w:val="00DC0086"/>
    <w:rsid w:val="00DC0473"/>
    <w:rsid w:val="00DC15D5"/>
    <w:rsid w:val="00DC1A68"/>
    <w:rsid w:val="00DC1AC9"/>
    <w:rsid w:val="00DC1C11"/>
    <w:rsid w:val="00DC2146"/>
    <w:rsid w:val="00DC24E1"/>
    <w:rsid w:val="00DC2A33"/>
    <w:rsid w:val="00DC2F3F"/>
    <w:rsid w:val="00DC5D0F"/>
    <w:rsid w:val="00DC6A2F"/>
    <w:rsid w:val="00DC7EF4"/>
    <w:rsid w:val="00DD0E74"/>
    <w:rsid w:val="00DD1440"/>
    <w:rsid w:val="00DD1C3C"/>
    <w:rsid w:val="00DD20E9"/>
    <w:rsid w:val="00DD2565"/>
    <w:rsid w:val="00DD2FD1"/>
    <w:rsid w:val="00DD379B"/>
    <w:rsid w:val="00DD4004"/>
    <w:rsid w:val="00DD4023"/>
    <w:rsid w:val="00DD4029"/>
    <w:rsid w:val="00DD5913"/>
    <w:rsid w:val="00DD734F"/>
    <w:rsid w:val="00DE155E"/>
    <w:rsid w:val="00DE1655"/>
    <w:rsid w:val="00DE165D"/>
    <w:rsid w:val="00DE253C"/>
    <w:rsid w:val="00DE2DD5"/>
    <w:rsid w:val="00DE3004"/>
    <w:rsid w:val="00DE4C2B"/>
    <w:rsid w:val="00DE5454"/>
    <w:rsid w:val="00DE6540"/>
    <w:rsid w:val="00DE67E6"/>
    <w:rsid w:val="00DE7310"/>
    <w:rsid w:val="00DE7ED9"/>
    <w:rsid w:val="00DF05A0"/>
    <w:rsid w:val="00DF1C10"/>
    <w:rsid w:val="00DF1C4D"/>
    <w:rsid w:val="00DF23C5"/>
    <w:rsid w:val="00DF3CE9"/>
    <w:rsid w:val="00DF47DA"/>
    <w:rsid w:val="00DF4B66"/>
    <w:rsid w:val="00DF50B3"/>
    <w:rsid w:val="00DF5B1A"/>
    <w:rsid w:val="00DF5DE1"/>
    <w:rsid w:val="00DF5E1F"/>
    <w:rsid w:val="00DF6968"/>
    <w:rsid w:val="00DF6E9A"/>
    <w:rsid w:val="00DF7368"/>
    <w:rsid w:val="00DF7A52"/>
    <w:rsid w:val="00E0036B"/>
    <w:rsid w:val="00E019E6"/>
    <w:rsid w:val="00E01FC2"/>
    <w:rsid w:val="00E02946"/>
    <w:rsid w:val="00E02D38"/>
    <w:rsid w:val="00E03098"/>
    <w:rsid w:val="00E034B3"/>
    <w:rsid w:val="00E03952"/>
    <w:rsid w:val="00E0429F"/>
    <w:rsid w:val="00E04843"/>
    <w:rsid w:val="00E04A0D"/>
    <w:rsid w:val="00E04FC6"/>
    <w:rsid w:val="00E06361"/>
    <w:rsid w:val="00E06391"/>
    <w:rsid w:val="00E064C9"/>
    <w:rsid w:val="00E07F39"/>
    <w:rsid w:val="00E10083"/>
    <w:rsid w:val="00E10335"/>
    <w:rsid w:val="00E10950"/>
    <w:rsid w:val="00E11C68"/>
    <w:rsid w:val="00E1222B"/>
    <w:rsid w:val="00E125B3"/>
    <w:rsid w:val="00E126C3"/>
    <w:rsid w:val="00E12F97"/>
    <w:rsid w:val="00E1378E"/>
    <w:rsid w:val="00E13C7D"/>
    <w:rsid w:val="00E13FA6"/>
    <w:rsid w:val="00E145B1"/>
    <w:rsid w:val="00E150A1"/>
    <w:rsid w:val="00E156B8"/>
    <w:rsid w:val="00E16434"/>
    <w:rsid w:val="00E169BD"/>
    <w:rsid w:val="00E17870"/>
    <w:rsid w:val="00E17DC5"/>
    <w:rsid w:val="00E20C6E"/>
    <w:rsid w:val="00E20E2C"/>
    <w:rsid w:val="00E21041"/>
    <w:rsid w:val="00E211F9"/>
    <w:rsid w:val="00E21DF6"/>
    <w:rsid w:val="00E2254B"/>
    <w:rsid w:val="00E22DC2"/>
    <w:rsid w:val="00E251C3"/>
    <w:rsid w:val="00E26428"/>
    <w:rsid w:val="00E27802"/>
    <w:rsid w:val="00E27B7B"/>
    <w:rsid w:val="00E3010D"/>
    <w:rsid w:val="00E31A4A"/>
    <w:rsid w:val="00E31B5D"/>
    <w:rsid w:val="00E31B79"/>
    <w:rsid w:val="00E33279"/>
    <w:rsid w:val="00E34012"/>
    <w:rsid w:val="00E34093"/>
    <w:rsid w:val="00E3445C"/>
    <w:rsid w:val="00E34601"/>
    <w:rsid w:val="00E34784"/>
    <w:rsid w:val="00E356B9"/>
    <w:rsid w:val="00E36452"/>
    <w:rsid w:val="00E36754"/>
    <w:rsid w:val="00E36826"/>
    <w:rsid w:val="00E36CA0"/>
    <w:rsid w:val="00E4045A"/>
    <w:rsid w:val="00E407AF"/>
    <w:rsid w:val="00E4086F"/>
    <w:rsid w:val="00E40F17"/>
    <w:rsid w:val="00E42071"/>
    <w:rsid w:val="00E427AF"/>
    <w:rsid w:val="00E42C16"/>
    <w:rsid w:val="00E42DF8"/>
    <w:rsid w:val="00E42E2E"/>
    <w:rsid w:val="00E43BEC"/>
    <w:rsid w:val="00E43F32"/>
    <w:rsid w:val="00E4427C"/>
    <w:rsid w:val="00E44938"/>
    <w:rsid w:val="00E44AA7"/>
    <w:rsid w:val="00E4508C"/>
    <w:rsid w:val="00E45B31"/>
    <w:rsid w:val="00E4643E"/>
    <w:rsid w:val="00E46574"/>
    <w:rsid w:val="00E468C2"/>
    <w:rsid w:val="00E4766C"/>
    <w:rsid w:val="00E504D8"/>
    <w:rsid w:val="00E50E38"/>
    <w:rsid w:val="00E51642"/>
    <w:rsid w:val="00E5211B"/>
    <w:rsid w:val="00E525DD"/>
    <w:rsid w:val="00E52FD4"/>
    <w:rsid w:val="00E5334F"/>
    <w:rsid w:val="00E53842"/>
    <w:rsid w:val="00E54160"/>
    <w:rsid w:val="00E54195"/>
    <w:rsid w:val="00E54C59"/>
    <w:rsid w:val="00E5528A"/>
    <w:rsid w:val="00E55476"/>
    <w:rsid w:val="00E56088"/>
    <w:rsid w:val="00E5771C"/>
    <w:rsid w:val="00E61BD9"/>
    <w:rsid w:val="00E622A6"/>
    <w:rsid w:val="00E636C7"/>
    <w:rsid w:val="00E63C91"/>
    <w:rsid w:val="00E64375"/>
    <w:rsid w:val="00E64701"/>
    <w:rsid w:val="00E65262"/>
    <w:rsid w:val="00E65D55"/>
    <w:rsid w:val="00E6653D"/>
    <w:rsid w:val="00E6684F"/>
    <w:rsid w:val="00E67B56"/>
    <w:rsid w:val="00E703F2"/>
    <w:rsid w:val="00E705E5"/>
    <w:rsid w:val="00E70B11"/>
    <w:rsid w:val="00E715BB"/>
    <w:rsid w:val="00E715E2"/>
    <w:rsid w:val="00E71BC0"/>
    <w:rsid w:val="00E73046"/>
    <w:rsid w:val="00E73F72"/>
    <w:rsid w:val="00E742C6"/>
    <w:rsid w:val="00E7595D"/>
    <w:rsid w:val="00E76084"/>
    <w:rsid w:val="00E76819"/>
    <w:rsid w:val="00E77ADD"/>
    <w:rsid w:val="00E77C15"/>
    <w:rsid w:val="00E811A4"/>
    <w:rsid w:val="00E8288E"/>
    <w:rsid w:val="00E8365E"/>
    <w:rsid w:val="00E838A2"/>
    <w:rsid w:val="00E8687A"/>
    <w:rsid w:val="00E8792D"/>
    <w:rsid w:val="00E87F8F"/>
    <w:rsid w:val="00E9005A"/>
    <w:rsid w:val="00E90925"/>
    <w:rsid w:val="00E90FB3"/>
    <w:rsid w:val="00E91CCA"/>
    <w:rsid w:val="00E922C7"/>
    <w:rsid w:val="00E9267B"/>
    <w:rsid w:val="00E92701"/>
    <w:rsid w:val="00E93043"/>
    <w:rsid w:val="00E93A1C"/>
    <w:rsid w:val="00E96099"/>
    <w:rsid w:val="00E96144"/>
    <w:rsid w:val="00E96443"/>
    <w:rsid w:val="00E96737"/>
    <w:rsid w:val="00E96AF2"/>
    <w:rsid w:val="00E97CCE"/>
    <w:rsid w:val="00EA0BA4"/>
    <w:rsid w:val="00EA0C2B"/>
    <w:rsid w:val="00EA1153"/>
    <w:rsid w:val="00EA1853"/>
    <w:rsid w:val="00EA1AA5"/>
    <w:rsid w:val="00EA2A70"/>
    <w:rsid w:val="00EA2DB9"/>
    <w:rsid w:val="00EA3FFC"/>
    <w:rsid w:val="00EA52CB"/>
    <w:rsid w:val="00EA5F7C"/>
    <w:rsid w:val="00EA67B9"/>
    <w:rsid w:val="00EA6A2D"/>
    <w:rsid w:val="00EA7E1F"/>
    <w:rsid w:val="00EB0194"/>
    <w:rsid w:val="00EB02BE"/>
    <w:rsid w:val="00EB1DAC"/>
    <w:rsid w:val="00EB2378"/>
    <w:rsid w:val="00EB252F"/>
    <w:rsid w:val="00EB26C4"/>
    <w:rsid w:val="00EB2974"/>
    <w:rsid w:val="00EB2A7A"/>
    <w:rsid w:val="00EB36A1"/>
    <w:rsid w:val="00EB389D"/>
    <w:rsid w:val="00EB3F5F"/>
    <w:rsid w:val="00EB421C"/>
    <w:rsid w:val="00EB4703"/>
    <w:rsid w:val="00EB4CF3"/>
    <w:rsid w:val="00EB551D"/>
    <w:rsid w:val="00EB55A1"/>
    <w:rsid w:val="00EB574E"/>
    <w:rsid w:val="00EB5A69"/>
    <w:rsid w:val="00EB620E"/>
    <w:rsid w:val="00EB6916"/>
    <w:rsid w:val="00EB6C06"/>
    <w:rsid w:val="00EB7516"/>
    <w:rsid w:val="00EB7884"/>
    <w:rsid w:val="00EC0B50"/>
    <w:rsid w:val="00EC0EB1"/>
    <w:rsid w:val="00EC183D"/>
    <w:rsid w:val="00EC188C"/>
    <w:rsid w:val="00EC1EAE"/>
    <w:rsid w:val="00EC2107"/>
    <w:rsid w:val="00EC3717"/>
    <w:rsid w:val="00EC43B2"/>
    <w:rsid w:val="00EC4A12"/>
    <w:rsid w:val="00EC4EB0"/>
    <w:rsid w:val="00EC4F7C"/>
    <w:rsid w:val="00EC5C58"/>
    <w:rsid w:val="00EC6185"/>
    <w:rsid w:val="00EC623C"/>
    <w:rsid w:val="00EC647C"/>
    <w:rsid w:val="00ED1616"/>
    <w:rsid w:val="00ED22EE"/>
    <w:rsid w:val="00ED50FF"/>
    <w:rsid w:val="00ED5272"/>
    <w:rsid w:val="00ED6AB4"/>
    <w:rsid w:val="00ED6CBD"/>
    <w:rsid w:val="00EE0335"/>
    <w:rsid w:val="00EE1A85"/>
    <w:rsid w:val="00EE1B5D"/>
    <w:rsid w:val="00EE211A"/>
    <w:rsid w:val="00EE3470"/>
    <w:rsid w:val="00EE3C5B"/>
    <w:rsid w:val="00EE42C7"/>
    <w:rsid w:val="00EE5CA9"/>
    <w:rsid w:val="00EE5EA3"/>
    <w:rsid w:val="00EE60CF"/>
    <w:rsid w:val="00EE6C5F"/>
    <w:rsid w:val="00EE6E03"/>
    <w:rsid w:val="00EE71DC"/>
    <w:rsid w:val="00EE71EE"/>
    <w:rsid w:val="00EF0DD8"/>
    <w:rsid w:val="00EF1B43"/>
    <w:rsid w:val="00EF23FC"/>
    <w:rsid w:val="00EF342D"/>
    <w:rsid w:val="00EF3864"/>
    <w:rsid w:val="00EF3D17"/>
    <w:rsid w:val="00EF4169"/>
    <w:rsid w:val="00EF46E9"/>
    <w:rsid w:val="00EF5A84"/>
    <w:rsid w:val="00EF6E4B"/>
    <w:rsid w:val="00EF7C9C"/>
    <w:rsid w:val="00EF7D9E"/>
    <w:rsid w:val="00F003BE"/>
    <w:rsid w:val="00F004F3"/>
    <w:rsid w:val="00F014DC"/>
    <w:rsid w:val="00F0248A"/>
    <w:rsid w:val="00F04840"/>
    <w:rsid w:val="00F05C2E"/>
    <w:rsid w:val="00F05C8D"/>
    <w:rsid w:val="00F05E1A"/>
    <w:rsid w:val="00F06491"/>
    <w:rsid w:val="00F0719E"/>
    <w:rsid w:val="00F077E4"/>
    <w:rsid w:val="00F101DA"/>
    <w:rsid w:val="00F11DDE"/>
    <w:rsid w:val="00F12B6C"/>
    <w:rsid w:val="00F1391C"/>
    <w:rsid w:val="00F139C6"/>
    <w:rsid w:val="00F13CDA"/>
    <w:rsid w:val="00F1449C"/>
    <w:rsid w:val="00F14A68"/>
    <w:rsid w:val="00F14B59"/>
    <w:rsid w:val="00F16714"/>
    <w:rsid w:val="00F17B14"/>
    <w:rsid w:val="00F205DB"/>
    <w:rsid w:val="00F207EE"/>
    <w:rsid w:val="00F212C6"/>
    <w:rsid w:val="00F23835"/>
    <w:rsid w:val="00F25465"/>
    <w:rsid w:val="00F266D1"/>
    <w:rsid w:val="00F26E06"/>
    <w:rsid w:val="00F27C6D"/>
    <w:rsid w:val="00F3199F"/>
    <w:rsid w:val="00F31A67"/>
    <w:rsid w:val="00F32499"/>
    <w:rsid w:val="00F32F1A"/>
    <w:rsid w:val="00F33BDA"/>
    <w:rsid w:val="00F34899"/>
    <w:rsid w:val="00F3518C"/>
    <w:rsid w:val="00F3573D"/>
    <w:rsid w:val="00F366EA"/>
    <w:rsid w:val="00F37732"/>
    <w:rsid w:val="00F41E8A"/>
    <w:rsid w:val="00F42230"/>
    <w:rsid w:val="00F4294F"/>
    <w:rsid w:val="00F42A18"/>
    <w:rsid w:val="00F431CD"/>
    <w:rsid w:val="00F432BB"/>
    <w:rsid w:val="00F44723"/>
    <w:rsid w:val="00F449DD"/>
    <w:rsid w:val="00F46007"/>
    <w:rsid w:val="00F468BE"/>
    <w:rsid w:val="00F46E8C"/>
    <w:rsid w:val="00F500F4"/>
    <w:rsid w:val="00F506A4"/>
    <w:rsid w:val="00F52958"/>
    <w:rsid w:val="00F53E8C"/>
    <w:rsid w:val="00F547B2"/>
    <w:rsid w:val="00F5495E"/>
    <w:rsid w:val="00F565FD"/>
    <w:rsid w:val="00F56B0F"/>
    <w:rsid w:val="00F57A15"/>
    <w:rsid w:val="00F57B74"/>
    <w:rsid w:val="00F57F48"/>
    <w:rsid w:val="00F61B22"/>
    <w:rsid w:val="00F6208C"/>
    <w:rsid w:val="00F627CD"/>
    <w:rsid w:val="00F6329E"/>
    <w:rsid w:val="00F63794"/>
    <w:rsid w:val="00F6401E"/>
    <w:rsid w:val="00F6586B"/>
    <w:rsid w:val="00F659DE"/>
    <w:rsid w:val="00F66014"/>
    <w:rsid w:val="00F674F2"/>
    <w:rsid w:val="00F67E15"/>
    <w:rsid w:val="00F67E33"/>
    <w:rsid w:val="00F70B41"/>
    <w:rsid w:val="00F70DD1"/>
    <w:rsid w:val="00F7123D"/>
    <w:rsid w:val="00F71B0D"/>
    <w:rsid w:val="00F72615"/>
    <w:rsid w:val="00F7334A"/>
    <w:rsid w:val="00F73F21"/>
    <w:rsid w:val="00F74721"/>
    <w:rsid w:val="00F74736"/>
    <w:rsid w:val="00F74A4F"/>
    <w:rsid w:val="00F752E1"/>
    <w:rsid w:val="00F75714"/>
    <w:rsid w:val="00F758CE"/>
    <w:rsid w:val="00F75BFE"/>
    <w:rsid w:val="00F75E45"/>
    <w:rsid w:val="00F77499"/>
    <w:rsid w:val="00F774BB"/>
    <w:rsid w:val="00F8079F"/>
    <w:rsid w:val="00F815D2"/>
    <w:rsid w:val="00F83642"/>
    <w:rsid w:val="00F841AF"/>
    <w:rsid w:val="00F84FBB"/>
    <w:rsid w:val="00F8607E"/>
    <w:rsid w:val="00F873BA"/>
    <w:rsid w:val="00F87A7C"/>
    <w:rsid w:val="00F90295"/>
    <w:rsid w:val="00F9096B"/>
    <w:rsid w:val="00F92702"/>
    <w:rsid w:val="00F92C68"/>
    <w:rsid w:val="00F92FA3"/>
    <w:rsid w:val="00F93E26"/>
    <w:rsid w:val="00F94CA7"/>
    <w:rsid w:val="00F95AE5"/>
    <w:rsid w:val="00F95DD3"/>
    <w:rsid w:val="00F96792"/>
    <w:rsid w:val="00F96E8A"/>
    <w:rsid w:val="00F9718E"/>
    <w:rsid w:val="00F97A85"/>
    <w:rsid w:val="00FA0EE5"/>
    <w:rsid w:val="00FA166F"/>
    <w:rsid w:val="00FA2FA1"/>
    <w:rsid w:val="00FA3051"/>
    <w:rsid w:val="00FA337C"/>
    <w:rsid w:val="00FA43D9"/>
    <w:rsid w:val="00FA440E"/>
    <w:rsid w:val="00FA49FF"/>
    <w:rsid w:val="00FA5670"/>
    <w:rsid w:val="00FA57A3"/>
    <w:rsid w:val="00FA6096"/>
    <w:rsid w:val="00FA6381"/>
    <w:rsid w:val="00FA68B3"/>
    <w:rsid w:val="00FA78BF"/>
    <w:rsid w:val="00FA79D1"/>
    <w:rsid w:val="00FA7E97"/>
    <w:rsid w:val="00FB06DD"/>
    <w:rsid w:val="00FB0BEE"/>
    <w:rsid w:val="00FB0E92"/>
    <w:rsid w:val="00FB1063"/>
    <w:rsid w:val="00FB11D2"/>
    <w:rsid w:val="00FB1E4E"/>
    <w:rsid w:val="00FB57D9"/>
    <w:rsid w:val="00FB5F3B"/>
    <w:rsid w:val="00FC0007"/>
    <w:rsid w:val="00FC08E8"/>
    <w:rsid w:val="00FC19D4"/>
    <w:rsid w:val="00FC1A2C"/>
    <w:rsid w:val="00FC23A7"/>
    <w:rsid w:val="00FC377E"/>
    <w:rsid w:val="00FC3BEE"/>
    <w:rsid w:val="00FC40CB"/>
    <w:rsid w:val="00FC42B3"/>
    <w:rsid w:val="00FC43C5"/>
    <w:rsid w:val="00FC46C5"/>
    <w:rsid w:val="00FC687D"/>
    <w:rsid w:val="00FC6C23"/>
    <w:rsid w:val="00FC77CC"/>
    <w:rsid w:val="00FD1A13"/>
    <w:rsid w:val="00FD1F67"/>
    <w:rsid w:val="00FD1F7F"/>
    <w:rsid w:val="00FD2780"/>
    <w:rsid w:val="00FD3014"/>
    <w:rsid w:val="00FD331D"/>
    <w:rsid w:val="00FD477D"/>
    <w:rsid w:val="00FD4A36"/>
    <w:rsid w:val="00FD4E66"/>
    <w:rsid w:val="00FD5F26"/>
    <w:rsid w:val="00FD69A6"/>
    <w:rsid w:val="00FD6B42"/>
    <w:rsid w:val="00FD6F39"/>
    <w:rsid w:val="00FD7037"/>
    <w:rsid w:val="00FE106D"/>
    <w:rsid w:val="00FE20D7"/>
    <w:rsid w:val="00FE22ED"/>
    <w:rsid w:val="00FE3312"/>
    <w:rsid w:val="00FE396E"/>
    <w:rsid w:val="00FE3E29"/>
    <w:rsid w:val="00FE5583"/>
    <w:rsid w:val="00FE5666"/>
    <w:rsid w:val="00FE598F"/>
    <w:rsid w:val="00FE6075"/>
    <w:rsid w:val="00FE60F9"/>
    <w:rsid w:val="00FE620E"/>
    <w:rsid w:val="00FE6AB6"/>
    <w:rsid w:val="00FE6D96"/>
    <w:rsid w:val="00FE6F18"/>
    <w:rsid w:val="00FE7816"/>
    <w:rsid w:val="00FE7BD4"/>
    <w:rsid w:val="00FF04B7"/>
    <w:rsid w:val="00FF0A2D"/>
    <w:rsid w:val="00FF0B76"/>
    <w:rsid w:val="00FF1093"/>
    <w:rsid w:val="00FF113D"/>
    <w:rsid w:val="00FF1665"/>
    <w:rsid w:val="00FF1810"/>
    <w:rsid w:val="00FF2BBB"/>
    <w:rsid w:val="00FF2EF7"/>
    <w:rsid w:val="00FF3E5B"/>
    <w:rsid w:val="00FF3F55"/>
    <w:rsid w:val="00FF419E"/>
    <w:rsid w:val="00FF5B4C"/>
    <w:rsid w:val="00FF6BFC"/>
    <w:rsid w:val="00FF6CA8"/>
    <w:rsid w:val="00FF6D69"/>
    <w:rsid w:val="00FF72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9105">
      <o:colormru v:ext="edit" colors="#4bf75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5E385C"/>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885955"/>
    <w:pPr>
      <w:numPr>
        <w:ilvl w:val="2"/>
        <w:numId w:val="25"/>
      </w:numPr>
      <w:tabs>
        <w:tab w:val="left" w:pos="1021"/>
      </w:tabs>
      <w:spacing w:before="240"/>
      <w:ind w:left="720"/>
      <w:jc w:val="left"/>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5"/>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5"/>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5"/>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5"/>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885955"/>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5A2081"/>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pPr>
    <w:rPr>
      <w:rFonts w:cs="Times New Roman"/>
    </w:rPr>
  </w:style>
  <w:style w:type="paragraph" w:styleId="ListBullet">
    <w:name w:val="List Bullet"/>
    <w:basedOn w:val="Normal"/>
    <w:uiPriority w:val="99"/>
    <w:unhideWhenUsed/>
    <w:rsid w:val="00DB5074"/>
    <w:pPr>
      <w:numPr>
        <w:numId w:val="13"/>
      </w:numPr>
      <w:tabs>
        <w:tab w:val="left" w:pos="340"/>
      </w:tabs>
      <w:spacing w:before="12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B95EDB"/>
    <w:pPr>
      <w:tabs>
        <w:tab w:val="left" w:pos="426"/>
        <w:tab w:val="left" w:pos="1701"/>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99"/>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99"/>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A86749"/>
    <w:pPr>
      <w:spacing w:before="240" w:after="120"/>
      <w:jc w:val="center"/>
    </w:pPr>
    <w:rPr>
      <w:b/>
      <w:color w:val="FFFFFF" w:themeColor="background1"/>
      <w:sz w:val="20"/>
      <w:szCs w:val="20"/>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A86749"/>
    <w:rPr>
      <w:rFonts w:ascii="Arial" w:hAnsi="Arial"/>
      <w:b/>
      <w:color w:val="FFFFFF" w:themeColor="background1"/>
      <w:sz w:val="20"/>
      <w:szCs w:val="20"/>
    </w:rPr>
  </w:style>
  <w:style w:type="character" w:customStyle="1" w:styleId="TableHeading-rightChar">
    <w:name w:val="Table Heading - right Char"/>
    <w:basedOn w:val="TableHeadingChar"/>
    <w:link w:val="TableHeading-right"/>
    <w:rsid w:val="00185CB9"/>
    <w:rPr>
      <w:rFonts w:ascii="Arial" w:eastAsia="Times New Roman" w:hAnsi="Arial" w:cs="Times New Roman"/>
      <w:b/>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qFormat/>
    <w:rsid w:val="00A86749"/>
    <w:pPr>
      <w:spacing w:before="120" w:after="120"/>
    </w:pPr>
    <w:rPr>
      <w:sz w:val="18"/>
    </w:rPr>
  </w:style>
  <w:style w:type="paragraph" w:customStyle="1" w:styleId="tablebodycentered">
    <w:name w:val="table body centered"/>
    <w:basedOn w:val="tablebody"/>
    <w:link w:val="tablebodycenteredChar"/>
    <w:qFormat/>
    <w:rsid w:val="00A86749"/>
    <w:pPr>
      <w:jc w:val="center"/>
    </w:pPr>
  </w:style>
  <w:style w:type="character" w:customStyle="1" w:styleId="tablebodyChar">
    <w:name w:val="table body Char"/>
    <w:basedOn w:val="DefaultParagraphFont"/>
    <w:link w:val="tablebody"/>
    <w:rsid w:val="00A86749"/>
    <w:rPr>
      <w:rFonts w:ascii="Arial" w:hAnsi="Arial"/>
      <w:sz w:val="18"/>
    </w:rPr>
  </w:style>
  <w:style w:type="character" w:customStyle="1" w:styleId="tablebodycenteredChar">
    <w:name w:val="table body centered Char"/>
    <w:basedOn w:val="tablebodyChar"/>
    <w:link w:val="tablebodycentered"/>
    <w:rsid w:val="00A86749"/>
    <w:rPr>
      <w:rFonts w:ascii="Arial" w:hAnsi="Arial"/>
      <w:sz w:val="18"/>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Tablesumline">
    <w:name w:val="Table sum line"/>
    <w:basedOn w:val="Normal"/>
    <w:link w:val="TablesumlineChar"/>
    <w:qFormat/>
    <w:rsid w:val="00C9343E"/>
    <w:pPr>
      <w:spacing w:before="120" w:after="120"/>
      <w:jc w:val="left"/>
    </w:pPr>
    <w:rPr>
      <w:b/>
      <w:sz w:val="20"/>
    </w:rPr>
  </w:style>
  <w:style w:type="table" w:customStyle="1" w:styleId="AERsummarytable">
    <w:name w:val="AER summary table"/>
    <w:basedOn w:val="TableNormal"/>
    <w:uiPriority w:val="99"/>
    <w:rsid w:val="00C9343E"/>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C9343E"/>
    <w:rPr>
      <w:rFonts w:ascii="Arial" w:hAnsi="Arial"/>
      <w:b/>
      <w:sz w:val="20"/>
    </w:rPr>
  </w:style>
  <w:style w:type="character" w:customStyle="1" w:styleId="a531">
    <w:name w:val="a5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B80409"/>
    <w:rPr>
      <w:rFonts w:ascii="Arial" w:hAnsi="Arial" w:cs="Arial" w:hint="default"/>
      <w:b w:val="0"/>
      <w:bCs w:val="0"/>
      <w:i w:val="0"/>
      <w:iCs w:val="0"/>
      <w:strike w:val="0"/>
      <w:dstrike w:val="0"/>
      <w:color w:val="FFFFFF"/>
      <w:sz w:val="18"/>
      <w:szCs w:val="18"/>
      <w:u w:val="none"/>
      <w:effect w:val="none"/>
    </w:rPr>
  </w:style>
  <w:style w:type="paragraph" w:customStyle="1" w:styleId="Default">
    <w:name w:val="Default"/>
    <w:rsid w:val="00950032"/>
    <w:pPr>
      <w:autoSpaceDE w:val="0"/>
      <w:autoSpaceDN w:val="0"/>
      <w:adjustRightInd w:val="0"/>
      <w:spacing w:before="0"/>
    </w:pPr>
    <w:rPr>
      <w:rFonts w:ascii="Arial" w:hAnsi="Arial" w:cs="Arial"/>
      <w:color w:val="000000"/>
      <w:sz w:val="24"/>
      <w:szCs w:val="24"/>
    </w:rPr>
  </w:style>
  <w:style w:type="paragraph" w:customStyle="1" w:styleId="tabletext0">
    <w:name w:val="table text"/>
    <w:basedOn w:val="Normal"/>
    <w:link w:val="tabletextChar0"/>
    <w:qFormat/>
    <w:rsid w:val="00FF3E5B"/>
    <w:pPr>
      <w:spacing w:before="60" w:after="60"/>
      <w:jc w:val="left"/>
    </w:pPr>
    <w:rPr>
      <w:sz w:val="18"/>
    </w:rPr>
  </w:style>
  <w:style w:type="character" w:customStyle="1" w:styleId="tabletextChar0">
    <w:name w:val="table text Char"/>
    <w:basedOn w:val="DefaultParagraphFont"/>
    <w:link w:val="tabletext0"/>
    <w:rsid w:val="00FF3E5B"/>
    <w:rPr>
      <w:rFonts w:ascii="Arial" w:hAnsi="Arial"/>
      <w:sz w:val="18"/>
    </w:rPr>
  </w:style>
  <w:style w:type="paragraph" w:customStyle="1" w:styleId="AERheading4">
    <w:name w:val="AER heading 4"/>
    <w:basedOn w:val="Normal"/>
    <w:rsid w:val="008026F1"/>
    <w:pPr>
      <w:keepNext/>
      <w:spacing w:before="240" w:after="120" w:line="240" w:lineRule="auto"/>
      <w:ind w:left="851" w:hanging="851"/>
      <w:jc w:val="left"/>
    </w:pPr>
    <w:rPr>
      <w:rFonts w:ascii="Times New Roman" w:eastAsia="Times New Roman" w:hAnsi="Times New Roman" w:cs="Times New Roman"/>
      <w:b/>
      <w:bCs/>
    </w:rPr>
  </w:style>
  <w:style w:type="paragraph" w:styleId="BodyText">
    <w:name w:val="Body Text"/>
    <w:basedOn w:val="Normal"/>
    <w:link w:val="BodyTextChar"/>
    <w:uiPriority w:val="99"/>
    <w:unhideWhenUsed/>
    <w:rsid w:val="003C0BAD"/>
    <w:pPr>
      <w:spacing w:after="120"/>
    </w:pPr>
  </w:style>
  <w:style w:type="character" w:customStyle="1" w:styleId="BodyTextChar">
    <w:name w:val="Body Text Char"/>
    <w:basedOn w:val="DefaultParagraphFont"/>
    <w:link w:val="BodyText"/>
    <w:uiPriority w:val="99"/>
    <w:rsid w:val="003C0BAD"/>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5E385C"/>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885955"/>
    <w:pPr>
      <w:numPr>
        <w:ilvl w:val="2"/>
        <w:numId w:val="25"/>
      </w:numPr>
      <w:tabs>
        <w:tab w:val="left" w:pos="1021"/>
      </w:tabs>
      <w:spacing w:before="240"/>
      <w:ind w:left="720"/>
      <w:jc w:val="left"/>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5"/>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5"/>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5"/>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5"/>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885955"/>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5A2081"/>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pPr>
    <w:rPr>
      <w:rFonts w:cs="Times New Roman"/>
    </w:rPr>
  </w:style>
  <w:style w:type="paragraph" w:styleId="ListBullet">
    <w:name w:val="List Bullet"/>
    <w:basedOn w:val="Normal"/>
    <w:uiPriority w:val="99"/>
    <w:unhideWhenUsed/>
    <w:rsid w:val="00DB5074"/>
    <w:pPr>
      <w:numPr>
        <w:numId w:val="13"/>
      </w:numPr>
      <w:tabs>
        <w:tab w:val="left" w:pos="340"/>
      </w:tabs>
      <w:spacing w:before="12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B95EDB"/>
    <w:pPr>
      <w:tabs>
        <w:tab w:val="left" w:pos="426"/>
        <w:tab w:val="left" w:pos="1701"/>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99"/>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99"/>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A86749"/>
    <w:pPr>
      <w:spacing w:before="240" w:after="120"/>
      <w:jc w:val="center"/>
    </w:pPr>
    <w:rPr>
      <w:b/>
      <w:color w:val="FFFFFF" w:themeColor="background1"/>
      <w:sz w:val="20"/>
      <w:szCs w:val="20"/>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A86749"/>
    <w:rPr>
      <w:rFonts w:ascii="Arial" w:hAnsi="Arial"/>
      <w:b/>
      <w:color w:val="FFFFFF" w:themeColor="background1"/>
      <w:sz w:val="20"/>
      <w:szCs w:val="20"/>
    </w:rPr>
  </w:style>
  <w:style w:type="character" w:customStyle="1" w:styleId="TableHeading-rightChar">
    <w:name w:val="Table Heading - right Char"/>
    <w:basedOn w:val="TableHeadingChar"/>
    <w:link w:val="TableHeading-right"/>
    <w:rsid w:val="00185CB9"/>
    <w:rPr>
      <w:rFonts w:ascii="Arial" w:eastAsia="Times New Roman" w:hAnsi="Arial" w:cs="Times New Roman"/>
      <w:b/>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qFormat/>
    <w:rsid w:val="00A86749"/>
    <w:pPr>
      <w:spacing w:before="120" w:after="120"/>
    </w:pPr>
    <w:rPr>
      <w:sz w:val="18"/>
    </w:rPr>
  </w:style>
  <w:style w:type="paragraph" w:customStyle="1" w:styleId="tablebodycentered">
    <w:name w:val="table body centered"/>
    <w:basedOn w:val="tablebody"/>
    <w:link w:val="tablebodycenteredChar"/>
    <w:qFormat/>
    <w:rsid w:val="00A86749"/>
    <w:pPr>
      <w:jc w:val="center"/>
    </w:pPr>
  </w:style>
  <w:style w:type="character" w:customStyle="1" w:styleId="tablebodyChar">
    <w:name w:val="table body Char"/>
    <w:basedOn w:val="DefaultParagraphFont"/>
    <w:link w:val="tablebody"/>
    <w:rsid w:val="00A86749"/>
    <w:rPr>
      <w:rFonts w:ascii="Arial" w:hAnsi="Arial"/>
      <w:sz w:val="18"/>
    </w:rPr>
  </w:style>
  <w:style w:type="character" w:customStyle="1" w:styleId="tablebodycenteredChar">
    <w:name w:val="table body centered Char"/>
    <w:basedOn w:val="tablebodyChar"/>
    <w:link w:val="tablebodycentered"/>
    <w:rsid w:val="00A86749"/>
    <w:rPr>
      <w:rFonts w:ascii="Arial" w:hAnsi="Arial"/>
      <w:sz w:val="18"/>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Tablesumline">
    <w:name w:val="Table sum line"/>
    <w:basedOn w:val="Normal"/>
    <w:link w:val="TablesumlineChar"/>
    <w:qFormat/>
    <w:rsid w:val="00C9343E"/>
    <w:pPr>
      <w:spacing w:before="120" w:after="120"/>
      <w:jc w:val="left"/>
    </w:pPr>
    <w:rPr>
      <w:b/>
      <w:sz w:val="20"/>
    </w:rPr>
  </w:style>
  <w:style w:type="table" w:customStyle="1" w:styleId="AERsummarytable">
    <w:name w:val="AER summary table"/>
    <w:basedOn w:val="TableNormal"/>
    <w:uiPriority w:val="99"/>
    <w:rsid w:val="00C9343E"/>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C9343E"/>
    <w:rPr>
      <w:rFonts w:ascii="Arial" w:hAnsi="Arial"/>
      <w:b/>
      <w:sz w:val="20"/>
    </w:rPr>
  </w:style>
  <w:style w:type="character" w:customStyle="1" w:styleId="a531">
    <w:name w:val="a5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B80409"/>
    <w:rPr>
      <w:rFonts w:ascii="Arial" w:hAnsi="Arial" w:cs="Arial" w:hint="default"/>
      <w:b w:val="0"/>
      <w:bCs w:val="0"/>
      <w:i w:val="0"/>
      <w:iCs w:val="0"/>
      <w:strike w:val="0"/>
      <w:dstrike w:val="0"/>
      <w:color w:val="FFFFFF"/>
      <w:sz w:val="18"/>
      <w:szCs w:val="18"/>
      <w:u w:val="none"/>
      <w:effect w:val="none"/>
    </w:rPr>
  </w:style>
  <w:style w:type="paragraph" w:customStyle="1" w:styleId="Default">
    <w:name w:val="Default"/>
    <w:rsid w:val="00950032"/>
    <w:pPr>
      <w:autoSpaceDE w:val="0"/>
      <w:autoSpaceDN w:val="0"/>
      <w:adjustRightInd w:val="0"/>
      <w:spacing w:before="0"/>
    </w:pPr>
    <w:rPr>
      <w:rFonts w:ascii="Arial" w:hAnsi="Arial" w:cs="Arial"/>
      <w:color w:val="000000"/>
      <w:sz w:val="24"/>
      <w:szCs w:val="24"/>
    </w:rPr>
  </w:style>
  <w:style w:type="paragraph" w:customStyle="1" w:styleId="tabletext0">
    <w:name w:val="table text"/>
    <w:basedOn w:val="Normal"/>
    <w:link w:val="tabletextChar0"/>
    <w:qFormat/>
    <w:rsid w:val="00FF3E5B"/>
    <w:pPr>
      <w:spacing w:before="60" w:after="60"/>
      <w:jc w:val="left"/>
    </w:pPr>
    <w:rPr>
      <w:sz w:val="18"/>
    </w:rPr>
  </w:style>
  <w:style w:type="character" w:customStyle="1" w:styleId="tabletextChar0">
    <w:name w:val="table text Char"/>
    <w:basedOn w:val="DefaultParagraphFont"/>
    <w:link w:val="tabletext0"/>
    <w:rsid w:val="00FF3E5B"/>
    <w:rPr>
      <w:rFonts w:ascii="Arial" w:hAnsi="Arial"/>
      <w:sz w:val="18"/>
    </w:rPr>
  </w:style>
  <w:style w:type="paragraph" w:customStyle="1" w:styleId="AERheading4">
    <w:name w:val="AER heading 4"/>
    <w:basedOn w:val="Normal"/>
    <w:rsid w:val="008026F1"/>
    <w:pPr>
      <w:keepNext/>
      <w:spacing w:before="240" w:after="120" w:line="240" w:lineRule="auto"/>
      <w:ind w:left="851" w:hanging="851"/>
      <w:jc w:val="left"/>
    </w:pPr>
    <w:rPr>
      <w:rFonts w:ascii="Times New Roman" w:eastAsia="Times New Roman" w:hAnsi="Times New Roman" w:cs="Times New Roman"/>
      <w:b/>
      <w:bCs/>
    </w:rPr>
  </w:style>
  <w:style w:type="paragraph" w:styleId="BodyText">
    <w:name w:val="Body Text"/>
    <w:basedOn w:val="Normal"/>
    <w:link w:val="BodyTextChar"/>
    <w:uiPriority w:val="99"/>
    <w:unhideWhenUsed/>
    <w:rsid w:val="003C0BAD"/>
    <w:pPr>
      <w:spacing w:after="120"/>
    </w:pPr>
  </w:style>
  <w:style w:type="character" w:customStyle="1" w:styleId="BodyTextChar">
    <w:name w:val="Body Text Char"/>
    <w:basedOn w:val="DefaultParagraphFont"/>
    <w:link w:val="BodyText"/>
    <w:uiPriority w:val="99"/>
    <w:rsid w:val="003C0BA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5457">
      <w:bodyDiv w:val="1"/>
      <w:marLeft w:val="0"/>
      <w:marRight w:val="0"/>
      <w:marTop w:val="0"/>
      <w:marBottom w:val="0"/>
      <w:divBdr>
        <w:top w:val="none" w:sz="0" w:space="0" w:color="auto"/>
        <w:left w:val="none" w:sz="0" w:space="0" w:color="auto"/>
        <w:bottom w:val="none" w:sz="0" w:space="0" w:color="auto"/>
        <w:right w:val="none" w:sz="0" w:space="0" w:color="auto"/>
      </w:divBdr>
    </w:div>
    <w:div w:id="128911074">
      <w:bodyDiv w:val="1"/>
      <w:marLeft w:val="0"/>
      <w:marRight w:val="0"/>
      <w:marTop w:val="0"/>
      <w:marBottom w:val="0"/>
      <w:divBdr>
        <w:top w:val="none" w:sz="0" w:space="0" w:color="auto"/>
        <w:left w:val="none" w:sz="0" w:space="0" w:color="auto"/>
        <w:bottom w:val="none" w:sz="0" w:space="0" w:color="auto"/>
        <w:right w:val="none" w:sz="0" w:space="0" w:color="auto"/>
      </w:divBdr>
    </w:div>
    <w:div w:id="167721982">
      <w:bodyDiv w:val="1"/>
      <w:marLeft w:val="0"/>
      <w:marRight w:val="0"/>
      <w:marTop w:val="0"/>
      <w:marBottom w:val="0"/>
      <w:divBdr>
        <w:top w:val="none" w:sz="0" w:space="0" w:color="auto"/>
        <w:left w:val="none" w:sz="0" w:space="0" w:color="auto"/>
        <w:bottom w:val="none" w:sz="0" w:space="0" w:color="auto"/>
        <w:right w:val="none" w:sz="0" w:space="0" w:color="auto"/>
      </w:divBdr>
    </w:div>
    <w:div w:id="243034249">
      <w:bodyDiv w:val="1"/>
      <w:marLeft w:val="0"/>
      <w:marRight w:val="0"/>
      <w:marTop w:val="0"/>
      <w:marBottom w:val="0"/>
      <w:divBdr>
        <w:top w:val="none" w:sz="0" w:space="0" w:color="auto"/>
        <w:left w:val="none" w:sz="0" w:space="0" w:color="auto"/>
        <w:bottom w:val="none" w:sz="0" w:space="0" w:color="auto"/>
        <w:right w:val="none" w:sz="0" w:space="0" w:color="auto"/>
      </w:divBdr>
    </w:div>
    <w:div w:id="290325334">
      <w:bodyDiv w:val="1"/>
      <w:marLeft w:val="0"/>
      <w:marRight w:val="0"/>
      <w:marTop w:val="0"/>
      <w:marBottom w:val="0"/>
      <w:divBdr>
        <w:top w:val="none" w:sz="0" w:space="0" w:color="auto"/>
        <w:left w:val="none" w:sz="0" w:space="0" w:color="auto"/>
        <w:bottom w:val="none" w:sz="0" w:space="0" w:color="auto"/>
        <w:right w:val="none" w:sz="0" w:space="0" w:color="auto"/>
      </w:divBdr>
    </w:div>
    <w:div w:id="295793403">
      <w:bodyDiv w:val="1"/>
      <w:marLeft w:val="0"/>
      <w:marRight w:val="0"/>
      <w:marTop w:val="0"/>
      <w:marBottom w:val="0"/>
      <w:divBdr>
        <w:top w:val="none" w:sz="0" w:space="0" w:color="auto"/>
        <w:left w:val="none" w:sz="0" w:space="0" w:color="auto"/>
        <w:bottom w:val="none" w:sz="0" w:space="0" w:color="auto"/>
        <w:right w:val="none" w:sz="0" w:space="0" w:color="auto"/>
      </w:divBdr>
    </w:div>
    <w:div w:id="308898767">
      <w:bodyDiv w:val="1"/>
      <w:marLeft w:val="0"/>
      <w:marRight w:val="0"/>
      <w:marTop w:val="0"/>
      <w:marBottom w:val="0"/>
      <w:divBdr>
        <w:top w:val="none" w:sz="0" w:space="0" w:color="auto"/>
        <w:left w:val="none" w:sz="0" w:space="0" w:color="auto"/>
        <w:bottom w:val="none" w:sz="0" w:space="0" w:color="auto"/>
        <w:right w:val="none" w:sz="0" w:space="0" w:color="auto"/>
      </w:divBdr>
    </w:div>
    <w:div w:id="329407952">
      <w:bodyDiv w:val="1"/>
      <w:marLeft w:val="0"/>
      <w:marRight w:val="0"/>
      <w:marTop w:val="0"/>
      <w:marBottom w:val="0"/>
      <w:divBdr>
        <w:top w:val="none" w:sz="0" w:space="0" w:color="auto"/>
        <w:left w:val="none" w:sz="0" w:space="0" w:color="auto"/>
        <w:bottom w:val="none" w:sz="0" w:space="0" w:color="auto"/>
        <w:right w:val="none" w:sz="0" w:space="0" w:color="auto"/>
      </w:divBdr>
    </w:div>
    <w:div w:id="352537669">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507670050">
      <w:bodyDiv w:val="1"/>
      <w:marLeft w:val="0"/>
      <w:marRight w:val="0"/>
      <w:marTop w:val="0"/>
      <w:marBottom w:val="0"/>
      <w:divBdr>
        <w:top w:val="none" w:sz="0" w:space="0" w:color="auto"/>
        <w:left w:val="none" w:sz="0" w:space="0" w:color="auto"/>
        <w:bottom w:val="none" w:sz="0" w:space="0" w:color="auto"/>
        <w:right w:val="none" w:sz="0" w:space="0" w:color="auto"/>
      </w:divBdr>
      <w:divsChild>
        <w:div w:id="2083259863">
          <w:marLeft w:val="0"/>
          <w:marRight w:val="0"/>
          <w:marTop w:val="0"/>
          <w:marBottom w:val="0"/>
          <w:divBdr>
            <w:top w:val="none" w:sz="0" w:space="0" w:color="auto"/>
            <w:left w:val="none" w:sz="0" w:space="0" w:color="auto"/>
            <w:bottom w:val="none" w:sz="0" w:space="0" w:color="auto"/>
            <w:right w:val="none" w:sz="0" w:space="0" w:color="auto"/>
          </w:divBdr>
          <w:divsChild>
            <w:div w:id="237248040">
              <w:marLeft w:val="0"/>
              <w:marRight w:val="0"/>
              <w:marTop w:val="0"/>
              <w:marBottom w:val="0"/>
              <w:divBdr>
                <w:top w:val="none" w:sz="0" w:space="0" w:color="auto"/>
                <w:left w:val="none" w:sz="0" w:space="0" w:color="auto"/>
                <w:bottom w:val="none" w:sz="0" w:space="0" w:color="auto"/>
                <w:right w:val="none" w:sz="0" w:space="0" w:color="auto"/>
              </w:divBdr>
              <w:divsChild>
                <w:div w:id="752122960">
                  <w:marLeft w:val="0"/>
                  <w:marRight w:val="0"/>
                  <w:marTop w:val="0"/>
                  <w:marBottom w:val="0"/>
                  <w:divBdr>
                    <w:top w:val="none" w:sz="0" w:space="0" w:color="auto"/>
                    <w:left w:val="none" w:sz="0" w:space="0" w:color="auto"/>
                    <w:bottom w:val="none" w:sz="0" w:space="0" w:color="auto"/>
                    <w:right w:val="none" w:sz="0" w:space="0" w:color="auto"/>
                  </w:divBdr>
                  <w:divsChild>
                    <w:div w:id="162669854">
                      <w:marLeft w:val="0"/>
                      <w:marRight w:val="0"/>
                      <w:marTop w:val="0"/>
                      <w:marBottom w:val="0"/>
                      <w:divBdr>
                        <w:top w:val="none" w:sz="0" w:space="0" w:color="auto"/>
                        <w:left w:val="none" w:sz="0" w:space="0" w:color="auto"/>
                        <w:bottom w:val="none" w:sz="0" w:space="0" w:color="auto"/>
                        <w:right w:val="none" w:sz="0" w:space="0" w:color="auto"/>
                      </w:divBdr>
                      <w:divsChild>
                        <w:div w:id="295184323">
                          <w:marLeft w:val="0"/>
                          <w:marRight w:val="0"/>
                          <w:marTop w:val="0"/>
                          <w:marBottom w:val="0"/>
                          <w:divBdr>
                            <w:top w:val="none" w:sz="0" w:space="0" w:color="auto"/>
                            <w:left w:val="none" w:sz="0" w:space="0" w:color="auto"/>
                            <w:bottom w:val="none" w:sz="0" w:space="0" w:color="auto"/>
                            <w:right w:val="none" w:sz="0" w:space="0" w:color="auto"/>
                          </w:divBdr>
                        </w:div>
                      </w:divsChild>
                    </w:div>
                    <w:div w:id="1389959522">
                      <w:marLeft w:val="0"/>
                      <w:marRight w:val="0"/>
                      <w:marTop w:val="0"/>
                      <w:marBottom w:val="0"/>
                      <w:divBdr>
                        <w:top w:val="none" w:sz="0" w:space="0" w:color="auto"/>
                        <w:left w:val="none" w:sz="0" w:space="0" w:color="auto"/>
                        <w:bottom w:val="none" w:sz="0" w:space="0" w:color="auto"/>
                        <w:right w:val="none" w:sz="0" w:space="0" w:color="auto"/>
                      </w:divBdr>
                      <w:divsChild>
                        <w:div w:id="2033143719">
                          <w:marLeft w:val="0"/>
                          <w:marRight w:val="0"/>
                          <w:marTop w:val="0"/>
                          <w:marBottom w:val="0"/>
                          <w:divBdr>
                            <w:top w:val="none" w:sz="0" w:space="0" w:color="auto"/>
                            <w:left w:val="none" w:sz="0" w:space="0" w:color="auto"/>
                            <w:bottom w:val="none" w:sz="0" w:space="0" w:color="auto"/>
                            <w:right w:val="none" w:sz="0" w:space="0" w:color="auto"/>
                          </w:divBdr>
                        </w:div>
                      </w:divsChild>
                    </w:div>
                    <w:div w:id="475993509">
                      <w:marLeft w:val="0"/>
                      <w:marRight w:val="0"/>
                      <w:marTop w:val="0"/>
                      <w:marBottom w:val="0"/>
                      <w:divBdr>
                        <w:top w:val="none" w:sz="0" w:space="0" w:color="auto"/>
                        <w:left w:val="none" w:sz="0" w:space="0" w:color="auto"/>
                        <w:bottom w:val="none" w:sz="0" w:space="0" w:color="auto"/>
                        <w:right w:val="none" w:sz="0" w:space="0" w:color="auto"/>
                      </w:divBdr>
                      <w:divsChild>
                        <w:div w:id="1429424888">
                          <w:marLeft w:val="0"/>
                          <w:marRight w:val="0"/>
                          <w:marTop w:val="0"/>
                          <w:marBottom w:val="0"/>
                          <w:divBdr>
                            <w:top w:val="none" w:sz="0" w:space="0" w:color="auto"/>
                            <w:left w:val="none" w:sz="0" w:space="0" w:color="auto"/>
                            <w:bottom w:val="none" w:sz="0" w:space="0" w:color="auto"/>
                            <w:right w:val="none" w:sz="0" w:space="0" w:color="auto"/>
                          </w:divBdr>
                        </w:div>
                      </w:divsChild>
                    </w:div>
                    <w:div w:id="535701048">
                      <w:marLeft w:val="0"/>
                      <w:marRight w:val="0"/>
                      <w:marTop w:val="0"/>
                      <w:marBottom w:val="0"/>
                      <w:divBdr>
                        <w:top w:val="none" w:sz="0" w:space="0" w:color="auto"/>
                        <w:left w:val="none" w:sz="0" w:space="0" w:color="auto"/>
                        <w:bottom w:val="none" w:sz="0" w:space="0" w:color="auto"/>
                        <w:right w:val="none" w:sz="0" w:space="0" w:color="auto"/>
                      </w:divBdr>
                      <w:divsChild>
                        <w:div w:id="2040277009">
                          <w:marLeft w:val="0"/>
                          <w:marRight w:val="0"/>
                          <w:marTop w:val="0"/>
                          <w:marBottom w:val="0"/>
                          <w:divBdr>
                            <w:top w:val="none" w:sz="0" w:space="0" w:color="auto"/>
                            <w:left w:val="none" w:sz="0" w:space="0" w:color="auto"/>
                            <w:bottom w:val="none" w:sz="0" w:space="0" w:color="auto"/>
                            <w:right w:val="none" w:sz="0" w:space="0" w:color="auto"/>
                          </w:divBdr>
                        </w:div>
                      </w:divsChild>
                    </w:div>
                    <w:div w:id="1209680039">
                      <w:marLeft w:val="0"/>
                      <w:marRight w:val="0"/>
                      <w:marTop w:val="0"/>
                      <w:marBottom w:val="0"/>
                      <w:divBdr>
                        <w:top w:val="none" w:sz="0" w:space="0" w:color="auto"/>
                        <w:left w:val="none" w:sz="0" w:space="0" w:color="auto"/>
                        <w:bottom w:val="none" w:sz="0" w:space="0" w:color="auto"/>
                        <w:right w:val="none" w:sz="0" w:space="0" w:color="auto"/>
                      </w:divBdr>
                      <w:divsChild>
                        <w:div w:id="11529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40427">
      <w:bodyDiv w:val="1"/>
      <w:marLeft w:val="0"/>
      <w:marRight w:val="0"/>
      <w:marTop w:val="0"/>
      <w:marBottom w:val="0"/>
      <w:divBdr>
        <w:top w:val="none" w:sz="0" w:space="0" w:color="auto"/>
        <w:left w:val="none" w:sz="0" w:space="0" w:color="auto"/>
        <w:bottom w:val="none" w:sz="0" w:space="0" w:color="auto"/>
        <w:right w:val="none" w:sz="0" w:space="0" w:color="auto"/>
      </w:divBdr>
    </w:div>
    <w:div w:id="562958343">
      <w:bodyDiv w:val="1"/>
      <w:marLeft w:val="0"/>
      <w:marRight w:val="0"/>
      <w:marTop w:val="0"/>
      <w:marBottom w:val="0"/>
      <w:divBdr>
        <w:top w:val="none" w:sz="0" w:space="0" w:color="auto"/>
        <w:left w:val="none" w:sz="0" w:space="0" w:color="auto"/>
        <w:bottom w:val="none" w:sz="0" w:space="0" w:color="auto"/>
        <w:right w:val="none" w:sz="0" w:space="0" w:color="auto"/>
      </w:divBdr>
    </w:div>
    <w:div w:id="570845654">
      <w:bodyDiv w:val="1"/>
      <w:marLeft w:val="0"/>
      <w:marRight w:val="0"/>
      <w:marTop w:val="0"/>
      <w:marBottom w:val="0"/>
      <w:divBdr>
        <w:top w:val="none" w:sz="0" w:space="0" w:color="auto"/>
        <w:left w:val="none" w:sz="0" w:space="0" w:color="auto"/>
        <w:bottom w:val="none" w:sz="0" w:space="0" w:color="auto"/>
        <w:right w:val="none" w:sz="0" w:space="0" w:color="auto"/>
      </w:divBdr>
    </w:div>
    <w:div w:id="593981018">
      <w:bodyDiv w:val="1"/>
      <w:marLeft w:val="0"/>
      <w:marRight w:val="0"/>
      <w:marTop w:val="0"/>
      <w:marBottom w:val="0"/>
      <w:divBdr>
        <w:top w:val="none" w:sz="0" w:space="0" w:color="auto"/>
        <w:left w:val="none" w:sz="0" w:space="0" w:color="auto"/>
        <w:bottom w:val="none" w:sz="0" w:space="0" w:color="auto"/>
        <w:right w:val="none" w:sz="0" w:space="0" w:color="auto"/>
      </w:divBdr>
    </w:div>
    <w:div w:id="635574905">
      <w:bodyDiv w:val="1"/>
      <w:marLeft w:val="0"/>
      <w:marRight w:val="0"/>
      <w:marTop w:val="0"/>
      <w:marBottom w:val="0"/>
      <w:divBdr>
        <w:top w:val="none" w:sz="0" w:space="0" w:color="auto"/>
        <w:left w:val="none" w:sz="0" w:space="0" w:color="auto"/>
        <w:bottom w:val="none" w:sz="0" w:space="0" w:color="auto"/>
        <w:right w:val="none" w:sz="0" w:space="0" w:color="auto"/>
      </w:divBdr>
    </w:div>
    <w:div w:id="796533202">
      <w:bodyDiv w:val="1"/>
      <w:marLeft w:val="0"/>
      <w:marRight w:val="0"/>
      <w:marTop w:val="0"/>
      <w:marBottom w:val="0"/>
      <w:divBdr>
        <w:top w:val="none" w:sz="0" w:space="0" w:color="auto"/>
        <w:left w:val="none" w:sz="0" w:space="0" w:color="auto"/>
        <w:bottom w:val="none" w:sz="0" w:space="0" w:color="auto"/>
        <w:right w:val="none" w:sz="0" w:space="0" w:color="auto"/>
      </w:divBdr>
    </w:div>
    <w:div w:id="817234274">
      <w:bodyDiv w:val="1"/>
      <w:marLeft w:val="0"/>
      <w:marRight w:val="0"/>
      <w:marTop w:val="0"/>
      <w:marBottom w:val="0"/>
      <w:divBdr>
        <w:top w:val="none" w:sz="0" w:space="0" w:color="auto"/>
        <w:left w:val="none" w:sz="0" w:space="0" w:color="auto"/>
        <w:bottom w:val="none" w:sz="0" w:space="0" w:color="auto"/>
        <w:right w:val="none" w:sz="0" w:space="0" w:color="auto"/>
      </w:divBdr>
    </w:div>
    <w:div w:id="826700981">
      <w:bodyDiv w:val="1"/>
      <w:marLeft w:val="0"/>
      <w:marRight w:val="0"/>
      <w:marTop w:val="0"/>
      <w:marBottom w:val="0"/>
      <w:divBdr>
        <w:top w:val="none" w:sz="0" w:space="0" w:color="auto"/>
        <w:left w:val="none" w:sz="0" w:space="0" w:color="auto"/>
        <w:bottom w:val="none" w:sz="0" w:space="0" w:color="auto"/>
        <w:right w:val="none" w:sz="0" w:space="0" w:color="auto"/>
      </w:divBdr>
    </w:div>
    <w:div w:id="843474959">
      <w:bodyDiv w:val="1"/>
      <w:marLeft w:val="0"/>
      <w:marRight w:val="0"/>
      <w:marTop w:val="0"/>
      <w:marBottom w:val="0"/>
      <w:divBdr>
        <w:top w:val="none" w:sz="0" w:space="0" w:color="auto"/>
        <w:left w:val="none" w:sz="0" w:space="0" w:color="auto"/>
        <w:bottom w:val="none" w:sz="0" w:space="0" w:color="auto"/>
        <w:right w:val="none" w:sz="0" w:space="0" w:color="auto"/>
      </w:divBdr>
    </w:div>
    <w:div w:id="960067390">
      <w:bodyDiv w:val="1"/>
      <w:marLeft w:val="0"/>
      <w:marRight w:val="0"/>
      <w:marTop w:val="0"/>
      <w:marBottom w:val="0"/>
      <w:divBdr>
        <w:top w:val="none" w:sz="0" w:space="0" w:color="auto"/>
        <w:left w:val="none" w:sz="0" w:space="0" w:color="auto"/>
        <w:bottom w:val="none" w:sz="0" w:space="0" w:color="auto"/>
        <w:right w:val="none" w:sz="0" w:space="0" w:color="auto"/>
      </w:divBdr>
    </w:div>
    <w:div w:id="986666938">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97408104">
      <w:bodyDiv w:val="1"/>
      <w:marLeft w:val="0"/>
      <w:marRight w:val="0"/>
      <w:marTop w:val="0"/>
      <w:marBottom w:val="0"/>
      <w:divBdr>
        <w:top w:val="none" w:sz="0" w:space="0" w:color="auto"/>
        <w:left w:val="none" w:sz="0" w:space="0" w:color="auto"/>
        <w:bottom w:val="none" w:sz="0" w:space="0" w:color="auto"/>
        <w:right w:val="none" w:sz="0" w:space="0" w:color="auto"/>
      </w:divBdr>
    </w:div>
    <w:div w:id="1147551596">
      <w:bodyDiv w:val="1"/>
      <w:marLeft w:val="0"/>
      <w:marRight w:val="0"/>
      <w:marTop w:val="0"/>
      <w:marBottom w:val="0"/>
      <w:divBdr>
        <w:top w:val="none" w:sz="0" w:space="0" w:color="auto"/>
        <w:left w:val="none" w:sz="0" w:space="0" w:color="auto"/>
        <w:bottom w:val="none" w:sz="0" w:space="0" w:color="auto"/>
        <w:right w:val="none" w:sz="0" w:space="0" w:color="auto"/>
      </w:divBdr>
      <w:divsChild>
        <w:div w:id="447701881">
          <w:marLeft w:val="0"/>
          <w:marRight w:val="0"/>
          <w:marTop w:val="0"/>
          <w:marBottom w:val="0"/>
          <w:divBdr>
            <w:top w:val="none" w:sz="0" w:space="0" w:color="auto"/>
            <w:left w:val="none" w:sz="0" w:space="0" w:color="auto"/>
            <w:bottom w:val="none" w:sz="0" w:space="0" w:color="auto"/>
            <w:right w:val="none" w:sz="0" w:space="0" w:color="auto"/>
          </w:divBdr>
          <w:divsChild>
            <w:div w:id="1651204183">
              <w:marLeft w:val="0"/>
              <w:marRight w:val="0"/>
              <w:marTop w:val="0"/>
              <w:marBottom w:val="0"/>
              <w:divBdr>
                <w:top w:val="none" w:sz="0" w:space="0" w:color="auto"/>
                <w:left w:val="none" w:sz="0" w:space="0" w:color="auto"/>
                <w:bottom w:val="none" w:sz="0" w:space="0" w:color="auto"/>
                <w:right w:val="none" w:sz="0" w:space="0" w:color="auto"/>
              </w:divBdr>
              <w:divsChild>
                <w:div w:id="1343816545">
                  <w:marLeft w:val="0"/>
                  <w:marRight w:val="0"/>
                  <w:marTop w:val="0"/>
                  <w:marBottom w:val="0"/>
                  <w:divBdr>
                    <w:top w:val="none" w:sz="0" w:space="0" w:color="auto"/>
                    <w:left w:val="none" w:sz="0" w:space="0" w:color="auto"/>
                    <w:bottom w:val="none" w:sz="0" w:space="0" w:color="auto"/>
                    <w:right w:val="none" w:sz="0" w:space="0" w:color="auto"/>
                  </w:divBdr>
                  <w:divsChild>
                    <w:div w:id="1177774301">
                      <w:marLeft w:val="0"/>
                      <w:marRight w:val="0"/>
                      <w:marTop w:val="0"/>
                      <w:marBottom w:val="0"/>
                      <w:divBdr>
                        <w:top w:val="none" w:sz="0" w:space="0" w:color="auto"/>
                        <w:left w:val="none" w:sz="0" w:space="0" w:color="auto"/>
                        <w:bottom w:val="none" w:sz="0" w:space="0" w:color="auto"/>
                        <w:right w:val="none" w:sz="0" w:space="0" w:color="auto"/>
                      </w:divBdr>
                      <w:divsChild>
                        <w:div w:id="1297251709">
                          <w:marLeft w:val="0"/>
                          <w:marRight w:val="0"/>
                          <w:marTop w:val="0"/>
                          <w:marBottom w:val="0"/>
                          <w:divBdr>
                            <w:top w:val="none" w:sz="0" w:space="0" w:color="auto"/>
                            <w:left w:val="none" w:sz="0" w:space="0" w:color="auto"/>
                            <w:bottom w:val="none" w:sz="0" w:space="0" w:color="auto"/>
                            <w:right w:val="none" w:sz="0" w:space="0" w:color="auto"/>
                          </w:divBdr>
                        </w:div>
                      </w:divsChild>
                    </w:div>
                    <w:div w:id="239826818">
                      <w:marLeft w:val="0"/>
                      <w:marRight w:val="0"/>
                      <w:marTop w:val="0"/>
                      <w:marBottom w:val="0"/>
                      <w:divBdr>
                        <w:top w:val="none" w:sz="0" w:space="0" w:color="auto"/>
                        <w:left w:val="none" w:sz="0" w:space="0" w:color="auto"/>
                        <w:bottom w:val="none" w:sz="0" w:space="0" w:color="auto"/>
                        <w:right w:val="none" w:sz="0" w:space="0" w:color="auto"/>
                      </w:divBdr>
                      <w:divsChild>
                        <w:div w:id="330447966">
                          <w:marLeft w:val="0"/>
                          <w:marRight w:val="0"/>
                          <w:marTop w:val="0"/>
                          <w:marBottom w:val="0"/>
                          <w:divBdr>
                            <w:top w:val="none" w:sz="0" w:space="0" w:color="auto"/>
                            <w:left w:val="none" w:sz="0" w:space="0" w:color="auto"/>
                            <w:bottom w:val="none" w:sz="0" w:space="0" w:color="auto"/>
                            <w:right w:val="none" w:sz="0" w:space="0" w:color="auto"/>
                          </w:divBdr>
                        </w:div>
                      </w:divsChild>
                    </w:div>
                    <w:div w:id="461774774">
                      <w:marLeft w:val="0"/>
                      <w:marRight w:val="0"/>
                      <w:marTop w:val="0"/>
                      <w:marBottom w:val="0"/>
                      <w:divBdr>
                        <w:top w:val="none" w:sz="0" w:space="0" w:color="auto"/>
                        <w:left w:val="none" w:sz="0" w:space="0" w:color="auto"/>
                        <w:bottom w:val="none" w:sz="0" w:space="0" w:color="auto"/>
                        <w:right w:val="none" w:sz="0" w:space="0" w:color="auto"/>
                      </w:divBdr>
                      <w:divsChild>
                        <w:div w:id="1761215993">
                          <w:marLeft w:val="0"/>
                          <w:marRight w:val="0"/>
                          <w:marTop w:val="0"/>
                          <w:marBottom w:val="0"/>
                          <w:divBdr>
                            <w:top w:val="none" w:sz="0" w:space="0" w:color="auto"/>
                            <w:left w:val="none" w:sz="0" w:space="0" w:color="auto"/>
                            <w:bottom w:val="none" w:sz="0" w:space="0" w:color="auto"/>
                            <w:right w:val="none" w:sz="0" w:space="0" w:color="auto"/>
                          </w:divBdr>
                        </w:div>
                      </w:divsChild>
                    </w:div>
                    <w:div w:id="1646858427">
                      <w:marLeft w:val="0"/>
                      <w:marRight w:val="0"/>
                      <w:marTop w:val="0"/>
                      <w:marBottom w:val="0"/>
                      <w:divBdr>
                        <w:top w:val="none" w:sz="0" w:space="0" w:color="auto"/>
                        <w:left w:val="none" w:sz="0" w:space="0" w:color="auto"/>
                        <w:bottom w:val="none" w:sz="0" w:space="0" w:color="auto"/>
                        <w:right w:val="none" w:sz="0" w:space="0" w:color="auto"/>
                      </w:divBdr>
                      <w:divsChild>
                        <w:div w:id="161817275">
                          <w:marLeft w:val="0"/>
                          <w:marRight w:val="0"/>
                          <w:marTop w:val="0"/>
                          <w:marBottom w:val="0"/>
                          <w:divBdr>
                            <w:top w:val="none" w:sz="0" w:space="0" w:color="auto"/>
                            <w:left w:val="none" w:sz="0" w:space="0" w:color="auto"/>
                            <w:bottom w:val="none" w:sz="0" w:space="0" w:color="auto"/>
                            <w:right w:val="none" w:sz="0" w:space="0" w:color="auto"/>
                          </w:divBdr>
                        </w:div>
                      </w:divsChild>
                    </w:div>
                    <w:div w:id="1403718951">
                      <w:marLeft w:val="0"/>
                      <w:marRight w:val="0"/>
                      <w:marTop w:val="0"/>
                      <w:marBottom w:val="0"/>
                      <w:divBdr>
                        <w:top w:val="none" w:sz="0" w:space="0" w:color="auto"/>
                        <w:left w:val="none" w:sz="0" w:space="0" w:color="auto"/>
                        <w:bottom w:val="none" w:sz="0" w:space="0" w:color="auto"/>
                        <w:right w:val="none" w:sz="0" w:space="0" w:color="auto"/>
                      </w:divBdr>
                      <w:divsChild>
                        <w:div w:id="13956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84709525">
      <w:bodyDiv w:val="1"/>
      <w:marLeft w:val="0"/>
      <w:marRight w:val="0"/>
      <w:marTop w:val="0"/>
      <w:marBottom w:val="0"/>
      <w:divBdr>
        <w:top w:val="none" w:sz="0" w:space="0" w:color="auto"/>
        <w:left w:val="none" w:sz="0" w:space="0" w:color="auto"/>
        <w:bottom w:val="none" w:sz="0" w:space="0" w:color="auto"/>
        <w:right w:val="none" w:sz="0" w:space="0" w:color="auto"/>
      </w:divBdr>
    </w:div>
    <w:div w:id="1288121486">
      <w:bodyDiv w:val="1"/>
      <w:marLeft w:val="0"/>
      <w:marRight w:val="0"/>
      <w:marTop w:val="0"/>
      <w:marBottom w:val="0"/>
      <w:divBdr>
        <w:top w:val="none" w:sz="0" w:space="0" w:color="auto"/>
        <w:left w:val="none" w:sz="0" w:space="0" w:color="auto"/>
        <w:bottom w:val="none" w:sz="0" w:space="0" w:color="auto"/>
        <w:right w:val="none" w:sz="0" w:space="0" w:color="auto"/>
      </w:divBdr>
    </w:div>
    <w:div w:id="1339621488">
      <w:bodyDiv w:val="1"/>
      <w:marLeft w:val="0"/>
      <w:marRight w:val="0"/>
      <w:marTop w:val="0"/>
      <w:marBottom w:val="0"/>
      <w:divBdr>
        <w:top w:val="none" w:sz="0" w:space="0" w:color="auto"/>
        <w:left w:val="none" w:sz="0" w:space="0" w:color="auto"/>
        <w:bottom w:val="none" w:sz="0" w:space="0" w:color="auto"/>
        <w:right w:val="none" w:sz="0" w:space="0" w:color="auto"/>
      </w:divBdr>
    </w:div>
    <w:div w:id="1380089040">
      <w:bodyDiv w:val="1"/>
      <w:marLeft w:val="0"/>
      <w:marRight w:val="0"/>
      <w:marTop w:val="0"/>
      <w:marBottom w:val="0"/>
      <w:divBdr>
        <w:top w:val="none" w:sz="0" w:space="0" w:color="auto"/>
        <w:left w:val="none" w:sz="0" w:space="0" w:color="auto"/>
        <w:bottom w:val="none" w:sz="0" w:space="0" w:color="auto"/>
        <w:right w:val="none" w:sz="0" w:space="0" w:color="auto"/>
      </w:divBdr>
    </w:div>
    <w:div w:id="1407023878">
      <w:bodyDiv w:val="1"/>
      <w:marLeft w:val="0"/>
      <w:marRight w:val="0"/>
      <w:marTop w:val="0"/>
      <w:marBottom w:val="0"/>
      <w:divBdr>
        <w:top w:val="none" w:sz="0" w:space="0" w:color="auto"/>
        <w:left w:val="none" w:sz="0" w:space="0" w:color="auto"/>
        <w:bottom w:val="none" w:sz="0" w:space="0" w:color="auto"/>
        <w:right w:val="none" w:sz="0" w:space="0" w:color="auto"/>
      </w:divBdr>
    </w:div>
    <w:div w:id="1422219626">
      <w:bodyDiv w:val="1"/>
      <w:marLeft w:val="0"/>
      <w:marRight w:val="0"/>
      <w:marTop w:val="0"/>
      <w:marBottom w:val="0"/>
      <w:divBdr>
        <w:top w:val="none" w:sz="0" w:space="0" w:color="auto"/>
        <w:left w:val="none" w:sz="0" w:space="0" w:color="auto"/>
        <w:bottom w:val="none" w:sz="0" w:space="0" w:color="auto"/>
        <w:right w:val="none" w:sz="0" w:space="0" w:color="auto"/>
      </w:divBdr>
    </w:div>
    <w:div w:id="1439985186">
      <w:bodyDiv w:val="1"/>
      <w:marLeft w:val="0"/>
      <w:marRight w:val="0"/>
      <w:marTop w:val="0"/>
      <w:marBottom w:val="0"/>
      <w:divBdr>
        <w:top w:val="none" w:sz="0" w:space="0" w:color="auto"/>
        <w:left w:val="none" w:sz="0" w:space="0" w:color="auto"/>
        <w:bottom w:val="none" w:sz="0" w:space="0" w:color="auto"/>
        <w:right w:val="none" w:sz="0" w:space="0" w:color="auto"/>
      </w:divBdr>
    </w:div>
    <w:div w:id="1453477818">
      <w:bodyDiv w:val="1"/>
      <w:marLeft w:val="0"/>
      <w:marRight w:val="0"/>
      <w:marTop w:val="0"/>
      <w:marBottom w:val="0"/>
      <w:divBdr>
        <w:top w:val="none" w:sz="0" w:space="0" w:color="auto"/>
        <w:left w:val="none" w:sz="0" w:space="0" w:color="auto"/>
        <w:bottom w:val="none" w:sz="0" w:space="0" w:color="auto"/>
        <w:right w:val="none" w:sz="0" w:space="0" w:color="auto"/>
      </w:divBdr>
    </w:div>
    <w:div w:id="1537615568">
      <w:bodyDiv w:val="1"/>
      <w:marLeft w:val="0"/>
      <w:marRight w:val="0"/>
      <w:marTop w:val="0"/>
      <w:marBottom w:val="0"/>
      <w:divBdr>
        <w:top w:val="none" w:sz="0" w:space="0" w:color="auto"/>
        <w:left w:val="none" w:sz="0" w:space="0" w:color="auto"/>
        <w:bottom w:val="none" w:sz="0" w:space="0" w:color="auto"/>
        <w:right w:val="none" w:sz="0" w:space="0" w:color="auto"/>
      </w:divBdr>
      <w:divsChild>
        <w:div w:id="1899050333">
          <w:marLeft w:val="0"/>
          <w:marRight w:val="0"/>
          <w:marTop w:val="0"/>
          <w:marBottom w:val="0"/>
          <w:divBdr>
            <w:top w:val="none" w:sz="0" w:space="0" w:color="auto"/>
            <w:left w:val="none" w:sz="0" w:space="0" w:color="auto"/>
            <w:bottom w:val="none" w:sz="0" w:space="0" w:color="auto"/>
            <w:right w:val="none" w:sz="0" w:space="0" w:color="auto"/>
          </w:divBdr>
          <w:divsChild>
            <w:div w:id="195123276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 w:id="1556888809">
      <w:bodyDiv w:val="1"/>
      <w:marLeft w:val="0"/>
      <w:marRight w:val="0"/>
      <w:marTop w:val="0"/>
      <w:marBottom w:val="0"/>
      <w:divBdr>
        <w:top w:val="none" w:sz="0" w:space="0" w:color="auto"/>
        <w:left w:val="none" w:sz="0" w:space="0" w:color="auto"/>
        <w:bottom w:val="none" w:sz="0" w:space="0" w:color="auto"/>
        <w:right w:val="none" w:sz="0" w:space="0" w:color="auto"/>
      </w:divBdr>
    </w:div>
    <w:div w:id="1559514183">
      <w:bodyDiv w:val="1"/>
      <w:marLeft w:val="0"/>
      <w:marRight w:val="0"/>
      <w:marTop w:val="0"/>
      <w:marBottom w:val="0"/>
      <w:divBdr>
        <w:top w:val="none" w:sz="0" w:space="0" w:color="auto"/>
        <w:left w:val="none" w:sz="0" w:space="0" w:color="auto"/>
        <w:bottom w:val="none" w:sz="0" w:space="0" w:color="auto"/>
        <w:right w:val="none" w:sz="0" w:space="0" w:color="auto"/>
      </w:divBdr>
    </w:div>
    <w:div w:id="1641691738">
      <w:bodyDiv w:val="1"/>
      <w:marLeft w:val="0"/>
      <w:marRight w:val="0"/>
      <w:marTop w:val="0"/>
      <w:marBottom w:val="0"/>
      <w:divBdr>
        <w:top w:val="none" w:sz="0" w:space="0" w:color="auto"/>
        <w:left w:val="none" w:sz="0" w:space="0" w:color="auto"/>
        <w:bottom w:val="none" w:sz="0" w:space="0" w:color="auto"/>
        <w:right w:val="none" w:sz="0" w:space="0" w:color="auto"/>
      </w:divBdr>
    </w:div>
    <w:div w:id="1657605344">
      <w:bodyDiv w:val="1"/>
      <w:marLeft w:val="0"/>
      <w:marRight w:val="0"/>
      <w:marTop w:val="0"/>
      <w:marBottom w:val="0"/>
      <w:divBdr>
        <w:top w:val="none" w:sz="0" w:space="0" w:color="auto"/>
        <w:left w:val="none" w:sz="0" w:space="0" w:color="auto"/>
        <w:bottom w:val="none" w:sz="0" w:space="0" w:color="auto"/>
        <w:right w:val="none" w:sz="0" w:space="0" w:color="auto"/>
      </w:divBdr>
    </w:div>
    <w:div w:id="1661154351">
      <w:bodyDiv w:val="1"/>
      <w:marLeft w:val="0"/>
      <w:marRight w:val="0"/>
      <w:marTop w:val="0"/>
      <w:marBottom w:val="0"/>
      <w:divBdr>
        <w:top w:val="none" w:sz="0" w:space="0" w:color="auto"/>
        <w:left w:val="none" w:sz="0" w:space="0" w:color="auto"/>
        <w:bottom w:val="none" w:sz="0" w:space="0" w:color="auto"/>
        <w:right w:val="none" w:sz="0" w:space="0" w:color="auto"/>
      </w:divBdr>
    </w:div>
    <w:div w:id="1762870797">
      <w:bodyDiv w:val="1"/>
      <w:marLeft w:val="0"/>
      <w:marRight w:val="0"/>
      <w:marTop w:val="0"/>
      <w:marBottom w:val="0"/>
      <w:divBdr>
        <w:top w:val="none" w:sz="0" w:space="0" w:color="auto"/>
        <w:left w:val="none" w:sz="0" w:space="0" w:color="auto"/>
        <w:bottom w:val="none" w:sz="0" w:space="0" w:color="auto"/>
        <w:right w:val="none" w:sz="0" w:space="0" w:color="auto"/>
      </w:divBdr>
      <w:divsChild>
        <w:div w:id="1100183032">
          <w:marLeft w:val="0"/>
          <w:marRight w:val="0"/>
          <w:marTop w:val="0"/>
          <w:marBottom w:val="0"/>
          <w:divBdr>
            <w:top w:val="none" w:sz="0" w:space="0" w:color="auto"/>
            <w:left w:val="none" w:sz="0" w:space="0" w:color="auto"/>
            <w:bottom w:val="none" w:sz="0" w:space="0" w:color="auto"/>
            <w:right w:val="none" w:sz="0" w:space="0" w:color="auto"/>
          </w:divBdr>
          <w:divsChild>
            <w:div w:id="1213927370">
              <w:marLeft w:val="0"/>
              <w:marRight w:val="0"/>
              <w:marTop w:val="210"/>
              <w:marBottom w:val="0"/>
              <w:divBdr>
                <w:top w:val="none" w:sz="0" w:space="0" w:color="auto"/>
                <w:left w:val="none" w:sz="0" w:space="0" w:color="auto"/>
                <w:bottom w:val="none" w:sz="0" w:space="0" w:color="auto"/>
                <w:right w:val="none" w:sz="0" w:space="0" w:color="auto"/>
              </w:divBdr>
              <w:divsChild>
                <w:div w:id="927932603">
                  <w:marLeft w:val="0"/>
                  <w:marRight w:val="0"/>
                  <w:marTop w:val="0"/>
                  <w:marBottom w:val="0"/>
                  <w:divBdr>
                    <w:top w:val="none" w:sz="0" w:space="0" w:color="auto"/>
                    <w:left w:val="none" w:sz="0" w:space="0" w:color="auto"/>
                    <w:bottom w:val="none" w:sz="0" w:space="0" w:color="auto"/>
                    <w:right w:val="none" w:sz="0" w:space="0" w:color="auto"/>
                  </w:divBdr>
                  <w:divsChild>
                    <w:div w:id="1434864770">
                      <w:marLeft w:val="0"/>
                      <w:marRight w:val="0"/>
                      <w:marTop w:val="0"/>
                      <w:marBottom w:val="600"/>
                      <w:divBdr>
                        <w:top w:val="none" w:sz="0" w:space="0" w:color="auto"/>
                        <w:left w:val="none" w:sz="0" w:space="0" w:color="auto"/>
                        <w:bottom w:val="none" w:sz="0" w:space="0" w:color="auto"/>
                        <w:right w:val="none" w:sz="0" w:space="0" w:color="auto"/>
                      </w:divBdr>
                      <w:divsChild>
                        <w:div w:id="176429076">
                          <w:marLeft w:val="0"/>
                          <w:marRight w:val="0"/>
                          <w:marTop w:val="0"/>
                          <w:marBottom w:val="0"/>
                          <w:divBdr>
                            <w:top w:val="none" w:sz="0" w:space="0" w:color="auto"/>
                            <w:left w:val="none" w:sz="0" w:space="0" w:color="auto"/>
                            <w:bottom w:val="none" w:sz="0" w:space="0" w:color="auto"/>
                            <w:right w:val="none" w:sz="0" w:space="0" w:color="auto"/>
                          </w:divBdr>
                          <w:divsChild>
                            <w:div w:id="188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451225">
      <w:bodyDiv w:val="1"/>
      <w:marLeft w:val="0"/>
      <w:marRight w:val="0"/>
      <w:marTop w:val="0"/>
      <w:marBottom w:val="0"/>
      <w:divBdr>
        <w:top w:val="none" w:sz="0" w:space="0" w:color="auto"/>
        <w:left w:val="none" w:sz="0" w:space="0" w:color="auto"/>
        <w:bottom w:val="none" w:sz="0" w:space="0" w:color="auto"/>
        <w:right w:val="none" w:sz="0" w:space="0" w:color="auto"/>
      </w:divBdr>
    </w:div>
    <w:div w:id="2015649993">
      <w:bodyDiv w:val="1"/>
      <w:marLeft w:val="0"/>
      <w:marRight w:val="0"/>
      <w:marTop w:val="0"/>
      <w:marBottom w:val="0"/>
      <w:divBdr>
        <w:top w:val="none" w:sz="0" w:space="0" w:color="auto"/>
        <w:left w:val="none" w:sz="0" w:space="0" w:color="auto"/>
        <w:bottom w:val="none" w:sz="0" w:space="0" w:color="auto"/>
        <w:right w:val="none" w:sz="0" w:space="0" w:color="auto"/>
      </w:divBdr>
    </w:div>
    <w:div w:id="2056346230">
      <w:bodyDiv w:val="1"/>
      <w:marLeft w:val="0"/>
      <w:marRight w:val="0"/>
      <w:marTop w:val="0"/>
      <w:marBottom w:val="0"/>
      <w:divBdr>
        <w:top w:val="none" w:sz="0" w:space="0" w:color="auto"/>
        <w:left w:val="none" w:sz="0" w:space="0" w:color="auto"/>
        <w:bottom w:val="none" w:sz="0" w:space="0" w:color="auto"/>
        <w:right w:val="none" w:sz="0" w:space="0" w:color="auto"/>
      </w:divBdr>
    </w:div>
    <w:div w:id="2060666125">
      <w:bodyDiv w:val="1"/>
      <w:marLeft w:val="0"/>
      <w:marRight w:val="0"/>
      <w:marTop w:val="0"/>
      <w:marBottom w:val="0"/>
      <w:divBdr>
        <w:top w:val="none" w:sz="0" w:space="0" w:color="auto"/>
        <w:left w:val="none" w:sz="0" w:space="0" w:color="auto"/>
        <w:bottom w:val="none" w:sz="0" w:space="0" w:color="auto"/>
        <w:right w:val="none" w:sz="0" w:space="0" w:color="auto"/>
      </w:divBdr>
    </w:div>
    <w:div w:id="2108230327">
      <w:bodyDiv w:val="1"/>
      <w:marLeft w:val="0"/>
      <w:marRight w:val="0"/>
      <w:marTop w:val="0"/>
      <w:marBottom w:val="0"/>
      <w:divBdr>
        <w:top w:val="none" w:sz="0" w:space="0" w:color="auto"/>
        <w:left w:val="none" w:sz="0" w:space="0" w:color="auto"/>
        <w:bottom w:val="none" w:sz="0" w:space="0" w:color="auto"/>
        <w:right w:val="none" w:sz="0" w:space="0" w:color="auto"/>
      </w:divBdr>
      <w:divsChild>
        <w:div w:id="496501867">
          <w:marLeft w:val="0"/>
          <w:marRight w:val="0"/>
          <w:marTop w:val="0"/>
          <w:marBottom w:val="0"/>
          <w:divBdr>
            <w:top w:val="none" w:sz="0" w:space="0" w:color="auto"/>
            <w:left w:val="none" w:sz="0" w:space="0" w:color="auto"/>
            <w:bottom w:val="none" w:sz="0" w:space="0" w:color="auto"/>
            <w:right w:val="none" w:sz="0" w:space="0" w:color="auto"/>
          </w:divBdr>
          <w:divsChild>
            <w:div w:id="888608580">
              <w:marLeft w:val="0"/>
              <w:marRight w:val="0"/>
              <w:marTop w:val="0"/>
              <w:marBottom w:val="0"/>
              <w:divBdr>
                <w:top w:val="none" w:sz="0" w:space="0" w:color="auto"/>
                <w:left w:val="none" w:sz="0" w:space="0" w:color="auto"/>
                <w:bottom w:val="none" w:sz="0" w:space="0" w:color="auto"/>
                <w:right w:val="none" w:sz="0" w:space="0" w:color="auto"/>
              </w:divBdr>
              <w:divsChild>
                <w:div w:id="1116830303">
                  <w:marLeft w:val="0"/>
                  <w:marRight w:val="0"/>
                  <w:marTop w:val="0"/>
                  <w:marBottom w:val="0"/>
                  <w:divBdr>
                    <w:top w:val="none" w:sz="0" w:space="0" w:color="auto"/>
                    <w:left w:val="none" w:sz="0" w:space="0" w:color="auto"/>
                    <w:bottom w:val="none" w:sz="0" w:space="0" w:color="auto"/>
                    <w:right w:val="none" w:sz="0" w:space="0" w:color="auto"/>
                  </w:divBdr>
                  <w:divsChild>
                    <w:div w:id="1923100593">
                      <w:marLeft w:val="0"/>
                      <w:marRight w:val="0"/>
                      <w:marTop w:val="0"/>
                      <w:marBottom w:val="0"/>
                      <w:divBdr>
                        <w:top w:val="none" w:sz="0" w:space="0" w:color="auto"/>
                        <w:left w:val="none" w:sz="0" w:space="0" w:color="auto"/>
                        <w:bottom w:val="none" w:sz="0" w:space="0" w:color="auto"/>
                        <w:right w:val="none" w:sz="0" w:space="0" w:color="auto"/>
                      </w:divBdr>
                      <w:divsChild>
                        <w:div w:id="1773092394">
                          <w:marLeft w:val="0"/>
                          <w:marRight w:val="0"/>
                          <w:marTop w:val="0"/>
                          <w:marBottom w:val="0"/>
                          <w:divBdr>
                            <w:top w:val="none" w:sz="0" w:space="0" w:color="auto"/>
                            <w:left w:val="none" w:sz="0" w:space="0" w:color="auto"/>
                            <w:bottom w:val="none" w:sz="0" w:space="0" w:color="auto"/>
                            <w:right w:val="none" w:sz="0" w:space="0" w:color="auto"/>
                          </w:divBdr>
                          <w:divsChild>
                            <w:div w:id="1369796438">
                              <w:marLeft w:val="0"/>
                              <w:marRight w:val="0"/>
                              <w:marTop w:val="0"/>
                              <w:marBottom w:val="0"/>
                              <w:divBdr>
                                <w:top w:val="none" w:sz="0" w:space="0" w:color="auto"/>
                                <w:left w:val="none" w:sz="0" w:space="0" w:color="auto"/>
                                <w:bottom w:val="none" w:sz="0" w:space="0" w:color="auto"/>
                                <w:right w:val="none" w:sz="0" w:space="0" w:color="auto"/>
                              </w:divBdr>
                              <w:divsChild>
                                <w:div w:id="1363674888">
                                  <w:marLeft w:val="0"/>
                                  <w:marRight w:val="0"/>
                                  <w:marTop w:val="0"/>
                                  <w:marBottom w:val="0"/>
                                  <w:divBdr>
                                    <w:top w:val="none" w:sz="0" w:space="0" w:color="auto"/>
                                    <w:left w:val="none" w:sz="0" w:space="0" w:color="auto"/>
                                    <w:bottom w:val="none" w:sz="0" w:space="0" w:color="auto"/>
                                    <w:right w:val="none" w:sz="0" w:space="0" w:color="auto"/>
                                  </w:divBdr>
                                  <w:divsChild>
                                    <w:div w:id="1167016623">
                                      <w:marLeft w:val="0"/>
                                      <w:marRight w:val="0"/>
                                      <w:marTop w:val="0"/>
                                      <w:marBottom w:val="0"/>
                                      <w:divBdr>
                                        <w:top w:val="none" w:sz="0" w:space="0" w:color="auto"/>
                                        <w:left w:val="none" w:sz="0" w:space="0" w:color="auto"/>
                                        <w:bottom w:val="none" w:sz="0" w:space="0" w:color="auto"/>
                                        <w:right w:val="none" w:sz="0" w:space="0" w:color="auto"/>
                                      </w:divBdr>
                                      <w:divsChild>
                                        <w:div w:id="1487165555">
                                          <w:marLeft w:val="0"/>
                                          <w:marRight w:val="0"/>
                                          <w:marTop w:val="0"/>
                                          <w:marBottom w:val="0"/>
                                          <w:divBdr>
                                            <w:top w:val="none" w:sz="0" w:space="0" w:color="auto"/>
                                            <w:left w:val="none" w:sz="0" w:space="0" w:color="auto"/>
                                            <w:bottom w:val="none" w:sz="0" w:space="0" w:color="auto"/>
                                            <w:right w:val="none" w:sz="0" w:space="0" w:color="auto"/>
                                          </w:divBdr>
                                          <w:divsChild>
                                            <w:div w:id="1365979395">
                                              <w:marLeft w:val="0"/>
                                              <w:marRight w:val="0"/>
                                              <w:marTop w:val="0"/>
                                              <w:marBottom w:val="0"/>
                                              <w:divBdr>
                                                <w:top w:val="single" w:sz="12" w:space="2" w:color="FFFFCC"/>
                                                <w:left w:val="single" w:sz="12" w:space="2" w:color="FFFFCC"/>
                                                <w:bottom w:val="single" w:sz="12" w:space="2" w:color="FFFFCC"/>
                                                <w:right w:val="single" w:sz="12" w:space="0" w:color="FFFFCC"/>
                                              </w:divBdr>
                                              <w:divsChild>
                                                <w:div w:id="886528919">
                                                  <w:marLeft w:val="0"/>
                                                  <w:marRight w:val="0"/>
                                                  <w:marTop w:val="0"/>
                                                  <w:marBottom w:val="0"/>
                                                  <w:divBdr>
                                                    <w:top w:val="none" w:sz="0" w:space="0" w:color="auto"/>
                                                    <w:left w:val="none" w:sz="0" w:space="0" w:color="auto"/>
                                                    <w:bottom w:val="none" w:sz="0" w:space="0" w:color="auto"/>
                                                    <w:right w:val="none" w:sz="0" w:space="0" w:color="auto"/>
                                                  </w:divBdr>
                                                  <w:divsChild>
                                                    <w:div w:id="1837458944">
                                                      <w:marLeft w:val="0"/>
                                                      <w:marRight w:val="0"/>
                                                      <w:marTop w:val="0"/>
                                                      <w:marBottom w:val="0"/>
                                                      <w:divBdr>
                                                        <w:top w:val="none" w:sz="0" w:space="0" w:color="auto"/>
                                                        <w:left w:val="none" w:sz="0" w:space="0" w:color="auto"/>
                                                        <w:bottom w:val="none" w:sz="0" w:space="0" w:color="auto"/>
                                                        <w:right w:val="none" w:sz="0" w:space="0" w:color="auto"/>
                                                      </w:divBdr>
                                                      <w:divsChild>
                                                        <w:div w:id="1268275716">
                                                          <w:marLeft w:val="0"/>
                                                          <w:marRight w:val="0"/>
                                                          <w:marTop w:val="0"/>
                                                          <w:marBottom w:val="0"/>
                                                          <w:divBdr>
                                                            <w:top w:val="none" w:sz="0" w:space="0" w:color="auto"/>
                                                            <w:left w:val="none" w:sz="0" w:space="0" w:color="auto"/>
                                                            <w:bottom w:val="none" w:sz="0" w:space="0" w:color="auto"/>
                                                            <w:right w:val="none" w:sz="0" w:space="0" w:color="auto"/>
                                                          </w:divBdr>
                                                          <w:divsChild>
                                                            <w:div w:id="780221663">
                                                              <w:marLeft w:val="0"/>
                                                              <w:marRight w:val="0"/>
                                                              <w:marTop w:val="0"/>
                                                              <w:marBottom w:val="0"/>
                                                              <w:divBdr>
                                                                <w:top w:val="none" w:sz="0" w:space="0" w:color="auto"/>
                                                                <w:left w:val="none" w:sz="0" w:space="0" w:color="auto"/>
                                                                <w:bottom w:val="none" w:sz="0" w:space="0" w:color="auto"/>
                                                                <w:right w:val="none" w:sz="0" w:space="0" w:color="auto"/>
                                                              </w:divBdr>
                                                              <w:divsChild>
                                                                <w:div w:id="109663746">
                                                                  <w:marLeft w:val="0"/>
                                                                  <w:marRight w:val="0"/>
                                                                  <w:marTop w:val="0"/>
                                                                  <w:marBottom w:val="0"/>
                                                                  <w:divBdr>
                                                                    <w:top w:val="none" w:sz="0" w:space="0" w:color="auto"/>
                                                                    <w:left w:val="none" w:sz="0" w:space="0" w:color="auto"/>
                                                                    <w:bottom w:val="none" w:sz="0" w:space="0" w:color="auto"/>
                                                                    <w:right w:val="none" w:sz="0" w:space="0" w:color="auto"/>
                                                                  </w:divBdr>
                                                                  <w:divsChild>
                                                                    <w:div w:id="241916149">
                                                                      <w:marLeft w:val="0"/>
                                                                      <w:marRight w:val="0"/>
                                                                      <w:marTop w:val="0"/>
                                                                      <w:marBottom w:val="0"/>
                                                                      <w:divBdr>
                                                                        <w:top w:val="none" w:sz="0" w:space="0" w:color="auto"/>
                                                                        <w:left w:val="none" w:sz="0" w:space="0" w:color="auto"/>
                                                                        <w:bottom w:val="none" w:sz="0" w:space="0" w:color="auto"/>
                                                                        <w:right w:val="none" w:sz="0" w:space="0" w:color="auto"/>
                                                                      </w:divBdr>
                                                                      <w:divsChild>
                                                                        <w:div w:id="486284067">
                                                                          <w:marLeft w:val="0"/>
                                                                          <w:marRight w:val="0"/>
                                                                          <w:marTop w:val="0"/>
                                                                          <w:marBottom w:val="0"/>
                                                                          <w:divBdr>
                                                                            <w:top w:val="none" w:sz="0" w:space="0" w:color="auto"/>
                                                                            <w:left w:val="none" w:sz="0" w:space="0" w:color="auto"/>
                                                                            <w:bottom w:val="none" w:sz="0" w:space="0" w:color="auto"/>
                                                                            <w:right w:val="none" w:sz="0" w:space="0" w:color="auto"/>
                                                                          </w:divBdr>
                                                                          <w:divsChild>
                                                                            <w:div w:id="292446596">
                                                                              <w:marLeft w:val="0"/>
                                                                              <w:marRight w:val="0"/>
                                                                              <w:marTop w:val="0"/>
                                                                              <w:marBottom w:val="0"/>
                                                                              <w:divBdr>
                                                                                <w:top w:val="none" w:sz="0" w:space="0" w:color="auto"/>
                                                                                <w:left w:val="none" w:sz="0" w:space="0" w:color="auto"/>
                                                                                <w:bottom w:val="none" w:sz="0" w:space="0" w:color="auto"/>
                                                                                <w:right w:val="none" w:sz="0" w:space="0" w:color="auto"/>
                                                                              </w:divBdr>
                                                                              <w:divsChild>
                                                                                <w:div w:id="2068336379">
                                                                                  <w:marLeft w:val="0"/>
                                                                                  <w:marRight w:val="0"/>
                                                                                  <w:marTop w:val="0"/>
                                                                                  <w:marBottom w:val="0"/>
                                                                                  <w:divBdr>
                                                                                    <w:top w:val="none" w:sz="0" w:space="0" w:color="auto"/>
                                                                                    <w:left w:val="none" w:sz="0" w:space="0" w:color="auto"/>
                                                                                    <w:bottom w:val="none" w:sz="0" w:space="0" w:color="auto"/>
                                                                                    <w:right w:val="none" w:sz="0" w:space="0" w:color="auto"/>
                                                                                  </w:divBdr>
                                                                                  <w:divsChild>
                                                                                    <w:div w:id="1951934473">
                                                                                      <w:marLeft w:val="0"/>
                                                                                      <w:marRight w:val="0"/>
                                                                                      <w:marTop w:val="0"/>
                                                                                      <w:marBottom w:val="0"/>
                                                                                      <w:divBdr>
                                                                                        <w:top w:val="none" w:sz="0" w:space="0" w:color="auto"/>
                                                                                        <w:left w:val="none" w:sz="0" w:space="0" w:color="auto"/>
                                                                                        <w:bottom w:val="none" w:sz="0" w:space="0" w:color="auto"/>
                                                                                        <w:right w:val="none" w:sz="0" w:space="0" w:color="auto"/>
                                                                                      </w:divBdr>
                                                                                      <w:divsChild>
                                                                                        <w:div w:id="1447895519">
                                                                                          <w:marLeft w:val="0"/>
                                                                                          <w:marRight w:val="120"/>
                                                                                          <w:marTop w:val="0"/>
                                                                                          <w:marBottom w:val="150"/>
                                                                                          <w:divBdr>
                                                                                            <w:top w:val="single" w:sz="2" w:space="0" w:color="EFEFEF"/>
                                                                                            <w:left w:val="single" w:sz="6" w:space="0" w:color="EFEFEF"/>
                                                                                            <w:bottom w:val="single" w:sz="6" w:space="0" w:color="E2E2E2"/>
                                                                                            <w:right w:val="single" w:sz="6" w:space="0" w:color="EFEFEF"/>
                                                                                          </w:divBdr>
                                                                                          <w:divsChild>
                                                                                            <w:div w:id="1581594697">
                                                                                              <w:marLeft w:val="0"/>
                                                                                              <w:marRight w:val="0"/>
                                                                                              <w:marTop w:val="0"/>
                                                                                              <w:marBottom w:val="0"/>
                                                                                              <w:divBdr>
                                                                                                <w:top w:val="none" w:sz="0" w:space="0" w:color="auto"/>
                                                                                                <w:left w:val="none" w:sz="0" w:space="0" w:color="auto"/>
                                                                                                <w:bottom w:val="none" w:sz="0" w:space="0" w:color="auto"/>
                                                                                                <w:right w:val="none" w:sz="0" w:space="0" w:color="auto"/>
                                                                                              </w:divBdr>
                                                                                              <w:divsChild>
                                                                                                <w:div w:id="1895660532">
                                                                                                  <w:marLeft w:val="0"/>
                                                                                                  <w:marRight w:val="0"/>
                                                                                                  <w:marTop w:val="0"/>
                                                                                                  <w:marBottom w:val="0"/>
                                                                                                  <w:divBdr>
                                                                                                    <w:top w:val="none" w:sz="0" w:space="0" w:color="auto"/>
                                                                                                    <w:left w:val="none" w:sz="0" w:space="0" w:color="auto"/>
                                                                                                    <w:bottom w:val="none" w:sz="0" w:space="0" w:color="auto"/>
                                                                                                    <w:right w:val="none" w:sz="0" w:space="0" w:color="auto"/>
                                                                                                  </w:divBdr>
                                                                                                  <w:divsChild>
                                                                                                    <w:div w:id="802697346">
                                                                                                      <w:marLeft w:val="0"/>
                                                                                                      <w:marRight w:val="0"/>
                                                                                                      <w:marTop w:val="0"/>
                                                                                                      <w:marBottom w:val="0"/>
                                                                                                      <w:divBdr>
                                                                                                        <w:top w:val="none" w:sz="0" w:space="0" w:color="auto"/>
                                                                                                        <w:left w:val="none" w:sz="0" w:space="0" w:color="auto"/>
                                                                                                        <w:bottom w:val="none" w:sz="0" w:space="0" w:color="auto"/>
                                                                                                        <w:right w:val="none" w:sz="0" w:space="0" w:color="auto"/>
                                                                                                      </w:divBdr>
                                                                                                      <w:divsChild>
                                                                                                        <w:div w:id="884294098">
                                                                                                          <w:marLeft w:val="0"/>
                                                                                                          <w:marRight w:val="0"/>
                                                                                                          <w:marTop w:val="0"/>
                                                                                                          <w:marBottom w:val="0"/>
                                                                                                          <w:divBdr>
                                                                                                            <w:top w:val="none" w:sz="0" w:space="0" w:color="auto"/>
                                                                                                            <w:left w:val="none" w:sz="0" w:space="0" w:color="auto"/>
                                                                                                            <w:bottom w:val="none" w:sz="0" w:space="0" w:color="auto"/>
                                                                                                            <w:right w:val="none" w:sz="0" w:space="0" w:color="auto"/>
                                                                                                          </w:divBdr>
                                                                                                          <w:divsChild>
                                                                                                            <w:div w:id="238901702">
                                                                                                              <w:marLeft w:val="0"/>
                                                                                                              <w:marRight w:val="0"/>
                                                                                                              <w:marTop w:val="0"/>
                                                                                                              <w:marBottom w:val="0"/>
                                                                                                              <w:divBdr>
                                                                                                                <w:top w:val="single" w:sz="2" w:space="4" w:color="D8D8D8"/>
                                                                                                                <w:left w:val="single" w:sz="2" w:space="0" w:color="D8D8D8"/>
                                                                                                                <w:bottom w:val="single" w:sz="2" w:space="4" w:color="D8D8D8"/>
                                                                                                                <w:right w:val="single" w:sz="2" w:space="0" w:color="D8D8D8"/>
                                                                                                              </w:divBdr>
                                                                                                              <w:divsChild>
                                                                                                                <w:div w:id="1226068945">
                                                                                                                  <w:marLeft w:val="225"/>
                                                                                                                  <w:marRight w:val="225"/>
                                                                                                                  <w:marTop w:val="75"/>
                                                                                                                  <w:marBottom w:val="75"/>
                                                                                                                  <w:divBdr>
                                                                                                                    <w:top w:val="none" w:sz="0" w:space="0" w:color="auto"/>
                                                                                                                    <w:left w:val="none" w:sz="0" w:space="0" w:color="auto"/>
                                                                                                                    <w:bottom w:val="none" w:sz="0" w:space="0" w:color="auto"/>
                                                                                                                    <w:right w:val="none" w:sz="0" w:space="0" w:color="auto"/>
                                                                                                                  </w:divBdr>
                                                                                                                  <w:divsChild>
                                                                                                                    <w:div w:id="1933006472">
                                                                                                                      <w:marLeft w:val="0"/>
                                                                                                                      <w:marRight w:val="0"/>
                                                                                                                      <w:marTop w:val="0"/>
                                                                                                                      <w:marBottom w:val="0"/>
                                                                                                                      <w:divBdr>
                                                                                                                        <w:top w:val="single" w:sz="6" w:space="0" w:color="auto"/>
                                                                                                                        <w:left w:val="single" w:sz="6" w:space="0" w:color="auto"/>
                                                                                                                        <w:bottom w:val="single" w:sz="6" w:space="0" w:color="auto"/>
                                                                                                                        <w:right w:val="single" w:sz="6" w:space="0" w:color="auto"/>
                                                                                                                      </w:divBdr>
                                                                                                                      <w:divsChild>
                                                                                                                        <w:div w:id="620692847">
                                                                                                                          <w:marLeft w:val="0"/>
                                                                                                                          <w:marRight w:val="0"/>
                                                                                                                          <w:marTop w:val="0"/>
                                                                                                                          <w:marBottom w:val="0"/>
                                                                                                                          <w:divBdr>
                                                                                                                            <w:top w:val="none" w:sz="0" w:space="0" w:color="auto"/>
                                                                                                                            <w:left w:val="none" w:sz="0" w:space="0" w:color="auto"/>
                                                                                                                            <w:bottom w:val="none" w:sz="0" w:space="0" w:color="auto"/>
                                                                                                                            <w:right w:val="none" w:sz="0" w:space="0" w:color="auto"/>
                                                                                                                          </w:divBdr>
                                                                                                                          <w:divsChild>
                                                                                                                            <w:div w:id="6576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01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er.gov.au/system/files/User%20guide%20to%20the%20AER%20gas%20weekly%20report%20-%20January%202017.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er.gov.au/wholesale-markets/market-guidelines/significant-price-variation-guideline-for-victorian-declared-wholesale-mark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image" Target="media/image2.emf"/><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aer.gov.au/wholesale-markets/market-performance/significant-price-variation-report-1-october-2016-victorian-gas-marke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emo.com.au/media/Files/Other/consultations/gas/1091-0021%20pdf.pdf" TargetMode="External"/><Relationship Id="rId1" Type="http://schemas.openxmlformats.org/officeDocument/2006/relationships/hyperlink" Target="http://www.aer.gov.au/wholesale-markets/market-guidelines/significant-price-variation-guideline-for-victorian-declared-wholesale-market"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C10DBD-357F-449C-B2E9-4AAB3970A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21173F91.dotm</Template>
  <TotalTime>0</TotalTime>
  <Pages>12</Pages>
  <Words>2800</Words>
  <Characters>15963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2017-03-10T06:02:00Z</dcterms:created>
  <dcterms:modified xsi:type="dcterms:W3CDTF">2017-03-10T06:03:00Z</dcterms:modified>
</cp:coreProperties>
</file>