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rPr>
          <w:noProof/>
          <w:color w:val="FF0000"/>
          <w:highlight w:val="yellow"/>
          <w:lang w:eastAsia="en-AU"/>
        </w:rPr>
      </w:sdtEndPr>
      <w:sdtContent>
        <w:bookmarkStart w:id="0" w:name="_GoBack" w:displacedByCustomXml="prev"/>
        <w:p w:rsidR="00C7068C" w:rsidRDefault="00BC452D" w:rsidP="00C7068C">
          <w:r w:rsidRPr="00290C63">
            <w:rPr>
              <w:noProof/>
              <w:lang w:eastAsia="en-AU"/>
            </w:rPr>
            <w:drawing>
              <wp:anchor distT="0" distB="0" distL="114300" distR="114300" simplePos="0" relativeHeight="251659264" behindDoc="1" locked="0" layoutInCell="1" allowOverlap="1" wp14:anchorId="16C4CC3A" wp14:editId="16DB9CB9">
                <wp:simplePos x="0" y="0"/>
                <wp:positionH relativeFrom="column">
                  <wp:posOffset>-1137996</wp:posOffset>
                </wp:positionH>
                <wp:positionV relativeFrom="paragraph">
                  <wp:posOffset>-915035</wp:posOffset>
                </wp:positionV>
                <wp:extent cx="7796935" cy="10925175"/>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D6876" w:rsidP="00C7068C">
              <w:pPr>
                <w:pStyle w:val="ReportTitle"/>
              </w:pPr>
              <w:r>
                <w:t>Gas market significant price variation report</w:t>
              </w:r>
            </w:p>
            <w:p w:rsidR="00C7068C" w:rsidRDefault="00C7068C" w:rsidP="00C7068C">
              <w:pPr>
                <w:pStyle w:val="ReportSubtitle"/>
              </w:pPr>
            </w:p>
            <w:p w:rsidR="00C7068C" w:rsidRPr="00DB723B" w:rsidRDefault="00CD6876" w:rsidP="00C7068C">
              <w:pPr>
                <w:pStyle w:val="ReportSubtitle"/>
              </w:pPr>
              <w:r>
                <w:t>Sydney STTM</w:t>
              </w:r>
              <w:r w:rsidR="00C7068C">
                <w:t xml:space="preserve"> </w:t>
              </w:r>
              <w:r w:rsidR="008634F6">
                <w:br/>
              </w:r>
              <w:r w:rsidR="00DB3B7A">
                <w:t>7</w:t>
              </w:r>
              <w:r w:rsidR="00923169">
                <w:t xml:space="preserve"> </w:t>
              </w:r>
              <w:r w:rsidR="00DB3B7A">
                <w:t>November</w:t>
              </w:r>
              <w:r>
                <w:t xml:space="preserve"> 2016</w:t>
              </w:r>
            </w:p>
            <w:p w:rsidR="00C7068C" w:rsidRDefault="00C7068C" w:rsidP="00C7068C">
              <w:pPr>
                <w:pStyle w:val="ReportDate"/>
              </w:pPr>
            </w:p>
            <w:p w:rsidR="00C7068C" w:rsidRDefault="00C7068C" w:rsidP="00C7068C">
              <w:pPr>
                <w:pStyle w:val="ReportDate"/>
              </w:pPr>
            </w:p>
            <w:p w:rsidR="00C7068C" w:rsidRPr="00DB723B" w:rsidRDefault="002401BD" w:rsidP="00C7068C">
              <w:pPr>
                <w:pStyle w:val="ReportDate"/>
              </w:pPr>
              <w:r w:rsidRPr="00CC58CC">
                <w:t>31</w:t>
              </w:r>
              <w:r w:rsidR="000C7628" w:rsidRPr="00CC58CC">
                <w:t xml:space="preserve"> March</w:t>
              </w:r>
              <w:r w:rsidR="00C7068C" w:rsidRPr="00CC58CC">
                <w:t xml:space="preserve"> 201</w:t>
              </w:r>
              <w:r w:rsidR="00DB3B7A" w:rsidRPr="00CC58CC">
                <w:t>7</w:t>
              </w:r>
            </w:p>
            <w:p w:rsidR="00C7068C" w:rsidRPr="0015715D" w:rsidRDefault="00C7068C" w:rsidP="0015715D">
              <w:r w:rsidRPr="00DB723B">
                <w:br w:type="page"/>
              </w:r>
            </w:p>
          </w:sdtContent>
        </w:sdt>
        <w:p w:rsidR="00C7068C" w:rsidRDefault="00DB3B7A" w:rsidP="00C7068C">
          <w:pPr>
            <w:spacing w:line="240" w:lineRule="auto"/>
          </w:pPr>
          <w:r>
            <w:lastRenderedPageBreak/>
            <w:t>© Commonwealth of Australia 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90574A">
          <w:pPr>
            <w:pStyle w:val="StyleCopyrightBefore0pt"/>
            <w:numPr>
              <w:ilvl w:val="0"/>
              <w:numId w:val="22"/>
            </w:numPr>
          </w:pPr>
          <w:r>
            <w:t>the Commonwealth Coat of Arms</w:t>
          </w:r>
        </w:p>
        <w:p w:rsidR="00C7068C" w:rsidRDefault="00C7068C" w:rsidP="0090574A">
          <w:pPr>
            <w:pStyle w:val="StyleCopyrightBefore0pt"/>
            <w:numPr>
              <w:ilvl w:val="0"/>
              <w:numId w:val="22"/>
            </w:numPr>
          </w:pPr>
          <w:r>
            <w:t>the ACCC and AER logos</w:t>
          </w:r>
        </w:p>
        <w:p w:rsidR="00C7068C" w:rsidRPr="00B927D8" w:rsidRDefault="00C7068C" w:rsidP="0090574A">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AER Referenc</w:t>
          </w:r>
          <w:r w:rsidRPr="0033044A">
            <w:t xml:space="preserve">e: </w:t>
          </w:r>
          <w:r w:rsidR="00DB3B7A">
            <w:t>61776</w:t>
          </w:r>
          <w:r w:rsidR="00B93AE8">
            <w:t>-</w:t>
          </w:r>
          <w:r w:rsidR="000C7628">
            <w:rPr>
              <w:rFonts w:cs="Arial"/>
              <w:sz w:val="18"/>
              <w:szCs w:val="18"/>
            </w:rPr>
            <w:t>D17/31389</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F02D7F"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F02D7F" w:rsidRPr="00CC30E0" w:rsidRDefault="00F02D7F" w:rsidP="00F02D7F">
                <w:r w:rsidRPr="00CC30E0">
                  <w:t>1 version for publication</w:t>
                </w:r>
              </w:p>
            </w:tc>
            <w:tc>
              <w:tcPr>
                <w:tcW w:w="2906" w:type="dxa"/>
              </w:tcPr>
              <w:p w:rsidR="00F02D7F" w:rsidRPr="00CC30E0" w:rsidRDefault="00F02D7F" w:rsidP="00F02D7F">
                <w:r>
                  <w:t>31 March 2017</w:t>
                </w:r>
              </w:p>
            </w:tc>
            <w:tc>
              <w:tcPr>
                <w:tcW w:w="2888" w:type="dxa"/>
              </w:tcPr>
              <w:p w:rsidR="00F02D7F" w:rsidRPr="00CC30E0" w:rsidRDefault="00F02D7F" w:rsidP="003D7DA3">
                <w:r>
                  <w:t>1</w:t>
                </w:r>
                <w:r w:rsidR="003D7DA3">
                  <w:t>3</w:t>
                </w: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bookmarkStart w:id="1" w:name="_Toc213047617"/>
        <w:p w:rsidR="00CC58CC" w:rsidRDefault="006007DC">
          <w:pPr>
            <w:pStyle w:val="TOC1"/>
            <w:rPr>
              <w:rFonts w:asciiTheme="minorHAnsi" w:eastAsiaTheme="minorEastAsia" w:hAnsiTheme="minorHAnsi"/>
              <w:b w:val="0"/>
              <w:color w:val="auto"/>
              <w:sz w:val="22"/>
              <w:lang w:val="en-AU" w:eastAsia="en-AU"/>
            </w:rPr>
          </w:pPr>
          <w:r>
            <w:rPr>
              <w:b w:val="0"/>
            </w:rPr>
            <w:fldChar w:fldCharType="begin"/>
          </w:r>
          <w:r>
            <w:rPr>
              <w:b w:val="0"/>
            </w:rPr>
            <w:instrText xml:space="preserve"> TOC \o "1-3" \h \z \u </w:instrText>
          </w:r>
          <w:r>
            <w:rPr>
              <w:b w:val="0"/>
            </w:rPr>
            <w:fldChar w:fldCharType="separate"/>
          </w:r>
          <w:hyperlink w:anchor="_Toc478720602" w:history="1">
            <w:r w:rsidR="00CC58CC" w:rsidRPr="00A12DD0">
              <w:rPr>
                <w:rStyle w:val="Hyperlink"/>
              </w:rPr>
              <w:t>Introduction</w:t>
            </w:r>
            <w:r w:rsidR="00CC58CC">
              <w:rPr>
                <w:webHidden/>
              </w:rPr>
              <w:tab/>
            </w:r>
            <w:r w:rsidR="00CC58CC">
              <w:rPr>
                <w:webHidden/>
              </w:rPr>
              <w:tab/>
            </w:r>
            <w:r w:rsidR="00CC58CC">
              <w:rPr>
                <w:webHidden/>
              </w:rPr>
              <w:fldChar w:fldCharType="begin"/>
            </w:r>
            <w:r w:rsidR="00CC58CC">
              <w:rPr>
                <w:webHidden/>
              </w:rPr>
              <w:instrText xml:space="preserve"> PAGEREF _Toc478720602 \h </w:instrText>
            </w:r>
            <w:r w:rsidR="00CC58CC">
              <w:rPr>
                <w:webHidden/>
              </w:rPr>
            </w:r>
            <w:r w:rsidR="00CC58CC">
              <w:rPr>
                <w:webHidden/>
              </w:rPr>
              <w:fldChar w:fldCharType="separate"/>
            </w:r>
            <w:r w:rsidR="00CC58CC">
              <w:rPr>
                <w:webHidden/>
              </w:rPr>
              <w:t>4</w:t>
            </w:r>
            <w:r w:rsidR="00CC58CC">
              <w:rPr>
                <w:webHidden/>
              </w:rPr>
              <w:fldChar w:fldCharType="end"/>
            </w:r>
          </w:hyperlink>
        </w:p>
        <w:p w:rsidR="00CC58CC" w:rsidRDefault="00FE3B60">
          <w:pPr>
            <w:pStyle w:val="TOC1"/>
            <w:rPr>
              <w:rFonts w:asciiTheme="minorHAnsi" w:eastAsiaTheme="minorEastAsia" w:hAnsiTheme="minorHAnsi"/>
              <w:b w:val="0"/>
              <w:color w:val="auto"/>
              <w:sz w:val="22"/>
              <w:lang w:val="en-AU" w:eastAsia="en-AU"/>
            </w:rPr>
          </w:pPr>
          <w:hyperlink w:anchor="_Toc478720603" w:history="1">
            <w:r w:rsidR="00CC58CC" w:rsidRPr="00A12DD0">
              <w:rPr>
                <w:rStyle w:val="Hyperlink"/>
              </w:rPr>
              <w:t>Summary</w:t>
            </w:r>
            <w:r w:rsidR="00CC58CC">
              <w:rPr>
                <w:webHidden/>
              </w:rPr>
              <w:tab/>
            </w:r>
            <w:r w:rsidR="00CC58CC">
              <w:rPr>
                <w:webHidden/>
              </w:rPr>
              <w:tab/>
            </w:r>
            <w:r w:rsidR="00CC58CC">
              <w:rPr>
                <w:webHidden/>
              </w:rPr>
              <w:fldChar w:fldCharType="begin"/>
            </w:r>
            <w:r w:rsidR="00CC58CC">
              <w:rPr>
                <w:webHidden/>
              </w:rPr>
              <w:instrText xml:space="preserve"> PAGEREF _Toc478720603 \h </w:instrText>
            </w:r>
            <w:r w:rsidR="00CC58CC">
              <w:rPr>
                <w:webHidden/>
              </w:rPr>
            </w:r>
            <w:r w:rsidR="00CC58CC">
              <w:rPr>
                <w:webHidden/>
              </w:rPr>
              <w:fldChar w:fldCharType="separate"/>
            </w:r>
            <w:r w:rsidR="00CC58CC">
              <w:rPr>
                <w:webHidden/>
              </w:rPr>
              <w:t>5</w:t>
            </w:r>
            <w:r w:rsidR="00CC58CC">
              <w:rPr>
                <w:webHidden/>
              </w:rPr>
              <w:fldChar w:fldCharType="end"/>
            </w:r>
          </w:hyperlink>
        </w:p>
        <w:p w:rsidR="00CC58CC" w:rsidRDefault="00FE3B60">
          <w:pPr>
            <w:pStyle w:val="TOC1"/>
            <w:rPr>
              <w:rFonts w:asciiTheme="minorHAnsi" w:eastAsiaTheme="minorEastAsia" w:hAnsiTheme="minorHAnsi"/>
              <w:b w:val="0"/>
              <w:color w:val="auto"/>
              <w:sz w:val="22"/>
              <w:lang w:val="en-AU" w:eastAsia="en-AU"/>
            </w:rPr>
          </w:pPr>
          <w:hyperlink w:anchor="_Toc478720604" w:history="1">
            <w:r w:rsidR="00CC58CC" w:rsidRPr="00A12DD0">
              <w:rPr>
                <w:rStyle w:val="Hyperlink"/>
              </w:rPr>
              <w:t>1</w:t>
            </w:r>
            <w:r w:rsidR="00CC58CC">
              <w:rPr>
                <w:rFonts w:asciiTheme="minorHAnsi" w:eastAsiaTheme="minorEastAsia" w:hAnsiTheme="minorHAnsi"/>
                <w:b w:val="0"/>
                <w:color w:val="auto"/>
                <w:sz w:val="22"/>
                <w:lang w:val="en-AU" w:eastAsia="en-AU"/>
              </w:rPr>
              <w:tab/>
            </w:r>
            <w:r w:rsidR="00CC58CC" w:rsidRPr="00A12DD0">
              <w:rPr>
                <w:rStyle w:val="Hyperlink"/>
              </w:rPr>
              <w:t>MOS in the Sydney STTM</w:t>
            </w:r>
            <w:r w:rsidR="00CC58CC">
              <w:rPr>
                <w:webHidden/>
              </w:rPr>
              <w:tab/>
            </w:r>
            <w:r w:rsidR="00CC58CC">
              <w:rPr>
                <w:webHidden/>
              </w:rPr>
              <w:fldChar w:fldCharType="begin"/>
            </w:r>
            <w:r w:rsidR="00CC58CC">
              <w:rPr>
                <w:webHidden/>
              </w:rPr>
              <w:instrText xml:space="preserve"> PAGEREF _Toc478720604 \h </w:instrText>
            </w:r>
            <w:r w:rsidR="00CC58CC">
              <w:rPr>
                <w:webHidden/>
              </w:rPr>
            </w:r>
            <w:r w:rsidR="00CC58CC">
              <w:rPr>
                <w:webHidden/>
              </w:rPr>
              <w:fldChar w:fldCharType="separate"/>
            </w:r>
            <w:r w:rsidR="00CC58CC">
              <w:rPr>
                <w:webHidden/>
              </w:rPr>
              <w:t>6</w:t>
            </w:r>
            <w:r w:rsidR="00CC58CC">
              <w:rPr>
                <w:webHidden/>
              </w:rPr>
              <w:fldChar w:fldCharType="end"/>
            </w:r>
          </w:hyperlink>
        </w:p>
        <w:p w:rsidR="00CC58CC" w:rsidRDefault="00FE3B60">
          <w:pPr>
            <w:pStyle w:val="TOC2"/>
            <w:rPr>
              <w:rFonts w:asciiTheme="minorHAnsi" w:eastAsiaTheme="minorEastAsia" w:hAnsiTheme="minorHAnsi"/>
              <w:b w:val="0"/>
              <w:color w:val="auto"/>
              <w:sz w:val="22"/>
              <w:lang w:eastAsia="en-AU"/>
            </w:rPr>
          </w:pPr>
          <w:hyperlink w:anchor="_Toc478720605" w:history="1">
            <w:r w:rsidR="00CC58CC" w:rsidRPr="00A12DD0">
              <w:rPr>
                <w:rStyle w:val="Hyperlink"/>
              </w:rPr>
              <w:t>1.1</w:t>
            </w:r>
            <w:r w:rsidR="00CC58CC">
              <w:rPr>
                <w:rFonts w:asciiTheme="minorHAnsi" w:eastAsiaTheme="minorEastAsia" w:hAnsiTheme="minorHAnsi"/>
                <w:b w:val="0"/>
                <w:color w:val="auto"/>
                <w:sz w:val="22"/>
                <w:lang w:eastAsia="en-AU"/>
              </w:rPr>
              <w:tab/>
            </w:r>
            <w:r w:rsidR="00CC58CC" w:rsidRPr="00A12DD0">
              <w:rPr>
                <w:rStyle w:val="Hyperlink"/>
              </w:rPr>
              <w:t>The Sydney hub</w:t>
            </w:r>
            <w:r w:rsidR="00CC58CC">
              <w:rPr>
                <w:webHidden/>
              </w:rPr>
              <w:tab/>
            </w:r>
            <w:r w:rsidR="00CC58CC">
              <w:rPr>
                <w:webHidden/>
              </w:rPr>
              <w:fldChar w:fldCharType="begin"/>
            </w:r>
            <w:r w:rsidR="00CC58CC">
              <w:rPr>
                <w:webHidden/>
              </w:rPr>
              <w:instrText xml:space="preserve"> PAGEREF _Toc478720605 \h </w:instrText>
            </w:r>
            <w:r w:rsidR="00CC58CC">
              <w:rPr>
                <w:webHidden/>
              </w:rPr>
            </w:r>
            <w:r w:rsidR="00CC58CC">
              <w:rPr>
                <w:webHidden/>
              </w:rPr>
              <w:fldChar w:fldCharType="separate"/>
            </w:r>
            <w:r w:rsidR="00CC58CC">
              <w:rPr>
                <w:webHidden/>
              </w:rPr>
              <w:t>6</w:t>
            </w:r>
            <w:r w:rsidR="00CC58CC">
              <w:rPr>
                <w:webHidden/>
              </w:rPr>
              <w:fldChar w:fldCharType="end"/>
            </w:r>
          </w:hyperlink>
        </w:p>
        <w:p w:rsidR="00CC58CC" w:rsidRDefault="00FE3B60">
          <w:pPr>
            <w:pStyle w:val="TOC1"/>
            <w:rPr>
              <w:rFonts w:asciiTheme="minorHAnsi" w:eastAsiaTheme="minorEastAsia" w:hAnsiTheme="minorHAnsi"/>
              <w:b w:val="0"/>
              <w:color w:val="auto"/>
              <w:sz w:val="22"/>
              <w:lang w:val="en-AU" w:eastAsia="en-AU"/>
            </w:rPr>
          </w:pPr>
          <w:hyperlink w:anchor="_Toc478720606" w:history="1">
            <w:r w:rsidR="00CC58CC" w:rsidRPr="00A12DD0">
              <w:rPr>
                <w:rStyle w:val="Hyperlink"/>
              </w:rPr>
              <w:t>2</w:t>
            </w:r>
            <w:r w:rsidR="00CC58CC">
              <w:rPr>
                <w:rFonts w:asciiTheme="minorHAnsi" w:eastAsiaTheme="minorEastAsia" w:hAnsiTheme="minorHAnsi"/>
                <w:b w:val="0"/>
                <w:color w:val="auto"/>
                <w:sz w:val="22"/>
                <w:lang w:val="en-AU" w:eastAsia="en-AU"/>
              </w:rPr>
              <w:tab/>
            </w:r>
            <w:r w:rsidR="00CC58CC" w:rsidRPr="00A12DD0">
              <w:rPr>
                <w:rStyle w:val="Hyperlink"/>
              </w:rPr>
              <w:t>Demand over forecasting trend in Sydney</w:t>
            </w:r>
            <w:r w:rsidR="00CC58CC">
              <w:rPr>
                <w:webHidden/>
              </w:rPr>
              <w:tab/>
            </w:r>
            <w:r w:rsidR="00CC58CC">
              <w:rPr>
                <w:webHidden/>
              </w:rPr>
              <w:fldChar w:fldCharType="begin"/>
            </w:r>
            <w:r w:rsidR="00CC58CC">
              <w:rPr>
                <w:webHidden/>
              </w:rPr>
              <w:instrText xml:space="preserve"> PAGEREF _Toc478720606 \h </w:instrText>
            </w:r>
            <w:r w:rsidR="00CC58CC">
              <w:rPr>
                <w:webHidden/>
              </w:rPr>
            </w:r>
            <w:r w:rsidR="00CC58CC">
              <w:rPr>
                <w:webHidden/>
              </w:rPr>
              <w:fldChar w:fldCharType="separate"/>
            </w:r>
            <w:r w:rsidR="00CC58CC">
              <w:rPr>
                <w:webHidden/>
              </w:rPr>
              <w:t>8</w:t>
            </w:r>
            <w:r w:rsidR="00CC58CC">
              <w:rPr>
                <w:webHidden/>
              </w:rPr>
              <w:fldChar w:fldCharType="end"/>
            </w:r>
          </w:hyperlink>
        </w:p>
        <w:p w:rsidR="00CC58CC" w:rsidRDefault="00FE3B60">
          <w:pPr>
            <w:pStyle w:val="TOC1"/>
            <w:rPr>
              <w:rFonts w:asciiTheme="minorHAnsi" w:eastAsiaTheme="minorEastAsia" w:hAnsiTheme="minorHAnsi"/>
              <w:b w:val="0"/>
              <w:color w:val="auto"/>
              <w:sz w:val="22"/>
              <w:lang w:val="en-AU" w:eastAsia="en-AU"/>
            </w:rPr>
          </w:pPr>
          <w:hyperlink w:anchor="_Toc478720607" w:history="1">
            <w:r w:rsidR="00CC58CC" w:rsidRPr="00A12DD0">
              <w:rPr>
                <w:rStyle w:val="Hyperlink"/>
              </w:rPr>
              <w:t>3</w:t>
            </w:r>
            <w:r w:rsidR="00CC58CC">
              <w:rPr>
                <w:rFonts w:asciiTheme="minorHAnsi" w:eastAsiaTheme="minorEastAsia" w:hAnsiTheme="minorHAnsi"/>
                <w:b w:val="0"/>
                <w:color w:val="auto"/>
                <w:sz w:val="22"/>
                <w:lang w:val="en-AU" w:eastAsia="en-AU"/>
              </w:rPr>
              <w:tab/>
            </w:r>
            <w:r w:rsidR="00CC58CC" w:rsidRPr="00A12DD0">
              <w:rPr>
                <w:rStyle w:val="Hyperlink"/>
              </w:rPr>
              <w:t>The 7 November 2016 gas day</w:t>
            </w:r>
            <w:r w:rsidR="00CC58CC">
              <w:rPr>
                <w:webHidden/>
              </w:rPr>
              <w:tab/>
            </w:r>
            <w:r w:rsidR="00CC58CC">
              <w:rPr>
                <w:webHidden/>
              </w:rPr>
              <w:fldChar w:fldCharType="begin"/>
            </w:r>
            <w:r w:rsidR="00CC58CC">
              <w:rPr>
                <w:webHidden/>
              </w:rPr>
              <w:instrText xml:space="preserve"> PAGEREF _Toc478720607 \h </w:instrText>
            </w:r>
            <w:r w:rsidR="00CC58CC">
              <w:rPr>
                <w:webHidden/>
              </w:rPr>
            </w:r>
            <w:r w:rsidR="00CC58CC">
              <w:rPr>
                <w:webHidden/>
              </w:rPr>
              <w:fldChar w:fldCharType="separate"/>
            </w:r>
            <w:r w:rsidR="00CC58CC">
              <w:rPr>
                <w:webHidden/>
              </w:rPr>
              <w:t>9</w:t>
            </w:r>
            <w:r w:rsidR="00CC58CC">
              <w:rPr>
                <w:webHidden/>
              </w:rPr>
              <w:fldChar w:fldCharType="end"/>
            </w:r>
          </w:hyperlink>
        </w:p>
        <w:p w:rsidR="00CC58CC" w:rsidRDefault="00FE3B60">
          <w:pPr>
            <w:pStyle w:val="TOC2"/>
            <w:rPr>
              <w:rFonts w:asciiTheme="minorHAnsi" w:eastAsiaTheme="minorEastAsia" w:hAnsiTheme="minorHAnsi"/>
              <w:b w:val="0"/>
              <w:color w:val="auto"/>
              <w:sz w:val="22"/>
              <w:lang w:eastAsia="en-AU"/>
            </w:rPr>
          </w:pPr>
          <w:hyperlink w:anchor="_Toc478720608" w:history="1">
            <w:r w:rsidR="00CC58CC" w:rsidRPr="00A12DD0">
              <w:rPr>
                <w:rStyle w:val="Hyperlink"/>
              </w:rPr>
              <w:t>3.1</w:t>
            </w:r>
            <w:r w:rsidR="00CC58CC">
              <w:rPr>
                <w:rFonts w:asciiTheme="minorHAnsi" w:eastAsiaTheme="minorEastAsia" w:hAnsiTheme="minorHAnsi"/>
                <w:b w:val="0"/>
                <w:color w:val="auto"/>
                <w:sz w:val="22"/>
                <w:lang w:eastAsia="en-AU"/>
              </w:rPr>
              <w:tab/>
            </w:r>
            <w:r w:rsidR="00CC58CC" w:rsidRPr="00A12DD0">
              <w:rPr>
                <w:rStyle w:val="Hyperlink"/>
              </w:rPr>
              <w:t>Participants over forecasting demand</w:t>
            </w:r>
            <w:r w:rsidR="00CC58CC">
              <w:rPr>
                <w:webHidden/>
              </w:rPr>
              <w:tab/>
            </w:r>
            <w:r w:rsidR="00CC58CC">
              <w:rPr>
                <w:webHidden/>
              </w:rPr>
              <w:fldChar w:fldCharType="begin"/>
            </w:r>
            <w:r w:rsidR="00CC58CC">
              <w:rPr>
                <w:webHidden/>
              </w:rPr>
              <w:instrText xml:space="preserve"> PAGEREF _Toc478720608 \h </w:instrText>
            </w:r>
            <w:r w:rsidR="00CC58CC">
              <w:rPr>
                <w:webHidden/>
              </w:rPr>
            </w:r>
            <w:r w:rsidR="00CC58CC">
              <w:rPr>
                <w:webHidden/>
              </w:rPr>
              <w:fldChar w:fldCharType="separate"/>
            </w:r>
            <w:r w:rsidR="00CC58CC">
              <w:rPr>
                <w:webHidden/>
              </w:rPr>
              <w:t>9</w:t>
            </w:r>
            <w:r w:rsidR="00CC58CC">
              <w:rPr>
                <w:webHidden/>
              </w:rPr>
              <w:fldChar w:fldCharType="end"/>
            </w:r>
          </w:hyperlink>
        </w:p>
        <w:p w:rsidR="00CC58CC" w:rsidRDefault="00FE3B60">
          <w:pPr>
            <w:pStyle w:val="TOC2"/>
            <w:rPr>
              <w:rFonts w:asciiTheme="minorHAnsi" w:eastAsiaTheme="minorEastAsia" w:hAnsiTheme="minorHAnsi"/>
              <w:b w:val="0"/>
              <w:color w:val="auto"/>
              <w:sz w:val="22"/>
              <w:lang w:eastAsia="en-AU"/>
            </w:rPr>
          </w:pPr>
          <w:hyperlink w:anchor="_Toc478720609" w:history="1">
            <w:r w:rsidR="00CC58CC" w:rsidRPr="00A12DD0">
              <w:rPr>
                <w:rStyle w:val="Hyperlink"/>
              </w:rPr>
              <w:t>3.2</w:t>
            </w:r>
            <w:r w:rsidR="00CC58CC">
              <w:rPr>
                <w:rFonts w:asciiTheme="minorHAnsi" w:eastAsiaTheme="minorEastAsia" w:hAnsiTheme="minorHAnsi"/>
                <w:b w:val="0"/>
                <w:color w:val="auto"/>
                <w:sz w:val="22"/>
                <w:lang w:eastAsia="en-AU"/>
              </w:rPr>
              <w:tab/>
            </w:r>
            <w:r w:rsidR="00CC58CC" w:rsidRPr="00A12DD0">
              <w:rPr>
                <w:rStyle w:val="Hyperlink"/>
              </w:rPr>
              <w:t>Disproportionate renominations on pipelines</w:t>
            </w:r>
            <w:r w:rsidR="00CC58CC">
              <w:rPr>
                <w:webHidden/>
              </w:rPr>
              <w:tab/>
            </w:r>
            <w:r w:rsidR="00CC58CC">
              <w:rPr>
                <w:webHidden/>
              </w:rPr>
              <w:fldChar w:fldCharType="begin"/>
            </w:r>
            <w:r w:rsidR="00CC58CC">
              <w:rPr>
                <w:webHidden/>
              </w:rPr>
              <w:instrText xml:space="preserve"> PAGEREF _Toc478720609 \h </w:instrText>
            </w:r>
            <w:r w:rsidR="00CC58CC">
              <w:rPr>
                <w:webHidden/>
              </w:rPr>
            </w:r>
            <w:r w:rsidR="00CC58CC">
              <w:rPr>
                <w:webHidden/>
              </w:rPr>
              <w:fldChar w:fldCharType="separate"/>
            </w:r>
            <w:r w:rsidR="00CC58CC">
              <w:rPr>
                <w:webHidden/>
              </w:rPr>
              <w:t>10</w:t>
            </w:r>
            <w:r w:rsidR="00CC58CC">
              <w:rPr>
                <w:webHidden/>
              </w:rPr>
              <w:fldChar w:fldCharType="end"/>
            </w:r>
          </w:hyperlink>
        </w:p>
        <w:p w:rsidR="00CC58CC" w:rsidRDefault="00FE3B60">
          <w:pPr>
            <w:pStyle w:val="TOC2"/>
            <w:rPr>
              <w:rFonts w:asciiTheme="minorHAnsi" w:eastAsiaTheme="minorEastAsia" w:hAnsiTheme="minorHAnsi"/>
              <w:b w:val="0"/>
              <w:color w:val="auto"/>
              <w:sz w:val="22"/>
              <w:lang w:eastAsia="en-AU"/>
            </w:rPr>
          </w:pPr>
          <w:hyperlink w:anchor="_Toc478720610" w:history="1">
            <w:r w:rsidR="00CC58CC" w:rsidRPr="00A12DD0">
              <w:rPr>
                <w:rStyle w:val="Hyperlink"/>
              </w:rPr>
              <w:t>3.3</w:t>
            </w:r>
            <w:r w:rsidR="00CC58CC">
              <w:rPr>
                <w:rFonts w:asciiTheme="minorHAnsi" w:eastAsiaTheme="minorEastAsia" w:hAnsiTheme="minorHAnsi"/>
                <w:b w:val="0"/>
                <w:color w:val="auto"/>
                <w:sz w:val="22"/>
                <w:lang w:eastAsia="en-AU"/>
              </w:rPr>
              <w:tab/>
            </w:r>
            <w:r w:rsidR="00CC58CC" w:rsidRPr="00A12DD0">
              <w:rPr>
                <w:rStyle w:val="Hyperlink"/>
              </w:rPr>
              <w:t>Market operator service (MOS)</w:t>
            </w:r>
            <w:r w:rsidR="00CC58CC">
              <w:rPr>
                <w:webHidden/>
              </w:rPr>
              <w:tab/>
            </w:r>
            <w:r w:rsidR="00CC58CC">
              <w:rPr>
                <w:webHidden/>
              </w:rPr>
              <w:fldChar w:fldCharType="begin"/>
            </w:r>
            <w:r w:rsidR="00CC58CC">
              <w:rPr>
                <w:webHidden/>
              </w:rPr>
              <w:instrText xml:space="preserve"> PAGEREF _Toc478720610 \h </w:instrText>
            </w:r>
            <w:r w:rsidR="00CC58CC">
              <w:rPr>
                <w:webHidden/>
              </w:rPr>
            </w:r>
            <w:r w:rsidR="00CC58CC">
              <w:rPr>
                <w:webHidden/>
              </w:rPr>
              <w:fldChar w:fldCharType="separate"/>
            </w:r>
            <w:r w:rsidR="00CC58CC">
              <w:rPr>
                <w:webHidden/>
              </w:rPr>
              <w:t>10</w:t>
            </w:r>
            <w:r w:rsidR="00CC58CC">
              <w:rPr>
                <w:webHidden/>
              </w:rPr>
              <w:fldChar w:fldCharType="end"/>
            </w:r>
          </w:hyperlink>
        </w:p>
        <w:p w:rsidR="00CC58CC" w:rsidRDefault="00FE3B60">
          <w:pPr>
            <w:pStyle w:val="TOC1"/>
            <w:rPr>
              <w:rFonts w:asciiTheme="minorHAnsi" w:eastAsiaTheme="minorEastAsia" w:hAnsiTheme="minorHAnsi"/>
              <w:b w:val="0"/>
              <w:color w:val="auto"/>
              <w:sz w:val="22"/>
              <w:lang w:val="en-AU" w:eastAsia="en-AU"/>
            </w:rPr>
          </w:pPr>
          <w:hyperlink w:anchor="_Toc478720611" w:history="1">
            <w:r w:rsidR="00CC58CC" w:rsidRPr="00A12DD0">
              <w:rPr>
                <w:rStyle w:val="Hyperlink"/>
              </w:rPr>
              <w:t>Appendix A – November MOS costs</w:t>
            </w:r>
            <w:r w:rsidR="00CC58CC">
              <w:rPr>
                <w:webHidden/>
              </w:rPr>
              <w:tab/>
            </w:r>
            <w:r w:rsidR="00CC58CC">
              <w:rPr>
                <w:webHidden/>
              </w:rPr>
              <w:fldChar w:fldCharType="begin"/>
            </w:r>
            <w:r w:rsidR="00CC58CC">
              <w:rPr>
                <w:webHidden/>
              </w:rPr>
              <w:instrText xml:space="preserve"> PAGEREF _Toc478720611 \h </w:instrText>
            </w:r>
            <w:r w:rsidR="00CC58CC">
              <w:rPr>
                <w:webHidden/>
              </w:rPr>
            </w:r>
            <w:r w:rsidR="00CC58CC">
              <w:rPr>
                <w:webHidden/>
              </w:rPr>
              <w:fldChar w:fldCharType="separate"/>
            </w:r>
            <w:r w:rsidR="00CC58CC">
              <w:rPr>
                <w:webHidden/>
              </w:rPr>
              <w:t>12</w:t>
            </w:r>
            <w:r w:rsidR="00CC58CC">
              <w:rPr>
                <w:webHidden/>
              </w:rPr>
              <w:fldChar w:fldCharType="end"/>
            </w:r>
          </w:hyperlink>
        </w:p>
        <w:p w:rsidR="00CC58CC" w:rsidRDefault="00FE3B60">
          <w:pPr>
            <w:pStyle w:val="TOC1"/>
            <w:rPr>
              <w:rFonts w:asciiTheme="minorHAnsi" w:eastAsiaTheme="minorEastAsia" w:hAnsiTheme="minorHAnsi"/>
              <w:b w:val="0"/>
              <w:color w:val="auto"/>
              <w:sz w:val="22"/>
              <w:lang w:val="en-AU" w:eastAsia="en-AU"/>
            </w:rPr>
          </w:pPr>
          <w:hyperlink w:anchor="_Toc478720612" w:history="1">
            <w:r w:rsidR="00CC58CC" w:rsidRPr="00A12DD0">
              <w:rPr>
                <w:rStyle w:val="Hyperlink"/>
              </w:rPr>
              <w:t>Appendix B – AER SPV Reporting Thresholds</w:t>
            </w:r>
            <w:r w:rsidR="00CC58CC">
              <w:rPr>
                <w:webHidden/>
              </w:rPr>
              <w:tab/>
            </w:r>
            <w:r w:rsidR="00CC58CC">
              <w:rPr>
                <w:webHidden/>
              </w:rPr>
              <w:fldChar w:fldCharType="begin"/>
            </w:r>
            <w:r w:rsidR="00CC58CC">
              <w:rPr>
                <w:webHidden/>
              </w:rPr>
              <w:instrText xml:space="preserve"> PAGEREF _Toc478720612 \h </w:instrText>
            </w:r>
            <w:r w:rsidR="00CC58CC">
              <w:rPr>
                <w:webHidden/>
              </w:rPr>
            </w:r>
            <w:r w:rsidR="00CC58CC">
              <w:rPr>
                <w:webHidden/>
              </w:rPr>
              <w:fldChar w:fldCharType="separate"/>
            </w:r>
            <w:r w:rsidR="00CC58CC">
              <w:rPr>
                <w:webHidden/>
              </w:rPr>
              <w:t>13</w:t>
            </w:r>
            <w:r w:rsidR="00CC58CC">
              <w:rPr>
                <w:webHidden/>
              </w:rPr>
              <w:fldChar w:fldCharType="end"/>
            </w:r>
          </w:hyperlink>
        </w:p>
        <w:p w:rsidR="00C7068C" w:rsidRDefault="006007D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r>
            <w:rPr>
              <w:b/>
              <w:noProof/>
              <w:color w:val="70635A" w:themeColor="text2"/>
              <w:sz w:val="24"/>
              <w:lang w:val="en-US" w:eastAsia="ja-JP"/>
            </w:rPr>
            <w:fldChar w:fldCharType="end"/>
          </w:r>
        </w:p>
        <w:p w:rsidR="00747545" w:rsidRDefault="003655BA" w:rsidP="007C7952">
          <w:pPr>
            <w:pStyle w:val="Heading1"/>
            <w:numPr>
              <w:ilvl w:val="0"/>
              <w:numId w:val="0"/>
            </w:numPr>
            <w:spacing w:before="200"/>
            <w:ind w:left="432" w:hanging="432"/>
          </w:pPr>
          <w:bookmarkStart w:id="2" w:name="_Toc478720602"/>
          <w:bookmarkEnd w:id="1"/>
          <w:r>
            <w:lastRenderedPageBreak/>
            <w:t>Introduction</w:t>
          </w:r>
          <w:bookmarkEnd w:id="2"/>
        </w:p>
        <w:p w:rsidR="00C40A11" w:rsidRDefault="00881B17" w:rsidP="007C7952">
          <w:r>
            <w:t>In accordance with</w:t>
          </w:r>
          <w:r w:rsidR="00C40A11" w:rsidRPr="00C40A11">
            <w:t xml:space="preserve"> </w:t>
          </w:r>
          <w:r>
            <w:t xml:space="preserve">Rule 498(3)(b) of the </w:t>
          </w:r>
          <w:r w:rsidR="00C40A11" w:rsidRPr="00C40A11">
            <w:t>National Gas Rules</w:t>
          </w:r>
          <w:r w:rsidR="00C40A11">
            <w:t xml:space="preserve"> </w:t>
          </w:r>
          <w:r w:rsidR="00C40A11">
            <w:rPr>
              <w:b/>
            </w:rPr>
            <w:t>(NGR)</w:t>
          </w:r>
          <w:r w:rsidR="00C40A11" w:rsidRPr="00C40A11">
            <w:t xml:space="preserve">, the AER is required to publish a report whenever there is a significant price variation </w:t>
          </w:r>
          <w:r w:rsidR="00C40A11" w:rsidRPr="00EF0BB7">
            <w:rPr>
              <w:b/>
            </w:rPr>
            <w:t xml:space="preserve">(SPV) </w:t>
          </w:r>
          <w:r w:rsidR="00C40A11" w:rsidRPr="00C40A11">
            <w:t xml:space="preserve">in the Victorian </w:t>
          </w:r>
          <w:r w:rsidR="00EF0BB7">
            <w:t xml:space="preserve">wholesale </w:t>
          </w:r>
          <w:r w:rsidR="00C40A11" w:rsidRPr="00C40A11">
            <w:t xml:space="preserve">gas market or Short Term Trading Markets </w:t>
          </w:r>
          <w:r w:rsidR="00C40A11" w:rsidRPr="00881B17">
            <w:rPr>
              <w:b/>
            </w:rPr>
            <w:t>(STTM)</w:t>
          </w:r>
          <w:r w:rsidR="00C40A11">
            <w:t>.</w:t>
          </w:r>
        </w:p>
        <w:p w:rsidR="00881B17" w:rsidRDefault="00881B17" w:rsidP="007C7952">
          <w:r>
            <w:t xml:space="preserve">In 2012 the AER published a </w:t>
          </w:r>
          <w:hyperlink r:id="rId13" w:history="1">
            <w:r w:rsidRPr="002D7882">
              <w:rPr>
                <w:rStyle w:val="Hyperlink"/>
              </w:rPr>
              <w:t>guideline</w:t>
            </w:r>
          </w:hyperlink>
          <w:r>
            <w:t xml:space="preserve"> that sets out what constitutes an SPV in the STTM.</w:t>
          </w:r>
          <w:r>
            <w:rPr>
              <w:rStyle w:val="FootnoteReference"/>
            </w:rPr>
            <w:footnoteReference w:id="1"/>
          </w:r>
          <w:r>
            <w:t xml:space="preserve"> The guideline provides five different reporting thresholds, one of which is when market operator service </w:t>
          </w:r>
          <w:r>
            <w:rPr>
              <w:b/>
            </w:rPr>
            <w:t>(MOS)</w:t>
          </w:r>
          <w:r>
            <w:t xml:space="preserve"> service payments exceed $250,000.</w:t>
          </w:r>
          <w:r>
            <w:rPr>
              <w:rStyle w:val="FootnoteReference"/>
            </w:rPr>
            <w:footnoteReference w:id="2"/>
          </w:r>
          <w:r>
            <w:t xml:space="preserve"> </w:t>
          </w:r>
        </w:p>
        <w:p w:rsidR="00757E81" w:rsidRPr="007C7952" w:rsidRDefault="00881B17" w:rsidP="007C7952">
          <w:r>
            <w:t>This report details a significant price variation that occurred in the Sydney gas short term trading mark</w:t>
          </w:r>
          <w:r w:rsidRPr="00881B17">
            <w:t xml:space="preserve">et (Sydney STTM – or Sydney hub) </w:t>
          </w:r>
          <w:r w:rsidR="007D13D7">
            <w:t>on 7 November 2016</w:t>
          </w:r>
          <w:r>
            <w:t>.</w:t>
          </w:r>
          <w:r>
            <w:rPr>
              <w:rStyle w:val="FootnoteReference"/>
            </w:rPr>
            <w:footnoteReference w:id="3"/>
          </w:r>
          <w:r>
            <w:t xml:space="preserve"> On this day, the MOS service payments reached $329,793 at the Sydney hub, breaching the AER’s $250,000 reporting threshold.</w:t>
          </w:r>
          <w:bookmarkStart w:id="3" w:name="_Toc478553519"/>
        </w:p>
        <w:p w:rsidR="006E712C" w:rsidRDefault="006E712C" w:rsidP="00CC58CC">
          <w:pPr>
            <w:pStyle w:val="Heading1"/>
            <w:numPr>
              <w:ilvl w:val="0"/>
              <w:numId w:val="0"/>
            </w:numPr>
            <w:ind w:left="432" w:hanging="432"/>
          </w:pPr>
          <w:bookmarkStart w:id="4" w:name="_Toc478720603"/>
          <w:bookmarkStart w:id="5" w:name="_Toc478553989"/>
          <w:r>
            <w:lastRenderedPageBreak/>
            <w:t>Summary</w:t>
          </w:r>
          <w:bookmarkEnd w:id="4"/>
          <w:r>
            <w:t xml:space="preserve"> </w:t>
          </w:r>
        </w:p>
        <w:p w:rsidR="006E712C" w:rsidRDefault="006E712C" w:rsidP="006E712C">
          <w:r>
            <w:t xml:space="preserve">This section provides a summary of the main factors that led to the large MOS service payment. </w:t>
          </w:r>
        </w:p>
        <w:p w:rsidR="006E712C" w:rsidRDefault="006E712C" w:rsidP="006E712C">
          <w:r>
            <w:t>On 7 November 2016, 35.7 TJ of MOS was required, which resulted in MOS service payments of $329,793.</w:t>
          </w:r>
        </w:p>
        <w:p w:rsidR="006E712C" w:rsidRPr="00161D36" w:rsidRDefault="006E712C" w:rsidP="006E712C">
          <w:r>
            <w:t xml:space="preserve">The total MOS quantity was made up of 32.3 TJ of decrease MOS on the MSP and 3.4 TJ of increase MOS on the EGP. </w:t>
          </w:r>
        </w:p>
        <w:p w:rsidR="006E712C" w:rsidRDefault="006E712C" w:rsidP="006E712C">
          <w:r>
            <w:t>The main factors which led to the large MOS service payments were:</w:t>
          </w:r>
        </w:p>
        <w:p w:rsidR="006E712C" w:rsidRDefault="006E712C" w:rsidP="006E712C">
          <w:pPr>
            <w:pStyle w:val="ListParagraph"/>
            <w:numPr>
              <w:ilvl w:val="0"/>
              <w:numId w:val="22"/>
            </w:numPr>
          </w:pPr>
          <w:r>
            <w:t>participants over forecasting demand</w:t>
          </w:r>
        </w:p>
        <w:p w:rsidR="006E712C" w:rsidRDefault="006E712C" w:rsidP="006E712C">
          <w:pPr>
            <w:pStyle w:val="ListParagraph"/>
            <w:numPr>
              <w:ilvl w:val="0"/>
              <w:numId w:val="22"/>
            </w:numPr>
          </w:pPr>
          <w:r>
            <w:t xml:space="preserve">curtailment of gas flows on the EGP </w:t>
          </w:r>
        </w:p>
        <w:p w:rsidR="006E712C" w:rsidRDefault="006E712C" w:rsidP="006E712C">
          <w:pPr>
            <w:pStyle w:val="Heading5notnumbered"/>
          </w:pPr>
          <w:r>
            <w:t>Large over forecast of demand</w:t>
          </w:r>
        </w:p>
        <w:p w:rsidR="006E712C" w:rsidRDefault="006E712C" w:rsidP="006E712C">
          <w:r>
            <w:t xml:space="preserve">The market operator schedules gas offers consistent with participant’s demand forecasts. As demand was lower on the day than forecast, more gas was delivered than was necessary. </w:t>
          </w:r>
          <w:r>
            <w:rPr>
              <w:rFonts w:cs="Times New Roman"/>
            </w:rPr>
            <w:t xml:space="preserve">This contributed to over 21 TJ of gas being stored on the MSP as decrease MOS. </w:t>
          </w:r>
          <w:r w:rsidRPr="00FE598F">
            <w:rPr>
              <w:rFonts w:cs="Times New Roman"/>
            </w:rPr>
            <w:t xml:space="preserve"> </w:t>
          </w:r>
        </w:p>
        <w:p w:rsidR="006E712C" w:rsidRDefault="006E712C" w:rsidP="006E712C">
          <w:pPr>
            <w:pStyle w:val="Heading5notnumbered"/>
          </w:pPr>
          <w:r>
            <w:t xml:space="preserve">Curtailment of the EGP </w:t>
          </w:r>
        </w:p>
        <w:p w:rsidR="006E712C" w:rsidRDefault="006E712C" w:rsidP="006E712C">
          <w:r>
            <w:t xml:space="preserve">At the beginning of the day, the EGP was scheduled to deliver 192.6 TJ to the Sydney hub. </w:t>
          </w:r>
        </w:p>
        <w:p w:rsidR="006E712C" w:rsidRDefault="006E712C" w:rsidP="006E712C">
          <w:r>
            <w:t xml:space="preserve">Some gas deliveries were curtailed over the day on the EGP due to planned and unplanned maintenance. </w:t>
          </w:r>
        </w:p>
        <w:p w:rsidR="006E712C" w:rsidRDefault="006E712C" w:rsidP="006E712C">
          <w:r>
            <w:t>To alleviate the estimated supply short fall, participants voluntarily increased supply from the MSP by 23.9 TJ. However, flows on the EGP were only reduced by 16.5 TJ. The effect of these renominations was a net increase of flow to the hub of 7.4 TJ.</w:t>
          </w:r>
        </w:p>
        <w:p w:rsidR="00581B15" w:rsidRDefault="003345C0" w:rsidP="00593E63">
          <w:pPr>
            <w:pStyle w:val="Heading1"/>
            <w:numPr>
              <w:ilvl w:val="0"/>
              <w:numId w:val="0"/>
            </w:numPr>
            <w:ind w:left="432" w:hanging="432"/>
          </w:pPr>
          <w:bookmarkStart w:id="6" w:name="_Toc478720604"/>
          <w:r>
            <w:lastRenderedPageBreak/>
            <w:t>1</w:t>
          </w:r>
          <w:r w:rsidR="00593E63">
            <w:tab/>
            <w:t>MOS in the Sydney STTM</w:t>
          </w:r>
          <w:bookmarkEnd w:id="3"/>
          <w:bookmarkEnd w:id="5"/>
          <w:bookmarkEnd w:id="6"/>
        </w:p>
        <w:p w:rsidR="00293C20" w:rsidRDefault="00293C20" w:rsidP="00293C20">
          <w:r>
            <w:t>MOS, also known as balancing gas, is required to manage everyday pipeline deviations.</w:t>
          </w:r>
          <w:r>
            <w:rPr>
              <w:rStyle w:val="FootnoteReference"/>
            </w:rPr>
            <w:footnoteReference w:id="4"/>
          </w:r>
          <w:r>
            <w:t xml:space="preserve"> A pipeline deviation occurs when there is a difference between the total quantity of gas nominated by the pipeline’s</w:t>
          </w:r>
          <w:r w:rsidR="006E5982">
            <w:t xml:space="preserve"> shippers </w:t>
          </w:r>
          <w:r w:rsidR="00B92C7B">
            <w:t>(</w:t>
          </w:r>
          <w:r w:rsidR="006E5982">
            <w:t>typically gas retailers</w:t>
          </w:r>
          <w:r w:rsidR="00B92C7B">
            <w:t>)</w:t>
          </w:r>
          <w:r>
            <w:t xml:space="preserve"> and the quantity</w:t>
          </w:r>
          <w:r w:rsidR="00581B15">
            <w:t xml:space="preserve"> of gas</w:t>
          </w:r>
          <w:r>
            <w:t xml:space="preserve"> physically delivered. </w:t>
          </w:r>
          <w:r w:rsidR="00581B15">
            <w:t>T</w:t>
          </w:r>
          <w:r>
            <w:t xml:space="preserve">here are two kinds of pipeline deviations; positive (when more gas is delivered) and negative (when less gas is delivered). </w:t>
          </w:r>
        </w:p>
        <w:p w:rsidR="002C7F09" w:rsidRDefault="002C7F09" w:rsidP="00293C20">
          <w:r w:rsidRPr="002C7F09">
            <w:t xml:space="preserve">When actual gas flows are higher than final nominations, the difference is </w:t>
          </w:r>
          <w:r w:rsidR="005277AD">
            <w:t>allocated as</w:t>
          </w:r>
          <w:r w:rsidRPr="002C7F09">
            <w:t xml:space="preserve"> increase MOS.</w:t>
          </w:r>
          <w:r>
            <w:t xml:space="preserve"> </w:t>
          </w:r>
          <w:r w:rsidRPr="002C7F09">
            <w:t xml:space="preserve">When actual gas flows are lower than final nominations, the difference is </w:t>
          </w:r>
          <w:r w:rsidR="005277AD">
            <w:t>allocated as</w:t>
          </w:r>
          <w:r w:rsidRPr="002C7F09">
            <w:t xml:space="preserve"> decrease MOS.</w:t>
          </w:r>
        </w:p>
        <w:p w:rsidR="004415F0" w:rsidRPr="00975796" w:rsidRDefault="004415F0" w:rsidP="004415F0">
          <w:r>
            <w:t>In Sydney, there are two</w:t>
          </w:r>
          <w:r w:rsidR="00EF0BB7">
            <w:t xml:space="preserve"> pipelines that can provide MOS:</w:t>
          </w:r>
          <w:r>
            <w:t xml:space="preserve"> the Eastern Gas pipeline </w:t>
          </w:r>
          <w:r>
            <w:rPr>
              <w:b/>
            </w:rPr>
            <w:t>(EGP)</w:t>
          </w:r>
          <w:r>
            <w:t xml:space="preserve"> and the Moomba to Sydney pipeline </w:t>
          </w:r>
          <w:r>
            <w:rPr>
              <w:b/>
            </w:rPr>
            <w:t>(MSP)</w:t>
          </w:r>
          <w:r>
            <w:t>.</w:t>
          </w:r>
        </w:p>
        <w:p w:rsidR="0006788A" w:rsidRDefault="004415F0" w:rsidP="00293C20">
          <w:r w:rsidRPr="004415F0">
            <w:t>AEMO publishes</w:t>
          </w:r>
          <w:r w:rsidR="00E04FC6">
            <w:t>, amongst other things,</w:t>
          </w:r>
          <w:r w:rsidRPr="004415F0">
            <w:t xml:space="preserve"> an estimate of the maximum quantit</w:t>
          </w:r>
          <w:r w:rsidR="005B5747">
            <w:t>ies</w:t>
          </w:r>
          <w:r w:rsidRPr="004415F0">
            <w:t xml:space="preserve"> of </w:t>
          </w:r>
          <w:r w:rsidR="005B5747">
            <w:t xml:space="preserve">increase and decrease </w:t>
          </w:r>
          <w:r w:rsidRPr="004415F0">
            <w:t>MOS likely t</w:t>
          </w:r>
          <w:r w:rsidR="00D80D0E">
            <w:t>o be required for a given</w:t>
          </w:r>
          <w:r w:rsidRPr="004415F0">
            <w:t xml:space="preserve"> gas day</w:t>
          </w:r>
          <w:r w:rsidR="00E04FC6">
            <w:t>.</w:t>
          </w:r>
          <w:r w:rsidRPr="004415F0">
            <w:t xml:space="preserve"> </w:t>
          </w:r>
        </w:p>
        <w:p w:rsidR="005B5747" w:rsidRDefault="002C7F09" w:rsidP="00293C20">
          <w:r w:rsidRPr="002C7F09">
            <w:t xml:space="preserve">Participants are requested to provide </w:t>
          </w:r>
          <w:r w:rsidR="00E04FC6">
            <w:t xml:space="preserve">MOS </w:t>
          </w:r>
          <w:r w:rsidRPr="002C7F09">
            <w:t>offers on a monthly basis</w:t>
          </w:r>
          <w:r w:rsidR="005B5747">
            <w:t xml:space="preserve"> which specify the:</w:t>
          </w:r>
        </w:p>
        <w:p w:rsidR="005B5747" w:rsidRDefault="005B5747" w:rsidP="0006788A">
          <w:pPr>
            <w:pStyle w:val="ListParagraph"/>
            <w:numPr>
              <w:ilvl w:val="0"/>
              <w:numId w:val="32"/>
            </w:numPr>
          </w:pPr>
          <w:r>
            <w:t>type of MOS (increase or decrease)</w:t>
          </w:r>
        </w:p>
        <w:p w:rsidR="005B5747" w:rsidRDefault="005B5747" w:rsidP="0006788A">
          <w:pPr>
            <w:pStyle w:val="ListParagraph"/>
            <w:numPr>
              <w:ilvl w:val="0"/>
              <w:numId w:val="32"/>
            </w:numPr>
          </w:pPr>
          <w:r>
            <w:t>price (up to $50/GJ)</w:t>
          </w:r>
        </w:p>
        <w:p w:rsidR="005B5747" w:rsidRDefault="005B5747" w:rsidP="0006788A">
          <w:pPr>
            <w:pStyle w:val="ListParagraph"/>
            <w:numPr>
              <w:ilvl w:val="0"/>
              <w:numId w:val="32"/>
            </w:numPr>
          </w:pPr>
          <w:r>
            <w:t>quantity</w:t>
          </w:r>
        </w:p>
        <w:p w:rsidR="005B5747" w:rsidRDefault="005B5747" w:rsidP="0006788A">
          <w:pPr>
            <w:pStyle w:val="ListParagraph"/>
            <w:numPr>
              <w:ilvl w:val="0"/>
              <w:numId w:val="32"/>
            </w:numPr>
          </w:pPr>
          <w:r>
            <w:t>transmission pipeline</w:t>
          </w:r>
        </w:p>
        <w:p w:rsidR="002C7F09" w:rsidRDefault="002C7F09" w:rsidP="00293C20">
          <w:r w:rsidRPr="002C7F09">
            <w:t xml:space="preserve">When MOS is required, the offers </w:t>
          </w:r>
          <w:r w:rsidR="00B92C7B">
            <w:t>are allocated</w:t>
          </w:r>
          <w:r w:rsidRPr="002C7F09">
            <w:t xml:space="preserve"> in merit order (i.e. from lowest price to highest price) until the required quantity is met.</w:t>
          </w:r>
        </w:p>
        <w:p w:rsidR="002C7F09" w:rsidRDefault="006429F8" w:rsidP="002C7F09">
          <w:r>
            <w:t>If an</w:t>
          </w:r>
          <w:r w:rsidR="002C7F09">
            <w:t xml:space="preserve"> increase MOS offer is used, gas is moved f</w:t>
          </w:r>
          <w:r w:rsidR="0006788A">
            <w:t xml:space="preserve">rom the transmission pipeline </w:t>
          </w:r>
          <w:r w:rsidR="002C7F09">
            <w:t xml:space="preserve">to the STTM hub. </w:t>
          </w:r>
          <w:r>
            <w:t>If a</w:t>
          </w:r>
          <w:r w:rsidR="002C7F09">
            <w:t xml:space="preserve"> decrease MOS offer is used, gas is stored on the transmission</w:t>
          </w:r>
          <w:r w:rsidR="0006788A">
            <w:t xml:space="preserve"> pipeline (instead of flowing </w:t>
          </w:r>
          <w:r w:rsidR="002C7F09">
            <w:t xml:space="preserve">to the STTM hub). </w:t>
          </w:r>
        </w:p>
        <w:p w:rsidR="005B2BBD" w:rsidRDefault="002C7F09" w:rsidP="00293C20">
          <w:r w:rsidRPr="002C7F09">
            <w:t>If the quantity of required MOS exceeds the amount of offers, overrun MOS provides the excess.</w:t>
          </w:r>
          <w:r>
            <w:t xml:space="preserve"> </w:t>
          </w:r>
          <w:r w:rsidR="0006788A">
            <w:t xml:space="preserve">The occurrence of overrun MOS is relatively rare as there </w:t>
          </w:r>
          <w:r w:rsidR="00D80D0E">
            <w:t>is</w:t>
          </w:r>
          <w:r w:rsidR="0006788A">
            <w:t xml:space="preserve"> usually sufficient MOS offers available.</w:t>
          </w:r>
          <w:r w:rsidR="0006788A">
            <w:rPr>
              <w:rStyle w:val="FootnoteReference"/>
            </w:rPr>
            <w:footnoteReference w:id="5"/>
          </w:r>
          <w:r w:rsidR="00BA34E1">
            <w:t xml:space="preserve"> On </w:t>
          </w:r>
          <w:r w:rsidR="00F02D7F">
            <w:t>7 </w:t>
          </w:r>
          <w:r w:rsidR="00BA34E1">
            <w:t>November overrun MOS was not required</w:t>
          </w:r>
          <w:r w:rsidR="005B2BBD">
            <w:t xml:space="preserve">. </w:t>
          </w:r>
        </w:p>
        <w:p w:rsidR="00293C20" w:rsidRDefault="00581B15" w:rsidP="00581B15">
          <w:pPr>
            <w:pStyle w:val="Heading2"/>
          </w:pPr>
          <w:bookmarkStart w:id="7" w:name="_Toc478720605"/>
          <w:r>
            <w:t>The Sydney hub</w:t>
          </w:r>
          <w:bookmarkEnd w:id="7"/>
        </w:p>
        <w:p w:rsidR="008D199B" w:rsidRDefault="00581B15" w:rsidP="00581B15">
          <w:r>
            <w:fldChar w:fldCharType="begin"/>
          </w:r>
          <w:r>
            <w:instrText xml:space="preserve"> REF _Ref450555829 \h </w:instrText>
          </w:r>
          <w:r>
            <w:fldChar w:fldCharType="separate"/>
          </w:r>
          <w:r w:rsidR="00FA5956">
            <w:t xml:space="preserve">Figure </w:t>
          </w:r>
          <w:r w:rsidR="00FA5956">
            <w:rPr>
              <w:noProof/>
            </w:rPr>
            <w:t>1</w:t>
          </w:r>
          <w:r>
            <w:fldChar w:fldCharType="end"/>
          </w:r>
          <w:r>
            <w:t xml:space="preserve"> </w:t>
          </w:r>
          <w:r w:rsidR="008D199B">
            <w:t xml:space="preserve">illustrates the connection points </w:t>
          </w:r>
          <w:r w:rsidR="00D80D0E">
            <w:t>of</w:t>
          </w:r>
          <w:r w:rsidR="008D199B">
            <w:t xml:space="preserve"> the Sydney hub</w:t>
          </w:r>
          <w:r>
            <w:t>.</w:t>
          </w:r>
        </w:p>
        <w:p w:rsidR="008D199B" w:rsidRPr="00975796" w:rsidRDefault="00AC0552" w:rsidP="008D199B">
          <w:r>
            <w:t>T</w:t>
          </w:r>
          <w:r w:rsidR="008D199B">
            <w:t>here are two pipelines that can provide MOS</w:t>
          </w:r>
          <w:r>
            <w:t xml:space="preserve"> to Sydney</w:t>
          </w:r>
          <w:r w:rsidR="00EF0BB7">
            <w:t>:</w:t>
          </w:r>
          <w:r w:rsidR="008D199B">
            <w:t xml:space="preserve"> the </w:t>
          </w:r>
          <w:r w:rsidR="004415F0" w:rsidRPr="004415F0">
            <w:t xml:space="preserve">EGP </w:t>
          </w:r>
          <w:r w:rsidR="008D199B" w:rsidRPr="004415F0">
            <w:t xml:space="preserve">and the </w:t>
          </w:r>
          <w:r w:rsidR="004415F0" w:rsidRPr="004415F0">
            <w:t>MSP</w:t>
          </w:r>
          <w:r w:rsidR="008D199B" w:rsidRPr="004415F0">
            <w:t>.</w:t>
          </w:r>
        </w:p>
        <w:p w:rsidR="00581B15" w:rsidRDefault="008D199B" w:rsidP="00581B15">
          <w:r>
            <w:t xml:space="preserve">Sydney also sources gas from the Rosalind Park/Camden facility </w:t>
          </w:r>
          <w:r w:rsidRPr="008D199B">
            <w:rPr>
              <w:b/>
            </w:rPr>
            <w:t xml:space="preserve">(ROS) </w:t>
          </w:r>
          <w:r>
            <w:t xml:space="preserve">and the Newcastle gas storage facility </w:t>
          </w:r>
          <w:r w:rsidRPr="008D199B">
            <w:rPr>
              <w:b/>
            </w:rPr>
            <w:t>(NGS)</w:t>
          </w:r>
          <w:r>
            <w:t>.</w:t>
          </w:r>
        </w:p>
        <w:p w:rsidR="00581B15" w:rsidRDefault="00581B15" w:rsidP="00581B15">
          <w:pPr>
            <w:pStyle w:val="Caption"/>
          </w:pPr>
          <w:bookmarkStart w:id="8" w:name="_Ref450555829"/>
          <w:bookmarkStart w:id="9" w:name="_Ref451263972"/>
          <w:r>
            <w:lastRenderedPageBreak/>
            <w:t xml:space="preserve">Figure </w:t>
          </w:r>
          <w:fldSimple w:instr=" SEQ Figure \* ARABIC ">
            <w:r w:rsidR="00FA5956">
              <w:rPr>
                <w:noProof/>
              </w:rPr>
              <w:t>1</w:t>
            </w:r>
          </w:fldSimple>
          <w:bookmarkEnd w:id="8"/>
          <w:r>
            <w:t xml:space="preserve">: </w:t>
          </w:r>
          <w:r w:rsidR="00D120EB">
            <w:t>The Sydney hub</w:t>
          </w:r>
          <w:bookmarkEnd w:id="9"/>
        </w:p>
        <w:p w:rsidR="00581B15" w:rsidRDefault="00581B15" w:rsidP="00581B15">
          <w:pPr>
            <w:spacing w:before="0"/>
          </w:pPr>
          <w:r>
            <w:rPr>
              <w:noProof/>
              <w:lang w:eastAsia="en-AU"/>
            </w:rPr>
            <w:drawing>
              <wp:inline distT="0" distB="0" distL="0" distR="0" wp14:anchorId="02181BE9" wp14:editId="71F35DAF">
                <wp:extent cx="5372100" cy="2609850"/>
                <wp:effectExtent l="0" t="0" r="0" b="0"/>
                <wp:docPr id="7" name="Picture 7" descr="Figure 1 illustrates the connection points of the Sydney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2609850"/>
                        </a:xfrm>
                        <a:prstGeom prst="rect">
                          <a:avLst/>
                        </a:prstGeom>
                        <a:noFill/>
                        <a:ln>
                          <a:noFill/>
                        </a:ln>
                      </pic:spPr>
                    </pic:pic>
                  </a:graphicData>
                </a:graphic>
              </wp:inline>
            </w:drawing>
          </w:r>
        </w:p>
        <w:p w:rsidR="00AC3AFC" w:rsidRDefault="00AC3AFC" w:rsidP="00692128"/>
        <w:p w:rsidR="00DC24E1" w:rsidRDefault="002676DA" w:rsidP="002401BD">
          <w:r>
            <w:t xml:space="preserve">A number of changes to </w:t>
          </w:r>
          <w:r w:rsidR="00EF0BB7">
            <w:t>the Sydney hub from 2015 are identifi</w:t>
          </w:r>
          <w:r>
            <w:t>ed in the</w:t>
          </w:r>
          <w:r w:rsidR="00EF0BB7">
            <w:t xml:space="preserve"> AER’s</w:t>
          </w:r>
          <w:r>
            <w:t xml:space="preserve"> </w:t>
          </w:r>
          <w:hyperlink r:id="rId15" w:history="1">
            <w:r>
              <w:rPr>
                <w:rStyle w:val="Hyperlink"/>
              </w:rPr>
              <w:t>January 2016 significant price variation report</w:t>
            </w:r>
          </w:hyperlink>
          <w:r w:rsidR="00092B84">
            <w:rPr>
              <w:rStyle w:val="Hyperlink"/>
            </w:rPr>
            <w:t>.</w:t>
          </w:r>
          <w:r w:rsidR="003655BA">
            <w:rPr>
              <w:rStyle w:val="FootnoteReference"/>
              <w:color w:val="0000FF"/>
              <w:u w:val="single"/>
            </w:rPr>
            <w:footnoteReference w:id="6"/>
          </w:r>
          <w:r w:rsidR="00EF0BB7">
            <w:t xml:space="preserve"> Further information on</w:t>
          </w:r>
          <w:r>
            <w:t xml:space="preserve"> the dynamics of the Sydney hub is provided in the</w:t>
          </w:r>
          <w:r w:rsidR="00EF0BB7">
            <w:t xml:space="preserve"> AER’s</w:t>
          </w:r>
          <w:r>
            <w:t xml:space="preserve"> </w:t>
          </w:r>
          <w:hyperlink r:id="rId16" w:history="1">
            <w:r>
              <w:rPr>
                <w:rStyle w:val="Hyperlink"/>
              </w:rPr>
              <w:t xml:space="preserve">winter </w:t>
            </w:r>
            <w:r w:rsidRPr="008109F0">
              <w:rPr>
                <w:rStyle w:val="Hyperlink"/>
              </w:rPr>
              <w:t>2016</w:t>
            </w:r>
          </w:hyperlink>
          <w:r w:rsidR="003655BA">
            <w:rPr>
              <w:rStyle w:val="FootnoteReference"/>
              <w:color w:val="0000FF"/>
              <w:u w:val="single"/>
            </w:rPr>
            <w:footnoteReference w:id="7"/>
          </w:r>
          <w:r>
            <w:t xml:space="preserve"> report.</w:t>
          </w:r>
        </w:p>
        <w:p w:rsidR="008D199B" w:rsidRDefault="00341D08" w:rsidP="00CC2D2F">
          <w:pPr>
            <w:pStyle w:val="Heading1"/>
          </w:pPr>
          <w:bookmarkStart w:id="10" w:name="_Toc478720606"/>
          <w:r>
            <w:lastRenderedPageBreak/>
            <w:t xml:space="preserve">Demand over forecasting </w:t>
          </w:r>
          <w:r w:rsidR="00CC2D2F">
            <w:t xml:space="preserve">trend </w:t>
          </w:r>
          <w:r>
            <w:t>in Sydney</w:t>
          </w:r>
          <w:bookmarkEnd w:id="10"/>
        </w:p>
        <w:p w:rsidR="005B0395" w:rsidRDefault="0020678F" w:rsidP="008D199B">
          <w:r>
            <w:t>P</w:t>
          </w:r>
          <w:r w:rsidR="0073178F">
            <w:t xml:space="preserve">articipants over forecast demand </w:t>
          </w:r>
          <w:r w:rsidR="003C0017">
            <w:t>on the 7 November gas day</w:t>
          </w:r>
          <w:r w:rsidR="005702BD">
            <w:t>.</w:t>
          </w:r>
          <w:r w:rsidR="00193432">
            <w:t xml:space="preserve"> A trend towards over forecasting in the Sydney hub was analysed in our </w:t>
          </w:r>
          <w:hyperlink r:id="rId17" w:history="1">
            <w:r w:rsidR="00193432">
              <w:rPr>
                <w:rStyle w:val="Hyperlink"/>
              </w:rPr>
              <w:t>significant price variation</w:t>
            </w:r>
          </w:hyperlink>
          <w:r w:rsidR="00193432">
            <w:t xml:space="preserve"> reporting over winter 2016. </w:t>
          </w:r>
          <w:r w:rsidR="006E712C">
            <w:t>Over-forecasting of demand can lead to inefficiencies and additional costs in the gas markets by increasing the need for MOS and the difference between ex-post and ex-ante prices.</w:t>
          </w:r>
          <w:r w:rsidR="003345C0">
            <w:rPr>
              <w:rStyle w:val="FootnoteReference"/>
            </w:rPr>
            <w:footnoteReference w:id="8"/>
          </w:r>
          <w:r w:rsidR="006E712C">
            <w:t xml:space="preserve"> </w:t>
          </w:r>
          <w:r w:rsidR="00BF5FE8">
            <w:fldChar w:fldCharType="begin"/>
          </w:r>
          <w:r w:rsidR="00BF5FE8">
            <w:instrText xml:space="preserve"> REF _Ref478474851 \h </w:instrText>
          </w:r>
          <w:r w:rsidR="00BF5FE8">
            <w:fldChar w:fldCharType="separate"/>
          </w:r>
          <w:r w:rsidR="00BF5FE8">
            <w:t xml:space="preserve">Figure </w:t>
          </w:r>
          <w:r w:rsidR="00BF5FE8">
            <w:rPr>
              <w:noProof/>
            </w:rPr>
            <w:t>2</w:t>
          </w:r>
          <w:r w:rsidR="00BF5FE8">
            <w:fldChar w:fldCharType="end"/>
          </w:r>
          <w:r w:rsidR="005B0395">
            <w:t xml:space="preserve"> </w:t>
          </w:r>
          <w:r w:rsidR="00305B87">
            <w:t xml:space="preserve">shows </w:t>
          </w:r>
          <w:r w:rsidR="00090BC1">
            <w:t>demand was</w:t>
          </w:r>
          <w:r w:rsidR="00507F51">
            <w:t xml:space="preserve"> over fo</w:t>
          </w:r>
          <w:r w:rsidR="00090BC1">
            <w:t>recast in Sydney on 90 per cent</w:t>
          </w:r>
          <w:r w:rsidR="00507F51">
            <w:t xml:space="preserve"> of the gas days</w:t>
          </w:r>
          <w:r w:rsidR="00090BC1">
            <w:t xml:space="preserve"> in November 2016</w:t>
          </w:r>
          <w:r w:rsidR="00507F51">
            <w:t xml:space="preserve"> (the solid line)</w:t>
          </w:r>
          <w:r w:rsidR="00090BC1">
            <w:t xml:space="preserve"> and there has been a consistent trend towards over forecasting for the past 18 months</w:t>
          </w:r>
          <w:r w:rsidR="0023674F">
            <w:t>.</w:t>
          </w:r>
          <w:r w:rsidR="0023674F">
            <w:rPr>
              <w:rStyle w:val="FootnoteReference"/>
            </w:rPr>
            <w:footnoteReference w:id="9"/>
          </w:r>
        </w:p>
        <w:p w:rsidR="00BF5FE8" w:rsidRDefault="00BF5FE8" w:rsidP="00BF5FE8">
          <w:pPr>
            <w:pStyle w:val="Caption"/>
          </w:pPr>
          <w:bookmarkStart w:id="11" w:name="_Ref478474851"/>
          <w:r>
            <w:t xml:space="preserve">Figure </w:t>
          </w:r>
          <w:fldSimple w:instr=" SEQ Figure \* ARABIC ">
            <w:r>
              <w:rPr>
                <w:noProof/>
              </w:rPr>
              <w:t>2</w:t>
            </w:r>
          </w:fldSimple>
          <w:bookmarkEnd w:id="11"/>
          <w:r>
            <w:t>: Hub forecasting performance metric (since Dec 2014)</w:t>
          </w:r>
        </w:p>
        <w:p w:rsidR="008D199B" w:rsidRPr="004C10AA" w:rsidRDefault="003D7DA3" w:rsidP="00893A33">
          <w:r w:rsidRPr="003D7DA3">
            <w:rPr>
              <w:noProof/>
              <w:lang w:eastAsia="en-AU"/>
            </w:rPr>
            <w:drawing>
              <wp:inline distT="0" distB="0" distL="0" distR="0" wp14:anchorId="66FDFD09" wp14:editId="38E13762">
                <wp:extent cx="5382895" cy="2329137"/>
                <wp:effectExtent l="0" t="0" r="0" b="0"/>
                <wp:docPr id="2" name="Picture 2" descr="Figure 2 illustrates the demand forecasting performance in the Sydney hub since Decemb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329137"/>
                        </a:xfrm>
                        <a:prstGeom prst="rect">
                          <a:avLst/>
                        </a:prstGeom>
                        <a:noFill/>
                        <a:ln>
                          <a:noFill/>
                        </a:ln>
                      </pic:spPr>
                    </pic:pic>
                  </a:graphicData>
                </a:graphic>
              </wp:inline>
            </w:drawing>
          </w:r>
        </w:p>
        <w:p w:rsidR="008D199B" w:rsidRDefault="007256A2" w:rsidP="008D199B">
          <w:r>
            <w:t>T</w:t>
          </w:r>
          <w:r w:rsidR="004415F0">
            <w:t xml:space="preserve">he </w:t>
          </w:r>
          <w:r w:rsidR="00760401">
            <w:t xml:space="preserve">frequency </w:t>
          </w:r>
          <w:r w:rsidR="00A43A5C">
            <w:t xml:space="preserve">of </w:t>
          </w:r>
          <w:r w:rsidR="0073178F">
            <w:t>demand over forecasting</w:t>
          </w:r>
          <w:r>
            <w:t xml:space="preserve"> is </w:t>
          </w:r>
          <w:r w:rsidR="00A762EA">
            <w:t xml:space="preserve">a continuing concern and </w:t>
          </w:r>
          <w:r>
            <w:t>may</w:t>
          </w:r>
          <w:r w:rsidR="0073178F">
            <w:t xml:space="preserve"> </w:t>
          </w:r>
          <w:r>
            <w:t>indicate</w:t>
          </w:r>
          <w:r w:rsidR="0073178F">
            <w:t xml:space="preserve"> a</w:t>
          </w:r>
          <w:r>
            <w:t xml:space="preserve"> systematic</w:t>
          </w:r>
          <w:r w:rsidR="00760401">
            <w:t xml:space="preserve"> bias in forecasting by one or more participants</w:t>
          </w:r>
          <w:r w:rsidR="004415F0">
            <w:t>.</w:t>
          </w:r>
          <w:r w:rsidR="0073178F">
            <w:t xml:space="preserve"> This report demonstrates</w:t>
          </w:r>
          <w:r w:rsidR="004415F0">
            <w:t xml:space="preserve"> </w:t>
          </w:r>
          <w:r w:rsidR="0073178F">
            <w:t>i</w:t>
          </w:r>
          <w:r w:rsidR="004415F0">
            <w:t xml:space="preserve">naccurate demand forecasting can result in significant costs to the market. </w:t>
          </w:r>
        </w:p>
        <w:p w:rsidR="00DA744D" w:rsidRPr="008D199B" w:rsidRDefault="00DA744D" w:rsidP="008D199B"/>
        <w:p w:rsidR="00B10227" w:rsidRDefault="00A762EA">
          <w:pPr>
            <w:pStyle w:val="Heading1"/>
          </w:pPr>
          <w:bookmarkStart w:id="12" w:name="_Toc437433900"/>
          <w:bookmarkStart w:id="13" w:name="_Toc437433901"/>
          <w:bookmarkStart w:id="14" w:name="_Toc437433903"/>
          <w:bookmarkStart w:id="15" w:name="_Toc437433905"/>
          <w:bookmarkStart w:id="16" w:name="_Toc437433906"/>
          <w:bookmarkStart w:id="17" w:name="_Toc437433907"/>
          <w:bookmarkStart w:id="18" w:name="_Toc478720607"/>
          <w:bookmarkEnd w:id="12"/>
          <w:bookmarkEnd w:id="13"/>
          <w:bookmarkEnd w:id="14"/>
          <w:bookmarkEnd w:id="15"/>
          <w:bookmarkEnd w:id="16"/>
          <w:bookmarkEnd w:id="17"/>
          <w:r>
            <w:lastRenderedPageBreak/>
            <w:t>The 7 November 2016 gas day</w:t>
          </w:r>
          <w:bookmarkEnd w:id="18"/>
        </w:p>
        <w:p w:rsidR="00A275C3" w:rsidRDefault="00A275C3" w:rsidP="00A275C3">
          <w:r>
            <w:t xml:space="preserve">On </w:t>
          </w:r>
          <w:r w:rsidR="000427D0">
            <w:t>7 November 2016, 35.7</w:t>
          </w:r>
          <w:r w:rsidR="0023674F" w:rsidDel="0023674F">
            <w:t xml:space="preserve"> </w:t>
          </w:r>
          <w:r>
            <w:t>TJ of MOS was required, which resulted</w:t>
          </w:r>
          <w:r w:rsidR="000427D0">
            <w:t xml:space="preserve"> in MOS service payments of $ </w:t>
          </w:r>
          <w:r w:rsidR="00FE3C0E">
            <w:t>329</w:t>
          </w:r>
          <w:r w:rsidR="00A762EA">
            <w:t>,</w:t>
          </w:r>
          <w:r w:rsidR="00357DC7">
            <w:t>793</w:t>
          </w:r>
          <w:r>
            <w:t>.</w:t>
          </w:r>
          <w:r w:rsidR="00AD2FEA">
            <w:t xml:space="preserve"> This is significantly higher than the average cost for MOS services in Sydney of</w:t>
          </w:r>
          <w:r w:rsidR="005162AD">
            <w:t xml:space="preserve"> around $54</w:t>
          </w:r>
          <w:r w:rsidR="00A762EA">
            <w:t>,</w:t>
          </w:r>
          <w:r w:rsidR="005162AD">
            <w:t>754</w:t>
          </w:r>
          <w:r w:rsidR="008F773E">
            <w:t xml:space="preserve"> for</w:t>
          </w:r>
          <w:r w:rsidR="00357DC7">
            <w:t xml:space="preserve"> the 2016–17</w:t>
          </w:r>
          <w:r w:rsidR="008F773E">
            <w:t xml:space="preserve"> financial </w:t>
          </w:r>
          <w:r w:rsidR="00A762EA">
            <w:t>year-to-</w:t>
          </w:r>
          <w:r w:rsidR="008F773E">
            <w:t>date.</w:t>
          </w:r>
          <w:r w:rsidR="008F773E">
            <w:rPr>
              <w:rStyle w:val="FootnoteReference"/>
            </w:rPr>
            <w:footnoteReference w:id="10"/>
          </w:r>
          <w:r w:rsidR="00AD2FEA">
            <w:t xml:space="preserve"> </w:t>
          </w:r>
          <w:r w:rsidR="00204889">
            <w:t xml:space="preserve">These costs are funded by market participants and ultimately passed on to </w:t>
          </w:r>
          <w:r w:rsidR="0037197B">
            <w:t>consumers.</w:t>
          </w:r>
        </w:p>
        <w:p w:rsidR="00AD2FEA" w:rsidRDefault="00AD2FEA" w:rsidP="00AD2FEA">
          <w:r>
            <w:t xml:space="preserve">The total MOS quantity was made up </w:t>
          </w:r>
          <w:r w:rsidR="00357DC7">
            <w:t>of 32.3</w:t>
          </w:r>
          <w:r w:rsidRPr="005B7BEA">
            <w:t> TJ of</w:t>
          </w:r>
          <w:r>
            <w:t xml:space="preserve"> decrease MOS on </w:t>
          </w:r>
          <w:r w:rsidR="00A872C5">
            <w:t xml:space="preserve">the </w:t>
          </w:r>
          <w:r>
            <w:t xml:space="preserve">MSP and </w:t>
          </w:r>
          <w:r w:rsidR="00357DC7">
            <w:t>3.4 T</w:t>
          </w:r>
          <w:r w:rsidR="005B7BEA">
            <w:t>J</w:t>
          </w:r>
          <w:r w:rsidR="0023674F">
            <w:t> </w:t>
          </w:r>
          <w:r>
            <w:t>of increase MOS on the EGP.</w:t>
          </w:r>
        </w:p>
        <w:p w:rsidR="00A872C5" w:rsidRDefault="00E11EDF" w:rsidP="00A872C5">
          <w:r>
            <w:t>There was sufficient</w:t>
          </w:r>
          <w:r w:rsidR="00AD2FEA">
            <w:t xml:space="preserve"> gas offered in th</w:t>
          </w:r>
          <w:r>
            <w:t>e decrease MOS stack for November</w:t>
          </w:r>
          <w:r w:rsidR="00AD2FEA">
            <w:t xml:space="preserve"> on t</w:t>
          </w:r>
          <w:r>
            <w:t>he MSP so</w:t>
          </w:r>
          <w:r w:rsidR="00AD2FEA">
            <w:t xml:space="preserve"> overrun MOS</w:t>
          </w:r>
          <w:r>
            <w:t xml:space="preserve"> was not required</w:t>
          </w:r>
          <w:r w:rsidR="00AD2FEA">
            <w:t>.</w:t>
          </w:r>
        </w:p>
        <w:p w:rsidR="00AD2FEA" w:rsidRDefault="00AD2FEA" w:rsidP="00AD2FEA">
          <w:r>
            <w:t>The main factors which led to the large MOS service payments were:</w:t>
          </w:r>
        </w:p>
        <w:p w:rsidR="0023674F" w:rsidRDefault="0023674F" w:rsidP="00AD2FEA">
          <w:pPr>
            <w:pStyle w:val="ListParagraph"/>
            <w:numPr>
              <w:ilvl w:val="0"/>
              <w:numId w:val="22"/>
            </w:numPr>
          </w:pPr>
          <w:r>
            <w:t xml:space="preserve">participants over forecasting demand </w:t>
          </w:r>
        </w:p>
        <w:p w:rsidR="00A762EA" w:rsidRDefault="00FA3051" w:rsidP="00B526F1">
          <w:pPr>
            <w:pStyle w:val="ListParagraph"/>
            <w:numPr>
              <w:ilvl w:val="0"/>
              <w:numId w:val="22"/>
            </w:numPr>
          </w:pPr>
          <w:r>
            <w:t>disproportionate</w:t>
          </w:r>
          <w:r w:rsidR="0023674F">
            <w:t xml:space="preserve"> renominations on the MSP and </w:t>
          </w:r>
          <w:r w:rsidR="00AD2FEA">
            <w:t>EGP</w:t>
          </w:r>
        </w:p>
        <w:p w:rsidR="00BE5555" w:rsidRDefault="00A762EA" w:rsidP="00B526F1">
          <w:pPr>
            <w:pStyle w:val="ListParagraph"/>
            <w:numPr>
              <w:ilvl w:val="0"/>
              <w:numId w:val="22"/>
            </w:numPr>
          </w:pPr>
          <w:r>
            <w:t>counteracting MOS deliveries on the MSP and EGP</w:t>
          </w:r>
          <w:r>
            <w:rPr>
              <w:rStyle w:val="FootnoteReference"/>
            </w:rPr>
            <w:footnoteReference w:id="11"/>
          </w:r>
          <w:r w:rsidR="00AD2FEA">
            <w:t xml:space="preserve"> </w:t>
          </w:r>
        </w:p>
        <w:p w:rsidR="00BE5555" w:rsidRDefault="00BE5555" w:rsidP="007C7952">
          <w:pPr>
            <w:pStyle w:val="Heading2"/>
          </w:pPr>
          <w:bookmarkStart w:id="19" w:name="_Ref451173507"/>
          <w:bookmarkStart w:id="20" w:name="_Toc478720608"/>
          <w:r w:rsidRPr="00F74736">
            <w:t>P</w:t>
          </w:r>
          <w:r>
            <w:t>articipants over forecasting demand</w:t>
          </w:r>
          <w:bookmarkEnd w:id="19"/>
          <w:bookmarkEnd w:id="20"/>
        </w:p>
        <w:p w:rsidR="00A1197B" w:rsidRDefault="00A1197B" w:rsidP="00A1197B">
          <w:r>
            <w:t>The Gas Rules provide that participants must submit offers and bids to AEMO in good faith that reflect their best estimate.</w:t>
          </w:r>
          <w:r>
            <w:rPr>
              <w:rStyle w:val="FootnoteReference"/>
            </w:rPr>
            <w:footnoteReference w:id="12"/>
          </w:r>
          <w:r>
            <w:t xml:space="preserve"> AEMO schedules these bids and offers to maximise the value of the bids less the value of the offers subject to </w:t>
          </w:r>
          <w:r w:rsidR="005A06EA">
            <w:t xml:space="preserve">a number of considerations such as </w:t>
          </w:r>
          <w:r>
            <w:t>the physical capabilities of the network.</w:t>
          </w:r>
          <w:r>
            <w:rPr>
              <w:rStyle w:val="FootnoteReference"/>
            </w:rPr>
            <w:footnoteReference w:id="13"/>
          </w:r>
          <w:r>
            <w:t xml:space="preserve"> Participants make nominations to the relevant pipelines after taking into account AEMO’s schedule. A participant </w:t>
          </w:r>
          <w:r w:rsidR="00C85687">
            <w:t>must not</w:t>
          </w:r>
          <w:r>
            <w:t xml:space="preserve"> make a nomination for the purpose of creating or increasing a pipeline deviation for which MOS may be required.</w:t>
          </w:r>
          <w:r>
            <w:rPr>
              <w:rStyle w:val="FootnoteReference"/>
            </w:rPr>
            <w:footnoteReference w:id="14"/>
          </w:r>
          <w:r>
            <w:t xml:space="preserve"> </w:t>
          </w:r>
        </w:p>
        <w:p w:rsidR="00A1197B" w:rsidRDefault="004346E5" w:rsidP="004346E5">
          <w:r>
            <w:t>Demand is influenced by many different factors, some of which have a high level of</w:t>
          </w:r>
          <w:r w:rsidR="006E2A26">
            <w:t xml:space="preserve"> variability. I</w:t>
          </w:r>
          <w:r>
            <w:t xml:space="preserve">t is not </w:t>
          </w:r>
          <w:r w:rsidR="006E2A26">
            <w:t xml:space="preserve">therefore </w:t>
          </w:r>
          <w:r>
            <w:t>possible to forecast demand with 100 per cent accuracy</w:t>
          </w:r>
          <w:r w:rsidR="002D6F9A">
            <w:t xml:space="preserve"> all of the time</w:t>
          </w:r>
          <w:r>
            <w:t xml:space="preserve">. </w:t>
          </w:r>
          <w:r w:rsidR="00A1197B">
            <w:t>All gas days will have inaccurate demand forecasts to some extent, usually by a small amount relative to overall consumption.</w:t>
          </w:r>
        </w:p>
        <w:p w:rsidR="00AD2FEA" w:rsidRDefault="005162AD" w:rsidP="0068227E">
          <w:r>
            <w:t>On</w:t>
          </w:r>
          <w:r w:rsidR="00A1197B">
            <w:t xml:space="preserve"> </w:t>
          </w:r>
          <w:r>
            <w:t>7 November actual demand was</w:t>
          </w:r>
          <w:r w:rsidR="00A1197B">
            <w:t xml:space="preserve"> lower than forecast. Accordingly, the quantity of gas participants nominated on the pipelines to deliver was higher than necessary. </w:t>
          </w:r>
          <w:r w:rsidR="00A1197B" w:rsidRPr="00FE598F">
            <w:rPr>
              <w:rFonts w:cs="Times New Roman"/>
            </w:rPr>
            <w:t xml:space="preserve">This </w:t>
          </w:r>
          <w:r w:rsidR="00A1197B">
            <w:rPr>
              <w:rFonts w:cs="Times New Roman"/>
            </w:rPr>
            <w:t xml:space="preserve">over forecasting </w:t>
          </w:r>
          <w:r w:rsidR="00755ADF">
            <w:rPr>
              <w:rFonts w:cs="Times New Roman"/>
            </w:rPr>
            <w:t xml:space="preserve">within the Sydney distribution system </w:t>
          </w:r>
          <w:r w:rsidR="005B7BEA">
            <w:rPr>
              <w:rFonts w:cs="Times New Roman"/>
            </w:rPr>
            <w:t>contributed to ov</w:t>
          </w:r>
          <w:r w:rsidR="00783AFE">
            <w:rPr>
              <w:rFonts w:cs="Times New Roman"/>
            </w:rPr>
            <w:t xml:space="preserve">er </w:t>
          </w:r>
          <w:r w:rsidR="00755ADF">
            <w:rPr>
              <w:rFonts w:cs="Times New Roman"/>
            </w:rPr>
            <w:t>21 </w:t>
          </w:r>
          <w:r w:rsidR="005B7BEA">
            <w:rPr>
              <w:rFonts w:cs="Times New Roman"/>
            </w:rPr>
            <w:t>TJ</w:t>
          </w:r>
          <w:r w:rsidR="00A1197B" w:rsidRPr="00FE598F">
            <w:rPr>
              <w:rFonts w:cs="Times New Roman"/>
            </w:rPr>
            <w:t xml:space="preserve"> of gas being stored on the MSP as decrease MOS. </w:t>
          </w:r>
        </w:p>
        <w:p w:rsidR="00277874" w:rsidRDefault="00277874" w:rsidP="0068227E">
          <w:r>
            <w:lastRenderedPageBreak/>
            <w:t>The absolute</w:t>
          </w:r>
          <w:r w:rsidR="00A607F0">
            <w:t xml:space="preserve"> </w:t>
          </w:r>
          <w:r w:rsidR="00305B87">
            <w:t xml:space="preserve">error of </w:t>
          </w:r>
          <w:r w:rsidR="00A607F0">
            <w:t>the poorest three performing forecasters were</w:t>
          </w:r>
          <w:r w:rsidR="0089729F">
            <w:t xml:space="preserve"> in order</w:t>
          </w:r>
          <w:r w:rsidR="00A607F0">
            <w:t>:</w:t>
          </w:r>
          <w:r>
            <w:t xml:space="preserve"> </w:t>
          </w:r>
          <w:r w:rsidR="0089729F">
            <w:t>AGL</w:t>
          </w:r>
          <w:r w:rsidR="00A368F2">
            <w:t xml:space="preserve"> (12.4</w:t>
          </w:r>
          <w:r w:rsidR="00E02953">
            <w:t xml:space="preserve"> TJ),</w:t>
          </w:r>
          <w:r w:rsidR="001C5F95">
            <w:t xml:space="preserve"> Energy Australia (</w:t>
          </w:r>
          <w:r w:rsidR="002676DA">
            <w:t xml:space="preserve">5.9 </w:t>
          </w:r>
          <w:r w:rsidR="00A368F2">
            <w:t>TJ) and Origin (1.8 TJ)</w:t>
          </w:r>
          <w:r w:rsidR="00E02953">
            <w:t>.</w:t>
          </w:r>
          <w:r w:rsidR="00D45205">
            <w:rPr>
              <w:rStyle w:val="FootnoteReference"/>
            </w:rPr>
            <w:footnoteReference w:id="15"/>
          </w:r>
        </w:p>
        <w:p w:rsidR="00A872C5" w:rsidRDefault="000B2C10" w:rsidP="007C7952">
          <w:pPr>
            <w:pStyle w:val="Heading2"/>
          </w:pPr>
          <w:bookmarkStart w:id="21" w:name="_Toc478720609"/>
          <w:r>
            <w:t>Disproportionate</w:t>
          </w:r>
          <w:r w:rsidR="00BE5555">
            <w:t xml:space="preserve"> renominations on pipelines</w:t>
          </w:r>
          <w:bookmarkEnd w:id="21"/>
        </w:p>
        <w:p w:rsidR="00A872C5" w:rsidRDefault="00894C4B" w:rsidP="00AD2FEA">
          <w:r>
            <w:t xml:space="preserve">The </w:t>
          </w:r>
          <w:r w:rsidR="00755ADF">
            <w:t xml:space="preserve">scheduled </w:t>
          </w:r>
          <w:r>
            <w:t>gas</w:t>
          </w:r>
          <w:r w:rsidR="00A872C5">
            <w:t xml:space="preserve"> supply </w:t>
          </w:r>
          <w:r>
            <w:t xml:space="preserve">to </w:t>
          </w:r>
          <w:r w:rsidR="00A872C5">
            <w:t xml:space="preserve">the Sydney hub was </w:t>
          </w:r>
          <w:r w:rsidR="00227F82">
            <w:t xml:space="preserve">weighted towards the cheaper supply offers available on </w:t>
          </w:r>
          <w:r>
            <w:t>the EGP (</w:t>
          </w:r>
          <w:r w:rsidR="00691B06">
            <w:t>19</w:t>
          </w:r>
          <w:r>
            <w:t>3</w:t>
          </w:r>
          <w:r w:rsidR="00755ADF">
            <w:t> </w:t>
          </w:r>
          <w:r>
            <w:t xml:space="preserve">TJ </w:t>
          </w:r>
          <w:r w:rsidR="00227F82">
            <w:t>of deliveries into the Sydney hub via the EGP, compared to 31.7 </w:t>
          </w:r>
          <w:r>
            <w:t>TJ of net supply</w:t>
          </w:r>
          <w:r w:rsidR="00227F82">
            <w:t xml:space="preserve"> on the MSP</w:t>
          </w:r>
          <w:r w:rsidR="00A872C5">
            <w:t>)</w:t>
          </w:r>
          <w:r w:rsidR="00227F82">
            <w:rPr>
              <w:rStyle w:val="FootnoteReference"/>
            </w:rPr>
            <w:footnoteReference w:id="16"/>
          </w:r>
          <w:r w:rsidR="00A872C5">
            <w:t>.</w:t>
          </w:r>
        </w:p>
        <w:p w:rsidR="00A872C5" w:rsidRDefault="00893A33" w:rsidP="00AD2FEA">
          <w:r>
            <w:t xml:space="preserve">Participants were advised on 4-5 November that maximum daily quantities (MDQ) for </w:t>
          </w:r>
          <w:r w:rsidR="00227F82">
            <w:t>7 </w:t>
          </w:r>
          <w:r>
            <w:t>November were to be curtailed on the EGP</w:t>
          </w:r>
          <w:r w:rsidR="00D2080B">
            <w:t>. Some participants had inadequate MDQ following the curtailment to meet their</w:t>
          </w:r>
          <w:r w:rsidR="00D45205">
            <w:t xml:space="preserve"> expected demand</w:t>
          </w:r>
          <w:r w:rsidR="00D2080B">
            <w:t xml:space="preserve">.  </w:t>
          </w:r>
        </w:p>
        <w:p w:rsidR="003F29F2" w:rsidRDefault="008A6D4A" w:rsidP="00AD2FEA">
          <w:r>
            <w:t>In order to ameliorate the associated supply shortfall, p</w:t>
          </w:r>
          <w:r w:rsidR="00600D9F">
            <w:t>articipants renominated supply to Sydney from the EGP t</w:t>
          </w:r>
          <w:r w:rsidR="00717D41">
            <w:t>o the MSP</w:t>
          </w:r>
          <w:r w:rsidR="00600D9F">
            <w:t>.</w:t>
          </w:r>
          <w:r>
            <w:t xml:space="preserve"> The major part of the</w:t>
          </w:r>
          <w:r w:rsidR="00717D41">
            <w:t xml:space="preserve"> renomination</w:t>
          </w:r>
          <w:r>
            <w:t xml:space="preserve"> consisted of a reduction in backhaul.</w:t>
          </w:r>
          <w:r w:rsidR="00717D41">
            <w:t xml:space="preserve"> </w:t>
          </w:r>
          <w:r w:rsidR="00B15FEB">
            <w:t>T</w:t>
          </w:r>
          <w:r>
            <w:t>he expected curtailment was only partly realised so a greater</w:t>
          </w:r>
          <w:r w:rsidR="00B15FEB">
            <w:t xml:space="preserve"> quantity of gas was</w:t>
          </w:r>
          <w:r w:rsidR="003F29F2">
            <w:t xml:space="preserve"> renominate</w:t>
          </w:r>
          <w:r w:rsidR="00B15FEB">
            <w:t>d onto the MSP than from the EGP</w:t>
          </w:r>
          <w:r w:rsidR="003F29F2">
            <w:t>.</w:t>
          </w:r>
        </w:p>
        <w:p w:rsidR="00E64701" w:rsidRDefault="003F29F2" w:rsidP="00B10227">
          <w:r>
            <w:t>On the EGP, partic</w:t>
          </w:r>
          <w:r w:rsidR="007145DB">
            <w:t xml:space="preserve">ipants </w:t>
          </w:r>
          <w:r w:rsidR="00227F82">
            <w:t xml:space="preserve">renominations </w:t>
          </w:r>
          <w:r w:rsidR="007145DB">
            <w:t xml:space="preserve">reduced </w:t>
          </w:r>
          <w:r w:rsidR="00227F82">
            <w:t xml:space="preserve">the net supply to the hub </w:t>
          </w:r>
          <w:r w:rsidR="007145DB">
            <w:t>by 16.</w:t>
          </w:r>
          <w:r w:rsidR="00227F82">
            <w:t>5 </w:t>
          </w:r>
          <w:r w:rsidR="007145DB">
            <w:t>TJ</w:t>
          </w:r>
          <w:r>
            <w:t>. On the MSP, particip</w:t>
          </w:r>
          <w:r w:rsidR="007145DB">
            <w:t>ants increased nominations by 23.</w:t>
          </w:r>
          <w:r w:rsidR="00227F82">
            <w:t>9 </w:t>
          </w:r>
          <w:r>
            <w:t>TJ. This resulted in a net incre</w:t>
          </w:r>
          <w:r w:rsidR="007145DB">
            <w:t>ase of gas flow to the hub of 7.</w:t>
          </w:r>
          <w:r w:rsidR="00227F82">
            <w:t>4 </w:t>
          </w:r>
          <w:r>
            <w:t>TJ.</w:t>
          </w:r>
          <w:r w:rsidR="000D3815">
            <w:t xml:space="preserve"> </w:t>
          </w:r>
          <w:r w:rsidR="00600D9F">
            <w:t xml:space="preserve">The </w:t>
          </w:r>
          <w:r w:rsidR="005B7BEA">
            <w:t>a</w:t>
          </w:r>
          <w:r w:rsidR="00611B62">
            <w:t>ctual curtailment was less than participants expected</w:t>
          </w:r>
          <w:r w:rsidR="006E712C">
            <w:t xml:space="preserve"> by 8.6 TJ</w:t>
          </w:r>
          <w:r w:rsidR="00227F82">
            <w:t xml:space="preserve">, contributing to significantly higher service costs on the day. </w:t>
          </w:r>
        </w:p>
        <w:p w:rsidR="00F74736" w:rsidRPr="00F74736" w:rsidRDefault="00D033B3" w:rsidP="007C7952">
          <w:pPr>
            <w:pStyle w:val="Heading2"/>
          </w:pPr>
          <w:bookmarkStart w:id="22" w:name="_Toc478720610"/>
          <w:r>
            <w:t>Market operator service (MOS)</w:t>
          </w:r>
          <w:bookmarkEnd w:id="22"/>
        </w:p>
        <w:p w:rsidR="00C77C70" w:rsidRDefault="00BF5FE8" w:rsidP="00476EE8">
          <w:r>
            <w:fldChar w:fldCharType="begin"/>
          </w:r>
          <w:r>
            <w:instrText xml:space="preserve"> REF _Ref478474925 \h </w:instrText>
          </w:r>
          <w:r>
            <w:fldChar w:fldCharType="separate"/>
          </w:r>
          <w:r>
            <w:t xml:space="preserve">Figure </w:t>
          </w:r>
          <w:r>
            <w:rPr>
              <w:noProof/>
            </w:rPr>
            <w:t>3</w:t>
          </w:r>
          <w:r>
            <w:fldChar w:fldCharType="end"/>
          </w:r>
          <w:r w:rsidR="0005494B">
            <w:t xml:space="preserve"> </w:t>
          </w:r>
          <w:r w:rsidR="006E2A26">
            <w:t xml:space="preserve">below </w:t>
          </w:r>
          <w:r w:rsidR="00527B57">
            <w:t>shows</w:t>
          </w:r>
          <w:r>
            <w:t xml:space="preserve"> </w:t>
          </w:r>
          <w:r w:rsidR="00C77C70">
            <w:t>the decrease MOS offers for the MSP and the increase MOS offers for the EGP</w:t>
          </w:r>
          <w:r w:rsidRPr="00BF5FE8">
            <w:t xml:space="preserve"> </w:t>
          </w:r>
          <w:r>
            <w:t>for the month of November 2016</w:t>
          </w:r>
          <w:r w:rsidR="00C77C70">
            <w:t xml:space="preserve">. </w:t>
          </w:r>
          <w:r w:rsidR="00B73C4D">
            <w:t xml:space="preserve">The dotted black lines show the MOS requirement on the day. </w:t>
          </w:r>
        </w:p>
        <w:p w:rsidR="00B73C4D" w:rsidRDefault="00B73C4D" w:rsidP="00476EE8"/>
        <w:p w:rsidR="00BF5FE8" w:rsidRDefault="00BF5FE8" w:rsidP="00BF5FE8">
          <w:pPr>
            <w:pStyle w:val="Caption"/>
          </w:pPr>
          <w:bookmarkStart w:id="23" w:name="_Ref478474925"/>
          <w:bookmarkStart w:id="24" w:name="_Ref451173111"/>
          <w:bookmarkStart w:id="25" w:name="_Ref448329247"/>
          <w:bookmarkStart w:id="26" w:name="_Ref448926440"/>
          <w:r>
            <w:lastRenderedPageBreak/>
            <w:t xml:space="preserve">Figure </w:t>
          </w:r>
          <w:fldSimple w:instr=" SEQ Figure \* ARABIC ">
            <w:r>
              <w:rPr>
                <w:noProof/>
              </w:rPr>
              <w:t>3</w:t>
            </w:r>
          </w:fldSimple>
          <w:bookmarkEnd w:id="23"/>
          <w:r>
            <w:t>: MOS stacks for 7 November</w:t>
          </w:r>
          <w:r w:rsidR="00E11B3C">
            <w:t xml:space="preserve"> 2016</w:t>
          </w:r>
        </w:p>
        <w:bookmarkEnd w:id="24"/>
        <w:bookmarkEnd w:id="25"/>
        <w:bookmarkEnd w:id="26"/>
        <w:p w:rsidR="00E11B3C" w:rsidRDefault="00E11B3C" w:rsidP="00476EE8">
          <w:r w:rsidRPr="00E11B3C">
            <w:rPr>
              <w:noProof/>
              <w:lang w:eastAsia="en-AU"/>
            </w:rPr>
            <w:drawing>
              <wp:inline distT="0" distB="0" distL="0" distR="0" wp14:anchorId="7DC2A3DC" wp14:editId="2F15228A">
                <wp:extent cx="5382895" cy="3449997"/>
                <wp:effectExtent l="0" t="0" r="8255" b="0"/>
                <wp:docPr id="10" name="Picture 10" descr="Figure 3 illustrates the MOS stacks and MOS allocation requirements for 7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449997"/>
                        </a:xfrm>
                        <a:prstGeom prst="rect">
                          <a:avLst/>
                        </a:prstGeom>
                        <a:noFill/>
                        <a:ln>
                          <a:noFill/>
                        </a:ln>
                      </pic:spPr>
                    </pic:pic>
                  </a:graphicData>
                </a:graphic>
              </wp:inline>
            </w:drawing>
          </w:r>
        </w:p>
        <w:p w:rsidR="00B73C4D" w:rsidRDefault="00B73C4D" w:rsidP="00476EE8">
          <w:r>
            <w:t xml:space="preserve">On the day, the decrease MOS requirement </w:t>
          </w:r>
          <w:r w:rsidR="00956E93">
            <w:t>of 32.3</w:t>
          </w:r>
          <w:r w:rsidR="00E04A0D">
            <w:t xml:space="preserve"> TJ </w:t>
          </w:r>
          <w:r w:rsidR="00BF5FE8">
            <w:t xml:space="preserve">($322,325) </w:t>
          </w:r>
          <w:r>
            <w:t>was provided by the MSP. The amount of increa</w:t>
          </w:r>
          <w:r w:rsidR="00956E93">
            <w:t>se MOS on the EGP was only 3.4</w:t>
          </w:r>
          <w:r w:rsidR="00E04A0D">
            <w:t> TJ</w:t>
          </w:r>
          <w:r w:rsidR="00BF5FE8">
            <w:t xml:space="preserve"> ($7,468)</w:t>
          </w:r>
          <w:r>
            <w:t>.</w:t>
          </w:r>
        </w:p>
        <w:p w:rsidR="000C30EF" w:rsidRDefault="00956E93" w:rsidP="00476EE8">
          <w:r>
            <w:t>More than half of the decrease MOS on the MSP was provided</w:t>
          </w:r>
          <w:r w:rsidR="00DD379B">
            <w:t xml:space="preserve"> at o</w:t>
          </w:r>
          <w:r>
            <w:t>r below $10/GJ. However, the majority of the cost of the MOS requirement was due to MOS services priced at or above $</w:t>
          </w:r>
          <w:r w:rsidR="00B11099">
            <w:t>12</w:t>
          </w:r>
          <w:r w:rsidR="000C30EF">
            <w:t>/GJ.</w:t>
          </w:r>
          <w:r w:rsidR="00B11099">
            <w:rPr>
              <w:rStyle w:val="FootnoteReference"/>
            </w:rPr>
            <w:footnoteReference w:id="17"/>
          </w:r>
          <w:r w:rsidR="000C30EF">
            <w:t xml:space="preserve"> </w:t>
          </w:r>
        </w:p>
        <w:p w:rsidR="00B11099" w:rsidRDefault="00B11099" w:rsidP="00B11099">
          <w:pPr>
            <w:pStyle w:val="Heading1notnumber"/>
            <w:spacing w:before="0" w:after="240"/>
          </w:pPr>
          <w:bookmarkStart w:id="27" w:name="_Toc477852625"/>
          <w:bookmarkStart w:id="28" w:name="_Toc477852909"/>
          <w:bookmarkStart w:id="29" w:name="_Toc478388154"/>
          <w:bookmarkStart w:id="30" w:name="_Toc478720611"/>
          <w:r>
            <w:lastRenderedPageBreak/>
            <w:t>Appendix</w:t>
          </w:r>
          <w:r w:rsidR="003C34EF">
            <w:t xml:space="preserve"> A </w:t>
          </w:r>
          <w:bookmarkEnd w:id="27"/>
          <w:bookmarkEnd w:id="28"/>
          <w:bookmarkEnd w:id="29"/>
          <w:r w:rsidR="003C34EF" w:rsidRPr="00006956">
            <w:rPr>
              <w:color w:val="70635A" w:themeColor="text2"/>
              <w:sz w:val="32"/>
              <w:szCs w:val="32"/>
            </w:rPr>
            <w:t>–</w:t>
          </w:r>
          <w:r w:rsidR="003C34EF">
            <w:rPr>
              <w:color w:val="70635A" w:themeColor="text2"/>
              <w:sz w:val="32"/>
              <w:szCs w:val="32"/>
            </w:rPr>
            <w:t xml:space="preserve"> </w:t>
          </w:r>
          <w:r w:rsidR="00D06880">
            <w:t xml:space="preserve">November </w:t>
          </w:r>
          <w:r w:rsidR="003C34EF">
            <w:t xml:space="preserve">MOS </w:t>
          </w:r>
          <w:r w:rsidR="00D06880">
            <w:t>costs</w:t>
          </w:r>
          <w:bookmarkEnd w:id="30"/>
        </w:p>
        <w:p w:rsidR="006B6F44" w:rsidRDefault="006B6F44" w:rsidP="006B6F44">
          <w:r>
            <w:t>The price paid for MOS consists of two separate components, the service cost and the commodity cost.</w:t>
          </w:r>
          <w:r w:rsidR="00A43A5C">
            <w:t xml:space="preserve"> This SPV report relates to the service cost</w:t>
          </w:r>
          <w:r w:rsidR="00D45205">
            <w:t>.</w:t>
          </w:r>
        </w:p>
        <w:p w:rsidR="006B6F44" w:rsidRDefault="006B6F44" w:rsidP="006B6F44">
          <w:r>
            <w:t xml:space="preserve">The MOS service cost is determined by the price offered and reflects the cost of providing the service. This may include contractual or non-contractual components of providing MOS offers, such as park and loan services, storage costs, opportunity costs and risk abatement. </w:t>
          </w:r>
          <w:r w:rsidRPr="00337FC1">
            <w:t>If a participant’s increase or decrease MOS offer is used on a gas day, they will receive a payment equal to the price of the relevant MOS offer multiplied by the quantity used.</w:t>
          </w:r>
          <w:r>
            <w:t xml:space="preserve"> Throughout this report this will be referred to as the MOS</w:t>
          </w:r>
          <w:r w:rsidR="00A43A5C">
            <w:t xml:space="preserve"> service</w:t>
          </w:r>
          <w:r>
            <w:t xml:space="preserve"> payment, as it is the amount paid to participants for the service provided.</w:t>
          </w:r>
        </w:p>
        <w:p w:rsidR="006B6F44" w:rsidRDefault="006B6F44" w:rsidP="006B6F44">
          <w:r>
            <w:t xml:space="preserve">The </w:t>
          </w:r>
          <w:r w:rsidR="00D45205">
            <w:t xml:space="preserve">commodity </w:t>
          </w:r>
          <w:r>
            <w:t>cost of the actual gas supplied (increase) or absorbed (decrease) is paid</w:t>
          </w:r>
          <w:r w:rsidR="00A43A5C">
            <w:t xml:space="preserve"> (in the case of increase MOS) or charged (in the case of decrease MOS)</w:t>
          </w:r>
          <w:r>
            <w:t xml:space="preserve"> at the ex ante price two days after the gas day when the MOS was needed (the D+2 price). This allows for MOS providers to place bids and offers on the following gas day (D+1) to restore MOS gas on the D+2 gas day in order to manage risks associated with price uncertainty. </w:t>
          </w:r>
        </w:p>
        <w:p w:rsidR="0053243C" w:rsidRDefault="00A71AA6" w:rsidP="006B6F44">
          <w:r>
            <w:fldChar w:fldCharType="begin"/>
          </w:r>
          <w:r>
            <w:instrText xml:space="preserve"> REF _Ref478476777 \h </w:instrText>
          </w:r>
          <w:r>
            <w:fldChar w:fldCharType="separate"/>
          </w:r>
          <w:r>
            <w:t xml:space="preserve">Figure </w:t>
          </w:r>
          <w:r>
            <w:rPr>
              <w:noProof/>
            </w:rPr>
            <w:t>4</w:t>
          </w:r>
          <w:r>
            <w:fldChar w:fldCharType="end"/>
          </w:r>
          <w:r w:rsidR="006B6F44">
            <w:t xml:space="preserve"> shows the cost of MOS delivered across the month of </w:t>
          </w:r>
          <w:r>
            <w:t xml:space="preserve">November </w:t>
          </w:r>
          <w:r w:rsidR="006B6F44">
            <w:t>2016. Commodity payments and charges for each gas day reflect the value of MOS delivered (2 days prior) at the D+2 ex ante price.</w:t>
          </w:r>
          <w:r w:rsidR="006B6F44">
            <w:rPr>
              <w:rStyle w:val="FootnoteReference"/>
            </w:rPr>
            <w:footnoteReference w:id="18"/>
          </w:r>
          <w:r w:rsidR="006B6F44">
            <w:t xml:space="preserve"> Payments made to participants for the MOS service or physical gas supplied (commodity) are shown as negative numbers, while charges to participants for the physical gas they have received (parked outside the hub) are shown as positive values.</w:t>
          </w:r>
          <w:r w:rsidR="0053243C">
            <w:t xml:space="preserve"> </w:t>
          </w:r>
        </w:p>
        <w:p w:rsidR="00A71AA6" w:rsidRDefault="00A71AA6" w:rsidP="00A71AA6">
          <w:pPr>
            <w:pStyle w:val="Caption"/>
          </w:pPr>
          <w:bookmarkStart w:id="31" w:name="_Ref478476777"/>
          <w:bookmarkStart w:id="32" w:name="_Ref448312427"/>
          <w:r>
            <w:t xml:space="preserve">Figure </w:t>
          </w:r>
          <w:fldSimple w:instr=" SEQ Figure \* ARABIC ">
            <w:r>
              <w:rPr>
                <w:noProof/>
              </w:rPr>
              <w:t>4</w:t>
            </w:r>
          </w:fldSimple>
          <w:bookmarkEnd w:id="31"/>
          <w:r>
            <w:t>: Sydney MOS payments and charges for November 2016</w:t>
          </w:r>
        </w:p>
        <w:bookmarkEnd w:id="32"/>
        <w:p w:rsidR="00CF40BE" w:rsidRDefault="00D06880">
          <w:pPr>
            <w:rPr>
              <w:b/>
              <w:noProof/>
              <w:color w:val="FF0000"/>
              <w:sz w:val="24"/>
              <w:szCs w:val="20"/>
              <w:lang w:eastAsia="en-AU"/>
            </w:rPr>
          </w:pPr>
          <w:r w:rsidRPr="00D06880">
            <w:t xml:space="preserve"> </w:t>
          </w:r>
          <w:r w:rsidRPr="00D06880">
            <w:rPr>
              <w:noProof/>
              <w:lang w:eastAsia="en-AU"/>
            </w:rPr>
            <w:drawing>
              <wp:inline distT="0" distB="0" distL="0" distR="0" wp14:anchorId="58DAC619" wp14:editId="5BEE8F3D">
                <wp:extent cx="5381624" cy="2847975"/>
                <wp:effectExtent l="0" t="0" r="0" b="0"/>
                <wp:docPr id="11" name="Picture 11" descr="Figure 4 illustrates the Sydney MOS payments and charges for Novemb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848648"/>
                        </a:xfrm>
                        <a:prstGeom prst="rect">
                          <a:avLst/>
                        </a:prstGeom>
                        <a:noFill/>
                        <a:ln>
                          <a:noFill/>
                        </a:ln>
                      </pic:spPr>
                    </pic:pic>
                  </a:graphicData>
                </a:graphic>
              </wp:inline>
            </w:drawing>
          </w:r>
        </w:p>
      </w:sdtContent>
    </w:sdt>
    <w:p w:rsidR="003C34EF" w:rsidRPr="005D6B5C" w:rsidRDefault="003C34EF" w:rsidP="005D6B5C">
      <w:pPr>
        <w:pStyle w:val="Heading1notnumber"/>
        <w:spacing w:before="0" w:after="240"/>
        <w:rPr>
          <w:color w:val="70635A" w:themeColor="text2"/>
          <w:szCs w:val="36"/>
        </w:rPr>
      </w:pPr>
      <w:bookmarkStart w:id="33" w:name="_Toc466896998"/>
      <w:bookmarkStart w:id="34" w:name="_Toc477852626"/>
      <w:bookmarkStart w:id="35" w:name="_Toc477852910"/>
      <w:bookmarkStart w:id="36" w:name="_Toc478388157"/>
      <w:bookmarkStart w:id="37" w:name="_Toc478720612"/>
      <w:r w:rsidRPr="005D6B5C">
        <w:rPr>
          <w:color w:val="70635A" w:themeColor="text2"/>
          <w:szCs w:val="36"/>
        </w:rPr>
        <w:lastRenderedPageBreak/>
        <w:t>Appendix B – AER SPV Reporting Thresholds</w:t>
      </w:r>
      <w:bookmarkEnd w:id="33"/>
      <w:bookmarkEnd w:id="34"/>
      <w:bookmarkEnd w:id="35"/>
      <w:bookmarkEnd w:id="36"/>
      <w:bookmarkEnd w:id="37"/>
    </w:p>
    <w:p w:rsidR="003C34EF" w:rsidRPr="00CB45FA" w:rsidRDefault="003C34EF" w:rsidP="003C34EF">
      <w:r>
        <w:t xml:space="preserve">Significant Price </w:t>
      </w:r>
      <w:r w:rsidRPr="00CB45FA">
        <w:t xml:space="preserve">Variation (SPV) reports </w:t>
      </w:r>
      <w:r>
        <w:t xml:space="preserve">for the Short Term Trading Market (STTM) </w:t>
      </w:r>
      <w:r w:rsidRPr="00CB45FA">
        <w:t>are published by the AER in accordance with the requirements under rule 498(1)(b) of Part</w:t>
      </w:r>
      <w:r>
        <w:t> </w:t>
      </w:r>
      <w:r w:rsidRPr="00CB45FA">
        <w:t>20 of the National Gas Rules.</w:t>
      </w:r>
    </w:p>
    <w:p w:rsidR="003C34EF" w:rsidRPr="00CB45FA" w:rsidRDefault="003C34EF" w:rsidP="003C34EF">
      <w:r w:rsidRPr="00CB45FA">
        <w:t>In accordance with rule 498(2), the AER published an STTM SPV Guideline on 21</w:t>
      </w:r>
      <w:r>
        <w:t> </w:t>
      </w:r>
      <w:r w:rsidRPr="00CB45FA">
        <w:t>December 2012. The guideline sets out a number of thresholds that determine whether or not an SPV has occurred.</w:t>
      </w:r>
    </w:p>
    <w:p w:rsidR="003C34EF" w:rsidRDefault="003C34EF" w:rsidP="003C34EF">
      <w:r>
        <w:t xml:space="preserve">The five reporting thresholds set out in the </w:t>
      </w:r>
      <w:hyperlink r:id="rId21" w:history="1">
        <w:r w:rsidRPr="00010935">
          <w:rPr>
            <w:rStyle w:val="Hyperlink"/>
          </w:rPr>
          <w:t>STTM SPV guideline</w:t>
        </w:r>
      </w:hyperlink>
      <w:r>
        <w:t xml:space="preserve"> are:</w:t>
      </w:r>
    </w:p>
    <w:p w:rsidR="003C34EF" w:rsidRDefault="003C34EF" w:rsidP="003C34EF">
      <w:pPr>
        <w:pStyle w:val="ListBullet"/>
        <w:ind w:left="720" w:hanging="360"/>
      </w:pPr>
      <w:r>
        <w:t>variations</w:t>
      </w:r>
      <w:r w:rsidRPr="00010935">
        <w:t xml:space="preserve"> greater than $7/GJ between </w:t>
      </w:r>
      <w:r>
        <w:t>the D-2 price and ex ante price</w:t>
      </w:r>
    </w:p>
    <w:p w:rsidR="003C34EF" w:rsidRDefault="003C34EF" w:rsidP="003C34EF">
      <w:pPr>
        <w:pStyle w:val="ListBullet"/>
        <w:ind w:left="720" w:hanging="360"/>
      </w:pPr>
      <w:r>
        <w:t>variations</w:t>
      </w:r>
      <w:r w:rsidRPr="00010935">
        <w:t xml:space="preserve"> greater than $7/GJ between the ex</w:t>
      </w:r>
      <w:r>
        <w:t> ante and the ex post price</w:t>
      </w:r>
    </w:p>
    <w:p w:rsidR="003C34EF" w:rsidRDefault="003C34EF" w:rsidP="003C34EF">
      <w:pPr>
        <w:pStyle w:val="ListBullet"/>
        <w:ind w:left="720" w:hanging="360"/>
      </w:pPr>
      <w:r>
        <w:t>the ex </w:t>
      </w:r>
      <w:r w:rsidRPr="00010935">
        <w:t xml:space="preserve">ante price </w:t>
      </w:r>
      <w:r>
        <w:t>being</w:t>
      </w:r>
      <w:r w:rsidRPr="00010935">
        <w:t xml:space="preserve"> greater than three times the 30 day rolling averag</w:t>
      </w:r>
      <w:r>
        <w:t>e price and greater than $15/GJ</w:t>
      </w:r>
    </w:p>
    <w:p w:rsidR="003C34EF" w:rsidRDefault="003C34EF" w:rsidP="003C34EF">
      <w:pPr>
        <w:pStyle w:val="ListBullet"/>
        <w:ind w:left="720" w:hanging="360"/>
      </w:pPr>
      <w:r>
        <w:t>the ex post price being</w:t>
      </w:r>
      <w:r w:rsidRPr="00010935">
        <w:t xml:space="preserve"> greater than three times the 30 day rolling averag</w:t>
      </w:r>
      <w:r>
        <w:t>e price and greater than $15/GJ</w:t>
      </w:r>
    </w:p>
    <w:p w:rsidR="003C34EF" w:rsidRDefault="003C34EF" w:rsidP="003C34EF">
      <w:pPr>
        <w:pStyle w:val="ListBullet"/>
        <w:ind w:left="720" w:hanging="360"/>
      </w:pPr>
      <w:r w:rsidRPr="00010935">
        <w:t>MOS service payment</w:t>
      </w:r>
      <w:r>
        <w:t>s exceeds $250,000.</w:t>
      </w:r>
    </w:p>
    <w:p w:rsidR="003C34EF" w:rsidRPr="00006956" w:rsidRDefault="003C34EF" w:rsidP="003C34EF">
      <w:r w:rsidRPr="00006956">
        <w:t>In accordance with rule 354 of Part 19 of the Gas Rules, the AER published a SPV reporting guideline for Victoria’s Declared Wholesale Gas Market (DWGM)</w:t>
      </w:r>
      <w:r>
        <w:t xml:space="preserve"> in June 2010</w:t>
      </w:r>
      <w:r w:rsidRPr="00006956">
        <w:t xml:space="preserve">. </w:t>
      </w:r>
    </w:p>
    <w:p w:rsidR="003C34EF" w:rsidRDefault="003C34EF" w:rsidP="003C34EF">
      <w:r>
        <w:t xml:space="preserve">The two reporting thresholds set out in the </w:t>
      </w:r>
      <w:hyperlink r:id="rId22" w:history="1">
        <w:r w:rsidRPr="00010935">
          <w:rPr>
            <w:rStyle w:val="Hyperlink"/>
          </w:rPr>
          <w:t>Victorian SPV guideline</w:t>
        </w:r>
      </w:hyperlink>
      <w:r>
        <w:t xml:space="preserve"> are when:</w:t>
      </w:r>
    </w:p>
    <w:p w:rsidR="003C34EF" w:rsidRDefault="003C34EF" w:rsidP="003C34EF">
      <w:pPr>
        <w:pStyle w:val="ListBullet"/>
        <w:ind w:left="720" w:hanging="360"/>
      </w:pPr>
      <w:r>
        <w:t>the trade weighted market price published by AEMO on a gas day is more than three times the average price for the previous 30 days and the trade weighted market price is equal to or greater than $15/GJ</w:t>
      </w:r>
    </w:p>
    <w:p w:rsidR="003C34EF" w:rsidRPr="0012413F" w:rsidRDefault="003C34EF" w:rsidP="003C34EF">
      <w:pPr>
        <w:pStyle w:val="ListBullet"/>
        <w:ind w:left="720" w:hanging="360"/>
      </w:pPr>
      <w:r>
        <w:t>the ancillary payment amount published by AEMO on a gas day is an amount payable or receivable which exceeds $250,000.</w:t>
      </w:r>
    </w:p>
    <w:p w:rsidR="003C34EF" w:rsidRPr="00885E7B" w:rsidRDefault="003C34EF"/>
    <w:sectPr w:rsidR="003C34EF" w:rsidRPr="00885E7B" w:rsidSect="00F71B0D">
      <w:footerReference w:type="even" r:id="rId23"/>
      <w:footerReference w:type="default" r:id="rId24"/>
      <w:footerReference w:type="first" r:id="rId25"/>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E1" w:rsidRDefault="00C353E1">
      <w:pPr>
        <w:spacing w:before="0" w:line="240" w:lineRule="auto"/>
      </w:pPr>
      <w:r>
        <w:separator/>
      </w:r>
    </w:p>
  </w:endnote>
  <w:endnote w:type="continuationSeparator" w:id="0">
    <w:p w:rsidR="00C353E1" w:rsidRDefault="00C353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E1" w:rsidRPr="007A4D1F" w:rsidRDefault="00CA20E7" w:rsidP="003610D1">
    <w:pPr>
      <w:tabs>
        <w:tab w:val="left" w:pos="1623"/>
        <w:tab w:val="center" w:pos="4513"/>
        <w:tab w:val="right" w:pos="9026"/>
      </w:tabs>
      <w:spacing w:after="120"/>
      <w:rPr>
        <w:rFonts w:eastAsia="Arial" w:cs="Times New Roman"/>
        <w:color w:val="076A92" w:themeColor="text1"/>
        <w:sz w:val="18"/>
      </w:rPr>
    </w:pPr>
    <w:r>
      <w:rPr>
        <w:rFonts w:eastAsia="Arial" w:cs="Times New Roman"/>
        <w:b/>
        <w:color w:val="076A92" w:themeColor="text1"/>
        <w:sz w:val="18"/>
      </w:rPr>
      <w:t>Significant price variation report</w:t>
    </w:r>
    <w:r>
      <w:rPr>
        <w:rFonts w:eastAsia="Arial" w:cs="Times New Roman"/>
        <w:color w:val="076A92" w:themeColor="text1"/>
        <w:sz w:val="18"/>
      </w:rPr>
      <w:t>, MOS Service Payments, Sydney, 7 November 2016</w:t>
    </w:r>
    <w:r w:rsidR="009F299C">
      <w:rPr>
        <w:rFonts w:eastAsia="Arial" w:cs="Times New Roman"/>
        <w:color w:val="076A92" w:themeColor="text1"/>
        <w:sz w:val="18"/>
      </w:rPr>
      <w:tab/>
    </w:r>
    <w:r w:rsidR="00C353E1" w:rsidRPr="007A4D1F">
      <w:rPr>
        <w:rFonts w:eastAsia="Arial" w:cs="Times New Roman"/>
        <w:color w:val="076A92" w:themeColor="text1"/>
        <w:sz w:val="18"/>
      </w:rPr>
      <w:fldChar w:fldCharType="begin"/>
    </w:r>
    <w:r w:rsidR="00C353E1" w:rsidRPr="007A4D1F">
      <w:rPr>
        <w:rFonts w:eastAsia="Arial" w:cs="Times New Roman"/>
        <w:color w:val="076A92" w:themeColor="text1"/>
        <w:sz w:val="18"/>
      </w:rPr>
      <w:instrText xml:space="preserve"> PAGE   \* MERGEFORMAT </w:instrText>
    </w:r>
    <w:r w:rsidR="00C353E1" w:rsidRPr="007A4D1F">
      <w:rPr>
        <w:rFonts w:eastAsia="Arial" w:cs="Times New Roman"/>
        <w:color w:val="076A92" w:themeColor="text1"/>
        <w:sz w:val="18"/>
      </w:rPr>
      <w:fldChar w:fldCharType="separate"/>
    </w:r>
    <w:r w:rsidR="00FE3B60">
      <w:rPr>
        <w:rFonts w:eastAsia="Arial" w:cs="Times New Roman"/>
        <w:noProof/>
        <w:color w:val="076A92" w:themeColor="text1"/>
        <w:sz w:val="18"/>
      </w:rPr>
      <w:t>i</w:t>
    </w:r>
    <w:r w:rsidR="00C353E1" w:rsidRPr="007A4D1F">
      <w:rPr>
        <w:rFonts w:eastAsia="Arial" w:cs="Times New Roman"/>
        <w:noProof/>
        <w:color w:val="076A92" w:themeColor="text1"/>
        <w:sz w:val="18"/>
      </w:rPr>
      <w:fldChar w:fldCharType="end"/>
    </w:r>
    <w:r w:rsidR="00C353E1" w:rsidRPr="007A4D1F">
      <w:rPr>
        <w:rFonts w:eastAsia="Arial" w:cs="Times New Roman"/>
        <w:color w:val="076A92" w:themeColor="text1"/>
        <w:sz w:val="18"/>
      </w:rPr>
      <w:tab/>
    </w:r>
  </w:p>
  <w:p w:rsidR="00C353E1" w:rsidRDefault="00C353E1"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E1" w:rsidRPr="00A91A9E" w:rsidRDefault="00C353E1"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353E1" w:rsidRDefault="00C353E1"/>
  <w:p w:rsidR="00C353E1" w:rsidRDefault="00C353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E1" w:rsidRDefault="00CA20E7" w:rsidP="003610D1">
    <w:pPr>
      <w:pStyle w:val="Footer"/>
      <w:tabs>
        <w:tab w:val="clear" w:pos="9026"/>
        <w:tab w:val="right" w:pos="8505"/>
      </w:tabs>
    </w:pPr>
    <w:r>
      <w:rPr>
        <w:rFonts w:eastAsia="Arial" w:cs="Times New Roman"/>
        <w:b/>
      </w:rPr>
      <w:t>Significant price variation report</w:t>
    </w:r>
    <w:r>
      <w:rPr>
        <w:rFonts w:eastAsia="Arial" w:cs="Times New Roman"/>
      </w:rPr>
      <w:t>, MOS Service Payments, Sydney, 7 November 2016</w:t>
    </w:r>
    <w:r w:rsidR="00C353E1">
      <w:tab/>
    </w:r>
    <w:r w:rsidR="00C353E1">
      <w:tab/>
    </w:r>
    <w:r w:rsidR="00C353E1">
      <w:fldChar w:fldCharType="begin"/>
    </w:r>
    <w:r w:rsidR="00C353E1">
      <w:instrText xml:space="preserve"> PAGE   \* MERGEFORMAT </w:instrText>
    </w:r>
    <w:r w:rsidR="00C353E1">
      <w:fldChar w:fldCharType="separate"/>
    </w:r>
    <w:r w:rsidR="00FE3B60">
      <w:rPr>
        <w:noProof/>
      </w:rPr>
      <w:t>13</w:t>
    </w:r>
    <w:r w:rsidR="00C353E1">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E1" w:rsidRDefault="004D0B34" w:rsidP="003610D1">
    <w:pPr>
      <w:pStyle w:val="Footer"/>
      <w:tabs>
        <w:tab w:val="clear" w:pos="9026"/>
        <w:tab w:val="right" w:pos="8505"/>
      </w:tabs>
    </w:pPr>
    <w:fldSimple w:instr=" STYLEREF  &quot;Report Title&quot;  \* MERGEFORMAT ">
      <w:r w:rsidR="00C353E1">
        <w:rPr>
          <w:noProof/>
        </w:rPr>
        <w:t>Gas market significant price variation report</w:t>
      </w:r>
    </w:fldSimple>
    <w:r w:rsidR="00C353E1">
      <w:tab/>
    </w:r>
    <w:r w:rsidR="00C353E1">
      <w:tab/>
    </w:r>
    <w:r w:rsidR="00C353E1">
      <w:fldChar w:fldCharType="begin"/>
    </w:r>
    <w:r w:rsidR="00C353E1">
      <w:instrText xml:space="preserve"> PAGE   \* MERGEFORMAT </w:instrText>
    </w:r>
    <w:r w:rsidR="00C353E1">
      <w:fldChar w:fldCharType="separate"/>
    </w:r>
    <w:r w:rsidR="00C353E1">
      <w:rPr>
        <w:noProof/>
      </w:rPr>
      <w:t>1</w:t>
    </w:r>
    <w:r w:rsidR="00C353E1">
      <w:fldChar w:fldCharType="end"/>
    </w:r>
  </w:p>
  <w:p w:rsidR="00C353E1" w:rsidRDefault="00C353E1">
    <w:pPr>
      <w:pStyle w:val="Footer"/>
    </w:pPr>
  </w:p>
  <w:p w:rsidR="00C353E1" w:rsidRDefault="00C353E1"/>
  <w:p w:rsidR="00C353E1" w:rsidRDefault="00C353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E1" w:rsidRDefault="00C353E1">
      <w:pPr>
        <w:spacing w:before="0" w:line="240" w:lineRule="auto"/>
      </w:pPr>
      <w:r>
        <w:separator/>
      </w:r>
    </w:p>
  </w:footnote>
  <w:footnote w:type="continuationSeparator" w:id="0">
    <w:p w:rsidR="00C353E1" w:rsidRDefault="00C353E1">
      <w:pPr>
        <w:spacing w:before="0" w:line="240" w:lineRule="auto"/>
      </w:pPr>
      <w:r>
        <w:continuationSeparator/>
      </w:r>
    </w:p>
  </w:footnote>
  <w:footnote w:id="1">
    <w:p w:rsidR="00881B17" w:rsidRDefault="00881B17" w:rsidP="00881B17">
      <w:pPr>
        <w:pStyle w:val="FootnoteText"/>
      </w:pPr>
      <w:r>
        <w:rPr>
          <w:rStyle w:val="FootnoteReference"/>
        </w:rPr>
        <w:footnoteRef/>
      </w:r>
      <w:r>
        <w:t xml:space="preserve"> </w:t>
      </w:r>
      <w:r>
        <w:tab/>
        <w:t>Rule 498(2) of the NGR. The AER’s SPV reporting thresholds are included at Appendix B.</w:t>
      </w:r>
    </w:p>
  </w:footnote>
  <w:footnote w:id="2">
    <w:p w:rsidR="00881B17" w:rsidRDefault="00881B17" w:rsidP="00881B17">
      <w:pPr>
        <w:pStyle w:val="FootnoteText"/>
      </w:pPr>
      <w:r>
        <w:rPr>
          <w:rStyle w:val="FootnoteReference"/>
        </w:rPr>
        <w:footnoteRef/>
      </w:r>
      <w:r>
        <w:t xml:space="preserve"> </w:t>
      </w:r>
      <w:r>
        <w:tab/>
        <w:t>There are two kinds of payments which relate to MOS service payments (which cover the cost of providing the service) and commodity payments (which cover the cost of the actual gas). This report relates to MOS service payments.</w:t>
      </w:r>
    </w:p>
  </w:footnote>
  <w:footnote w:id="3">
    <w:p w:rsidR="00881B17" w:rsidRDefault="00881B17" w:rsidP="00881B17">
      <w:pPr>
        <w:pStyle w:val="FootnoteText"/>
      </w:pPr>
      <w:r>
        <w:rPr>
          <w:rStyle w:val="FootnoteReference"/>
        </w:rPr>
        <w:footnoteRef/>
      </w:r>
      <w:r>
        <w:t xml:space="preserve"> </w:t>
      </w:r>
      <w:r>
        <w:tab/>
        <w:t>Adelaide and Brisbane also have short term trading markets.</w:t>
      </w:r>
    </w:p>
  </w:footnote>
  <w:footnote w:id="4">
    <w:p w:rsidR="00C353E1" w:rsidRDefault="00C353E1" w:rsidP="00293C20">
      <w:pPr>
        <w:pStyle w:val="FootnoteText"/>
      </w:pPr>
      <w:r>
        <w:rPr>
          <w:rStyle w:val="FootnoteReference"/>
        </w:rPr>
        <w:footnoteRef/>
      </w:r>
      <w:r>
        <w:t xml:space="preserve"> </w:t>
      </w:r>
      <w:r>
        <w:tab/>
        <w:t>MOS, and pipeline deviations, are explained further in the appendix.</w:t>
      </w:r>
    </w:p>
  </w:footnote>
  <w:footnote w:id="5">
    <w:p w:rsidR="00C353E1" w:rsidRDefault="00C353E1">
      <w:pPr>
        <w:pStyle w:val="FootnoteText"/>
      </w:pPr>
      <w:r>
        <w:rPr>
          <w:rStyle w:val="FootnoteReference"/>
        </w:rPr>
        <w:footnoteRef/>
      </w:r>
      <w:r>
        <w:t xml:space="preserve"> </w:t>
      </w:r>
      <w:r>
        <w:tab/>
      </w:r>
      <w:r w:rsidRPr="0006788A">
        <w:t xml:space="preserve">Overrun is priced at the highest priced MOS price step in the applicable MOS stack </w:t>
      </w:r>
      <w:r>
        <w:t>when the requirement</w:t>
      </w:r>
      <w:r w:rsidRPr="0006788A">
        <w:t xml:space="preserve"> is greater than AEMO’s estimate.</w:t>
      </w:r>
      <w:r>
        <w:t xml:space="preserve"> When the requirement is less than AEMO’s estimate, overrun is priced at the </w:t>
      </w:r>
      <w:r w:rsidRPr="00A43A5C">
        <w:t xml:space="preserve">weighted average cost of the service (capped at </w:t>
      </w:r>
      <w:r>
        <w:t xml:space="preserve">MOS cost cap of $50/GJ) </w:t>
      </w:r>
      <w:r w:rsidRPr="00A43A5C">
        <w:t>determined by the cost of MOS in the stack.</w:t>
      </w:r>
    </w:p>
  </w:footnote>
  <w:footnote w:id="6">
    <w:p w:rsidR="003655BA" w:rsidRDefault="003655BA">
      <w:pPr>
        <w:pStyle w:val="FootnoteText"/>
      </w:pPr>
      <w:r>
        <w:rPr>
          <w:rStyle w:val="FootnoteReference"/>
        </w:rPr>
        <w:footnoteRef/>
      </w:r>
      <w:r>
        <w:t xml:space="preserve"> </w:t>
      </w:r>
      <w:r w:rsidRPr="003655BA">
        <w:t>https://www.aer.gov.au/wholesale-markets/market-performance/significant-price-variation-report-13-and-23-january-2016-sydney-sttm</w:t>
      </w:r>
    </w:p>
  </w:footnote>
  <w:footnote w:id="7">
    <w:p w:rsidR="003655BA" w:rsidRDefault="003655BA">
      <w:pPr>
        <w:pStyle w:val="FootnoteText"/>
      </w:pPr>
      <w:r>
        <w:rPr>
          <w:rStyle w:val="FootnoteReference"/>
        </w:rPr>
        <w:footnoteRef/>
      </w:r>
      <w:r>
        <w:t xml:space="preserve"> </w:t>
      </w:r>
      <w:r>
        <w:tab/>
      </w:r>
      <w:r w:rsidRPr="003655BA">
        <w:t>https://www.aer.gov.au/wholesale-markets/compliance-reporting/significant-price-variation-report-july-august-2016</w:t>
      </w:r>
    </w:p>
  </w:footnote>
  <w:footnote w:id="8">
    <w:p w:rsidR="003345C0" w:rsidRDefault="003345C0" w:rsidP="00092B84">
      <w:pPr>
        <w:pStyle w:val="FootnoteText"/>
        <w:ind w:left="0" w:firstLine="0"/>
      </w:pPr>
      <w:r>
        <w:rPr>
          <w:rStyle w:val="FootnoteReference"/>
        </w:rPr>
        <w:footnoteRef/>
      </w:r>
      <w:r>
        <w:t xml:space="preserve"> </w:t>
      </w:r>
      <w:r>
        <w:tab/>
        <w:t xml:space="preserve">Our latest observations were reported </w:t>
      </w:r>
      <w:r w:rsidRPr="00193432">
        <w:rPr>
          <w:szCs w:val="16"/>
        </w:rPr>
        <w:t xml:space="preserve">in our last </w:t>
      </w:r>
      <w:hyperlink r:id="rId1" w:history="1">
        <w:r w:rsidRPr="00A762EA">
          <w:rPr>
            <w:rStyle w:val="Hyperlink"/>
            <w:sz w:val="16"/>
            <w:szCs w:val="16"/>
          </w:rPr>
          <w:t>qua</w:t>
        </w:r>
        <w:r>
          <w:rPr>
            <w:rStyle w:val="Hyperlink"/>
            <w:sz w:val="16"/>
            <w:szCs w:val="16"/>
          </w:rPr>
          <w:t>r</w:t>
        </w:r>
        <w:r w:rsidRPr="00A762EA">
          <w:rPr>
            <w:rStyle w:val="Hyperlink"/>
            <w:sz w:val="16"/>
            <w:szCs w:val="16"/>
          </w:rPr>
          <w:t>terly compliance report</w:t>
        </w:r>
      </w:hyperlink>
      <w:r>
        <w:rPr>
          <w:szCs w:val="16"/>
        </w:rPr>
        <w:t>.</w:t>
      </w:r>
    </w:p>
  </w:footnote>
  <w:footnote w:id="9">
    <w:p w:rsidR="00A762EA" w:rsidRDefault="00C353E1">
      <w:pPr>
        <w:pStyle w:val="FootnoteText"/>
      </w:pPr>
      <w:r>
        <w:rPr>
          <w:rStyle w:val="FootnoteReference"/>
        </w:rPr>
        <w:footnoteRef/>
      </w:r>
      <w:r>
        <w:t xml:space="preserve"> </w:t>
      </w:r>
      <w:r w:rsidR="00A762EA">
        <w:tab/>
      </w:r>
      <w:r>
        <w:t xml:space="preserve">This chart was first reported in the </w:t>
      </w:r>
      <w:r w:rsidRPr="003F7D9A">
        <w:t>AER’s April–June 2014 Quarterly Compliance Report:</w:t>
      </w:r>
    </w:p>
    <w:p w:rsidR="00C353E1" w:rsidRDefault="00C353E1">
      <w:pPr>
        <w:pStyle w:val="FootnoteText"/>
      </w:pPr>
      <w:r>
        <w:t xml:space="preserve"> </w:t>
      </w:r>
      <w:r w:rsidR="00A762EA">
        <w:tab/>
      </w:r>
      <w:hyperlink r:id="rId2" w:history="1">
        <w:r w:rsidRPr="007358C1">
          <w:rPr>
            <w:rStyle w:val="Hyperlink"/>
            <w:sz w:val="16"/>
          </w:rPr>
          <w:t>https://www.aer.gov.au/wholesale-markets/compliance-reporting/quarterly-compliance-report-april-june-2014</w:t>
        </w:r>
      </w:hyperlink>
      <w:r>
        <w:t xml:space="preserve"> </w:t>
      </w:r>
    </w:p>
  </w:footnote>
  <w:footnote w:id="10">
    <w:p w:rsidR="00C353E1" w:rsidRDefault="00C353E1">
      <w:pPr>
        <w:pStyle w:val="FootnoteText"/>
      </w:pPr>
      <w:r>
        <w:rPr>
          <w:rStyle w:val="FootnoteReference"/>
        </w:rPr>
        <w:footnoteRef/>
      </w:r>
      <w:r>
        <w:t xml:space="preserve"> </w:t>
      </w:r>
      <w:r>
        <w:tab/>
        <w:t>2015–16 FYTD average calculated at 1 March 2017</w:t>
      </w:r>
    </w:p>
  </w:footnote>
  <w:footnote w:id="11">
    <w:p w:rsidR="00A762EA" w:rsidRDefault="00A762EA">
      <w:pPr>
        <w:pStyle w:val="FootnoteText"/>
      </w:pPr>
      <w:r>
        <w:rPr>
          <w:rStyle w:val="FootnoteReference"/>
        </w:rPr>
        <w:footnoteRef/>
      </w:r>
      <w:r>
        <w:t xml:space="preserve"> </w:t>
      </w:r>
      <w:r>
        <w:tab/>
        <w:t xml:space="preserve">The net decrease requirement, largely to balance the over forecast demand error in the Sydney distribution system, was </w:t>
      </w:r>
      <w:r w:rsidR="00755ADF">
        <w:t xml:space="preserve">28.9 TJ. However, due to physical constraints in the system, 3.4 TJ of increase MOS was allocated on the EGP. Thus, the equivalent quantity of decrease MOS was provided on the MSP increasing the total cost for the balancing </w:t>
      </w:r>
      <w:r w:rsidR="00D45205">
        <w:t xml:space="preserve"> </w:t>
      </w:r>
      <w:r w:rsidR="00755ADF">
        <w:t>gas services on the day by around $86.582 (compared to 28.9 TJ of decrease MOS provided solely on the</w:t>
      </w:r>
      <w:r w:rsidR="001A26F6">
        <w:t xml:space="preserve"> pressure controlled</w:t>
      </w:r>
      <w:r w:rsidR="00755ADF">
        <w:t xml:space="preserve"> MSP). This drove the MOS service cost above the $250,000 reporting threshold.</w:t>
      </w:r>
    </w:p>
  </w:footnote>
  <w:footnote w:id="12">
    <w:p w:rsidR="00C353E1" w:rsidRDefault="00C353E1" w:rsidP="00A1197B">
      <w:pPr>
        <w:pStyle w:val="FootnoteText"/>
      </w:pPr>
      <w:r>
        <w:rPr>
          <w:rStyle w:val="FootnoteReference"/>
        </w:rPr>
        <w:footnoteRef/>
      </w:r>
      <w:r>
        <w:t xml:space="preserve"> </w:t>
      </w:r>
      <w:r>
        <w:tab/>
        <w:t>Rule 410(1) of the NGR</w:t>
      </w:r>
    </w:p>
  </w:footnote>
  <w:footnote w:id="13">
    <w:p w:rsidR="00C353E1" w:rsidRDefault="00C353E1" w:rsidP="00A1197B">
      <w:pPr>
        <w:pStyle w:val="FootnoteText"/>
      </w:pPr>
      <w:r>
        <w:rPr>
          <w:rStyle w:val="FootnoteReference"/>
        </w:rPr>
        <w:footnoteRef/>
      </w:r>
      <w:r>
        <w:t xml:space="preserve"> </w:t>
      </w:r>
      <w:r>
        <w:tab/>
        <w:t>Rule 405(1) of the NGR</w:t>
      </w:r>
    </w:p>
  </w:footnote>
  <w:footnote w:id="14">
    <w:p w:rsidR="00C353E1" w:rsidRDefault="00C353E1" w:rsidP="00A1197B">
      <w:pPr>
        <w:pStyle w:val="FootnoteText"/>
      </w:pPr>
      <w:r>
        <w:rPr>
          <w:rStyle w:val="FootnoteReference"/>
        </w:rPr>
        <w:footnoteRef/>
      </w:r>
      <w:r>
        <w:t xml:space="preserve"> </w:t>
      </w:r>
      <w:r>
        <w:tab/>
        <w:t>Rule 399(6) of the NGR</w:t>
      </w:r>
    </w:p>
  </w:footnote>
  <w:footnote w:id="15">
    <w:p w:rsidR="00D45205" w:rsidRDefault="00D45205">
      <w:pPr>
        <w:pStyle w:val="FootnoteText"/>
      </w:pPr>
      <w:r>
        <w:rPr>
          <w:rStyle w:val="FootnoteReference"/>
        </w:rPr>
        <w:footnoteRef/>
      </w:r>
      <w:r>
        <w:t xml:space="preserve"> </w:t>
      </w:r>
      <w:r>
        <w:tab/>
        <w:t xml:space="preserve">Based on preliminary allocations by participants which although likely to be indicative may vary in final allocations </w:t>
      </w:r>
    </w:p>
  </w:footnote>
  <w:footnote w:id="16">
    <w:p w:rsidR="00227F82" w:rsidRDefault="00227F82">
      <w:pPr>
        <w:pStyle w:val="FootnoteText"/>
      </w:pPr>
      <w:r>
        <w:rPr>
          <w:rStyle w:val="FootnoteReference"/>
        </w:rPr>
        <w:footnoteRef/>
      </w:r>
      <w:r>
        <w:t xml:space="preserve"> </w:t>
      </w:r>
      <w:r>
        <w:tab/>
        <w:t>This was also influenced by 21.4 TJ of backhaul scheduled on the MSP which diverted some supply upstream of the hub.</w:t>
      </w:r>
    </w:p>
  </w:footnote>
  <w:footnote w:id="17">
    <w:p w:rsidR="00B11099" w:rsidRDefault="00B11099">
      <w:pPr>
        <w:pStyle w:val="FootnoteText"/>
      </w:pPr>
      <w:r>
        <w:rPr>
          <w:rStyle w:val="FootnoteReference"/>
        </w:rPr>
        <w:footnoteRef/>
      </w:r>
      <w:r>
        <w:t xml:space="preserve"> </w:t>
      </w:r>
      <w:r>
        <w:tab/>
        <w:t>The last 13.7 TJ of decrease MOS on the MSP required services offered between $12.75/GJ and $26/GJ, accounting for $228,764 of the total service cost on the day.</w:t>
      </w:r>
    </w:p>
  </w:footnote>
  <w:footnote w:id="18">
    <w:p w:rsidR="00C353E1" w:rsidRDefault="00C353E1" w:rsidP="006B6F44">
      <w:pPr>
        <w:pStyle w:val="FootnoteText"/>
      </w:pPr>
      <w:r>
        <w:rPr>
          <w:rStyle w:val="FootnoteReference"/>
        </w:rPr>
        <w:footnoteRef/>
      </w:r>
      <w:r>
        <w:t xml:space="preserve"> </w:t>
      </w:r>
      <w:r>
        <w:tab/>
        <w:t xml:space="preserve">For example, the service payment for the MOS requirement on the </w:t>
      </w:r>
      <w:r w:rsidR="00A71AA6">
        <w:t xml:space="preserve">7 November </w:t>
      </w:r>
      <w:r>
        <w:t xml:space="preserve">gas day is shown for </w:t>
      </w:r>
      <w:r w:rsidR="00A71AA6">
        <w:t xml:space="preserve">7 November </w:t>
      </w:r>
      <w:r>
        <w:t xml:space="preserve">in the chart, whereas the commodity payment for decrease MOS (on the MSP) and charge for increase MOS (on the EGP) are displayed on the </w:t>
      </w:r>
      <w:r w:rsidR="00A71AA6">
        <w:t>9 November</w:t>
      </w:r>
      <w:r>
        <w:t xml:space="preserve"> gas day in the chart (when the D+2 price is calculated).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4F740F"/>
    <w:multiLevelType w:val="hybridMultilevel"/>
    <w:tmpl w:val="895E5F44"/>
    <w:lvl w:ilvl="0" w:tplc="0C090001">
      <w:start w:val="1"/>
      <w:numFmt w:val="bullet"/>
      <w:lvlText w:val=""/>
      <w:lvlJc w:val="left"/>
      <w:pPr>
        <w:ind w:left="1057" w:hanging="360"/>
      </w:pPr>
      <w:rPr>
        <w:rFonts w:ascii="Symbol" w:hAnsi="Symbol" w:hint="default"/>
      </w:rPr>
    </w:lvl>
    <w:lvl w:ilvl="1" w:tplc="0C090003" w:tentative="1">
      <w:start w:val="1"/>
      <w:numFmt w:val="bullet"/>
      <w:lvlText w:val="o"/>
      <w:lvlJc w:val="left"/>
      <w:pPr>
        <w:ind w:left="1777" w:hanging="360"/>
      </w:pPr>
      <w:rPr>
        <w:rFonts w:ascii="Courier New" w:hAnsi="Courier New" w:cs="Courier New" w:hint="default"/>
      </w:rPr>
    </w:lvl>
    <w:lvl w:ilvl="2" w:tplc="0C090005" w:tentative="1">
      <w:start w:val="1"/>
      <w:numFmt w:val="bullet"/>
      <w:lvlText w:val=""/>
      <w:lvlJc w:val="left"/>
      <w:pPr>
        <w:ind w:left="2497" w:hanging="360"/>
      </w:pPr>
      <w:rPr>
        <w:rFonts w:ascii="Wingdings" w:hAnsi="Wingdings" w:hint="default"/>
      </w:rPr>
    </w:lvl>
    <w:lvl w:ilvl="3" w:tplc="0C090001" w:tentative="1">
      <w:start w:val="1"/>
      <w:numFmt w:val="bullet"/>
      <w:lvlText w:val=""/>
      <w:lvlJc w:val="left"/>
      <w:pPr>
        <w:ind w:left="3217" w:hanging="360"/>
      </w:pPr>
      <w:rPr>
        <w:rFonts w:ascii="Symbol" w:hAnsi="Symbol" w:hint="default"/>
      </w:rPr>
    </w:lvl>
    <w:lvl w:ilvl="4" w:tplc="0C090003" w:tentative="1">
      <w:start w:val="1"/>
      <w:numFmt w:val="bullet"/>
      <w:lvlText w:val="o"/>
      <w:lvlJc w:val="left"/>
      <w:pPr>
        <w:ind w:left="3937" w:hanging="360"/>
      </w:pPr>
      <w:rPr>
        <w:rFonts w:ascii="Courier New" w:hAnsi="Courier New" w:cs="Courier New" w:hint="default"/>
      </w:rPr>
    </w:lvl>
    <w:lvl w:ilvl="5" w:tplc="0C090005" w:tentative="1">
      <w:start w:val="1"/>
      <w:numFmt w:val="bullet"/>
      <w:lvlText w:val=""/>
      <w:lvlJc w:val="left"/>
      <w:pPr>
        <w:ind w:left="4657" w:hanging="360"/>
      </w:pPr>
      <w:rPr>
        <w:rFonts w:ascii="Wingdings" w:hAnsi="Wingdings" w:hint="default"/>
      </w:rPr>
    </w:lvl>
    <w:lvl w:ilvl="6" w:tplc="0C090001" w:tentative="1">
      <w:start w:val="1"/>
      <w:numFmt w:val="bullet"/>
      <w:lvlText w:val=""/>
      <w:lvlJc w:val="left"/>
      <w:pPr>
        <w:ind w:left="5377" w:hanging="360"/>
      </w:pPr>
      <w:rPr>
        <w:rFonts w:ascii="Symbol" w:hAnsi="Symbol" w:hint="default"/>
      </w:rPr>
    </w:lvl>
    <w:lvl w:ilvl="7" w:tplc="0C090003" w:tentative="1">
      <w:start w:val="1"/>
      <w:numFmt w:val="bullet"/>
      <w:lvlText w:val="o"/>
      <w:lvlJc w:val="left"/>
      <w:pPr>
        <w:ind w:left="6097" w:hanging="360"/>
      </w:pPr>
      <w:rPr>
        <w:rFonts w:ascii="Courier New" w:hAnsi="Courier New" w:cs="Courier New" w:hint="default"/>
      </w:rPr>
    </w:lvl>
    <w:lvl w:ilvl="8" w:tplc="0C090005" w:tentative="1">
      <w:start w:val="1"/>
      <w:numFmt w:val="bullet"/>
      <w:lvlText w:val=""/>
      <w:lvlJc w:val="left"/>
      <w:pPr>
        <w:ind w:left="6817"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23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1C56E0D"/>
    <w:multiLevelType w:val="hybridMultilevel"/>
    <w:tmpl w:val="537E6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5469A2"/>
    <w:multiLevelType w:val="hybridMultilevel"/>
    <w:tmpl w:val="FFD0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06668F"/>
    <w:multiLevelType w:val="hybridMultilevel"/>
    <w:tmpl w:val="B7F84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1925F60"/>
    <w:multiLevelType w:val="hybridMultilevel"/>
    <w:tmpl w:val="5A1E9C9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2">
    <w:nsid w:val="32F51475"/>
    <w:multiLevelType w:val="hybridMultilevel"/>
    <w:tmpl w:val="DB80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725C8E"/>
    <w:multiLevelType w:val="hybridMultilevel"/>
    <w:tmpl w:val="E91697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9">
    <w:nsid w:val="68BB1454"/>
    <w:multiLevelType w:val="hybridMultilevel"/>
    <w:tmpl w:val="75F48B8A"/>
    <w:lvl w:ilvl="0" w:tplc="2534C13A">
      <w:start w:val="1"/>
      <w:numFmt w:val="lowerLetter"/>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3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A2663B"/>
    <w:multiLevelType w:val="hybridMultilevel"/>
    <w:tmpl w:val="4864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3"/>
  </w:num>
  <w:num w:numId="14">
    <w:abstractNumId w:val="13"/>
  </w:num>
  <w:num w:numId="15">
    <w:abstractNumId w:val="17"/>
  </w:num>
  <w:num w:numId="16">
    <w:abstractNumId w:val="25"/>
  </w:num>
  <w:num w:numId="17">
    <w:abstractNumId w:val="12"/>
  </w:num>
  <w:num w:numId="18">
    <w:abstractNumId w:val="19"/>
  </w:num>
  <w:num w:numId="19">
    <w:abstractNumId w:val="26"/>
  </w:num>
  <w:num w:numId="20">
    <w:abstractNumId w:val="30"/>
  </w:num>
  <w:num w:numId="21">
    <w:abstractNumId w:val="27"/>
  </w:num>
  <w:num w:numId="22">
    <w:abstractNumId w:val="10"/>
  </w:num>
  <w:num w:numId="23">
    <w:abstractNumId w:val="16"/>
  </w:num>
  <w:num w:numId="24">
    <w:abstractNumId w:val="11"/>
  </w:num>
  <w:num w:numId="25">
    <w:abstractNumId w:val="29"/>
  </w:num>
  <w:num w:numId="26">
    <w:abstractNumId w:val="9"/>
  </w:num>
  <w:num w:numId="27">
    <w:abstractNumId w:val="22"/>
  </w:num>
  <w:num w:numId="28">
    <w:abstractNumId w:val="21"/>
  </w:num>
  <w:num w:numId="29">
    <w:abstractNumId w:val="32"/>
  </w:num>
  <w:num w:numId="30">
    <w:abstractNumId w:val="18"/>
  </w:num>
  <w:num w:numId="31">
    <w:abstractNumId w:val="24"/>
  </w:num>
  <w:num w:numId="32">
    <w:abstractNumId w:val="14"/>
  </w:num>
  <w:num w:numId="33">
    <w:abstractNumId w:val="20"/>
  </w:num>
  <w:num w:numId="3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90465">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1048\D17 31389  SPV report - 7 Nov 2016 - SYD MOS.DOCX"/>
  </w:docVars>
  <w:rsids>
    <w:rsidRoot w:val="003610D1"/>
    <w:rsid w:val="00001779"/>
    <w:rsid w:val="00002750"/>
    <w:rsid w:val="000028FB"/>
    <w:rsid w:val="00010920"/>
    <w:rsid w:val="00010B1A"/>
    <w:rsid w:val="0001186D"/>
    <w:rsid w:val="00011B93"/>
    <w:rsid w:val="00013CDB"/>
    <w:rsid w:val="00013D02"/>
    <w:rsid w:val="00013FD9"/>
    <w:rsid w:val="0001433F"/>
    <w:rsid w:val="000161D5"/>
    <w:rsid w:val="00017BF7"/>
    <w:rsid w:val="000208CC"/>
    <w:rsid w:val="00021644"/>
    <w:rsid w:val="000221E2"/>
    <w:rsid w:val="00024297"/>
    <w:rsid w:val="00030632"/>
    <w:rsid w:val="00031D46"/>
    <w:rsid w:val="000342CE"/>
    <w:rsid w:val="00037142"/>
    <w:rsid w:val="00041065"/>
    <w:rsid w:val="000427D0"/>
    <w:rsid w:val="00043F8E"/>
    <w:rsid w:val="000442A8"/>
    <w:rsid w:val="0004626C"/>
    <w:rsid w:val="000463C3"/>
    <w:rsid w:val="00047881"/>
    <w:rsid w:val="000508E0"/>
    <w:rsid w:val="0005162D"/>
    <w:rsid w:val="00051AA5"/>
    <w:rsid w:val="000545DD"/>
    <w:rsid w:val="0005494B"/>
    <w:rsid w:val="00055385"/>
    <w:rsid w:val="000554BB"/>
    <w:rsid w:val="000570C9"/>
    <w:rsid w:val="00061A48"/>
    <w:rsid w:val="00062951"/>
    <w:rsid w:val="000635D7"/>
    <w:rsid w:val="0006532E"/>
    <w:rsid w:val="00066AAB"/>
    <w:rsid w:val="0006788A"/>
    <w:rsid w:val="0007086D"/>
    <w:rsid w:val="000708CF"/>
    <w:rsid w:val="0007263E"/>
    <w:rsid w:val="000801EF"/>
    <w:rsid w:val="00080965"/>
    <w:rsid w:val="00080C63"/>
    <w:rsid w:val="0008280C"/>
    <w:rsid w:val="00082F76"/>
    <w:rsid w:val="00083FB8"/>
    <w:rsid w:val="000844CC"/>
    <w:rsid w:val="000851EA"/>
    <w:rsid w:val="00085C6B"/>
    <w:rsid w:val="000872A0"/>
    <w:rsid w:val="00090BC1"/>
    <w:rsid w:val="00090DE0"/>
    <w:rsid w:val="00090E9D"/>
    <w:rsid w:val="00092B84"/>
    <w:rsid w:val="00094459"/>
    <w:rsid w:val="000A434F"/>
    <w:rsid w:val="000A5BD1"/>
    <w:rsid w:val="000A6DEE"/>
    <w:rsid w:val="000B1671"/>
    <w:rsid w:val="000B2C10"/>
    <w:rsid w:val="000B5557"/>
    <w:rsid w:val="000B5C64"/>
    <w:rsid w:val="000C0941"/>
    <w:rsid w:val="000C0E4B"/>
    <w:rsid w:val="000C30EF"/>
    <w:rsid w:val="000C3347"/>
    <w:rsid w:val="000C461D"/>
    <w:rsid w:val="000C55AE"/>
    <w:rsid w:val="000C6CDD"/>
    <w:rsid w:val="000C7628"/>
    <w:rsid w:val="000D0554"/>
    <w:rsid w:val="000D0FD5"/>
    <w:rsid w:val="000D107C"/>
    <w:rsid w:val="000D3815"/>
    <w:rsid w:val="000D3E04"/>
    <w:rsid w:val="000D557D"/>
    <w:rsid w:val="000E0380"/>
    <w:rsid w:val="000E0460"/>
    <w:rsid w:val="000E07AB"/>
    <w:rsid w:val="000E2989"/>
    <w:rsid w:val="000E298E"/>
    <w:rsid w:val="000E32A2"/>
    <w:rsid w:val="000E3FA1"/>
    <w:rsid w:val="000E68C8"/>
    <w:rsid w:val="000E77F2"/>
    <w:rsid w:val="000F0132"/>
    <w:rsid w:val="000F15E7"/>
    <w:rsid w:val="000F218F"/>
    <w:rsid w:val="000F4D76"/>
    <w:rsid w:val="000F56A6"/>
    <w:rsid w:val="000F5D51"/>
    <w:rsid w:val="000F720B"/>
    <w:rsid w:val="000F761B"/>
    <w:rsid w:val="00101A55"/>
    <w:rsid w:val="00102771"/>
    <w:rsid w:val="00102E51"/>
    <w:rsid w:val="00103088"/>
    <w:rsid w:val="0010381E"/>
    <w:rsid w:val="00103C36"/>
    <w:rsid w:val="00103D3D"/>
    <w:rsid w:val="0010421E"/>
    <w:rsid w:val="001060D2"/>
    <w:rsid w:val="00107D12"/>
    <w:rsid w:val="00110A91"/>
    <w:rsid w:val="00111FF2"/>
    <w:rsid w:val="00112012"/>
    <w:rsid w:val="00113CC5"/>
    <w:rsid w:val="0011409E"/>
    <w:rsid w:val="001143C4"/>
    <w:rsid w:val="00114564"/>
    <w:rsid w:val="0011518C"/>
    <w:rsid w:val="001155F6"/>
    <w:rsid w:val="0011645F"/>
    <w:rsid w:val="0011741C"/>
    <w:rsid w:val="0012004B"/>
    <w:rsid w:val="0012020B"/>
    <w:rsid w:val="00121FB1"/>
    <w:rsid w:val="00122806"/>
    <w:rsid w:val="00122B4E"/>
    <w:rsid w:val="001234FF"/>
    <w:rsid w:val="001251A8"/>
    <w:rsid w:val="00125658"/>
    <w:rsid w:val="001329D4"/>
    <w:rsid w:val="00132B65"/>
    <w:rsid w:val="00134063"/>
    <w:rsid w:val="00134C27"/>
    <w:rsid w:val="00136AF6"/>
    <w:rsid w:val="00140C95"/>
    <w:rsid w:val="00141D53"/>
    <w:rsid w:val="00142F97"/>
    <w:rsid w:val="001439CD"/>
    <w:rsid w:val="001444AF"/>
    <w:rsid w:val="00144712"/>
    <w:rsid w:val="00144763"/>
    <w:rsid w:val="00145A16"/>
    <w:rsid w:val="00145B08"/>
    <w:rsid w:val="00146D5D"/>
    <w:rsid w:val="00146E94"/>
    <w:rsid w:val="00147AD2"/>
    <w:rsid w:val="00151193"/>
    <w:rsid w:val="00151CC0"/>
    <w:rsid w:val="00153F66"/>
    <w:rsid w:val="00155CFA"/>
    <w:rsid w:val="0015715D"/>
    <w:rsid w:val="001571AB"/>
    <w:rsid w:val="00157982"/>
    <w:rsid w:val="00157B32"/>
    <w:rsid w:val="00161921"/>
    <w:rsid w:val="001640AB"/>
    <w:rsid w:val="0016468E"/>
    <w:rsid w:val="001651C0"/>
    <w:rsid w:val="001653F0"/>
    <w:rsid w:val="00165EF5"/>
    <w:rsid w:val="00166022"/>
    <w:rsid w:val="00170045"/>
    <w:rsid w:val="001716FC"/>
    <w:rsid w:val="00173627"/>
    <w:rsid w:val="00174796"/>
    <w:rsid w:val="001820ED"/>
    <w:rsid w:val="001823A8"/>
    <w:rsid w:val="00183F9A"/>
    <w:rsid w:val="001841B5"/>
    <w:rsid w:val="00185629"/>
    <w:rsid w:val="00186C3C"/>
    <w:rsid w:val="00187BD9"/>
    <w:rsid w:val="0019021C"/>
    <w:rsid w:val="00190BEC"/>
    <w:rsid w:val="00193432"/>
    <w:rsid w:val="00197545"/>
    <w:rsid w:val="001A26F6"/>
    <w:rsid w:val="001A2CD9"/>
    <w:rsid w:val="001A34CC"/>
    <w:rsid w:val="001B044D"/>
    <w:rsid w:val="001B0767"/>
    <w:rsid w:val="001B24F2"/>
    <w:rsid w:val="001B26A5"/>
    <w:rsid w:val="001B311E"/>
    <w:rsid w:val="001B70FC"/>
    <w:rsid w:val="001C24E9"/>
    <w:rsid w:val="001C2CEA"/>
    <w:rsid w:val="001C4856"/>
    <w:rsid w:val="001C5A6F"/>
    <w:rsid w:val="001C5F95"/>
    <w:rsid w:val="001C6D91"/>
    <w:rsid w:val="001D287B"/>
    <w:rsid w:val="001D3866"/>
    <w:rsid w:val="001D4864"/>
    <w:rsid w:val="001D4960"/>
    <w:rsid w:val="001E1806"/>
    <w:rsid w:val="001E1DEB"/>
    <w:rsid w:val="001E50C3"/>
    <w:rsid w:val="001E58CE"/>
    <w:rsid w:val="001E5BF5"/>
    <w:rsid w:val="001E75EC"/>
    <w:rsid w:val="001E78DB"/>
    <w:rsid w:val="001E7A45"/>
    <w:rsid w:val="001E7E6E"/>
    <w:rsid w:val="001F02A3"/>
    <w:rsid w:val="001F34E0"/>
    <w:rsid w:val="001F36AA"/>
    <w:rsid w:val="001F37F7"/>
    <w:rsid w:val="001F4FE1"/>
    <w:rsid w:val="001F6C30"/>
    <w:rsid w:val="0020088C"/>
    <w:rsid w:val="0020179E"/>
    <w:rsid w:val="00203218"/>
    <w:rsid w:val="00204889"/>
    <w:rsid w:val="002055FD"/>
    <w:rsid w:val="0020678F"/>
    <w:rsid w:val="00206817"/>
    <w:rsid w:val="00207783"/>
    <w:rsid w:val="00210172"/>
    <w:rsid w:val="002114E0"/>
    <w:rsid w:val="002114E4"/>
    <w:rsid w:val="002122ED"/>
    <w:rsid w:val="00213E1F"/>
    <w:rsid w:val="00216178"/>
    <w:rsid w:val="00217BDA"/>
    <w:rsid w:val="00217D32"/>
    <w:rsid w:val="00220318"/>
    <w:rsid w:val="00220337"/>
    <w:rsid w:val="00221530"/>
    <w:rsid w:val="002239C4"/>
    <w:rsid w:val="00223DE7"/>
    <w:rsid w:val="00224DCB"/>
    <w:rsid w:val="002251D1"/>
    <w:rsid w:val="00225B31"/>
    <w:rsid w:val="00227F82"/>
    <w:rsid w:val="00230C6B"/>
    <w:rsid w:val="00231620"/>
    <w:rsid w:val="00233351"/>
    <w:rsid w:val="002337E0"/>
    <w:rsid w:val="00234DF3"/>
    <w:rsid w:val="00235D6C"/>
    <w:rsid w:val="0023674F"/>
    <w:rsid w:val="002401BD"/>
    <w:rsid w:val="00241356"/>
    <w:rsid w:val="00245BA3"/>
    <w:rsid w:val="00247FC3"/>
    <w:rsid w:val="00250603"/>
    <w:rsid w:val="00251131"/>
    <w:rsid w:val="00251D61"/>
    <w:rsid w:val="00254B38"/>
    <w:rsid w:val="00255EEF"/>
    <w:rsid w:val="002614FF"/>
    <w:rsid w:val="002642AB"/>
    <w:rsid w:val="00264398"/>
    <w:rsid w:val="002667D4"/>
    <w:rsid w:val="00266915"/>
    <w:rsid w:val="002676DA"/>
    <w:rsid w:val="002677FF"/>
    <w:rsid w:val="00273C2F"/>
    <w:rsid w:val="002743BE"/>
    <w:rsid w:val="00277874"/>
    <w:rsid w:val="00277918"/>
    <w:rsid w:val="0028007A"/>
    <w:rsid w:val="0028085B"/>
    <w:rsid w:val="0028094F"/>
    <w:rsid w:val="002812C2"/>
    <w:rsid w:val="002813D7"/>
    <w:rsid w:val="002817AA"/>
    <w:rsid w:val="00282EAC"/>
    <w:rsid w:val="0028532A"/>
    <w:rsid w:val="00285557"/>
    <w:rsid w:val="00292AF9"/>
    <w:rsid w:val="002931DC"/>
    <w:rsid w:val="0029387A"/>
    <w:rsid w:val="00293956"/>
    <w:rsid w:val="00293A0A"/>
    <w:rsid w:val="00293C20"/>
    <w:rsid w:val="0029452B"/>
    <w:rsid w:val="00295AE4"/>
    <w:rsid w:val="002963BD"/>
    <w:rsid w:val="00296BB3"/>
    <w:rsid w:val="00296D34"/>
    <w:rsid w:val="00297821"/>
    <w:rsid w:val="00297D01"/>
    <w:rsid w:val="002A5CF9"/>
    <w:rsid w:val="002A6276"/>
    <w:rsid w:val="002A68C4"/>
    <w:rsid w:val="002A6BEC"/>
    <w:rsid w:val="002A765C"/>
    <w:rsid w:val="002B20BA"/>
    <w:rsid w:val="002B2896"/>
    <w:rsid w:val="002B390D"/>
    <w:rsid w:val="002B4F2D"/>
    <w:rsid w:val="002B6D54"/>
    <w:rsid w:val="002B6EDD"/>
    <w:rsid w:val="002B701C"/>
    <w:rsid w:val="002B7066"/>
    <w:rsid w:val="002B7724"/>
    <w:rsid w:val="002C0471"/>
    <w:rsid w:val="002C051F"/>
    <w:rsid w:val="002C325C"/>
    <w:rsid w:val="002C609C"/>
    <w:rsid w:val="002C7F09"/>
    <w:rsid w:val="002D0F6E"/>
    <w:rsid w:val="002D16B8"/>
    <w:rsid w:val="002D2BAB"/>
    <w:rsid w:val="002D3A96"/>
    <w:rsid w:val="002D41EB"/>
    <w:rsid w:val="002D4EE4"/>
    <w:rsid w:val="002D5D79"/>
    <w:rsid w:val="002D5DBD"/>
    <w:rsid w:val="002D5FF9"/>
    <w:rsid w:val="002D6F9A"/>
    <w:rsid w:val="002E0AF3"/>
    <w:rsid w:val="002E1F41"/>
    <w:rsid w:val="002E5340"/>
    <w:rsid w:val="002E6ABC"/>
    <w:rsid w:val="002F025A"/>
    <w:rsid w:val="002F23F5"/>
    <w:rsid w:val="002F48D5"/>
    <w:rsid w:val="002F59A8"/>
    <w:rsid w:val="002F5EE3"/>
    <w:rsid w:val="002F60BE"/>
    <w:rsid w:val="002F63F2"/>
    <w:rsid w:val="00300DE2"/>
    <w:rsid w:val="00300F89"/>
    <w:rsid w:val="00301859"/>
    <w:rsid w:val="0030268F"/>
    <w:rsid w:val="00302CCE"/>
    <w:rsid w:val="00305B87"/>
    <w:rsid w:val="00306049"/>
    <w:rsid w:val="00311066"/>
    <w:rsid w:val="0031159B"/>
    <w:rsid w:val="00311893"/>
    <w:rsid w:val="00313B2B"/>
    <w:rsid w:val="003168F1"/>
    <w:rsid w:val="003171AA"/>
    <w:rsid w:val="00321D5A"/>
    <w:rsid w:val="003237BF"/>
    <w:rsid w:val="00324878"/>
    <w:rsid w:val="00324CCF"/>
    <w:rsid w:val="0033044A"/>
    <w:rsid w:val="00331F89"/>
    <w:rsid w:val="00332AAD"/>
    <w:rsid w:val="003345C0"/>
    <w:rsid w:val="0033615C"/>
    <w:rsid w:val="003364FF"/>
    <w:rsid w:val="00337FC1"/>
    <w:rsid w:val="00341D08"/>
    <w:rsid w:val="00342023"/>
    <w:rsid w:val="00344B92"/>
    <w:rsid w:val="00346649"/>
    <w:rsid w:val="00346A2B"/>
    <w:rsid w:val="00347C66"/>
    <w:rsid w:val="00350516"/>
    <w:rsid w:val="0035174A"/>
    <w:rsid w:val="00353C34"/>
    <w:rsid w:val="00355A64"/>
    <w:rsid w:val="003570BD"/>
    <w:rsid w:val="00357DC7"/>
    <w:rsid w:val="0036016C"/>
    <w:rsid w:val="003610D1"/>
    <w:rsid w:val="00362F0C"/>
    <w:rsid w:val="003655BA"/>
    <w:rsid w:val="00370288"/>
    <w:rsid w:val="0037052A"/>
    <w:rsid w:val="003712DE"/>
    <w:rsid w:val="00371762"/>
    <w:rsid w:val="0037197B"/>
    <w:rsid w:val="0037216A"/>
    <w:rsid w:val="00372443"/>
    <w:rsid w:val="003729B2"/>
    <w:rsid w:val="00373A36"/>
    <w:rsid w:val="003745C3"/>
    <w:rsid w:val="00374AB0"/>
    <w:rsid w:val="003757B0"/>
    <w:rsid w:val="00381538"/>
    <w:rsid w:val="00381976"/>
    <w:rsid w:val="003821FE"/>
    <w:rsid w:val="00386951"/>
    <w:rsid w:val="003873EE"/>
    <w:rsid w:val="003874BC"/>
    <w:rsid w:val="00390216"/>
    <w:rsid w:val="00390B79"/>
    <w:rsid w:val="003913F5"/>
    <w:rsid w:val="00393A49"/>
    <w:rsid w:val="003A3C41"/>
    <w:rsid w:val="003A4202"/>
    <w:rsid w:val="003A4880"/>
    <w:rsid w:val="003A519F"/>
    <w:rsid w:val="003A791D"/>
    <w:rsid w:val="003A7C5D"/>
    <w:rsid w:val="003B07C1"/>
    <w:rsid w:val="003B14CE"/>
    <w:rsid w:val="003B2283"/>
    <w:rsid w:val="003B2F44"/>
    <w:rsid w:val="003B37A3"/>
    <w:rsid w:val="003B4D22"/>
    <w:rsid w:val="003B6009"/>
    <w:rsid w:val="003C0017"/>
    <w:rsid w:val="003C106A"/>
    <w:rsid w:val="003C11DC"/>
    <w:rsid w:val="003C2ADB"/>
    <w:rsid w:val="003C2B11"/>
    <w:rsid w:val="003C34EF"/>
    <w:rsid w:val="003C4833"/>
    <w:rsid w:val="003C5F95"/>
    <w:rsid w:val="003C6B41"/>
    <w:rsid w:val="003C78FA"/>
    <w:rsid w:val="003D1E87"/>
    <w:rsid w:val="003D32A1"/>
    <w:rsid w:val="003D360E"/>
    <w:rsid w:val="003D7DA3"/>
    <w:rsid w:val="003E37D8"/>
    <w:rsid w:val="003E569C"/>
    <w:rsid w:val="003E5F2A"/>
    <w:rsid w:val="003E6EBE"/>
    <w:rsid w:val="003E78F9"/>
    <w:rsid w:val="003F29F2"/>
    <w:rsid w:val="003F307D"/>
    <w:rsid w:val="003F3477"/>
    <w:rsid w:val="003F4971"/>
    <w:rsid w:val="003F4BAB"/>
    <w:rsid w:val="003F5736"/>
    <w:rsid w:val="003F596A"/>
    <w:rsid w:val="003F7D97"/>
    <w:rsid w:val="003F7D9A"/>
    <w:rsid w:val="00402525"/>
    <w:rsid w:val="00402F66"/>
    <w:rsid w:val="00403A49"/>
    <w:rsid w:val="00405DEA"/>
    <w:rsid w:val="004075BD"/>
    <w:rsid w:val="004079A7"/>
    <w:rsid w:val="00407B22"/>
    <w:rsid w:val="00411EE1"/>
    <w:rsid w:val="00413568"/>
    <w:rsid w:val="00413CE7"/>
    <w:rsid w:val="00415FCA"/>
    <w:rsid w:val="00416B89"/>
    <w:rsid w:val="004225A4"/>
    <w:rsid w:val="00424E79"/>
    <w:rsid w:val="00427215"/>
    <w:rsid w:val="004300F1"/>
    <w:rsid w:val="00430FFC"/>
    <w:rsid w:val="00431500"/>
    <w:rsid w:val="004319DA"/>
    <w:rsid w:val="00431B5D"/>
    <w:rsid w:val="00432771"/>
    <w:rsid w:val="00432F60"/>
    <w:rsid w:val="004340B8"/>
    <w:rsid w:val="004346E5"/>
    <w:rsid w:val="00436166"/>
    <w:rsid w:val="00437D8B"/>
    <w:rsid w:val="00440F08"/>
    <w:rsid w:val="004415F0"/>
    <w:rsid w:val="004442C5"/>
    <w:rsid w:val="00445B07"/>
    <w:rsid w:val="00447B49"/>
    <w:rsid w:val="004523FB"/>
    <w:rsid w:val="0045492C"/>
    <w:rsid w:val="0045558A"/>
    <w:rsid w:val="00457706"/>
    <w:rsid w:val="00461394"/>
    <w:rsid w:val="00464E90"/>
    <w:rsid w:val="004655C5"/>
    <w:rsid w:val="00465F35"/>
    <w:rsid w:val="004707BB"/>
    <w:rsid w:val="004710D5"/>
    <w:rsid w:val="004727DB"/>
    <w:rsid w:val="00473AAF"/>
    <w:rsid w:val="00473E87"/>
    <w:rsid w:val="00475ED4"/>
    <w:rsid w:val="00476EE8"/>
    <w:rsid w:val="00477D66"/>
    <w:rsid w:val="0048005B"/>
    <w:rsid w:val="004812E7"/>
    <w:rsid w:val="0048191E"/>
    <w:rsid w:val="00482C2B"/>
    <w:rsid w:val="00483940"/>
    <w:rsid w:val="0048483C"/>
    <w:rsid w:val="00485C9C"/>
    <w:rsid w:val="00487C05"/>
    <w:rsid w:val="004904B5"/>
    <w:rsid w:val="0049123B"/>
    <w:rsid w:val="00491930"/>
    <w:rsid w:val="00492E2C"/>
    <w:rsid w:val="00494F70"/>
    <w:rsid w:val="004954EE"/>
    <w:rsid w:val="0049588F"/>
    <w:rsid w:val="0049613A"/>
    <w:rsid w:val="00496CA8"/>
    <w:rsid w:val="004A0304"/>
    <w:rsid w:val="004A0D3E"/>
    <w:rsid w:val="004A0E84"/>
    <w:rsid w:val="004A16C7"/>
    <w:rsid w:val="004A178D"/>
    <w:rsid w:val="004A22F6"/>
    <w:rsid w:val="004A24E2"/>
    <w:rsid w:val="004A7149"/>
    <w:rsid w:val="004A7C09"/>
    <w:rsid w:val="004A7E7D"/>
    <w:rsid w:val="004B0A01"/>
    <w:rsid w:val="004B1578"/>
    <w:rsid w:val="004B2FAB"/>
    <w:rsid w:val="004B56EF"/>
    <w:rsid w:val="004C10AA"/>
    <w:rsid w:val="004C10C3"/>
    <w:rsid w:val="004C2889"/>
    <w:rsid w:val="004C6120"/>
    <w:rsid w:val="004C61C9"/>
    <w:rsid w:val="004C6FFD"/>
    <w:rsid w:val="004C76E6"/>
    <w:rsid w:val="004D0B34"/>
    <w:rsid w:val="004D0B56"/>
    <w:rsid w:val="004D1195"/>
    <w:rsid w:val="004D1AE0"/>
    <w:rsid w:val="004D2432"/>
    <w:rsid w:val="004D2950"/>
    <w:rsid w:val="004D41F7"/>
    <w:rsid w:val="004D438D"/>
    <w:rsid w:val="004D51D9"/>
    <w:rsid w:val="004D7BFF"/>
    <w:rsid w:val="004E42DC"/>
    <w:rsid w:val="004E53B3"/>
    <w:rsid w:val="004E5C29"/>
    <w:rsid w:val="004E6CAC"/>
    <w:rsid w:val="004E6FA8"/>
    <w:rsid w:val="004F0F22"/>
    <w:rsid w:val="004F1EBE"/>
    <w:rsid w:val="004F5584"/>
    <w:rsid w:val="004F581F"/>
    <w:rsid w:val="004F62A8"/>
    <w:rsid w:val="00500525"/>
    <w:rsid w:val="00504A1C"/>
    <w:rsid w:val="00505844"/>
    <w:rsid w:val="00507F51"/>
    <w:rsid w:val="005112D4"/>
    <w:rsid w:val="005162AD"/>
    <w:rsid w:val="005171A9"/>
    <w:rsid w:val="005174A6"/>
    <w:rsid w:val="00517C7C"/>
    <w:rsid w:val="00521216"/>
    <w:rsid w:val="00521A48"/>
    <w:rsid w:val="00522217"/>
    <w:rsid w:val="005244F6"/>
    <w:rsid w:val="005277AD"/>
    <w:rsid w:val="00527B57"/>
    <w:rsid w:val="005312A4"/>
    <w:rsid w:val="0053243C"/>
    <w:rsid w:val="00535116"/>
    <w:rsid w:val="005366CC"/>
    <w:rsid w:val="0054028F"/>
    <w:rsid w:val="005412A6"/>
    <w:rsid w:val="0054243F"/>
    <w:rsid w:val="00542497"/>
    <w:rsid w:val="00542CA9"/>
    <w:rsid w:val="00543D9D"/>
    <w:rsid w:val="0054547A"/>
    <w:rsid w:val="00545C0F"/>
    <w:rsid w:val="00545DEE"/>
    <w:rsid w:val="005467C2"/>
    <w:rsid w:val="00547484"/>
    <w:rsid w:val="00547A1A"/>
    <w:rsid w:val="005518B4"/>
    <w:rsid w:val="0055566B"/>
    <w:rsid w:val="0056290C"/>
    <w:rsid w:val="00562AAE"/>
    <w:rsid w:val="00562CBF"/>
    <w:rsid w:val="00564052"/>
    <w:rsid w:val="00565294"/>
    <w:rsid w:val="005668D7"/>
    <w:rsid w:val="00566905"/>
    <w:rsid w:val="005702BD"/>
    <w:rsid w:val="00571067"/>
    <w:rsid w:val="00571963"/>
    <w:rsid w:val="00572A42"/>
    <w:rsid w:val="0057715F"/>
    <w:rsid w:val="00581454"/>
    <w:rsid w:val="00581B15"/>
    <w:rsid w:val="005860BC"/>
    <w:rsid w:val="00586DCB"/>
    <w:rsid w:val="00592A56"/>
    <w:rsid w:val="00593638"/>
    <w:rsid w:val="00593E63"/>
    <w:rsid w:val="005961E9"/>
    <w:rsid w:val="005A0009"/>
    <w:rsid w:val="005A06EA"/>
    <w:rsid w:val="005A1498"/>
    <w:rsid w:val="005A2081"/>
    <w:rsid w:val="005A33ED"/>
    <w:rsid w:val="005A6768"/>
    <w:rsid w:val="005B0395"/>
    <w:rsid w:val="005B115B"/>
    <w:rsid w:val="005B12BB"/>
    <w:rsid w:val="005B1CD1"/>
    <w:rsid w:val="005B2572"/>
    <w:rsid w:val="005B2BBD"/>
    <w:rsid w:val="005B3713"/>
    <w:rsid w:val="005B4C54"/>
    <w:rsid w:val="005B4DE3"/>
    <w:rsid w:val="005B5747"/>
    <w:rsid w:val="005B6B0F"/>
    <w:rsid w:val="005B7713"/>
    <w:rsid w:val="005B7BEA"/>
    <w:rsid w:val="005C1074"/>
    <w:rsid w:val="005C10DA"/>
    <w:rsid w:val="005C139A"/>
    <w:rsid w:val="005C167B"/>
    <w:rsid w:val="005C2DD7"/>
    <w:rsid w:val="005C2E42"/>
    <w:rsid w:val="005C3E6D"/>
    <w:rsid w:val="005C3EC3"/>
    <w:rsid w:val="005C3F69"/>
    <w:rsid w:val="005D0F29"/>
    <w:rsid w:val="005D1B3A"/>
    <w:rsid w:val="005D259F"/>
    <w:rsid w:val="005D502B"/>
    <w:rsid w:val="005D5668"/>
    <w:rsid w:val="005D581A"/>
    <w:rsid w:val="005D6B5C"/>
    <w:rsid w:val="005D709D"/>
    <w:rsid w:val="005D7A26"/>
    <w:rsid w:val="005E2034"/>
    <w:rsid w:val="005E385C"/>
    <w:rsid w:val="005E49B6"/>
    <w:rsid w:val="005E51B2"/>
    <w:rsid w:val="005E7608"/>
    <w:rsid w:val="005F05B1"/>
    <w:rsid w:val="005F4843"/>
    <w:rsid w:val="005F52A5"/>
    <w:rsid w:val="005F5C0D"/>
    <w:rsid w:val="005F6137"/>
    <w:rsid w:val="005F7AF3"/>
    <w:rsid w:val="006007DC"/>
    <w:rsid w:val="00600D9F"/>
    <w:rsid w:val="00601F12"/>
    <w:rsid w:val="00606422"/>
    <w:rsid w:val="0060685F"/>
    <w:rsid w:val="00611A92"/>
    <w:rsid w:val="00611B62"/>
    <w:rsid w:val="00612500"/>
    <w:rsid w:val="00616C07"/>
    <w:rsid w:val="0061760D"/>
    <w:rsid w:val="00621217"/>
    <w:rsid w:val="00624E14"/>
    <w:rsid w:val="00625E5E"/>
    <w:rsid w:val="00627307"/>
    <w:rsid w:val="00631FA3"/>
    <w:rsid w:val="00633BFF"/>
    <w:rsid w:val="00635581"/>
    <w:rsid w:val="00636EC5"/>
    <w:rsid w:val="0063775E"/>
    <w:rsid w:val="00640DFD"/>
    <w:rsid w:val="006412A3"/>
    <w:rsid w:val="006429F8"/>
    <w:rsid w:val="00643B62"/>
    <w:rsid w:val="00646207"/>
    <w:rsid w:val="00646424"/>
    <w:rsid w:val="00647F47"/>
    <w:rsid w:val="00650912"/>
    <w:rsid w:val="00651659"/>
    <w:rsid w:val="00652C6E"/>
    <w:rsid w:val="00654E6F"/>
    <w:rsid w:val="00655E33"/>
    <w:rsid w:val="00656423"/>
    <w:rsid w:val="00663313"/>
    <w:rsid w:val="00665553"/>
    <w:rsid w:val="0067052C"/>
    <w:rsid w:val="00671CE5"/>
    <w:rsid w:val="00672FFE"/>
    <w:rsid w:val="00674962"/>
    <w:rsid w:val="006756DD"/>
    <w:rsid w:val="00675D74"/>
    <w:rsid w:val="0068227E"/>
    <w:rsid w:val="00685F9B"/>
    <w:rsid w:val="0068622C"/>
    <w:rsid w:val="006869C4"/>
    <w:rsid w:val="00686FEF"/>
    <w:rsid w:val="00691B06"/>
    <w:rsid w:val="00692128"/>
    <w:rsid w:val="00694E92"/>
    <w:rsid w:val="00695C84"/>
    <w:rsid w:val="00695FA0"/>
    <w:rsid w:val="00696AC2"/>
    <w:rsid w:val="006978F9"/>
    <w:rsid w:val="00697920"/>
    <w:rsid w:val="006A0FAC"/>
    <w:rsid w:val="006A1105"/>
    <w:rsid w:val="006A35CE"/>
    <w:rsid w:val="006A54E0"/>
    <w:rsid w:val="006A7127"/>
    <w:rsid w:val="006B0099"/>
    <w:rsid w:val="006B038C"/>
    <w:rsid w:val="006B2AE0"/>
    <w:rsid w:val="006B369C"/>
    <w:rsid w:val="006B54C6"/>
    <w:rsid w:val="006B5EF7"/>
    <w:rsid w:val="006B6F44"/>
    <w:rsid w:val="006C1FFB"/>
    <w:rsid w:val="006D45CA"/>
    <w:rsid w:val="006D510D"/>
    <w:rsid w:val="006D6CEE"/>
    <w:rsid w:val="006D79CD"/>
    <w:rsid w:val="006E136B"/>
    <w:rsid w:val="006E1C2B"/>
    <w:rsid w:val="006E2A26"/>
    <w:rsid w:val="006E3FF1"/>
    <w:rsid w:val="006E5982"/>
    <w:rsid w:val="006E712C"/>
    <w:rsid w:val="006F0224"/>
    <w:rsid w:val="006F2091"/>
    <w:rsid w:val="006F2861"/>
    <w:rsid w:val="006F2875"/>
    <w:rsid w:val="006F3294"/>
    <w:rsid w:val="006F3333"/>
    <w:rsid w:val="006F5060"/>
    <w:rsid w:val="006F5343"/>
    <w:rsid w:val="006F6843"/>
    <w:rsid w:val="006F6E4E"/>
    <w:rsid w:val="00700FDA"/>
    <w:rsid w:val="00702B7C"/>
    <w:rsid w:val="00703233"/>
    <w:rsid w:val="0070460A"/>
    <w:rsid w:val="00704FF1"/>
    <w:rsid w:val="00705C66"/>
    <w:rsid w:val="00711068"/>
    <w:rsid w:val="007124C8"/>
    <w:rsid w:val="00712C6A"/>
    <w:rsid w:val="00712DD1"/>
    <w:rsid w:val="007145DB"/>
    <w:rsid w:val="007147EF"/>
    <w:rsid w:val="007151A3"/>
    <w:rsid w:val="00716EED"/>
    <w:rsid w:val="0071749D"/>
    <w:rsid w:val="00717D41"/>
    <w:rsid w:val="00721D00"/>
    <w:rsid w:val="007225F2"/>
    <w:rsid w:val="007256A2"/>
    <w:rsid w:val="007269C2"/>
    <w:rsid w:val="00726D9E"/>
    <w:rsid w:val="007307B0"/>
    <w:rsid w:val="0073081F"/>
    <w:rsid w:val="00730BA4"/>
    <w:rsid w:val="00730CF1"/>
    <w:rsid w:val="0073178F"/>
    <w:rsid w:val="00737B40"/>
    <w:rsid w:val="00737D5B"/>
    <w:rsid w:val="00740C0E"/>
    <w:rsid w:val="00743AA7"/>
    <w:rsid w:val="007460AF"/>
    <w:rsid w:val="007462CD"/>
    <w:rsid w:val="00747545"/>
    <w:rsid w:val="00751A5F"/>
    <w:rsid w:val="007522AA"/>
    <w:rsid w:val="00752E13"/>
    <w:rsid w:val="007532DE"/>
    <w:rsid w:val="0075399C"/>
    <w:rsid w:val="00753B67"/>
    <w:rsid w:val="0075407C"/>
    <w:rsid w:val="00755ADF"/>
    <w:rsid w:val="007566A7"/>
    <w:rsid w:val="00756B95"/>
    <w:rsid w:val="00757193"/>
    <w:rsid w:val="00757E81"/>
    <w:rsid w:val="00760401"/>
    <w:rsid w:val="00760BB3"/>
    <w:rsid w:val="00761B25"/>
    <w:rsid w:val="0076201A"/>
    <w:rsid w:val="0076255C"/>
    <w:rsid w:val="00763826"/>
    <w:rsid w:val="00764056"/>
    <w:rsid w:val="00766DDD"/>
    <w:rsid w:val="0077094F"/>
    <w:rsid w:val="00770A8B"/>
    <w:rsid w:val="00773DF0"/>
    <w:rsid w:val="00774131"/>
    <w:rsid w:val="00774916"/>
    <w:rsid w:val="00775925"/>
    <w:rsid w:val="00776191"/>
    <w:rsid w:val="007762CF"/>
    <w:rsid w:val="00776DF6"/>
    <w:rsid w:val="00777DEE"/>
    <w:rsid w:val="00782108"/>
    <w:rsid w:val="007821EC"/>
    <w:rsid w:val="00783AFE"/>
    <w:rsid w:val="007853D7"/>
    <w:rsid w:val="00785A63"/>
    <w:rsid w:val="0078658B"/>
    <w:rsid w:val="00790BF7"/>
    <w:rsid w:val="0079731E"/>
    <w:rsid w:val="0079754A"/>
    <w:rsid w:val="007A0814"/>
    <w:rsid w:val="007A09BB"/>
    <w:rsid w:val="007A210A"/>
    <w:rsid w:val="007A223D"/>
    <w:rsid w:val="007A23C8"/>
    <w:rsid w:val="007A3970"/>
    <w:rsid w:val="007A49B9"/>
    <w:rsid w:val="007A4C62"/>
    <w:rsid w:val="007B18C1"/>
    <w:rsid w:val="007B1D4F"/>
    <w:rsid w:val="007B2DB3"/>
    <w:rsid w:val="007B5014"/>
    <w:rsid w:val="007B5A66"/>
    <w:rsid w:val="007B7BBD"/>
    <w:rsid w:val="007C005E"/>
    <w:rsid w:val="007C31DF"/>
    <w:rsid w:val="007C3C98"/>
    <w:rsid w:val="007C4AAD"/>
    <w:rsid w:val="007C51E1"/>
    <w:rsid w:val="007C5E47"/>
    <w:rsid w:val="007C66BE"/>
    <w:rsid w:val="007C7569"/>
    <w:rsid w:val="007C7952"/>
    <w:rsid w:val="007C7FCB"/>
    <w:rsid w:val="007D13D7"/>
    <w:rsid w:val="007D2CE9"/>
    <w:rsid w:val="007E1B08"/>
    <w:rsid w:val="007E24B2"/>
    <w:rsid w:val="007E29C4"/>
    <w:rsid w:val="007E4B5F"/>
    <w:rsid w:val="007E5792"/>
    <w:rsid w:val="007E7313"/>
    <w:rsid w:val="007E7E05"/>
    <w:rsid w:val="007F203F"/>
    <w:rsid w:val="007F2A33"/>
    <w:rsid w:val="007F4415"/>
    <w:rsid w:val="00800E60"/>
    <w:rsid w:val="00803E40"/>
    <w:rsid w:val="00810A0D"/>
    <w:rsid w:val="00811747"/>
    <w:rsid w:val="00812012"/>
    <w:rsid w:val="00814E82"/>
    <w:rsid w:val="00815CA0"/>
    <w:rsid w:val="008164F4"/>
    <w:rsid w:val="00817300"/>
    <w:rsid w:val="00820444"/>
    <w:rsid w:val="008204FE"/>
    <w:rsid w:val="00822B1B"/>
    <w:rsid w:val="008315BA"/>
    <w:rsid w:val="00832689"/>
    <w:rsid w:val="008354D1"/>
    <w:rsid w:val="00835A3D"/>
    <w:rsid w:val="00842FDF"/>
    <w:rsid w:val="00843BA8"/>
    <w:rsid w:val="00850300"/>
    <w:rsid w:val="00850566"/>
    <w:rsid w:val="00850BD9"/>
    <w:rsid w:val="00850F12"/>
    <w:rsid w:val="00852168"/>
    <w:rsid w:val="00853346"/>
    <w:rsid w:val="008545CC"/>
    <w:rsid w:val="0085477B"/>
    <w:rsid w:val="00855153"/>
    <w:rsid w:val="0085759C"/>
    <w:rsid w:val="00862328"/>
    <w:rsid w:val="0086284F"/>
    <w:rsid w:val="008632FD"/>
    <w:rsid w:val="008634F6"/>
    <w:rsid w:val="00863D38"/>
    <w:rsid w:val="00867568"/>
    <w:rsid w:val="00867A64"/>
    <w:rsid w:val="00870107"/>
    <w:rsid w:val="008705EE"/>
    <w:rsid w:val="00872C3A"/>
    <w:rsid w:val="00874BA5"/>
    <w:rsid w:val="00874E50"/>
    <w:rsid w:val="00881B17"/>
    <w:rsid w:val="008834E5"/>
    <w:rsid w:val="008850C7"/>
    <w:rsid w:val="0088523D"/>
    <w:rsid w:val="00885E7B"/>
    <w:rsid w:val="00886B8A"/>
    <w:rsid w:val="00890A1F"/>
    <w:rsid w:val="00892119"/>
    <w:rsid w:val="008928BC"/>
    <w:rsid w:val="00892FEA"/>
    <w:rsid w:val="00893A33"/>
    <w:rsid w:val="00894C4B"/>
    <w:rsid w:val="00895102"/>
    <w:rsid w:val="00895669"/>
    <w:rsid w:val="00896B0F"/>
    <w:rsid w:val="0089729F"/>
    <w:rsid w:val="008A11D3"/>
    <w:rsid w:val="008A28E4"/>
    <w:rsid w:val="008A2B2A"/>
    <w:rsid w:val="008A481E"/>
    <w:rsid w:val="008A642F"/>
    <w:rsid w:val="008A6D4A"/>
    <w:rsid w:val="008A7820"/>
    <w:rsid w:val="008B1DE3"/>
    <w:rsid w:val="008B2F8C"/>
    <w:rsid w:val="008B4C96"/>
    <w:rsid w:val="008B66AF"/>
    <w:rsid w:val="008C2644"/>
    <w:rsid w:val="008C2CF2"/>
    <w:rsid w:val="008C3433"/>
    <w:rsid w:val="008C3C9E"/>
    <w:rsid w:val="008C3E60"/>
    <w:rsid w:val="008C449E"/>
    <w:rsid w:val="008C4DBD"/>
    <w:rsid w:val="008D0EF8"/>
    <w:rsid w:val="008D0F8B"/>
    <w:rsid w:val="008D16C0"/>
    <w:rsid w:val="008D199B"/>
    <w:rsid w:val="008D1FFC"/>
    <w:rsid w:val="008D2C93"/>
    <w:rsid w:val="008D5309"/>
    <w:rsid w:val="008D7D4B"/>
    <w:rsid w:val="008E00B5"/>
    <w:rsid w:val="008E3267"/>
    <w:rsid w:val="008E53EA"/>
    <w:rsid w:val="008E626F"/>
    <w:rsid w:val="008F0410"/>
    <w:rsid w:val="008F3083"/>
    <w:rsid w:val="008F3779"/>
    <w:rsid w:val="008F4AE1"/>
    <w:rsid w:val="008F53DD"/>
    <w:rsid w:val="008F56DA"/>
    <w:rsid w:val="008F639A"/>
    <w:rsid w:val="008F773E"/>
    <w:rsid w:val="00901619"/>
    <w:rsid w:val="009017DF"/>
    <w:rsid w:val="00902D04"/>
    <w:rsid w:val="0090574A"/>
    <w:rsid w:val="00905A72"/>
    <w:rsid w:val="0090736F"/>
    <w:rsid w:val="00907A32"/>
    <w:rsid w:val="00907D61"/>
    <w:rsid w:val="009100EB"/>
    <w:rsid w:val="00913476"/>
    <w:rsid w:val="009213C6"/>
    <w:rsid w:val="00923169"/>
    <w:rsid w:val="009311FA"/>
    <w:rsid w:val="00931A04"/>
    <w:rsid w:val="00932DA9"/>
    <w:rsid w:val="00936DE7"/>
    <w:rsid w:val="00937398"/>
    <w:rsid w:val="00937BE5"/>
    <w:rsid w:val="00937D26"/>
    <w:rsid w:val="00940988"/>
    <w:rsid w:val="0094213A"/>
    <w:rsid w:val="00943D11"/>
    <w:rsid w:val="00945175"/>
    <w:rsid w:val="00950032"/>
    <w:rsid w:val="00956522"/>
    <w:rsid w:val="00956E93"/>
    <w:rsid w:val="00961F77"/>
    <w:rsid w:val="00962DE8"/>
    <w:rsid w:val="0096387B"/>
    <w:rsid w:val="00965C10"/>
    <w:rsid w:val="00966B79"/>
    <w:rsid w:val="00971493"/>
    <w:rsid w:val="00975AFF"/>
    <w:rsid w:val="00981107"/>
    <w:rsid w:val="00983943"/>
    <w:rsid w:val="00984FCB"/>
    <w:rsid w:val="0098584D"/>
    <w:rsid w:val="00986BE2"/>
    <w:rsid w:val="0098706B"/>
    <w:rsid w:val="009903BA"/>
    <w:rsid w:val="00991247"/>
    <w:rsid w:val="00992010"/>
    <w:rsid w:val="00993FB8"/>
    <w:rsid w:val="0099408E"/>
    <w:rsid w:val="009A0E05"/>
    <w:rsid w:val="009A2006"/>
    <w:rsid w:val="009A22D5"/>
    <w:rsid w:val="009A3277"/>
    <w:rsid w:val="009A3422"/>
    <w:rsid w:val="009A3F03"/>
    <w:rsid w:val="009A4BCA"/>
    <w:rsid w:val="009A5760"/>
    <w:rsid w:val="009A6124"/>
    <w:rsid w:val="009A7DB4"/>
    <w:rsid w:val="009B028C"/>
    <w:rsid w:val="009B2617"/>
    <w:rsid w:val="009B4746"/>
    <w:rsid w:val="009B4EEA"/>
    <w:rsid w:val="009B5488"/>
    <w:rsid w:val="009B5D0A"/>
    <w:rsid w:val="009B5D66"/>
    <w:rsid w:val="009B7798"/>
    <w:rsid w:val="009B77DD"/>
    <w:rsid w:val="009C06A3"/>
    <w:rsid w:val="009C16E3"/>
    <w:rsid w:val="009C454F"/>
    <w:rsid w:val="009C4FB2"/>
    <w:rsid w:val="009C6724"/>
    <w:rsid w:val="009C6AAF"/>
    <w:rsid w:val="009D1002"/>
    <w:rsid w:val="009D3582"/>
    <w:rsid w:val="009D44E3"/>
    <w:rsid w:val="009D5039"/>
    <w:rsid w:val="009D59C9"/>
    <w:rsid w:val="009D5C40"/>
    <w:rsid w:val="009E027D"/>
    <w:rsid w:val="009E0E19"/>
    <w:rsid w:val="009E1941"/>
    <w:rsid w:val="009E58E4"/>
    <w:rsid w:val="009E7327"/>
    <w:rsid w:val="009E7D16"/>
    <w:rsid w:val="009F037A"/>
    <w:rsid w:val="009F095A"/>
    <w:rsid w:val="009F299C"/>
    <w:rsid w:val="009F47BD"/>
    <w:rsid w:val="009F54F8"/>
    <w:rsid w:val="009F7A8E"/>
    <w:rsid w:val="00A00550"/>
    <w:rsid w:val="00A00DF7"/>
    <w:rsid w:val="00A01A99"/>
    <w:rsid w:val="00A03107"/>
    <w:rsid w:val="00A033A8"/>
    <w:rsid w:val="00A05C26"/>
    <w:rsid w:val="00A06265"/>
    <w:rsid w:val="00A10C65"/>
    <w:rsid w:val="00A1197B"/>
    <w:rsid w:val="00A11DDF"/>
    <w:rsid w:val="00A12CAE"/>
    <w:rsid w:val="00A14640"/>
    <w:rsid w:val="00A14EDE"/>
    <w:rsid w:val="00A152E1"/>
    <w:rsid w:val="00A15502"/>
    <w:rsid w:val="00A275C3"/>
    <w:rsid w:val="00A30EFA"/>
    <w:rsid w:val="00A32420"/>
    <w:rsid w:val="00A344AC"/>
    <w:rsid w:val="00A34B9B"/>
    <w:rsid w:val="00A35D7B"/>
    <w:rsid w:val="00A36187"/>
    <w:rsid w:val="00A368F2"/>
    <w:rsid w:val="00A375C9"/>
    <w:rsid w:val="00A41576"/>
    <w:rsid w:val="00A43540"/>
    <w:rsid w:val="00A43A5C"/>
    <w:rsid w:val="00A50591"/>
    <w:rsid w:val="00A50632"/>
    <w:rsid w:val="00A514B2"/>
    <w:rsid w:val="00A53898"/>
    <w:rsid w:val="00A60408"/>
    <w:rsid w:val="00A607F0"/>
    <w:rsid w:val="00A61060"/>
    <w:rsid w:val="00A61E01"/>
    <w:rsid w:val="00A61F09"/>
    <w:rsid w:val="00A62AFE"/>
    <w:rsid w:val="00A6326C"/>
    <w:rsid w:val="00A632FC"/>
    <w:rsid w:val="00A66985"/>
    <w:rsid w:val="00A70456"/>
    <w:rsid w:val="00A7077C"/>
    <w:rsid w:val="00A71AA6"/>
    <w:rsid w:val="00A762EA"/>
    <w:rsid w:val="00A807CD"/>
    <w:rsid w:val="00A81D6C"/>
    <w:rsid w:val="00A82E24"/>
    <w:rsid w:val="00A86749"/>
    <w:rsid w:val="00A872C5"/>
    <w:rsid w:val="00A87C0A"/>
    <w:rsid w:val="00A912E6"/>
    <w:rsid w:val="00A91794"/>
    <w:rsid w:val="00A92509"/>
    <w:rsid w:val="00A9530C"/>
    <w:rsid w:val="00A9591D"/>
    <w:rsid w:val="00A9661C"/>
    <w:rsid w:val="00A978DA"/>
    <w:rsid w:val="00AA0FEA"/>
    <w:rsid w:val="00AA2D90"/>
    <w:rsid w:val="00AA31CF"/>
    <w:rsid w:val="00AA36A0"/>
    <w:rsid w:val="00AA40BA"/>
    <w:rsid w:val="00AA44B4"/>
    <w:rsid w:val="00AA55ED"/>
    <w:rsid w:val="00AA5DE5"/>
    <w:rsid w:val="00AB0647"/>
    <w:rsid w:val="00AB1D83"/>
    <w:rsid w:val="00AB2581"/>
    <w:rsid w:val="00AB494E"/>
    <w:rsid w:val="00AB58CB"/>
    <w:rsid w:val="00AB5F8E"/>
    <w:rsid w:val="00AB6A90"/>
    <w:rsid w:val="00AC0552"/>
    <w:rsid w:val="00AC06B3"/>
    <w:rsid w:val="00AC3AFC"/>
    <w:rsid w:val="00AC4901"/>
    <w:rsid w:val="00AD285D"/>
    <w:rsid w:val="00AD2AFD"/>
    <w:rsid w:val="00AD2FEA"/>
    <w:rsid w:val="00AD3A94"/>
    <w:rsid w:val="00AD3DAC"/>
    <w:rsid w:val="00AD60B5"/>
    <w:rsid w:val="00AD7560"/>
    <w:rsid w:val="00AD7592"/>
    <w:rsid w:val="00AE09CE"/>
    <w:rsid w:val="00AE1E9B"/>
    <w:rsid w:val="00AE2443"/>
    <w:rsid w:val="00AE24AF"/>
    <w:rsid w:val="00AE2502"/>
    <w:rsid w:val="00AE47DC"/>
    <w:rsid w:val="00AE6347"/>
    <w:rsid w:val="00AE641A"/>
    <w:rsid w:val="00AE6710"/>
    <w:rsid w:val="00AE7C54"/>
    <w:rsid w:val="00AF09C5"/>
    <w:rsid w:val="00AF333F"/>
    <w:rsid w:val="00AF4D75"/>
    <w:rsid w:val="00B010B8"/>
    <w:rsid w:val="00B01FE1"/>
    <w:rsid w:val="00B02F44"/>
    <w:rsid w:val="00B04C51"/>
    <w:rsid w:val="00B05C04"/>
    <w:rsid w:val="00B06725"/>
    <w:rsid w:val="00B07916"/>
    <w:rsid w:val="00B10227"/>
    <w:rsid w:val="00B10674"/>
    <w:rsid w:val="00B10EDC"/>
    <w:rsid w:val="00B11099"/>
    <w:rsid w:val="00B11FAE"/>
    <w:rsid w:val="00B133B4"/>
    <w:rsid w:val="00B15946"/>
    <w:rsid w:val="00B15FEB"/>
    <w:rsid w:val="00B16BC8"/>
    <w:rsid w:val="00B21C95"/>
    <w:rsid w:val="00B21F58"/>
    <w:rsid w:val="00B22232"/>
    <w:rsid w:val="00B22A33"/>
    <w:rsid w:val="00B26225"/>
    <w:rsid w:val="00B27E58"/>
    <w:rsid w:val="00B30077"/>
    <w:rsid w:val="00B319BB"/>
    <w:rsid w:val="00B326F7"/>
    <w:rsid w:val="00B35883"/>
    <w:rsid w:val="00B35AE4"/>
    <w:rsid w:val="00B36447"/>
    <w:rsid w:val="00B37F64"/>
    <w:rsid w:val="00B40C1B"/>
    <w:rsid w:val="00B4193E"/>
    <w:rsid w:val="00B41F75"/>
    <w:rsid w:val="00B42C0B"/>
    <w:rsid w:val="00B46D3C"/>
    <w:rsid w:val="00B46F0C"/>
    <w:rsid w:val="00B472EC"/>
    <w:rsid w:val="00B479E9"/>
    <w:rsid w:val="00B47D8C"/>
    <w:rsid w:val="00B520DE"/>
    <w:rsid w:val="00B526F1"/>
    <w:rsid w:val="00B56403"/>
    <w:rsid w:val="00B57905"/>
    <w:rsid w:val="00B63450"/>
    <w:rsid w:val="00B65230"/>
    <w:rsid w:val="00B65643"/>
    <w:rsid w:val="00B65E5B"/>
    <w:rsid w:val="00B67430"/>
    <w:rsid w:val="00B70ECC"/>
    <w:rsid w:val="00B718C2"/>
    <w:rsid w:val="00B72328"/>
    <w:rsid w:val="00B72D11"/>
    <w:rsid w:val="00B72D5C"/>
    <w:rsid w:val="00B736DB"/>
    <w:rsid w:val="00B73881"/>
    <w:rsid w:val="00B73C4D"/>
    <w:rsid w:val="00B76E1A"/>
    <w:rsid w:val="00B77A8F"/>
    <w:rsid w:val="00B77FC4"/>
    <w:rsid w:val="00B80409"/>
    <w:rsid w:val="00B825A6"/>
    <w:rsid w:val="00B8287F"/>
    <w:rsid w:val="00B82990"/>
    <w:rsid w:val="00B82F0C"/>
    <w:rsid w:val="00B85679"/>
    <w:rsid w:val="00B861B8"/>
    <w:rsid w:val="00B8689A"/>
    <w:rsid w:val="00B92C7B"/>
    <w:rsid w:val="00B93AE8"/>
    <w:rsid w:val="00B9557A"/>
    <w:rsid w:val="00B95EDB"/>
    <w:rsid w:val="00BA34E1"/>
    <w:rsid w:val="00BA741E"/>
    <w:rsid w:val="00BA7B1A"/>
    <w:rsid w:val="00BB3C3E"/>
    <w:rsid w:val="00BB54EA"/>
    <w:rsid w:val="00BB5887"/>
    <w:rsid w:val="00BB6777"/>
    <w:rsid w:val="00BC036D"/>
    <w:rsid w:val="00BC15D5"/>
    <w:rsid w:val="00BC1C68"/>
    <w:rsid w:val="00BC452D"/>
    <w:rsid w:val="00BC4C6E"/>
    <w:rsid w:val="00BC5C52"/>
    <w:rsid w:val="00BC794B"/>
    <w:rsid w:val="00BC7EB6"/>
    <w:rsid w:val="00BD226B"/>
    <w:rsid w:val="00BD257D"/>
    <w:rsid w:val="00BD3D5C"/>
    <w:rsid w:val="00BD43F3"/>
    <w:rsid w:val="00BD58B9"/>
    <w:rsid w:val="00BD593D"/>
    <w:rsid w:val="00BD5F24"/>
    <w:rsid w:val="00BD69CF"/>
    <w:rsid w:val="00BD7141"/>
    <w:rsid w:val="00BE09C6"/>
    <w:rsid w:val="00BE0D8B"/>
    <w:rsid w:val="00BE12DB"/>
    <w:rsid w:val="00BE168A"/>
    <w:rsid w:val="00BE3D09"/>
    <w:rsid w:val="00BE49AA"/>
    <w:rsid w:val="00BE53C5"/>
    <w:rsid w:val="00BE5555"/>
    <w:rsid w:val="00BE5B26"/>
    <w:rsid w:val="00BF31A2"/>
    <w:rsid w:val="00BF51F4"/>
    <w:rsid w:val="00BF5A4B"/>
    <w:rsid w:val="00BF5FE8"/>
    <w:rsid w:val="00BF6EC7"/>
    <w:rsid w:val="00C000ED"/>
    <w:rsid w:val="00C0059B"/>
    <w:rsid w:val="00C0159F"/>
    <w:rsid w:val="00C045E9"/>
    <w:rsid w:val="00C0477C"/>
    <w:rsid w:val="00C04983"/>
    <w:rsid w:val="00C04ABE"/>
    <w:rsid w:val="00C04C8A"/>
    <w:rsid w:val="00C05B59"/>
    <w:rsid w:val="00C05F4E"/>
    <w:rsid w:val="00C06A9C"/>
    <w:rsid w:val="00C118D7"/>
    <w:rsid w:val="00C122C0"/>
    <w:rsid w:val="00C15B58"/>
    <w:rsid w:val="00C16089"/>
    <w:rsid w:val="00C2594F"/>
    <w:rsid w:val="00C27A73"/>
    <w:rsid w:val="00C27FBD"/>
    <w:rsid w:val="00C301DC"/>
    <w:rsid w:val="00C30A3A"/>
    <w:rsid w:val="00C30ACC"/>
    <w:rsid w:val="00C30B5C"/>
    <w:rsid w:val="00C338AD"/>
    <w:rsid w:val="00C353E1"/>
    <w:rsid w:val="00C36118"/>
    <w:rsid w:val="00C36729"/>
    <w:rsid w:val="00C376CD"/>
    <w:rsid w:val="00C40A11"/>
    <w:rsid w:val="00C424C5"/>
    <w:rsid w:val="00C45908"/>
    <w:rsid w:val="00C47E86"/>
    <w:rsid w:val="00C50D21"/>
    <w:rsid w:val="00C50FE2"/>
    <w:rsid w:val="00C518B7"/>
    <w:rsid w:val="00C5408F"/>
    <w:rsid w:val="00C557F5"/>
    <w:rsid w:val="00C628B0"/>
    <w:rsid w:val="00C64E5A"/>
    <w:rsid w:val="00C66636"/>
    <w:rsid w:val="00C66E57"/>
    <w:rsid w:val="00C67A44"/>
    <w:rsid w:val="00C701C4"/>
    <w:rsid w:val="00C7068C"/>
    <w:rsid w:val="00C7072B"/>
    <w:rsid w:val="00C71D58"/>
    <w:rsid w:val="00C72661"/>
    <w:rsid w:val="00C727CA"/>
    <w:rsid w:val="00C751D1"/>
    <w:rsid w:val="00C76187"/>
    <w:rsid w:val="00C76F8E"/>
    <w:rsid w:val="00C77C70"/>
    <w:rsid w:val="00C81C32"/>
    <w:rsid w:val="00C821CE"/>
    <w:rsid w:val="00C82235"/>
    <w:rsid w:val="00C85687"/>
    <w:rsid w:val="00C85712"/>
    <w:rsid w:val="00C91BAB"/>
    <w:rsid w:val="00C92174"/>
    <w:rsid w:val="00C9343E"/>
    <w:rsid w:val="00C945B1"/>
    <w:rsid w:val="00C94EC3"/>
    <w:rsid w:val="00C95114"/>
    <w:rsid w:val="00CA20E7"/>
    <w:rsid w:val="00CA22EF"/>
    <w:rsid w:val="00CA2626"/>
    <w:rsid w:val="00CA416F"/>
    <w:rsid w:val="00CA467B"/>
    <w:rsid w:val="00CA49F1"/>
    <w:rsid w:val="00CA4B27"/>
    <w:rsid w:val="00CA7CEA"/>
    <w:rsid w:val="00CA7F8E"/>
    <w:rsid w:val="00CB2BEB"/>
    <w:rsid w:val="00CB43DB"/>
    <w:rsid w:val="00CC0B08"/>
    <w:rsid w:val="00CC29E6"/>
    <w:rsid w:val="00CC2D2F"/>
    <w:rsid w:val="00CC3154"/>
    <w:rsid w:val="00CC3456"/>
    <w:rsid w:val="00CC35B8"/>
    <w:rsid w:val="00CC4D58"/>
    <w:rsid w:val="00CC58CC"/>
    <w:rsid w:val="00CC5E28"/>
    <w:rsid w:val="00CC63CD"/>
    <w:rsid w:val="00CC65AF"/>
    <w:rsid w:val="00CC7EB2"/>
    <w:rsid w:val="00CD08F0"/>
    <w:rsid w:val="00CD2492"/>
    <w:rsid w:val="00CD2D44"/>
    <w:rsid w:val="00CD2FDB"/>
    <w:rsid w:val="00CD6876"/>
    <w:rsid w:val="00CE3937"/>
    <w:rsid w:val="00CE3BF3"/>
    <w:rsid w:val="00CE4343"/>
    <w:rsid w:val="00CE4815"/>
    <w:rsid w:val="00CE634A"/>
    <w:rsid w:val="00CF0BC0"/>
    <w:rsid w:val="00CF2FAC"/>
    <w:rsid w:val="00CF34E2"/>
    <w:rsid w:val="00CF40BE"/>
    <w:rsid w:val="00CF538C"/>
    <w:rsid w:val="00CF69BC"/>
    <w:rsid w:val="00CF7345"/>
    <w:rsid w:val="00D02FD5"/>
    <w:rsid w:val="00D033B3"/>
    <w:rsid w:val="00D03922"/>
    <w:rsid w:val="00D04151"/>
    <w:rsid w:val="00D057E0"/>
    <w:rsid w:val="00D05F9E"/>
    <w:rsid w:val="00D06880"/>
    <w:rsid w:val="00D10573"/>
    <w:rsid w:val="00D11C73"/>
    <w:rsid w:val="00D120EB"/>
    <w:rsid w:val="00D12442"/>
    <w:rsid w:val="00D2080B"/>
    <w:rsid w:val="00D20EFE"/>
    <w:rsid w:val="00D229F3"/>
    <w:rsid w:val="00D235D0"/>
    <w:rsid w:val="00D24C4B"/>
    <w:rsid w:val="00D27AE7"/>
    <w:rsid w:val="00D31B41"/>
    <w:rsid w:val="00D332B9"/>
    <w:rsid w:val="00D33AA3"/>
    <w:rsid w:val="00D34940"/>
    <w:rsid w:val="00D34B6B"/>
    <w:rsid w:val="00D34CBC"/>
    <w:rsid w:val="00D3601E"/>
    <w:rsid w:val="00D408C7"/>
    <w:rsid w:val="00D42B1C"/>
    <w:rsid w:val="00D45205"/>
    <w:rsid w:val="00D47BB3"/>
    <w:rsid w:val="00D530EE"/>
    <w:rsid w:val="00D5481C"/>
    <w:rsid w:val="00D568C9"/>
    <w:rsid w:val="00D5707F"/>
    <w:rsid w:val="00D57396"/>
    <w:rsid w:val="00D57E14"/>
    <w:rsid w:val="00D6069F"/>
    <w:rsid w:val="00D60A95"/>
    <w:rsid w:val="00D613AB"/>
    <w:rsid w:val="00D619CF"/>
    <w:rsid w:val="00D61FA0"/>
    <w:rsid w:val="00D623D8"/>
    <w:rsid w:val="00D6469B"/>
    <w:rsid w:val="00D64AB7"/>
    <w:rsid w:val="00D67C0C"/>
    <w:rsid w:val="00D75404"/>
    <w:rsid w:val="00D75AEF"/>
    <w:rsid w:val="00D770AB"/>
    <w:rsid w:val="00D776A2"/>
    <w:rsid w:val="00D80D0E"/>
    <w:rsid w:val="00D816CB"/>
    <w:rsid w:val="00D83055"/>
    <w:rsid w:val="00D90A89"/>
    <w:rsid w:val="00D92E7C"/>
    <w:rsid w:val="00D9491D"/>
    <w:rsid w:val="00DA0766"/>
    <w:rsid w:val="00DA21F3"/>
    <w:rsid w:val="00DA35F4"/>
    <w:rsid w:val="00DA452B"/>
    <w:rsid w:val="00DA5EEB"/>
    <w:rsid w:val="00DA6B05"/>
    <w:rsid w:val="00DA744D"/>
    <w:rsid w:val="00DA7635"/>
    <w:rsid w:val="00DB114D"/>
    <w:rsid w:val="00DB297C"/>
    <w:rsid w:val="00DB3B7A"/>
    <w:rsid w:val="00DB4344"/>
    <w:rsid w:val="00DB7186"/>
    <w:rsid w:val="00DC0086"/>
    <w:rsid w:val="00DC0473"/>
    <w:rsid w:val="00DC15D5"/>
    <w:rsid w:val="00DC2146"/>
    <w:rsid w:val="00DC24E1"/>
    <w:rsid w:val="00DC2F3F"/>
    <w:rsid w:val="00DC5D0F"/>
    <w:rsid w:val="00DC6A2F"/>
    <w:rsid w:val="00DC7EF4"/>
    <w:rsid w:val="00DD12F1"/>
    <w:rsid w:val="00DD1440"/>
    <w:rsid w:val="00DD1C3C"/>
    <w:rsid w:val="00DD20E9"/>
    <w:rsid w:val="00DD2FD1"/>
    <w:rsid w:val="00DD379B"/>
    <w:rsid w:val="00DD6279"/>
    <w:rsid w:val="00DD76B1"/>
    <w:rsid w:val="00DE1655"/>
    <w:rsid w:val="00DE165D"/>
    <w:rsid w:val="00DE2DD5"/>
    <w:rsid w:val="00DE6540"/>
    <w:rsid w:val="00DE7ED9"/>
    <w:rsid w:val="00DF05A0"/>
    <w:rsid w:val="00DF3CE9"/>
    <w:rsid w:val="00DF47DA"/>
    <w:rsid w:val="00DF50B3"/>
    <w:rsid w:val="00DF5E1F"/>
    <w:rsid w:val="00DF7368"/>
    <w:rsid w:val="00E0036B"/>
    <w:rsid w:val="00E019E6"/>
    <w:rsid w:val="00E01FC2"/>
    <w:rsid w:val="00E02946"/>
    <w:rsid w:val="00E02953"/>
    <w:rsid w:val="00E02D38"/>
    <w:rsid w:val="00E034B3"/>
    <w:rsid w:val="00E04843"/>
    <w:rsid w:val="00E04A0D"/>
    <w:rsid w:val="00E04FC6"/>
    <w:rsid w:val="00E06361"/>
    <w:rsid w:val="00E064C9"/>
    <w:rsid w:val="00E07F39"/>
    <w:rsid w:val="00E10083"/>
    <w:rsid w:val="00E11B3C"/>
    <w:rsid w:val="00E11C68"/>
    <w:rsid w:val="00E11EDF"/>
    <w:rsid w:val="00E1222B"/>
    <w:rsid w:val="00E125B3"/>
    <w:rsid w:val="00E126C3"/>
    <w:rsid w:val="00E12F97"/>
    <w:rsid w:val="00E1378E"/>
    <w:rsid w:val="00E13C7D"/>
    <w:rsid w:val="00E13FA6"/>
    <w:rsid w:val="00E150A1"/>
    <w:rsid w:val="00E169BD"/>
    <w:rsid w:val="00E20C6E"/>
    <w:rsid w:val="00E21DF6"/>
    <w:rsid w:val="00E2254B"/>
    <w:rsid w:val="00E27802"/>
    <w:rsid w:val="00E33279"/>
    <w:rsid w:val="00E34012"/>
    <w:rsid w:val="00E34093"/>
    <w:rsid w:val="00E34784"/>
    <w:rsid w:val="00E36754"/>
    <w:rsid w:val="00E36826"/>
    <w:rsid w:val="00E36CA0"/>
    <w:rsid w:val="00E4086F"/>
    <w:rsid w:val="00E40EF9"/>
    <w:rsid w:val="00E42071"/>
    <w:rsid w:val="00E42C16"/>
    <w:rsid w:val="00E42DF8"/>
    <w:rsid w:val="00E43BEC"/>
    <w:rsid w:val="00E44A75"/>
    <w:rsid w:val="00E4508C"/>
    <w:rsid w:val="00E46574"/>
    <w:rsid w:val="00E4766C"/>
    <w:rsid w:val="00E47DAC"/>
    <w:rsid w:val="00E504D8"/>
    <w:rsid w:val="00E51642"/>
    <w:rsid w:val="00E5211B"/>
    <w:rsid w:val="00E5334F"/>
    <w:rsid w:val="00E54160"/>
    <w:rsid w:val="00E54195"/>
    <w:rsid w:val="00E5528A"/>
    <w:rsid w:val="00E55476"/>
    <w:rsid w:val="00E56088"/>
    <w:rsid w:val="00E622A6"/>
    <w:rsid w:val="00E64375"/>
    <w:rsid w:val="00E64701"/>
    <w:rsid w:val="00E6653D"/>
    <w:rsid w:val="00E6684F"/>
    <w:rsid w:val="00E715BB"/>
    <w:rsid w:val="00E715E2"/>
    <w:rsid w:val="00E71BC0"/>
    <w:rsid w:val="00E73F72"/>
    <w:rsid w:val="00E811A4"/>
    <w:rsid w:val="00E838A2"/>
    <w:rsid w:val="00E90FB3"/>
    <w:rsid w:val="00E92701"/>
    <w:rsid w:val="00E96737"/>
    <w:rsid w:val="00EA0C2B"/>
    <w:rsid w:val="00EA1AA5"/>
    <w:rsid w:val="00EA2543"/>
    <w:rsid w:val="00EA2A70"/>
    <w:rsid w:val="00EA2DB9"/>
    <w:rsid w:val="00EA50BB"/>
    <w:rsid w:val="00EA5B36"/>
    <w:rsid w:val="00EA67B9"/>
    <w:rsid w:val="00EA7E1F"/>
    <w:rsid w:val="00EB02BE"/>
    <w:rsid w:val="00EB1DAC"/>
    <w:rsid w:val="00EB26C4"/>
    <w:rsid w:val="00EB2974"/>
    <w:rsid w:val="00EB2A7A"/>
    <w:rsid w:val="00EB389D"/>
    <w:rsid w:val="00EB421C"/>
    <w:rsid w:val="00EB551D"/>
    <w:rsid w:val="00EB55A1"/>
    <w:rsid w:val="00EB5A69"/>
    <w:rsid w:val="00EB620E"/>
    <w:rsid w:val="00EC183D"/>
    <w:rsid w:val="00EC188C"/>
    <w:rsid w:val="00EC2107"/>
    <w:rsid w:val="00EC4A12"/>
    <w:rsid w:val="00EC647C"/>
    <w:rsid w:val="00ED1616"/>
    <w:rsid w:val="00ED6CBD"/>
    <w:rsid w:val="00EE1A85"/>
    <w:rsid w:val="00EE1B5D"/>
    <w:rsid w:val="00EE211A"/>
    <w:rsid w:val="00EE3470"/>
    <w:rsid w:val="00EE3C5B"/>
    <w:rsid w:val="00EE60CF"/>
    <w:rsid w:val="00EE6E03"/>
    <w:rsid w:val="00EE71EE"/>
    <w:rsid w:val="00EF0325"/>
    <w:rsid w:val="00EF0BB7"/>
    <w:rsid w:val="00EF342D"/>
    <w:rsid w:val="00EF5A84"/>
    <w:rsid w:val="00EF6E4B"/>
    <w:rsid w:val="00F003BE"/>
    <w:rsid w:val="00F004F3"/>
    <w:rsid w:val="00F014DC"/>
    <w:rsid w:val="00F0248A"/>
    <w:rsid w:val="00F02D7F"/>
    <w:rsid w:val="00F05C2E"/>
    <w:rsid w:val="00F05C8D"/>
    <w:rsid w:val="00F077E4"/>
    <w:rsid w:val="00F11DDE"/>
    <w:rsid w:val="00F12B6C"/>
    <w:rsid w:val="00F1391C"/>
    <w:rsid w:val="00F13CDA"/>
    <w:rsid w:val="00F14A0E"/>
    <w:rsid w:val="00F14A68"/>
    <w:rsid w:val="00F17B14"/>
    <w:rsid w:val="00F207EE"/>
    <w:rsid w:val="00F22BB9"/>
    <w:rsid w:val="00F23835"/>
    <w:rsid w:val="00F25465"/>
    <w:rsid w:val="00F266D1"/>
    <w:rsid w:val="00F26E06"/>
    <w:rsid w:val="00F33BDA"/>
    <w:rsid w:val="00F34899"/>
    <w:rsid w:val="00F3518C"/>
    <w:rsid w:val="00F37732"/>
    <w:rsid w:val="00F44723"/>
    <w:rsid w:val="00F449DD"/>
    <w:rsid w:val="00F46007"/>
    <w:rsid w:val="00F468BE"/>
    <w:rsid w:val="00F506A4"/>
    <w:rsid w:val="00F53E8C"/>
    <w:rsid w:val="00F565FD"/>
    <w:rsid w:val="00F56B0F"/>
    <w:rsid w:val="00F573CE"/>
    <w:rsid w:val="00F57A15"/>
    <w:rsid w:val="00F61B22"/>
    <w:rsid w:val="00F6208C"/>
    <w:rsid w:val="00F6329E"/>
    <w:rsid w:val="00F6401E"/>
    <w:rsid w:val="00F659DE"/>
    <w:rsid w:val="00F674F2"/>
    <w:rsid w:val="00F67E33"/>
    <w:rsid w:val="00F70DD1"/>
    <w:rsid w:val="00F71B0D"/>
    <w:rsid w:val="00F74736"/>
    <w:rsid w:val="00F75714"/>
    <w:rsid w:val="00F758CE"/>
    <w:rsid w:val="00F8079F"/>
    <w:rsid w:val="00F815D2"/>
    <w:rsid w:val="00F841AF"/>
    <w:rsid w:val="00F8607E"/>
    <w:rsid w:val="00F87A7C"/>
    <w:rsid w:val="00F9096B"/>
    <w:rsid w:val="00F92702"/>
    <w:rsid w:val="00F92FA3"/>
    <w:rsid w:val="00F93E26"/>
    <w:rsid w:val="00F95AE5"/>
    <w:rsid w:val="00F97A85"/>
    <w:rsid w:val="00FA3051"/>
    <w:rsid w:val="00FA43D9"/>
    <w:rsid w:val="00FA5670"/>
    <w:rsid w:val="00FA5956"/>
    <w:rsid w:val="00FA6096"/>
    <w:rsid w:val="00FA78BF"/>
    <w:rsid w:val="00FA79D1"/>
    <w:rsid w:val="00FA7E97"/>
    <w:rsid w:val="00FB1E4E"/>
    <w:rsid w:val="00FB57D9"/>
    <w:rsid w:val="00FB5F3B"/>
    <w:rsid w:val="00FC08E8"/>
    <w:rsid w:val="00FC1A2C"/>
    <w:rsid w:val="00FC23A7"/>
    <w:rsid w:val="00FC687D"/>
    <w:rsid w:val="00FC6C23"/>
    <w:rsid w:val="00FC77CC"/>
    <w:rsid w:val="00FD1A13"/>
    <w:rsid w:val="00FD1F7F"/>
    <w:rsid w:val="00FD331D"/>
    <w:rsid w:val="00FD4A36"/>
    <w:rsid w:val="00FD5F26"/>
    <w:rsid w:val="00FD6B42"/>
    <w:rsid w:val="00FD7037"/>
    <w:rsid w:val="00FE20D7"/>
    <w:rsid w:val="00FE3312"/>
    <w:rsid w:val="00FE396E"/>
    <w:rsid w:val="00FE3B60"/>
    <w:rsid w:val="00FE3C0E"/>
    <w:rsid w:val="00FE5583"/>
    <w:rsid w:val="00FE598F"/>
    <w:rsid w:val="00FE6075"/>
    <w:rsid w:val="00FE6F18"/>
    <w:rsid w:val="00FE7816"/>
    <w:rsid w:val="00FE7BD4"/>
    <w:rsid w:val="00FF0A2D"/>
    <w:rsid w:val="00FF1093"/>
    <w:rsid w:val="00FF143C"/>
    <w:rsid w:val="00FF2BBB"/>
    <w:rsid w:val="00FF2EF7"/>
    <w:rsid w:val="00FF3E5B"/>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046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95EDB"/>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95EDB"/>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1982">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26700981">
      <w:bodyDiv w:val="1"/>
      <w:marLeft w:val="0"/>
      <w:marRight w:val="0"/>
      <w:marTop w:val="0"/>
      <w:marBottom w:val="0"/>
      <w:divBdr>
        <w:top w:val="none" w:sz="0" w:space="0" w:color="auto"/>
        <w:left w:val="none" w:sz="0" w:space="0" w:color="auto"/>
        <w:bottom w:val="none" w:sz="0" w:space="0" w:color="auto"/>
        <w:right w:val="none" w:sz="0" w:space="0" w:color="auto"/>
      </w:divBdr>
    </w:div>
    <w:div w:id="96006739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7408104">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22219626">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1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wholesale-markets/market-guidelines/significant-price-variations-in-the-sttm-reporting-triggers"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er.gov.au/wholesale-markets/market-guidelines/significant-price-variations-in-the-sttm-reporting-trigger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er.gov.au/wholesale-markets/compliance-reporting/significant-price-variation-report-july-august-2016"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aer.gov.au/wholesale-markets/compliance-reporting/significant-price-variation-report-july-august-2016"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www.aer.gov.au/wholesale-markets/market-performance/significant-price-variation-report-13-and-23-january-2016-sydney-sttm"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aer.gov.au/wholesale-markets/market-guidelines/significant-price-variation-guideline-for-victorian-declared-wholesale-marke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wholesale-markets/compliance-reporting/quarterly-compliance-report-april-june-2014" TargetMode="External"/><Relationship Id="rId1" Type="http://schemas.openxmlformats.org/officeDocument/2006/relationships/hyperlink" Target="https://www.aer.gov.au/wholesale-markets/compliance-reporting/quarterly-compliance-report-october-december-2016"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35DB8B-85CA-44BD-8DE0-9C2239E4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D227CE9D.dotm</Template>
  <TotalTime>0</TotalTime>
  <Pages>13</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2017-03-31T04:04:00Z</dcterms:created>
  <dcterms:modified xsi:type="dcterms:W3CDTF">2017-03-31T04:04:00Z</dcterms:modified>
</cp:coreProperties>
</file>