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AF4" w:rsidRDefault="00752397" w:rsidP="00C7068C">
      <w:pPr>
        <w:rPr>
          <w:b/>
          <w:color w:val="076A92" w:themeColor="text1"/>
          <w:sz w:val="24"/>
          <w:szCs w:val="20"/>
        </w:rPr>
      </w:pPr>
      <w:bookmarkStart w:id="0" w:name="_GoBack"/>
      <w:r w:rsidRPr="00290C63">
        <w:rPr>
          <w:noProof/>
          <w:lang w:eastAsia="en-AU"/>
        </w:rPr>
        <w:drawing>
          <wp:anchor distT="0" distB="0" distL="114300" distR="114300" simplePos="0" relativeHeight="251685888" behindDoc="1" locked="0" layoutInCell="1" allowOverlap="1" wp14:anchorId="5CFEE16F" wp14:editId="391B460D">
            <wp:simplePos x="0" y="0"/>
            <wp:positionH relativeFrom="column">
              <wp:posOffset>-1143635</wp:posOffset>
            </wp:positionH>
            <wp:positionV relativeFrom="paragraph">
              <wp:posOffset>-921385</wp:posOffset>
            </wp:positionV>
            <wp:extent cx="7796530" cy="10925175"/>
            <wp:effectExtent l="0" t="0" r="0" b="9525"/>
            <wp:wrapNone/>
            <wp:docPr id="36" name="Picture 36"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530" cy="10925175"/>
                    </a:xfrm>
                    <a:prstGeom prst="rect">
                      <a:avLst/>
                    </a:prstGeom>
                    <a:noFill/>
                  </pic:spPr>
                </pic:pic>
              </a:graphicData>
            </a:graphic>
            <wp14:sizeRelH relativeFrom="page">
              <wp14:pctWidth>0</wp14:pctWidth>
            </wp14:sizeRelH>
            <wp14:sizeRelV relativeFrom="page">
              <wp14:pctHeight>0</wp14:pctHeight>
            </wp14:sizeRelV>
          </wp:anchor>
        </w:drawing>
      </w:r>
      <w:bookmarkEnd w:id="0"/>
    </w:p>
    <w:sdt>
      <w:sdtPr>
        <w:rPr>
          <w:b/>
          <w:color w:val="076A92" w:themeColor="text1"/>
          <w:sz w:val="24"/>
          <w:szCs w:val="20"/>
        </w:rPr>
        <w:id w:val="1099676627"/>
        <w:docPartObj>
          <w:docPartGallery w:val="Cover Pages"/>
          <w:docPartUnique/>
        </w:docPartObj>
      </w:sdtPr>
      <w:sdtEndPr>
        <w:rPr>
          <w:rFonts w:asciiTheme="minorHAnsi" w:eastAsia="Times New Roman" w:hAnsiTheme="minorHAnsi" w:cs="Arial"/>
          <w:b w:val="0"/>
          <w:color w:val="auto"/>
          <w:sz w:val="22"/>
          <w:szCs w:val="22"/>
        </w:rPr>
      </w:sdtEndPr>
      <w:sdtContent>
        <w:p w:rsidR="00C7068C" w:rsidRDefault="00C7068C" w:rsidP="00C7068C">
          <w:r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654F52" w:rsidP="00C7068C">
              <w:pPr>
                <w:pStyle w:val="ReportTitle"/>
              </w:pPr>
              <w:r>
                <w:t>S</w:t>
              </w:r>
              <w:r w:rsidR="00CD6876">
                <w:t>ignificant price variation report</w:t>
              </w:r>
            </w:p>
            <w:p w:rsidR="00C7068C" w:rsidRDefault="00C7068C" w:rsidP="00C7068C">
              <w:pPr>
                <w:pStyle w:val="ReportSubtitle"/>
              </w:pPr>
            </w:p>
            <w:p w:rsidR="00C7068C" w:rsidRPr="00DB723B" w:rsidRDefault="00303022" w:rsidP="00C7068C">
              <w:pPr>
                <w:pStyle w:val="ReportSubtitle"/>
              </w:pPr>
              <w:r>
                <w:t>East Coast Gas Markets</w:t>
              </w:r>
              <w:r w:rsidR="00C7068C">
                <w:t xml:space="preserve"> </w:t>
              </w:r>
              <w:r w:rsidR="008634F6">
                <w:br/>
              </w:r>
              <w:r>
                <w:t>Ju</w:t>
              </w:r>
              <w:r w:rsidR="007A312F">
                <w:t>ly</w:t>
              </w:r>
              <w:r w:rsidR="00781B7B">
                <w:t xml:space="preserve"> &amp; August</w:t>
              </w:r>
              <w:r>
                <w:t xml:space="preserve"> 2016</w:t>
              </w:r>
            </w:p>
            <w:p w:rsidR="00C7068C" w:rsidRDefault="00C7068C" w:rsidP="00C7068C">
              <w:pPr>
                <w:pStyle w:val="ReportDate"/>
              </w:pPr>
            </w:p>
            <w:p w:rsidR="00C7068C" w:rsidRDefault="00C7068C" w:rsidP="00C7068C">
              <w:pPr>
                <w:pStyle w:val="ReportDate"/>
              </w:pPr>
            </w:p>
            <w:p w:rsidR="00C7068C" w:rsidRPr="00300AF1" w:rsidRDefault="00050C1C" w:rsidP="00C7068C">
              <w:pPr>
                <w:pStyle w:val="ReportDate"/>
              </w:pPr>
              <w:r w:rsidRPr="00311DB0">
                <w:t>14</w:t>
              </w:r>
              <w:r w:rsidR="007A4D73" w:rsidRPr="00311DB0">
                <w:t xml:space="preserve"> </w:t>
              </w:r>
              <w:r w:rsidR="00300AF1" w:rsidRPr="00311DB0">
                <w:t>November</w:t>
              </w:r>
              <w:r w:rsidR="00752397" w:rsidRPr="00311DB0">
                <w:t xml:space="preserve"> </w:t>
              </w:r>
              <w:r w:rsidR="00C7068C" w:rsidRPr="00311DB0">
                <w:t>201</w:t>
              </w:r>
              <w:r w:rsidR="00CD6876" w:rsidRPr="00311DB0">
                <w:t>6</w:t>
              </w:r>
            </w:p>
            <w:p w:rsidR="00C7068C" w:rsidRPr="0015715D" w:rsidRDefault="00C7068C" w:rsidP="0015715D">
              <w:r w:rsidRPr="00DB723B">
                <w:br w:type="page"/>
              </w:r>
            </w:p>
          </w:sdtContent>
        </w:sdt>
        <w:p w:rsidR="00C7068C" w:rsidRDefault="0015715D" w:rsidP="00C7068C">
          <w:pPr>
            <w:spacing w:line="240" w:lineRule="auto"/>
          </w:pPr>
          <w:r>
            <w:lastRenderedPageBreak/>
            <w:t>© Commonwealth of Australia 201</w:t>
          </w:r>
          <w:r w:rsidR="00CD6876">
            <w:t>6</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90574A">
          <w:pPr>
            <w:pStyle w:val="StyleCopyrightBefore0pt"/>
            <w:numPr>
              <w:ilvl w:val="0"/>
              <w:numId w:val="22"/>
            </w:numPr>
          </w:pPr>
          <w:r>
            <w:t>the Commonwealth Coat of Arms</w:t>
          </w:r>
        </w:p>
        <w:p w:rsidR="00C7068C" w:rsidRDefault="00C7068C" w:rsidP="0090574A">
          <w:pPr>
            <w:pStyle w:val="StyleCopyrightBefore0pt"/>
            <w:numPr>
              <w:ilvl w:val="0"/>
              <w:numId w:val="22"/>
            </w:numPr>
          </w:pPr>
          <w:r>
            <w:t>the ACCC and AER logos</w:t>
          </w:r>
        </w:p>
        <w:p w:rsidR="00C7068C" w:rsidRPr="00B927D8" w:rsidRDefault="00C7068C" w:rsidP="0090574A">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AER Referenc</w:t>
          </w:r>
          <w:r w:rsidRPr="0033044A">
            <w:t xml:space="preserve">e: </w:t>
          </w:r>
          <w:r w:rsidR="009F7864">
            <w:t>60423</w:t>
          </w:r>
          <w:r w:rsidR="007976ED">
            <w:t>-</w:t>
          </w:r>
          <w:r w:rsidR="00FA2FA1">
            <w:rPr>
              <w:rFonts w:cs="Arial"/>
              <w:szCs w:val="18"/>
            </w:rPr>
            <w:t>D16/119207</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7068C"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7068C" w:rsidRPr="00885E7B" w:rsidRDefault="00147AD2" w:rsidP="009B028C">
                <w:pPr>
                  <w:spacing w:before="0" w:after="200"/>
                </w:pPr>
                <w:r w:rsidRPr="00885E7B">
                  <w:t>1 version for publication</w:t>
                </w:r>
              </w:p>
            </w:tc>
            <w:tc>
              <w:tcPr>
                <w:tcW w:w="2906" w:type="dxa"/>
              </w:tcPr>
              <w:p w:rsidR="00C7068C" w:rsidRPr="00311DB0" w:rsidRDefault="00050C1C" w:rsidP="00946263">
                <w:pPr>
                  <w:spacing w:before="0" w:after="200"/>
                </w:pPr>
                <w:r w:rsidRPr="00311DB0">
                  <w:t>14</w:t>
                </w:r>
                <w:r w:rsidR="00E44AA7" w:rsidRPr="00311DB0">
                  <w:t xml:space="preserve"> </w:t>
                </w:r>
                <w:r w:rsidR="00946263" w:rsidRPr="00311DB0">
                  <w:t>November</w:t>
                </w:r>
                <w:r w:rsidR="00E44AA7" w:rsidRPr="00311DB0">
                  <w:t xml:space="preserve"> 2016</w:t>
                </w:r>
              </w:p>
            </w:tc>
            <w:tc>
              <w:tcPr>
                <w:tcW w:w="2888" w:type="dxa"/>
              </w:tcPr>
              <w:p w:rsidR="00C7068C" w:rsidRPr="00311DB0" w:rsidRDefault="004311CA" w:rsidP="00697920">
                <w:pPr>
                  <w:spacing w:before="0" w:after="200"/>
                </w:pPr>
                <w:r>
                  <w:t>47</w:t>
                </w: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bookmarkStart w:id="1" w:name="_Toc213047617"/>
        <w:p w:rsidR="002B723A" w:rsidRDefault="006007DC">
          <w:pPr>
            <w:pStyle w:val="TOC1"/>
            <w:rPr>
              <w:rFonts w:asciiTheme="minorHAnsi" w:eastAsiaTheme="minorEastAsia" w:hAnsiTheme="minorHAnsi"/>
              <w:b w:val="0"/>
              <w:color w:val="auto"/>
              <w:sz w:val="22"/>
              <w:lang w:val="en-AU" w:eastAsia="en-AU"/>
            </w:rPr>
          </w:pPr>
          <w:r>
            <w:rPr>
              <w:b w:val="0"/>
            </w:rPr>
            <w:fldChar w:fldCharType="begin"/>
          </w:r>
          <w:r>
            <w:rPr>
              <w:b w:val="0"/>
            </w:rPr>
            <w:instrText xml:space="preserve"> TOC \o "1-3" \h \z \u </w:instrText>
          </w:r>
          <w:r>
            <w:rPr>
              <w:b w:val="0"/>
            </w:rPr>
            <w:fldChar w:fldCharType="separate"/>
          </w:r>
          <w:hyperlink w:anchor="_Toc466896978" w:history="1">
            <w:r w:rsidR="002B723A" w:rsidRPr="0040725D">
              <w:rPr>
                <w:rStyle w:val="Hyperlink"/>
              </w:rPr>
              <w:t>Executive summary</w:t>
            </w:r>
            <w:r w:rsidR="002B723A">
              <w:rPr>
                <w:webHidden/>
              </w:rPr>
              <w:tab/>
            </w:r>
            <w:r w:rsidR="002B723A">
              <w:rPr>
                <w:webHidden/>
              </w:rPr>
              <w:fldChar w:fldCharType="begin"/>
            </w:r>
            <w:r w:rsidR="002B723A">
              <w:rPr>
                <w:webHidden/>
              </w:rPr>
              <w:instrText xml:space="preserve"> PAGEREF _Toc466896978 \h </w:instrText>
            </w:r>
            <w:r w:rsidR="002B723A">
              <w:rPr>
                <w:webHidden/>
              </w:rPr>
            </w:r>
            <w:r w:rsidR="002B723A">
              <w:rPr>
                <w:webHidden/>
              </w:rPr>
              <w:fldChar w:fldCharType="separate"/>
            </w:r>
            <w:r w:rsidR="002B723A">
              <w:rPr>
                <w:webHidden/>
              </w:rPr>
              <w:t>4</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79" w:history="1">
            <w:r w:rsidR="002B723A" w:rsidRPr="0040725D">
              <w:rPr>
                <w:rStyle w:val="Hyperlink"/>
              </w:rPr>
              <w:t>1</w:t>
            </w:r>
            <w:r w:rsidR="002B723A">
              <w:rPr>
                <w:rFonts w:asciiTheme="minorHAnsi" w:eastAsiaTheme="minorEastAsia" w:hAnsiTheme="minorHAnsi"/>
                <w:b w:val="0"/>
                <w:color w:val="auto"/>
                <w:sz w:val="22"/>
                <w:lang w:val="en-AU" w:eastAsia="en-AU"/>
              </w:rPr>
              <w:tab/>
            </w:r>
            <w:r w:rsidR="002B723A" w:rsidRPr="0040725D">
              <w:rPr>
                <w:rStyle w:val="Hyperlink"/>
              </w:rPr>
              <w:t>The east coast gas markets</w:t>
            </w:r>
            <w:r w:rsidR="002B723A">
              <w:rPr>
                <w:webHidden/>
              </w:rPr>
              <w:tab/>
            </w:r>
            <w:r w:rsidR="002B723A">
              <w:rPr>
                <w:webHidden/>
              </w:rPr>
              <w:fldChar w:fldCharType="begin"/>
            </w:r>
            <w:r w:rsidR="002B723A">
              <w:rPr>
                <w:webHidden/>
              </w:rPr>
              <w:instrText xml:space="preserve"> PAGEREF _Toc466896979 \h </w:instrText>
            </w:r>
            <w:r w:rsidR="002B723A">
              <w:rPr>
                <w:webHidden/>
              </w:rPr>
            </w:r>
            <w:r w:rsidR="002B723A">
              <w:rPr>
                <w:webHidden/>
              </w:rPr>
              <w:fldChar w:fldCharType="separate"/>
            </w:r>
            <w:r w:rsidR="002B723A">
              <w:rPr>
                <w:webHidden/>
              </w:rPr>
              <w:t>6</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0" w:history="1">
            <w:r w:rsidR="002B723A" w:rsidRPr="0040725D">
              <w:rPr>
                <w:rStyle w:val="Hyperlink"/>
              </w:rPr>
              <w:t>1.1</w:t>
            </w:r>
            <w:r w:rsidR="002B723A">
              <w:rPr>
                <w:rFonts w:asciiTheme="minorHAnsi" w:eastAsiaTheme="minorEastAsia" w:hAnsiTheme="minorHAnsi"/>
                <w:b w:val="0"/>
                <w:color w:val="auto"/>
                <w:sz w:val="22"/>
                <w:lang w:eastAsia="en-AU"/>
              </w:rPr>
              <w:tab/>
            </w:r>
            <w:r w:rsidR="002B723A" w:rsidRPr="0040725D">
              <w:rPr>
                <w:rStyle w:val="Hyperlink"/>
              </w:rPr>
              <w:t>Converging energy markets</w:t>
            </w:r>
            <w:r w:rsidR="002B723A">
              <w:rPr>
                <w:webHidden/>
              </w:rPr>
              <w:tab/>
            </w:r>
            <w:r w:rsidR="002B723A">
              <w:rPr>
                <w:webHidden/>
              </w:rPr>
              <w:fldChar w:fldCharType="begin"/>
            </w:r>
            <w:r w:rsidR="002B723A">
              <w:rPr>
                <w:webHidden/>
              </w:rPr>
              <w:instrText xml:space="preserve"> PAGEREF _Toc466896980 \h </w:instrText>
            </w:r>
            <w:r w:rsidR="002B723A">
              <w:rPr>
                <w:webHidden/>
              </w:rPr>
            </w:r>
            <w:r w:rsidR="002B723A">
              <w:rPr>
                <w:webHidden/>
              </w:rPr>
              <w:fldChar w:fldCharType="separate"/>
            </w:r>
            <w:r w:rsidR="002B723A">
              <w:rPr>
                <w:webHidden/>
              </w:rPr>
              <w:t>8</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81" w:history="1">
            <w:r w:rsidR="002B723A" w:rsidRPr="0040725D">
              <w:rPr>
                <w:rStyle w:val="Hyperlink"/>
              </w:rPr>
              <w:t>2</w:t>
            </w:r>
            <w:r w:rsidR="002B723A">
              <w:rPr>
                <w:rFonts w:asciiTheme="minorHAnsi" w:eastAsiaTheme="minorEastAsia" w:hAnsiTheme="minorHAnsi"/>
                <w:b w:val="0"/>
                <w:color w:val="auto"/>
                <w:sz w:val="22"/>
                <w:lang w:val="en-AU" w:eastAsia="en-AU"/>
              </w:rPr>
              <w:tab/>
            </w:r>
            <w:r w:rsidR="002B723A" w:rsidRPr="0040725D">
              <w:rPr>
                <w:rStyle w:val="Hyperlink"/>
              </w:rPr>
              <w:t>Market conditions across winter 2016</w:t>
            </w:r>
            <w:r w:rsidR="002B723A">
              <w:rPr>
                <w:webHidden/>
              </w:rPr>
              <w:tab/>
            </w:r>
            <w:r w:rsidR="002B723A">
              <w:rPr>
                <w:webHidden/>
              </w:rPr>
              <w:fldChar w:fldCharType="begin"/>
            </w:r>
            <w:r w:rsidR="002B723A">
              <w:rPr>
                <w:webHidden/>
              </w:rPr>
              <w:instrText xml:space="preserve"> PAGEREF _Toc466896981 \h </w:instrText>
            </w:r>
            <w:r w:rsidR="002B723A">
              <w:rPr>
                <w:webHidden/>
              </w:rPr>
            </w:r>
            <w:r w:rsidR="002B723A">
              <w:rPr>
                <w:webHidden/>
              </w:rPr>
              <w:fldChar w:fldCharType="separate"/>
            </w:r>
            <w:r w:rsidR="002B723A">
              <w:rPr>
                <w:webHidden/>
              </w:rPr>
              <w:t>10</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2" w:history="1">
            <w:r w:rsidR="002B723A" w:rsidRPr="0040725D">
              <w:rPr>
                <w:rStyle w:val="Hyperlink"/>
              </w:rPr>
              <w:t>2.1</w:t>
            </w:r>
            <w:r w:rsidR="002B723A">
              <w:rPr>
                <w:rFonts w:asciiTheme="minorHAnsi" w:eastAsiaTheme="minorEastAsia" w:hAnsiTheme="minorHAnsi"/>
                <w:b w:val="0"/>
                <w:color w:val="auto"/>
                <w:sz w:val="22"/>
                <w:lang w:eastAsia="en-AU"/>
              </w:rPr>
              <w:tab/>
            </w:r>
            <w:r w:rsidR="002B723A" w:rsidRPr="0040725D">
              <w:rPr>
                <w:rStyle w:val="Hyperlink"/>
              </w:rPr>
              <w:t>Prices and level of trade</w:t>
            </w:r>
            <w:r w:rsidR="002B723A">
              <w:rPr>
                <w:webHidden/>
              </w:rPr>
              <w:tab/>
            </w:r>
            <w:r w:rsidR="002B723A">
              <w:rPr>
                <w:webHidden/>
              </w:rPr>
              <w:fldChar w:fldCharType="begin"/>
            </w:r>
            <w:r w:rsidR="002B723A">
              <w:rPr>
                <w:webHidden/>
              </w:rPr>
              <w:instrText xml:space="preserve"> PAGEREF _Toc466896982 \h </w:instrText>
            </w:r>
            <w:r w:rsidR="002B723A">
              <w:rPr>
                <w:webHidden/>
              </w:rPr>
            </w:r>
            <w:r w:rsidR="002B723A">
              <w:rPr>
                <w:webHidden/>
              </w:rPr>
              <w:fldChar w:fldCharType="separate"/>
            </w:r>
            <w:r w:rsidR="002B723A">
              <w:rPr>
                <w:webHidden/>
              </w:rPr>
              <w:t>10</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3" w:history="1">
            <w:r w:rsidR="002B723A" w:rsidRPr="0040725D">
              <w:rPr>
                <w:rStyle w:val="Hyperlink"/>
              </w:rPr>
              <w:t>2.2</w:t>
            </w:r>
            <w:r w:rsidR="002B723A">
              <w:rPr>
                <w:rFonts w:asciiTheme="minorHAnsi" w:eastAsiaTheme="minorEastAsia" w:hAnsiTheme="minorHAnsi"/>
                <w:b w:val="0"/>
                <w:color w:val="auto"/>
                <w:sz w:val="22"/>
                <w:lang w:eastAsia="en-AU"/>
              </w:rPr>
              <w:tab/>
            </w:r>
            <w:r w:rsidR="002B723A" w:rsidRPr="0040725D">
              <w:rPr>
                <w:rStyle w:val="Hyperlink"/>
              </w:rPr>
              <w:t>Supply conditions</w:t>
            </w:r>
            <w:r w:rsidR="002B723A">
              <w:rPr>
                <w:webHidden/>
              </w:rPr>
              <w:tab/>
            </w:r>
            <w:r w:rsidR="002B723A">
              <w:rPr>
                <w:webHidden/>
              </w:rPr>
              <w:fldChar w:fldCharType="begin"/>
            </w:r>
            <w:r w:rsidR="002B723A">
              <w:rPr>
                <w:webHidden/>
              </w:rPr>
              <w:instrText xml:space="preserve"> PAGEREF _Toc466896983 \h </w:instrText>
            </w:r>
            <w:r w:rsidR="002B723A">
              <w:rPr>
                <w:webHidden/>
              </w:rPr>
            </w:r>
            <w:r w:rsidR="002B723A">
              <w:rPr>
                <w:webHidden/>
              </w:rPr>
              <w:fldChar w:fldCharType="separate"/>
            </w:r>
            <w:r w:rsidR="002B723A">
              <w:rPr>
                <w:webHidden/>
              </w:rPr>
              <w:t>13</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4" w:history="1">
            <w:r w:rsidR="002B723A" w:rsidRPr="0040725D">
              <w:rPr>
                <w:rStyle w:val="Hyperlink"/>
              </w:rPr>
              <w:t>2.3</w:t>
            </w:r>
            <w:r w:rsidR="002B723A">
              <w:rPr>
                <w:rFonts w:asciiTheme="minorHAnsi" w:eastAsiaTheme="minorEastAsia" w:hAnsiTheme="minorHAnsi"/>
                <w:b w:val="0"/>
                <w:color w:val="auto"/>
                <w:sz w:val="22"/>
                <w:lang w:eastAsia="en-AU"/>
              </w:rPr>
              <w:tab/>
            </w:r>
            <w:r w:rsidR="002B723A" w:rsidRPr="0040725D">
              <w:rPr>
                <w:rStyle w:val="Hyperlink"/>
              </w:rPr>
              <w:t>Demand conditions</w:t>
            </w:r>
            <w:r w:rsidR="002B723A">
              <w:rPr>
                <w:webHidden/>
              </w:rPr>
              <w:tab/>
            </w:r>
            <w:r w:rsidR="002B723A">
              <w:rPr>
                <w:webHidden/>
              </w:rPr>
              <w:fldChar w:fldCharType="begin"/>
            </w:r>
            <w:r w:rsidR="002B723A">
              <w:rPr>
                <w:webHidden/>
              </w:rPr>
              <w:instrText xml:space="preserve"> PAGEREF _Toc466896984 \h </w:instrText>
            </w:r>
            <w:r w:rsidR="002B723A">
              <w:rPr>
                <w:webHidden/>
              </w:rPr>
            </w:r>
            <w:r w:rsidR="002B723A">
              <w:rPr>
                <w:webHidden/>
              </w:rPr>
              <w:fldChar w:fldCharType="separate"/>
            </w:r>
            <w:r w:rsidR="002B723A">
              <w:rPr>
                <w:webHidden/>
              </w:rPr>
              <w:t>17</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5" w:history="1">
            <w:r w:rsidR="002B723A" w:rsidRPr="0040725D">
              <w:rPr>
                <w:rStyle w:val="Hyperlink"/>
              </w:rPr>
              <w:t>2.4</w:t>
            </w:r>
            <w:r w:rsidR="002B723A">
              <w:rPr>
                <w:rFonts w:asciiTheme="minorHAnsi" w:eastAsiaTheme="minorEastAsia" w:hAnsiTheme="minorHAnsi"/>
                <w:b w:val="0"/>
                <w:color w:val="auto"/>
                <w:sz w:val="22"/>
                <w:lang w:eastAsia="en-AU"/>
              </w:rPr>
              <w:tab/>
            </w:r>
            <w:r w:rsidR="002B723A" w:rsidRPr="0040725D">
              <w:rPr>
                <w:rStyle w:val="Hyperlink"/>
              </w:rPr>
              <w:t>Outages</w:t>
            </w:r>
            <w:r w:rsidR="002B723A">
              <w:rPr>
                <w:webHidden/>
              </w:rPr>
              <w:tab/>
            </w:r>
            <w:r w:rsidR="002B723A">
              <w:rPr>
                <w:webHidden/>
              </w:rPr>
              <w:fldChar w:fldCharType="begin"/>
            </w:r>
            <w:r w:rsidR="002B723A">
              <w:rPr>
                <w:webHidden/>
              </w:rPr>
              <w:instrText xml:space="preserve"> PAGEREF _Toc466896985 \h </w:instrText>
            </w:r>
            <w:r w:rsidR="002B723A">
              <w:rPr>
                <w:webHidden/>
              </w:rPr>
            </w:r>
            <w:r w:rsidR="002B723A">
              <w:rPr>
                <w:webHidden/>
              </w:rPr>
              <w:fldChar w:fldCharType="separate"/>
            </w:r>
            <w:r w:rsidR="002B723A">
              <w:rPr>
                <w:webHidden/>
              </w:rPr>
              <w:t>19</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86" w:history="1">
            <w:r w:rsidR="002B723A" w:rsidRPr="0040725D">
              <w:rPr>
                <w:rStyle w:val="Hyperlink"/>
              </w:rPr>
              <w:t>3</w:t>
            </w:r>
            <w:r w:rsidR="002B723A">
              <w:rPr>
                <w:rFonts w:asciiTheme="minorHAnsi" w:eastAsiaTheme="minorEastAsia" w:hAnsiTheme="minorHAnsi"/>
                <w:b w:val="0"/>
                <w:color w:val="auto"/>
                <w:sz w:val="22"/>
                <w:lang w:val="en-AU" w:eastAsia="en-AU"/>
              </w:rPr>
              <w:tab/>
            </w:r>
            <w:r w:rsidR="002B723A" w:rsidRPr="0040725D">
              <w:rPr>
                <w:rStyle w:val="Hyperlink"/>
              </w:rPr>
              <w:t>Analysis of the July and August price event days</w:t>
            </w:r>
            <w:r w:rsidR="002B723A">
              <w:rPr>
                <w:webHidden/>
              </w:rPr>
              <w:tab/>
            </w:r>
            <w:r w:rsidR="002B723A">
              <w:rPr>
                <w:webHidden/>
              </w:rPr>
              <w:fldChar w:fldCharType="begin"/>
            </w:r>
            <w:r w:rsidR="002B723A">
              <w:rPr>
                <w:webHidden/>
              </w:rPr>
              <w:instrText xml:space="preserve"> PAGEREF _Toc466896986 \h </w:instrText>
            </w:r>
            <w:r w:rsidR="002B723A">
              <w:rPr>
                <w:webHidden/>
              </w:rPr>
            </w:r>
            <w:r w:rsidR="002B723A">
              <w:rPr>
                <w:webHidden/>
              </w:rPr>
              <w:fldChar w:fldCharType="separate"/>
            </w:r>
            <w:r w:rsidR="002B723A">
              <w:rPr>
                <w:webHidden/>
              </w:rPr>
              <w:t>20</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7" w:history="1">
            <w:r w:rsidR="002B723A" w:rsidRPr="0040725D">
              <w:rPr>
                <w:rStyle w:val="Hyperlink"/>
              </w:rPr>
              <w:t>3.1</w:t>
            </w:r>
            <w:r w:rsidR="002B723A">
              <w:rPr>
                <w:rFonts w:asciiTheme="minorHAnsi" w:eastAsiaTheme="minorEastAsia" w:hAnsiTheme="minorHAnsi"/>
                <w:b w:val="0"/>
                <w:color w:val="auto"/>
                <w:sz w:val="22"/>
                <w:lang w:eastAsia="en-AU"/>
              </w:rPr>
              <w:tab/>
            </w:r>
            <w:r w:rsidR="002B723A" w:rsidRPr="0040725D">
              <w:rPr>
                <w:rStyle w:val="Hyperlink"/>
              </w:rPr>
              <w:t>Friday 1 July 2016</w:t>
            </w:r>
            <w:r w:rsidR="002B723A">
              <w:rPr>
                <w:webHidden/>
              </w:rPr>
              <w:tab/>
            </w:r>
            <w:r w:rsidR="002B723A">
              <w:rPr>
                <w:webHidden/>
              </w:rPr>
              <w:fldChar w:fldCharType="begin"/>
            </w:r>
            <w:r w:rsidR="002B723A">
              <w:rPr>
                <w:webHidden/>
              </w:rPr>
              <w:instrText xml:space="preserve"> PAGEREF _Toc466896987 \h </w:instrText>
            </w:r>
            <w:r w:rsidR="002B723A">
              <w:rPr>
                <w:webHidden/>
              </w:rPr>
            </w:r>
            <w:r w:rsidR="002B723A">
              <w:rPr>
                <w:webHidden/>
              </w:rPr>
              <w:fldChar w:fldCharType="separate"/>
            </w:r>
            <w:r w:rsidR="002B723A">
              <w:rPr>
                <w:webHidden/>
              </w:rPr>
              <w:t>20</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8" w:history="1">
            <w:r w:rsidR="002B723A" w:rsidRPr="0040725D">
              <w:rPr>
                <w:rStyle w:val="Hyperlink"/>
              </w:rPr>
              <w:t>3.2</w:t>
            </w:r>
            <w:r w:rsidR="002B723A">
              <w:rPr>
                <w:rFonts w:asciiTheme="minorHAnsi" w:eastAsiaTheme="minorEastAsia" w:hAnsiTheme="minorHAnsi"/>
                <w:b w:val="0"/>
                <w:color w:val="auto"/>
                <w:sz w:val="22"/>
                <w:lang w:eastAsia="en-AU"/>
              </w:rPr>
              <w:tab/>
            </w:r>
            <w:r w:rsidR="002B723A" w:rsidRPr="0040725D">
              <w:rPr>
                <w:rStyle w:val="Hyperlink"/>
              </w:rPr>
              <w:t>Saturday 2 July 2016</w:t>
            </w:r>
            <w:r w:rsidR="002B723A">
              <w:rPr>
                <w:webHidden/>
              </w:rPr>
              <w:tab/>
            </w:r>
            <w:r w:rsidR="002B723A">
              <w:rPr>
                <w:webHidden/>
              </w:rPr>
              <w:fldChar w:fldCharType="begin"/>
            </w:r>
            <w:r w:rsidR="002B723A">
              <w:rPr>
                <w:webHidden/>
              </w:rPr>
              <w:instrText xml:space="preserve"> PAGEREF _Toc466896988 \h </w:instrText>
            </w:r>
            <w:r w:rsidR="002B723A">
              <w:rPr>
                <w:webHidden/>
              </w:rPr>
            </w:r>
            <w:r w:rsidR="002B723A">
              <w:rPr>
                <w:webHidden/>
              </w:rPr>
              <w:fldChar w:fldCharType="separate"/>
            </w:r>
            <w:r w:rsidR="002B723A">
              <w:rPr>
                <w:webHidden/>
              </w:rPr>
              <w:t>22</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89" w:history="1">
            <w:r w:rsidR="002B723A" w:rsidRPr="0040725D">
              <w:rPr>
                <w:rStyle w:val="Hyperlink"/>
              </w:rPr>
              <w:t>3.3</w:t>
            </w:r>
            <w:r w:rsidR="002B723A">
              <w:rPr>
                <w:rFonts w:asciiTheme="minorHAnsi" w:eastAsiaTheme="minorEastAsia" w:hAnsiTheme="minorHAnsi"/>
                <w:b w:val="0"/>
                <w:color w:val="auto"/>
                <w:sz w:val="22"/>
                <w:lang w:eastAsia="en-AU"/>
              </w:rPr>
              <w:tab/>
            </w:r>
            <w:r w:rsidR="002B723A" w:rsidRPr="0040725D">
              <w:rPr>
                <w:rStyle w:val="Hyperlink"/>
              </w:rPr>
              <w:t>Sunday 3 July 2016</w:t>
            </w:r>
            <w:r w:rsidR="002B723A">
              <w:rPr>
                <w:webHidden/>
              </w:rPr>
              <w:tab/>
            </w:r>
            <w:r w:rsidR="002B723A">
              <w:rPr>
                <w:webHidden/>
              </w:rPr>
              <w:fldChar w:fldCharType="begin"/>
            </w:r>
            <w:r w:rsidR="002B723A">
              <w:rPr>
                <w:webHidden/>
              </w:rPr>
              <w:instrText xml:space="preserve"> PAGEREF _Toc466896989 \h </w:instrText>
            </w:r>
            <w:r w:rsidR="002B723A">
              <w:rPr>
                <w:webHidden/>
              </w:rPr>
            </w:r>
            <w:r w:rsidR="002B723A">
              <w:rPr>
                <w:webHidden/>
              </w:rPr>
              <w:fldChar w:fldCharType="separate"/>
            </w:r>
            <w:r w:rsidR="002B723A">
              <w:rPr>
                <w:webHidden/>
              </w:rPr>
              <w:t>24</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0" w:history="1">
            <w:r w:rsidR="002B723A" w:rsidRPr="0040725D">
              <w:rPr>
                <w:rStyle w:val="Hyperlink"/>
              </w:rPr>
              <w:t>3.4</w:t>
            </w:r>
            <w:r w:rsidR="002B723A">
              <w:rPr>
                <w:rFonts w:asciiTheme="minorHAnsi" w:eastAsiaTheme="minorEastAsia" w:hAnsiTheme="minorHAnsi"/>
                <w:b w:val="0"/>
                <w:color w:val="auto"/>
                <w:sz w:val="22"/>
                <w:lang w:eastAsia="en-AU"/>
              </w:rPr>
              <w:tab/>
            </w:r>
            <w:r w:rsidR="002B723A" w:rsidRPr="0040725D">
              <w:rPr>
                <w:rStyle w:val="Hyperlink"/>
              </w:rPr>
              <w:t>Monday 4 July 2016</w:t>
            </w:r>
            <w:r w:rsidR="002B723A">
              <w:rPr>
                <w:webHidden/>
              </w:rPr>
              <w:tab/>
            </w:r>
            <w:r w:rsidR="002B723A">
              <w:rPr>
                <w:webHidden/>
              </w:rPr>
              <w:fldChar w:fldCharType="begin"/>
            </w:r>
            <w:r w:rsidR="002B723A">
              <w:rPr>
                <w:webHidden/>
              </w:rPr>
              <w:instrText xml:space="preserve"> PAGEREF _Toc466896990 \h </w:instrText>
            </w:r>
            <w:r w:rsidR="002B723A">
              <w:rPr>
                <w:webHidden/>
              </w:rPr>
            </w:r>
            <w:r w:rsidR="002B723A">
              <w:rPr>
                <w:webHidden/>
              </w:rPr>
              <w:fldChar w:fldCharType="separate"/>
            </w:r>
            <w:r w:rsidR="002B723A">
              <w:rPr>
                <w:webHidden/>
              </w:rPr>
              <w:t>25</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1" w:history="1">
            <w:r w:rsidR="002B723A" w:rsidRPr="0040725D">
              <w:rPr>
                <w:rStyle w:val="Hyperlink"/>
              </w:rPr>
              <w:t>3.5</w:t>
            </w:r>
            <w:r w:rsidR="002B723A">
              <w:rPr>
                <w:rFonts w:asciiTheme="minorHAnsi" w:eastAsiaTheme="minorEastAsia" w:hAnsiTheme="minorHAnsi"/>
                <w:b w:val="0"/>
                <w:color w:val="auto"/>
                <w:sz w:val="22"/>
                <w:lang w:eastAsia="en-AU"/>
              </w:rPr>
              <w:tab/>
            </w:r>
            <w:r w:rsidR="002B723A" w:rsidRPr="0040725D">
              <w:rPr>
                <w:rStyle w:val="Hyperlink"/>
              </w:rPr>
              <w:t>Wednesday 6 July 2016</w:t>
            </w:r>
            <w:r w:rsidR="002B723A">
              <w:rPr>
                <w:webHidden/>
              </w:rPr>
              <w:tab/>
            </w:r>
            <w:r w:rsidR="002B723A">
              <w:rPr>
                <w:webHidden/>
              </w:rPr>
              <w:fldChar w:fldCharType="begin"/>
            </w:r>
            <w:r w:rsidR="002B723A">
              <w:rPr>
                <w:webHidden/>
              </w:rPr>
              <w:instrText xml:space="preserve"> PAGEREF _Toc466896991 \h </w:instrText>
            </w:r>
            <w:r w:rsidR="002B723A">
              <w:rPr>
                <w:webHidden/>
              </w:rPr>
            </w:r>
            <w:r w:rsidR="002B723A">
              <w:rPr>
                <w:webHidden/>
              </w:rPr>
              <w:fldChar w:fldCharType="separate"/>
            </w:r>
            <w:r w:rsidR="002B723A">
              <w:rPr>
                <w:webHidden/>
              </w:rPr>
              <w:t>27</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2" w:history="1">
            <w:r w:rsidR="002B723A" w:rsidRPr="0040725D">
              <w:rPr>
                <w:rStyle w:val="Hyperlink"/>
              </w:rPr>
              <w:t>3.6</w:t>
            </w:r>
            <w:r w:rsidR="002B723A">
              <w:rPr>
                <w:rFonts w:asciiTheme="minorHAnsi" w:eastAsiaTheme="minorEastAsia" w:hAnsiTheme="minorHAnsi"/>
                <w:b w:val="0"/>
                <w:color w:val="auto"/>
                <w:sz w:val="22"/>
                <w:lang w:eastAsia="en-AU"/>
              </w:rPr>
              <w:tab/>
            </w:r>
            <w:r w:rsidR="002B723A" w:rsidRPr="0040725D">
              <w:rPr>
                <w:rStyle w:val="Hyperlink"/>
              </w:rPr>
              <w:t>Tuesday 12 July 2016</w:t>
            </w:r>
            <w:r w:rsidR="002B723A">
              <w:rPr>
                <w:webHidden/>
              </w:rPr>
              <w:tab/>
            </w:r>
            <w:r w:rsidR="002B723A">
              <w:rPr>
                <w:webHidden/>
              </w:rPr>
              <w:fldChar w:fldCharType="begin"/>
            </w:r>
            <w:r w:rsidR="002B723A">
              <w:rPr>
                <w:webHidden/>
              </w:rPr>
              <w:instrText xml:space="preserve"> PAGEREF _Toc466896992 \h </w:instrText>
            </w:r>
            <w:r w:rsidR="002B723A">
              <w:rPr>
                <w:webHidden/>
              </w:rPr>
            </w:r>
            <w:r w:rsidR="002B723A">
              <w:rPr>
                <w:webHidden/>
              </w:rPr>
              <w:fldChar w:fldCharType="separate"/>
            </w:r>
            <w:r w:rsidR="002B723A">
              <w:rPr>
                <w:webHidden/>
              </w:rPr>
              <w:t>29</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3" w:history="1">
            <w:r w:rsidR="002B723A" w:rsidRPr="0040725D">
              <w:rPr>
                <w:rStyle w:val="Hyperlink"/>
              </w:rPr>
              <w:t>3.7</w:t>
            </w:r>
            <w:r w:rsidR="002B723A">
              <w:rPr>
                <w:rFonts w:asciiTheme="minorHAnsi" w:eastAsiaTheme="minorEastAsia" w:hAnsiTheme="minorHAnsi"/>
                <w:b w:val="0"/>
                <w:color w:val="auto"/>
                <w:sz w:val="22"/>
                <w:lang w:eastAsia="en-AU"/>
              </w:rPr>
              <w:tab/>
            </w:r>
            <w:r w:rsidR="002B723A" w:rsidRPr="0040725D">
              <w:rPr>
                <w:rStyle w:val="Hyperlink"/>
              </w:rPr>
              <w:t>Wednesday 13 July 2016</w:t>
            </w:r>
            <w:r w:rsidR="002B723A">
              <w:rPr>
                <w:webHidden/>
              </w:rPr>
              <w:tab/>
            </w:r>
            <w:r w:rsidR="002B723A">
              <w:rPr>
                <w:webHidden/>
              </w:rPr>
              <w:fldChar w:fldCharType="begin"/>
            </w:r>
            <w:r w:rsidR="002B723A">
              <w:rPr>
                <w:webHidden/>
              </w:rPr>
              <w:instrText xml:space="preserve"> PAGEREF _Toc466896993 \h </w:instrText>
            </w:r>
            <w:r w:rsidR="002B723A">
              <w:rPr>
                <w:webHidden/>
              </w:rPr>
            </w:r>
            <w:r w:rsidR="002B723A">
              <w:rPr>
                <w:webHidden/>
              </w:rPr>
              <w:fldChar w:fldCharType="separate"/>
            </w:r>
            <w:r w:rsidR="002B723A">
              <w:rPr>
                <w:webHidden/>
              </w:rPr>
              <w:t>30</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4" w:history="1">
            <w:r w:rsidR="002B723A" w:rsidRPr="0040725D">
              <w:rPr>
                <w:rStyle w:val="Hyperlink"/>
              </w:rPr>
              <w:t>3.8</w:t>
            </w:r>
            <w:r w:rsidR="002B723A">
              <w:rPr>
                <w:rFonts w:asciiTheme="minorHAnsi" w:eastAsiaTheme="minorEastAsia" w:hAnsiTheme="minorHAnsi"/>
                <w:b w:val="0"/>
                <w:color w:val="auto"/>
                <w:sz w:val="22"/>
                <w:lang w:eastAsia="en-AU"/>
              </w:rPr>
              <w:tab/>
            </w:r>
            <w:r w:rsidR="002B723A" w:rsidRPr="0040725D">
              <w:rPr>
                <w:rStyle w:val="Hyperlink"/>
              </w:rPr>
              <w:t>Friday 15 July 2016</w:t>
            </w:r>
            <w:r w:rsidR="002B723A">
              <w:rPr>
                <w:webHidden/>
              </w:rPr>
              <w:tab/>
            </w:r>
            <w:r w:rsidR="002B723A">
              <w:rPr>
                <w:webHidden/>
              </w:rPr>
              <w:fldChar w:fldCharType="begin"/>
            </w:r>
            <w:r w:rsidR="002B723A">
              <w:rPr>
                <w:webHidden/>
              </w:rPr>
              <w:instrText xml:space="preserve"> PAGEREF _Toc466896994 \h </w:instrText>
            </w:r>
            <w:r w:rsidR="002B723A">
              <w:rPr>
                <w:webHidden/>
              </w:rPr>
            </w:r>
            <w:r w:rsidR="002B723A">
              <w:rPr>
                <w:webHidden/>
              </w:rPr>
              <w:fldChar w:fldCharType="separate"/>
            </w:r>
            <w:r w:rsidR="002B723A">
              <w:rPr>
                <w:webHidden/>
              </w:rPr>
              <w:t>35</w:t>
            </w:r>
            <w:r w:rsidR="002B723A">
              <w:rPr>
                <w:webHidden/>
              </w:rPr>
              <w:fldChar w:fldCharType="end"/>
            </w:r>
          </w:hyperlink>
        </w:p>
        <w:p w:rsidR="002B723A" w:rsidRDefault="002852EF">
          <w:pPr>
            <w:pStyle w:val="TOC2"/>
            <w:rPr>
              <w:rFonts w:asciiTheme="minorHAnsi" w:eastAsiaTheme="minorEastAsia" w:hAnsiTheme="minorHAnsi"/>
              <w:b w:val="0"/>
              <w:color w:val="auto"/>
              <w:sz w:val="22"/>
              <w:lang w:eastAsia="en-AU"/>
            </w:rPr>
          </w:pPr>
          <w:hyperlink w:anchor="_Toc466896995" w:history="1">
            <w:r w:rsidR="002B723A" w:rsidRPr="0040725D">
              <w:rPr>
                <w:rStyle w:val="Hyperlink"/>
              </w:rPr>
              <w:t>3.9</w:t>
            </w:r>
            <w:r w:rsidR="002B723A">
              <w:rPr>
                <w:rFonts w:asciiTheme="minorHAnsi" w:eastAsiaTheme="minorEastAsia" w:hAnsiTheme="minorHAnsi"/>
                <w:b w:val="0"/>
                <w:color w:val="auto"/>
                <w:sz w:val="22"/>
                <w:lang w:eastAsia="en-AU"/>
              </w:rPr>
              <w:tab/>
            </w:r>
            <w:r w:rsidR="002B723A" w:rsidRPr="0040725D">
              <w:rPr>
                <w:rStyle w:val="Hyperlink"/>
              </w:rPr>
              <w:t>Tuesday 26 July 2016</w:t>
            </w:r>
            <w:r w:rsidR="002B723A">
              <w:rPr>
                <w:webHidden/>
              </w:rPr>
              <w:tab/>
            </w:r>
            <w:r w:rsidR="002B723A">
              <w:rPr>
                <w:webHidden/>
              </w:rPr>
              <w:fldChar w:fldCharType="begin"/>
            </w:r>
            <w:r w:rsidR="002B723A">
              <w:rPr>
                <w:webHidden/>
              </w:rPr>
              <w:instrText xml:space="preserve"> PAGEREF _Toc466896995 \h </w:instrText>
            </w:r>
            <w:r w:rsidR="002B723A">
              <w:rPr>
                <w:webHidden/>
              </w:rPr>
            </w:r>
            <w:r w:rsidR="002B723A">
              <w:rPr>
                <w:webHidden/>
              </w:rPr>
              <w:fldChar w:fldCharType="separate"/>
            </w:r>
            <w:r w:rsidR="002B723A">
              <w:rPr>
                <w:webHidden/>
              </w:rPr>
              <w:t>36</w:t>
            </w:r>
            <w:r w:rsidR="002B723A">
              <w:rPr>
                <w:webHidden/>
              </w:rPr>
              <w:fldChar w:fldCharType="end"/>
            </w:r>
          </w:hyperlink>
        </w:p>
        <w:p w:rsidR="002B723A" w:rsidRDefault="002852EF">
          <w:pPr>
            <w:pStyle w:val="TOC2"/>
            <w:tabs>
              <w:tab w:val="left" w:pos="1276"/>
            </w:tabs>
            <w:rPr>
              <w:rFonts w:asciiTheme="minorHAnsi" w:eastAsiaTheme="minorEastAsia" w:hAnsiTheme="minorHAnsi"/>
              <w:b w:val="0"/>
              <w:color w:val="auto"/>
              <w:sz w:val="22"/>
              <w:lang w:eastAsia="en-AU"/>
            </w:rPr>
          </w:pPr>
          <w:hyperlink w:anchor="_Toc466896996" w:history="1">
            <w:r w:rsidR="002B723A" w:rsidRPr="0040725D">
              <w:rPr>
                <w:rStyle w:val="Hyperlink"/>
              </w:rPr>
              <w:t>3.10</w:t>
            </w:r>
            <w:r w:rsidR="002B723A">
              <w:rPr>
                <w:rFonts w:asciiTheme="minorHAnsi" w:eastAsiaTheme="minorEastAsia" w:hAnsiTheme="minorHAnsi"/>
                <w:b w:val="0"/>
                <w:color w:val="auto"/>
                <w:sz w:val="22"/>
                <w:lang w:eastAsia="en-AU"/>
              </w:rPr>
              <w:tab/>
            </w:r>
            <w:r w:rsidR="002B723A" w:rsidRPr="0040725D">
              <w:rPr>
                <w:rStyle w:val="Hyperlink"/>
              </w:rPr>
              <w:t>Thursday 25 August 2016</w:t>
            </w:r>
            <w:r w:rsidR="002B723A">
              <w:rPr>
                <w:webHidden/>
              </w:rPr>
              <w:tab/>
            </w:r>
            <w:r w:rsidR="002B723A">
              <w:rPr>
                <w:webHidden/>
              </w:rPr>
              <w:fldChar w:fldCharType="begin"/>
            </w:r>
            <w:r w:rsidR="002B723A">
              <w:rPr>
                <w:webHidden/>
              </w:rPr>
              <w:instrText xml:space="preserve"> PAGEREF _Toc466896996 \h </w:instrText>
            </w:r>
            <w:r w:rsidR="002B723A">
              <w:rPr>
                <w:webHidden/>
              </w:rPr>
            </w:r>
            <w:r w:rsidR="002B723A">
              <w:rPr>
                <w:webHidden/>
              </w:rPr>
              <w:fldChar w:fldCharType="separate"/>
            </w:r>
            <w:r w:rsidR="002B723A">
              <w:rPr>
                <w:webHidden/>
              </w:rPr>
              <w:t>38</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97" w:history="1">
            <w:r w:rsidR="002B723A" w:rsidRPr="0040725D">
              <w:rPr>
                <w:rStyle w:val="Hyperlink"/>
              </w:rPr>
              <w:t>4</w:t>
            </w:r>
            <w:r w:rsidR="002B723A">
              <w:rPr>
                <w:rFonts w:asciiTheme="minorHAnsi" w:eastAsiaTheme="minorEastAsia" w:hAnsiTheme="minorHAnsi"/>
                <w:b w:val="0"/>
                <w:color w:val="auto"/>
                <w:sz w:val="22"/>
                <w:lang w:val="en-AU" w:eastAsia="en-AU"/>
              </w:rPr>
              <w:tab/>
            </w:r>
            <w:r w:rsidR="002B723A" w:rsidRPr="0040725D">
              <w:rPr>
                <w:rStyle w:val="Hyperlink"/>
              </w:rPr>
              <w:t>Other market and compliance Issues</w:t>
            </w:r>
            <w:r w:rsidR="002B723A">
              <w:rPr>
                <w:webHidden/>
              </w:rPr>
              <w:tab/>
            </w:r>
            <w:r w:rsidR="002B723A">
              <w:rPr>
                <w:webHidden/>
              </w:rPr>
              <w:fldChar w:fldCharType="begin"/>
            </w:r>
            <w:r w:rsidR="002B723A">
              <w:rPr>
                <w:webHidden/>
              </w:rPr>
              <w:instrText xml:space="preserve"> PAGEREF _Toc466896997 \h </w:instrText>
            </w:r>
            <w:r w:rsidR="002B723A">
              <w:rPr>
                <w:webHidden/>
              </w:rPr>
            </w:r>
            <w:r w:rsidR="002B723A">
              <w:rPr>
                <w:webHidden/>
              </w:rPr>
              <w:fldChar w:fldCharType="separate"/>
            </w:r>
            <w:r w:rsidR="002B723A">
              <w:rPr>
                <w:webHidden/>
              </w:rPr>
              <w:t>40</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98" w:history="1">
            <w:r w:rsidR="002B723A" w:rsidRPr="0040725D">
              <w:rPr>
                <w:rStyle w:val="Hyperlink"/>
              </w:rPr>
              <w:t>Appendix A – AER SPV reporting thresholds</w:t>
            </w:r>
            <w:r w:rsidR="002B723A">
              <w:rPr>
                <w:webHidden/>
              </w:rPr>
              <w:tab/>
            </w:r>
            <w:r w:rsidR="002B723A">
              <w:rPr>
                <w:webHidden/>
              </w:rPr>
              <w:fldChar w:fldCharType="begin"/>
            </w:r>
            <w:r w:rsidR="002B723A">
              <w:rPr>
                <w:webHidden/>
              </w:rPr>
              <w:instrText xml:space="preserve"> PAGEREF _Toc466896998 \h </w:instrText>
            </w:r>
            <w:r w:rsidR="002B723A">
              <w:rPr>
                <w:webHidden/>
              </w:rPr>
            </w:r>
            <w:r w:rsidR="002B723A">
              <w:rPr>
                <w:webHidden/>
              </w:rPr>
              <w:fldChar w:fldCharType="separate"/>
            </w:r>
            <w:r w:rsidR="002B723A">
              <w:rPr>
                <w:webHidden/>
              </w:rPr>
              <w:t>45</w:t>
            </w:r>
            <w:r w:rsidR="002B723A">
              <w:rPr>
                <w:webHidden/>
              </w:rPr>
              <w:fldChar w:fldCharType="end"/>
            </w:r>
          </w:hyperlink>
        </w:p>
        <w:p w:rsidR="002B723A" w:rsidRDefault="002852EF">
          <w:pPr>
            <w:pStyle w:val="TOC1"/>
            <w:rPr>
              <w:rFonts w:asciiTheme="minorHAnsi" w:eastAsiaTheme="minorEastAsia" w:hAnsiTheme="minorHAnsi"/>
              <w:b w:val="0"/>
              <w:color w:val="auto"/>
              <w:sz w:val="22"/>
              <w:lang w:val="en-AU" w:eastAsia="en-AU"/>
            </w:rPr>
          </w:pPr>
          <w:hyperlink w:anchor="_Toc466896999" w:history="1">
            <w:r w:rsidR="002B723A" w:rsidRPr="0040725D">
              <w:rPr>
                <w:rStyle w:val="Hyperlink"/>
              </w:rPr>
              <w:t>Appendix B – Price impact analysis methodology for SPV days</w:t>
            </w:r>
            <w:r w:rsidR="002B723A">
              <w:rPr>
                <w:webHidden/>
              </w:rPr>
              <w:tab/>
            </w:r>
            <w:r w:rsidR="002B723A">
              <w:rPr>
                <w:webHidden/>
              </w:rPr>
              <w:fldChar w:fldCharType="begin"/>
            </w:r>
            <w:r w:rsidR="002B723A">
              <w:rPr>
                <w:webHidden/>
              </w:rPr>
              <w:instrText xml:space="preserve"> PAGEREF _Toc466896999 \h </w:instrText>
            </w:r>
            <w:r w:rsidR="002B723A">
              <w:rPr>
                <w:webHidden/>
              </w:rPr>
            </w:r>
            <w:r w:rsidR="002B723A">
              <w:rPr>
                <w:webHidden/>
              </w:rPr>
              <w:fldChar w:fldCharType="separate"/>
            </w:r>
            <w:r w:rsidR="002B723A">
              <w:rPr>
                <w:webHidden/>
              </w:rPr>
              <w:t>46</w:t>
            </w:r>
            <w:r w:rsidR="002B723A">
              <w:rPr>
                <w:webHidden/>
              </w:rPr>
              <w:fldChar w:fldCharType="end"/>
            </w:r>
          </w:hyperlink>
        </w:p>
        <w:p w:rsidR="00C7068C" w:rsidRDefault="006007DC" w:rsidP="00C7068C">
          <w:pPr>
            <w:sectPr w:rsidR="00C7068C" w:rsidSect="00581454">
              <w:footerReference w:type="default" r:id="rId12"/>
              <w:pgSz w:w="11906" w:h="16838" w:code="9"/>
              <w:pgMar w:top="1440" w:right="1700" w:bottom="1582" w:left="1729" w:header="720" w:footer="1009" w:gutter="0"/>
              <w:pgNumType w:fmt="lowerRoman"/>
              <w:cols w:space="720"/>
              <w:docGrid w:linePitch="326"/>
            </w:sectPr>
          </w:pPr>
          <w:r>
            <w:rPr>
              <w:b/>
              <w:noProof/>
              <w:color w:val="70635A" w:themeColor="text2"/>
              <w:sz w:val="24"/>
              <w:lang w:val="en-US" w:eastAsia="ja-JP"/>
            </w:rPr>
            <w:fldChar w:fldCharType="end"/>
          </w:r>
        </w:p>
        <w:p w:rsidR="00902006" w:rsidRDefault="00902006" w:rsidP="00902006">
          <w:pPr>
            <w:pStyle w:val="Heading1notnumber"/>
          </w:pPr>
          <w:bookmarkStart w:id="2" w:name="_Toc466896978"/>
          <w:bookmarkEnd w:id="1"/>
          <w:r>
            <w:t>Executive summary</w:t>
          </w:r>
          <w:bookmarkEnd w:id="2"/>
        </w:p>
        <w:p w:rsidR="0047074E" w:rsidRDefault="004B59DD" w:rsidP="004B59DD">
          <w:r>
            <w:t xml:space="preserve">The AER is required to publish a report whenever there is a significant price variation </w:t>
          </w:r>
          <w:r>
            <w:rPr>
              <w:b/>
            </w:rPr>
            <w:t>(SPV)</w:t>
          </w:r>
          <w:r>
            <w:t xml:space="preserve"> in the Victorian gas market and the Short Term Trading Markets </w:t>
          </w:r>
          <w:r>
            <w:rPr>
              <w:b/>
            </w:rPr>
            <w:t>(STTM)</w:t>
          </w:r>
          <w:r>
            <w:t>.</w:t>
          </w:r>
          <w:r>
            <w:rPr>
              <w:rStyle w:val="FootnoteReference"/>
            </w:rPr>
            <w:footnoteReference w:id="1"/>
          </w:r>
          <w:r>
            <w:t xml:space="preserve"> The AER has published guidelines which set out what constitutes an SPV.</w:t>
          </w:r>
          <w:r w:rsidRPr="00B72F43">
            <w:rPr>
              <w:rStyle w:val="FootnoteReference"/>
            </w:rPr>
            <w:footnoteReference w:id="2"/>
          </w:r>
          <w:r w:rsidR="0047074E">
            <w:t xml:space="preserve"> </w:t>
          </w:r>
        </w:p>
        <w:p w:rsidR="004B59DD" w:rsidRDefault="0047074E" w:rsidP="004B59DD">
          <w:r>
            <w:t>When an SPV occurs it d</w:t>
          </w:r>
          <w:r w:rsidR="004B59DD">
            <w:t xml:space="preserve">oesn’t necessarily mean there has been a price ‘spike’. An SPV can also occur, for example, when the gas price falls by a </w:t>
          </w:r>
          <w:r w:rsidR="00275561">
            <w:t xml:space="preserve">certain </w:t>
          </w:r>
          <w:r w:rsidR="004B59DD">
            <w:t>amount.</w:t>
          </w:r>
        </w:p>
        <w:p w:rsidR="004B59DD" w:rsidRDefault="0047074E" w:rsidP="004B59DD">
          <w:r>
            <w:t xml:space="preserve">This report has been prepared following 12 SPVs across the domestic gas markets in July and August this year. This report follows an earlier report which addressed 12 SPVs </w:t>
          </w:r>
          <w:r w:rsidR="007B4B0E">
            <w:t>that occurred in</w:t>
          </w:r>
          <w:r>
            <w:t xml:space="preserve"> June this year.</w:t>
          </w:r>
          <w:r w:rsidR="00275561">
            <w:rPr>
              <w:rStyle w:val="FootnoteReference"/>
            </w:rPr>
            <w:footnoteReference w:id="3"/>
          </w:r>
        </w:p>
        <w:p w:rsidR="0047074E" w:rsidRDefault="0047074E" w:rsidP="00275561">
          <w:r>
            <w:t xml:space="preserve">During winter this year, the domestic gas markets experienced tight supply and demand conditions. </w:t>
          </w:r>
        </w:p>
        <w:p w:rsidR="004B59DD" w:rsidRDefault="00275561" w:rsidP="00275561">
          <w:r>
            <w:t xml:space="preserve">This is often the case during the winter months </w:t>
          </w:r>
          <w:r w:rsidR="004B59DD">
            <w:t xml:space="preserve">as households increase their gas usage for heating, particularly in Victoria. This </w:t>
          </w:r>
          <w:r w:rsidR="009605CD">
            <w:t xml:space="preserve">can </w:t>
          </w:r>
          <w:r w:rsidR="007B4B0E">
            <w:t>mean</w:t>
          </w:r>
          <w:r w:rsidR="004B59DD">
            <w:t xml:space="preserve"> small changes in supply and/or demand </w:t>
          </w:r>
          <w:r w:rsidR="007B4B0E">
            <w:t>can have a</w:t>
          </w:r>
          <w:r w:rsidR="004B59DD">
            <w:t xml:space="preserve"> relatively larger </w:t>
          </w:r>
          <w:r w:rsidR="009605CD">
            <w:t>impact</w:t>
          </w:r>
          <w:r w:rsidR="004B59DD">
            <w:t xml:space="preserve"> </w:t>
          </w:r>
          <w:r w:rsidR="009605CD">
            <w:t>o</w:t>
          </w:r>
          <w:r w:rsidR="004B59DD">
            <w:t>n price.</w:t>
          </w:r>
        </w:p>
        <w:p w:rsidR="00D62AD5" w:rsidRDefault="00A66A43" w:rsidP="00A66A43">
          <w:r>
            <w:t>However this winter, the tight supply and conditions were brought about by</w:t>
          </w:r>
          <w:r w:rsidR="00D62AD5">
            <w:t xml:space="preserve"> a unique confluence of supply and demand conditions.</w:t>
          </w:r>
        </w:p>
        <w:p w:rsidR="009605CD" w:rsidRDefault="009605CD" w:rsidP="004B59DD">
          <w:r>
            <w:t>Some of the supply side factors include:</w:t>
          </w:r>
        </w:p>
        <w:p w:rsidR="0077634A" w:rsidRDefault="0077634A" w:rsidP="00EF1B43">
          <w:pPr>
            <w:pStyle w:val="ListParagraph"/>
            <w:numPr>
              <w:ilvl w:val="0"/>
              <w:numId w:val="36"/>
            </w:numPr>
          </w:pPr>
          <w:r>
            <w:t>gas fields which previously supplied only the domestic market are now also supplying export markets – including gas from South Australia’s Moomba production facility, and from Victorian gas fields</w:t>
          </w:r>
          <w:r>
            <w:rPr>
              <w:rStyle w:val="FootnoteReference"/>
            </w:rPr>
            <w:footnoteReference w:id="4"/>
          </w:r>
        </w:p>
        <w:p w:rsidR="009605CD" w:rsidRPr="00472A4D" w:rsidRDefault="009605CD" w:rsidP="00EF1B43">
          <w:pPr>
            <w:pStyle w:val="ListParagraph"/>
            <w:numPr>
              <w:ilvl w:val="0"/>
              <w:numId w:val="36"/>
            </w:numPr>
          </w:pPr>
          <w:r w:rsidRPr="00472A4D">
            <w:t xml:space="preserve">the unexpected curtailment of a Queensland-based supply source for AGL. This resulted in AGL buying more gas from the spot markets </w:t>
          </w:r>
        </w:p>
        <w:p w:rsidR="009605CD" w:rsidRDefault="009605CD" w:rsidP="00EF1B43">
          <w:pPr>
            <w:pStyle w:val="ListParagraph"/>
            <w:numPr>
              <w:ilvl w:val="0"/>
              <w:numId w:val="36"/>
            </w:numPr>
          </w:pPr>
          <w:r>
            <w:t>lower production from the Port Campbell region in</w:t>
          </w:r>
          <w:r w:rsidR="00620AC7">
            <w:t>to</w:t>
          </w:r>
          <w:r>
            <w:t xml:space="preserve"> Victoria</w:t>
          </w:r>
        </w:p>
        <w:p w:rsidR="00472A4D" w:rsidRDefault="00472A4D" w:rsidP="00EF1B43">
          <w:pPr>
            <w:pStyle w:val="ListParagraph"/>
            <w:numPr>
              <w:ilvl w:val="0"/>
              <w:numId w:val="36"/>
            </w:numPr>
          </w:pPr>
          <w:r>
            <w:t>reduced supply available from Iona underground storage</w:t>
          </w:r>
          <w:r w:rsidR="00D62AD5">
            <w:t xml:space="preserve"> over July and August</w:t>
          </w:r>
          <w:r>
            <w:t xml:space="preserve"> following high use over June</w:t>
          </w:r>
        </w:p>
        <w:p w:rsidR="002F6C95" w:rsidRDefault="002F6C95" w:rsidP="002F6C95">
          <w:pPr>
            <w:pStyle w:val="ListParagraph"/>
            <w:numPr>
              <w:ilvl w:val="0"/>
              <w:numId w:val="36"/>
            </w:numPr>
          </w:pPr>
          <w:r>
            <w:t>Longford (in Victoria) operating at full capacity</w:t>
          </w:r>
        </w:p>
        <w:p w:rsidR="000175F5" w:rsidRDefault="009605CD" w:rsidP="000175F5">
          <w:r>
            <w:t>Some of the demand side factors include:</w:t>
          </w:r>
        </w:p>
        <w:p w:rsidR="00977721" w:rsidRDefault="000175F5" w:rsidP="00977721">
          <w:pPr>
            <w:pStyle w:val="ListParagraph"/>
            <w:numPr>
              <w:ilvl w:val="0"/>
              <w:numId w:val="36"/>
            </w:numPr>
          </w:pPr>
          <w:r>
            <w:t>i</w:t>
          </w:r>
          <w:r w:rsidRPr="000175F5">
            <w:t xml:space="preserve">ncreased output from gas fired electricity generators, particularly in South Australia </w:t>
          </w:r>
        </w:p>
        <w:p w:rsidR="00977721" w:rsidRDefault="00977721" w:rsidP="00977721">
          <w:pPr>
            <w:pStyle w:val="ListParagraph"/>
            <w:numPr>
              <w:ilvl w:val="0"/>
              <w:numId w:val="36"/>
            </w:numPr>
          </w:pPr>
          <w:r w:rsidRPr="00977721">
            <w:t>The commencement of three LNG export projects in Queensland. In total, the demand from these projects is forecast to reach around three times the level of domestic demand once fully operational</w:t>
          </w:r>
        </w:p>
        <w:p w:rsidR="00977721" w:rsidRDefault="00472A4D" w:rsidP="00977721">
          <w:pPr>
            <w:pStyle w:val="ListParagraph"/>
            <w:numPr>
              <w:ilvl w:val="0"/>
              <w:numId w:val="36"/>
            </w:numPr>
          </w:pPr>
          <w:r>
            <w:t xml:space="preserve">relatively </w:t>
          </w:r>
          <w:r w:rsidR="000175F5" w:rsidRPr="00472A4D">
            <w:t xml:space="preserve">cold weather – </w:t>
          </w:r>
          <w:r>
            <w:t>although this winter was warmer than usual, residential demand for heating is still a significant f</w:t>
          </w:r>
          <w:r w:rsidR="00977721">
            <w:t>actor particularly in Victoria</w:t>
          </w:r>
        </w:p>
        <w:p w:rsidR="00977721" w:rsidRDefault="00977721" w:rsidP="004B59DD">
          <w:r w:rsidRPr="00977721">
            <w:t xml:space="preserve">While the demand from the LNG export projects will be significant, the direct impact on the domestic market at a point in time can be difficult to determine </w:t>
          </w:r>
          <w:r>
            <w:t>precisely</w:t>
          </w:r>
          <w:r w:rsidRPr="00977721">
            <w:t>. All three</w:t>
          </w:r>
          <w:r>
            <w:t xml:space="preserve"> projects source gas from the broader domestic market (i.e. outside their gas fields in the Roma region) but this varies over time. It has been reported that Santos’ Gladstone LNG </w:t>
          </w:r>
          <w:r w:rsidRPr="004A1F9F">
            <w:rPr>
              <w:b/>
            </w:rPr>
            <w:t>(GLNG)</w:t>
          </w:r>
          <w:r>
            <w:t xml:space="preserve"> project sources a larger proportion of gas from sources outside Roma relative to Origin’s Australia Pacific LNG </w:t>
          </w:r>
          <w:r w:rsidRPr="004A1F9F">
            <w:rPr>
              <w:b/>
            </w:rPr>
            <w:t>(APLNG)</w:t>
          </w:r>
          <w:r>
            <w:t xml:space="preserve"> and Shell/BG’</w:t>
          </w:r>
          <w:r w:rsidR="004A1F9F">
            <w:t>s Queensland Curtis </w:t>
          </w:r>
          <w:r>
            <w:t xml:space="preserve">LNG </w:t>
          </w:r>
          <w:r w:rsidRPr="004A1F9F">
            <w:rPr>
              <w:b/>
            </w:rPr>
            <w:t>(QCLNG)</w:t>
          </w:r>
          <w:r w:rsidR="00597E00">
            <w:t>.</w:t>
          </w:r>
        </w:p>
        <w:p w:rsidR="000175F5" w:rsidRDefault="00597E00" w:rsidP="00597E00">
          <w:r>
            <w:t>However simply looking at the demand impact of the LNG projects doesn’t give the full picture. The LNG export projects</w:t>
          </w:r>
          <w:r w:rsidR="00A66A43">
            <w:t xml:space="preserve"> </w:t>
          </w:r>
          <w:r w:rsidR="000175F5">
            <w:t xml:space="preserve">also </w:t>
          </w:r>
          <w:r w:rsidR="00A66A43">
            <w:t>provide</w:t>
          </w:r>
          <w:r w:rsidR="000175F5">
            <w:t xml:space="preserve"> another source o</w:t>
          </w:r>
          <w:r>
            <w:t>f supply for the domestic marke</w:t>
          </w:r>
          <w:r w:rsidR="00C61674">
            <w:t>t, and this seems unlikely to change anytime soon</w:t>
          </w:r>
          <w:r>
            <w:t>.</w:t>
          </w:r>
          <w:r w:rsidR="002161BB">
            <w:t xml:space="preserve"> </w:t>
          </w:r>
          <w:r w:rsidR="000175F5">
            <w:t xml:space="preserve">As domestic gas prices have risen, </w:t>
          </w:r>
          <w:r w:rsidR="00D62AD5">
            <w:t xml:space="preserve">so has </w:t>
          </w:r>
          <w:r w:rsidR="004F7C87">
            <w:t>the attractiveness</w:t>
          </w:r>
          <w:r w:rsidR="000175F5">
            <w:t xml:space="preserve"> of selling gas domestically. One of the SPVs noted in this report occurred when the price reduced from $19.97/GJ to $12.20/GJ</w:t>
          </w:r>
          <w:r w:rsidR="00472A4D">
            <w:t>. One of the key contributors to the price reduction was an increase in lower priced supply offers by Santos of over 12 TJ. We also understand some supply from the Roma</w:t>
          </w:r>
          <w:r>
            <w:t xml:space="preserve"> region</w:t>
          </w:r>
          <w:r w:rsidR="00472A4D">
            <w:t xml:space="preserve"> was sold into the domestic markets. This resulted in pipeline flows moving south instead of north on a number of days.</w:t>
          </w:r>
        </w:p>
        <w:p w:rsidR="00275561" w:rsidRPr="00302DD6" w:rsidRDefault="00302DD6" w:rsidP="004B59DD">
          <w:pPr>
            <w:rPr>
              <w:b/>
            </w:rPr>
          </w:pPr>
          <w:r>
            <w:t>On most occasions prices were close to forecast. The tight supply and demand conditions were reflected in participants’ offers to the market. While on most days there were generally enough supply offers priced at or under $10/GJ to meet forecast demand, offers for gas beyond this point were at increasingly higher prices and for lower quantities.</w:t>
          </w:r>
        </w:p>
        <w:p w:rsidR="00A66A43" w:rsidRDefault="00A66A43" w:rsidP="004B59DD">
          <w:r>
            <w:t>This report is structured as follows:</w:t>
          </w:r>
        </w:p>
        <w:p w:rsidR="00A66A43" w:rsidRDefault="00A66A43" w:rsidP="00EF1B43">
          <w:pPr>
            <w:pStyle w:val="ListParagraph"/>
            <w:numPr>
              <w:ilvl w:val="0"/>
              <w:numId w:val="37"/>
            </w:numPr>
          </w:pPr>
          <w:r>
            <w:t>Part one pr</w:t>
          </w:r>
          <w:r w:rsidR="00B50D30">
            <w:t>ovides an overview of Australia’</w:t>
          </w:r>
          <w:r>
            <w:t>s east coast gas markets</w:t>
          </w:r>
        </w:p>
        <w:p w:rsidR="00A66A43" w:rsidRDefault="00A66A43" w:rsidP="00EF1B43">
          <w:pPr>
            <w:pStyle w:val="ListParagraph"/>
            <w:numPr>
              <w:ilvl w:val="0"/>
              <w:numId w:val="37"/>
            </w:numPr>
          </w:pPr>
          <w:r>
            <w:t xml:space="preserve">Part two </w:t>
          </w:r>
          <w:r w:rsidR="00B50D30">
            <w:t>explains the market conditions across winter this year that contributed to the SPVs</w:t>
          </w:r>
        </w:p>
        <w:p w:rsidR="00B50D30" w:rsidRDefault="00B50D30" w:rsidP="00EF1B43">
          <w:pPr>
            <w:pStyle w:val="ListParagraph"/>
            <w:numPr>
              <w:ilvl w:val="0"/>
              <w:numId w:val="37"/>
            </w:numPr>
          </w:pPr>
          <w:r>
            <w:t>Part three examines the individual July and August SPVs</w:t>
          </w:r>
        </w:p>
        <w:p w:rsidR="00DD2565" w:rsidRPr="002433A1" w:rsidRDefault="00B50D30" w:rsidP="00EF1B43">
          <w:pPr>
            <w:pStyle w:val="ListParagraph"/>
            <w:numPr>
              <w:ilvl w:val="0"/>
              <w:numId w:val="37"/>
            </w:numPr>
          </w:pPr>
          <w:r>
            <w:t>Part four addresses the other market and compliance issues identified by the AER when preparing this report</w:t>
          </w:r>
        </w:p>
        <w:p w:rsidR="00984554" w:rsidRDefault="00984554" w:rsidP="00EF1B43">
          <w:pPr>
            <w:pStyle w:val="Heading1"/>
            <w:numPr>
              <w:ilvl w:val="0"/>
              <w:numId w:val="33"/>
            </w:numPr>
          </w:pPr>
          <w:bookmarkStart w:id="3" w:name="_Toc459989983"/>
          <w:bookmarkStart w:id="4" w:name="_Toc466896979"/>
          <w:r>
            <w:t>The east coast gas markets</w:t>
          </w:r>
          <w:bookmarkEnd w:id="3"/>
          <w:bookmarkEnd w:id="4"/>
        </w:p>
        <w:p w:rsidR="00984554" w:rsidRDefault="00984554" w:rsidP="002433A1">
          <w:r>
            <w:t>The Victorian gas market and the STTMs help determine the schedul</w:t>
          </w:r>
          <w:r w:rsidR="002433A1">
            <w:t xml:space="preserve">ing of gas to meet demand from </w:t>
          </w:r>
          <w:r>
            <w:t>residential customers</w:t>
          </w:r>
          <w:r w:rsidR="002433A1">
            <w:t xml:space="preserve">, </w:t>
          </w:r>
          <w:r>
            <w:t>industrial users</w:t>
          </w:r>
          <w:r w:rsidR="00244125">
            <w:rPr>
              <w:rStyle w:val="FootnoteReference"/>
            </w:rPr>
            <w:footnoteReference w:id="5"/>
          </w:r>
          <w:r>
            <w:t xml:space="preserve"> and</w:t>
          </w:r>
          <w:r w:rsidR="002433A1">
            <w:t xml:space="preserve"> </w:t>
          </w:r>
          <w:r w:rsidR="00665AE3">
            <w:t>some gas-</w:t>
          </w:r>
          <w:r>
            <w:t>fired electricity generators.</w:t>
          </w:r>
          <w:r>
            <w:rPr>
              <w:rStyle w:val="FootnoteReference"/>
            </w:rPr>
            <w:footnoteReference w:id="6"/>
          </w:r>
          <w:r w:rsidR="002433A1">
            <w:t xml:space="preserve"> </w:t>
          </w:r>
          <w:r>
            <w:t>These markets are compulsory for all gas users located within the defined physi</w:t>
          </w:r>
          <w:r w:rsidR="00665AE3">
            <w:t>cal boundaries of each market</w:t>
          </w:r>
          <w:r w:rsidR="00E96144">
            <w:t xml:space="preserve"> and are marked ‘M’ in</w:t>
          </w:r>
          <w:r w:rsidR="00FF6CA8">
            <w:t xml:space="preserve"> </w:t>
          </w:r>
          <w:r w:rsidR="00AD4BE9">
            <w:fldChar w:fldCharType="begin"/>
          </w:r>
          <w:r w:rsidR="00AD4BE9">
            <w:instrText xml:space="preserve"> REF _Ref465353825 \h </w:instrText>
          </w:r>
          <w:r w:rsidR="00AD4BE9">
            <w:fldChar w:fldCharType="separate"/>
          </w:r>
          <w:r w:rsidR="00D94C93">
            <w:t>Figure </w:t>
          </w:r>
          <w:r w:rsidR="00D94C93">
            <w:rPr>
              <w:noProof/>
            </w:rPr>
            <w:t>1</w:t>
          </w:r>
          <w:r w:rsidR="00AD4BE9">
            <w:fldChar w:fldCharType="end"/>
          </w:r>
          <w:r w:rsidR="00E96144">
            <w:t xml:space="preserve"> below</w:t>
          </w:r>
          <w:r w:rsidR="00567343">
            <w:t>.</w:t>
          </w:r>
          <w:r>
            <w:t xml:space="preserve"> </w:t>
          </w:r>
        </w:p>
        <w:p w:rsidR="00C96478" w:rsidRPr="00C96478" w:rsidRDefault="00984554" w:rsidP="002433A1">
          <w:pPr>
            <w:pStyle w:val="Caption"/>
          </w:pPr>
          <w:bookmarkStart w:id="5" w:name="_Ref465353825"/>
          <w:r>
            <w:t>Figure </w:t>
          </w:r>
          <w:r w:rsidR="002852EF">
            <w:fldChar w:fldCharType="begin"/>
          </w:r>
          <w:r w:rsidR="002852EF">
            <w:instrText xml:space="preserve"> SEQ Figure \* ARABIC </w:instrText>
          </w:r>
          <w:r w:rsidR="002852EF">
            <w:fldChar w:fldCharType="separate"/>
          </w:r>
          <w:r w:rsidR="00D94C93">
            <w:rPr>
              <w:noProof/>
            </w:rPr>
            <w:t>1</w:t>
          </w:r>
          <w:r w:rsidR="002852EF">
            <w:rPr>
              <w:noProof/>
            </w:rPr>
            <w:fldChar w:fldCharType="end"/>
          </w:r>
          <w:bookmarkEnd w:id="5"/>
          <w:r>
            <w:t>: The east coast gas markets</w:t>
          </w:r>
        </w:p>
        <w:p w:rsidR="002124FF" w:rsidRDefault="002124FF" w:rsidP="001516C7">
          <w:pPr>
            <w:ind w:left="426"/>
          </w:pPr>
          <w:bookmarkStart w:id="6" w:name="_Toc459210468"/>
          <w:bookmarkStart w:id="7" w:name="_Toc459620257"/>
          <w:bookmarkStart w:id="8" w:name="_Toc459650876"/>
          <w:bookmarkStart w:id="9" w:name="_Toc459725371"/>
          <w:bookmarkStart w:id="10" w:name="_Toc459989984"/>
          <w:r w:rsidRPr="00955A02">
            <w:rPr>
              <w:noProof/>
              <w:lang w:eastAsia="en-AU"/>
            </w:rPr>
            <w:drawing>
              <wp:inline distT="0" distB="0" distL="0" distR="0" wp14:anchorId="340EA63A" wp14:editId="310BC7AD">
                <wp:extent cx="4727275" cy="5831456"/>
                <wp:effectExtent l="0" t="0" r="0" b="0"/>
                <wp:docPr id="24" name="Picture 24" descr="Figure 1 illustrates the location of gas markets across eastern Australia, including the main production points, gas supply hubs, major transmission pipelines, and gas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34412" cy="5840260"/>
                        </a:xfrm>
                        <a:prstGeom prst="rect">
                          <a:avLst/>
                        </a:prstGeom>
                      </pic:spPr>
                    </pic:pic>
                  </a:graphicData>
                </a:graphic>
              </wp:inline>
            </w:drawing>
          </w:r>
        </w:p>
        <w:p w:rsidR="00E96144" w:rsidRDefault="00E96144" w:rsidP="002124FF">
          <w:r>
            <w:t xml:space="preserve">There are also two upstream gas supply hubs </w:t>
          </w:r>
          <w:r w:rsidR="00567343">
            <w:t xml:space="preserve">at </w:t>
          </w:r>
          <w:r>
            <w:t>Wallumbilla (Queensland) and Moomba (</w:t>
          </w:r>
          <w:r w:rsidR="00567343">
            <w:t>South Australia</w:t>
          </w:r>
          <w:r>
            <w:t xml:space="preserve">) marked ‘H’ in </w:t>
          </w:r>
          <w:r w:rsidR="00AD4BE9">
            <w:fldChar w:fldCharType="begin"/>
          </w:r>
          <w:r w:rsidR="00AD4BE9">
            <w:instrText xml:space="preserve"> REF _Ref465353825 \h </w:instrText>
          </w:r>
          <w:r w:rsidR="00AD4BE9">
            <w:fldChar w:fldCharType="separate"/>
          </w:r>
          <w:r w:rsidR="00D94C93">
            <w:t>Figure </w:t>
          </w:r>
          <w:r w:rsidR="00D94C93">
            <w:rPr>
              <w:noProof/>
            </w:rPr>
            <w:t>1</w:t>
          </w:r>
          <w:r w:rsidR="00AD4BE9">
            <w:fldChar w:fldCharType="end"/>
          </w:r>
          <w:r>
            <w:t>. Trading in these supply hubs is voluntary and there are no SPV reporting requirements. Markets and Hubs are connected by a number of key pipelines.</w:t>
          </w:r>
        </w:p>
        <w:p w:rsidR="00984554" w:rsidRPr="00990DD8" w:rsidRDefault="00984554" w:rsidP="00990DD8">
          <w:pPr>
            <w:pStyle w:val="Heading6notnumbered"/>
            <w:rPr>
              <w:iCs w:val="0"/>
            </w:rPr>
          </w:pPr>
          <w:r w:rsidRPr="00990DD8">
            <w:rPr>
              <w:iCs w:val="0"/>
            </w:rPr>
            <w:t>Recent changes to the east coast gas markets</w:t>
          </w:r>
          <w:bookmarkEnd w:id="6"/>
          <w:bookmarkEnd w:id="7"/>
          <w:bookmarkEnd w:id="8"/>
          <w:bookmarkEnd w:id="9"/>
          <w:bookmarkEnd w:id="10"/>
        </w:p>
        <w:p w:rsidR="00984554" w:rsidRDefault="00984554" w:rsidP="00984554">
          <w:pPr>
            <w:pStyle w:val="ListBullet"/>
            <w:numPr>
              <w:ilvl w:val="0"/>
              <w:numId w:val="0"/>
            </w:numPr>
          </w:pPr>
          <w:r>
            <w:t xml:space="preserve">In 2014, the first of three liquefied natural gas </w:t>
          </w:r>
          <w:r>
            <w:rPr>
              <w:b/>
            </w:rPr>
            <w:t>(LNG)</w:t>
          </w:r>
          <w:r>
            <w:t xml:space="preserve"> export projects came online </w:t>
          </w:r>
          <w:r w:rsidR="00567343">
            <w:t xml:space="preserve">near </w:t>
          </w:r>
          <w:r>
            <w:t>Gladstone</w:t>
          </w:r>
          <w:r w:rsidR="00567343">
            <w:t xml:space="preserve"> in</w:t>
          </w:r>
          <w:r>
            <w:t xml:space="preserve"> Queensland. These projects have effectively connected Australia’s east coast </w:t>
          </w:r>
          <w:r w:rsidR="00567343">
            <w:t xml:space="preserve">domestic </w:t>
          </w:r>
          <w:r>
            <w:t>gas market to the global LNG market. While outcomes were once determined purely by domestic conditions, international supply and demand dynamics are growing in influence.</w:t>
          </w:r>
        </w:p>
        <w:p w:rsidR="00984554" w:rsidRDefault="00984554" w:rsidP="00984554">
          <w:pPr>
            <w:pStyle w:val="ListBullet"/>
            <w:numPr>
              <w:ilvl w:val="0"/>
              <w:numId w:val="0"/>
            </w:numPr>
          </w:pPr>
          <w:r>
            <w:t>Once fully operational, the gas demand from the LNG export facilities is forecast to reach three to four times the level of domestic demand.</w:t>
          </w:r>
          <w:r>
            <w:rPr>
              <w:rStyle w:val="FootnoteReference"/>
            </w:rPr>
            <w:footnoteReference w:id="7"/>
          </w:r>
          <w:r>
            <w:t xml:space="preserve"> This has fundamentally changed all aspects of the east coast gas market.</w:t>
          </w:r>
        </w:p>
        <w:p w:rsidR="00984554" w:rsidRDefault="00984554" w:rsidP="00984554">
          <w:pPr>
            <w:pStyle w:val="ListBullet"/>
            <w:numPr>
              <w:ilvl w:val="0"/>
              <w:numId w:val="0"/>
            </w:numPr>
          </w:pPr>
          <w:r>
            <w:t xml:space="preserve">The following investments have been made to </w:t>
          </w:r>
          <w:r w:rsidR="000F297D">
            <w:t xml:space="preserve">facilitate </w:t>
          </w:r>
          <w:r w:rsidR="00B50D30">
            <w:t>the transportation of</w:t>
          </w:r>
          <w:r>
            <w:t xml:space="preserve"> gas </w:t>
          </w:r>
          <w:r w:rsidR="00B50D30">
            <w:t xml:space="preserve">by participants </w:t>
          </w:r>
          <w:r>
            <w:t xml:space="preserve">across the network to where </w:t>
          </w:r>
          <w:r w:rsidR="00B50D30">
            <w:t xml:space="preserve">it is </w:t>
          </w:r>
          <w:r>
            <w:t>value</w:t>
          </w:r>
          <w:r w:rsidR="00B50D30">
            <w:t>d</w:t>
          </w:r>
          <w:r>
            <w:t xml:space="preserve"> highest</w:t>
          </w:r>
          <w:r w:rsidR="00EF4169">
            <w:t>.</w:t>
          </w:r>
        </w:p>
        <w:p w:rsidR="00984554" w:rsidRDefault="00984554" w:rsidP="00984554">
          <w:pPr>
            <w:pStyle w:val="ListBullet"/>
          </w:pPr>
          <w:r>
            <w:t>Upgrades to pipelines to enable bidirectional flows, including:</w:t>
          </w:r>
        </w:p>
        <w:p w:rsidR="00984554" w:rsidRPr="005952B2" w:rsidRDefault="00984554" w:rsidP="00984554">
          <w:pPr>
            <w:pStyle w:val="ListBullet"/>
            <w:numPr>
              <w:ilvl w:val="1"/>
              <w:numId w:val="13"/>
            </w:numPr>
          </w:pPr>
          <w:r>
            <w:t xml:space="preserve">the Moomba to Adelaide pipeline </w:t>
          </w:r>
          <w:r>
            <w:rPr>
              <w:b/>
            </w:rPr>
            <w:t>(MAP)</w:t>
          </w:r>
        </w:p>
        <w:p w:rsidR="00984554" w:rsidRPr="009E15E2" w:rsidRDefault="00984554" w:rsidP="00984554">
          <w:pPr>
            <w:pStyle w:val="ListBullet"/>
            <w:numPr>
              <w:ilvl w:val="1"/>
              <w:numId w:val="13"/>
            </w:numPr>
          </w:pPr>
          <w:r w:rsidRPr="005952B2">
            <w:t xml:space="preserve">the Moomba </w:t>
          </w:r>
          <w:r>
            <w:t xml:space="preserve">to Sydney pipeline </w:t>
          </w:r>
          <w:r>
            <w:rPr>
              <w:b/>
            </w:rPr>
            <w:t>(MSP)</w:t>
          </w:r>
        </w:p>
        <w:p w:rsidR="00984554" w:rsidRDefault="00984554" w:rsidP="00984554">
          <w:pPr>
            <w:pStyle w:val="ListBullet"/>
            <w:numPr>
              <w:ilvl w:val="1"/>
              <w:numId w:val="13"/>
            </w:numPr>
          </w:pPr>
          <w:r>
            <w:t xml:space="preserve">the South West Queensland pipeline </w:t>
          </w:r>
          <w:r>
            <w:rPr>
              <w:b/>
            </w:rPr>
            <w:t>(SWQP)</w:t>
          </w:r>
          <w:r>
            <w:t xml:space="preserve"> including the Queensland South Australia and New South Wales link </w:t>
          </w:r>
          <w:r>
            <w:rPr>
              <w:b/>
            </w:rPr>
            <w:t>(QSN link)</w:t>
          </w:r>
          <w:r>
            <w:t>.</w:t>
          </w:r>
        </w:p>
        <w:p w:rsidR="00984554" w:rsidRDefault="00984554" w:rsidP="00984554">
          <w:pPr>
            <w:pStyle w:val="ListBullet"/>
          </w:pPr>
          <w:r>
            <w:t>Transmission pipeline connections to form new routes north and south:</w:t>
          </w:r>
        </w:p>
        <w:p w:rsidR="00984554" w:rsidRDefault="00984554" w:rsidP="00984554">
          <w:pPr>
            <w:pStyle w:val="ListBullet"/>
            <w:numPr>
              <w:ilvl w:val="1"/>
              <w:numId w:val="13"/>
            </w:numPr>
          </w:pPr>
          <w:r>
            <w:t xml:space="preserve">the MAP and SEAGas pipeline </w:t>
          </w:r>
          <w:r>
            <w:rPr>
              <w:b/>
            </w:rPr>
            <w:t>(SEAGas)</w:t>
          </w:r>
          <w:r>
            <w:t>. This enables gas to flow between the two pipelines and avoid the Adelaide distribution system.</w:t>
          </w:r>
        </w:p>
        <w:p w:rsidR="00984554" w:rsidRDefault="00984554" w:rsidP="00984554">
          <w:pPr>
            <w:pStyle w:val="ListBullet"/>
            <w:numPr>
              <w:ilvl w:val="1"/>
              <w:numId w:val="13"/>
            </w:numPr>
          </w:pPr>
          <w:r>
            <w:t xml:space="preserve">the MSP and the Eastern Gas pipeline </w:t>
          </w:r>
          <w:r>
            <w:rPr>
              <w:b/>
            </w:rPr>
            <w:t>(EGP)</w:t>
          </w:r>
          <w:r>
            <w:t>. This enables gas to flow between the two pipelines and avoid the Sydney distribution system.</w:t>
          </w:r>
          <w:r>
            <w:rPr>
              <w:rStyle w:val="FootnoteReference"/>
            </w:rPr>
            <w:footnoteReference w:id="8"/>
          </w:r>
        </w:p>
        <w:p w:rsidR="00984554" w:rsidRDefault="00984554" w:rsidP="00984554">
          <w:pPr>
            <w:pStyle w:val="ListBullet"/>
            <w:numPr>
              <w:ilvl w:val="0"/>
              <w:numId w:val="0"/>
            </w:numPr>
            <w:tabs>
              <w:tab w:val="clear" w:pos="340"/>
              <w:tab w:val="left" w:pos="0"/>
            </w:tabs>
          </w:pPr>
          <w:r>
            <w:t xml:space="preserve">There has also been ongoing investment in the New South Wales – Victoria interconnect. </w:t>
          </w:r>
        </w:p>
        <w:p w:rsidR="00984554" w:rsidRDefault="00984554" w:rsidP="00984554">
          <w:pPr>
            <w:pStyle w:val="ListBullet"/>
            <w:numPr>
              <w:ilvl w:val="0"/>
              <w:numId w:val="0"/>
            </w:numPr>
            <w:tabs>
              <w:tab w:val="clear" w:pos="340"/>
              <w:tab w:val="left" w:pos="0"/>
            </w:tabs>
          </w:pPr>
          <w:r>
            <w:t>These investments have largely been made to enable participants to send gas north, primarily to supply LNG exports. However the</w:t>
          </w:r>
          <w:r w:rsidR="000F297D">
            <w:t>y</w:t>
          </w:r>
          <w:r>
            <w:t xml:space="preserve"> also enable gas to flow south</w:t>
          </w:r>
          <w:r w:rsidR="000F297D">
            <w:t xml:space="preserve"> when circumstances dictate</w:t>
          </w:r>
          <w:r>
            <w:t>. This may occur, for example, when an LNG export facility is undergoing maintenance</w:t>
          </w:r>
          <w:r w:rsidR="000F297D">
            <w:t xml:space="preserve"> and additional gas becomes available</w:t>
          </w:r>
          <w:r>
            <w:t>.</w:t>
          </w:r>
        </w:p>
        <w:p w:rsidR="00984554" w:rsidRDefault="00984554" w:rsidP="00984554">
          <w:pPr>
            <w:pStyle w:val="ListBullet"/>
            <w:numPr>
              <w:ilvl w:val="0"/>
              <w:numId w:val="0"/>
            </w:numPr>
          </w:pPr>
          <w:r>
            <w:t>This variability in supply and demand from the LNG export facilities has also increased the importance of gas storage. The ability to store gas allows participants to quickly respond and take advantage of short term supply and demand fluctuations.</w:t>
          </w:r>
        </w:p>
        <w:p w:rsidR="00E96144" w:rsidRDefault="00984554" w:rsidP="00984554">
          <w:pPr>
            <w:pStyle w:val="ListBullet"/>
            <w:numPr>
              <w:ilvl w:val="0"/>
              <w:numId w:val="0"/>
            </w:numPr>
          </w:pPr>
          <w:r>
            <w:t xml:space="preserve">AGL has recently built the Newcastle Gas Storage Facility </w:t>
          </w:r>
          <w:r>
            <w:rPr>
              <w:b/>
            </w:rPr>
            <w:t>(NGSF)</w:t>
          </w:r>
          <w:r>
            <w:t xml:space="preserve">, </w:t>
          </w:r>
          <w:r w:rsidRPr="002420CB">
            <w:t xml:space="preserve">which has </w:t>
          </w:r>
          <w:r>
            <w:t>been providing gas to</w:t>
          </w:r>
          <w:r w:rsidRPr="002420CB">
            <w:t xml:space="preserve"> the Sydney STTM regularly this winter.</w:t>
          </w:r>
          <w:r>
            <w:t xml:space="preserve"> The NGSF is discussed further in section</w:t>
          </w:r>
          <w:r w:rsidR="00EF1B43">
            <w:t xml:space="preserve"> </w:t>
          </w:r>
          <w:r w:rsidR="00EF1B43">
            <w:fldChar w:fldCharType="begin"/>
          </w:r>
          <w:r w:rsidR="00EF1B43">
            <w:instrText xml:space="preserve"> REF _Ref465862956 \r \h </w:instrText>
          </w:r>
          <w:r w:rsidR="00EF1B43">
            <w:fldChar w:fldCharType="separate"/>
          </w:r>
          <w:r w:rsidR="00D94C93">
            <w:t>2</w:t>
          </w:r>
          <w:r w:rsidR="00EF1B43">
            <w:fldChar w:fldCharType="end"/>
          </w:r>
          <w:r w:rsidR="00EF1B43">
            <w:t>.</w:t>
          </w:r>
        </w:p>
        <w:p w:rsidR="00984554" w:rsidRDefault="006C7729" w:rsidP="00984554">
          <w:pPr>
            <w:pStyle w:val="Heading2"/>
          </w:pPr>
          <w:bookmarkStart w:id="11" w:name="_Toc466455149"/>
          <w:bookmarkStart w:id="12" w:name="_Toc466896980"/>
          <w:r>
            <w:t>Converging energy</w:t>
          </w:r>
          <w:r w:rsidR="00C97163">
            <w:t xml:space="preserve"> markets</w:t>
          </w:r>
          <w:bookmarkEnd w:id="11"/>
          <w:bookmarkEnd w:id="12"/>
        </w:p>
        <w:p w:rsidR="002433A1" w:rsidRPr="00990DD8" w:rsidRDefault="002433A1" w:rsidP="00990DD8">
          <w:pPr>
            <w:pStyle w:val="Heading6notnumbered"/>
          </w:pPr>
          <w:r w:rsidRPr="00990DD8">
            <w:t>Gas-fired generation</w:t>
          </w:r>
        </w:p>
        <w:p w:rsidR="00984554" w:rsidRDefault="00984554" w:rsidP="00984554">
          <w:r>
            <w:t xml:space="preserve">The national electricity market </w:t>
          </w:r>
          <w:r>
            <w:rPr>
              <w:b/>
            </w:rPr>
            <w:t>(NEM)</w:t>
          </w:r>
          <w:r>
            <w:t xml:space="preserve"> is an energy-only mandatory market that schedules generators in order to </w:t>
          </w:r>
          <w:r w:rsidR="000F297D">
            <w:t xml:space="preserve">balance supply and </w:t>
          </w:r>
          <w:r>
            <w:t>demand. The Victorian gas market and the STTMs are also mandatory markets, which were designed to schedule gas flows into, and out of, particular gas networks.</w:t>
          </w:r>
          <w:r w:rsidRPr="00531FF8">
            <w:t xml:space="preserve"> </w:t>
          </w:r>
          <w:r>
            <w:t xml:space="preserve">The markets facilitate the trade of gas and/or electricity between market participants, based on their individual </w:t>
          </w:r>
          <w:r w:rsidR="000F297D">
            <w:t>commercial requirements</w:t>
          </w:r>
          <w:r>
            <w:t>.</w:t>
          </w:r>
        </w:p>
        <w:p w:rsidR="00984554" w:rsidRDefault="00984554" w:rsidP="00984554">
          <w:r>
            <w:t>Gas-fired electricity generators in effect link the NEM and the east coast gas markets and some organisations participate in both markets. For example, an energy retailer might provide gas to residential customers and also operate a gas fired electricity generator.</w:t>
          </w:r>
          <w:r w:rsidR="00EF1B43" w:rsidRPr="00EF1B43">
            <w:t xml:space="preserve"> </w:t>
          </w:r>
          <w:r w:rsidR="00EF1B43">
            <w:t>These dynamics help ensure gas is allocated to its most economic use.</w:t>
          </w:r>
        </w:p>
        <w:p w:rsidR="00984554" w:rsidRDefault="00984554" w:rsidP="00984554">
          <w:r>
            <w:t xml:space="preserve">Across winter 2016, the use of gas-fired electricity generators increased </w:t>
          </w:r>
          <w:r w:rsidR="000F297D">
            <w:t xml:space="preserve">significantly </w:t>
          </w:r>
          <w:r>
            <w:t xml:space="preserve">following a number of </w:t>
          </w:r>
          <w:r w:rsidR="000F297D">
            <w:t xml:space="preserve">planned </w:t>
          </w:r>
          <w:r>
            <w:t>outages of coal-fired generators</w:t>
          </w:r>
          <w:r w:rsidR="000F297D" w:rsidRPr="000F297D">
            <w:t xml:space="preserve"> </w:t>
          </w:r>
          <w:r w:rsidR="000F297D">
            <w:t>across the NEM</w:t>
          </w:r>
          <w:r w:rsidR="00EF1B43">
            <w:t>.</w:t>
          </w:r>
          <w:r>
            <w:rPr>
              <w:rStyle w:val="FootnoteReference"/>
            </w:rPr>
            <w:footnoteReference w:id="9"/>
          </w:r>
          <w:r>
            <w:t xml:space="preserve"> It particularly increased in South Australia in the wake of</w:t>
          </w:r>
          <w:r w:rsidR="000F297D">
            <w:t>:</w:t>
          </w:r>
          <w:r>
            <w:t xml:space="preserve"> coal plant closure</w:t>
          </w:r>
          <w:r w:rsidR="000F297D">
            <w:t>s;</w:t>
          </w:r>
          <w:r>
            <w:t xml:space="preserve"> below average wind generation</w:t>
          </w:r>
          <w:r w:rsidR="000F297D">
            <w:t>;</w:t>
          </w:r>
          <w:r>
            <w:t xml:space="preserve"> and </w:t>
          </w:r>
          <w:r w:rsidR="007079A7">
            <w:t>planned network</w:t>
          </w:r>
          <w:r>
            <w:t xml:space="preserve"> outage</w:t>
          </w:r>
          <w:r w:rsidR="007079A7">
            <w:t>s</w:t>
          </w:r>
          <w:r>
            <w:t>.</w:t>
          </w:r>
          <w:r>
            <w:rPr>
              <w:rStyle w:val="FootnoteReference"/>
            </w:rPr>
            <w:footnoteReference w:id="10"/>
          </w:r>
          <w:r>
            <w:t xml:space="preserve"> This further increased the overall demand for gas and</w:t>
          </w:r>
          <w:r w:rsidR="007079A7">
            <w:t xml:space="preserve"> </w:t>
          </w:r>
          <w:r>
            <w:t>may have increased the value placed on gas by some participants</w:t>
          </w:r>
          <w:r w:rsidR="007079A7">
            <w:t>, particularly during t</w:t>
          </w:r>
          <w:r w:rsidR="00EF1B43">
            <w:t>imes of high electricity prices</w:t>
          </w:r>
          <w:r>
            <w:t xml:space="preserve">. </w:t>
          </w:r>
        </w:p>
        <w:p w:rsidR="00984554" w:rsidRDefault="00381186" w:rsidP="00984554">
          <w:r>
            <w:fldChar w:fldCharType="begin"/>
          </w:r>
          <w:r>
            <w:instrText xml:space="preserve"> REF _Ref458497340 \h </w:instrText>
          </w:r>
          <w:r>
            <w:fldChar w:fldCharType="separate"/>
          </w:r>
          <w:r w:rsidR="00D94C93">
            <w:t>Table </w:t>
          </w:r>
          <w:r w:rsidR="00D94C93">
            <w:rPr>
              <w:noProof/>
            </w:rPr>
            <w:t>1</w:t>
          </w:r>
          <w:r>
            <w:fldChar w:fldCharType="end"/>
          </w:r>
          <w:r w:rsidR="00984554">
            <w:t xml:space="preserve"> below sets out examples of some of the larger participants with exposure to both the NEM and the east coast gas markets. </w:t>
          </w:r>
        </w:p>
        <w:p w:rsidR="00984554" w:rsidRPr="004300F1" w:rsidRDefault="00984554" w:rsidP="00984554">
          <w:pPr>
            <w:pStyle w:val="Caption"/>
          </w:pPr>
          <w:bookmarkStart w:id="13" w:name="_Ref458497340"/>
          <w:r>
            <w:t>Table </w:t>
          </w:r>
          <w:r w:rsidR="002852EF">
            <w:fldChar w:fldCharType="begin"/>
          </w:r>
          <w:r w:rsidR="002852EF">
            <w:instrText xml:space="preserve"> SEQ Table \* ARABIC </w:instrText>
          </w:r>
          <w:r w:rsidR="002852EF">
            <w:fldChar w:fldCharType="separate"/>
          </w:r>
          <w:r w:rsidR="00D94C93">
            <w:rPr>
              <w:noProof/>
            </w:rPr>
            <w:t>1</w:t>
          </w:r>
          <w:r w:rsidR="002852EF">
            <w:rPr>
              <w:noProof/>
            </w:rPr>
            <w:fldChar w:fldCharType="end"/>
          </w:r>
          <w:bookmarkEnd w:id="13"/>
          <w:r>
            <w:rPr>
              <w:noProof/>
            </w:rPr>
            <w:t xml:space="preserve">: </w:t>
          </w:r>
          <w:r w:rsidR="006C7729">
            <w:rPr>
              <w:noProof/>
            </w:rPr>
            <w:t>Major players with interests in both gas and electricity</w:t>
          </w:r>
          <w:r>
            <w:rPr>
              <w:noProof/>
            </w:rPr>
            <w:t>*</w:t>
          </w:r>
        </w:p>
        <w:tbl>
          <w:tblPr>
            <w:tblStyle w:val="AERsummarytable"/>
            <w:tblW w:w="0" w:type="auto"/>
            <w:tblLayout w:type="fixed"/>
            <w:tblLook w:val="04A0" w:firstRow="1" w:lastRow="0" w:firstColumn="1" w:lastColumn="0" w:noHBand="0" w:noVBand="1"/>
          </w:tblPr>
          <w:tblGrid>
            <w:gridCol w:w="1598"/>
            <w:gridCol w:w="1346"/>
            <w:gridCol w:w="1186"/>
            <w:gridCol w:w="1337"/>
            <w:gridCol w:w="1405"/>
            <w:gridCol w:w="1550"/>
          </w:tblGrid>
          <w:tr w:rsidR="00984554" w:rsidRPr="002165D0" w:rsidTr="00984554">
            <w:trPr>
              <w:cnfStyle w:val="100000000000" w:firstRow="1" w:lastRow="0" w:firstColumn="0" w:lastColumn="0" w:oddVBand="0" w:evenVBand="0" w:oddHBand="0" w:evenHBand="0" w:firstRowFirstColumn="0" w:firstRowLastColumn="0" w:lastRowFirstColumn="0" w:lastRowLastColumn="0"/>
              <w:trHeight w:val="374"/>
              <w:tblHeader/>
            </w:trPr>
            <w:tc>
              <w:tcPr>
                <w:tcW w:w="1598" w:type="dxa"/>
                <w:vMerge w:val="restart"/>
                <w:tcBorders>
                  <w:top w:val="nil"/>
                  <w:left w:val="nil"/>
                  <w:right w:val="nil"/>
                </w:tcBorders>
                <w:vAlign w:val="center"/>
              </w:tcPr>
              <w:p w:rsidR="00984554" w:rsidRPr="002165D0" w:rsidRDefault="00984554" w:rsidP="00984554">
                <w:pPr>
                  <w:spacing w:before="60" w:after="60"/>
                  <w:ind w:left="-31" w:right="-108" w:firstLine="10"/>
                  <w:jc w:val="left"/>
                  <w:rPr>
                    <w:sz w:val="20"/>
                    <w:szCs w:val="18"/>
                  </w:rPr>
                </w:pPr>
                <w:r w:rsidRPr="002165D0">
                  <w:rPr>
                    <w:sz w:val="20"/>
                    <w:szCs w:val="18"/>
                  </w:rPr>
                  <w:t>Participant</w:t>
                </w:r>
                <w:r>
                  <w:rPr>
                    <w:sz w:val="20"/>
                    <w:szCs w:val="18"/>
                  </w:rPr>
                  <w:t>*</w:t>
                </w:r>
              </w:p>
            </w:tc>
            <w:tc>
              <w:tcPr>
                <w:tcW w:w="1346" w:type="dxa"/>
                <w:vMerge w:val="restart"/>
                <w:tcBorders>
                  <w:top w:val="nil"/>
                  <w:left w:val="nil"/>
                  <w:right w:val="nil"/>
                </w:tcBorders>
                <w:vAlign w:val="center"/>
              </w:tcPr>
              <w:p w:rsidR="00984554" w:rsidRPr="002165D0" w:rsidRDefault="00984554" w:rsidP="00984554">
                <w:pPr>
                  <w:spacing w:before="60" w:after="60"/>
                  <w:jc w:val="center"/>
                  <w:rPr>
                    <w:sz w:val="20"/>
                    <w:szCs w:val="18"/>
                  </w:rPr>
                </w:pPr>
                <w:r>
                  <w:rPr>
                    <w:sz w:val="20"/>
                    <w:szCs w:val="18"/>
                  </w:rPr>
                  <w:t>Market</w:t>
                </w:r>
              </w:p>
            </w:tc>
            <w:tc>
              <w:tcPr>
                <w:tcW w:w="5478" w:type="dxa"/>
                <w:gridSpan w:val="4"/>
                <w:tcBorders>
                  <w:top w:val="nil"/>
                  <w:left w:val="nil"/>
                  <w:bottom w:val="nil"/>
                  <w:right w:val="nil"/>
                </w:tcBorders>
                <w:vAlign w:val="center"/>
              </w:tcPr>
              <w:p w:rsidR="00984554" w:rsidRDefault="00984554" w:rsidP="00984554">
                <w:pPr>
                  <w:spacing w:before="60" w:after="60"/>
                  <w:jc w:val="center"/>
                  <w:rPr>
                    <w:sz w:val="20"/>
                    <w:szCs w:val="18"/>
                  </w:rPr>
                </w:pPr>
                <w:r w:rsidRPr="002165D0">
                  <w:rPr>
                    <w:sz w:val="20"/>
                    <w:szCs w:val="18"/>
                  </w:rPr>
                  <w:t>National Electricity Market</w:t>
                </w:r>
                <w:r>
                  <w:rPr>
                    <w:sz w:val="20"/>
                    <w:szCs w:val="18"/>
                  </w:rPr>
                  <w:t xml:space="preserve"> </w:t>
                </w:r>
              </w:p>
              <w:p w:rsidR="00984554" w:rsidRDefault="00984554" w:rsidP="00984554">
                <w:pPr>
                  <w:spacing w:before="60" w:after="60"/>
                  <w:jc w:val="center"/>
                  <w:rPr>
                    <w:sz w:val="20"/>
                    <w:szCs w:val="18"/>
                  </w:rPr>
                </w:pPr>
                <w:r>
                  <w:rPr>
                    <w:b w:val="0"/>
                    <w:sz w:val="20"/>
                    <w:szCs w:val="18"/>
                  </w:rPr>
                  <w:t>(Amount of gas fired</w:t>
                </w:r>
                <w:r w:rsidRPr="000B527E">
                  <w:rPr>
                    <w:b w:val="0"/>
                    <w:sz w:val="20"/>
                    <w:szCs w:val="18"/>
                  </w:rPr>
                  <w:t xml:space="preserve"> electricity generation)</w:t>
                </w:r>
              </w:p>
              <w:p w:rsidR="00984554" w:rsidRPr="002165D0" w:rsidRDefault="00984554" w:rsidP="00984554">
                <w:pPr>
                  <w:spacing w:before="60" w:after="60"/>
                  <w:jc w:val="center"/>
                  <w:rPr>
                    <w:sz w:val="20"/>
                    <w:szCs w:val="18"/>
                  </w:rPr>
                </w:pPr>
                <w:r>
                  <w:rPr>
                    <w:sz w:val="20"/>
                    <w:szCs w:val="18"/>
                  </w:rPr>
                  <w:t>G</w:t>
                </w:r>
                <w:r w:rsidRPr="00822DA4">
                  <w:rPr>
                    <w:sz w:val="20"/>
                    <w:szCs w:val="18"/>
                  </w:rPr>
                  <w:t>as market</w:t>
                </w:r>
                <w:r>
                  <w:rPr>
                    <w:sz w:val="20"/>
                    <w:szCs w:val="18"/>
                  </w:rPr>
                  <w:t xml:space="preserve"> Retailer</w:t>
                </w:r>
              </w:p>
            </w:tc>
          </w:tr>
          <w:tr w:rsidR="00984554" w:rsidRPr="002165D0" w:rsidTr="00984554">
            <w:trPr>
              <w:cnfStyle w:val="100000000000" w:firstRow="1" w:lastRow="0" w:firstColumn="0" w:lastColumn="0" w:oddVBand="0" w:evenVBand="0" w:oddHBand="0" w:evenHBand="0" w:firstRowFirstColumn="0" w:firstRowLastColumn="0" w:lastRowFirstColumn="0" w:lastRowLastColumn="0"/>
              <w:trHeight w:val="374"/>
              <w:tblHeader/>
            </w:trPr>
            <w:tc>
              <w:tcPr>
                <w:tcW w:w="1598" w:type="dxa"/>
                <w:vMerge/>
                <w:tcBorders>
                  <w:left w:val="nil"/>
                  <w:bottom w:val="nil"/>
                  <w:right w:val="nil"/>
                </w:tcBorders>
              </w:tcPr>
              <w:p w:rsidR="00984554" w:rsidRPr="002165D0" w:rsidRDefault="00984554" w:rsidP="00984554">
                <w:pPr>
                  <w:spacing w:before="60" w:after="60"/>
                  <w:ind w:left="-31" w:right="-108" w:firstLine="10"/>
                  <w:jc w:val="left"/>
                  <w:rPr>
                    <w:sz w:val="20"/>
                    <w:szCs w:val="18"/>
                  </w:rPr>
                </w:pPr>
              </w:p>
            </w:tc>
            <w:tc>
              <w:tcPr>
                <w:tcW w:w="1346" w:type="dxa"/>
                <w:vMerge/>
                <w:tcBorders>
                  <w:left w:val="nil"/>
                  <w:bottom w:val="nil"/>
                  <w:right w:val="nil"/>
                </w:tcBorders>
              </w:tcPr>
              <w:p w:rsidR="00984554" w:rsidRPr="002165D0" w:rsidRDefault="00984554" w:rsidP="00984554">
                <w:pPr>
                  <w:spacing w:before="60" w:after="60"/>
                  <w:ind w:left="-31" w:right="-108" w:firstLine="10"/>
                  <w:jc w:val="center"/>
                  <w:rPr>
                    <w:sz w:val="20"/>
                    <w:szCs w:val="18"/>
                  </w:rPr>
                </w:pPr>
              </w:p>
            </w:tc>
            <w:tc>
              <w:tcPr>
                <w:tcW w:w="1186" w:type="dxa"/>
                <w:tcBorders>
                  <w:top w:val="nil"/>
                  <w:left w:val="nil"/>
                  <w:bottom w:val="nil"/>
                  <w:right w:val="nil"/>
                </w:tcBorders>
                <w:tcMar>
                  <w:top w:w="0" w:type="dxa"/>
                  <w:left w:w="85" w:type="dxa"/>
                  <w:bottom w:w="0" w:type="dxa"/>
                  <w:right w:w="85" w:type="dxa"/>
                </w:tcMar>
                <w:vAlign w:val="center"/>
              </w:tcPr>
              <w:p w:rsidR="00984554" w:rsidRPr="002165D0" w:rsidRDefault="00984554" w:rsidP="00984554">
                <w:pPr>
                  <w:spacing w:before="60" w:after="60"/>
                  <w:jc w:val="center"/>
                  <w:rPr>
                    <w:sz w:val="20"/>
                    <w:szCs w:val="18"/>
                  </w:rPr>
                </w:pPr>
                <w:r w:rsidRPr="002165D0">
                  <w:rPr>
                    <w:sz w:val="20"/>
                    <w:szCs w:val="18"/>
                  </w:rPr>
                  <w:t>V</w:t>
                </w:r>
                <w:r>
                  <w:rPr>
                    <w:sz w:val="20"/>
                    <w:szCs w:val="18"/>
                  </w:rPr>
                  <w:t>ictoria</w:t>
                </w:r>
              </w:p>
            </w:tc>
            <w:tc>
              <w:tcPr>
                <w:tcW w:w="1337" w:type="dxa"/>
                <w:tcBorders>
                  <w:top w:val="nil"/>
                  <w:left w:val="nil"/>
                  <w:bottom w:val="nil"/>
                  <w:right w:val="nil"/>
                </w:tcBorders>
                <w:tcMar>
                  <w:top w:w="0" w:type="dxa"/>
                  <w:left w:w="85" w:type="dxa"/>
                  <w:bottom w:w="0" w:type="dxa"/>
                  <w:right w:w="85" w:type="dxa"/>
                </w:tcMar>
                <w:vAlign w:val="center"/>
              </w:tcPr>
              <w:p w:rsidR="00984554" w:rsidRPr="002165D0" w:rsidRDefault="00984554" w:rsidP="00984554">
                <w:pPr>
                  <w:spacing w:before="60" w:after="60"/>
                  <w:jc w:val="center"/>
                  <w:rPr>
                    <w:sz w:val="20"/>
                    <w:szCs w:val="18"/>
                  </w:rPr>
                </w:pPr>
                <w:r w:rsidRPr="002165D0">
                  <w:rPr>
                    <w:sz w:val="20"/>
                    <w:szCs w:val="18"/>
                  </w:rPr>
                  <w:t>SA</w:t>
                </w:r>
                <w:r>
                  <w:rPr>
                    <w:sz w:val="20"/>
                    <w:szCs w:val="18"/>
                  </w:rPr>
                  <w:t>/Adelaide</w:t>
                </w:r>
              </w:p>
            </w:tc>
            <w:tc>
              <w:tcPr>
                <w:tcW w:w="1405" w:type="dxa"/>
                <w:tcBorders>
                  <w:top w:val="nil"/>
                  <w:left w:val="nil"/>
                  <w:bottom w:val="nil"/>
                  <w:right w:val="nil"/>
                </w:tcBorders>
                <w:tcMar>
                  <w:top w:w="0" w:type="dxa"/>
                  <w:left w:w="85" w:type="dxa"/>
                  <w:bottom w:w="0" w:type="dxa"/>
                  <w:right w:w="85" w:type="dxa"/>
                </w:tcMar>
                <w:vAlign w:val="center"/>
              </w:tcPr>
              <w:p w:rsidR="00984554" w:rsidRPr="002165D0" w:rsidRDefault="00984554" w:rsidP="00984554">
                <w:pPr>
                  <w:spacing w:before="60" w:after="60"/>
                  <w:jc w:val="center"/>
                  <w:rPr>
                    <w:sz w:val="20"/>
                    <w:szCs w:val="18"/>
                  </w:rPr>
                </w:pPr>
                <w:r w:rsidRPr="002165D0">
                  <w:rPr>
                    <w:sz w:val="20"/>
                    <w:szCs w:val="18"/>
                  </w:rPr>
                  <w:t>NSW</w:t>
                </w:r>
                <w:r>
                  <w:rPr>
                    <w:sz w:val="20"/>
                    <w:szCs w:val="18"/>
                  </w:rPr>
                  <w:t>/Sydney</w:t>
                </w:r>
              </w:p>
            </w:tc>
            <w:tc>
              <w:tcPr>
                <w:tcW w:w="1550" w:type="dxa"/>
                <w:tcBorders>
                  <w:top w:val="nil"/>
                  <w:left w:val="nil"/>
                  <w:bottom w:val="nil"/>
                  <w:right w:val="nil"/>
                </w:tcBorders>
                <w:vAlign w:val="center"/>
              </w:tcPr>
              <w:p w:rsidR="00984554" w:rsidRPr="002165D0" w:rsidRDefault="00984554" w:rsidP="00984554">
                <w:pPr>
                  <w:spacing w:before="60" w:after="60"/>
                  <w:jc w:val="center"/>
                  <w:rPr>
                    <w:sz w:val="20"/>
                    <w:szCs w:val="18"/>
                  </w:rPr>
                </w:pPr>
                <w:r w:rsidRPr="002165D0">
                  <w:rPr>
                    <w:sz w:val="20"/>
                    <w:szCs w:val="18"/>
                  </w:rPr>
                  <w:t>QLD</w:t>
                </w:r>
                <w:r>
                  <w:rPr>
                    <w:sz w:val="20"/>
                    <w:szCs w:val="18"/>
                  </w:rPr>
                  <w:t>/Brisbane</w:t>
                </w:r>
              </w:p>
            </w:tc>
          </w:tr>
          <w:tr w:rsidR="00984554" w:rsidRPr="002165D0" w:rsidTr="00984554">
            <w:trPr>
              <w:cnfStyle w:val="000000100000" w:firstRow="0" w:lastRow="0" w:firstColumn="0" w:lastColumn="0" w:oddVBand="0" w:evenVBand="0" w:oddHBand="1" w:evenHBand="0" w:firstRowFirstColumn="0" w:firstRowLastColumn="0" w:lastRowFirstColumn="0" w:lastRowLastColumn="0"/>
              <w:trHeight w:val="657"/>
            </w:trPr>
            <w:tc>
              <w:tcPr>
                <w:tcW w:w="1598" w:type="dxa"/>
                <w:tcBorders>
                  <w:top w:val="nil"/>
                  <w:left w:val="nil"/>
                  <w:bottom w:val="nil"/>
                  <w:right w:val="nil"/>
                </w:tcBorders>
                <w:vAlign w:val="center"/>
              </w:tcPr>
              <w:p w:rsidR="00984554" w:rsidRPr="002165D0" w:rsidRDefault="00984554" w:rsidP="00984554">
                <w:pPr>
                  <w:spacing w:before="60" w:after="60"/>
                  <w:rPr>
                    <w:rFonts w:asciiTheme="minorHAnsi" w:hAnsiTheme="minorHAnsi" w:cstheme="minorHAnsi"/>
                    <w:b/>
                    <w:color w:val="000000"/>
                    <w:szCs w:val="18"/>
                  </w:rPr>
                </w:pPr>
                <w:r w:rsidRPr="002165D0">
                  <w:rPr>
                    <w:rFonts w:asciiTheme="minorHAnsi" w:hAnsiTheme="minorHAnsi" w:cstheme="minorHAnsi"/>
                    <w:b/>
                    <w:color w:val="000000"/>
                    <w:szCs w:val="18"/>
                  </w:rPr>
                  <w:t>AGL</w:t>
                </w:r>
              </w:p>
            </w:tc>
            <w:tc>
              <w:tcPr>
                <w:tcW w:w="134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NEM Gas</w:t>
                </w:r>
              </w:p>
              <w:p w:rsidR="00984554" w:rsidRPr="002165D0"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Gas retail</w:t>
                </w:r>
              </w:p>
            </w:tc>
            <w:tc>
              <w:tcPr>
                <w:tcW w:w="118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162 MW</w:t>
                </w:r>
              </w:p>
              <w:p w:rsidR="00984554" w:rsidRPr="002165D0"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337"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sidRPr="002165D0">
                  <w:rPr>
                    <w:rFonts w:asciiTheme="minorHAnsi" w:hAnsiTheme="minorHAnsi" w:cstheme="minorHAnsi"/>
                    <w:color w:val="000000"/>
                    <w:szCs w:val="18"/>
                  </w:rPr>
                  <w:t>1280</w:t>
                </w:r>
                <w:r>
                  <w:rPr>
                    <w:rFonts w:asciiTheme="minorHAnsi" w:hAnsiTheme="minorHAnsi" w:cstheme="minorHAnsi"/>
                    <w:color w:val="000000"/>
                    <w:szCs w:val="18"/>
                  </w:rPr>
                  <w:t> </w:t>
                </w:r>
                <w:r w:rsidRPr="002165D0">
                  <w:rPr>
                    <w:rFonts w:asciiTheme="minorHAnsi" w:hAnsiTheme="minorHAnsi" w:cstheme="minorHAnsi"/>
                    <w:color w:val="000000"/>
                    <w:szCs w:val="18"/>
                  </w:rPr>
                  <w:t>MW</w:t>
                </w:r>
              </w:p>
              <w:p w:rsidR="00984554" w:rsidRPr="002165D0"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405"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No</w:t>
                </w:r>
              </w:p>
              <w:p w:rsidR="00984554" w:rsidRPr="002165D0"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550"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sidRPr="002165D0">
                  <w:rPr>
                    <w:rFonts w:asciiTheme="minorHAnsi" w:hAnsiTheme="minorHAnsi" w:cstheme="minorHAnsi"/>
                    <w:color w:val="000000"/>
                    <w:szCs w:val="18"/>
                  </w:rPr>
                  <w:t>243</w:t>
                </w:r>
                <w:r>
                  <w:rPr>
                    <w:rFonts w:asciiTheme="minorHAnsi" w:hAnsiTheme="minorHAnsi" w:cstheme="minorHAnsi"/>
                    <w:color w:val="000000"/>
                    <w:szCs w:val="18"/>
                  </w:rPr>
                  <w:t> </w:t>
                </w:r>
                <w:r w:rsidRPr="002165D0">
                  <w:rPr>
                    <w:rFonts w:asciiTheme="minorHAnsi" w:hAnsiTheme="minorHAnsi" w:cstheme="minorHAnsi"/>
                    <w:color w:val="000000"/>
                    <w:szCs w:val="18"/>
                  </w:rPr>
                  <w:t>MW</w:t>
                </w:r>
              </w:p>
              <w:p w:rsidR="00984554" w:rsidRPr="002165D0"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r>
          <w:tr w:rsidR="00984554" w:rsidRPr="00414345" w:rsidTr="00984554">
            <w:trPr>
              <w:cnfStyle w:val="000000010000" w:firstRow="0" w:lastRow="0" w:firstColumn="0" w:lastColumn="0" w:oddVBand="0" w:evenVBand="0" w:oddHBand="0" w:evenHBand="1" w:firstRowFirstColumn="0" w:firstRowLastColumn="0" w:lastRowFirstColumn="0" w:lastRowLastColumn="0"/>
              <w:trHeight w:val="711"/>
            </w:trPr>
            <w:tc>
              <w:tcPr>
                <w:tcW w:w="1598" w:type="dxa"/>
                <w:tcBorders>
                  <w:top w:val="nil"/>
                  <w:left w:val="nil"/>
                  <w:bottom w:val="nil"/>
                  <w:right w:val="nil"/>
                </w:tcBorders>
                <w:vAlign w:val="center"/>
              </w:tcPr>
              <w:p w:rsidR="00984554" w:rsidRPr="002165D0" w:rsidRDefault="00984554" w:rsidP="00984554">
                <w:pPr>
                  <w:spacing w:before="60" w:after="60"/>
                  <w:rPr>
                    <w:rFonts w:asciiTheme="minorHAnsi" w:hAnsiTheme="minorHAnsi" w:cstheme="minorHAnsi"/>
                    <w:b/>
                    <w:color w:val="000000"/>
                    <w:szCs w:val="18"/>
                  </w:rPr>
                </w:pPr>
                <w:r>
                  <w:rPr>
                    <w:rFonts w:asciiTheme="minorHAnsi" w:hAnsiTheme="minorHAnsi" w:cstheme="minorHAnsi"/>
                    <w:b/>
                    <w:color w:val="000000"/>
                    <w:szCs w:val="18"/>
                  </w:rPr>
                  <w:t>EnergyAustralia</w:t>
                </w:r>
              </w:p>
            </w:tc>
            <w:tc>
              <w:tcPr>
                <w:tcW w:w="134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NEM Gas</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Gas retail</w:t>
                </w:r>
              </w:p>
            </w:tc>
            <w:tc>
              <w:tcPr>
                <w:tcW w:w="118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No</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337"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206 MW</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405"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460 MW</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550"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N/A</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No</w:t>
                </w:r>
              </w:p>
            </w:tc>
          </w:tr>
          <w:tr w:rsidR="00984554" w:rsidRPr="00414345" w:rsidTr="00984554">
            <w:trPr>
              <w:cnfStyle w:val="000000100000" w:firstRow="0" w:lastRow="0" w:firstColumn="0" w:lastColumn="0" w:oddVBand="0" w:evenVBand="0" w:oddHBand="1" w:evenHBand="0" w:firstRowFirstColumn="0" w:firstRowLastColumn="0" w:lastRowFirstColumn="0" w:lastRowLastColumn="0"/>
              <w:trHeight w:val="705"/>
            </w:trPr>
            <w:tc>
              <w:tcPr>
                <w:tcW w:w="1598" w:type="dxa"/>
                <w:tcBorders>
                  <w:top w:val="nil"/>
                  <w:left w:val="nil"/>
                  <w:bottom w:val="nil"/>
                  <w:right w:val="nil"/>
                </w:tcBorders>
                <w:vAlign w:val="center"/>
              </w:tcPr>
              <w:p w:rsidR="00984554" w:rsidRPr="002165D0" w:rsidRDefault="00984554" w:rsidP="00984554">
                <w:pPr>
                  <w:spacing w:before="60" w:after="60"/>
                  <w:rPr>
                    <w:rFonts w:asciiTheme="minorHAnsi" w:hAnsiTheme="minorHAnsi" w:cstheme="minorHAnsi"/>
                    <w:b/>
                    <w:color w:val="000000"/>
                    <w:szCs w:val="18"/>
                  </w:rPr>
                </w:pPr>
                <w:r>
                  <w:rPr>
                    <w:rFonts w:asciiTheme="minorHAnsi" w:hAnsiTheme="minorHAnsi" w:cstheme="minorHAnsi"/>
                    <w:b/>
                    <w:color w:val="000000"/>
                    <w:szCs w:val="18"/>
                  </w:rPr>
                  <w:t>Engie</w:t>
                </w:r>
              </w:p>
            </w:tc>
            <w:tc>
              <w:tcPr>
                <w:tcW w:w="134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NEM Gas</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Gas retail</w:t>
                </w:r>
              </w:p>
            </w:tc>
            <w:tc>
              <w:tcPr>
                <w:tcW w:w="1186"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No</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337" w:type="dxa"/>
                <w:tcBorders>
                  <w:top w:val="nil"/>
                  <w:left w:val="nil"/>
                  <w:bottom w:val="nil"/>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465 MW</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405" w:type="dxa"/>
                <w:tcBorders>
                  <w:top w:val="nil"/>
                  <w:left w:val="nil"/>
                  <w:bottom w:val="nil"/>
                  <w:right w:val="nil"/>
                </w:tcBorders>
                <w:vAlign w:val="center"/>
              </w:tcPr>
              <w:p w:rsidR="00984554" w:rsidRPr="00414345" w:rsidRDefault="00984554" w:rsidP="00984554">
                <w:pPr>
                  <w:spacing w:before="60" w:after="60"/>
                  <w:jc w:val="left"/>
                  <w:rPr>
                    <w:rFonts w:asciiTheme="minorHAnsi" w:hAnsiTheme="minorHAnsi" w:cstheme="minorHAnsi"/>
                    <w:color w:val="000000"/>
                    <w:szCs w:val="18"/>
                  </w:rPr>
                </w:pPr>
                <w:r w:rsidRPr="009377F6">
                  <w:rPr>
                    <w:rFonts w:asciiTheme="minorHAnsi" w:hAnsiTheme="minorHAnsi" w:cstheme="minorHAnsi"/>
                    <w:color w:val="000000"/>
                    <w:szCs w:val="18"/>
                  </w:rPr>
                  <w:t>N</w:t>
                </w:r>
                <w:r>
                  <w:rPr>
                    <w:rFonts w:asciiTheme="minorHAnsi" w:hAnsiTheme="minorHAnsi" w:cstheme="minorHAnsi"/>
                    <w:color w:val="000000"/>
                    <w:szCs w:val="18"/>
                  </w:rPr>
                  <w:t>o</w:t>
                </w:r>
              </w:p>
            </w:tc>
            <w:tc>
              <w:tcPr>
                <w:tcW w:w="1550" w:type="dxa"/>
                <w:tcBorders>
                  <w:top w:val="nil"/>
                  <w:left w:val="nil"/>
                  <w:bottom w:val="nil"/>
                  <w:right w:val="nil"/>
                </w:tcBorders>
                <w:vAlign w:val="center"/>
              </w:tcPr>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No</w:t>
                </w:r>
              </w:p>
            </w:tc>
          </w:tr>
          <w:tr w:rsidR="00984554" w:rsidRPr="00414345" w:rsidTr="00984554">
            <w:trPr>
              <w:cnfStyle w:val="000000010000" w:firstRow="0" w:lastRow="0" w:firstColumn="0" w:lastColumn="0" w:oddVBand="0" w:evenVBand="0" w:oddHBand="0" w:evenHBand="1" w:firstRowFirstColumn="0" w:firstRowLastColumn="0" w:lastRowFirstColumn="0" w:lastRowLastColumn="0"/>
              <w:trHeight w:val="374"/>
            </w:trPr>
            <w:tc>
              <w:tcPr>
                <w:tcW w:w="1598" w:type="dxa"/>
                <w:tcBorders>
                  <w:top w:val="nil"/>
                  <w:left w:val="nil"/>
                  <w:bottom w:val="single" w:sz="4" w:space="0" w:color="auto"/>
                  <w:right w:val="nil"/>
                </w:tcBorders>
                <w:vAlign w:val="center"/>
              </w:tcPr>
              <w:p w:rsidR="00984554" w:rsidRPr="002165D0" w:rsidRDefault="00984554" w:rsidP="00984554">
                <w:pPr>
                  <w:spacing w:before="60" w:after="60"/>
                  <w:rPr>
                    <w:rFonts w:asciiTheme="minorHAnsi" w:hAnsiTheme="minorHAnsi" w:cstheme="minorHAnsi"/>
                    <w:b/>
                    <w:color w:val="000000"/>
                    <w:szCs w:val="18"/>
                  </w:rPr>
                </w:pPr>
                <w:r>
                  <w:rPr>
                    <w:rFonts w:asciiTheme="minorHAnsi" w:hAnsiTheme="minorHAnsi" w:cstheme="minorHAnsi"/>
                    <w:b/>
                    <w:color w:val="000000"/>
                    <w:szCs w:val="18"/>
                  </w:rPr>
                  <w:t>Origin</w:t>
                </w:r>
              </w:p>
            </w:tc>
            <w:tc>
              <w:tcPr>
                <w:tcW w:w="1346" w:type="dxa"/>
                <w:tcBorders>
                  <w:top w:val="nil"/>
                  <w:left w:val="nil"/>
                  <w:bottom w:val="single" w:sz="4" w:space="0" w:color="auto"/>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NEM Gas</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Gas retail</w:t>
                </w:r>
              </w:p>
            </w:tc>
            <w:tc>
              <w:tcPr>
                <w:tcW w:w="1186" w:type="dxa"/>
                <w:tcBorders>
                  <w:top w:val="nil"/>
                  <w:left w:val="nil"/>
                  <w:bottom w:val="single" w:sz="4" w:space="0" w:color="auto"/>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584 MW</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337" w:type="dxa"/>
                <w:tcBorders>
                  <w:top w:val="nil"/>
                  <w:left w:val="nil"/>
                  <w:bottom w:val="single" w:sz="4" w:space="0" w:color="auto"/>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484 MW</w:t>
                </w:r>
              </w:p>
              <w:p w:rsidR="00984554" w:rsidRPr="00414345"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405" w:type="dxa"/>
                <w:tcBorders>
                  <w:top w:val="nil"/>
                  <w:left w:val="nil"/>
                  <w:bottom w:val="single" w:sz="4" w:space="0" w:color="auto"/>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664 MW</w:t>
                </w:r>
              </w:p>
              <w:p w:rsidR="00E96144" w:rsidRPr="00414345" w:rsidRDefault="00E9614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c>
              <w:tcPr>
                <w:tcW w:w="1550" w:type="dxa"/>
                <w:tcBorders>
                  <w:top w:val="nil"/>
                  <w:left w:val="nil"/>
                  <w:bottom w:val="single" w:sz="4" w:space="0" w:color="auto"/>
                  <w:right w:val="nil"/>
                </w:tcBorders>
              </w:tcPr>
              <w:p w:rsidR="00984554" w:rsidRDefault="0098455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724 MW</w:t>
                </w:r>
              </w:p>
              <w:p w:rsidR="00E96144" w:rsidRPr="00414345" w:rsidRDefault="00E96144" w:rsidP="00984554">
                <w:pPr>
                  <w:spacing w:before="60" w:after="60"/>
                  <w:jc w:val="left"/>
                  <w:rPr>
                    <w:rFonts w:asciiTheme="minorHAnsi" w:hAnsiTheme="minorHAnsi" w:cstheme="minorHAnsi"/>
                    <w:color w:val="000000"/>
                    <w:szCs w:val="18"/>
                  </w:rPr>
                </w:pPr>
                <w:r>
                  <w:rPr>
                    <w:rFonts w:asciiTheme="minorHAnsi" w:hAnsiTheme="minorHAnsi" w:cstheme="minorHAnsi"/>
                    <w:color w:val="000000"/>
                    <w:szCs w:val="18"/>
                  </w:rPr>
                  <w:t>Yes</w:t>
                </w:r>
              </w:p>
            </w:tc>
          </w:tr>
        </w:tbl>
        <w:p w:rsidR="00984554" w:rsidRPr="002E031B" w:rsidRDefault="00984554" w:rsidP="00984554">
          <w:r w:rsidRPr="003A42A4">
            <w:rPr>
              <w:sz w:val="18"/>
              <w:szCs w:val="18"/>
            </w:rPr>
            <w:t>*</w:t>
          </w:r>
          <w:r w:rsidR="00244125">
            <w:rPr>
              <w:sz w:val="18"/>
              <w:szCs w:val="18"/>
            </w:rPr>
            <w:t xml:space="preserve"> Not showing all participants</w:t>
          </w:r>
          <w:r w:rsidR="006C7729">
            <w:rPr>
              <w:sz w:val="18"/>
              <w:szCs w:val="18"/>
            </w:rPr>
            <w:t xml:space="preserve"> across the east coast energy markets</w:t>
          </w:r>
          <w:r w:rsidR="00244125">
            <w:rPr>
              <w:sz w:val="18"/>
              <w:szCs w:val="18"/>
            </w:rPr>
            <w:t xml:space="preserve">. </w:t>
          </w:r>
          <w:r w:rsidRPr="003A42A4">
            <w:rPr>
              <w:sz w:val="18"/>
              <w:szCs w:val="18"/>
            </w:rPr>
            <w:t xml:space="preserve">Engie’s </w:t>
          </w:r>
          <w:r w:rsidR="00E63C91">
            <w:rPr>
              <w:sz w:val="18"/>
              <w:szCs w:val="18"/>
            </w:rPr>
            <w:t>NEM g</w:t>
          </w:r>
          <w:r w:rsidR="0036573A" w:rsidRPr="0036573A">
            <w:rPr>
              <w:sz w:val="18"/>
              <w:szCs w:val="18"/>
            </w:rPr>
            <w:t>as value reflects reduced output from Pelican Point Power Station</w:t>
          </w:r>
          <w:r w:rsidR="00E63C91">
            <w:rPr>
              <w:sz w:val="18"/>
              <w:szCs w:val="18"/>
            </w:rPr>
            <w:t>, which</w:t>
          </w:r>
          <w:r>
            <w:rPr>
              <w:sz w:val="18"/>
              <w:szCs w:val="18"/>
            </w:rPr>
            <w:t xml:space="preserve"> only has 1 of 2 units at Pelican Point Power Station in operation as per availability information provided to the market operator. Information provided by industry participants confirmed that although some generators can run on alternative fuels, the vast majority of energy generated by gas-fired generators this winter used gas as a fuel source.</w:t>
          </w:r>
        </w:p>
        <w:p w:rsidR="002433A1" w:rsidRPr="00990DD8" w:rsidRDefault="002433A1" w:rsidP="00990DD8">
          <w:pPr>
            <w:pStyle w:val="Heading6notnumbered"/>
            <w:rPr>
              <w:iCs w:val="0"/>
            </w:rPr>
          </w:pPr>
          <w:bookmarkStart w:id="14" w:name="_Ref459647023"/>
          <w:bookmarkStart w:id="15" w:name="_Ref459648098"/>
          <w:bookmarkStart w:id="16" w:name="_Ref459648105"/>
          <w:r w:rsidRPr="00990DD8">
            <w:rPr>
              <w:iCs w:val="0"/>
            </w:rPr>
            <w:t>LNG export markets</w:t>
          </w:r>
        </w:p>
        <w:p w:rsidR="00751EA6" w:rsidRDefault="00751EA6" w:rsidP="00751EA6">
          <w:r>
            <w:t xml:space="preserve">In late 2014, </w:t>
          </w:r>
          <w:r w:rsidR="007079A7">
            <w:t xml:space="preserve">gas </w:t>
          </w:r>
          <w:r>
            <w:t xml:space="preserve">production in Roma began ramping up to cater for </w:t>
          </w:r>
          <w:r w:rsidR="003F01D3">
            <w:t xml:space="preserve">three </w:t>
          </w:r>
          <w:r>
            <w:t>new LNG export projects coming online at Curtis Island near Gladstone</w:t>
          </w:r>
          <w:r w:rsidR="003F01D3">
            <w:t>. These export projects have progressively brought online their first and second export ‘trains’ with the last and sixth train</w:t>
          </w:r>
          <w:r w:rsidR="007079A7">
            <w:t>, owned by APLNG,</w:t>
          </w:r>
          <w:r w:rsidR="003F01D3">
            <w:t xml:space="preserve"> shipping its first cargo in October 2016. Accordingly,</w:t>
          </w:r>
          <w:r>
            <w:t xml:space="preserve"> the level of demand has steadily grown and is now around three times the level of previous consumption despite falling local demand for gas in Queensland.</w:t>
          </w:r>
        </w:p>
        <w:p w:rsidR="008F01EF" w:rsidRDefault="00AD4BE9" w:rsidP="00751EA6">
          <w:r>
            <w:fldChar w:fldCharType="begin"/>
          </w:r>
          <w:r>
            <w:instrText xml:space="preserve"> REF _Ref464489556 \h </w:instrText>
          </w:r>
          <w:r>
            <w:fldChar w:fldCharType="separate"/>
          </w:r>
          <w:r w:rsidR="00D94C93">
            <w:t>Figure </w:t>
          </w:r>
          <w:r w:rsidR="00D94C93">
            <w:rPr>
              <w:noProof/>
            </w:rPr>
            <w:t>2</w:t>
          </w:r>
          <w:r>
            <w:fldChar w:fldCharType="end"/>
          </w:r>
          <w:r w:rsidR="00751EA6">
            <w:t xml:space="preserve"> shows the change in gas consumption patterns in Queensland</w:t>
          </w:r>
          <w:r w:rsidR="00BF2DF7">
            <w:t xml:space="preserve"> </w:t>
          </w:r>
          <w:r w:rsidR="00751EA6">
            <w:t>from 2014.</w:t>
          </w:r>
          <w:r w:rsidR="00BF2DF7">
            <w:t xml:space="preserve"> The increase in LNG exports has led to gas flowing in the direction of the LNG export projects </w:t>
          </w:r>
          <w:r w:rsidR="003F01D3">
            <w:t xml:space="preserve">(Moomba to Ballera) in 2016 </w:t>
          </w:r>
          <w:r w:rsidR="00BF2DF7">
            <w:t>whereas previously</w:t>
          </w:r>
          <w:r w:rsidR="003C0BAD">
            <w:t>,</w:t>
          </w:r>
          <w:r w:rsidR="00BF2DF7">
            <w:t xml:space="preserve"> and in the early stages of commissioning of the LNG trains</w:t>
          </w:r>
          <w:r w:rsidR="003C0BAD">
            <w:t>,</w:t>
          </w:r>
          <w:r w:rsidR="00BF2DF7">
            <w:t xml:space="preserve"> more Queensland gas was flowing </w:t>
          </w:r>
          <w:r w:rsidR="003F01D3">
            <w:t xml:space="preserve">to </w:t>
          </w:r>
          <w:r w:rsidR="00BF2DF7">
            <w:t>Southern markets</w:t>
          </w:r>
          <w:r w:rsidR="003F01D3">
            <w:t xml:space="preserve"> (Ballera to Moomba)</w:t>
          </w:r>
          <w:r w:rsidR="00BF2DF7">
            <w:t xml:space="preserve">. </w:t>
          </w:r>
          <w:r w:rsidR="008F01EF">
            <w:t>Given domestic supply is largely unchanged, this increase in demand applies upwards pressure on prices.</w:t>
          </w:r>
        </w:p>
        <w:p w:rsidR="00751EA6" w:rsidRPr="00C96478" w:rsidRDefault="00751EA6" w:rsidP="00751EA6">
          <w:pPr>
            <w:pStyle w:val="Caption"/>
          </w:pPr>
          <w:bookmarkStart w:id="17" w:name="_Ref464489556"/>
          <w:r>
            <w:t>Figure </w:t>
          </w:r>
          <w:r w:rsidR="002852EF">
            <w:fldChar w:fldCharType="begin"/>
          </w:r>
          <w:r w:rsidR="002852EF">
            <w:instrText xml:space="preserve"> SEQ Figure \* ARABIC </w:instrText>
          </w:r>
          <w:r w:rsidR="002852EF">
            <w:fldChar w:fldCharType="separate"/>
          </w:r>
          <w:r w:rsidR="00D94C93">
            <w:rPr>
              <w:noProof/>
            </w:rPr>
            <w:t>2</w:t>
          </w:r>
          <w:r w:rsidR="002852EF">
            <w:rPr>
              <w:noProof/>
            </w:rPr>
            <w:fldChar w:fldCharType="end"/>
          </w:r>
          <w:bookmarkEnd w:id="17"/>
          <w:r>
            <w:t>: Queensland gas consumption by type</w:t>
          </w:r>
        </w:p>
        <w:p w:rsidR="00751EA6" w:rsidRDefault="00751EA6" w:rsidP="00751EA6">
          <w:r w:rsidRPr="00922D11">
            <w:rPr>
              <w:noProof/>
              <w:lang w:eastAsia="en-AU"/>
            </w:rPr>
            <w:drawing>
              <wp:inline distT="0" distB="0" distL="0" distR="0" wp14:anchorId="2019D789" wp14:editId="1A6E54E6">
                <wp:extent cx="5382895" cy="3713877"/>
                <wp:effectExtent l="0" t="0" r="8255" b="0"/>
                <wp:docPr id="57" name="Picture 57" descr="Figure 2 shows the change in gas consumption patterns in Queensland from 2014. The figure displays interstate gas flows, gas consumption (including commercial/industrial and gas-fired generation usage) and the significant increase in gas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713877"/>
                        </a:xfrm>
                        <a:prstGeom prst="rect">
                          <a:avLst/>
                        </a:prstGeom>
                        <a:noFill/>
                        <a:ln>
                          <a:noFill/>
                        </a:ln>
                      </pic:spPr>
                    </pic:pic>
                  </a:graphicData>
                </a:graphic>
              </wp:inline>
            </w:drawing>
          </w:r>
        </w:p>
        <w:p w:rsidR="00751EA6" w:rsidRPr="00EC0EB1" w:rsidRDefault="00751EA6" w:rsidP="00751EA6">
          <w:pPr>
            <w:spacing w:before="0"/>
            <w:rPr>
              <w:noProof/>
              <w:sz w:val="18"/>
              <w:szCs w:val="18"/>
            </w:rPr>
          </w:pPr>
          <w:r w:rsidRPr="00EC0EB1">
            <w:rPr>
              <w:noProof/>
              <w:sz w:val="18"/>
              <w:szCs w:val="18"/>
            </w:rPr>
            <w:t xml:space="preserve">Source: Energy Edge - </w:t>
          </w:r>
          <w:r>
            <w:rPr>
              <w:noProof/>
              <w:sz w:val="18"/>
              <w:szCs w:val="18"/>
            </w:rPr>
            <w:t>Gas Market Analysis Tool</w:t>
          </w:r>
        </w:p>
        <w:p w:rsidR="00751EA6" w:rsidRPr="00FD477D" w:rsidRDefault="00751EA6" w:rsidP="00751EA6">
          <w:pPr>
            <w:pStyle w:val="ListBullet"/>
            <w:numPr>
              <w:ilvl w:val="0"/>
              <w:numId w:val="0"/>
            </w:numPr>
            <w:spacing w:before="200"/>
            <w:rPr>
              <w:sz w:val="18"/>
              <w:szCs w:val="18"/>
            </w:rPr>
          </w:pPr>
          <w:r>
            <w:rPr>
              <w:sz w:val="18"/>
              <w:szCs w:val="18"/>
            </w:rPr>
            <w:t>LNG export demand factors and their interaction with local supply are discussed later in section </w:t>
          </w:r>
          <w:r w:rsidR="00D94C93">
            <w:rPr>
              <w:sz w:val="18"/>
              <w:szCs w:val="18"/>
            </w:rPr>
            <w:fldChar w:fldCharType="begin"/>
          </w:r>
          <w:r w:rsidR="00D94C93">
            <w:rPr>
              <w:sz w:val="18"/>
              <w:szCs w:val="18"/>
            </w:rPr>
            <w:instrText xml:space="preserve"> REF _Ref466892506 \r \h </w:instrText>
          </w:r>
          <w:r w:rsidR="00D94C93">
            <w:rPr>
              <w:sz w:val="18"/>
              <w:szCs w:val="18"/>
            </w:rPr>
          </w:r>
          <w:r w:rsidR="00D94C93">
            <w:rPr>
              <w:sz w:val="18"/>
              <w:szCs w:val="18"/>
            </w:rPr>
            <w:fldChar w:fldCharType="separate"/>
          </w:r>
          <w:r w:rsidR="00D94C93">
            <w:rPr>
              <w:sz w:val="18"/>
              <w:szCs w:val="18"/>
            </w:rPr>
            <w:t>2.3</w:t>
          </w:r>
          <w:r w:rsidR="00D94C93">
            <w:rPr>
              <w:sz w:val="18"/>
              <w:szCs w:val="18"/>
            </w:rPr>
            <w:fldChar w:fldCharType="end"/>
          </w:r>
          <w:r>
            <w:rPr>
              <w:sz w:val="18"/>
              <w:szCs w:val="18"/>
            </w:rPr>
            <w:t>.</w:t>
          </w:r>
        </w:p>
        <w:p w:rsidR="00EC0EB1" w:rsidRPr="002433A1" w:rsidRDefault="00EC0EB1" w:rsidP="00751EA6">
          <w:pPr>
            <w:spacing w:beforeLines="200" w:before="480"/>
          </w:pPr>
        </w:p>
        <w:p w:rsidR="00C55FDC" w:rsidRPr="00137954" w:rsidRDefault="00D24776" w:rsidP="00BC5516">
          <w:pPr>
            <w:pStyle w:val="Heading1"/>
            <w:spacing w:before="0"/>
            <w:ind w:left="431" w:hanging="431"/>
          </w:pPr>
          <w:bookmarkStart w:id="18" w:name="_Ref465862956"/>
          <w:bookmarkStart w:id="19" w:name="_Toc466896981"/>
          <w:r w:rsidRPr="00137954">
            <w:t>Marke</w:t>
          </w:r>
          <w:r w:rsidR="0006378A" w:rsidRPr="00137954">
            <w:t>t conditions across winter 2016</w:t>
          </w:r>
          <w:bookmarkEnd w:id="14"/>
          <w:bookmarkEnd w:id="15"/>
          <w:bookmarkEnd w:id="16"/>
          <w:bookmarkEnd w:id="18"/>
          <w:bookmarkEnd w:id="19"/>
        </w:p>
        <w:p w:rsidR="00A67F8B" w:rsidRPr="00137954" w:rsidRDefault="00D24776" w:rsidP="00A67F8B">
          <w:r w:rsidRPr="00137954">
            <w:t xml:space="preserve">This section sets out the overall market conditions </w:t>
          </w:r>
          <w:r w:rsidR="0062303E">
            <w:t>during</w:t>
          </w:r>
          <w:r w:rsidR="0062303E" w:rsidRPr="00137954">
            <w:t xml:space="preserve"> </w:t>
          </w:r>
          <w:r w:rsidR="00462149" w:rsidRPr="00137954">
            <w:t>winter 2016</w:t>
          </w:r>
          <w:r w:rsidR="00777EE9" w:rsidRPr="00137954">
            <w:t xml:space="preserve"> </w:t>
          </w:r>
          <w:r w:rsidR="00223138" w:rsidRPr="00137954">
            <w:t>with a particular</w:t>
          </w:r>
          <w:r w:rsidR="00612CDA" w:rsidRPr="00137954">
            <w:t xml:space="preserve"> focus on the </w:t>
          </w:r>
          <w:r w:rsidR="00777EE9" w:rsidRPr="00137954">
            <w:t>supply and demand factors that contributed to the high prices</w:t>
          </w:r>
          <w:r w:rsidR="00D44525" w:rsidRPr="00137954">
            <w:t xml:space="preserve"> in July</w:t>
          </w:r>
          <w:r w:rsidR="008D2CC1" w:rsidRPr="00137954">
            <w:t xml:space="preserve"> and August</w:t>
          </w:r>
          <w:r w:rsidR="00462149" w:rsidRPr="00137954">
            <w:t>.</w:t>
          </w:r>
          <w:r w:rsidRPr="00137954">
            <w:t xml:space="preserve"> </w:t>
          </w:r>
          <w:bookmarkStart w:id="20" w:name="_Ref459032640"/>
        </w:p>
        <w:p w:rsidR="006C2BAC" w:rsidRDefault="00587F96" w:rsidP="0069250E">
          <w:pPr>
            <w:pStyle w:val="Heading2"/>
          </w:pPr>
          <w:bookmarkStart w:id="21" w:name="_Toc466896982"/>
          <w:bookmarkStart w:id="22" w:name="_Toc459989987"/>
          <w:bookmarkStart w:id="23" w:name="_Ref463957488"/>
          <w:r>
            <w:t>Price</w:t>
          </w:r>
          <w:r w:rsidR="00A14069">
            <w:t>s</w:t>
          </w:r>
          <w:r>
            <w:t xml:space="preserve"> and level of trade</w:t>
          </w:r>
          <w:bookmarkEnd w:id="21"/>
        </w:p>
        <w:p w:rsidR="00587F96" w:rsidRPr="00587F96" w:rsidRDefault="00587F96" w:rsidP="00587F96">
          <w:pPr>
            <w:pStyle w:val="Heading6notnumbered"/>
          </w:pPr>
          <w:r>
            <w:t>Prices</w:t>
          </w:r>
          <w:r w:rsidR="007B42BB">
            <w:t xml:space="preserve"> in STTMs (Adelaide, Brisbane and Sydney) and the Victorian Gas Market</w:t>
          </w:r>
        </w:p>
        <w:p w:rsidR="003F01D3" w:rsidRDefault="004B3BA7" w:rsidP="002433A1">
          <w:r>
            <w:t>O</w:t>
          </w:r>
          <w:r w:rsidRPr="00137954">
            <w:t xml:space="preserve">verall, prices were higher in </w:t>
          </w:r>
          <w:r w:rsidR="004D7D5B">
            <w:t>w</w:t>
          </w:r>
          <w:r>
            <w:t xml:space="preserve">inter </w:t>
          </w:r>
          <w:r w:rsidRPr="00137954">
            <w:t xml:space="preserve">2016 </w:t>
          </w:r>
          <w:r w:rsidR="0062303E">
            <w:t xml:space="preserve">compared with </w:t>
          </w:r>
          <w:r>
            <w:t xml:space="preserve">2015 with </w:t>
          </w:r>
          <w:r w:rsidR="005137DD">
            <w:t xml:space="preserve">the average </w:t>
          </w:r>
          <w:r w:rsidR="003F01D3">
            <w:t>price in:</w:t>
          </w:r>
        </w:p>
        <w:p w:rsidR="003F01D3" w:rsidRDefault="004B3BA7" w:rsidP="00EF1B43">
          <w:pPr>
            <w:pStyle w:val="ListParagraph"/>
            <w:numPr>
              <w:ilvl w:val="0"/>
              <w:numId w:val="30"/>
            </w:numPr>
          </w:pPr>
          <w:r w:rsidRPr="005137DD">
            <w:t xml:space="preserve">Adelaide up </w:t>
          </w:r>
          <w:r w:rsidR="005137DD">
            <w:t>91 per cent</w:t>
          </w:r>
          <w:r w:rsidRPr="005137DD">
            <w:t xml:space="preserve"> to </w:t>
          </w:r>
          <w:r w:rsidR="005137DD">
            <w:t>$10.59/GJ</w:t>
          </w:r>
        </w:p>
        <w:p w:rsidR="003F01D3" w:rsidRDefault="005137DD" w:rsidP="00EF1B43">
          <w:pPr>
            <w:pStyle w:val="ListParagraph"/>
            <w:numPr>
              <w:ilvl w:val="0"/>
              <w:numId w:val="30"/>
            </w:numPr>
          </w:pPr>
          <w:r>
            <w:t>Brisbane</w:t>
          </w:r>
          <w:r w:rsidRPr="005137DD">
            <w:t xml:space="preserve"> </w:t>
          </w:r>
          <w:r w:rsidR="004B3BA7" w:rsidRPr="005137DD">
            <w:t xml:space="preserve">up </w:t>
          </w:r>
          <w:r>
            <w:t>131 per cent</w:t>
          </w:r>
          <w:r w:rsidR="004B3BA7" w:rsidRPr="005137DD">
            <w:t xml:space="preserve"> to </w:t>
          </w:r>
          <w:r>
            <w:t>$8.23/GJ</w:t>
          </w:r>
        </w:p>
        <w:p w:rsidR="003F01D3" w:rsidRDefault="005137DD" w:rsidP="00EF1B43">
          <w:pPr>
            <w:pStyle w:val="ListParagraph"/>
            <w:numPr>
              <w:ilvl w:val="0"/>
              <w:numId w:val="30"/>
            </w:numPr>
          </w:pPr>
          <w:r>
            <w:t>Sydney</w:t>
          </w:r>
          <w:r w:rsidRPr="005137DD">
            <w:t xml:space="preserve"> </w:t>
          </w:r>
          <w:r w:rsidR="004B3BA7" w:rsidRPr="005137DD">
            <w:t xml:space="preserve">up </w:t>
          </w:r>
          <w:r>
            <w:t>80 per cent</w:t>
          </w:r>
          <w:r w:rsidR="004B3BA7" w:rsidRPr="005137DD">
            <w:t xml:space="preserve"> to </w:t>
          </w:r>
          <w:r>
            <w:t>$8.82/GJ</w:t>
          </w:r>
          <w:r w:rsidR="004B3BA7" w:rsidRPr="005137DD">
            <w:t xml:space="preserve"> </w:t>
          </w:r>
        </w:p>
        <w:p w:rsidR="003F01D3" w:rsidRDefault="005137DD" w:rsidP="00EF1B43">
          <w:pPr>
            <w:pStyle w:val="ListParagraph"/>
            <w:numPr>
              <w:ilvl w:val="0"/>
              <w:numId w:val="30"/>
            </w:numPr>
          </w:pPr>
          <w:r>
            <w:t>Victoria</w:t>
          </w:r>
          <w:r w:rsidRPr="005137DD">
            <w:t xml:space="preserve"> </w:t>
          </w:r>
          <w:r w:rsidR="004B3BA7" w:rsidRPr="005137DD">
            <w:t xml:space="preserve">up </w:t>
          </w:r>
          <w:r>
            <w:t>114 per cent</w:t>
          </w:r>
          <w:r w:rsidR="004B3BA7" w:rsidRPr="005137DD">
            <w:t xml:space="preserve"> to </w:t>
          </w:r>
          <w:r>
            <w:t>$10.02/GJ</w:t>
          </w:r>
        </w:p>
        <w:p w:rsidR="002F6C95" w:rsidRDefault="002F6C95" w:rsidP="003F01D3">
          <w:r>
            <w:t xml:space="preserve">We understand the costs of purchasing gas through long term gas supply agreements have increased in line with higher costs of production, limited new supply sources and suppliers, and domestic users having to compete with international </w:t>
          </w:r>
          <w:r w:rsidR="00585B82">
            <w:t>demand</w:t>
          </w:r>
          <w:r>
            <w:t>.</w:t>
          </w:r>
          <w:r>
            <w:rPr>
              <w:rStyle w:val="FootnoteReference"/>
            </w:rPr>
            <w:footnoteReference w:id="11"/>
          </w:r>
          <w:r w:rsidR="004A4717">
            <w:t xml:space="preserve"> The</w:t>
          </w:r>
          <w:r w:rsidR="009273E1">
            <w:t>se</w:t>
          </w:r>
          <w:r w:rsidR="004A4717">
            <w:t xml:space="preserve"> </w:t>
          </w:r>
          <w:r w:rsidR="009273E1">
            <w:t>cost increases are reflected in the prices of gas offers submitted by participants.</w:t>
          </w:r>
        </w:p>
        <w:p w:rsidR="009273E1" w:rsidRDefault="002F6C95" w:rsidP="003F01D3">
          <w:r>
            <w:t xml:space="preserve">While prices in winter this year were notably higher than the same period last year, </w:t>
          </w:r>
          <w:r w:rsidR="00590126">
            <w:t xml:space="preserve">the supply and demand factors at play are not all the same. </w:t>
          </w:r>
        </w:p>
        <w:p w:rsidR="009273E1" w:rsidRDefault="009273E1" w:rsidP="003F01D3">
          <w:r>
            <w:t>Demand during winter this year was generally lower than 2015.</w:t>
          </w:r>
          <w:r>
            <w:rPr>
              <w:rStyle w:val="FootnoteReference"/>
            </w:rPr>
            <w:footnoteReference w:id="12"/>
          </w:r>
          <w:r w:rsidRPr="009273E1">
            <w:t xml:space="preserve"> </w:t>
          </w:r>
          <w:r>
            <w:t xml:space="preserve">However prices in winter 2015 did not exceed $7/GJ across the three markets. </w:t>
          </w:r>
          <w:r w:rsidR="00DB5504">
            <w:t>Prices</w:t>
          </w:r>
          <w:r>
            <w:t xml:space="preserve"> were generally higher and more volatile in winter this year. </w:t>
          </w:r>
          <w:r w:rsidR="002D15FD">
            <w:fldChar w:fldCharType="begin"/>
          </w:r>
          <w:r w:rsidR="002D15FD">
            <w:instrText xml:space="preserve"> REF _Ref464645908 \h </w:instrText>
          </w:r>
          <w:r w:rsidR="002D15FD">
            <w:fldChar w:fldCharType="separate"/>
          </w:r>
          <w:r w:rsidR="00D94C93">
            <w:t>Figure </w:t>
          </w:r>
          <w:r w:rsidR="00D94C93">
            <w:rPr>
              <w:noProof/>
            </w:rPr>
            <w:t>3</w:t>
          </w:r>
          <w:r w:rsidR="002D15FD">
            <w:fldChar w:fldCharType="end"/>
          </w:r>
          <w:r w:rsidR="002D15FD">
            <w:t xml:space="preserve"> illustrates this; particularly around the 23 June to 20 July gas days.</w:t>
          </w:r>
        </w:p>
        <w:p w:rsidR="009273E1" w:rsidRDefault="00DB5504" w:rsidP="002D15FD">
          <w:pPr>
            <w:pStyle w:val="ListBullet"/>
            <w:numPr>
              <w:ilvl w:val="0"/>
              <w:numId w:val="0"/>
            </w:numPr>
          </w:pPr>
          <w:r>
            <w:t>Supply</w:t>
          </w:r>
          <w:r w:rsidR="009273E1">
            <w:t xml:space="preserve"> of low priced ramp gas</w:t>
          </w:r>
          <w:r w:rsidR="002D15FD">
            <w:t xml:space="preserve"> from</w:t>
          </w:r>
          <w:r w:rsidR="009273E1">
            <w:t xml:space="preserve"> the LNG projects was available to the domestic markets during the commissioning of the LNG trains</w:t>
          </w:r>
          <w:r w:rsidR="002D15FD">
            <w:t xml:space="preserve"> in 2015</w:t>
          </w:r>
          <w:r w:rsidR="009273E1">
            <w:t xml:space="preserve">. While the LNG projects continued to supply gas to the domestic market this year, it was likely at higher prices. </w:t>
          </w:r>
          <w:r>
            <w:t>Demand</w:t>
          </w:r>
          <w:r w:rsidR="009273E1">
            <w:t xml:space="preserve"> from gas fired generation, although a driver behind high prices in June this year, was lower overall than in winter 2015.</w:t>
          </w:r>
        </w:p>
        <w:p w:rsidR="00CE7898" w:rsidRPr="00C96478" w:rsidRDefault="00CE7898" w:rsidP="00CE7898">
          <w:pPr>
            <w:pStyle w:val="Caption"/>
          </w:pPr>
          <w:bookmarkStart w:id="24" w:name="_Ref464645908"/>
          <w:r>
            <w:t>Figure </w:t>
          </w:r>
          <w:r w:rsidR="002852EF">
            <w:fldChar w:fldCharType="begin"/>
          </w:r>
          <w:r w:rsidR="002852EF">
            <w:instrText xml:space="preserve"> SEQ Figure \* ARABIC </w:instrText>
          </w:r>
          <w:r w:rsidR="002852EF">
            <w:fldChar w:fldCharType="separate"/>
          </w:r>
          <w:r w:rsidR="00D94C93">
            <w:rPr>
              <w:noProof/>
            </w:rPr>
            <w:t>3</w:t>
          </w:r>
          <w:r w:rsidR="002852EF">
            <w:rPr>
              <w:noProof/>
            </w:rPr>
            <w:fldChar w:fldCharType="end"/>
          </w:r>
          <w:bookmarkEnd w:id="24"/>
          <w:r>
            <w:t xml:space="preserve">: Daily </w:t>
          </w:r>
          <w:r w:rsidR="00AC4770">
            <w:t>Vic</w:t>
          </w:r>
          <w:r w:rsidR="0059123B">
            <w:t>torian</w:t>
          </w:r>
          <w:r w:rsidR="00AC4770">
            <w:t xml:space="preserve"> Market and STTM </w:t>
          </w:r>
          <w:r>
            <w:t>gas prices over winter 2016</w:t>
          </w:r>
          <w:r w:rsidR="00AC4770">
            <w:t xml:space="preserve"> </w:t>
          </w:r>
        </w:p>
        <w:p w:rsidR="009C680D" w:rsidRDefault="00311DB0" w:rsidP="00280BEC">
          <w:r w:rsidRPr="00311DB0">
            <w:rPr>
              <w:noProof/>
              <w:lang w:eastAsia="en-AU"/>
            </w:rPr>
            <w:drawing>
              <wp:inline distT="0" distB="0" distL="0" distR="0" wp14:anchorId="15BBC2E4" wp14:editId="5F30554E">
                <wp:extent cx="5382895" cy="2568816"/>
                <wp:effectExtent l="0" t="0" r="8255" b="3175"/>
                <wp:docPr id="43" name="Picture 43" descr="Figure 3 shows the daily price of gas in the mandatory gas markets across winter 2016. The weighted average daily imbalance price applies for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2568816"/>
                        </a:xfrm>
                        <a:prstGeom prst="rect">
                          <a:avLst/>
                        </a:prstGeom>
                        <a:noFill/>
                        <a:ln>
                          <a:noFill/>
                        </a:ln>
                      </pic:spPr>
                    </pic:pic>
                  </a:graphicData>
                </a:graphic>
              </wp:inline>
            </w:drawing>
          </w:r>
        </w:p>
        <w:p w:rsidR="00755536" w:rsidRDefault="00757CB3" w:rsidP="00CB2392">
          <w:pPr>
            <w:pStyle w:val="ListBullet"/>
            <w:numPr>
              <w:ilvl w:val="0"/>
              <w:numId w:val="0"/>
            </w:numPr>
          </w:pPr>
          <w:r>
            <w:t xml:space="preserve">The higher prices in </w:t>
          </w:r>
          <w:r w:rsidR="00AD4BE9">
            <w:fldChar w:fldCharType="begin"/>
          </w:r>
          <w:r w:rsidR="00AD4BE9">
            <w:instrText xml:space="preserve"> REF _Ref464645908 \h </w:instrText>
          </w:r>
          <w:r w:rsidR="00AD4BE9">
            <w:fldChar w:fldCharType="separate"/>
          </w:r>
          <w:r w:rsidR="00D94C93">
            <w:t>Figure </w:t>
          </w:r>
          <w:r w:rsidR="00D94C93">
            <w:rPr>
              <w:noProof/>
            </w:rPr>
            <w:t>3</w:t>
          </w:r>
          <w:r w:rsidR="00AD4BE9">
            <w:fldChar w:fldCharType="end"/>
          </w:r>
          <w:r>
            <w:t xml:space="preserve"> </w:t>
          </w:r>
          <w:r w:rsidR="00206B96">
            <w:t>generally occurred on days of high demand</w:t>
          </w:r>
          <w:r>
            <w:t xml:space="preserve"> in</w:t>
          </w:r>
          <w:r w:rsidR="00206B96">
            <w:t xml:space="preserve"> the</w:t>
          </w:r>
          <w:r>
            <w:t xml:space="preserve"> </w:t>
          </w:r>
          <w:r w:rsidR="0062303E">
            <w:t>s</w:t>
          </w:r>
          <w:r>
            <w:t xml:space="preserve">outhern markets. </w:t>
          </w:r>
          <w:r w:rsidR="00280BEC">
            <w:t>Large retailers such as Origin, AGL and Energy Australia optimise</w:t>
          </w:r>
          <w:r w:rsidR="005113DA">
            <w:t xml:space="preserve"> </w:t>
          </w:r>
          <w:r w:rsidR="00280BEC">
            <w:t xml:space="preserve">their gas positions across </w:t>
          </w:r>
          <w:r w:rsidR="00206B96">
            <w:t xml:space="preserve">the </w:t>
          </w:r>
          <w:r w:rsidR="00A93951">
            <w:t xml:space="preserve">daily </w:t>
          </w:r>
          <w:r w:rsidR="00280BEC">
            <w:t>Adelaide, Sydney and Victoria</w:t>
          </w:r>
          <w:r w:rsidR="00A93951">
            <w:t xml:space="preserve">n gas markets as well as running </w:t>
          </w:r>
          <w:r w:rsidR="00A57823">
            <w:t xml:space="preserve">gas fired generation (GFG) </w:t>
          </w:r>
          <w:r w:rsidR="00755536">
            <w:t xml:space="preserve">in the NEM. </w:t>
          </w:r>
          <w:r w:rsidR="00381186">
            <w:fldChar w:fldCharType="begin"/>
          </w:r>
          <w:r w:rsidR="00381186">
            <w:instrText xml:space="preserve"> REF _Ref465357519 \h </w:instrText>
          </w:r>
          <w:r w:rsidR="00381186">
            <w:fldChar w:fldCharType="separate"/>
          </w:r>
          <w:r w:rsidR="00D94C93" w:rsidRPr="00137954">
            <w:t>Table </w:t>
          </w:r>
          <w:r w:rsidR="00D94C93">
            <w:rPr>
              <w:noProof/>
            </w:rPr>
            <w:t>2</w:t>
          </w:r>
          <w:r w:rsidR="00381186">
            <w:fldChar w:fldCharType="end"/>
          </w:r>
          <w:r w:rsidR="00280BEC">
            <w:t xml:space="preserve"> list</w:t>
          </w:r>
          <w:r w:rsidR="00A57823">
            <w:t>s</w:t>
          </w:r>
          <w:r w:rsidR="00280BEC">
            <w:t xml:space="preserve"> the top ten coincident </w:t>
          </w:r>
          <w:r w:rsidR="00A57823">
            <w:t>s</w:t>
          </w:r>
          <w:r w:rsidR="00755536">
            <w:t xml:space="preserve">outhern market demand days in </w:t>
          </w:r>
          <w:r w:rsidR="00280BEC">
            <w:t xml:space="preserve">2016 </w:t>
          </w:r>
          <w:r w:rsidR="00C5192E">
            <w:t xml:space="preserve">illustrating </w:t>
          </w:r>
          <w:r w:rsidR="00755536">
            <w:t xml:space="preserve">the impact of higher </w:t>
          </w:r>
          <w:r w:rsidR="00C5192E">
            <w:t xml:space="preserve">coincident </w:t>
          </w:r>
          <w:r w:rsidR="00755536">
            <w:t xml:space="preserve">demand and NEM </w:t>
          </w:r>
          <w:r w:rsidR="00A93951">
            <w:t xml:space="preserve">conditions </w:t>
          </w:r>
          <w:r w:rsidR="00755536">
            <w:t>on price</w:t>
          </w:r>
          <w:r w:rsidR="00022D75">
            <w:t>s</w:t>
          </w:r>
          <w:r w:rsidR="00755536">
            <w:t>.</w:t>
          </w:r>
          <w:r w:rsidR="004B3BA7" w:rsidRPr="002433A1">
            <w:t xml:space="preserve"> </w:t>
          </w:r>
        </w:p>
        <w:p w:rsidR="00CE7898" w:rsidRDefault="00CE7898" w:rsidP="00CE7898">
          <w:pPr>
            <w:pStyle w:val="Caption"/>
            <w:rPr>
              <w:noProof/>
            </w:rPr>
          </w:pPr>
          <w:bookmarkStart w:id="25" w:name="_Ref465357519"/>
          <w:r w:rsidRPr="00137954">
            <w:t>Table </w:t>
          </w:r>
          <w:r w:rsidR="002852EF">
            <w:fldChar w:fldCharType="begin"/>
          </w:r>
          <w:r w:rsidR="002852EF">
            <w:instrText xml:space="preserve"> SEQ Table \* ARABIC </w:instrText>
          </w:r>
          <w:r w:rsidR="002852EF">
            <w:fldChar w:fldCharType="separate"/>
          </w:r>
          <w:r w:rsidR="00D94C93">
            <w:rPr>
              <w:noProof/>
            </w:rPr>
            <w:t>2</w:t>
          </w:r>
          <w:r w:rsidR="002852EF">
            <w:rPr>
              <w:noProof/>
            </w:rPr>
            <w:fldChar w:fldCharType="end"/>
          </w:r>
          <w:bookmarkEnd w:id="25"/>
          <w:r w:rsidRPr="00137954">
            <w:rPr>
              <w:noProof/>
            </w:rPr>
            <w:t xml:space="preserve">: </w:t>
          </w:r>
          <w:r>
            <w:rPr>
              <w:noProof/>
            </w:rPr>
            <w:t>Coincident demand in the southern gas markets</w:t>
          </w:r>
          <w:r w:rsidRPr="00137954">
            <w:rPr>
              <w:noProof/>
            </w:rPr>
            <w:t xml:space="preserve"> </w:t>
          </w:r>
        </w:p>
        <w:tbl>
          <w:tblPr>
            <w:tblStyle w:val="AERTable-Text"/>
            <w:tblW w:w="4954"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276"/>
            <w:gridCol w:w="1843"/>
            <w:gridCol w:w="1983"/>
            <w:gridCol w:w="2834"/>
          </w:tblGrid>
          <w:tr w:rsidR="001E34C6" w:rsidRPr="00534DD9" w:rsidTr="002B723A">
            <w:trPr>
              <w:cnfStyle w:val="100000000000" w:firstRow="1" w:lastRow="0" w:firstColumn="0" w:lastColumn="0" w:oddVBand="0" w:evenVBand="0" w:oddHBand="0" w:evenHBand="0" w:firstRowFirstColumn="0" w:firstRowLastColumn="0" w:lastRowFirstColumn="0" w:lastRowLastColumn="0"/>
              <w:tblHeader/>
            </w:trPr>
            <w:tc>
              <w:tcPr>
                <w:tcW w:w="393" w:type="pct"/>
                <w:hideMark/>
              </w:tcPr>
              <w:p w:rsidR="001E34C6" w:rsidRDefault="001E34C6" w:rsidP="001E34C6">
                <w:pPr>
                  <w:spacing w:before="120"/>
                  <w:rPr>
                    <w:sz w:val="16"/>
                    <w:szCs w:val="16"/>
                  </w:rPr>
                </w:pPr>
                <w:r>
                  <w:rPr>
                    <w:sz w:val="16"/>
                    <w:szCs w:val="16"/>
                  </w:rPr>
                  <w:t>Rank</w:t>
                </w:r>
              </w:p>
            </w:tc>
            <w:tc>
              <w:tcPr>
                <w:tcW w:w="741" w:type="pct"/>
                <w:hideMark/>
              </w:tcPr>
              <w:p w:rsidR="001E34C6" w:rsidRDefault="001E34C6" w:rsidP="001E34C6">
                <w:pPr>
                  <w:spacing w:before="120"/>
                  <w:rPr>
                    <w:sz w:val="16"/>
                    <w:szCs w:val="16"/>
                  </w:rPr>
                </w:pPr>
                <w:r>
                  <w:rPr>
                    <w:sz w:val="16"/>
                    <w:szCs w:val="16"/>
                  </w:rPr>
                  <w:t>Gas day</w:t>
                </w:r>
              </w:p>
            </w:tc>
            <w:tc>
              <w:tcPr>
                <w:tcW w:w="1070" w:type="pct"/>
              </w:tcPr>
              <w:p w:rsidR="001E34C6" w:rsidRPr="009C680D" w:rsidRDefault="001E34C6" w:rsidP="001E34C6">
                <w:pPr>
                  <w:spacing w:before="120"/>
                  <w:jc w:val="left"/>
                  <w:rPr>
                    <w:sz w:val="16"/>
                    <w:szCs w:val="16"/>
                  </w:rPr>
                </w:pPr>
                <w:r>
                  <w:rPr>
                    <w:sz w:val="16"/>
                    <w:szCs w:val="16"/>
                  </w:rPr>
                  <w:t>Coincident Adelaide, Sydney, Victorian gas market demand</w:t>
                </w:r>
                <w:r w:rsidRPr="009C680D">
                  <w:rPr>
                    <w:sz w:val="16"/>
                    <w:szCs w:val="16"/>
                  </w:rPr>
                  <w:t xml:space="preserve"> </w:t>
                </w:r>
                <w:r>
                  <w:rPr>
                    <w:sz w:val="16"/>
                    <w:szCs w:val="16"/>
                  </w:rPr>
                  <w:t>(TJ)</w:t>
                </w:r>
              </w:p>
            </w:tc>
            <w:tc>
              <w:tcPr>
                <w:tcW w:w="1151" w:type="pct"/>
              </w:tcPr>
              <w:p w:rsidR="001E34C6" w:rsidRPr="009C680D" w:rsidRDefault="001E34C6" w:rsidP="001E34C6">
                <w:pPr>
                  <w:spacing w:before="120"/>
                  <w:jc w:val="left"/>
                  <w:rPr>
                    <w:sz w:val="16"/>
                    <w:szCs w:val="16"/>
                  </w:rPr>
                </w:pPr>
                <w:r>
                  <w:rPr>
                    <w:sz w:val="16"/>
                    <w:szCs w:val="16"/>
                  </w:rPr>
                  <w:t>Highest market price across the three southern markets ($/GJ)</w:t>
                </w:r>
              </w:p>
            </w:tc>
            <w:tc>
              <w:tcPr>
                <w:tcW w:w="1645" w:type="pct"/>
              </w:tcPr>
              <w:p w:rsidR="001E34C6" w:rsidRDefault="001E34C6" w:rsidP="001E34C6">
                <w:pPr>
                  <w:spacing w:before="120"/>
                  <w:jc w:val="left"/>
                  <w:rPr>
                    <w:sz w:val="16"/>
                    <w:szCs w:val="16"/>
                  </w:rPr>
                </w:pPr>
                <w:r>
                  <w:rPr>
                    <w:sz w:val="16"/>
                    <w:szCs w:val="16"/>
                  </w:rPr>
                  <w:t>Notes on other factors including gas-fired generation</w:t>
                </w:r>
              </w:p>
            </w:tc>
          </w:tr>
          <w:tr w:rsidR="001E34C6" w:rsidTr="001E34C6">
            <w:trPr>
              <w:cnfStyle w:val="000000100000" w:firstRow="0" w:lastRow="0" w:firstColumn="0" w:lastColumn="0" w:oddVBand="0" w:evenVBand="0" w:oddHBand="1" w:evenHBand="0"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#1*</w:t>
                </w:r>
              </w:p>
            </w:tc>
            <w:tc>
              <w:tcPr>
                <w:tcW w:w="741" w:type="pct"/>
                <w:vAlign w:val="center"/>
              </w:tcPr>
              <w:p w:rsidR="001E34C6" w:rsidRPr="00BD0B18" w:rsidRDefault="001E34C6" w:rsidP="002B723A">
                <w:pPr>
                  <w:jc w:val="left"/>
                </w:pPr>
                <w:r>
                  <w:t>13 July</w:t>
                </w:r>
              </w:p>
            </w:tc>
            <w:tc>
              <w:tcPr>
                <w:tcW w:w="1070" w:type="pct"/>
                <w:vAlign w:val="center"/>
              </w:tcPr>
              <w:p w:rsidR="001E34C6" w:rsidRPr="009C680D" w:rsidRDefault="001E34C6" w:rsidP="002B723A">
                <w:pPr>
                  <w:jc w:val="left"/>
                  <w:rPr>
                    <w:sz w:val="16"/>
                    <w:szCs w:val="16"/>
                  </w:rPr>
                </w:pPr>
                <w:r w:rsidRPr="00BD0B18">
                  <w:t>1670</w:t>
                </w:r>
              </w:p>
            </w:tc>
            <w:tc>
              <w:tcPr>
                <w:tcW w:w="1151" w:type="pct"/>
                <w:vAlign w:val="center"/>
              </w:tcPr>
              <w:p w:rsidR="001E34C6" w:rsidRPr="009C680D" w:rsidRDefault="001E34C6" w:rsidP="002B723A">
                <w:pPr>
                  <w:jc w:val="left"/>
                  <w:rPr>
                    <w:sz w:val="16"/>
                    <w:szCs w:val="16"/>
                  </w:rPr>
                </w:pPr>
                <w:r>
                  <w:t xml:space="preserve">$ </w:t>
                </w:r>
                <w:r w:rsidRPr="00C62DE2">
                  <w:t>43.33</w:t>
                </w:r>
                <w:r>
                  <w:t xml:space="preserve"> (Victoria)</w:t>
                </w:r>
              </w:p>
            </w:tc>
            <w:tc>
              <w:tcPr>
                <w:tcW w:w="1645" w:type="pct"/>
                <w:vAlign w:val="center"/>
              </w:tcPr>
              <w:p w:rsidR="001E34C6" w:rsidRPr="009C680D" w:rsidRDefault="001E34C6" w:rsidP="001E34C6">
                <w:pPr>
                  <w:spacing w:before="60" w:after="60"/>
                  <w:jc w:val="left"/>
                  <w:rPr>
                    <w:sz w:val="16"/>
                    <w:szCs w:val="16"/>
                  </w:rPr>
                </w:pPr>
                <w:r>
                  <w:rPr>
                    <w:sz w:val="16"/>
                    <w:szCs w:val="16"/>
                  </w:rPr>
                  <w:t>Coincident market demand for 2016 exceeded the highest level in 2015 by close to 50 TJ. On this day there was around 308 TJ of demand from SA gas-fired generation (the 6</w:t>
                </w:r>
                <w:r w:rsidRPr="00772869">
                  <w:rPr>
                    <w:sz w:val="16"/>
                    <w:szCs w:val="16"/>
                    <w:vertAlign w:val="superscript"/>
                  </w:rPr>
                  <w:t>th</w:t>
                </w:r>
                <w:r>
                  <w:rPr>
                    <w:sz w:val="16"/>
                    <w:szCs w:val="16"/>
                  </w:rPr>
                  <w:t xml:space="preserve"> highest level across 2015 and 2016).</w:t>
                </w:r>
              </w:p>
            </w:tc>
          </w:tr>
          <w:tr w:rsidR="001E34C6" w:rsidTr="001E34C6">
            <w:trPr>
              <w:cnfStyle w:val="000000010000" w:firstRow="0" w:lastRow="0" w:firstColumn="0" w:lastColumn="0" w:oddVBand="0" w:evenVBand="0" w:oddHBand="0" w:evenHBand="1"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#2*</w:t>
                </w:r>
              </w:p>
            </w:tc>
            <w:tc>
              <w:tcPr>
                <w:tcW w:w="741" w:type="pct"/>
                <w:vAlign w:val="center"/>
              </w:tcPr>
              <w:p w:rsidR="001E34C6" w:rsidRPr="00BD0B18" w:rsidRDefault="001E34C6" w:rsidP="002B723A">
                <w:pPr>
                  <w:jc w:val="left"/>
                </w:pPr>
                <w:r>
                  <w:t>26 July</w:t>
                </w:r>
              </w:p>
            </w:tc>
            <w:tc>
              <w:tcPr>
                <w:tcW w:w="1070" w:type="pct"/>
                <w:vAlign w:val="center"/>
              </w:tcPr>
              <w:p w:rsidR="001E34C6" w:rsidRPr="009C680D" w:rsidRDefault="001E34C6" w:rsidP="002B723A">
                <w:pPr>
                  <w:jc w:val="left"/>
                  <w:rPr>
                    <w:sz w:val="16"/>
                    <w:szCs w:val="16"/>
                  </w:rPr>
                </w:pPr>
                <w:r w:rsidRPr="00BD0B18">
                  <w:t>1557</w:t>
                </w:r>
              </w:p>
            </w:tc>
            <w:tc>
              <w:tcPr>
                <w:tcW w:w="1151" w:type="pct"/>
                <w:vAlign w:val="center"/>
              </w:tcPr>
              <w:p w:rsidR="001E34C6" w:rsidRPr="009C680D" w:rsidRDefault="001E34C6" w:rsidP="002B723A">
                <w:pPr>
                  <w:jc w:val="left"/>
                  <w:rPr>
                    <w:sz w:val="16"/>
                    <w:szCs w:val="16"/>
                  </w:rPr>
                </w:pPr>
                <w:r>
                  <w:t xml:space="preserve">$ </w:t>
                </w:r>
                <w:r w:rsidRPr="00C62DE2">
                  <w:t>14.14</w:t>
                </w:r>
                <w:r>
                  <w:t xml:space="preserve"> (Victoria)</w:t>
                </w:r>
              </w:p>
            </w:tc>
            <w:tc>
              <w:tcPr>
                <w:tcW w:w="1645" w:type="pct"/>
                <w:vAlign w:val="center"/>
              </w:tcPr>
              <w:p w:rsidR="001E34C6" w:rsidRPr="00237CB4" w:rsidRDefault="001E34C6" w:rsidP="001E34C6">
                <w:pPr>
                  <w:spacing w:before="60" w:after="60"/>
                  <w:jc w:val="left"/>
                  <w:rPr>
                    <w:sz w:val="16"/>
                    <w:szCs w:val="16"/>
                  </w:rPr>
                </w:pPr>
                <w:r w:rsidRPr="00237CB4">
                  <w:rPr>
                    <w:sz w:val="16"/>
                    <w:szCs w:val="16"/>
                  </w:rPr>
                  <w:t>High Victorian price despite supply from Culcairn reversing to flow into the region.</w:t>
                </w:r>
              </w:p>
            </w:tc>
          </w:tr>
          <w:tr w:rsidR="001E34C6" w:rsidTr="001E34C6">
            <w:trPr>
              <w:cnfStyle w:val="000000100000" w:firstRow="0" w:lastRow="0" w:firstColumn="0" w:lastColumn="0" w:oddVBand="0" w:evenVBand="0" w:oddHBand="1" w:evenHBand="0"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#3*</w:t>
                </w:r>
              </w:p>
            </w:tc>
            <w:tc>
              <w:tcPr>
                <w:tcW w:w="741" w:type="pct"/>
                <w:vAlign w:val="center"/>
              </w:tcPr>
              <w:p w:rsidR="001E34C6" w:rsidRPr="00BD0B18" w:rsidRDefault="001E34C6" w:rsidP="002B723A">
                <w:pPr>
                  <w:jc w:val="left"/>
                </w:pPr>
                <w:r>
                  <w:t>24 June</w:t>
                </w:r>
              </w:p>
            </w:tc>
            <w:tc>
              <w:tcPr>
                <w:tcW w:w="1070" w:type="pct"/>
                <w:vAlign w:val="center"/>
              </w:tcPr>
              <w:p w:rsidR="001E34C6" w:rsidRPr="009C680D" w:rsidRDefault="001E34C6" w:rsidP="002B723A">
                <w:pPr>
                  <w:jc w:val="left"/>
                  <w:rPr>
                    <w:sz w:val="16"/>
                    <w:szCs w:val="16"/>
                  </w:rPr>
                </w:pPr>
                <w:r w:rsidRPr="00BD0B18">
                  <w:t>1554</w:t>
                </w:r>
              </w:p>
            </w:tc>
            <w:tc>
              <w:tcPr>
                <w:tcW w:w="1151" w:type="pct"/>
                <w:vAlign w:val="center"/>
              </w:tcPr>
              <w:p w:rsidR="001E34C6" w:rsidRPr="009C680D" w:rsidRDefault="001E34C6" w:rsidP="002B723A">
                <w:pPr>
                  <w:jc w:val="left"/>
                  <w:rPr>
                    <w:sz w:val="16"/>
                    <w:szCs w:val="16"/>
                  </w:rPr>
                </w:pPr>
                <w:r>
                  <w:t xml:space="preserve">$ </w:t>
                </w:r>
                <w:r w:rsidRPr="00C62DE2">
                  <w:t>23.34</w:t>
                </w:r>
                <w:r>
                  <w:t xml:space="preserve"> (Victoria)</w:t>
                </w:r>
              </w:p>
            </w:tc>
            <w:tc>
              <w:tcPr>
                <w:tcW w:w="1645" w:type="pct"/>
                <w:vAlign w:val="center"/>
              </w:tcPr>
              <w:p w:rsidR="001E34C6" w:rsidRPr="009C680D" w:rsidRDefault="001E34C6" w:rsidP="001E34C6">
                <w:pPr>
                  <w:spacing w:before="60" w:after="60"/>
                  <w:jc w:val="left"/>
                  <w:rPr>
                    <w:sz w:val="16"/>
                    <w:szCs w:val="16"/>
                  </w:rPr>
                </w:pPr>
                <w:r>
                  <w:rPr>
                    <w:sz w:val="16"/>
                    <w:szCs w:val="16"/>
                  </w:rPr>
                  <w:t>High demand in Victoria, triggered by low temperatures, influenced higher prices in all three southern regions and set a record high price in Adelaide.</w:t>
                </w:r>
              </w:p>
            </w:tc>
          </w:tr>
          <w:tr w:rsidR="001E34C6" w:rsidTr="001E34C6">
            <w:trPr>
              <w:cnfStyle w:val="000000010000" w:firstRow="0" w:lastRow="0" w:firstColumn="0" w:lastColumn="0" w:oddVBand="0" w:evenVBand="0" w:oddHBand="0" w:evenHBand="1"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#4*</w:t>
                </w:r>
              </w:p>
            </w:tc>
            <w:tc>
              <w:tcPr>
                <w:tcW w:w="741" w:type="pct"/>
                <w:vAlign w:val="center"/>
              </w:tcPr>
              <w:p w:rsidR="001E34C6" w:rsidRPr="00BD0B18" w:rsidRDefault="001E34C6" w:rsidP="002B723A">
                <w:pPr>
                  <w:jc w:val="left"/>
                </w:pPr>
                <w:r>
                  <w:t>30 June</w:t>
                </w:r>
              </w:p>
            </w:tc>
            <w:tc>
              <w:tcPr>
                <w:tcW w:w="1070" w:type="pct"/>
                <w:vAlign w:val="center"/>
              </w:tcPr>
              <w:p w:rsidR="001E34C6" w:rsidRPr="009C680D" w:rsidRDefault="001E34C6" w:rsidP="002B723A">
                <w:pPr>
                  <w:jc w:val="left"/>
                  <w:rPr>
                    <w:sz w:val="16"/>
                    <w:szCs w:val="16"/>
                  </w:rPr>
                </w:pPr>
                <w:r w:rsidRPr="00BD0B18">
                  <w:t>1526</w:t>
                </w:r>
              </w:p>
            </w:tc>
            <w:tc>
              <w:tcPr>
                <w:tcW w:w="1151" w:type="pct"/>
                <w:vAlign w:val="center"/>
              </w:tcPr>
              <w:p w:rsidR="001E34C6" w:rsidRPr="009C680D" w:rsidRDefault="001E34C6" w:rsidP="002B723A">
                <w:pPr>
                  <w:jc w:val="left"/>
                  <w:rPr>
                    <w:sz w:val="16"/>
                    <w:szCs w:val="16"/>
                  </w:rPr>
                </w:pPr>
                <w:r>
                  <w:t xml:space="preserve">$ </w:t>
                </w:r>
                <w:r w:rsidRPr="00C62DE2">
                  <w:t>28.81</w:t>
                </w:r>
                <w:r>
                  <w:t xml:space="preserve"> (Sydney)</w:t>
                </w:r>
              </w:p>
            </w:tc>
            <w:tc>
              <w:tcPr>
                <w:tcW w:w="1645" w:type="pct"/>
                <w:vAlign w:val="center"/>
              </w:tcPr>
              <w:p w:rsidR="001E34C6" w:rsidRPr="009C680D" w:rsidRDefault="001E34C6" w:rsidP="001E34C6">
                <w:pPr>
                  <w:spacing w:before="60" w:after="60"/>
                  <w:jc w:val="left"/>
                  <w:rPr>
                    <w:sz w:val="16"/>
                    <w:szCs w:val="16"/>
                  </w:rPr>
                </w:pPr>
                <w:r>
                  <w:rPr>
                    <w:sz w:val="16"/>
                    <w:szCs w:val="16"/>
                  </w:rPr>
                  <w:t>Rebidding drove an inelastic supply curve in Sydney alongside a small increase to forecast demand.</w:t>
                </w:r>
              </w:p>
            </w:tc>
          </w:tr>
          <w:tr w:rsidR="001E34C6" w:rsidTr="001E34C6">
            <w:trPr>
              <w:cnfStyle w:val="000000100000" w:firstRow="0" w:lastRow="0" w:firstColumn="0" w:lastColumn="0" w:oddVBand="0" w:evenVBand="0" w:oddHBand="1" w:evenHBand="0"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#5*</w:t>
                </w:r>
              </w:p>
            </w:tc>
            <w:tc>
              <w:tcPr>
                <w:tcW w:w="741" w:type="pct"/>
                <w:vAlign w:val="center"/>
              </w:tcPr>
              <w:p w:rsidR="001E34C6" w:rsidRPr="00BD0B18" w:rsidRDefault="001E34C6" w:rsidP="002B723A">
                <w:pPr>
                  <w:jc w:val="left"/>
                </w:pPr>
                <w:r>
                  <w:t>27 June</w:t>
                </w:r>
              </w:p>
            </w:tc>
            <w:tc>
              <w:tcPr>
                <w:tcW w:w="1070" w:type="pct"/>
                <w:vAlign w:val="center"/>
              </w:tcPr>
              <w:p w:rsidR="001E34C6" w:rsidRPr="009C680D" w:rsidRDefault="001E34C6" w:rsidP="002B723A">
                <w:pPr>
                  <w:jc w:val="left"/>
                  <w:rPr>
                    <w:sz w:val="16"/>
                    <w:szCs w:val="16"/>
                  </w:rPr>
                </w:pPr>
                <w:r w:rsidRPr="00BD0B18">
                  <w:t>1515</w:t>
                </w:r>
              </w:p>
            </w:tc>
            <w:tc>
              <w:tcPr>
                <w:tcW w:w="1151" w:type="pct"/>
                <w:vAlign w:val="center"/>
              </w:tcPr>
              <w:p w:rsidR="001E34C6" w:rsidRPr="009C680D" w:rsidRDefault="001E34C6" w:rsidP="002B723A">
                <w:pPr>
                  <w:jc w:val="left"/>
                  <w:rPr>
                    <w:sz w:val="16"/>
                    <w:szCs w:val="16"/>
                  </w:rPr>
                </w:pPr>
                <w:r>
                  <w:t xml:space="preserve">$ </w:t>
                </w:r>
                <w:r w:rsidRPr="00C62DE2">
                  <w:t>25.74</w:t>
                </w:r>
                <w:r>
                  <w:t xml:space="preserve"> (Victoria)</w:t>
                </w:r>
              </w:p>
            </w:tc>
            <w:tc>
              <w:tcPr>
                <w:tcW w:w="1645" w:type="pct"/>
                <w:vAlign w:val="center"/>
              </w:tcPr>
              <w:p w:rsidR="001E34C6" w:rsidRPr="009C680D" w:rsidRDefault="001E34C6" w:rsidP="001E34C6">
                <w:pPr>
                  <w:spacing w:before="60" w:after="60"/>
                  <w:jc w:val="left"/>
                  <w:rPr>
                    <w:sz w:val="16"/>
                    <w:szCs w:val="16"/>
                  </w:rPr>
                </w:pPr>
                <w:r>
                  <w:rPr>
                    <w:sz w:val="16"/>
                    <w:szCs w:val="16"/>
                  </w:rPr>
                  <w:t>This day there was around 244 TJ of demand from SA gas-fired generation.</w:t>
                </w:r>
              </w:p>
            </w:tc>
          </w:tr>
          <w:tr w:rsidR="001E34C6" w:rsidTr="001E34C6">
            <w:trPr>
              <w:cnfStyle w:val="000000010000" w:firstRow="0" w:lastRow="0" w:firstColumn="0" w:lastColumn="0" w:oddVBand="0" w:evenVBand="0" w:oddHBand="0" w:evenHBand="1"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#6*</w:t>
                </w:r>
              </w:p>
            </w:tc>
            <w:tc>
              <w:tcPr>
                <w:tcW w:w="741" w:type="pct"/>
                <w:vAlign w:val="center"/>
              </w:tcPr>
              <w:p w:rsidR="001E34C6" w:rsidRPr="00BD0B18" w:rsidRDefault="001E34C6" w:rsidP="002B723A">
                <w:pPr>
                  <w:jc w:val="left"/>
                </w:pPr>
                <w:r>
                  <w:t>26 June</w:t>
                </w:r>
              </w:p>
            </w:tc>
            <w:tc>
              <w:tcPr>
                <w:tcW w:w="1070" w:type="pct"/>
                <w:vAlign w:val="center"/>
              </w:tcPr>
              <w:p w:rsidR="001E34C6" w:rsidRPr="009C680D" w:rsidRDefault="001E34C6" w:rsidP="002B723A">
                <w:pPr>
                  <w:jc w:val="left"/>
                  <w:rPr>
                    <w:sz w:val="16"/>
                    <w:szCs w:val="16"/>
                  </w:rPr>
                </w:pPr>
                <w:r w:rsidRPr="00BD0B18">
                  <w:t>1505</w:t>
                </w:r>
              </w:p>
            </w:tc>
            <w:tc>
              <w:tcPr>
                <w:tcW w:w="1151" w:type="pct"/>
                <w:vAlign w:val="center"/>
              </w:tcPr>
              <w:p w:rsidR="001E34C6" w:rsidRPr="009C680D" w:rsidRDefault="001E34C6" w:rsidP="002B723A">
                <w:pPr>
                  <w:jc w:val="left"/>
                  <w:rPr>
                    <w:sz w:val="16"/>
                    <w:szCs w:val="16"/>
                  </w:rPr>
                </w:pPr>
                <w:r>
                  <w:t xml:space="preserve">$ </w:t>
                </w:r>
                <w:r w:rsidRPr="00C62DE2">
                  <w:t>23.77</w:t>
                </w:r>
                <w:r>
                  <w:t xml:space="preserve"> (Victoria)</w:t>
                </w:r>
              </w:p>
            </w:tc>
            <w:tc>
              <w:tcPr>
                <w:tcW w:w="1645" w:type="pct"/>
                <w:vAlign w:val="center"/>
              </w:tcPr>
              <w:p w:rsidR="001E34C6" w:rsidRPr="009C680D" w:rsidRDefault="001E34C6" w:rsidP="001E34C6">
                <w:pPr>
                  <w:spacing w:before="60" w:after="60"/>
                  <w:jc w:val="left"/>
                  <w:rPr>
                    <w:sz w:val="16"/>
                    <w:szCs w:val="16"/>
                  </w:rPr>
                </w:pPr>
                <w:r>
                  <w:rPr>
                    <w:sz w:val="16"/>
                    <w:szCs w:val="16"/>
                  </w:rPr>
                  <w:t>Rebidding reduced low priced offers in Sydney resulting in a high ex ante price, alongside cold weather and high demand in Victoria.</w:t>
                </w:r>
              </w:p>
            </w:tc>
          </w:tr>
          <w:tr w:rsidR="001E34C6" w:rsidTr="001E34C6">
            <w:trPr>
              <w:cnfStyle w:val="000000100000" w:firstRow="0" w:lastRow="0" w:firstColumn="0" w:lastColumn="0" w:oddVBand="0" w:evenVBand="0" w:oddHBand="1" w:evenHBand="0"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#7</w:t>
                </w:r>
              </w:p>
            </w:tc>
            <w:tc>
              <w:tcPr>
                <w:tcW w:w="741" w:type="pct"/>
                <w:vAlign w:val="center"/>
              </w:tcPr>
              <w:p w:rsidR="001E34C6" w:rsidRPr="00BD0B18" w:rsidRDefault="001E34C6" w:rsidP="002B723A">
                <w:pPr>
                  <w:jc w:val="left"/>
                </w:pPr>
                <w:r>
                  <w:t>14 July</w:t>
                </w:r>
              </w:p>
            </w:tc>
            <w:tc>
              <w:tcPr>
                <w:tcW w:w="1070" w:type="pct"/>
                <w:vAlign w:val="center"/>
              </w:tcPr>
              <w:p w:rsidR="001E34C6" w:rsidRPr="009C680D" w:rsidRDefault="001E34C6" w:rsidP="002B723A">
                <w:pPr>
                  <w:jc w:val="left"/>
                  <w:rPr>
                    <w:sz w:val="16"/>
                    <w:szCs w:val="16"/>
                  </w:rPr>
                </w:pPr>
                <w:r w:rsidRPr="00BD0B18">
                  <w:t>1471</w:t>
                </w:r>
              </w:p>
            </w:tc>
            <w:tc>
              <w:tcPr>
                <w:tcW w:w="1151" w:type="pct"/>
                <w:vAlign w:val="center"/>
              </w:tcPr>
              <w:p w:rsidR="001E34C6" w:rsidRPr="009C680D" w:rsidRDefault="001E34C6" w:rsidP="002B723A">
                <w:pPr>
                  <w:jc w:val="left"/>
                  <w:rPr>
                    <w:sz w:val="16"/>
                    <w:szCs w:val="16"/>
                  </w:rPr>
                </w:pPr>
                <w:r>
                  <w:t xml:space="preserve">$ </w:t>
                </w:r>
                <w:r w:rsidRPr="00C62DE2">
                  <w:t>22.22</w:t>
                </w:r>
                <w:r>
                  <w:t xml:space="preserve"> (Adelaide)</w:t>
                </w:r>
              </w:p>
            </w:tc>
            <w:tc>
              <w:tcPr>
                <w:tcW w:w="1645" w:type="pct"/>
                <w:vAlign w:val="center"/>
              </w:tcPr>
              <w:p w:rsidR="001E34C6" w:rsidRPr="009C680D" w:rsidRDefault="001E34C6" w:rsidP="001E34C6">
                <w:pPr>
                  <w:spacing w:before="60" w:after="60"/>
                  <w:jc w:val="left"/>
                  <w:rPr>
                    <w:sz w:val="16"/>
                    <w:szCs w:val="16"/>
                  </w:rPr>
                </w:pPr>
                <w:r>
                  <w:rPr>
                    <w:sz w:val="16"/>
                    <w:szCs w:val="16"/>
                  </w:rPr>
                  <w:t>This day there was around 328 TJ of demand from SA gas-fired generation (the 3</w:t>
                </w:r>
                <w:r>
                  <w:rPr>
                    <w:sz w:val="16"/>
                    <w:szCs w:val="16"/>
                    <w:vertAlign w:val="superscript"/>
                  </w:rPr>
                  <w:t>rd</w:t>
                </w:r>
                <w:r>
                  <w:rPr>
                    <w:sz w:val="16"/>
                    <w:szCs w:val="16"/>
                  </w:rPr>
                  <w:t xml:space="preserve"> highest level across 2015 and 2016).</w:t>
                </w:r>
              </w:p>
            </w:tc>
          </w:tr>
          <w:tr w:rsidR="001E34C6" w:rsidTr="001E34C6">
            <w:trPr>
              <w:cnfStyle w:val="000000010000" w:firstRow="0" w:lastRow="0" w:firstColumn="0" w:lastColumn="0" w:oddVBand="0" w:evenVBand="0" w:oddHBand="0" w:evenHBand="1"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#8</w:t>
                </w:r>
              </w:p>
            </w:tc>
            <w:tc>
              <w:tcPr>
                <w:tcW w:w="741" w:type="pct"/>
                <w:vAlign w:val="center"/>
              </w:tcPr>
              <w:p w:rsidR="001E34C6" w:rsidRPr="00BD0B18" w:rsidRDefault="001E34C6" w:rsidP="002B723A">
                <w:pPr>
                  <w:jc w:val="left"/>
                </w:pPr>
                <w:r>
                  <w:t>5 July</w:t>
                </w:r>
              </w:p>
            </w:tc>
            <w:tc>
              <w:tcPr>
                <w:tcW w:w="1070" w:type="pct"/>
                <w:vAlign w:val="center"/>
              </w:tcPr>
              <w:p w:rsidR="001E34C6" w:rsidRPr="009C680D" w:rsidRDefault="001E34C6" w:rsidP="002B723A">
                <w:pPr>
                  <w:jc w:val="left"/>
                  <w:rPr>
                    <w:sz w:val="16"/>
                    <w:szCs w:val="16"/>
                  </w:rPr>
                </w:pPr>
                <w:r w:rsidRPr="00BD0B18">
                  <w:t>1466</w:t>
                </w:r>
              </w:p>
            </w:tc>
            <w:tc>
              <w:tcPr>
                <w:tcW w:w="1151" w:type="pct"/>
                <w:vAlign w:val="center"/>
              </w:tcPr>
              <w:p w:rsidR="001E34C6" w:rsidRPr="009C680D" w:rsidRDefault="001E34C6" w:rsidP="002B723A">
                <w:pPr>
                  <w:jc w:val="left"/>
                  <w:rPr>
                    <w:sz w:val="16"/>
                    <w:szCs w:val="16"/>
                  </w:rPr>
                </w:pPr>
                <w:r>
                  <w:t xml:space="preserve">$ </w:t>
                </w:r>
                <w:r w:rsidRPr="00C62DE2">
                  <w:t>19.26</w:t>
                </w:r>
                <w:r>
                  <w:t xml:space="preserve"> (Victoria)</w:t>
                </w:r>
              </w:p>
            </w:tc>
            <w:tc>
              <w:tcPr>
                <w:tcW w:w="1645" w:type="pct"/>
                <w:vAlign w:val="center"/>
              </w:tcPr>
              <w:p w:rsidR="001E34C6" w:rsidRPr="009C680D" w:rsidRDefault="001E34C6" w:rsidP="001E34C6">
                <w:pPr>
                  <w:spacing w:before="60" w:after="60"/>
                  <w:jc w:val="left"/>
                  <w:rPr>
                    <w:sz w:val="16"/>
                    <w:szCs w:val="16"/>
                  </w:rPr>
                </w:pPr>
                <w:r>
                  <w:rPr>
                    <w:sz w:val="16"/>
                    <w:szCs w:val="16"/>
                  </w:rPr>
                  <w:t>High prices in Victoria and Adelaide. Participants revising up forecast demand and rebidding contributed to the 6 pm schedule price reaching $30/GJ in Victoria.</w:t>
                </w:r>
              </w:p>
            </w:tc>
          </w:tr>
          <w:tr w:rsidR="001E34C6" w:rsidTr="001E34C6">
            <w:trPr>
              <w:cnfStyle w:val="000000100000" w:firstRow="0" w:lastRow="0" w:firstColumn="0" w:lastColumn="0" w:oddVBand="0" w:evenVBand="0" w:oddHBand="1" w:evenHBand="0"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#9*</w:t>
                </w:r>
              </w:p>
            </w:tc>
            <w:tc>
              <w:tcPr>
                <w:tcW w:w="741" w:type="pct"/>
                <w:vAlign w:val="center"/>
              </w:tcPr>
              <w:p w:rsidR="001E34C6" w:rsidRPr="00BD0B18" w:rsidRDefault="001E34C6" w:rsidP="002B723A">
                <w:pPr>
                  <w:jc w:val="left"/>
                </w:pPr>
                <w:r>
                  <w:t>12 July</w:t>
                </w:r>
              </w:p>
            </w:tc>
            <w:tc>
              <w:tcPr>
                <w:tcW w:w="1070" w:type="pct"/>
                <w:vAlign w:val="center"/>
              </w:tcPr>
              <w:p w:rsidR="001E34C6" w:rsidRPr="009C680D" w:rsidRDefault="001E34C6" w:rsidP="002B723A">
                <w:pPr>
                  <w:jc w:val="left"/>
                  <w:rPr>
                    <w:sz w:val="16"/>
                    <w:szCs w:val="16"/>
                  </w:rPr>
                </w:pPr>
                <w:r w:rsidRPr="00BD0B18">
                  <w:t>1447</w:t>
                </w:r>
              </w:p>
            </w:tc>
            <w:tc>
              <w:tcPr>
                <w:tcW w:w="1151" w:type="pct"/>
                <w:vAlign w:val="center"/>
              </w:tcPr>
              <w:p w:rsidR="001E34C6" w:rsidRPr="009C680D" w:rsidRDefault="001E34C6" w:rsidP="002B723A">
                <w:pPr>
                  <w:jc w:val="left"/>
                  <w:rPr>
                    <w:sz w:val="16"/>
                    <w:szCs w:val="16"/>
                  </w:rPr>
                </w:pPr>
                <w:r>
                  <w:t xml:space="preserve">$ </w:t>
                </w:r>
                <w:r w:rsidRPr="00C62DE2">
                  <w:t>17.99</w:t>
                </w:r>
                <w:r>
                  <w:t xml:space="preserve"> (Adelaide)</w:t>
                </w:r>
              </w:p>
            </w:tc>
            <w:tc>
              <w:tcPr>
                <w:tcW w:w="1645" w:type="pct"/>
                <w:vAlign w:val="center"/>
              </w:tcPr>
              <w:p w:rsidR="001E34C6" w:rsidRPr="009C680D" w:rsidRDefault="001E34C6" w:rsidP="001E34C6">
                <w:pPr>
                  <w:spacing w:before="60" w:after="60"/>
                  <w:jc w:val="left"/>
                  <w:rPr>
                    <w:sz w:val="16"/>
                    <w:szCs w:val="16"/>
                  </w:rPr>
                </w:pPr>
                <w:r>
                  <w:rPr>
                    <w:sz w:val="16"/>
                    <w:szCs w:val="16"/>
                  </w:rPr>
                  <w:t>Inelastic supply curve in Adelaide.</w:t>
                </w:r>
              </w:p>
            </w:tc>
          </w:tr>
          <w:tr w:rsidR="001E34C6" w:rsidTr="001E34C6">
            <w:trPr>
              <w:cnfStyle w:val="000000010000" w:firstRow="0" w:lastRow="0" w:firstColumn="0" w:lastColumn="0" w:oddVBand="0" w:evenVBand="0" w:oddHBand="0" w:evenHBand="1" w:firstRowFirstColumn="0" w:firstRowLastColumn="0" w:lastRowFirstColumn="0" w:lastRowLastColumn="0"/>
              <w:trHeight w:val="510"/>
            </w:trPr>
            <w:tc>
              <w:tcPr>
                <w:tcW w:w="393" w:type="pct"/>
                <w:vAlign w:val="center"/>
              </w:tcPr>
              <w:p w:rsidR="001E34C6" w:rsidRPr="009C680D" w:rsidRDefault="001E34C6" w:rsidP="002B723A">
                <w:pPr>
                  <w:jc w:val="left"/>
                  <w:rPr>
                    <w:sz w:val="16"/>
                    <w:szCs w:val="16"/>
                  </w:rPr>
                </w:pPr>
                <w:r>
                  <w:rPr>
                    <w:sz w:val="16"/>
                    <w:szCs w:val="16"/>
                  </w:rPr>
                  <w:t>#10</w:t>
                </w:r>
              </w:p>
            </w:tc>
            <w:tc>
              <w:tcPr>
                <w:tcW w:w="741" w:type="pct"/>
                <w:vAlign w:val="center"/>
              </w:tcPr>
              <w:p w:rsidR="001E34C6" w:rsidRPr="00BD0B18" w:rsidRDefault="001E34C6" w:rsidP="002B723A">
                <w:pPr>
                  <w:jc w:val="left"/>
                </w:pPr>
                <w:r>
                  <w:t>24 July</w:t>
                </w:r>
              </w:p>
            </w:tc>
            <w:tc>
              <w:tcPr>
                <w:tcW w:w="1070" w:type="pct"/>
                <w:vAlign w:val="center"/>
              </w:tcPr>
              <w:p w:rsidR="001E34C6" w:rsidRPr="009C680D" w:rsidRDefault="001E34C6" w:rsidP="002B723A">
                <w:pPr>
                  <w:jc w:val="left"/>
                  <w:rPr>
                    <w:sz w:val="16"/>
                    <w:szCs w:val="16"/>
                  </w:rPr>
                </w:pPr>
                <w:r w:rsidRPr="00BD0B18">
                  <w:t>1444</w:t>
                </w:r>
              </w:p>
            </w:tc>
            <w:tc>
              <w:tcPr>
                <w:tcW w:w="1151" w:type="pct"/>
                <w:vAlign w:val="center"/>
              </w:tcPr>
              <w:p w:rsidR="001E34C6" w:rsidRPr="009C680D" w:rsidRDefault="001E34C6" w:rsidP="002B723A">
                <w:pPr>
                  <w:jc w:val="left"/>
                  <w:rPr>
                    <w:sz w:val="16"/>
                    <w:szCs w:val="16"/>
                  </w:rPr>
                </w:pPr>
                <w:r>
                  <w:t xml:space="preserve">$ </w:t>
                </w:r>
                <w:r w:rsidRPr="00C62DE2">
                  <w:t>9</w:t>
                </w:r>
                <w:r>
                  <w:t>.00 (Adelaide)</w:t>
                </w:r>
              </w:p>
            </w:tc>
            <w:tc>
              <w:tcPr>
                <w:tcW w:w="1645" w:type="pct"/>
                <w:vAlign w:val="center"/>
              </w:tcPr>
              <w:p w:rsidR="001E34C6" w:rsidRPr="009C680D" w:rsidRDefault="001E34C6" w:rsidP="001E34C6">
                <w:pPr>
                  <w:spacing w:before="60" w:after="60"/>
                  <w:jc w:val="left"/>
                  <w:rPr>
                    <w:sz w:val="16"/>
                    <w:szCs w:val="16"/>
                  </w:rPr>
                </w:pPr>
                <w:r>
                  <w:rPr>
                    <w:sz w:val="16"/>
                    <w:szCs w:val="16"/>
                  </w:rPr>
                  <w:t>Cold weather drove higher demand in southern regions.</w:t>
                </w:r>
              </w:p>
            </w:tc>
          </w:tr>
        </w:tbl>
        <w:p w:rsidR="00A93951" w:rsidRPr="00022D75" w:rsidRDefault="00A93951" w:rsidP="00FD477D">
          <w:pPr>
            <w:pStyle w:val="ListBullet"/>
            <w:numPr>
              <w:ilvl w:val="0"/>
              <w:numId w:val="0"/>
            </w:numPr>
            <w:rPr>
              <w:sz w:val="16"/>
              <w:szCs w:val="16"/>
            </w:rPr>
          </w:pPr>
          <w:r w:rsidRPr="00022D75">
            <w:rPr>
              <w:sz w:val="16"/>
              <w:szCs w:val="16"/>
            </w:rPr>
            <w:t>*These seven days are days which triggered SPV reporting across June and July</w:t>
          </w:r>
        </w:p>
        <w:p w:rsidR="00587F96" w:rsidRDefault="007B42BB" w:rsidP="00587F96">
          <w:pPr>
            <w:pStyle w:val="Heading6notnumbered"/>
          </w:pPr>
          <w:r>
            <w:t>T</w:t>
          </w:r>
          <w:r w:rsidR="00587F96">
            <w:t>rade</w:t>
          </w:r>
          <w:r>
            <w:t xml:space="preserve"> through the STTMs and Victorian Gas Market</w:t>
          </w:r>
        </w:p>
        <w:p w:rsidR="00022D75" w:rsidRPr="00022D75" w:rsidRDefault="00022D75" w:rsidP="00022D75">
          <w:pPr>
            <w:pStyle w:val="ListBullet"/>
            <w:numPr>
              <w:ilvl w:val="0"/>
              <w:numId w:val="0"/>
            </w:numPr>
          </w:pPr>
          <w:r w:rsidRPr="00022D75">
            <w:rPr>
              <w:bCs/>
              <w:iCs/>
            </w:rPr>
            <w:t xml:space="preserve">Over winter </w:t>
          </w:r>
          <w:r w:rsidR="00CD1255">
            <w:rPr>
              <w:bCs/>
              <w:iCs/>
            </w:rPr>
            <w:t>this year</w:t>
          </w:r>
          <w:r w:rsidRPr="00022D75">
            <w:rPr>
              <w:bCs/>
              <w:iCs/>
            </w:rPr>
            <w:t xml:space="preserve">, there were periods of relatively high trade through the STTMs and Victorian Gas Market compared to previous years. This appears aligned in part with AGL’s shortage of gas (see section </w:t>
          </w:r>
          <w:r w:rsidR="00CD1255">
            <w:rPr>
              <w:bCs/>
              <w:iCs/>
            </w:rPr>
            <w:fldChar w:fldCharType="begin"/>
          </w:r>
          <w:r w:rsidR="00CD1255">
            <w:rPr>
              <w:bCs/>
              <w:iCs/>
            </w:rPr>
            <w:instrText xml:space="preserve"> REF _Ref465865826 \r \h </w:instrText>
          </w:r>
          <w:r w:rsidR="00CD1255">
            <w:rPr>
              <w:bCs/>
              <w:iCs/>
            </w:rPr>
          </w:r>
          <w:r w:rsidR="00CD1255">
            <w:rPr>
              <w:bCs/>
              <w:iCs/>
            </w:rPr>
            <w:fldChar w:fldCharType="separate"/>
          </w:r>
          <w:r w:rsidR="00D94C93">
            <w:rPr>
              <w:bCs/>
              <w:iCs/>
            </w:rPr>
            <w:t>2.4</w:t>
          </w:r>
          <w:r w:rsidR="00CD1255">
            <w:rPr>
              <w:bCs/>
              <w:iCs/>
            </w:rPr>
            <w:fldChar w:fldCharType="end"/>
          </w:r>
          <w:r w:rsidRPr="00022D75">
            <w:rPr>
              <w:bCs/>
              <w:iCs/>
            </w:rPr>
            <w:t xml:space="preserve">) but also because gas from late July became available to the </w:t>
          </w:r>
          <w:r w:rsidR="00CD1255">
            <w:rPr>
              <w:bCs/>
              <w:iCs/>
            </w:rPr>
            <w:t>domestic market through the</w:t>
          </w:r>
          <w:r w:rsidRPr="00022D75">
            <w:rPr>
              <w:bCs/>
              <w:iCs/>
            </w:rPr>
            <w:t xml:space="preserve"> Wallumbilla</w:t>
          </w:r>
          <w:r w:rsidR="00CD1255">
            <w:rPr>
              <w:bCs/>
              <w:iCs/>
            </w:rPr>
            <w:t xml:space="preserve"> Gas Supply hub</w:t>
          </w:r>
          <w:r w:rsidR="00DB5504">
            <w:rPr>
              <w:bCs/>
              <w:iCs/>
            </w:rPr>
            <w:t>. During</w:t>
          </w:r>
          <w:r w:rsidR="00CD1255">
            <w:rPr>
              <w:bCs/>
              <w:iCs/>
            </w:rPr>
            <w:t xml:space="preserve"> the high price</w:t>
          </w:r>
          <w:r w:rsidRPr="00022D75">
            <w:rPr>
              <w:bCs/>
              <w:iCs/>
            </w:rPr>
            <w:t xml:space="preserve"> period between 23 June and 20 July there </w:t>
          </w:r>
          <w:r w:rsidR="00CD1255">
            <w:rPr>
              <w:bCs/>
              <w:iCs/>
            </w:rPr>
            <w:t>where as many as five</w:t>
          </w:r>
          <w:r w:rsidRPr="00022D75">
            <w:rPr>
              <w:bCs/>
              <w:iCs/>
            </w:rPr>
            <w:t xml:space="preserve"> participants on an average daily basis selling and/or buying between 15 and 20 TJ of gas including:</w:t>
          </w:r>
        </w:p>
        <w:p w:rsidR="00022D75" w:rsidRPr="00022D75" w:rsidRDefault="00022D75" w:rsidP="00EF1B43">
          <w:pPr>
            <w:pStyle w:val="ListBullet"/>
            <w:numPr>
              <w:ilvl w:val="0"/>
              <w:numId w:val="35"/>
            </w:numPr>
          </w:pPr>
          <w:r w:rsidRPr="00022D75">
            <w:rPr>
              <w:bCs/>
              <w:iCs/>
            </w:rPr>
            <w:t xml:space="preserve">LNG exporters selling gas at the Wallumbilla hub through the exchange for delivery on </w:t>
          </w:r>
          <w:r w:rsidR="00CB25D9">
            <w:rPr>
              <w:bCs/>
              <w:iCs/>
            </w:rPr>
            <w:t xml:space="preserve">the </w:t>
          </w:r>
          <w:r w:rsidRPr="00022D75">
            <w:rPr>
              <w:bCs/>
              <w:iCs/>
            </w:rPr>
            <w:t>SWQP</w:t>
          </w:r>
        </w:p>
        <w:p w:rsidR="00022D75" w:rsidRPr="00022D75" w:rsidRDefault="00022D75" w:rsidP="00EF1B43">
          <w:pPr>
            <w:pStyle w:val="ListBullet"/>
            <w:numPr>
              <w:ilvl w:val="0"/>
              <w:numId w:val="35"/>
            </w:numPr>
          </w:pPr>
          <w:r w:rsidRPr="00022D75">
            <w:rPr>
              <w:bCs/>
              <w:iCs/>
            </w:rPr>
            <w:t>Southern producers selling gas into the Southern STTMs and Victorian markets</w:t>
          </w:r>
        </w:p>
        <w:p w:rsidR="00022D75" w:rsidRPr="00022D75" w:rsidRDefault="00022D75" w:rsidP="00EF1B43">
          <w:pPr>
            <w:pStyle w:val="ListBullet"/>
            <w:numPr>
              <w:ilvl w:val="0"/>
              <w:numId w:val="35"/>
            </w:numPr>
          </w:pPr>
          <w:r w:rsidRPr="00022D75">
            <w:rPr>
              <w:bCs/>
              <w:iCs/>
            </w:rPr>
            <w:t>Large integrated electricity and gas retailers</w:t>
          </w:r>
        </w:p>
        <w:p w:rsidR="00022D75" w:rsidRPr="00022D75" w:rsidRDefault="00022D75" w:rsidP="00EF1B43">
          <w:pPr>
            <w:pStyle w:val="ListBullet"/>
            <w:numPr>
              <w:ilvl w:val="0"/>
              <w:numId w:val="35"/>
            </w:numPr>
          </w:pPr>
          <w:r w:rsidRPr="00022D75">
            <w:rPr>
              <w:bCs/>
              <w:iCs/>
            </w:rPr>
            <w:t>Medium-sized integrated electricity and gas retailers</w:t>
          </w:r>
        </w:p>
        <w:p w:rsidR="00022D75" w:rsidRDefault="00022D75" w:rsidP="00022D75">
          <w:pPr>
            <w:pStyle w:val="ListBullet"/>
            <w:numPr>
              <w:ilvl w:val="0"/>
              <w:numId w:val="0"/>
            </w:numPr>
          </w:pPr>
          <w:r>
            <w:t>This increase in traded volumes through the markets may be indicative that with the changed dynamics in the market there is increasing appetite from Southern gas producers (Santos and Esso) and LNG exporters (QCLNG, GLNG and APLNG) to trade gas into the domestic markets.</w:t>
          </w:r>
          <w:r>
            <w:rPr>
              <w:rStyle w:val="FootnoteReference"/>
            </w:rPr>
            <w:footnoteReference w:id="13"/>
          </w:r>
          <w:r>
            <w:t xml:space="preserve"> These observations are consistent with views shared by a range of participants in preparing this report. LNG exporters had also informed the ACCC Gas Inquiry that following achieving production for LNG trains they were looking for opportunities to trade into downstream markets.</w:t>
          </w:r>
          <w:r>
            <w:rPr>
              <w:rStyle w:val="FootnoteReference"/>
            </w:rPr>
            <w:footnoteReference w:id="14"/>
          </w:r>
        </w:p>
        <w:p w:rsidR="008D3AE4" w:rsidRDefault="008D3AE4" w:rsidP="00022D75">
          <w:pPr>
            <w:pStyle w:val="ListBullet"/>
            <w:numPr>
              <w:ilvl w:val="0"/>
              <w:numId w:val="0"/>
            </w:numPr>
          </w:pPr>
        </w:p>
        <w:p w:rsidR="008D3AE4" w:rsidRDefault="008D3AE4" w:rsidP="00022D75">
          <w:pPr>
            <w:pStyle w:val="ListBullet"/>
            <w:numPr>
              <w:ilvl w:val="0"/>
              <w:numId w:val="0"/>
            </w:numPr>
          </w:pPr>
        </w:p>
        <w:p w:rsidR="008D3AE4" w:rsidRDefault="008D3AE4" w:rsidP="00022D75">
          <w:pPr>
            <w:pStyle w:val="ListBullet"/>
            <w:numPr>
              <w:ilvl w:val="0"/>
              <w:numId w:val="0"/>
            </w:numPr>
          </w:pPr>
        </w:p>
        <w:p w:rsidR="00226DC2" w:rsidRPr="00137954" w:rsidRDefault="00226DC2" w:rsidP="001F0D21">
          <w:pPr>
            <w:pStyle w:val="Heading2"/>
          </w:pPr>
          <w:bookmarkStart w:id="26" w:name="_Toc466896983"/>
          <w:r w:rsidRPr="00137954">
            <w:t xml:space="preserve">Supply </w:t>
          </w:r>
          <w:bookmarkEnd w:id="22"/>
          <w:r w:rsidR="00FD477D">
            <w:t>conditions</w:t>
          </w:r>
          <w:bookmarkEnd w:id="26"/>
        </w:p>
        <w:p w:rsidR="006B1728" w:rsidRPr="00E9005A" w:rsidRDefault="006B1728" w:rsidP="006B1728">
          <w:pPr>
            <w:pStyle w:val="ListBullet"/>
            <w:numPr>
              <w:ilvl w:val="0"/>
              <w:numId w:val="0"/>
            </w:numPr>
            <w:rPr>
              <w:bCs/>
              <w:iCs/>
            </w:rPr>
          </w:pPr>
          <w:r w:rsidRPr="00E9005A">
            <w:rPr>
              <w:bCs/>
              <w:iCs/>
            </w:rPr>
            <w:t>Historically, gas from the Moomba production facility (in the Cooper basin), the Victorian gas fields (the Otway, Bass, and Gippsland basins) and storage facilities has supplied demand located south of Moomba.</w:t>
          </w:r>
          <w:r w:rsidRPr="00E9005A">
            <w:rPr>
              <w:rStyle w:val="FootnoteReference"/>
              <w:bCs/>
              <w:iCs/>
              <w:sz w:val="22"/>
            </w:rPr>
            <w:footnoteReference w:id="15"/>
          </w:r>
        </w:p>
        <w:p w:rsidR="006B1728" w:rsidRPr="00E9005A" w:rsidRDefault="006B1728" w:rsidP="006B1728">
          <w:pPr>
            <w:pStyle w:val="ListBullet"/>
            <w:numPr>
              <w:ilvl w:val="0"/>
              <w:numId w:val="0"/>
            </w:numPr>
            <w:rPr>
              <w:bCs/>
              <w:iCs/>
            </w:rPr>
          </w:pPr>
          <w:r w:rsidRPr="00E9005A">
            <w:rPr>
              <w:bCs/>
              <w:iCs/>
            </w:rPr>
            <w:t>Gas from the Roma production fields (the Surat and Bowen basins, north of Moomba) has predominately supplied demand in Queensland, in particular Mt Isa, Gladstone and Brisbane.</w:t>
          </w:r>
        </w:p>
        <w:p w:rsidR="006B1728" w:rsidRPr="00E9005A" w:rsidRDefault="006B1728" w:rsidP="006B1728">
          <w:pPr>
            <w:pStyle w:val="ListBullet"/>
            <w:numPr>
              <w:ilvl w:val="0"/>
              <w:numId w:val="0"/>
            </w:numPr>
            <w:rPr>
              <w:bCs/>
              <w:iCs/>
            </w:rPr>
          </w:pPr>
          <w:r w:rsidRPr="00E9005A">
            <w:rPr>
              <w:bCs/>
              <w:iCs/>
            </w:rPr>
            <w:t xml:space="preserve">The gas basins across the east coast are illustrated in </w:t>
          </w:r>
          <w:r w:rsidR="00AD4BE9">
            <w:rPr>
              <w:bCs/>
              <w:iCs/>
            </w:rPr>
            <w:fldChar w:fldCharType="begin"/>
          </w:r>
          <w:r w:rsidR="00AD4BE9">
            <w:rPr>
              <w:bCs/>
              <w:iCs/>
            </w:rPr>
            <w:instrText xml:space="preserve"> REF _Ref465353825 \h </w:instrText>
          </w:r>
          <w:r w:rsidR="00AD4BE9">
            <w:rPr>
              <w:bCs/>
              <w:iCs/>
            </w:rPr>
          </w:r>
          <w:r w:rsidR="00AD4BE9">
            <w:rPr>
              <w:bCs/>
              <w:iCs/>
            </w:rPr>
            <w:fldChar w:fldCharType="separate"/>
          </w:r>
          <w:r w:rsidR="00D94C93">
            <w:t>Figure </w:t>
          </w:r>
          <w:r w:rsidR="00D94C93">
            <w:rPr>
              <w:noProof/>
            </w:rPr>
            <w:t>1</w:t>
          </w:r>
          <w:r w:rsidR="00AD4BE9">
            <w:rPr>
              <w:bCs/>
              <w:iCs/>
            </w:rPr>
            <w:fldChar w:fldCharType="end"/>
          </w:r>
          <w:r w:rsidRPr="00E9005A">
            <w:rPr>
              <w:bCs/>
              <w:iCs/>
            </w:rPr>
            <w:t>.</w:t>
          </w:r>
        </w:p>
        <w:p w:rsidR="006B1728" w:rsidRPr="00990DD8" w:rsidRDefault="006B1728" w:rsidP="006B1728">
          <w:pPr>
            <w:pStyle w:val="Heading6notnumbered"/>
          </w:pPr>
          <w:r w:rsidRPr="006B1728">
            <w:t>Victorian gas fields</w:t>
          </w:r>
          <w:r w:rsidRPr="00990DD8">
            <w:t xml:space="preserve"> </w:t>
          </w:r>
        </w:p>
        <w:p w:rsidR="006B1728" w:rsidRPr="00E9005A" w:rsidRDefault="006B1728" w:rsidP="006B1728">
          <w:pPr>
            <w:pStyle w:val="ListBullet"/>
            <w:numPr>
              <w:ilvl w:val="0"/>
              <w:numId w:val="0"/>
            </w:numPr>
            <w:rPr>
              <w:bCs/>
              <w:i/>
              <w:iCs/>
            </w:rPr>
          </w:pPr>
          <w:r w:rsidRPr="00E9005A">
            <w:t xml:space="preserve">There are a number of important sources of supply located in Victoria. </w:t>
          </w:r>
          <w:r w:rsidR="00381186">
            <w:fldChar w:fldCharType="begin"/>
          </w:r>
          <w:r w:rsidR="00381186">
            <w:instrText xml:space="preserve"> REF _Ref465357490 \h </w:instrText>
          </w:r>
          <w:r w:rsidR="00381186">
            <w:fldChar w:fldCharType="separate"/>
          </w:r>
          <w:r w:rsidR="00D94C93" w:rsidRPr="00137954">
            <w:t>Table </w:t>
          </w:r>
          <w:r w:rsidR="00D94C93">
            <w:rPr>
              <w:noProof/>
            </w:rPr>
            <w:t>3</w:t>
          </w:r>
          <w:r w:rsidR="00381186">
            <w:fldChar w:fldCharType="end"/>
          </w:r>
          <w:r w:rsidRPr="00E9005A">
            <w:t xml:space="preserve"> sets out some of the key Victorian supply sources and the quantities of gas delivered across winter 2016 compared with 2015.</w:t>
          </w:r>
        </w:p>
        <w:p w:rsidR="006B1728" w:rsidRPr="00E9005A" w:rsidRDefault="006B1728" w:rsidP="006B1728">
          <w:pPr>
            <w:pStyle w:val="ListBullet"/>
            <w:numPr>
              <w:ilvl w:val="0"/>
              <w:numId w:val="0"/>
            </w:numPr>
          </w:pPr>
          <w:r w:rsidRPr="00E9005A">
            <w:t xml:space="preserve">Longford is the largest supplier of gas in Victoria. Longford operated at nearly 100 per cent of its capacity for most of winter 2016. For the same period in 2015 Longford was operating at </w:t>
          </w:r>
          <w:r w:rsidR="00DB5504">
            <w:t xml:space="preserve">around </w:t>
          </w:r>
          <w:r w:rsidRPr="00E9005A">
            <w:t>96 per cent.</w:t>
          </w:r>
          <w:r w:rsidRPr="00E9005A">
            <w:rPr>
              <w:rStyle w:val="FootnoteReference"/>
              <w:sz w:val="22"/>
            </w:rPr>
            <w:footnoteReference w:id="16"/>
          </w:r>
        </w:p>
        <w:p w:rsidR="006B1728" w:rsidRPr="00E9005A" w:rsidRDefault="006B1728" w:rsidP="006B1728">
          <w:pPr>
            <w:pStyle w:val="ListBullet"/>
            <w:numPr>
              <w:ilvl w:val="0"/>
              <w:numId w:val="0"/>
            </w:numPr>
          </w:pPr>
          <w:r w:rsidRPr="00E9005A">
            <w:t xml:space="preserve">Participants used the Iona underground storage facility to provide supply throughout June resulting in average deliveries </w:t>
          </w:r>
          <w:r w:rsidR="00DB5504">
            <w:t>around</w:t>
          </w:r>
          <w:r w:rsidRPr="00E9005A">
            <w:t xml:space="preserve"> 60 per cent higher than the previous year.</w:t>
          </w:r>
          <w:r w:rsidRPr="00E9005A">
            <w:rPr>
              <w:rStyle w:val="FootnoteReference"/>
              <w:sz w:val="22"/>
            </w:rPr>
            <w:footnoteReference w:id="17"/>
          </w:r>
          <w:r w:rsidRPr="00E9005A">
            <w:t xml:space="preserve"> The high use of Iona throughout June limited its ability to sustain the same levels of supply throughout July with even less scheduled in August.</w:t>
          </w:r>
        </w:p>
        <w:p w:rsidR="006B1728" w:rsidRPr="00E9005A" w:rsidRDefault="006B1728" w:rsidP="006B1728">
          <w:pPr>
            <w:pStyle w:val="ListBullet"/>
            <w:numPr>
              <w:ilvl w:val="0"/>
              <w:numId w:val="0"/>
            </w:numPr>
          </w:pPr>
          <w:r w:rsidRPr="00E9005A">
            <w:t>Other important sources of supply in Victoria include the Otway and Minerva gas plants.</w:t>
          </w:r>
        </w:p>
        <w:p w:rsidR="006B1728" w:rsidRPr="00E9005A" w:rsidRDefault="006B1728" w:rsidP="006B1728">
          <w:pPr>
            <w:pStyle w:val="ListBullet"/>
            <w:numPr>
              <w:ilvl w:val="0"/>
              <w:numId w:val="0"/>
            </w:numPr>
          </w:pPr>
          <w:r w:rsidRPr="00E9005A">
            <w:t>The Otway gas plant was operating at reduced capacity. It provided an average of around 93 TJ a day during winter, compared to an average of 105 TJ for the same period in 2015.</w:t>
          </w:r>
        </w:p>
        <w:p w:rsidR="006B1728" w:rsidRPr="00E9005A" w:rsidRDefault="006B1728" w:rsidP="006B1728">
          <w:pPr>
            <w:pStyle w:val="ListBullet"/>
            <w:numPr>
              <w:ilvl w:val="0"/>
              <w:numId w:val="0"/>
            </w:numPr>
          </w:pPr>
          <w:r w:rsidRPr="00E9005A">
            <w:t>The Minerva gas plant also supplied less gas this winter, with an average daily delivery of around 54 TJ, compared to an average of around 70 TJ for the same period last year.</w:t>
          </w:r>
        </w:p>
        <w:p w:rsidR="006B1728" w:rsidRDefault="006B1728" w:rsidP="006B1728">
          <w:pPr>
            <w:pStyle w:val="Caption"/>
            <w:rPr>
              <w:noProof/>
            </w:rPr>
          </w:pPr>
          <w:bookmarkStart w:id="27" w:name="_Ref465357490"/>
          <w:r w:rsidRPr="00137954">
            <w:t>Table </w:t>
          </w:r>
          <w:r w:rsidR="002852EF">
            <w:fldChar w:fldCharType="begin"/>
          </w:r>
          <w:r w:rsidR="002852EF">
            <w:instrText xml:space="preserve"> SEQ Table \* ARABIC </w:instrText>
          </w:r>
          <w:r w:rsidR="002852EF">
            <w:fldChar w:fldCharType="separate"/>
          </w:r>
          <w:r w:rsidR="00D94C93">
            <w:rPr>
              <w:noProof/>
            </w:rPr>
            <w:t>3</w:t>
          </w:r>
          <w:r w:rsidR="002852EF">
            <w:rPr>
              <w:noProof/>
            </w:rPr>
            <w:fldChar w:fldCharType="end"/>
          </w:r>
          <w:bookmarkEnd w:id="27"/>
          <w:r w:rsidRPr="00137954">
            <w:rPr>
              <w:noProof/>
            </w:rPr>
            <w:t>: Key Victorian supply sources–winter 201</w:t>
          </w:r>
          <w:r>
            <w:rPr>
              <w:noProof/>
            </w:rPr>
            <w:t>6</w:t>
          </w:r>
          <w:r w:rsidRPr="00137954">
            <w:rPr>
              <w:noProof/>
            </w:rPr>
            <w:t xml:space="preserve"> vs 201</w:t>
          </w:r>
          <w:r>
            <w:rPr>
              <w:noProof/>
            </w:rPr>
            <w:t>5</w:t>
          </w:r>
          <w:r w:rsidRPr="00137954">
            <w:rPr>
              <w:noProof/>
            </w:rPr>
            <w:t xml:space="preserve"> </w:t>
          </w:r>
        </w:p>
        <w:tbl>
          <w:tblPr>
            <w:tblStyle w:val="AERTable-Text"/>
            <w:tblW w:w="4950" w:type="pct"/>
            <w:tblLayout w:type="fixed"/>
            <w:tblLook w:val="04A0" w:firstRow="1" w:lastRow="0" w:firstColumn="1" w:lastColumn="0" w:noHBand="0" w:noVBand="1"/>
          </w:tblPr>
          <w:tblGrid>
            <w:gridCol w:w="1242"/>
            <w:gridCol w:w="1558"/>
            <w:gridCol w:w="881"/>
            <w:gridCol w:w="960"/>
            <w:gridCol w:w="990"/>
            <w:gridCol w:w="995"/>
            <w:gridCol w:w="990"/>
            <w:gridCol w:w="990"/>
          </w:tblGrid>
          <w:tr w:rsidR="008A07BF" w:rsidRPr="00E95390" w:rsidTr="008A07BF">
            <w:trPr>
              <w:cnfStyle w:val="100000000000" w:firstRow="1" w:lastRow="0" w:firstColumn="0" w:lastColumn="0" w:oddVBand="0" w:evenVBand="0" w:oddHBand="0" w:evenHBand="0" w:firstRowFirstColumn="0" w:firstRowLastColumn="0" w:lastRowFirstColumn="0" w:lastRowLastColumn="0"/>
              <w:trHeight w:val="282"/>
              <w:tblHeader/>
            </w:trPr>
            <w:tc>
              <w:tcPr>
                <w:tcW w:w="722" w:type="pct"/>
                <w:vMerge w:val="restart"/>
                <w:vAlign w:val="center"/>
              </w:tcPr>
              <w:p w:rsidR="00916414" w:rsidRPr="00137954" w:rsidRDefault="00916414" w:rsidP="002B723A">
                <w:pPr>
                  <w:pStyle w:val="tabletext0"/>
                </w:pPr>
                <w:r w:rsidRPr="00137954">
                  <w:t>Source</w:t>
                </w:r>
              </w:p>
            </w:tc>
            <w:tc>
              <w:tcPr>
                <w:tcW w:w="905" w:type="pct"/>
                <w:vMerge w:val="restart"/>
                <w:vAlign w:val="center"/>
              </w:tcPr>
              <w:p w:rsidR="00916414" w:rsidRPr="00137954" w:rsidRDefault="00916414" w:rsidP="002B723A">
                <w:pPr>
                  <w:pStyle w:val="tabletext0"/>
                </w:pPr>
                <w:r w:rsidRPr="00137954">
                  <w:t>Measure</w:t>
                </w:r>
              </w:p>
            </w:tc>
            <w:tc>
              <w:tcPr>
                <w:tcW w:w="1644" w:type="pct"/>
                <w:gridSpan w:val="3"/>
                <w:tcBorders>
                  <w:bottom w:val="nil"/>
                </w:tcBorders>
                <w:vAlign w:val="center"/>
              </w:tcPr>
              <w:p w:rsidR="00916414" w:rsidRPr="00137954" w:rsidRDefault="00916414" w:rsidP="002B723A">
                <w:pPr>
                  <w:pStyle w:val="tabletext0"/>
                  <w:jc w:val="center"/>
                  <w:rPr>
                    <w:b w:val="0"/>
                  </w:rPr>
                </w:pPr>
                <w:r w:rsidRPr="00137954">
                  <w:t>2016</w:t>
                </w:r>
              </w:p>
            </w:tc>
            <w:tc>
              <w:tcPr>
                <w:tcW w:w="1730" w:type="pct"/>
                <w:gridSpan w:val="3"/>
                <w:tcBorders>
                  <w:bottom w:val="nil"/>
                </w:tcBorders>
              </w:tcPr>
              <w:p w:rsidR="00916414" w:rsidRPr="00137954" w:rsidRDefault="00916414" w:rsidP="002B723A">
                <w:pPr>
                  <w:pStyle w:val="tabletext0"/>
                  <w:jc w:val="center"/>
                </w:pPr>
                <w:r>
                  <w:t>2015</w:t>
                </w:r>
              </w:p>
            </w:tc>
          </w:tr>
          <w:tr w:rsidR="008A07BF" w:rsidRPr="00E16EDC" w:rsidTr="008A07BF">
            <w:trPr>
              <w:cnfStyle w:val="100000000000" w:firstRow="1" w:lastRow="0" w:firstColumn="0" w:lastColumn="0" w:oddVBand="0" w:evenVBand="0" w:oddHBand="0" w:evenHBand="0" w:firstRowFirstColumn="0" w:firstRowLastColumn="0" w:lastRowFirstColumn="0" w:lastRowLastColumn="0"/>
              <w:trHeight w:val="104"/>
              <w:tblHeader/>
            </w:trPr>
            <w:tc>
              <w:tcPr>
                <w:tcW w:w="722" w:type="pct"/>
                <w:vMerge/>
                <w:tcBorders>
                  <w:bottom w:val="nil"/>
                </w:tcBorders>
                <w:vAlign w:val="center"/>
                <w:hideMark/>
              </w:tcPr>
              <w:p w:rsidR="00916414" w:rsidRPr="00916414" w:rsidRDefault="00916414" w:rsidP="002B723A">
                <w:pPr>
                  <w:spacing w:before="0" w:line="240" w:lineRule="auto"/>
                  <w:rPr>
                    <w:rFonts w:cs="Arial"/>
                    <w:sz w:val="18"/>
                    <w:szCs w:val="18"/>
                    <w:highlight w:val="yellow"/>
                  </w:rPr>
                </w:pPr>
              </w:p>
            </w:tc>
            <w:tc>
              <w:tcPr>
                <w:tcW w:w="905" w:type="pct"/>
                <w:vMerge/>
                <w:tcBorders>
                  <w:bottom w:val="nil"/>
                </w:tcBorders>
              </w:tcPr>
              <w:p w:rsidR="00916414" w:rsidRPr="00916414" w:rsidRDefault="00916414" w:rsidP="002B723A">
                <w:pPr>
                  <w:spacing w:before="120" w:line="240" w:lineRule="auto"/>
                  <w:ind w:left="-113" w:right="-113"/>
                  <w:jc w:val="center"/>
                  <w:rPr>
                    <w:rFonts w:cs="Arial"/>
                    <w:bCs/>
                    <w:color w:val="FFFFFF"/>
                    <w:sz w:val="18"/>
                    <w:szCs w:val="18"/>
                  </w:rPr>
                </w:pPr>
              </w:p>
            </w:tc>
            <w:tc>
              <w:tcPr>
                <w:tcW w:w="512" w:type="pct"/>
                <w:tcBorders>
                  <w:bottom w:val="nil"/>
                </w:tcBorders>
                <w:vAlign w:val="center"/>
                <w:hideMark/>
              </w:tcPr>
              <w:p w:rsidR="00916414" w:rsidRPr="00137954" w:rsidRDefault="00916414" w:rsidP="002B723A">
                <w:pPr>
                  <w:pStyle w:val="tabletext0"/>
                  <w:jc w:val="center"/>
                  <w:rPr>
                    <w:b w:val="0"/>
                  </w:rPr>
                </w:pPr>
                <w:r w:rsidRPr="00137954">
                  <w:rPr>
                    <w:b w:val="0"/>
                  </w:rPr>
                  <w:t>June</w:t>
                </w:r>
              </w:p>
            </w:tc>
            <w:tc>
              <w:tcPr>
                <w:tcW w:w="558" w:type="pct"/>
                <w:tcBorders>
                  <w:bottom w:val="nil"/>
                </w:tcBorders>
                <w:vAlign w:val="center"/>
                <w:hideMark/>
              </w:tcPr>
              <w:p w:rsidR="00916414" w:rsidRPr="00137954" w:rsidRDefault="00916414" w:rsidP="002B723A">
                <w:pPr>
                  <w:pStyle w:val="tabletext0"/>
                  <w:jc w:val="center"/>
                  <w:rPr>
                    <w:b w:val="0"/>
                  </w:rPr>
                </w:pPr>
                <w:r w:rsidRPr="00137954">
                  <w:rPr>
                    <w:b w:val="0"/>
                  </w:rPr>
                  <w:t>July</w:t>
                </w:r>
              </w:p>
            </w:tc>
            <w:tc>
              <w:tcPr>
                <w:tcW w:w="575" w:type="pct"/>
                <w:tcBorders>
                  <w:bottom w:val="nil"/>
                </w:tcBorders>
                <w:hideMark/>
              </w:tcPr>
              <w:p w:rsidR="00916414" w:rsidRPr="00137954" w:rsidRDefault="00916414" w:rsidP="002B723A">
                <w:pPr>
                  <w:pStyle w:val="tabletext0"/>
                  <w:jc w:val="center"/>
                  <w:rPr>
                    <w:b w:val="0"/>
                  </w:rPr>
                </w:pPr>
                <w:r>
                  <w:rPr>
                    <w:b w:val="0"/>
                  </w:rPr>
                  <w:t>August</w:t>
                </w:r>
              </w:p>
            </w:tc>
            <w:tc>
              <w:tcPr>
                <w:tcW w:w="578" w:type="pct"/>
                <w:tcBorders>
                  <w:bottom w:val="nil"/>
                </w:tcBorders>
                <w:vAlign w:val="center"/>
              </w:tcPr>
              <w:p w:rsidR="00916414" w:rsidRPr="00137954" w:rsidRDefault="00916414" w:rsidP="002B723A">
                <w:pPr>
                  <w:pStyle w:val="tabletext0"/>
                  <w:jc w:val="center"/>
                  <w:rPr>
                    <w:b w:val="0"/>
                  </w:rPr>
                </w:pPr>
                <w:r w:rsidRPr="00137954">
                  <w:rPr>
                    <w:b w:val="0"/>
                  </w:rPr>
                  <w:t>June</w:t>
                </w:r>
              </w:p>
            </w:tc>
            <w:tc>
              <w:tcPr>
                <w:tcW w:w="575" w:type="pct"/>
                <w:tcBorders>
                  <w:bottom w:val="nil"/>
                </w:tcBorders>
                <w:vAlign w:val="center"/>
              </w:tcPr>
              <w:p w:rsidR="00916414" w:rsidRPr="00137954" w:rsidRDefault="00916414" w:rsidP="002B723A">
                <w:pPr>
                  <w:pStyle w:val="tabletext0"/>
                  <w:jc w:val="center"/>
                  <w:rPr>
                    <w:b w:val="0"/>
                  </w:rPr>
                </w:pPr>
                <w:r w:rsidRPr="00137954">
                  <w:rPr>
                    <w:b w:val="0"/>
                  </w:rPr>
                  <w:t>July</w:t>
                </w:r>
              </w:p>
            </w:tc>
            <w:tc>
              <w:tcPr>
                <w:tcW w:w="578" w:type="pct"/>
                <w:tcBorders>
                  <w:bottom w:val="nil"/>
                </w:tcBorders>
              </w:tcPr>
              <w:p w:rsidR="00916414" w:rsidRPr="00137954" w:rsidRDefault="00916414" w:rsidP="002B723A">
                <w:pPr>
                  <w:pStyle w:val="tabletext0"/>
                  <w:jc w:val="center"/>
                  <w:rPr>
                    <w:b w:val="0"/>
                  </w:rPr>
                </w:pPr>
                <w:r>
                  <w:rPr>
                    <w:b w:val="0"/>
                  </w:rPr>
                  <w:t>August</w:t>
                </w:r>
              </w:p>
            </w:tc>
          </w:tr>
          <w:tr w:rsidR="00916414" w:rsidTr="008A07BF">
            <w:trPr>
              <w:cnfStyle w:val="000000100000" w:firstRow="0" w:lastRow="0" w:firstColumn="0" w:lastColumn="0" w:oddVBand="0" w:evenVBand="0" w:oddHBand="1" w:evenHBand="0" w:firstRowFirstColumn="0" w:firstRowLastColumn="0" w:lastRowFirstColumn="0" w:lastRowLastColumn="0"/>
              <w:trHeight w:val="263"/>
            </w:trPr>
            <w:tc>
              <w:tcPr>
                <w:tcW w:w="722" w:type="pct"/>
                <w:tcBorders>
                  <w:top w:val="nil"/>
                  <w:bottom w:val="nil"/>
                </w:tcBorders>
              </w:tcPr>
              <w:p w:rsidR="00916414" w:rsidRPr="00137954" w:rsidRDefault="00916414" w:rsidP="00916414">
                <w:pPr>
                  <w:pStyle w:val="tabletext0"/>
                  <w:spacing w:before="120" w:after="0"/>
                  <w:rPr>
                    <w:b/>
                  </w:rPr>
                </w:pPr>
                <w:r w:rsidRPr="00137954">
                  <w:rPr>
                    <w:b/>
                  </w:rPr>
                  <w:t>Longford</w:t>
                </w: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Daily average</w:t>
                </w:r>
              </w:p>
            </w:tc>
            <w:tc>
              <w:tcPr>
                <w:tcW w:w="512" w:type="pct"/>
                <w:tcBorders>
                  <w:top w:val="nil"/>
                  <w:bottom w:val="nil"/>
                </w:tcBorders>
              </w:tcPr>
              <w:p w:rsidR="00916414" w:rsidRPr="00A46772" w:rsidRDefault="00916414" w:rsidP="00916414">
                <w:pPr>
                  <w:pStyle w:val="tabletext0"/>
                  <w:spacing w:before="120" w:after="0"/>
                  <w:jc w:val="right"/>
                </w:pPr>
                <w:r w:rsidRPr="00A46772">
                  <w:t>1,024</w:t>
                </w:r>
              </w:p>
            </w:tc>
            <w:tc>
              <w:tcPr>
                <w:tcW w:w="558" w:type="pct"/>
                <w:tcBorders>
                  <w:top w:val="nil"/>
                  <w:bottom w:val="nil"/>
                </w:tcBorders>
              </w:tcPr>
              <w:p w:rsidR="00916414" w:rsidRPr="007C7256" w:rsidRDefault="00916414" w:rsidP="00916414">
                <w:pPr>
                  <w:pStyle w:val="tabletext0"/>
                  <w:spacing w:before="120" w:after="0"/>
                  <w:jc w:val="right"/>
                </w:pPr>
                <w:r w:rsidRPr="007C7256">
                  <w:t>1,022</w:t>
                </w:r>
              </w:p>
            </w:tc>
            <w:tc>
              <w:tcPr>
                <w:tcW w:w="575" w:type="pct"/>
                <w:tcBorders>
                  <w:top w:val="nil"/>
                  <w:bottom w:val="nil"/>
                </w:tcBorders>
              </w:tcPr>
              <w:p w:rsidR="00916414" w:rsidRPr="007C7256" w:rsidRDefault="00916414" w:rsidP="00916414">
                <w:pPr>
                  <w:pStyle w:val="tabletext0"/>
                  <w:spacing w:before="120" w:after="0"/>
                  <w:jc w:val="right"/>
                </w:pPr>
                <w:r w:rsidRPr="007C7256">
                  <w:t>1,020</w:t>
                </w:r>
              </w:p>
            </w:tc>
            <w:tc>
              <w:tcPr>
                <w:tcW w:w="578" w:type="pct"/>
                <w:tcBorders>
                  <w:top w:val="nil"/>
                  <w:bottom w:val="nil"/>
                </w:tcBorders>
              </w:tcPr>
              <w:p w:rsidR="00916414" w:rsidRPr="007C7256" w:rsidRDefault="00916414" w:rsidP="00916414">
                <w:pPr>
                  <w:pStyle w:val="tabletext0"/>
                  <w:spacing w:before="120" w:after="0"/>
                  <w:jc w:val="right"/>
                </w:pPr>
                <w:r w:rsidRPr="007C7256">
                  <w:t>957</w:t>
                </w:r>
              </w:p>
            </w:tc>
            <w:tc>
              <w:tcPr>
                <w:tcW w:w="575" w:type="pct"/>
                <w:tcBorders>
                  <w:top w:val="nil"/>
                  <w:bottom w:val="nil"/>
                </w:tcBorders>
              </w:tcPr>
              <w:p w:rsidR="00916414" w:rsidRPr="007C7256" w:rsidRDefault="00916414" w:rsidP="00916414">
                <w:pPr>
                  <w:pStyle w:val="tabletext0"/>
                  <w:spacing w:before="120" w:after="0"/>
                  <w:jc w:val="right"/>
                </w:pPr>
                <w:r w:rsidRPr="007C7256">
                  <w:t>993</w:t>
                </w:r>
              </w:p>
            </w:tc>
            <w:tc>
              <w:tcPr>
                <w:tcW w:w="578" w:type="pct"/>
                <w:tcBorders>
                  <w:top w:val="nil"/>
                  <w:bottom w:val="nil"/>
                </w:tcBorders>
              </w:tcPr>
              <w:p w:rsidR="00916414" w:rsidRPr="007C7256" w:rsidRDefault="00916414" w:rsidP="00916414">
                <w:pPr>
                  <w:pStyle w:val="tabletext0"/>
                  <w:spacing w:before="120" w:after="0"/>
                  <w:jc w:val="right"/>
                </w:pPr>
                <w:r w:rsidRPr="007C7256">
                  <w:t>967</w:t>
                </w:r>
              </w:p>
            </w:tc>
          </w:tr>
          <w:tr w:rsidR="00916414" w:rsidTr="008A07BF">
            <w:trPr>
              <w:cnfStyle w:val="000000010000" w:firstRow="0" w:lastRow="0" w:firstColumn="0" w:lastColumn="0" w:oddVBand="0" w:evenVBand="0" w:oddHBand="0" w:evenHBand="1" w:firstRowFirstColumn="0" w:firstRowLastColumn="0" w:lastRowFirstColumn="0" w:lastRowLastColumn="0"/>
              <w:trHeight w:val="95"/>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Maximum</w:t>
                </w:r>
              </w:p>
            </w:tc>
            <w:tc>
              <w:tcPr>
                <w:tcW w:w="512" w:type="pct"/>
                <w:tcBorders>
                  <w:top w:val="nil"/>
                  <w:bottom w:val="nil"/>
                </w:tcBorders>
              </w:tcPr>
              <w:p w:rsidR="00916414" w:rsidRPr="00A46772" w:rsidRDefault="00916414" w:rsidP="00916414">
                <w:pPr>
                  <w:pStyle w:val="tabletext0"/>
                  <w:spacing w:before="120" w:after="0"/>
                  <w:jc w:val="right"/>
                </w:pPr>
                <w:r w:rsidRPr="00A46772">
                  <w:t>1,059</w:t>
                </w:r>
              </w:p>
            </w:tc>
            <w:tc>
              <w:tcPr>
                <w:tcW w:w="558" w:type="pct"/>
                <w:tcBorders>
                  <w:top w:val="nil"/>
                  <w:bottom w:val="nil"/>
                </w:tcBorders>
              </w:tcPr>
              <w:p w:rsidR="00916414" w:rsidRPr="007C7256" w:rsidRDefault="00916414" w:rsidP="00916414">
                <w:pPr>
                  <w:pStyle w:val="tabletext0"/>
                  <w:spacing w:before="120" w:after="0"/>
                  <w:jc w:val="right"/>
                </w:pPr>
                <w:r w:rsidRPr="007C7256">
                  <w:t>1,056</w:t>
                </w:r>
              </w:p>
            </w:tc>
            <w:tc>
              <w:tcPr>
                <w:tcW w:w="575" w:type="pct"/>
                <w:tcBorders>
                  <w:top w:val="nil"/>
                  <w:bottom w:val="nil"/>
                </w:tcBorders>
              </w:tcPr>
              <w:p w:rsidR="00916414" w:rsidRPr="007C7256" w:rsidRDefault="00916414" w:rsidP="00916414">
                <w:pPr>
                  <w:pStyle w:val="tabletext0"/>
                  <w:spacing w:before="120" w:after="0"/>
                  <w:jc w:val="right"/>
                </w:pPr>
                <w:r w:rsidRPr="007C7256">
                  <w:t>1,050</w:t>
                </w:r>
              </w:p>
            </w:tc>
            <w:tc>
              <w:tcPr>
                <w:tcW w:w="578" w:type="pct"/>
                <w:tcBorders>
                  <w:top w:val="nil"/>
                  <w:bottom w:val="nil"/>
                </w:tcBorders>
              </w:tcPr>
              <w:p w:rsidR="00916414" w:rsidRPr="007C7256" w:rsidRDefault="00916414" w:rsidP="00916414">
                <w:pPr>
                  <w:pStyle w:val="tabletext0"/>
                  <w:spacing w:before="120" w:after="0"/>
                  <w:jc w:val="right"/>
                </w:pPr>
                <w:r w:rsidRPr="007C7256">
                  <w:t>1,036</w:t>
                </w:r>
              </w:p>
            </w:tc>
            <w:tc>
              <w:tcPr>
                <w:tcW w:w="575" w:type="pct"/>
                <w:tcBorders>
                  <w:top w:val="nil"/>
                  <w:bottom w:val="nil"/>
                </w:tcBorders>
              </w:tcPr>
              <w:p w:rsidR="00916414" w:rsidRPr="007C7256" w:rsidRDefault="00916414" w:rsidP="00916414">
                <w:pPr>
                  <w:pStyle w:val="tabletext0"/>
                  <w:spacing w:before="120" w:after="0"/>
                  <w:jc w:val="right"/>
                </w:pPr>
                <w:r w:rsidRPr="007C7256">
                  <w:t>1,043</w:t>
                </w:r>
              </w:p>
            </w:tc>
            <w:tc>
              <w:tcPr>
                <w:tcW w:w="578" w:type="pct"/>
                <w:tcBorders>
                  <w:top w:val="nil"/>
                  <w:bottom w:val="nil"/>
                </w:tcBorders>
              </w:tcPr>
              <w:p w:rsidR="00916414" w:rsidRPr="007C7256" w:rsidRDefault="00916414" w:rsidP="00916414">
                <w:pPr>
                  <w:pStyle w:val="tabletext0"/>
                  <w:spacing w:before="120" w:after="0"/>
                  <w:jc w:val="right"/>
                </w:pPr>
                <w:r w:rsidRPr="007C7256">
                  <w:t>1,043</w:t>
                </w:r>
              </w:p>
            </w:tc>
          </w:tr>
          <w:tr w:rsidR="00916414" w:rsidTr="008A07BF">
            <w:trPr>
              <w:cnfStyle w:val="000000100000" w:firstRow="0" w:lastRow="0" w:firstColumn="0" w:lastColumn="0" w:oddVBand="0" w:evenVBand="0" w:oddHBand="1" w:evenHBand="0" w:firstRowFirstColumn="0" w:firstRowLastColumn="0" w:lastRowFirstColumn="0" w:lastRowLastColumn="0"/>
              <w:trHeight w:val="120"/>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Minimum</w:t>
                </w:r>
              </w:p>
            </w:tc>
            <w:tc>
              <w:tcPr>
                <w:tcW w:w="512" w:type="pct"/>
                <w:tcBorders>
                  <w:top w:val="nil"/>
                  <w:bottom w:val="nil"/>
                </w:tcBorders>
              </w:tcPr>
              <w:p w:rsidR="00916414" w:rsidRPr="00A46772" w:rsidRDefault="00916414" w:rsidP="00916414">
                <w:pPr>
                  <w:pStyle w:val="tabletext0"/>
                  <w:spacing w:before="120" w:after="0"/>
                  <w:jc w:val="right"/>
                </w:pPr>
                <w:r w:rsidRPr="00A46772">
                  <w:t>968</w:t>
                </w:r>
              </w:p>
            </w:tc>
            <w:tc>
              <w:tcPr>
                <w:tcW w:w="558" w:type="pct"/>
                <w:tcBorders>
                  <w:top w:val="nil"/>
                  <w:bottom w:val="nil"/>
                </w:tcBorders>
              </w:tcPr>
              <w:p w:rsidR="00916414" w:rsidRPr="007C7256" w:rsidRDefault="00916414" w:rsidP="00916414">
                <w:pPr>
                  <w:pStyle w:val="tabletext0"/>
                  <w:spacing w:before="120" w:after="0"/>
                  <w:jc w:val="right"/>
                </w:pPr>
                <w:r w:rsidRPr="007C7256">
                  <w:t>984</w:t>
                </w:r>
              </w:p>
            </w:tc>
            <w:tc>
              <w:tcPr>
                <w:tcW w:w="575" w:type="pct"/>
                <w:tcBorders>
                  <w:top w:val="nil"/>
                  <w:bottom w:val="nil"/>
                </w:tcBorders>
              </w:tcPr>
              <w:p w:rsidR="00916414" w:rsidRPr="007C7256" w:rsidRDefault="00916414" w:rsidP="00916414">
                <w:pPr>
                  <w:pStyle w:val="tabletext0"/>
                  <w:spacing w:before="120" w:after="0"/>
                  <w:jc w:val="right"/>
                </w:pPr>
                <w:r w:rsidRPr="007C7256">
                  <w:t>993</w:t>
                </w:r>
              </w:p>
            </w:tc>
            <w:tc>
              <w:tcPr>
                <w:tcW w:w="578" w:type="pct"/>
                <w:tcBorders>
                  <w:top w:val="nil"/>
                  <w:bottom w:val="nil"/>
                </w:tcBorders>
              </w:tcPr>
              <w:p w:rsidR="00916414" w:rsidRPr="007C7256" w:rsidRDefault="00916414" w:rsidP="00916414">
                <w:pPr>
                  <w:pStyle w:val="tabletext0"/>
                  <w:spacing w:before="120" w:after="0"/>
                  <w:jc w:val="right"/>
                </w:pPr>
                <w:r w:rsidRPr="007C7256">
                  <w:t>775</w:t>
                </w:r>
              </w:p>
            </w:tc>
            <w:tc>
              <w:tcPr>
                <w:tcW w:w="575" w:type="pct"/>
                <w:tcBorders>
                  <w:top w:val="nil"/>
                  <w:bottom w:val="nil"/>
                </w:tcBorders>
              </w:tcPr>
              <w:p w:rsidR="00916414" w:rsidRPr="007C7256" w:rsidRDefault="00916414" w:rsidP="00916414">
                <w:pPr>
                  <w:pStyle w:val="tabletext0"/>
                  <w:spacing w:before="120" w:after="0"/>
                  <w:jc w:val="right"/>
                </w:pPr>
                <w:r w:rsidRPr="007C7256">
                  <w:t>882</w:t>
                </w:r>
              </w:p>
            </w:tc>
            <w:tc>
              <w:tcPr>
                <w:tcW w:w="578" w:type="pct"/>
                <w:tcBorders>
                  <w:top w:val="nil"/>
                  <w:bottom w:val="nil"/>
                </w:tcBorders>
              </w:tcPr>
              <w:p w:rsidR="00916414" w:rsidRPr="007C7256" w:rsidRDefault="00916414" w:rsidP="00916414">
                <w:pPr>
                  <w:pStyle w:val="tabletext0"/>
                  <w:spacing w:before="120" w:after="0"/>
                  <w:jc w:val="right"/>
                </w:pPr>
                <w:r w:rsidRPr="007C7256">
                  <w:t>825</w:t>
                </w:r>
              </w:p>
            </w:tc>
          </w:tr>
          <w:tr w:rsidR="00916414" w:rsidTr="008A07BF">
            <w:trPr>
              <w:cnfStyle w:val="000000010000" w:firstRow="0" w:lastRow="0" w:firstColumn="0" w:lastColumn="0" w:oddVBand="0" w:evenVBand="0" w:oddHBand="0" w:evenHBand="1" w:firstRowFirstColumn="0" w:firstRowLastColumn="0" w:lastRowFirstColumn="0" w:lastRowLastColumn="0"/>
              <w:trHeight w:val="95"/>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Total</w:t>
                </w:r>
              </w:p>
            </w:tc>
            <w:tc>
              <w:tcPr>
                <w:tcW w:w="512" w:type="pct"/>
                <w:tcBorders>
                  <w:top w:val="nil"/>
                  <w:bottom w:val="nil"/>
                </w:tcBorders>
              </w:tcPr>
              <w:p w:rsidR="00916414" w:rsidRPr="00A46772" w:rsidRDefault="00916414" w:rsidP="00916414">
                <w:pPr>
                  <w:pStyle w:val="tabletext0"/>
                  <w:spacing w:before="120" w:after="0"/>
                  <w:jc w:val="right"/>
                </w:pPr>
                <w:r w:rsidRPr="00A46772">
                  <w:t>30,732</w:t>
                </w:r>
              </w:p>
            </w:tc>
            <w:tc>
              <w:tcPr>
                <w:tcW w:w="558" w:type="pct"/>
                <w:tcBorders>
                  <w:top w:val="nil"/>
                  <w:bottom w:val="nil"/>
                </w:tcBorders>
              </w:tcPr>
              <w:p w:rsidR="00916414" w:rsidRPr="007C7256" w:rsidRDefault="00916414" w:rsidP="00916414">
                <w:pPr>
                  <w:pStyle w:val="tabletext0"/>
                  <w:spacing w:before="120" w:after="0"/>
                  <w:jc w:val="right"/>
                </w:pPr>
                <w:r w:rsidRPr="007C7256">
                  <w:t>31,673</w:t>
                </w:r>
              </w:p>
            </w:tc>
            <w:tc>
              <w:tcPr>
                <w:tcW w:w="575" w:type="pct"/>
                <w:tcBorders>
                  <w:top w:val="nil"/>
                  <w:bottom w:val="nil"/>
                </w:tcBorders>
              </w:tcPr>
              <w:p w:rsidR="00916414" w:rsidRPr="007C7256" w:rsidRDefault="00916414" w:rsidP="00916414">
                <w:pPr>
                  <w:pStyle w:val="tabletext0"/>
                  <w:spacing w:before="120" w:after="0"/>
                  <w:jc w:val="right"/>
                </w:pPr>
                <w:r w:rsidRPr="007C7256">
                  <w:t>31,620</w:t>
                </w:r>
              </w:p>
            </w:tc>
            <w:tc>
              <w:tcPr>
                <w:tcW w:w="578" w:type="pct"/>
                <w:tcBorders>
                  <w:top w:val="nil"/>
                  <w:bottom w:val="nil"/>
                </w:tcBorders>
              </w:tcPr>
              <w:p w:rsidR="00916414" w:rsidRPr="007C7256" w:rsidRDefault="00916414" w:rsidP="00916414">
                <w:pPr>
                  <w:pStyle w:val="tabletext0"/>
                  <w:spacing w:before="120" w:after="0"/>
                  <w:jc w:val="right"/>
                </w:pPr>
                <w:r w:rsidRPr="007C7256">
                  <w:t>28,697</w:t>
                </w:r>
              </w:p>
            </w:tc>
            <w:tc>
              <w:tcPr>
                <w:tcW w:w="575" w:type="pct"/>
                <w:tcBorders>
                  <w:top w:val="nil"/>
                  <w:bottom w:val="nil"/>
                </w:tcBorders>
              </w:tcPr>
              <w:p w:rsidR="00916414" w:rsidRPr="007C7256" w:rsidRDefault="00916414" w:rsidP="00916414">
                <w:pPr>
                  <w:pStyle w:val="tabletext0"/>
                  <w:spacing w:before="120" w:after="0"/>
                  <w:jc w:val="right"/>
                </w:pPr>
                <w:r w:rsidRPr="007C7256">
                  <w:t>30,785</w:t>
                </w:r>
              </w:p>
            </w:tc>
            <w:tc>
              <w:tcPr>
                <w:tcW w:w="578" w:type="pct"/>
                <w:tcBorders>
                  <w:top w:val="nil"/>
                  <w:bottom w:val="nil"/>
                </w:tcBorders>
              </w:tcPr>
              <w:p w:rsidR="00916414" w:rsidRPr="007C7256" w:rsidRDefault="00916414" w:rsidP="00916414">
                <w:pPr>
                  <w:pStyle w:val="tabletext0"/>
                  <w:spacing w:before="120" w:after="0"/>
                  <w:jc w:val="right"/>
                </w:pPr>
                <w:r w:rsidRPr="007C7256">
                  <w:t>29,962</w:t>
                </w:r>
              </w:p>
            </w:tc>
          </w:tr>
          <w:tr w:rsidR="00916414" w:rsidTr="008A07BF">
            <w:trPr>
              <w:cnfStyle w:val="000000100000" w:firstRow="0" w:lastRow="0" w:firstColumn="0" w:lastColumn="0" w:oddVBand="0" w:evenVBand="0" w:oddHBand="1" w:evenHBand="0" w:firstRowFirstColumn="0" w:firstRowLastColumn="0" w:lastRowFirstColumn="0" w:lastRowLastColumn="0"/>
              <w:trHeight w:val="223"/>
            </w:trPr>
            <w:tc>
              <w:tcPr>
                <w:tcW w:w="722" w:type="pct"/>
                <w:tcBorders>
                  <w:top w:val="nil"/>
                  <w:bottom w:val="nil"/>
                </w:tcBorders>
              </w:tcPr>
              <w:p w:rsidR="00916414" w:rsidRPr="00137954" w:rsidRDefault="00916414" w:rsidP="00916414">
                <w:pPr>
                  <w:pStyle w:val="tabletext0"/>
                  <w:spacing w:before="120" w:after="0"/>
                  <w:rPr>
                    <w:b/>
                  </w:rPr>
                </w:pPr>
                <w:r w:rsidRPr="00137954">
                  <w:rPr>
                    <w:b/>
                  </w:rPr>
                  <w:t>Iona</w:t>
                </w: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Daily average</w:t>
                </w:r>
              </w:p>
            </w:tc>
            <w:tc>
              <w:tcPr>
                <w:tcW w:w="512" w:type="pct"/>
                <w:tcBorders>
                  <w:top w:val="nil"/>
                  <w:bottom w:val="nil"/>
                </w:tcBorders>
              </w:tcPr>
              <w:p w:rsidR="00916414" w:rsidRPr="00A46772" w:rsidRDefault="00916414" w:rsidP="00916414">
                <w:pPr>
                  <w:pStyle w:val="tabletext0"/>
                  <w:spacing w:before="120" w:after="0"/>
                  <w:jc w:val="right"/>
                </w:pPr>
                <w:r w:rsidRPr="00A46772">
                  <w:t>221</w:t>
                </w:r>
              </w:p>
            </w:tc>
            <w:tc>
              <w:tcPr>
                <w:tcW w:w="558" w:type="pct"/>
                <w:tcBorders>
                  <w:top w:val="nil"/>
                  <w:bottom w:val="nil"/>
                </w:tcBorders>
              </w:tcPr>
              <w:p w:rsidR="00916414" w:rsidRPr="007C7256" w:rsidRDefault="00916414" w:rsidP="00916414">
                <w:pPr>
                  <w:pStyle w:val="tabletext0"/>
                  <w:spacing w:before="120" w:after="0"/>
                  <w:jc w:val="right"/>
                </w:pPr>
                <w:r w:rsidRPr="007C7256">
                  <w:t>143</w:t>
                </w:r>
              </w:p>
            </w:tc>
            <w:tc>
              <w:tcPr>
                <w:tcW w:w="575" w:type="pct"/>
                <w:tcBorders>
                  <w:top w:val="nil"/>
                  <w:bottom w:val="nil"/>
                </w:tcBorders>
              </w:tcPr>
              <w:p w:rsidR="00916414" w:rsidRPr="007C7256" w:rsidRDefault="00916414" w:rsidP="00916414">
                <w:pPr>
                  <w:pStyle w:val="tabletext0"/>
                  <w:spacing w:before="120" w:after="0"/>
                  <w:jc w:val="right"/>
                </w:pPr>
                <w:r w:rsidRPr="007C7256">
                  <w:t>78</w:t>
                </w:r>
              </w:p>
            </w:tc>
            <w:tc>
              <w:tcPr>
                <w:tcW w:w="578" w:type="pct"/>
                <w:tcBorders>
                  <w:top w:val="nil"/>
                  <w:bottom w:val="nil"/>
                </w:tcBorders>
              </w:tcPr>
              <w:p w:rsidR="00916414" w:rsidRPr="007C7256" w:rsidRDefault="00916414" w:rsidP="00916414">
                <w:pPr>
                  <w:pStyle w:val="tabletext0"/>
                  <w:spacing w:before="120" w:after="0"/>
                  <w:jc w:val="right"/>
                </w:pPr>
                <w:r w:rsidRPr="007C7256">
                  <w:t>137</w:t>
                </w:r>
              </w:p>
            </w:tc>
            <w:tc>
              <w:tcPr>
                <w:tcW w:w="575" w:type="pct"/>
                <w:tcBorders>
                  <w:top w:val="nil"/>
                  <w:bottom w:val="nil"/>
                </w:tcBorders>
              </w:tcPr>
              <w:p w:rsidR="00916414" w:rsidRPr="007C7256" w:rsidRDefault="00916414" w:rsidP="00916414">
                <w:pPr>
                  <w:pStyle w:val="tabletext0"/>
                  <w:spacing w:before="120" w:after="0"/>
                  <w:jc w:val="right"/>
                </w:pPr>
                <w:r w:rsidRPr="007C7256">
                  <w:t>293</w:t>
                </w:r>
              </w:p>
            </w:tc>
            <w:tc>
              <w:tcPr>
                <w:tcW w:w="578" w:type="pct"/>
                <w:tcBorders>
                  <w:top w:val="nil"/>
                  <w:bottom w:val="nil"/>
                </w:tcBorders>
              </w:tcPr>
              <w:p w:rsidR="00916414" w:rsidRPr="007C7256" w:rsidRDefault="00916414" w:rsidP="00916414">
                <w:pPr>
                  <w:pStyle w:val="tabletext0"/>
                  <w:spacing w:before="120" w:after="0"/>
                  <w:jc w:val="right"/>
                </w:pPr>
                <w:r w:rsidRPr="007C7256">
                  <w:t>127</w:t>
                </w:r>
              </w:p>
            </w:tc>
          </w:tr>
          <w:tr w:rsidR="00916414" w:rsidTr="008A07BF">
            <w:trPr>
              <w:cnfStyle w:val="000000010000" w:firstRow="0" w:lastRow="0" w:firstColumn="0" w:lastColumn="0" w:oddVBand="0" w:evenVBand="0" w:oddHBand="0" w:evenHBand="1" w:firstRowFirstColumn="0" w:firstRowLastColumn="0" w:lastRowFirstColumn="0" w:lastRowLastColumn="0"/>
              <w:trHeight w:val="279"/>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Maximum</w:t>
                </w:r>
              </w:p>
            </w:tc>
            <w:tc>
              <w:tcPr>
                <w:tcW w:w="512" w:type="pct"/>
                <w:tcBorders>
                  <w:top w:val="nil"/>
                  <w:bottom w:val="nil"/>
                </w:tcBorders>
              </w:tcPr>
              <w:p w:rsidR="00916414" w:rsidRPr="00A46772" w:rsidRDefault="00916414" w:rsidP="00916414">
                <w:pPr>
                  <w:pStyle w:val="tabletext0"/>
                  <w:spacing w:before="120" w:after="0"/>
                  <w:jc w:val="right"/>
                </w:pPr>
                <w:r w:rsidRPr="00A46772">
                  <w:t>323</w:t>
                </w:r>
              </w:p>
            </w:tc>
            <w:tc>
              <w:tcPr>
                <w:tcW w:w="558" w:type="pct"/>
                <w:tcBorders>
                  <w:top w:val="nil"/>
                  <w:bottom w:val="nil"/>
                </w:tcBorders>
              </w:tcPr>
              <w:p w:rsidR="00916414" w:rsidRPr="007C7256" w:rsidRDefault="00916414" w:rsidP="00916414">
                <w:pPr>
                  <w:pStyle w:val="tabletext0"/>
                  <w:spacing w:before="120" w:after="0"/>
                  <w:jc w:val="right"/>
                </w:pPr>
                <w:r w:rsidRPr="007C7256">
                  <w:t>329</w:t>
                </w:r>
              </w:p>
            </w:tc>
            <w:tc>
              <w:tcPr>
                <w:tcW w:w="575" w:type="pct"/>
                <w:tcBorders>
                  <w:top w:val="nil"/>
                  <w:bottom w:val="nil"/>
                </w:tcBorders>
              </w:tcPr>
              <w:p w:rsidR="00916414" w:rsidRPr="007C7256" w:rsidRDefault="00916414" w:rsidP="00916414">
                <w:pPr>
                  <w:pStyle w:val="tabletext0"/>
                  <w:spacing w:before="120" w:after="0"/>
                  <w:jc w:val="right"/>
                </w:pPr>
                <w:r w:rsidRPr="007C7256">
                  <w:t>238</w:t>
                </w:r>
              </w:p>
            </w:tc>
            <w:tc>
              <w:tcPr>
                <w:tcW w:w="578" w:type="pct"/>
                <w:tcBorders>
                  <w:top w:val="nil"/>
                  <w:bottom w:val="nil"/>
                </w:tcBorders>
              </w:tcPr>
              <w:p w:rsidR="00916414" w:rsidRPr="007C7256" w:rsidRDefault="00916414" w:rsidP="00916414">
                <w:pPr>
                  <w:pStyle w:val="tabletext0"/>
                  <w:spacing w:before="120" w:after="0"/>
                  <w:jc w:val="right"/>
                </w:pPr>
                <w:r w:rsidRPr="007C7256">
                  <w:t>354</w:t>
                </w:r>
              </w:p>
            </w:tc>
            <w:tc>
              <w:tcPr>
                <w:tcW w:w="575" w:type="pct"/>
                <w:tcBorders>
                  <w:top w:val="nil"/>
                  <w:bottom w:val="nil"/>
                </w:tcBorders>
              </w:tcPr>
              <w:p w:rsidR="00916414" w:rsidRPr="007C7256" w:rsidRDefault="00916414" w:rsidP="00916414">
                <w:pPr>
                  <w:pStyle w:val="tabletext0"/>
                  <w:spacing w:before="120" w:after="0"/>
                  <w:jc w:val="right"/>
                </w:pPr>
                <w:r w:rsidRPr="007C7256">
                  <w:t>380</w:t>
                </w:r>
              </w:p>
            </w:tc>
            <w:tc>
              <w:tcPr>
                <w:tcW w:w="578" w:type="pct"/>
                <w:tcBorders>
                  <w:top w:val="nil"/>
                  <w:bottom w:val="nil"/>
                </w:tcBorders>
              </w:tcPr>
              <w:p w:rsidR="00916414" w:rsidRPr="007C7256" w:rsidRDefault="00916414" w:rsidP="00916414">
                <w:pPr>
                  <w:pStyle w:val="tabletext0"/>
                  <w:spacing w:before="120" w:after="0"/>
                  <w:jc w:val="right"/>
                </w:pPr>
                <w:r w:rsidRPr="007C7256">
                  <w:t>336</w:t>
                </w:r>
              </w:p>
            </w:tc>
          </w:tr>
          <w:tr w:rsidR="00916414" w:rsidTr="008A07BF">
            <w:trPr>
              <w:cnfStyle w:val="000000100000" w:firstRow="0" w:lastRow="0" w:firstColumn="0" w:lastColumn="0" w:oddVBand="0" w:evenVBand="0" w:oddHBand="1" w:evenHBand="0" w:firstRowFirstColumn="0" w:firstRowLastColumn="0" w:lastRowFirstColumn="0" w:lastRowLastColumn="0"/>
              <w:trHeight w:val="198"/>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Minimum</w:t>
                </w:r>
              </w:p>
            </w:tc>
            <w:tc>
              <w:tcPr>
                <w:tcW w:w="512" w:type="pct"/>
                <w:tcBorders>
                  <w:top w:val="nil"/>
                  <w:bottom w:val="nil"/>
                </w:tcBorders>
              </w:tcPr>
              <w:p w:rsidR="00916414" w:rsidRPr="00A46772" w:rsidRDefault="00916414" w:rsidP="00916414">
                <w:pPr>
                  <w:pStyle w:val="tabletext0"/>
                  <w:spacing w:before="120" w:after="0"/>
                  <w:jc w:val="right"/>
                </w:pPr>
                <w:r w:rsidRPr="00A46772">
                  <w:t>36</w:t>
                </w:r>
              </w:p>
            </w:tc>
            <w:tc>
              <w:tcPr>
                <w:tcW w:w="558" w:type="pct"/>
                <w:tcBorders>
                  <w:top w:val="nil"/>
                  <w:bottom w:val="nil"/>
                </w:tcBorders>
              </w:tcPr>
              <w:p w:rsidR="00916414" w:rsidRPr="007C7256" w:rsidRDefault="00916414" w:rsidP="00916414">
                <w:pPr>
                  <w:pStyle w:val="tabletext0"/>
                  <w:spacing w:before="120" w:after="0"/>
                  <w:jc w:val="right"/>
                </w:pPr>
                <w:r w:rsidRPr="007C7256">
                  <w:t>-54</w:t>
                </w:r>
              </w:p>
            </w:tc>
            <w:tc>
              <w:tcPr>
                <w:tcW w:w="575" w:type="pct"/>
                <w:tcBorders>
                  <w:top w:val="nil"/>
                  <w:bottom w:val="nil"/>
                </w:tcBorders>
              </w:tcPr>
              <w:p w:rsidR="00916414" w:rsidRPr="007C7256" w:rsidRDefault="00916414" w:rsidP="00916414">
                <w:pPr>
                  <w:pStyle w:val="tabletext0"/>
                  <w:spacing w:before="120" w:after="0"/>
                  <w:jc w:val="right"/>
                </w:pPr>
                <w:r w:rsidRPr="007C7256">
                  <w:t>-69</w:t>
                </w:r>
              </w:p>
            </w:tc>
            <w:tc>
              <w:tcPr>
                <w:tcW w:w="578" w:type="pct"/>
                <w:tcBorders>
                  <w:top w:val="nil"/>
                  <w:bottom w:val="nil"/>
                </w:tcBorders>
              </w:tcPr>
              <w:p w:rsidR="00916414" w:rsidRPr="007C7256" w:rsidRDefault="00916414" w:rsidP="00916414">
                <w:pPr>
                  <w:pStyle w:val="tabletext0"/>
                  <w:spacing w:before="120" w:after="0"/>
                  <w:jc w:val="right"/>
                </w:pPr>
                <w:r w:rsidRPr="007C7256">
                  <w:t>22</w:t>
                </w:r>
              </w:p>
            </w:tc>
            <w:tc>
              <w:tcPr>
                <w:tcW w:w="575" w:type="pct"/>
                <w:tcBorders>
                  <w:top w:val="nil"/>
                  <w:bottom w:val="nil"/>
                </w:tcBorders>
              </w:tcPr>
              <w:p w:rsidR="00916414" w:rsidRPr="007C7256" w:rsidRDefault="00916414" w:rsidP="00916414">
                <w:pPr>
                  <w:pStyle w:val="tabletext0"/>
                  <w:spacing w:before="120" w:after="0"/>
                  <w:jc w:val="right"/>
                </w:pPr>
                <w:r w:rsidRPr="007C7256">
                  <w:t>137</w:t>
                </w:r>
              </w:p>
            </w:tc>
            <w:tc>
              <w:tcPr>
                <w:tcW w:w="578" w:type="pct"/>
                <w:tcBorders>
                  <w:top w:val="nil"/>
                  <w:bottom w:val="nil"/>
                </w:tcBorders>
              </w:tcPr>
              <w:p w:rsidR="00916414" w:rsidRPr="007C7256" w:rsidRDefault="00916414" w:rsidP="00916414">
                <w:pPr>
                  <w:pStyle w:val="tabletext0"/>
                  <w:spacing w:before="120" w:after="0"/>
                  <w:jc w:val="right"/>
                </w:pPr>
                <w:r w:rsidRPr="007C7256">
                  <w:t>-37</w:t>
                </w:r>
              </w:p>
            </w:tc>
          </w:tr>
          <w:tr w:rsidR="00916414" w:rsidTr="008A07BF">
            <w:trPr>
              <w:cnfStyle w:val="000000010000" w:firstRow="0" w:lastRow="0" w:firstColumn="0" w:lastColumn="0" w:oddVBand="0" w:evenVBand="0" w:oddHBand="0" w:evenHBand="1" w:firstRowFirstColumn="0" w:firstRowLastColumn="0" w:lastRowFirstColumn="0" w:lastRowLastColumn="0"/>
              <w:trHeight w:val="274"/>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Total</w:t>
                </w:r>
              </w:p>
            </w:tc>
            <w:tc>
              <w:tcPr>
                <w:tcW w:w="512" w:type="pct"/>
                <w:tcBorders>
                  <w:top w:val="nil"/>
                  <w:bottom w:val="nil"/>
                </w:tcBorders>
              </w:tcPr>
              <w:p w:rsidR="00916414" w:rsidRPr="00A46772" w:rsidRDefault="00916414" w:rsidP="00916414">
                <w:pPr>
                  <w:pStyle w:val="tabletext0"/>
                  <w:spacing w:before="120" w:after="0"/>
                  <w:jc w:val="right"/>
                </w:pPr>
                <w:r w:rsidRPr="00A46772">
                  <w:t>6,636</w:t>
                </w:r>
              </w:p>
            </w:tc>
            <w:tc>
              <w:tcPr>
                <w:tcW w:w="558" w:type="pct"/>
                <w:tcBorders>
                  <w:top w:val="nil"/>
                  <w:bottom w:val="nil"/>
                </w:tcBorders>
              </w:tcPr>
              <w:p w:rsidR="00916414" w:rsidRPr="007C7256" w:rsidRDefault="00916414" w:rsidP="00916414">
                <w:pPr>
                  <w:pStyle w:val="tabletext0"/>
                  <w:spacing w:before="120" w:after="0"/>
                  <w:jc w:val="right"/>
                </w:pPr>
                <w:r w:rsidRPr="007C7256">
                  <w:t>4,447</w:t>
                </w:r>
              </w:p>
            </w:tc>
            <w:tc>
              <w:tcPr>
                <w:tcW w:w="575" w:type="pct"/>
                <w:tcBorders>
                  <w:top w:val="nil"/>
                  <w:bottom w:val="nil"/>
                </w:tcBorders>
              </w:tcPr>
              <w:p w:rsidR="00916414" w:rsidRPr="007C7256" w:rsidRDefault="00916414" w:rsidP="00916414">
                <w:pPr>
                  <w:pStyle w:val="tabletext0"/>
                  <w:spacing w:before="120" w:after="0"/>
                  <w:jc w:val="right"/>
                </w:pPr>
                <w:r w:rsidRPr="007C7256">
                  <w:t>2,421</w:t>
                </w:r>
              </w:p>
            </w:tc>
            <w:tc>
              <w:tcPr>
                <w:tcW w:w="578" w:type="pct"/>
                <w:tcBorders>
                  <w:top w:val="nil"/>
                  <w:bottom w:val="nil"/>
                </w:tcBorders>
              </w:tcPr>
              <w:p w:rsidR="00916414" w:rsidRPr="007C7256" w:rsidRDefault="00916414" w:rsidP="00916414">
                <w:pPr>
                  <w:pStyle w:val="tabletext0"/>
                  <w:spacing w:before="120" w:after="0"/>
                  <w:jc w:val="right"/>
                </w:pPr>
                <w:r w:rsidRPr="007C7256">
                  <w:t>4,103</w:t>
                </w:r>
              </w:p>
            </w:tc>
            <w:tc>
              <w:tcPr>
                <w:tcW w:w="575" w:type="pct"/>
                <w:tcBorders>
                  <w:top w:val="nil"/>
                  <w:bottom w:val="nil"/>
                </w:tcBorders>
              </w:tcPr>
              <w:p w:rsidR="00916414" w:rsidRPr="007C7256" w:rsidRDefault="00916414" w:rsidP="00916414">
                <w:pPr>
                  <w:pStyle w:val="tabletext0"/>
                  <w:spacing w:before="120" w:after="0"/>
                  <w:jc w:val="right"/>
                </w:pPr>
                <w:r w:rsidRPr="007C7256">
                  <w:t>9,069</w:t>
                </w:r>
              </w:p>
            </w:tc>
            <w:tc>
              <w:tcPr>
                <w:tcW w:w="578" w:type="pct"/>
                <w:tcBorders>
                  <w:top w:val="nil"/>
                  <w:bottom w:val="nil"/>
                </w:tcBorders>
              </w:tcPr>
              <w:p w:rsidR="00916414" w:rsidRPr="007C7256" w:rsidRDefault="00916414" w:rsidP="00916414">
                <w:pPr>
                  <w:pStyle w:val="tabletext0"/>
                  <w:spacing w:before="120" w:after="0"/>
                  <w:jc w:val="right"/>
                </w:pPr>
                <w:r w:rsidRPr="007C7256">
                  <w:t>3,923</w:t>
                </w:r>
              </w:p>
            </w:tc>
          </w:tr>
          <w:tr w:rsidR="00916414" w:rsidTr="008A07BF">
            <w:trPr>
              <w:cnfStyle w:val="000000100000" w:firstRow="0" w:lastRow="0" w:firstColumn="0" w:lastColumn="0" w:oddVBand="0" w:evenVBand="0" w:oddHBand="1" w:evenHBand="0" w:firstRowFirstColumn="0" w:firstRowLastColumn="0" w:lastRowFirstColumn="0" w:lastRowLastColumn="0"/>
              <w:trHeight w:val="208"/>
            </w:trPr>
            <w:tc>
              <w:tcPr>
                <w:tcW w:w="722" w:type="pct"/>
                <w:tcBorders>
                  <w:top w:val="nil"/>
                  <w:bottom w:val="nil"/>
                </w:tcBorders>
              </w:tcPr>
              <w:p w:rsidR="00916414" w:rsidRPr="00137954" w:rsidRDefault="00916414" w:rsidP="00916414">
                <w:pPr>
                  <w:pStyle w:val="tabletext0"/>
                  <w:spacing w:before="120" w:after="0"/>
                  <w:rPr>
                    <w:b/>
                  </w:rPr>
                </w:pPr>
                <w:r w:rsidRPr="00137954">
                  <w:rPr>
                    <w:b/>
                  </w:rPr>
                  <w:t>Otway</w:t>
                </w: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Daily average</w:t>
                </w:r>
              </w:p>
            </w:tc>
            <w:tc>
              <w:tcPr>
                <w:tcW w:w="512" w:type="pct"/>
                <w:tcBorders>
                  <w:top w:val="nil"/>
                  <w:bottom w:val="nil"/>
                </w:tcBorders>
              </w:tcPr>
              <w:p w:rsidR="00916414" w:rsidRPr="00A46772" w:rsidRDefault="00916414" w:rsidP="00916414">
                <w:pPr>
                  <w:pStyle w:val="tabletext0"/>
                  <w:spacing w:before="120" w:after="0"/>
                  <w:jc w:val="right"/>
                </w:pPr>
                <w:r w:rsidRPr="00A46772">
                  <w:t>99</w:t>
                </w:r>
              </w:p>
            </w:tc>
            <w:tc>
              <w:tcPr>
                <w:tcW w:w="558" w:type="pct"/>
                <w:tcBorders>
                  <w:top w:val="nil"/>
                  <w:bottom w:val="nil"/>
                </w:tcBorders>
              </w:tcPr>
              <w:p w:rsidR="00916414" w:rsidRPr="007C7256" w:rsidRDefault="00916414" w:rsidP="00916414">
                <w:pPr>
                  <w:pStyle w:val="tabletext0"/>
                  <w:spacing w:before="120" w:after="0"/>
                  <w:jc w:val="right"/>
                </w:pPr>
                <w:r w:rsidRPr="007C7256">
                  <w:t>88</w:t>
                </w:r>
              </w:p>
            </w:tc>
            <w:tc>
              <w:tcPr>
                <w:tcW w:w="575" w:type="pct"/>
                <w:tcBorders>
                  <w:top w:val="nil"/>
                  <w:bottom w:val="nil"/>
                </w:tcBorders>
              </w:tcPr>
              <w:p w:rsidR="00916414" w:rsidRPr="007C7256" w:rsidRDefault="00916414" w:rsidP="00916414">
                <w:pPr>
                  <w:pStyle w:val="tabletext0"/>
                  <w:spacing w:before="120" w:after="0"/>
                  <w:jc w:val="right"/>
                </w:pPr>
                <w:r w:rsidRPr="007C7256">
                  <w:t>81</w:t>
                </w:r>
              </w:p>
            </w:tc>
            <w:tc>
              <w:tcPr>
                <w:tcW w:w="578" w:type="pct"/>
                <w:tcBorders>
                  <w:top w:val="nil"/>
                  <w:bottom w:val="nil"/>
                </w:tcBorders>
              </w:tcPr>
              <w:p w:rsidR="00916414" w:rsidRPr="007C7256" w:rsidRDefault="00916414" w:rsidP="00916414">
                <w:pPr>
                  <w:pStyle w:val="tabletext0"/>
                  <w:spacing w:before="120" w:after="0"/>
                  <w:jc w:val="right"/>
                </w:pPr>
                <w:r w:rsidRPr="007C7256">
                  <w:t>110</w:t>
                </w:r>
              </w:p>
            </w:tc>
            <w:tc>
              <w:tcPr>
                <w:tcW w:w="575" w:type="pct"/>
                <w:tcBorders>
                  <w:top w:val="nil"/>
                  <w:bottom w:val="nil"/>
                </w:tcBorders>
              </w:tcPr>
              <w:p w:rsidR="00916414" w:rsidRPr="007C7256" w:rsidRDefault="00916414" w:rsidP="00916414">
                <w:pPr>
                  <w:pStyle w:val="tabletext0"/>
                  <w:spacing w:before="120" w:after="0"/>
                  <w:jc w:val="right"/>
                </w:pPr>
                <w:r w:rsidRPr="007C7256">
                  <w:t>99</w:t>
                </w:r>
              </w:p>
            </w:tc>
            <w:tc>
              <w:tcPr>
                <w:tcW w:w="578" w:type="pct"/>
                <w:tcBorders>
                  <w:top w:val="nil"/>
                  <w:bottom w:val="nil"/>
                </w:tcBorders>
              </w:tcPr>
              <w:p w:rsidR="00916414" w:rsidRPr="007C7256" w:rsidRDefault="00916414" w:rsidP="00916414">
                <w:pPr>
                  <w:pStyle w:val="tabletext0"/>
                  <w:spacing w:before="120" w:after="0"/>
                  <w:jc w:val="right"/>
                </w:pPr>
                <w:r w:rsidRPr="007C7256">
                  <w:t>117</w:t>
                </w:r>
              </w:p>
            </w:tc>
          </w:tr>
          <w:tr w:rsidR="00916414" w:rsidTr="008A07BF">
            <w:trPr>
              <w:cnfStyle w:val="000000010000" w:firstRow="0" w:lastRow="0" w:firstColumn="0" w:lastColumn="0" w:oddVBand="0" w:evenVBand="0" w:oddHBand="0" w:evenHBand="1" w:firstRowFirstColumn="0" w:firstRowLastColumn="0" w:lastRowFirstColumn="0" w:lastRowLastColumn="0"/>
              <w:trHeight w:val="255"/>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Maximum</w:t>
                </w:r>
              </w:p>
            </w:tc>
            <w:tc>
              <w:tcPr>
                <w:tcW w:w="512" w:type="pct"/>
                <w:tcBorders>
                  <w:top w:val="nil"/>
                  <w:bottom w:val="nil"/>
                </w:tcBorders>
              </w:tcPr>
              <w:p w:rsidR="00916414" w:rsidRPr="00A46772" w:rsidRDefault="00916414" w:rsidP="00916414">
                <w:pPr>
                  <w:pStyle w:val="tabletext0"/>
                  <w:spacing w:before="120" w:after="0"/>
                  <w:jc w:val="right"/>
                </w:pPr>
                <w:r w:rsidRPr="00A46772">
                  <w:t>103</w:t>
                </w:r>
              </w:p>
            </w:tc>
            <w:tc>
              <w:tcPr>
                <w:tcW w:w="558" w:type="pct"/>
                <w:tcBorders>
                  <w:top w:val="nil"/>
                  <w:bottom w:val="nil"/>
                </w:tcBorders>
              </w:tcPr>
              <w:p w:rsidR="00916414" w:rsidRPr="007C7256" w:rsidRDefault="00916414" w:rsidP="00916414">
                <w:pPr>
                  <w:pStyle w:val="tabletext0"/>
                  <w:spacing w:before="120" w:after="0"/>
                  <w:jc w:val="right"/>
                </w:pPr>
                <w:r w:rsidRPr="007C7256">
                  <w:t>106</w:t>
                </w:r>
              </w:p>
            </w:tc>
            <w:tc>
              <w:tcPr>
                <w:tcW w:w="575" w:type="pct"/>
                <w:tcBorders>
                  <w:top w:val="nil"/>
                  <w:bottom w:val="nil"/>
                </w:tcBorders>
              </w:tcPr>
              <w:p w:rsidR="00916414" w:rsidRPr="007C7256" w:rsidRDefault="00916414" w:rsidP="00916414">
                <w:pPr>
                  <w:pStyle w:val="tabletext0"/>
                  <w:spacing w:before="120" w:after="0"/>
                  <w:jc w:val="right"/>
                </w:pPr>
                <w:r w:rsidRPr="007C7256">
                  <w:t>106</w:t>
                </w:r>
              </w:p>
            </w:tc>
            <w:tc>
              <w:tcPr>
                <w:tcW w:w="578" w:type="pct"/>
                <w:tcBorders>
                  <w:top w:val="nil"/>
                  <w:bottom w:val="nil"/>
                </w:tcBorders>
              </w:tcPr>
              <w:p w:rsidR="00916414" w:rsidRPr="007C7256" w:rsidRDefault="00916414" w:rsidP="00916414">
                <w:pPr>
                  <w:pStyle w:val="tabletext0"/>
                  <w:spacing w:before="120" w:after="0"/>
                  <w:jc w:val="right"/>
                </w:pPr>
                <w:r w:rsidRPr="007C7256">
                  <w:t>134</w:t>
                </w:r>
              </w:p>
            </w:tc>
            <w:tc>
              <w:tcPr>
                <w:tcW w:w="575" w:type="pct"/>
                <w:tcBorders>
                  <w:top w:val="nil"/>
                  <w:bottom w:val="nil"/>
                </w:tcBorders>
              </w:tcPr>
              <w:p w:rsidR="00916414" w:rsidRPr="007C7256" w:rsidRDefault="00916414" w:rsidP="00916414">
                <w:pPr>
                  <w:pStyle w:val="tabletext0"/>
                  <w:spacing w:before="120" w:after="0"/>
                  <w:jc w:val="right"/>
                </w:pPr>
                <w:r w:rsidRPr="007C7256">
                  <w:t>130</w:t>
                </w:r>
              </w:p>
            </w:tc>
            <w:tc>
              <w:tcPr>
                <w:tcW w:w="578" w:type="pct"/>
                <w:tcBorders>
                  <w:top w:val="nil"/>
                  <w:bottom w:val="nil"/>
                </w:tcBorders>
              </w:tcPr>
              <w:p w:rsidR="00916414" w:rsidRPr="007C7256" w:rsidRDefault="00916414" w:rsidP="00916414">
                <w:pPr>
                  <w:pStyle w:val="tabletext0"/>
                  <w:spacing w:before="120" w:after="0"/>
                  <w:jc w:val="right"/>
                </w:pPr>
                <w:r w:rsidRPr="007C7256">
                  <w:t>129</w:t>
                </w:r>
              </w:p>
            </w:tc>
          </w:tr>
          <w:tr w:rsidR="00916414" w:rsidTr="008A07BF">
            <w:trPr>
              <w:cnfStyle w:val="000000100000" w:firstRow="0" w:lastRow="0" w:firstColumn="0" w:lastColumn="0" w:oddVBand="0" w:evenVBand="0" w:oddHBand="1" w:evenHBand="0" w:firstRowFirstColumn="0" w:firstRowLastColumn="0" w:lastRowFirstColumn="0" w:lastRowLastColumn="0"/>
              <w:trHeight w:val="176"/>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Minimum</w:t>
                </w:r>
              </w:p>
            </w:tc>
            <w:tc>
              <w:tcPr>
                <w:tcW w:w="512" w:type="pct"/>
                <w:tcBorders>
                  <w:top w:val="nil"/>
                  <w:bottom w:val="nil"/>
                </w:tcBorders>
              </w:tcPr>
              <w:p w:rsidR="00916414" w:rsidRPr="00A46772" w:rsidRDefault="00916414" w:rsidP="00916414">
                <w:pPr>
                  <w:pStyle w:val="tabletext0"/>
                  <w:spacing w:before="120" w:after="0"/>
                  <w:jc w:val="right"/>
                </w:pPr>
                <w:r w:rsidRPr="00A46772">
                  <w:t>72</w:t>
                </w:r>
              </w:p>
            </w:tc>
            <w:tc>
              <w:tcPr>
                <w:tcW w:w="558" w:type="pct"/>
                <w:tcBorders>
                  <w:top w:val="nil"/>
                  <w:bottom w:val="nil"/>
                </w:tcBorders>
              </w:tcPr>
              <w:p w:rsidR="00916414" w:rsidRPr="007C7256" w:rsidRDefault="00916414" w:rsidP="00916414">
                <w:pPr>
                  <w:pStyle w:val="tabletext0"/>
                  <w:spacing w:before="120" w:after="0"/>
                  <w:jc w:val="right"/>
                </w:pPr>
                <w:r w:rsidRPr="007C7256">
                  <w:t>0</w:t>
                </w:r>
              </w:p>
            </w:tc>
            <w:tc>
              <w:tcPr>
                <w:tcW w:w="575" w:type="pct"/>
                <w:tcBorders>
                  <w:top w:val="nil"/>
                  <w:bottom w:val="nil"/>
                </w:tcBorders>
              </w:tcPr>
              <w:p w:rsidR="00916414" w:rsidRPr="007C7256" w:rsidRDefault="00916414" w:rsidP="00916414">
                <w:pPr>
                  <w:pStyle w:val="tabletext0"/>
                  <w:spacing w:before="120" w:after="0"/>
                  <w:jc w:val="right"/>
                </w:pPr>
                <w:r w:rsidRPr="007C7256">
                  <w:t>0</w:t>
                </w:r>
              </w:p>
            </w:tc>
            <w:tc>
              <w:tcPr>
                <w:tcW w:w="578" w:type="pct"/>
                <w:tcBorders>
                  <w:top w:val="nil"/>
                  <w:bottom w:val="nil"/>
                </w:tcBorders>
              </w:tcPr>
              <w:p w:rsidR="00916414" w:rsidRPr="007C7256" w:rsidRDefault="00916414" w:rsidP="00916414">
                <w:pPr>
                  <w:pStyle w:val="tabletext0"/>
                  <w:spacing w:before="120" w:after="0"/>
                  <w:jc w:val="right"/>
                </w:pPr>
                <w:r w:rsidRPr="007C7256">
                  <w:t>5</w:t>
                </w:r>
              </w:p>
            </w:tc>
            <w:tc>
              <w:tcPr>
                <w:tcW w:w="575" w:type="pct"/>
                <w:tcBorders>
                  <w:top w:val="nil"/>
                  <w:bottom w:val="nil"/>
                </w:tcBorders>
              </w:tcPr>
              <w:p w:rsidR="00916414" w:rsidRPr="007C7256" w:rsidRDefault="00916414" w:rsidP="00916414">
                <w:pPr>
                  <w:pStyle w:val="tabletext0"/>
                  <w:spacing w:before="120" w:after="0"/>
                  <w:jc w:val="right"/>
                </w:pPr>
                <w:r w:rsidRPr="007C7256">
                  <w:t>0</w:t>
                </w:r>
              </w:p>
            </w:tc>
            <w:tc>
              <w:tcPr>
                <w:tcW w:w="578" w:type="pct"/>
                <w:tcBorders>
                  <w:top w:val="nil"/>
                  <w:bottom w:val="nil"/>
                </w:tcBorders>
              </w:tcPr>
              <w:p w:rsidR="00916414" w:rsidRPr="007C7256" w:rsidRDefault="00916414" w:rsidP="00916414">
                <w:pPr>
                  <w:pStyle w:val="tabletext0"/>
                  <w:spacing w:before="120" w:after="0"/>
                  <w:jc w:val="right"/>
                </w:pPr>
                <w:r w:rsidRPr="007C7256">
                  <w:t>31</w:t>
                </w:r>
              </w:p>
            </w:tc>
          </w:tr>
          <w:tr w:rsidR="00916414" w:rsidTr="008A07BF">
            <w:trPr>
              <w:cnfStyle w:val="000000010000" w:firstRow="0" w:lastRow="0" w:firstColumn="0" w:lastColumn="0" w:oddVBand="0" w:evenVBand="0" w:oddHBand="0" w:evenHBand="1" w:firstRowFirstColumn="0" w:firstRowLastColumn="0" w:lastRowFirstColumn="0" w:lastRowLastColumn="0"/>
              <w:trHeight w:val="110"/>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Total</w:t>
                </w:r>
              </w:p>
            </w:tc>
            <w:tc>
              <w:tcPr>
                <w:tcW w:w="512" w:type="pct"/>
                <w:tcBorders>
                  <w:top w:val="nil"/>
                  <w:bottom w:val="nil"/>
                </w:tcBorders>
              </w:tcPr>
              <w:p w:rsidR="00916414" w:rsidRPr="00A46772" w:rsidRDefault="00916414" w:rsidP="00916414">
                <w:pPr>
                  <w:pStyle w:val="tabletext0"/>
                  <w:spacing w:before="120" w:after="0"/>
                  <w:jc w:val="right"/>
                </w:pPr>
                <w:r w:rsidRPr="00A46772">
                  <w:t>2,974</w:t>
                </w:r>
              </w:p>
            </w:tc>
            <w:tc>
              <w:tcPr>
                <w:tcW w:w="558" w:type="pct"/>
                <w:tcBorders>
                  <w:top w:val="nil"/>
                  <w:bottom w:val="nil"/>
                </w:tcBorders>
              </w:tcPr>
              <w:p w:rsidR="00916414" w:rsidRPr="007C7256" w:rsidRDefault="00916414" w:rsidP="00916414">
                <w:pPr>
                  <w:pStyle w:val="tabletext0"/>
                  <w:spacing w:before="120" w:after="0"/>
                  <w:jc w:val="right"/>
                </w:pPr>
                <w:r w:rsidRPr="007C7256">
                  <w:t>2,725</w:t>
                </w:r>
              </w:p>
            </w:tc>
            <w:tc>
              <w:tcPr>
                <w:tcW w:w="575" w:type="pct"/>
                <w:tcBorders>
                  <w:top w:val="nil"/>
                  <w:bottom w:val="nil"/>
                </w:tcBorders>
              </w:tcPr>
              <w:p w:rsidR="00916414" w:rsidRPr="007C7256" w:rsidRDefault="00916414" w:rsidP="00916414">
                <w:pPr>
                  <w:pStyle w:val="tabletext0"/>
                  <w:spacing w:before="120" w:after="0"/>
                  <w:jc w:val="right"/>
                </w:pPr>
                <w:r w:rsidRPr="007C7256">
                  <w:t>2,517</w:t>
                </w:r>
              </w:p>
            </w:tc>
            <w:tc>
              <w:tcPr>
                <w:tcW w:w="578" w:type="pct"/>
                <w:tcBorders>
                  <w:top w:val="nil"/>
                  <w:bottom w:val="nil"/>
                </w:tcBorders>
              </w:tcPr>
              <w:p w:rsidR="00916414" w:rsidRPr="007C7256" w:rsidRDefault="00916414" w:rsidP="00916414">
                <w:pPr>
                  <w:pStyle w:val="tabletext0"/>
                  <w:spacing w:before="120" w:after="0"/>
                  <w:jc w:val="right"/>
                </w:pPr>
                <w:r w:rsidRPr="007C7256">
                  <w:t>3,311</w:t>
                </w:r>
              </w:p>
            </w:tc>
            <w:tc>
              <w:tcPr>
                <w:tcW w:w="575" w:type="pct"/>
                <w:tcBorders>
                  <w:top w:val="nil"/>
                  <w:bottom w:val="nil"/>
                </w:tcBorders>
              </w:tcPr>
              <w:p w:rsidR="00916414" w:rsidRPr="007C7256" w:rsidRDefault="00916414" w:rsidP="00916414">
                <w:pPr>
                  <w:pStyle w:val="tabletext0"/>
                  <w:spacing w:before="120" w:after="0"/>
                  <w:jc w:val="right"/>
                </w:pPr>
                <w:r w:rsidRPr="007C7256">
                  <w:t>3,079</w:t>
                </w:r>
              </w:p>
            </w:tc>
            <w:tc>
              <w:tcPr>
                <w:tcW w:w="578" w:type="pct"/>
                <w:tcBorders>
                  <w:top w:val="nil"/>
                  <w:bottom w:val="nil"/>
                </w:tcBorders>
              </w:tcPr>
              <w:p w:rsidR="00916414" w:rsidRPr="007C7256" w:rsidRDefault="00916414" w:rsidP="00916414">
                <w:pPr>
                  <w:pStyle w:val="tabletext0"/>
                  <w:spacing w:before="120" w:after="0"/>
                  <w:jc w:val="right"/>
                </w:pPr>
                <w:r w:rsidRPr="007C7256">
                  <w:t>3,634</w:t>
                </w:r>
              </w:p>
            </w:tc>
          </w:tr>
          <w:tr w:rsidR="008A07BF" w:rsidTr="008A07BF">
            <w:trPr>
              <w:cnfStyle w:val="000000100000" w:firstRow="0" w:lastRow="0" w:firstColumn="0" w:lastColumn="0" w:oddVBand="0" w:evenVBand="0" w:oddHBand="1" w:evenHBand="0" w:firstRowFirstColumn="0" w:firstRowLastColumn="0" w:lastRowFirstColumn="0" w:lastRowLastColumn="0"/>
              <w:trHeight w:val="110"/>
            </w:trPr>
            <w:tc>
              <w:tcPr>
                <w:tcW w:w="722" w:type="pct"/>
                <w:tcBorders>
                  <w:top w:val="nil"/>
                  <w:bottom w:val="nil"/>
                </w:tcBorders>
              </w:tcPr>
              <w:p w:rsidR="00916414" w:rsidRPr="00137954" w:rsidRDefault="00916414" w:rsidP="00916414">
                <w:pPr>
                  <w:pStyle w:val="tabletext0"/>
                  <w:spacing w:before="120" w:after="0"/>
                  <w:rPr>
                    <w:b/>
                  </w:rPr>
                </w:pPr>
                <w:r w:rsidRPr="00137954">
                  <w:rPr>
                    <w:b/>
                  </w:rPr>
                  <w:t>Minerva</w:t>
                </w: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Daily average</w:t>
                </w:r>
              </w:p>
            </w:tc>
            <w:tc>
              <w:tcPr>
                <w:tcW w:w="512" w:type="pct"/>
                <w:tcBorders>
                  <w:top w:val="nil"/>
                  <w:bottom w:val="nil"/>
                </w:tcBorders>
              </w:tcPr>
              <w:p w:rsidR="00916414" w:rsidRPr="00A46772" w:rsidRDefault="00916414" w:rsidP="00916414">
                <w:pPr>
                  <w:pStyle w:val="tabletext0"/>
                  <w:spacing w:before="120" w:after="0"/>
                  <w:jc w:val="right"/>
                </w:pPr>
                <w:r w:rsidRPr="00A46772">
                  <w:t>54</w:t>
                </w:r>
              </w:p>
            </w:tc>
            <w:tc>
              <w:tcPr>
                <w:tcW w:w="558" w:type="pct"/>
                <w:tcBorders>
                  <w:top w:val="nil"/>
                  <w:bottom w:val="nil"/>
                </w:tcBorders>
              </w:tcPr>
              <w:p w:rsidR="00916414" w:rsidRPr="007C7256" w:rsidRDefault="00916414" w:rsidP="00916414">
                <w:pPr>
                  <w:pStyle w:val="tabletext0"/>
                  <w:spacing w:before="120" w:after="0"/>
                  <w:jc w:val="right"/>
                </w:pPr>
                <w:r w:rsidRPr="007C7256">
                  <w:t>55</w:t>
                </w:r>
              </w:p>
            </w:tc>
            <w:tc>
              <w:tcPr>
                <w:tcW w:w="575" w:type="pct"/>
                <w:tcBorders>
                  <w:top w:val="nil"/>
                  <w:bottom w:val="nil"/>
                </w:tcBorders>
              </w:tcPr>
              <w:p w:rsidR="00916414" w:rsidRPr="007C7256" w:rsidRDefault="00916414" w:rsidP="00916414">
                <w:pPr>
                  <w:pStyle w:val="tabletext0"/>
                  <w:spacing w:before="120" w:after="0"/>
                  <w:jc w:val="right"/>
                </w:pPr>
                <w:r w:rsidRPr="007C7256">
                  <w:t>48</w:t>
                </w:r>
              </w:p>
            </w:tc>
            <w:tc>
              <w:tcPr>
                <w:tcW w:w="578" w:type="pct"/>
                <w:tcBorders>
                  <w:top w:val="nil"/>
                  <w:bottom w:val="nil"/>
                </w:tcBorders>
              </w:tcPr>
              <w:p w:rsidR="00916414" w:rsidRPr="007C7256" w:rsidRDefault="00916414" w:rsidP="00916414">
                <w:pPr>
                  <w:pStyle w:val="tabletext0"/>
                  <w:spacing w:before="120" w:after="0"/>
                  <w:jc w:val="right"/>
                </w:pPr>
                <w:r w:rsidRPr="007C7256">
                  <w:t>67</w:t>
                </w:r>
              </w:p>
            </w:tc>
            <w:tc>
              <w:tcPr>
                <w:tcW w:w="575" w:type="pct"/>
                <w:tcBorders>
                  <w:top w:val="nil"/>
                  <w:bottom w:val="nil"/>
                </w:tcBorders>
              </w:tcPr>
              <w:p w:rsidR="00916414" w:rsidRPr="007C7256" w:rsidRDefault="00916414" w:rsidP="00916414">
                <w:pPr>
                  <w:pStyle w:val="tabletext0"/>
                  <w:spacing w:before="120" w:after="0"/>
                  <w:jc w:val="right"/>
                </w:pPr>
                <w:r w:rsidRPr="007C7256">
                  <w:t>72</w:t>
                </w:r>
              </w:p>
            </w:tc>
            <w:tc>
              <w:tcPr>
                <w:tcW w:w="578" w:type="pct"/>
                <w:tcBorders>
                  <w:top w:val="nil"/>
                  <w:bottom w:val="nil"/>
                </w:tcBorders>
              </w:tcPr>
              <w:p w:rsidR="00916414" w:rsidRPr="007C7256" w:rsidRDefault="00916414" w:rsidP="00916414">
                <w:pPr>
                  <w:pStyle w:val="tabletext0"/>
                  <w:spacing w:before="120" w:after="0"/>
                  <w:jc w:val="right"/>
                </w:pPr>
                <w:r w:rsidRPr="007C7256">
                  <w:t>72</w:t>
                </w:r>
              </w:p>
            </w:tc>
          </w:tr>
          <w:tr w:rsidR="008A07BF" w:rsidTr="008A07BF">
            <w:trPr>
              <w:cnfStyle w:val="000000010000" w:firstRow="0" w:lastRow="0" w:firstColumn="0" w:lastColumn="0" w:oddVBand="0" w:evenVBand="0" w:oddHBand="0" w:evenHBand="1" w:firstRowFirstColumn="0" w:firstRowLastColumn="0" w:lastRowFirstColumn="0" w:lastRowLastColumn="0"/>
              <w:trHeight w:val="110"/>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Maximum</w:t>
                </w:r>
              </w:p>
            </w:tc>
            <w:tc>
              <w:tcPr>
                <w:tcW w:w="512" w:type="pct"/>
                <w:tcBorders>
                  <w:top w:val="nil"/>
                  <w:bottom w:val="nil"/>
                </w:tcBorders>
              </w:tcPr>
              <w:p w:rsidR="00916414" w:rsidRPr="00A46772" w:rsidRDefault="00916414" w:rsidP="00916414">
                <w:pPr>
                  <w:pStyle w:val="tabletext0"/>
                  <w:spacing w:before="120" w:after="0"/>
                  <w:jc w:val="right"/>
                </w:pPr>
                <w:r w:rsidRPr="00A46772">
                  <w:t>55</w:t>
                </w:r>
              </w:p>
            </w:tc>
            <w:tc>
              <w:tcPr>
                <w:tcW w:w="558" w:type="pct"/>
                <w:tcBorders>
                  <w:top w:val="nil"/>
                  <w:bottom w:val="nil"/>
                </w:tcBorders>
              </w:tcPr>
              <w:p w:rsidR="00916414" w:rsidRPr="007C7256" w:rsidRDefault="00916414" w:rsidP="00916414">
                <w:pPr>
                  <w:pStyle w:val="tabletext0"/>
                  <w:spacing w:before="120" w:after="0"/>
                  <w:jc w:val="right"/>
                </w:pPr>
                <w:r w:rsidRPr="007C7256">
                  <w:t>55</w:t>
                </w:r>
              </w:p>
            </w:tc>
            <w:tc>
              <w:tcPr>
                <w:tcW w:w="575" w:type="pct"/>
                <w:tcBorders>
                  <w:top w:val="nil"/>
                  <w:bottom w:val="nil"/>
                </w:tcBorders>
              </w:tcPr>
              <w:p w:rsidR="00916414" w:rsidRPr="007C7256" w:rsidRDefault="00916414" w:rsidP="00916414">
                <w:pPr>
                  <w:pStyle w:val="tabletext0"/>
                  <w:spacing w:before="120" w:after="0"/>
                  <w:jc w:val="right"/>
                </w:pPr>
                <w:r w:rsidRPr="007C7256">
                  <w:t>54</w:t>
                </w:r>
              </w:p>
            </w:tc>
            <w:tc>
              <w:tcPr>
                <w:tcW w:w="578" w:type="pct"/>
                <w:tcBorders>
                  <w:top w:val="nil"/>
                  <w:bottom w:val="nil"/>
                </w:tcBorders>
              </w:tcPr>
              <w:p w:rsidR="00916414" w:rsidRPr="007C7256" w:rsidRDefault="00916414" w:rsidP="00916414">
                <w:pPr>
                  <w:pStyle w:val="tabletext0"/>
                  <w:spacing w:before="120" w:after="0"/>
                  <w:jc w:val="right"/>
                </w:pPr>
                <w:r w:rsidRPr="007C7256">
                  <w:t>74</w:t>
                </w:r>
              </w:p>
            </w:tc>
            <w:tc>
              <w:tcPr>
                <w:tcW w:w="575" w:type="pct"/>
                <w:tcBorders>
                  <w:top w:val="nil"/>
                  <w:bottom w:val="nil"/>
                </w:tcBorders>
              </w:tcPr>
              <w:p w:rsidR="00916414" w:rsidRPr="007C7256" w:rsidRDefault="00916414" w:rsidP="00916414">
                <w:pPr>
                  <w:pStyle w:val="tabletext0"/>
                  <w:spacing w:before="120" w:after="0"/>
                  <w:jc w:val="right"/>
                </w:pPr>
                <w:r w:rsidRPr="007C7256">
                  <w:t>74</w:t>
                </w:r>
              </w:p>
            </w:tc>
            <w:tc>
              <w:tcPr>
                <w:tcW w:w="578" w:type="pct"/>
                <w:tcBorders>
                  <w:top w:val="nil"/>
                  <w:bottom w:val="nil"/>
                </w:tcBorders>
              </w:tcPr>
              <w:p w:rsidR="00916414" w:rsidRPr="007C7256" w:rsidRDefault="00916414" w:rsidP="00916414">
                <w:pPr>
                  <w:pStyle w:val="tabletext0"/>
                  <w:spacing w:before="120" w:after="0"/>
                  <w:jc w:val="right"/>
                </w:pPr>
                <w:r w:rsidRPr="007C7256">
                  <w:t>73</w:t>
                </w:r>
              </w:p>
            </w:tc>
          </w:tr>
          <w:tr w:rsidR="008A07BF" w:rsidTr="008A07BF">
            <w:trPr>
              <w:cnfStyle w:val="000000100000" w:firstRow="0" w:lastRow="0" w:firstColumn="0" w:lastColumn="0" w:oddVBand="0" w:evenVBand="0" w:oddHBand="1" w:evenHBand="0" w:firstRowFirstColumn="0" w:firstRowLastColumn="0" w:lastRowFirstColumn="0" w:lastRowLastColumn="0"/>
              <w:trHeight w:val="110"/>
            </w:trPr>
            <w:tc>
              <w:tcPr>
                <w:tcW w:w="722" w:type="pct"/>
                <w:tcBorders>
                  <w:top w:val="nil"/>
                  <w:bottom w:val="nil"/>
                </w:tcBorders>
              </w:tcPr>
              <w:p w:rsidR="00916414" w:rsidRPr="00137954" w:rsidRDefault="00916414" w:rsidP="00916414">
                <w:pPr>
                  <w:pStyle w:val="tabletext0"/>
                  <w:spacing w:before="120" w:after="0"/>
                  <w:rPr>
                    <w:b/>
                  </w:rPr>
                </w:pPr>
              </w:p>
            </w:tc>
            <w:tc>
              <w:tcPr>
                <w:tcW w:w="905" w:type="pct"/>
                <w:tcBorders>
                  <w:top w:val="nil"/>
                  <w:bottom w:val="nil"/>
                </w:tcBorders>
              </w:tcPr>
              <w:p w:rsidR="00916414" w:rsidRPr="00B54C36" w:rsidRDefault="00916414" w:rsidP="00916414">
                <w:pPr>
                  <w:pStyle w:val="tabletext0"/>
                  <w:spacing w:before="120" w:after="0"/>
                  <w:rPr>
                    <w:sz w:val="16"/>
                  </w:rPr>
                </w:pPr>
                <w:r w:rsidRPr="00B54C36">
                  <w:rPr>
                    <w:sz w:val="16"/>
                  </w:rPr>
                  <w:t>Minimum</w:t>
                </w:r>
              </w:p>
            </w:tc>
            <w:tc>
              <w:tcPr>
                <w:tcW w:w="512" w:type="pct"/>
                <w:tcBorders>
                  <w:top w:val="nil"/>
                  <w:bottom w:val="nil"/>
                </w:tcBorders>
              </w:tcPr>
              <w:p w:rsidR="00916414" w:rsidRPr="00A46772" w:rsidRDefault="00916414" w:rsidP="00916414">
                <w:pPr>
                  <w:pStyle w:val="tabletext0"/>
                  <w:spacing w:before="120" w:after="0"/>
                  <w:jc w:val="right"/>
                </w:pPr>
                <w:r w:rsidRPr="00A46772">
                  <w:t>51</w:t>
                </w:r>
              </w:p>
            </w:tc>
            <w:tc>
              <w:tcPr>
                <w:tcW w:w="558" w:type="pct"/>
                <w:tcBorders>
                  <w:top w:val="nil"/>
                  <w:bottom w:val="nil"/>
                </w:tcBorders>
              </w:tcPr>
              <w:p w:rsidR="00916414" w:rsidRPr="007C7256" w:rsidRDefault="00916414" w:rsidP="00916414">
                <w:pPr>
                  <w:pStyle w:val="tabletext0"/>
                  <w:spacing w:before="120" w:after="0"/>
                  <w:jc w:val="right"/>
                </w:pPr>
                <w:r w:rsidRPr="007C7256">
                  <w:t>52</w:t>
                </w:r>
              </w:p>
            </w:tc>
            <w:tc>
              <w:tcPr>
                <w:tcW w:w="575" w:type="pct"/>
                <w:tcBorders>
                  <w:top w:val="nil"/>
                  <w:bottom w:val="nil"/>
                </w:tcBorders>
              </w:tcPr>
              <w:p w:rsidR="00916414" w:rsidRPr="007C7256" w:rsidRDefault="00916414" w:rsidP="00916414">
                <w:pPr>
                  <w:pStyle w:val="tabletext0"/>
                  <w:spacing w:before="120" w:after="0"/>
                  <w:jc w:val="right"/>
                </w:pPr>
                <w:r w:rsidRPr="007C7256">
                  <w:t>30</w:t>
                </w:r>
              </w:p>
            </w:tc>
            <w:tc>
              <w:tcPr>
                <w:tcW w:w="578" w:type="pct"/>
                <w:tcBorders>
                  <w:top w:val="nil"/>
                  <w:bottom w:val="nil"/>
                </w:tcBorders>
              </w:tcPr>
              <w:p w:rsidR="00916414" w:rsidRPr="007C7256" w:rsidRDefault="00916414" w:rsidP="00916414">
                <w:pPr>
                  <w:pStyle w:val="tabletext0"/>
                  <w:spacing w:before="120" w:after="0"/>
                  <w:jc w:val="right"/>
                </w:pPr>
                <w:r w:rsidRPr="007C7256">
                  <w:t>46</w:t>
                </w:r>
              </w:p>
            </w:tc>
            <w:tc>
              <w:tcPr>
                <w:tcW w:w="575" w:type="pct"/>
                <w:tcBorders>
                  <w:top w:val="nil"/>
                  <w:bottom w:val="nil"/>
                </w:tcBorders>
              </w:tcPr>
              <w:p w:rsidR="00916414" w:rsidRPr="007C7256" w:rsidRDefault="00916414" w:rsidP="00916414">
                <w:pPr>
                  <w:pStyle w:val="tabletext0"/>
                  <w:spacing w:before="120" w:after="0"/>
                  <w:jc w:val="right"/>
                </w:pPr>
                <w:r w:rsidRPr="007C7256">
                  <w:t>61</w:t>
                </w:r>
              </w:p>
            </w:tc>
            <w:tc>
              <w:tcPr>
                <w:tcW w:w="578" w:type="pct"/>
                <w:tcBorders>
                  <w:top w:val="nil"/>
                  <w:bottom w:val="nil"/>
                </w:tcBorders>
              </w:tcPr>
              <w:p w:rsidR="00916414" w:rsidRPr="007C7256" w:rsidRDefault="00916414" w:rsidP="00916414">
                <w:pPr>
                  <w:pStyle w:val="tabletext0"/>
                  <w:spacing w:before="120" w:after="0"/>
                  <w:jc w:val="right"/>
                </w:pPr>
                <w:r w:rsidRPr="007C7256">
                  <w:t>49</w:t>
                </w:r>
              </w:p>
            </w:tc>
          </w:tr>
          <w:tr w:rsidR="008A07BF" w:rsidTr="008A07BF">
            <w:trPr>
              <w:cnfStyle w:val="000000010000" w:firstRow="0" w:lastRow="0" w:firstColumn="0" w:lastColumn="0" w:oddVBand="0" w:evenVBand="0" w:oddHBand="0" w:evenHBand="1" w:firstRowFirstColumn="0" w:firstRowLastColumn="0" w:lastRowFirstColumn="0" w:lastRowLastColumn="0"/>
              <w:trHeight w:val="185"/>
            </w:trPr>
            <w:tc>
              <w:tcPr>
                <w:tcW w:w="722" w:type="pct"/>
                <w:tcBorders>
                  <w:top w:val="nil"/>
                  <w:bottom w:val="single" w:sz="4" w:space="0" w:color="auto"/>
                </w:tcBorders>
              </w:tcPr>
              <w:p w:rsidR="00916414" w:rsidRPr="00137954" w:rsidRDefault="00916414" w:rsidP="00916414">
                <w:pPr>
                  <w:pStyle w:val="tabletext0"/>
                  <w:spacing w:before="120" w:after="0"/>
                  <w:rPr>
                    <w:b/>
                  </w:rPr>
                </w:pPr>
              </w:p>
            </w:tc>
            <w:tc>
              <w:tcPr>
                <w:tcW w:w="905" w:type="pct"/>
                <w:tcBorders>
                  <w:top w:val="nil"/>
                  <w:bottom w:val="single" w:sz="4" w:space="0" w:color="auto"/>
                </w:tcBorders>
              </w:tcPr>
              <w:p w:rsidR="00916414" w:rsidRPr="00B54C36" w:rsidRDefault="00916414" w:rsidP="00916414">
                <w:pPr>
                  <w:pStyle w:val="tabletext0"/>
                  <w:spacing w:before="120" w:after="0"/>
                  <w:rPr>
                    <w:sz w:val="16"/>
                  </w:rPr>
                </w:pPr>
                <w:r w:rsidRPr="00B54C36">
                  <w:rPr>
                    <w:sz w:val="16"/>
                  </w:rPr>
                  <w:t>Total</w:t>
                </w:r>
              </w:p>
            </w:tc>
            <w:tc>
              <w:tcPr>
                <w:tcW w:w="512" w:type="pct"/>
                <w:tcBorders>
                  <w:top w:val="nil"/>
                  <w:bottom w:val="single" w:sz="4" w:space="0" w:color="auto"/>
                </w:tcBorders>
              </w:tcPr>
              <w:p w:rsidR="00916414" w:rsidRDefault="00916414" w:rsidP="00916414">
                <w:pPr>
                  <w:pStyle w:val="tabletext0"/>
                  <w:spacing w:before="120" w:after="0"/>
                  <w:jc w:val="right"/>
                </w:pPr>
                <w:r w:rsidRPr="00A46772">
                  <w:t>1,624</w:t>
                </w:r>
              </w:p>
            </w:tc>
            <w:tc>
              <w:tcPr>
                <w:tcW w:w="558" w:type="pct"/>
                <w:tcBorders>
                  <w:top w:val="nil"/>
                  <w:bottom w:val="single" w:sz="4" w:space="0" w:color="auto"/>
                </w:tcBorders>
              </w:tcPr>
              <w:p w:rsidR="00916414" w:rsidRPr="007C7256" w:rsidRDefault="00916414" w:rsidP="00916414">
                <w:pPr>
                  <w:pStyle w:val="tabletext0"/>
                  <w:spacing w:before="120" w:after="0"/>
                  <w:jc w:val="right"/>
                </w:pPr>
                <w:r w:rsidRPr="007C7256">
                  <w:t>1,695</w:t>
                </w:r>
              </w:p>
            </w:tc>
            <w:tc>
              <w:tcPr>
                <w:tcW w:w="575" w:type="pct"/>
                <w:tcBorders>
                  <w:top w:val="nil"/>
                  <w:bottom w:val="single" w:sz="4" w:space="0" w:color="auto"/>
                </w:tcBorders>
              </w:tcPr>
              <w:p w:rsidR="00916414" w:rsidRPr="007C7256" w:rsidRDefault="00916414" w:rsidP="00916414">
                <w:pPr>
                  <w:pStyle w:val="tabletext0"/>
                  <w:spacing w:before="120" w:after="0"/>
                  <w:jc w:val="right"/>
                </w:pPr>
                <w:r w:rsidRPr="007C7256">
                  <w:t>1,478</w:t>
                </w:r>
              </w:p>
            </w:tc>
            <w:tc>
              <w:tcPr>
                <w:tcW w:w="578" w:type="pct"/>
                <w:tcBorders>
                  <w:top w:val="nil"/>
                  <w:bottom w:val="single" w:sz="4" w:space="0" w:color="auto"/>
                </w:tcBorders>
              </w:tcPr>
              <w:p w:rsidR="00916414" w:rsidRPr="007C7256" w:rsidRDefault="00916414" w:rsidP="00916414">
                <w:pPr>
                  <w:pStyle w:val="tabletext0"/>
                  <w:spacing w:before="120" w:after="0"/>
                  <w:jc w:val="right"/>
                </w:pPr>
                <w:r w:rsidRPr="007C7256">
                  <w:t>2,020</w:t>
                </w:r>
              </w:p>
            </w:tc>
            <w:tc>
              <w:tcPr>
                <w:tcW w:w="575" w:type="pct"/>
                <w:tcBorders>
                  <w:top w:val="nil"/>
                  <w:bottom w:val="single" w:sz="4" w:space="0" w:color="auto"/>
                </w:tcBorders>
              </w:tcPr>
              <w:p w:rsidR="00916414" w:rsidRPr="007C7256" w:rsidRDefault="00916414" w:rsidP="00916414">
                <w:pPr>
                  <w:pStyle w:val="tabletext0"/>
                  <w:spacing w:before="120" w:after="0"/>
                  <w:jc w:val="right"/>
                </w:pPr>
                <w:r w:rsidRPr="007C7256">
                  <w:t>2,243</w:t>
                </w:r>
              </w:p>
            </w:tc>
            <w:tc>
              <w:tcPr>
                <w:tcW w:w="578" w:type="pct"/>
                <w:tcBorders>
                  <w:top w:val="nil"/>
                  <w:bottom w:val="single" w:sz="4" w:space="0" w:color="auto"/>
                </w:tcBorders>
              </w:tcPr>
              <w:p w:rsidR="00916414" w:rsidRDefault="00916414" w:rsidP="00916414">
                <w:pPr>
                  <w:pStyle w:val="tabletext0"/>
                  <w:spacing w:before="120" w:after="0"/>
                  <w:jc w:val="right"/>
                </w:pPr>
                <w:r w:rsidRPr="007C7256">
                  <w:t>2,237</w:t>
                </w:r>
              </w:p>
            </w:tc>
          </w:tr>
        </w:tbl>
        <w:p w:rsidR="006B1728" w:rsidRDefault="006B1728" w:rsidP="006B1728">
          <w:pPr>
            <w:pStyle w:val="ListBullet"/>
            <w:numPr>
              <w:ilvl w:val="0"/>
              <w:numId w:val="0"/>
            </w:numPr>
            <w:rPr>
              <w:sz w:val="18"/>
              <w:szCs w:val="18"/>
            </w:rPr>
          </w:pPr>
          <w:r>
            <w:rPr>
              <w:sz w:val="18"/>
              <w:szCs w:val="18"/>
            </w:rPr>
            <w:t>Source: Gas Bulletin Board D</w:t>
          </w:r>
          <w:r w:rsidRPr="00FD477D">
            <w:rPr>
              <w:sz w:val="18"/>
              <w:szCs w:val="18"/>
            </w:rPr>
            <w:t>ata</w:t>
          </w:r>
          <w:r>
            <w:rPr>
              <w:sz w:val="18"/>
              <w:szCs w:val="18"/>
            </w:rPr>
            <w:t xml:space="preserve">, </w:t>
          </w:r>
          <w:hyperlink r:id="rId16" w:history="1">
            <w:r w:rsidRPr="007F55FA">
              <w:rPr>
                <w:rStyle w:val="Hyperlink"/>
                <w:sz w:val="18"/>
                <w:szCs w:val="18"/>
              </w:rPr>
              <w:t>www.gasbb.com.au</w:t>
            </w:r>
          </w:hyperlink>
          <w:r>
            <w:rPr>
              <w:sz w:val="18"/>
              <w:szCs w:val="18"/>
            </w:rPr>
            <w:t xml:space="preserve">; Some </w:t>
          </w:r>
          <w:r w:rsidRPr="00C5192E">
            <w:rPr>
              <w:sz w:val="18"/>
              <w:szCs w:val="18"/>
            </w:rPr>
            <w:t>numbers differ slightly from June report due</w:t>
          </w:r>
          <w:r>
            <w:rPr>
              <w:sz w:val="18"/>
              <w:szCs w:val="18"/>
            </w:rPr>
            <w:t xml:space="preserve"> to updating of GBB data.</w:t>
          </w:r>
        </w:p>
        <w:p w:rsidR="006B1728" w:rsidRPr="00793F47" w:rsidRDefault="006B1728" w:rsidP="006B1728">
          <w:pPr>
            <w:pStyle w:val="Heading6notnumbered"/>
          </w:pPr>
          <w:r w:rsidRPr="00793F47">
            <w:rPr>
              <w:iCs w:val="0"/>
            </w:rPr>
            <w:t>Role of Iona Gas Storage</w:t>
          </w:r>
          <w:r>
            <w:rPr>
              <w:iCs w:val="0"/>
            </w:rPr>
            <w:t xml:space="preserve"> and other b</w:t>
          </w:r>
          <w:r w:rsidRPr="00793F47">
            <w:rPr>
              <w:iCs w:val="0"/>
            </w:rPr>
            <w:t xml:space="preserve">alancing </w:t>
          </w:r>
          <w:r>
            <w:rPr>
              <w:iCs w:val="0"/>
            </w:rPr>
            <w:t xml:space="preserve">gas </w:t>
          </w:r>
          <w:r w:rsidRPr="00793F47">
            <w:rPr>
              <w:iCs w:val="0"/>
            </w:rPr>
            <w:t>supply</w:t>
          </w:r>
        </w:p>
        <w:p w:rsidR="006B1728" w:rsidRDefault="006B1728" w:rsidP="006B1728">
          <w:pPr>
            <w:pStyle w:val="ListBullet"/>
            <w:numPr>
              <w:ilvl w:val="0"/>
              <w:numId w:val="0"/>
            </w:numPr>
            <w:rPr>
              <w:iCs/>
            </w:rPr>
          </w:pPr>
          <w:r w:rsidRPr="006B1728">
            <w:rPr>
              <w:iCs/>
            </w:rPr>
            <w:t>As Iona capacity became scarce reaching near record minimum levels towards the end of July, the scarcity started to be reflected in participant offers for even small quantities of gas being over $10/GJ. In contrast across winter 2015 bids from Iona for at least the first 100 TJ were consistently below $10/GJ.</w:t>
          </w:r>
        </w:p>
        <w:p w:rsidR="001E414F" w:rsidRDefault="00AD4BE9" w:rsidP="006B1728">
          <w:pPr>
            <w:pStyle w:val="ListBullet"/>
            <w:numPr>
              <w:ilvl w:val="0"/>
              <w:numId w:val="0"/>
            </w:numPr>
            <w:rPr>
              <w:iCs/>
            </w:rPr>
          </w:pPr>
          <w:r>
            <w:rPr>
              <w:iCs/>
            </w:rPr>
            <w:fldChar w:fldCharType="begin"/>
          </w:r>
          <w:r>
            <w:rPr>
              <w:iCs/>
            </w:rPr>
            <w:instrText xml:space="preserve"> REF _Ref465356152 \h </w:instrText>
          </w:r>
          <w:r>
            <w:rPr>
              <w:iCs/>
            </w:rPr>
          </w:r>
          <w:r>
            <w:rPr>
              <w:iCs/>
            </w:rPr>
            <w:fldChar w:fldCharType="separate"/>
          </w:r>
          <w:r w:rsidR="00D94C93" w:rsidRPr="007E2EC9">
            <w:t>Figure </w:t>
          </w:r>
          <w:r w:rsidR="00D94C93">
            <w:rPr>
              <w:noProof/>
            </w:rPr>
            <w:t>4</w:t>
          </w:r>
          <w:r>
            <w:rPr>
              <w:iCs/>
            </w:rPr>
            <w:fldChar w:fldCharType="end"/>
          </w:r>
          <w:r>
            <w:rPr>
              <w:iCs/>
            </w:rPr>
            <w:t xml:space="preserve"> sho</w:t>
          </w:r>
          <w:r w:rsidR="00A14069">
            <w:rPr>
              <w:iCs/>
            </w:rPr>
            <w:t>ws that participants</w:t>
          </w:r>
          <w:r w:rsidR="001E414F">
            <w:rPr>
              <w:iCs/>
            </w:rPr>
            <w:t xml:space="preserve"> began to price gas from Iona at higher prices in July and August. We understand this reflects the overall reduction in Iona’s storage levels </w:t>
          </w:r>
          <w:r w:rsidR="008B0D0C">
            <w:rPr>
              <w:iCs/>
            </w:rPr>
            <w:t xml:space="preserve">(which </w:t>
          </w:r>
          <w:r w:rsidR="009C53E8">
            <w:rPr>
              <w:iCs/>
            </w:rPr>
            <w:t>at one stage reached</w:t>
          </w:r>
          <w:r w:rsidR="008B0D0C">
            <w:rPr>
              <w:iCs/>
            </w:rPr>
            <w:t xml:space="preserve"> 30% of capacity) following high levels of supply throughout June.</w:t>
          </w:r>
        </w:p>
        <w:p w:rsidR="00FF6CA8" w:rsidRPr="00137954" w:rsidRDefault="00FF6CA8" w:rsidP="00FF6CA8">
          <w:pPr>
            <w:pStyle w:val="Caption"/>
          </w:pPr>
          <w:bookmarkStart w:id="28" w:name="_Ref465356152"/>
          <w:r w:rsidRPr="007E2EC9">
            <w:t>Figure </w:t>
          </w:r>
          <w:r w:rsidR="002852EF">
            <w:fldChar w:fldCharType="begin"/>
          </w:r>
          <w:r w:rsidR="002852EF">
            <w:instrText xml:space="preserve"> SEQ Figure \* ARABIC </w:instrText>
          </w:r>
          <w:r w:rsidR="002852EF">
            <w:fldChar w:fldCharType="separate"/>
          </w:r>
          <w:r w:rsidR="00D94C93">
            <w:rPr>
              <w:noProof/>
            </w:rPr>
            <w:t>4</w:t>
          </w:r>
          <w:r w:rsidR="002852EF">
            <w:rPr>
              <w:noProof/>
            </w:rPr>
            <w:fldChar w:fldCharType="end"/>
          </w:r>
          <w:bookmarkEnd w:id="28"/>
          <w:r w:rsidRPr="007E2EC9">
            <w:t xml:space="preserve">: </w:t>
          </w:r>
          <w:r>
            <w:t>Iona Gas Storage facility injections bids (supply offers)*</w:t>
          </w:r>
        </w:p>
        <w:p w:rsidR="006B1728" w:rsidRDefault="00F3199F" w:rsidP="006B1728">
          <w:r w:rsidRPr="00F3199F">
            <w:rPr>
              <w:noProof/>
              <w:lang w:eastAsia="en-AU"/>
            </w:rPr>
            <w:drawing>
              <wp:inline distT="0" distB="0" distL="0" distR="0" wp14:anchorId="5C457F2E" wp14:editId="712CEC7D">
                <wp:extent cx="5382895" cy="2893880"/>
                <wp:effectExtent l="0" t="0" r="8255" b="1905"/>
                <wp:docPr id="9" name="Picture 9" descr="Figure 4 shows beginning-of-day injection bids within certain price bands at the Iona underground gas storage facility over win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2893880"/>
                        </a:xfrm>
                        <a:prstGeom prst="rect">
                          <a:avLst/>
                        </a:prstGeom>
                        <a:noFill/>
                        <a:ln>
                          <a:noFill/>
                        </a:ln>
                      </pic:spPr>
                    </pic:pic>
                  </a:graphicData>
                </a:graphic>
              </wp:inline>
            </w:drawing>
          </w:r>
        </w:p>
        <w:p w:rsidR="006B1728" w:rsidRDefault="006B1728" w:rsidP="00916414">
          <w:pPr>
            <w:spacing w:before="0"/>
            <w:rPr>
              <w:sz w:val="16"/>
              <w:szCs w:val="16"/>
            </w:rPr>
          </w:pPr>
          <w:r w:rsidRPr="006B1728">
            <w:rPr>
              <w:sz w:val="16"/>
              <w:szCs w:val="16"/>
            </w:rPr>
            <w:t>* 6 am (beginning of day) supply offers are shown for each gas day)</w:t>
          </w:r>
        </w:p>
        <w:p w:rsidR="006B1728" w:rsidRDefault="006B1728" w:rsidP="006B1728">
          <w:pPr>
            <w:rPr>
              <w:iCs/>
            </w:rPr>
          </w:pPr>
          <w:r w:rsidRPr="006B1728">
            <w:rPr>
              <w:iCs/>
            </w:rPr>
            <w:t>At the same time as the reduction in supply from Iona in July, there was an increase in net injections into Victoria throu</w:t>
          </w:r>
          <w:r w:rsidR="003E29B5">
            <w:rPr>
              <w:iCs/>
            </w:rPr>
            <w:t>gh the Vic-NSW interconnect as n</w:t>
          </w:r>
          <w:r w:rsidRPr="006B1728">
            <w:rPr>
              <w:iCs/>
            </w:rPr>
            <w:t>orthern gas</w:t>
          </w:r>
          <w:r w:rsidR="003E29B5">
            <w:rPr>
              <w:iCs/>
            </w:rPr>
            <w:t xml:space="preserve"> supplies made their way south.</w:t>
          </w:r>
          <w:r w:rsidRPr="006B1728">
            <w:rPr>
              <w:iCs/>
            </w:rPr>
            <w:t xml:space="preserve"> This was reflected in the Victorian Gas Market through a large increase in offers to inject gas into the Victorian market from 18 July at below $9/GJ</w:t>
          </w:r>
          <w:r>
            <w:rPr>
              <w:iCs/>
            </w:rPr>
            <w:t>.</w:t>
          </w:r>
          <w:r w:rsidRPr="006B1728">
            <w:rPr>
              <w:iCs/>
            </w:rPr>
            <w:t xml:space="preserve"> </w:t>
          </w:r>
        </w:p>
        <w:p w:rsidR="006B1728" w:rsidRPr="00137954" w:rsidRDefault="006B1728" w:rsidP="006B1728">
          <w:pPr>
            <w:pStyle w:val="Heading6notnumbered"/>
          </w:pPr>
          <w:r w:rsidRPr="002433A1">
            <w:t>South Australia</w:t>
          </w:r>
          <w:r>
            <w:t>n</w:t>
          </w:r>
          <w:r w:rsidRPr="00137954">
            <w:t xml:space="preserve"> gas fields</w:t>
          </w:r>
        </w:p>
        <w:p w:rsidR="006B1728" w:rsidRDefault="00AD4BE9" w:rsidP="006B1728">
          <w:pPr>
            <w:pStyle w:val="ListBullet"/>
            <w:numPr>
              <w:ilvl w:val="0"/>
              <w:numId w:val="0"/>
            </w:numPr>
          </w:pPr>
          <w:r>
            <w:rPr>
              <w:b/>
            </w:rPr>
            <w:fldChar w:fldCharType="begin"/>
          </w:r>
          <w:r>
            <w:instrText xml:space="preserve"> REF _Ref465356189 \h </w:instrText>
          </w:r>
          <w:r>
            <w:rPr>
              <w:b/>
            </w:rPr>
          </w:r>
          <w:r>
            <w:rPr>
              <w:b/>
            </w:rPr>
            <w:fldChar w:fldCharType="separate"/>
          </w:r>
          <w:r w:rsidR="00D94C93" w:rsidRPr="007E2EC9">
            <w:t>Figure </w:t>
          </w:r>
          <w:r w:rsidR="00D94C93">
            <w:rPr>
              <w:noProof/>
            </w:rPr>
            <w:t>5</w:t>
          </w:r>
          <w:r>
            <w:rPr>
              <w:b/>
            </w:rPr>
            <w:fldChar w:fldCharType="end"/>
          </w:r>
          <w:r w:rsidR="00FF6CA8" w:rsidRPr="00080981">
            <w:t xml:space="preserve"> illustrates that in winter 2016, </w:t>
          </w:r>
          <w:r w:rsidR="00FF6CA8" w:rsidRPr="00137954">
            <w:t xml:space="preserve">more gas was flowing from </w:t>
          </w:r>
          <w:r w:rsidR="00FF6CA8" w:rsidRPr="00080981">
            <w:t>Moomba</w:t>
          </w:r>
          <w:r w:rsidR="00FF6CA8">
            <w:t xml:space="preserve"> </w:t>
          </w:r>
          <w:r w:rsidR="00FF6CA8" w:rsidRPr="00080981">
            <w:t xml:space="preserve">than in 2015. </w:t>
          </w:r>
          <w:r>
            <w:rPr>
              <w:highlight w:val="cyan"/>
            </w:rPr>
            <w:fldChar w:fldCharType="begin"/>
          </w:r>
          <w:r>
            <w:instrText xml:space="preserve"> REF _Ref465356230 \h </w:instrText>
          </w:r>
          <w:r>
            <w:rPr>
              <w:highlight w:val="cyan"/>
            </w:rPr>
          </w:r>
          <w:r>
            <w:rPr>
              <w:highlight w:val="cyan"/>
            </w:rPr>
            <w:fldChar w:fldCharType="separate"/>
          </w:r>
          <w:r w:rsidR="00D94C93" w:rsidRPr="007E2EC9">
            <w:t>Figure </w:t>
          </w:r>
          <w:r w:rsidR="00D94C93">
            <w:rPr>
              <w:noProof/>
            </w:rPr>
            <w:t>6</w:t>
          </w:r>
          <w:r>
            <w:rPr>
              <w:highlight w:val="cyan"/>
            </w:rPr>
            <w:fldChar w:fldCharType="end"/>
          </w:r>
          <w:r w:rsidR="00FF6CA8">
            <w:t xml:space="preserve"> </w:t>
          </w:r>
          <w:r w:rsidR="00753660">
            <w:t>illustrates</w:t>
          </w:r>
          <w:r w:rsidR="00FF6CA8">
            <w:t xml:space="preserve"> </w:t>
          </w:r>
          <w:r w:rsidR="00FF6CA8" w:rsidRPr="00080981">
            <w:t>pipeline flow data</w:t>
          </w:r>
          <w:r w:rsidR="00753660">
            <w:t>,</w:t>
          </w:r>
          <w:r w:rsidR="00FF6CA8" w:rsidRPr="00080981">
            <w:t xml:space="preserve"> </w:t>
          </w:r>
          <w:r w:rsidR="00FF6CA8">
            <w:t xml:space="preserve">which </w:t>
          </w:r>
          <w:r w:rsidR="00FF6CA8" w:rsidRPr="00080981">
            <w:t>suggests the extra gas may have been flowing into Queensland to supply demand from LNG exports, instead of domestic deman</w:t>
          </w:r>
          <w:r w:rsidR="00FF6CA8" w:rsidRPr="00137954">
            <w:t>d.</w:t>
          </w:r>
          <w:r w:rsidR="00FF6CA8">
            <w:t xml:space="preserve"> </w:t>
          </w:r>
          <w:r w:rsidR="00FF6CA8" w:rsidRPr="00137954">
            <w:t xml:space="preserve">Santos </w:t>
          </w:r>
          <w:r w:rsidR="00753660">
            <w:t>uses some</w:t>
          </w:r>
          <w:r w:rsidR="00FF6CA8" w:rsidRPr="00137954">
            <w:t xml:space="preserve"> of its Moomba gas to </w:t>
          </w:r>
          <w:r w:rsidR="00753660">
            <w:t>supply its</w:t>
          </w:r>
          <w:r w:rsidR="00FF6CA8" w:rsidRPr="00137954">
            <w:t xml:space="preserve"> Gladstone LNG export project.</w:t>
          </w:r>
        </w:p>
        <w:p w:rsidR="00FF6CA8" w:rsidRPr="00137954" w:rsidRDefault="00FF6CA8" w:rsidP="00FF6CA8">
          <w:pPr>
            <w:pStyle w:val="Caption"/>
          </w:pPr>
          <w:bookmarkStart w:id="29" w:name="_Ref465356189"/>
          <w:r w:rsidRPr="007E2EC9">
            <w:t>Figure </w:t>
          </w:r>
          <w:r w:rsidR="002852EF">
            <w:fldChar w:fldCharType="begin"/>
          </w:r>
          <w:r w:rsidR="002852EF">
            <w:instrText xml:space="preserve"> SEQ Figure \* </w:instrText>
          </w:r>
          <w:r w:rsidR="002852EF">
            <w:instrText xml:space="preserve">ARABIC </w:instrText>
          </w:r>
          <w:r w:rsidR="002852EF">
            <w:fldChar w:fldCharType="separate"/>
          </w:r>
          <w:r w:rsidR="00D94C93">
            <w:rPr>
              <w:noProof/>
            </w:rPr>
            <w:t>5</w:t>
          </w:r>
          <w:r w:rsidR="002852EF">
            <w:rPr>
              <w:noProof/>
            </w:rPr>
            <w:fldChar w:fldCharType="end"/>
          </w:r>
          <w:bookmarkEnd w:id="29"/>
          <w:r w:rsidRPr="007E2EC9">
            <w:t xml:space="preserve">: </w:t>
          </w:r>
          <w:r w:rsidRPr="00137954">
            <w:t>Moomba Prod</w:t>
          </w:r>
          <w:r>
            <w:t>u</w:t>
          </w:r>
          <w:r w:rsidRPr="00137954">
            <w:t>ction</w:t>
          </w:r>
        </w:p>
        <w:p w:rsidR="00FF6CA8" w:rsidRDefault="004259F3" w:rsidP="00FF6CA8">
          <w:r w:rsidRPr="004259F3">
            <w:rPr>
              <w:noProof/>
              <w:lang w:eastAsia="en-AU"/>
            </w:rPr>
            <w:drawing>
              <wp:inline distT="0" distB="0" distL="0" distR="0" wp14:anchorId="63795D03" wp14:editId="41F2219E">
                <wp:extent cx="5382895" cy="2670808"/>
                <wp:effectExtent l="0" t="0" r="0" b="0"/>
                <wp:docPr id="30" name="Picture 30" descr="Figure 5 shows daily gas quantities supplied by the Moomba production facility over winter for 2015 (faded red bars)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2670808"/>
                        </a:xfrm>
                        <a:prstGeom prst="rect">
                          <a:avLst/>
                        </a:prstGeom>
                        <a:noFill/>
                        <a:ln>
                          <a:noFill/>
                        </a:ln>
                      </pic:spPr>
                    </pic:pic>
                  </a:graphicData>
                </a:graphic>
              </wp:inline>
            </w:drawing>
          </w:r>
        </w:p>
        <w:p w:rsidR="00FF6CA8" w:rsidRDefault="00FF6CA8" w:rsidP="00FF6CA8">
          <w:pPr>
            <w:rPr>
              <w:rStyle w:val="Hyperlink"/>
              <w:sz w:val="16"/>
            </w:rPr>
          </w:pPr>
          <w:r>
            <w:rPr>
              <w:sz w:val="16"/>
            </w:rPr>
            <w:t>Source:</w:t>
          </w:r>
          <w:r w:rsidRPr="00137954">
            <w:rPr>
              <w:sz w:val="16"/>
            </w:rPr>
            <w:t xml:space="preserve"> Bulletin Board data, </w:t>
          </w:r>
          <w:hyperlink r:id="rId19" w:history="1">
            <w:r w:rsidRPr="00137954">
              <w:rPr>
                <w:rStyle w:val="Hyperlink"/>
                <w:sz w:val="16"/>
              </w:rPr>
              <w:t>www.gasbb.com.au</w:t>
            </w:r>
          </w:hyperlink>
        </w:p>
        <w:p w:rsidR="00FF6CA8" w:rsidRPr="00137954" w:rsidRDefault="00FF6CA8" w:rsidP="00FF6CA8">
          <w:pPr>
            <w:pStyle w:val="Caption"/>
          </w:pPr>
          <w:bookmarkStart w:id="30" w:name="_Ref465356230"/>
          <w:r w:rsidRPr="007E2EC9">
            <w:t>Figure </w:t>
          </w:r>
          <w:r w:rsidR="002852EF">
            <w:fldChar w:fldCharType="begin"/>
          </w:r>
          <w:r w:rsidR="002852EF">
            <w:instrText xml:space="preserve"> SEQ Figure \* ARABIC </w:instrText>
          </w:r>
          <w:r w:rsidR="002852EF">
            <w:fldChar w:fldCharType="separate"/>
          </w:r>
          <w:r w:rsidR="00D94C93">
            <w:rPr>
              <w:noProof/>
            </w:rPr>
            <w:t>6</w:t>
          </w:r>
          <w:r w:rsidR="002852EF">
            <w:rPr>
              <w:noProof/>
            </w:rPr>
            <w:fldChar w:fldCharType="end"/>
          </w:r>
          <w:bookmarkEnd w:id="30"/>
          <w:r w:rsidRPr="007E2EC9">
            <w:t>: QSN link flows*</w:t>
          </w:r>
        </w:p>
        <w:p w:rsidR="00FF6CA8" w:rsidRDefault="00237E0C" w:rsidP="006B1728">
          <w:pPr>
            <w:pStyle w:val="ListBullet"/>
            <w:numPr>
              <w:ilvl w:val="0"/>
              <w:numId w:val="0"/>
            </w:numPr>
          </w:pPr>
          <w:r w:rsidRPr="00237E0C">
            <w:rPr>
              <w:noProof/>
              <w:lang w:eastAsia="en-AU"/>
            </w:rPr>
            <w:drawing>
              <wp:inline distT="0" distB="0" distL="0" distR="0" wp14:anchorId="010088F6" wp14:editId="0C9301B0">
                <wp:extent cx="5382895" cy="2545732"/>
                <wp:effectExtent l="0" t="0" r="8255" b="6985"/>
                <wp:docPr id="46" name="Picture 46" descr="Figure 6 shows the change in flow direction of gas shipped through the QSN link (South West Queensland Pipeline) connecting Moomba (in South Australia) to Ballera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2545732"/>
                        </a:xfrm>
                        <a:prstGeom prst="rect">
                          <a:avLst/>
                        </a:prstGeom>
                        <a:noFill/>
                        <a:ln>
                          <a:noFill/>
                        </a:ln>
                      </pic:spPr>
                    </pic:pic>
                  </a:graphicData>
                </a:graphic>
              </wp:inline>
            </w:drawing>
          </w:r>
        </w:p>
        <w:p w:rsidR="00315A6A" w:rsidRDefault="00315A6A" w:rsidP="006B1728">
          <w:pPr>
            <w:pStyle w:val="ListBullet"/>
            <w:numPr>
              <w:ilvl w:val="0"/>
              <w:numId w:val="0"/>
            </w:numPr>
            <w:rPr>
              <w:sz w:val="16"/>
            </w:rPr>
          </w:pPr>
          <w:r w:rsidRPr="00315A6A">
            <w:rPr>
              <w:sz w:val="16"/>
            </w:rPr>
            <w:t>* flow quantity has been adjusted to show northerly flows above the x</w:t>
          </w:r>
          <w:r w:rsidRPr="00315A6A">
            <w:rPr>
              <w:sz w:val="16"/>
            </w:rPr>
            <w:noBreakHyphen/>
            <w:t>axis.</w:t>
          </w:r>
        </w:p>
        <w:p w:rsidR="00FF6CA8" w:rsidRDefault="00FF6CA8" w:rsidP="006B1728">
          <w:pPr>
            <w:pStyle w:val="ListBullet"/>
            <w:numPr>
              <w:ilvl w:val="0"/>
              <w:numId w:val="0"/>
            </w:numPr>
          </w:pPr>
          <w:r>
            <w:rPr>
              <w:sz w:val="16"/>
            </w:rPr>
            <w:t>Source:</w:t>
          </w:r>
          <w:r w:rsidRPr="00137954">
            <w:rPr>
              <w:sz w:val="16"/>
            </w:rPr>
            <w:t xml:space="preserve"> Bulletin Board data, </w:t>
          </w:r>
          <w:hyperlink r:id="rId21" w:history="1">
            <w:r w:rsidRPr="00137954">
              <w:rPr>
                <w:rStyle w:val="Hyperlink"/>
                <w:sz w:val="16"/>
              </w:rPr>
              <w:t>www.gasbb.com.au</w:t>
            </w:r>
          </w:hyperlink>
        </w:p>
        <w:p w:rsidR="00FF6CA8" w:rsidRPr="00137954" w:rsidRDefault="00FF6CA8" w:rsidP="00FF6CA8">
          <w:pPr>
            <w:pStyle w:val="Heading6notnumbered"/>
          </w:pPr>
          <w:r w:rsidRPr="00137954">
            <w:t>New South Wales gas</w:t>
          </w:r>
        </w:p>
        <w:p w:rsidR="00315A6A" w:rsidRPr="00E4045A" w:rsidRDefault="00315A6A" w:rsidP="00FF6CA8">
          <w:pPr>
            <w:pStyle w:val="ListBullet"/>
            <w:numPr>
              <w:ilvl w:val="0"/>
              <w:numId w:val="0"/>
            </w:numPr>
          </w:pPr>
          <w:r w:rsidRPr="00137954">
            <w:t>From the second week of June to the end of</w:t>
          </w:r>
          <w:r w:rsidRPr="002433A1">
            <w:t xml:space="preserve"> August</w:t>
          </w:r>
          <w:r w:rsidRPr="00137954">
            <w:t xml:space="preserve">, AGL used its Newcastle gas storage facility </w:t>
          </w:r>
          <w:r w:rsidRPr="00137954">
            <w:rPr>
              <w:b/>
            </w:rPr>
            <w:t>(NGSF)</w:t>
          </w:r>
          <w:r w:rsidRPr="00137954">
            <w:t xml:space="preserve"> regularly to supply gas to the Sydney STTM. Over the period, the NGSF was scheduled on 20 gas days. Its quantities averaged nearly 25 TJ a day, with a maximum of 50 TJ and a minimum of 10 TJ.</w:t>
          </w:r>
          <w:r w:rsidRPr="00137954">
            <w:rPr>
              <w:rStyle w:val="FootnoteReference"/>
            </w:rPr>
            <w:footnoteReference w:id="18"/>
          </w:r>
          <w:r w:rsidRPr="00137954">
            <w:t xml:space="preserve"> This is the first winter that the NGSF has been a major source of supply for the Sydney STTM. In winter 2015 the NGSF was being commissioned, and first supplied gas on 23 July 2015.</w:t>
          </w:r>
        </w:p>
        <w:p w:rsidR="00FF6CA8" w:rsidRPr="002433A1" w:rsidRDefault="00FF6CA8" w:rsidP="00FF6CA8">
          <w:pPr>
            <w:pStyle w:val="Heading6notnumbered"/>
          </w:pPr>
          <w:r>
            <w:t>Queensland g</w:t>
          </w:r>
          <w:r w:rsidRPr="002433A1">
            <w:t>as</w:t>
          </w:r>
          <w:r>
            <w:t xml:space="preserve"> (for domestic markets)</w:t>
          </w:r>
        </w:p>
        <w:p w:rsidR="00FF6CA8" w:rsidRPr="00315A6A" w:rsidRDefault="00315A6A" w:rsidP="00FF6CA8">
          <w:pPr>
            <w:pStyle w:val="ListBullet"/>
            <w:numPr>
              <w:ilvl w:val="0"/>
              <w:numId w:val="0"/>
            </w:numPr>
          </w:pPr>
          <w:r w:rsidRPr="00315A6A">
            <w:t>The AER identified multiple parties selling gas into the domestic markets in Queensland this winter. In July, QGC sent gas from the QCLNG export project to the domestic market.</w:t>
          </w:r>
          <w:r w:rsidRPr="00315A6A">
            <w:rPr>
              <w:rStyle w:val="FootnoteReference"/>
              <w:sz w:val="22"/>
            </w:rPr>
            <w:footnoteReference w:id="19"/>
          </w:r>
        </w:p>
        <w:p w:rsidR="00FF6CA8" w:rsidRPr="00315A6A" w:rsidRDefault="00AD4BE9" w:rsidP="00FF6CA8">
          <w:pPr>
            <w:pStyle w:val="ListBullet"/>
            <w:numPr>
              <w:ilvl w:val="0"/>
              <w:numId w:val="0"/>
            </w:numPr>
          </w:pPr>
          <w:r>
            <w:rPr>
              <w:highlight w:val="cyan"/>
            </w:rPr>
            <w:fldChar w:fldCharType="begin"/>
          </w:r>
          <w:r>
            <w:instrText xml:space="preserve"> REF _Ref465356253 \h </w:instrText>
          </w:r>
          <w:r>
            <w:rPr>
              <w:highlight w:val="cyan"/>
            </w:rPr>
          </w:r>
          <w:r>
            <w:rPr>
              <w:highlight w:val="cyan"/>
            </w:rPr>
            <w:fldChar w:fldCharType="separate"/>
          </w:r>
          <w:r w:rsidR="00D94C93" w:rsidRPr="007E2EC9">
            <w:t>Figure </w:t>
          </w:r>
          <w:r w:rsidR="00D94C93">
            <w:rPr>
              <w:noProof/>
            </w:rPr>
            <w:t>7</w:t>
          </w:r>
          <w:r>
            <w:rPr>
              <w:highlight w:val="cyan"/>
            </w:rPr>
            <w:fldChar w:fldCharType="end"/>
          </w:r>
          <w:r w:rsidR="00315A6A" w:rsidRPr="00315A6A">
            <w:t xml:space="preserve"> shows gas trades entered into on the Exchange increased markedly in July. Exchange based trades shown below are likely to reflect an increase in overall trade in July for both off market and on Exchange sales of ‘LNG gas’ in to the domestic market.</w:t>
          </w:r>
          <w:r w:rsidR="00315A6A" w:rsidRPr="00315A6A">
            <w:rPr>
              <w:rStyle w:val="FootnoteReference"/>
              <w:sz w:val="22"/>
            </w:rPr>
            <w:footnoteReference w:id="20"/>
          </w:r>
        </w:p>
        <w:p w:rsidR="00315A6A" w:rsidRPr="00137954" w:rsidRDefault="00315A6A" w:rsidP="00315A6A">
          <w:pPr>
            <w:pStyle w:val="Caption"/>
          </w:pPr>
          <w:bookmarkStart w:id="31" w:name="_Ref465356253"/>
          <w:r w:rsidRPr="007E2EC9">
            <w:t>Figure </w:t>
          </w:r>
          <w:r w:rsidR="002852EF">
            <w:fldChar w:fldCharType="begin"/>
          </w:r>
          <w:r w:rsidR="002852EF">
            <w:instrText xml:space="preserve"> SEQ Figure \* ARABIC </w:instrText>
          </w:r>
          <w:r w:rsidR="002852EF">
            <w:fldChar w:fldCharType="separate"/>
          </w:r>
          <w:r w:rsidR="00D94C93">
            <w:rPr>
              <w:noProof/>
            </w:rPr>
            <w:t>7</w:t>
          </w:r>
          <w:r w:rsidR="002852EF">
            <w:rPr>
              <w:noProof/>
            </w:rPr>
            <w:fldChar w:fldCharType="end"/>
          </w:r>
          <w:bookmarkEnd w:id="31"/>
          <w:r w:rsidRPr="007E2EC9">
            <w:t xml:space="preserve">: </w:t>
          </w:r>
          <w:r w:rsidRPr="00315A6A">
            <w:t>Gas day (delivery) trades at Wallumbilla during higher prices</w:t>
          </w:r>
          <w:r>
            <w:t>*</w:t>
          </w:r>
        </w:p>
        <w:p w:rsidR="00315A6A" w:rsidRPr="00137954" w:rsidRDefault="00237E0C" w:rsidP="00315A6A">
          <w:r w:rsidRPr="00237E0C">
            <w:rPr>
              <w:noProof/>
              <w:lang w:eastAsia="en-AU"/>
            </w:rPr>
            <w:drawing>
              <wp:inline distT="0" distB="0" distL="0" distR="0" wp14:anchorId="7EB478E1" wp14:editId="6C8E4111">
                <wp:extent cx="5382895" cy="2761834"/>
                <wp:effectExtent l="0" t="0" r="8255" b="635"/>
                <wp:docPr id="45" name="Picture 45" descr="Figure 7 shows gas trades settled through the Wallumbilla gas supply hub (GSH). The figure includes trades which occurred up to the end of July 2016 (trade date) and shows the relevant delivery period (gas date) of the GSH transactions. The figure includes both off market and on Exchange trad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2761834"/>
                        </a:xfrm>
                        <a:prstGeom prst="rect">
                          <a:avLst/>
                        </a:prstGeom>
                        <a:noFill/>
                        <a:ln>
                          <a:noFill/>
                        </a:ln>
                      </pic:spPr>
                    </pic:pic>
                  </a:graphicData>
                </a:graphic>
              </wp:inline>
            </w:drawing>
          </w:r>
          <w:r w:rsidR="00315A6A" w:rsidRPr="00137954">
            <w:rPr>
              <w:sz w:val="16"/>
            </w:rPr>
            <w:t>* Pipeline trades: non-netted product locations traded on each pipeline hav</w:t>
          </w:r>
          <w:r w:rsidR="00315A6A">
            <w:rPr>
              <w:sz w:val="16"/>
            </w:rPr>
            <w:t>e been included, only trades wh</w:t>
          </w:r>
          <w:r w:rsidR="00315A6A" w:rsidRPr="00137954">
            <w:rPr>
              <w:sz w:val="16"/>
            </w:rPr>
            <w:t xml:space="preserve">ich occurred in June and July are shown. </w:t>
          </w:r>
          <w:r w:rsidR="00315A6A" w:rsidRPr="00616783">
            <w:rPr>
              <w:sz w:val="16"/>
            </w:rPr>
            <w:t>In July the first ‘monthly’ products for the delivery of gas in August (and September) was entered into with the purchase of over 20 TJ/d of Queensland gas for delivery on to the SWQP.</w:t>
          </w:r>
        </w:p>
        <w:p w:rsidR="00616783" w:rsidRDefault="00315A6A" w:rsidP="009046C7">
          <w:r>
            <w:t xml:space="preserve">In late July there was also a planned </w:t>
          </w:r>
          <w:r w:rsidR="00DB5504">
            <w:t xml:space="preserve">outage one of </w:t>
          </w:r>
          <w:r>
            <w:t>QCLNG train</w:t>
          </w:r>
          <w:r w:rsidR="00DB5504">
            <w:t>s</w:t>
          </w:r>
          <w:r>
            <w:t xml:space="preserve"> (on Curtis Island) which would have increased gas supply available to be sold into the domestic market.</w:t>
          </w:r>
        </w:p>
        <w:p w:rsidR="00D94C93" w:rsidRDefault="00D94C93">
          <w:pPr>
            <w:spacing w:line="240" w:lineRule="auto"/>
            <w:jc w:val="left"/>
            <w:rPr>
              <w:rFonts w:eastAsiaTheme="majorEastAsia" w:cstheme="majorBidi"/>
              <w:b/>
              <w:bCs/>
              <w:color w:val="70635A" w:themeColor="text2"/>
              <w:sz w:val="32"/>
              <w:szCs w:val="26"/>
            </w:rPr>
          </w:pPr>
          <w:bookmarkStart w:id="32" w:name="_Toc459989988"/>
          <w:bookmarkStart w:id="33" w:name="_Ref464489732"/>
          <w:r>
            <w:br w:type="page"/>
          </w:r>
        </w:p>
        <w:p w:rsidR="00226DC2" w:rsidRPr="00137954" w:rsidRDefault="00226DC2" w:rsidP="00226DC2">
          <w:pPr>
            <w:pStyle w:val="Heading2"/>
          </w:pPr>
          <w:bookmarkStart w:id="34" w:name="_Ref466892506"/>
          <w:bookmarkStart w:id="35" w:name="_Toc466896984"/>
          <w:r w:rsidRPr="00137954">
            <w:t xml:space="preserve">Demand </w:t>
          </w:r>
          <w:bookmarkEnd w:id="32"/>
          <w:bookmarkEnd w:id="33"/>
          <w:r w:rsidR="00793F47">
            <w:t>conditions</w:t>
          </w:r>
          <w:bookmarkEnd w:id="34"/>
          <w:bookmarkEnd w:id="35"/>
        </w:p>
        <w:p w:rsidR="00D609FA" w:rsidRPr="00137954" w:rsidRDefault="00D609FA" w:rsidP="00D609FA">
          <w:pPr>
            <w:pStyle w:val="Heading6notnumbered"/>
          </w:pPr>
          <w:r>
            <w:t>LNG</w:t>
          </w:r>
          <w:r w:rsidR="00D15D64">
            <w:t xml:space="preserve"> supply and demand</w:t>
          </w:r>
        </w:p>
        <w:p w:rsidR="00D609FA" w:rsidRPr="00315A6A" w:rsidRDefault="00AD4BE9" w:rsidP="00D609FA">
          <w:pPr>
            <w:pStyle w:val="ListBullet"/>
            <w:numPr>
              <w:ilvl w:val="0"/>
              <w:numId w:val="0"/>
            </w:numPr>
          </w:pPr>
          <w:r>
            <w:rPr>
              <w:bCs/>
              <w:iCs/>
            </w:rPr>
            <w:fldChar w:fldCharType="begin"/>
          </w:r>
          <w:r>
            <w:rPr>
              <w:bCs/>
              <w:iCs/>
            </w:rPr>
            <w:instrText xml:space="preserve"> REF _Ref465356275 \h </w:instrText>
          </w:r>
          <w:r>
            <w:rPr>
              <w:bCs/>
              <w:iCs/>
            </w:rPr>
          </w:r>
          <w:r>
            <w:rPr>
              <w:bCs/>
              <w:iCs/>
            </w:rPr>
            <w:fldChar w:fldCharType="separate"/>
          </w:r>
          <w:r w:rsidR="00D94C93" w:rsidRPr="007E2EC9">
            <w:t>Figure </w:t>
          </w:r>
          <w:r w:rsidR="00D94C93">
            <w:rPr>
              <w:noProof/>
            </w:rPr>
            <w:t>8</w:t>
          </w:r>
          <w:r>
            <w:rPr>
              <w:bCs/>
              <w:iCs/>
            </w:rPr>
            <w:fldChar w:fldCharType="end"/>
          </w:r>
          <w:r w:rsidR="00315A6A" w:rsidRPr="00315A6A">
            <w:rPr>
              <w:bCs/>
              <w:iCs/>
            </w:rPr>
            <w:t xml:space="preserve"> highlights the amount of gas produced in Roma by the LNG export projects, </w:t>
          </w:r>
          <w:r w:rsidR="00DB5504">
            <w:rPr>
              <w:bCs/>
              <w:iCs/>
            </w:rPr>
            <w:t xml:space="preserve">including </w:t>
          </w:r>
          <w:r w:rsidR="00315A6A" w:rsidRPr="00315A6A">
            <w:rPr>
              <w:bCs/>
              <w:iCs/>
            </w:rPr>
            <w:t>export pipeline gas flows to Gladstone. The export pipeline flows reflect LNG export demand which typically exceeds the gas reported to be produced in Roma</w:t>
          </w:r>
          <w:r w:rsidR="00315A6A" w:rsidRPr="00315A6A">
            <w:t>.</w:t>
          </w:r>
        </w:p>
        <w:p w:rsidR="00315A6A" w:rsidRPr="00137954" w:rsidRDefault="00315A6A" w:rsidP="00315A6A">
          <w:pPr>
            <w:pStyle w:val="Caption"/>
          </w:pPr>
          <w:bookmarkStart w:id="36" w:name="_Ref465356275"/>
          <w:r w:rsidRPr="007E2EC9">
            <w:t>Figure </w:t>
          </w:r>
          <w:r w:rsidR="002852EF">
            <w:fldChar w:fldCharType="begin"/>
          </w:r>
          <w:r w:rsidR="002852EF">
            <w:instrText xml:space="preserve"> SEQ Figure \* ARABIC </w:instrText>
          </w:r>
          <w:r w:rsidR="002852EF">
            <w:fldChar w:fldCharType="separate"/>
          </w:r>
          <w:r w:rsidR="00D94C93">
            <w:rPr>
              <w:noProof/>
            </w:rPr>
            <w:t>8</w:t>
          </w:r>
          <w:r w:rsidR="002852EF">
            <w:rPr>
              <w:noProof/>
            </w:rPr>
            <w:fldChar w:fldCharType="end"/>
          </w:r>
          <w:bookmarkEnd w:id="36"/>
          <w:r w:rsidRPr="007E2EC9">
            <w:t xml:space="preserve">: </w:t>
          </w:r>
          <w:r w:rsidR="00E76084" w:rsidRPr="00137954">
            <w:t>Roma Production and LNG export pipeline flows</w:t>
          </w:r>
          <w:r w:rsidR="00E76084">
            <w:t>*</w:t>
          </w:r>
        </w:p>
        <w:p w:rsidR="00D15D64" w:rsidRDefault="00E76084" w:rsidP="00D609FA">
          <w:pPr>
            <w:pStyle w:val="ListBullet"/>
            <w:numPr>
              <w:ilvl w:val="0"/>
              <w:numId w:val="0"/>
            </w:numPr>
          </w:pPr>
          <w:r w:rsidRPr="00E76084">
            <w:rPr>
              <w:noProof/>
              <w:lang w:eastAsia="en-AU"/>
            </w:rPr>
            <w:drawing>
              <wp:inline distT="0" distB="0" distL="0" distR="0" wp14:anchorId="28630BDC" wp14:editId="7ACAB2F0">
                <wp:extent cx="5366944" cy="3450866"/>
                <wp:effectExtent l="0" t="0" r="5715" b="0"/>
                <wp:docPr id="41" name="Picture 41" descr="Figure 8 shows average daily gas production quantities (TJ/day) from Bulletin Board production facilities in the Roma region, and LNG pipeline flows on the three LNG export pipelines delivering gas to Curtis Island (including the cumulative LNG pipeline shipments &quot;Total LNG ship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461123"/>
                        </a:xfrm>
                        <a:prstGeom prst="rect">
                          <a:avLst/>
                        </a:prstGeom>
                        <a:noFill/>
                        <a:ln>
                          <a:noFill/>
                        </a:ln>
                      </pic:spPr>
                    </pic:pic>
                  </a:graphicData>
                </a:graphic>
              </wp:inline>
            </w:drawing>
          </w:r>
        </w:p>
        <w:p w:rsidR="00D609FA" w:rsidRDefault="00E76084" w:rsidP="00D609FA">
          <w:pPr>
            <w:pStyle w:val="ListBullet"/>
            <w:numPr>
              <w:ilvl w:val="0"/>
              <w:numId w:val="0"/>
            </w:numPr>
          </w:pPr>
          <w:r w:rsidRPr="00E76084">
            <w:rPr>
              <w:sz w:val="16"/>
            </w:rPr>
            <w:t>* Bulletin Board reporting obligations for the three LNG pipelines commenced on 26 October 2015.</w:t>
          </w:r>
        </w:p>
        <w:p w:rsidR="00753660" w:rsidRDefault="00753660" w:rsidP="00E76084">
          <w:r>
            <w:t>There is a larger quantity of gas being reported as export pipeline flows compared to Roma based production. This suggests a portion of the gas being used for export is supplied from outside Roma. This coincided with a greater net north physical gas flow from Moomba into Queensland on the QSN link during early winter 2016.</w:t>
          </w:r>
        </w:p>
        <w:p w:rsidR="00E76084" w:rsidRDefault="00E76084" w:rsidP="00E76084">
          <w:r w:rsidRPr="002433A1">
            <w:t xml:space="preserve">However, </w:t>
          </w:r>
          <w:r>
            <w:t xml:space="preserve">through </w:t>
          </w:r>
          <w:r w:rsidRPr="00137954">
            <w:t xml:space="preserve">July and August 2016, flows on the QSN link trended south </w:t>
          </w:r>
          <w:r>
            <w:t xml:space="preserve">(or less north) </w:t>
          </w:r>
          <w:r w:rsidRPr="00137954">
            <w:t xml:space="preserve">at times. During this period QCLNG advised of maintenance on its export trains and this </w:t>
          </w:r>
          <w:r w:rsidRPr="002433A1">
            <w:t xml:space="preserve">is likely </w:t>
          </w:r>
          <w:r>
            <w:t>to be one factor in extra g</w:t>
          </w:r>
          <w:r w:rsidRPr="00137954">
            <w:t xml:space="preserve">as </w:t>
          </w:r>
          <w:r w:rsidRPr="002433A1">
            <w:t>supply becoming available for the east coast gas markets.</w:t>
          </w:r>
          <w:r w:rsidRPr="00137954">
            <w:t xml:space="preserve"> </w:t>
          </w:r>
        </w:p>
        <w:p w:rsidR="00E76084" w:rsidRDefault="00E76084" w:rsidP="00E76084">
          <w:r>
            <w:t>The AER sought further information to understand the</w:t>
          </w:r>
          <w:r w:rsidR="001070C8">
            <w:t xml:space="preserve"> impact on domestic market gas flows resulting from the LNG export projects.</w:t>
          </w:r>
          <w:r>
            <w:t xml:space="preserve"> We found that:</w:t>
          </w:r>
        </w:p>
        <w:p w:rsidR="00E76084" w:rsidRDefault="00E76084" w:rsidP="00EF1B43">
          <w:pPr>
            <w:pStyle w:val="ListParagraph"/>
            <w:numPr>
              <w:ilvl w:val="0"/>
              <w:numId w:val="31"/>
            </w:numPr>
          </w:pPr>
          <w:r>
            <w:t xml:space="preserve">During winter LNG export demand from time to time was met from a variety of different southern production sources including Moomba and Victorian fields. </w:t>
          </w:r>
        </w:p>
        <w:p w:rsidR="00E76084" w:rsidRDefault="00E76084" w:rsidP="00EF1B43">
          <w:pPr>
            <w:pStyle w:val="ListParagraph"/>
            <w:numPr>
              <w:ilvl w:val="0"/>
              <w:numId w:val="31"/>
            </w:numPr>
          </w:pPr>
          <w:r>
            <w:t xml:space="preserve">From July however on occasion, Roma LNG gas assisted to service Southern demand </w:t>
          </w:r>
        </w:p>
        <w:p w:rsidR="00D609FA" w:rsidRPr="00D609FA" w:rsidRDefault="00E76084" w:rsidP="00D609FA">
          <w:pPr>
            <w:pStyle w:val="ListBullet"/>
            <w:numPr>
              <w:ilvl w:val="0"/>
              <w:numId w:val="0"/>
            </w:numPr>
          </w:pPr>
          <w:r>
            <w:t xml:space="preserve">On </w:t>
          </w:r>
          <w:r w:rsidR="00237E0C">
            <w:t>23 July</w:t>
          </w:r>
          <w:r>
            <w:t>, the highest price day this winter, less gas was sent to export, meaning more gas was available for domestic markets.</w:t>
          </w:r>
        </w:p>
        <w:p w:rsidR="00D15D64" w:rsidRPr="00137954" w:rsidRDefault="00D15D64" w:rsidP="00D15D64">
          <w:pPr>
            <w:pStyle w:val="Heading6notnumbered"/>
          </w:pPr>
          <w:r>
            <w:t>H</w:t>
          </w:r>
          <w:r w:rsidRPr="00137954">
            <w:t>igh demand from gas-fired electricity generation in South Australia</w:t>
          </w:r>
        </w:p>
        <w:p w:rsidR="00E76084" w:rsidRPr="00137954" w:rsidRDefault="00E76084" w:rsidP="00E76084">
          <w:pPr>
            <w:pStyle w:val="ListBullet"/>
            <w:numPr>
              <w:ilvl w:val="0"/>
              <w:numId w:val="0"/>
            </w:numPr>
            <w:tabs>
              <w:tab w:val="clear" w:pos="340"/>
              <w:tab w:val="left" w:pos="0"/>
            </w:tabs>
          </w:pPr>
          <w:r w:rsidRPr="00137954">
            <w:t xml:space="preserve">Demand from gas-fired electricity generators </w:t>
          </w:r>
          <w:r>
            <w:t xml:space="preserve">(GFG) </w:t>
          </w:r>
          <w:r w:rsidRPr="00137954">
            <w:t xml:space="preserve">in South Australia was much higher </w:t>
          </w:r>
          <w:r>
            <w:t xml:space="preserve">through winter </w:t>
          </w:r>
          <w:r w:rsidRPr="00137954">
            <w:t xml:space="preserve">2016 than the previous year. </w:t>
          </w:r>
          <w:r>
            <w:t>Overall across winter 2016 demand from GFG in SA was up by around 36.4 TJ/d.</w:t>
          </w:r>
          <w:r>
            <w:rPr>
              <w:rStyle w:val="FootnoteReference"/>
            </w:rPr>
            <w:footnoteReference w:id="21"/>
          </w:r>
          <w:r>
            <w:t xml:space="preserve"> This was reflected In higher Moomba to Adelaide Pipeline (MAP) and SEA Gas Pipeline flows with MAP flows this winter totalling 15 PJ (up 3.1 PJ on winter 2015) and 15.9 PJ on SEA Gas (up 2 TJ on winter 2015). Increased SA GFG was driven </w:t>
          </w:r>
          <w:r w:rsidRPr="00137954">
            <w:t>by a number of factors.</w:t>
          </w:r>
        </w:p>
        <w:p w:rsidR="00E76084" w:rsidRDefault="00E76084" w:rsidP="00EF1B43">
          <w:pPr>
            <w:pStyle w:val="ListBullet"/>
            <w:numPr>
              <w:ilvl w:val="0"/>
              <w:numId w:val="26"/>
            </w:numPr>
            <w:tabs>
              <w:tab w:val="clear" w:pos="340"/>
              <w:tab w:val="left" w:pos="0"/>
            </w:tabs>
          </w:pPr>
          <w:r w:rsidRPr="00137954">
            <w:t xml:space="preserve">In June, there was a reduced availability of electricity generators across all regions. Total capacity from coal-fired generators was around 2,200 MW less than winter 2015. </w:t>
          </w:r>
        </w:p>
        <w:p w:rsidR="00E76084" w:rsidRDefault="00E76084" w:rsidP="00EF1B43">
          <w:pPr>
            <w:pStyle w:val="ListBullet"/>
            <w:numPr>
              <w:ilvl w:val="0"/>
              <w:numId w:val="26"/>
            </w:numPr>
          </w:pPr>
          <w:r w:rsidRPr="00137954">
            <w:t>Limited capacity from interstate due to the network upgrades.</w:t>
          </w:r>
        </w:p>
        <w:p w:rsidR="00E76084" w:rsidRPr="00137954" w:rsidRDefault="00E76084" w:rsidP="00EF1B43">
          <w:pPr>
            <w:pStyle w:val="ListBullet"/>
            <w:numPr>
              <w:ilvl w:val="0"/>
              <w:numId w:val="26"/>
            </w:numPr>
            <w:tabs>
              <w:tab w:val="clear" w:pos="340"/>
              <w:tab w:val="left" w:pos="0"/>
            </w:tabs>
          </w:pPr>
          <w:r w:rsidRPr="00137954">
            <w:t xml:space="preserve">The closure of South Australia’s Northern power station (in </w:t>
          </w:r>
          <w:r w:rsidR="00DB5504">
            <w:t>May0</w:t>
          </w:r>
          <w:r w:rsidRPr="00137954">
            <w:t xml:space="preserve"> 2016) accounted for 400 MW of this reduction, with the remainder due to planned maintenance. </w:t>
          </w:r>
        </w:p>
        <w:p w:rsidR="00E76084" w:rsidRDefault="00E76084" w:rsidP="00E76084">
          <w:pPr>
            <w:pStyle w:val="ListBullet"/>
            <w:numPr>
              <w:ilvl w:val="0"/>
              <w:numId w:val="0"/>
            </w:numPr>
            <w:tabs>
              <w:tab w:val="clear" w:pos="340"/>
              <w:tab w:val="left" w:pos="0"/>
            </w:tabs>
          </w:pPr>
          <w:r w:rsidRPr="00137954">
            <w:t xml:space="preserve">In South Australia, </w:t>
          </w:r>
          <w:r>
            <w:t xml:space="preserve">since </w:t>
          </w:r>
          <w:r w:rsidRPr="00137954">
            <w:t>the clos</w:t>
          </w:r>
          <w:r>
            <w:t>ure of Northern Power station t</w:t>
          </w:r>
          <w:r w:rsidRPr="00137954">
            <w:t xml:space="preserve">he primary fuel sources in South Australia are now gas and wind (see </w:t>
          </w:r>
          <w:r w:rsidR="00AD4BE9">
            <w:fldChar w:fldCharType="begin"/>
          </w:r>
          <w:r w:rsidR="00AD4BE9">
            <w:instrText xml:space="preserve"> REF _Ref465356291 \h </w:instrText>
          </w:r>
          <w:r w:rsidR="00AD4BE9">
            <w:fldChar w:fldCharType="separate"/>
          </w:r>
          <w:r w:rsidR="00D94C93" w:rsidRPr="00137954">
            <w:t>Figure </w:t>
          </w:r>
          <w:r w:rsidR="00D94C93">
            <w:rPr>
              <w:noProof/>
            </w:rPr>
            <w:t>9</w:t>
          </w:r>
          <w:r w:rsidR="00AD4BE9">
            <w:fldChar w:fldCharType="end"/>
          </w:r>
          <w:r w:rsidRPr="00137954">
            <w:t xml:space="preserve"> below)</w:t>
          </w:r>
          <w:r>
            <w:t>. At times, l</w:t>
          </w:r>
          <w:r w:rsidRPr="00137954">
            <w:t>ow wind generation output at peak demand times (average wind output was 270 MW for July – 57 per cent below the average for July over recent years)</w:t>
          </w:r>
          <w:r>
            <w:t xml:space="preserve"> meant more of SA’s power requirements were met by gas.</w:t>
          </w:r>
        </w:p>
        <w:p w:rsidR="00E76084" w:rsidRPr="00137954" w:rsidRDefault="00E76084" w:rsidP="00E76084">
          <w:pPr>
            <w:pStyle w:val="Caption"/>
          </w:pPr>
          <w:bookmarkStart w:id="37" w:name="_Ref465356291"/>
          <w:r w:rsidRPr="00137954">
            <w:t>Figure </w:t>
          </w:r>
          <w:r w:rsidR="002852EF">
            <w:fldChar w:fldCharType="begin"/>
          </w:r>
          <w:r w:rsidR="002852EF">
            <w:instrText xml:space="preserve"> SEQ Figure \* ARABIC </w:instrText>
          </w:r>
          <w:r w:rsidR="002852EF">
            <w:fldChar w:fldCharType="separate"/>
          </w:r>
          <w:r w:rsidR="00D94C93">
            <w:rPr>
              <w:noProof/>
            </w:rPr>
            <w:t>9</w:t>
          </w:r>
          <w:r w:rsidR="002852EF">
            <w:rPr>
              <w:noProof/>
            </w:rPr>
            <w:fldChar w:fldCharType="end"/>
          </w:r>
          <w:bookmarkEnd w:id="37"/>
          <w:r w:rsidRPr="00137954">
            <w:t>: South Australia’s generation mix – 2015 (left) and 2016 (right)</w:t>
          </w:r>
          <w:r w:rsidRPr="00137954">
            <w:rPr>
              <w:rStyle w:val="FootnoteReference"/>
            </w:rPr>
            <w:footnoteReference w:id="22"/>
          </w:r>
        </w:p>
        <w:p w:rsidR="00E76084" w:rsidRDefault="0095725E" w:rsidP="00E76084">
          <w:pPr>
            <w:pStyle w:val="ListBullet"/>
            <w:numPr>
              <w:ilvl w:val="0"/>
              <w:numId w:val="0"/>
            </w:numPr>
          </w:pPr>
          <w:r w:rsidRPr="0095725E">
            <w:rPr>
              <w:noProof/>
              <w:lang w:eastAsia="en-AU"/>
            </w:rPr>
            <w:drawing>
              <wp:inline distT="0" distB="0" distL="0" distR="0" wp14:anchorId="4D3F8DFC" wp14:editId="1A36CC7F">
                <wp:extent cx="5382895" cy="2340881"/>
                <wp:effectExtent l="0" t="0" r="8255" b="2540"/>
                <wp:docPr id="52" name="Picture 52" descr="Figure 9 shows the energy output (GWh) of gas-fired generators in South Australia by fuel type for winter 2015 (left) and 2016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2340881"/>
                        </a:xfrm>
                        <a:prstGeom prst="rect">
                          <a:avLst/>
                        </a:prstGeom>
                        <a:noFill/>
                        <a:ln>
                          <a:noFill/>
                        </a:ln>
                      </pic:spPr>
                    </pic:pic>
                  </a:graphicData>
                </a:graphic>
              </wp:inline>
            </w:drawing>
          </w:r>
        </w:p>
        <w:p w:rsidR="00D15D64" w:rsidRPr="00137954" w:rsidRDefault="00D15D64" w:rsidP="00D15D64">
          <w:pPr>
            <w:pStyle w:val="Heading6notnumbered"/>
          </w:pPr>
          <w:r w:rsidRPr="00D15D64">
            <w:t>Weather influence on demand</w:t>
          </w:r>
        </w:p>
        <w:p w:rsidR="00D15D64" w:rsidRDefault="00BD652C" w:rsidP="00D609FA">
          <w:pPr>
            <w:pStyle w:val="ListBullet"/>
            <w:numPr>
              <w:ilvl w:val="0"/>
              <w:numId w:val="0"/>
            </w:numPr>
          </w:pPr>
          <w:r>
            <w:t xml:space="preserve">During the winter months demand rises significantly as households increase their gas usage for heating, particularly in Victoria. Across winter this year there were a number of particularly cold days despite </w:t>
          </w:r>
          <w:r w:rsidR="00E76084">
            <w:t>Bureau of Meteorology Data</w:t>
          </w:r>
          <w:r>
            <w:t xml:space="preserve"> indicating it was overall a relatively warm winter. Had winter been cooler, it is likely prices would have been higher.</w:t>
          </w:r>
        </w:p>
        <w:p w:rsidR="005D7F50" w:rsidRPr="004D7CAC" w:rsidRDefault="00E31A4A" w:rsidP="004D7CAC">
          <w:pPr>
            <w:pStyle w:val="Heading2"/>
          </w:pPr>
          <w:bookmarkStart w:id="38" w:name="_Toc464223680"/>
          <w:bookmarkStart w:id="39" w:name="_Toc464224242"/>
          <w:bookmarkStart w:id="40" w:name="_Toc464223681"/>
          <w:bookmarkStart w:id="41" w:name="_Toc464223682"/>
          <w:bookmarkStart w:id="42" w:name="_Toc464223686"/>
          <w:bookmarkStart w:id="43" w:name="_Toc464223687"/>
          <w:bookmarkStart w:id="44" w:name="_Toc464223688"/>
          <w:bookmarkStart w:id="45" w:name="_Toc464223690"/>
          <w:bookmarkStart w:id="46" w:name="_Toc464223693"/>
          <w:bookmarkStart w:id="47" w:name="_Toc464223694"/>
          <w:bookmarkStart w:id="48" w:name="_Toc464223696"/>
          <w:bookmarkStart w:id="49" w:name="_Toc464223698"/>
          <w:bookmarkStart w:id="50" w:name="_Toc464223700"/>
          <w:bookmarkStart w:id="51" w:name="_Toc464223702"/>
          <w:bookmarkStart w:id="52" w:name="_Toc464223703"/>
          <w:bookmarkStart w:id="53" w:name="_Toc464223704"/>
          <w:bookmarkStart w:id="54" w:name="_Toc464223705"/>
          <w:bookmarkStart w:id="55" w:name="_Toc464223706"/>
          <w:bookmarkStart w:id="56" w:name="_Toc464223709"/>
          <w:bookmarkStart w:id="57" w:name="_Toc464223710"/>
          <w:bookmarkStart w:id="58" w:name="_Toc464223711"/>
          <w:bookmarkStart w:id="59" w:name="_Toc464223712"/>
          <w:bookmarkStart w:id="60" w:name="_Toc464223714"/>
          <w:bookmarkStart w:id="61" w:name="_Toc464223716"/>
          <w:bookmarkStart w:id="62" w:name="_Toc464223717"/>
          <w:bookmarkStart w:id="63" w:name="_Toc464223719"/>
          <w:bookmarkStart w:id="64" w:name="_Toc464223722"/>
          <w:bookmarkStart w:id="65" w:name="_Toc464223723"/>
          <w:bookmarkStart w:id="66" w:name="_Toc464223725"/>
          <w:bookmarkStart w:id="67" w:name="_Toc464223726"/>
          <w:bookmarkStart w:id="68" w:name="_Toc464223728"/>
          <w:bookmarkStart w:id="69" w:name="_Toc464223729"/>
          <w:bookmarkStart w:id="70" w:name="_Toc464223730"/>
          <w:bookmarkStart w:id="71" w:name="_Toc464224243"/>
          <w:bookmarkStart w:id="72" w:name="_Toc464223731"/>
          <w:bookmarkStart w:id="73" w:name="_Toc464224244"/>
          <w:bookmarkStart w:id="74" w:name="_Toc464223732"/>
          <w:bookmarkStart w:id="75" w:name="_Toc464224245"/>
          <w:bookmarkStart w:id="76" w:name="_Toc464223733"/>
          <w:bookmarkStart w:id="77" w:name="_Toc464224246"/>
          <w:bookmarkStart w:id="78" w:name="_Toc464223734"/>
          <w:bookmarkStart w:id="79" w:name="_Toc464224247"/>
          <w:bookmarkStart w:id="80" w:name="_Toc464223735"/>
          <w:bookmarkStart w:id="81" w:name="_Toc464224248"/>
          <w:bookmarkStart w:id="82" w:name="_Toc464223736"/>
          <w:bookmarkStart w:id="83" w:name="_Toc464224249"/>
          <w:bookmarkStart w:id="84" w:name="_Ref465865826"/>
          <w:bookmarkStart w:id="85" w:name="_Toc466896985"/>
          <w:bookmarkEnd w:id="20"/>
          <w:bookmarkEnd w:id="2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Outages</w:t>
          </w:r>
          <w:bookmarkEnd w:id="84"/>
          <w:bookmarkEnd w:id="85"/>
        </w:p>
        <w:p w:rsidR="00D15D64" w:rsidRPr="00E76084" w:rsidRDefault="00E76084" w:rsidP="00D15D64">
          <w:pPr>
            <w:pStyle w:val="ListBullet"/>
            <w:numPr>
              <w:ilvl w:val="0"/>
              <w:numId w:val="0"/>
            </w:numPr>
            <w:rPr>
              <w:color w:val="FF0000"/>
              <w:szCs w:val="18"/>
            </w:rPr>
          </w:pPr>
          <w:r w:rsidRPr="00E76084">
            <w:t xml:space="preserve">On 7 July 2016, AGL Energy announced it had acquired a higher than anticipated proportion of wholesale gas for the first quarter of </w:t>
          </w:r>
          <w:r w:rsidR="008D5102">
            <w:t xml:space="preserve">the 2016–17 financial year </w:t>
          </w:r>
          <w:r w:rsidRPr="00E76084">
            <w:t>from the spot market and other short-term sources. This was driven by a recent curtailment of Queensland gas supply arising from safety issues at a key supplier’s project, other supply constraints in the gas market, and increased demand at its Torrens Island power station.</w:t>
          </w:r>
          <w:r w:rsidRPr="00E76084">
            <w:rPr>
              <w:rStyle w:val="FootnoteReference"/>
            </w:rPr>
            <w:footnoteReference w:id="23"/>
          </w:r>
        </w:p>
        <w:p w:rsidR="00D15D64" w:rsidRPr="00E76084" w:rsidRDefault="00E76084" w:rsidP="00D15D64">
          <w:pPr>
            <w:pStyle w:val="ListBullet"/>
            <w:numPr>
              <w:ilvl w:val="0"/>
              <w:numId w:val="0"/>
            </w:numPr>
            <w:rPr>
              <w:color w:val="FF0000"/>
              <w:szCs w:val="18"/>
            </w:rPr>
          </w:pPr>
          <w:r w:rsidRPr="00E76084">
            <w:t>There were other constraints and outages which impacted market prices over the winter 2016 period such as:</w:t>
          </w:r>
        </w:p>
        <w:p w:rsidR="00D15D64" w:rsidRPr="00E76084" w:rsidRDefault="00E76084" w:rsidP="00EF1B43">
          <w:pPr>
            <w:pStyle w:val="ListBullet"/>
            <w:numPr>
              <w:ilvl w:val="0"/>
              <w:numId w:val="34"/>
            </w:numPr>
            <w:rPr>
              <w:szCs w:val="18"/>
            </w:rPr>
          </w:pPr>
          <w:r w:rsidRPr="00E76084">
            <w:t>a planned LNG train outage in late July influencing supply available to the domestic market</w:t>
          </w:r>
        </w:p>
        <w:p w:rsidR="00E76084" w:rsidRPr="00E76084" w:rsidRDefault="00E76084" w:rsidP="00EF1B43">
          <w:pPr>
            <w:pStyle w:val="ListBullet"/>
            <w:numPr>
              <w:ilvl w:val="0"/>
              <w:numId w:val="34"/>
            </w:numPr>
            <w:rPr>
              <w:szCs w:val="18"/>
            </w:rPr>
          </w:pPr>
          <w:r w:rsidRPr="00E76084">
            <w:t>some participants may have been constrained from putting gas into storage on the South West Pipeline (see Part 4 of the report)</w:t>
          </w:r>
        </w:p>
        <w:p w:rsidR="00E76084" w:rsidRDefault="00E76084" w:rsidP="00D15D64">
          <w:pPr>
            <w:pStyle w:val="ListBullet"/>
            <w:numPr>
              <w:ilvl w:val="0"/>
              <w:numId w:val="0"/>
            </w:numPr>
            <w:rPr>
              <w:szCs w:val="18"/>
            </w:rPr>
          </w:pPr>
          <w:r w:rsidRPr="00E76084">
            <w:t>The outage affecting AGL along with its general position of being short in the market probably had the most sustained impact on prices. Over this period where AGL was buying gas off short term spot markets, other participants were selling gas and some of the pricing including high prices discussed in the following section of the report are very likely to have been influenced by parties seeking opportunities to sell gas at a profit.</w:t>
          </w:r>
        </w:p>
        <w:p w:rsidR="00C55FDC" w:rsidRDefault="00C55FDC" w:rsidP="00DB4D47">
          <w:pPr>
            <w:pStyle w:val="Heading1"/>
          </w:pPr>
          <w:bookmarkStart w:id="86" w:name="_Toc456262776"/>
          <w:bookmarkStart w:id="87" w:name="_Ref457987483"/>
          <w:bookmarkStart w:id="88" w:name="_Ref457987484"/>
          <w:bookmarkStart w:id="89" w:name="_Toc466896986"/>
          <w:r>
            <w:t>Analysis</w:t>
          </w:r>
          <w:bookmarkEnd w:id="86"/>
          <w:r>
            <w:t xml:space="preserve"> of </w:t>
          </w:r>
          <w:r w:rsidR="008D2CC1">
            <w:t xml:space="preserve">the </w:t>
          </w:r>
          <w:r w:rsidR="00D44525">
            <w:t>July</w:t>
          </w:r>
          <w:r>
            <w:t xml:space="preserve"> </w:t>
          </w:r>
          <w:r w:rsidR="008D2CC1">
            <w:t xml:space="preserve">and August </w:t>
          </w:r>
          <w:r>
            <w:t>price event</w:t>
          </w:r>
          <w:r w:rsidR="008D6938">
            <w:t xml:space="preserve"> days</w:t>
          </w:r>
          <w:bookmarkEnd w:id="87"/>
          <w:bookmarkEnd w:id="88"/>
          <w:bookmarkEnd w:id="89"/>
        </w:p>
        <w:p w:rsidR="00904BFC" w:rsidRDefault="00904BFC" w:rsidP="00904BFC">
          <w:r>
            <w:t xml:space="preserve">This </w:t>
          </w:r>
          <w:r w:rsidR="00837FAF">
            <w:t>section</w:t>
          </w:r>
          <w:r>
            <w:t xml:space="preserve"> details</w:t>
          </w:r>
          <w:r w:rsidR="00837FAF">
            <w:t xml:space="preserve"> the</w:t>
          </w:r>
          <w:r>
            <w:t xml:space="preserve"> 12</w:t>
          </w:r>
          <w:r w:rsidR="00837FAF">
            <w:t xml:space="preserve"> individual</w:t>
          </w:r>
          <w:r>
            <w:t xml:space="preserve"> </w:t>
          </w:r>
          <w:r w:rsidR="00837FAF">
            <w:t>SPVs</w:t>
          </w:r>
          <w:r>
            <w:t xml:space="preserve"> that occurred in July and August across the Victorian Gas Market and the Adelaide,</w:t>
          </w:r>
          <w:r w:rsidR="00837FAF">
            <w:t xml:space="preserve"> Sydney and</w:t>
          </w:r>
          <w:r>
            <w:t xml:space="preserve"> Brisbane and </w:t>
          </w:r>
          <w:r w:rsidR="00837FAF">
            <w:t>STTMs</w:t>
          </w:r>
          <w:r>
            <w:t xml:space="preserve">. </w:t>
          </w:r>
        </w:p>
        <w:p w:rsidR="00904BFC" w:rsidRDefault="00904BFC" w:rsidP="00904BFC">
          <w:r>
            <w:t>In Victoria, one SPV occurred when the trade weighted imbalance price reached $43.33/GJ (on 13 July 2016).</w:t>
          </w:r>
        </w:p>
        <w:p w:rsidR="00904BFC" w:rsidRDefault="00904BFC" w:rsidP="00904BFC">
          <w:r>
            <w:t>Across the STTMs, six SPVs occurred in Adelaide</w:t>
          </w:r>
          <w:r w:rsidR="00400DC1">
            <w:t xml:space="preserve">, </w:t>
          </w:r>
          <w:r>
            <w:t>t</w:t>
          </w:r>
          <w:r w:rsidR="00400DC1">
            <w:t>hree</w:t>
          </w:r>
          <w:r>
            <w:t xml:space="preserve"> occurred in Sydney and </w:t>
          </w:r>
          <w:r w:rsidR="00400DC1">
            <w:t xml:space="preserve">two occurred in </w:t>
          </w:r>
          <w:r>
            <w:t>Brisbane. They were triggered by:</w:t>
          </w:r>
        </w:p>
        <w:p w:rsidR="00904BFC" w:rsidRDefault="00904BFC" w:rsidP="00904BFC">
          <w:pPr>
            <w:pStyle w:val="ListBullet"/>
          </w:pPr>
          <w:r>
            <w:t>Variations between the D-2 and D-1 prices (on 7 occasions)</w:t>
          </w:r>
        </w:p>
        <w:p w:rsidR="00904BFC" w:rsidRDefault="00904BFC" w:rsidP="00904BFC">
          <w:pPr>
            <w:pStyle w:val="ListBullet"/>
          </w:pPr>
          <w:r>
            <w:t>Variations between the D-1 and D+1 prices (on 2 occasions)</w:t>
          </w:r>
        </w:p>
        <w:p w:rsidR="00904BFC" w:rsidRDefault="00904BFC" w:rsidP="00904BFC">
          <w:pPr>
            <w:pStyle w:val="ListBullet"/>
          </w:pPr>
          <w:r>
            <w:t>The MOS service payment exceeding $250 000 (on 2 occasions)</w:t>
          </w:r>
        </w:p>
        <w:p w:rsidR="00904BFC" w:rsidRDefault="00904BFC" w:rsidP="007E11C7">
          <w:r>
            <w:t>This report follows our June report which details a further 12 SPVs.</w:t>
          </w:r>
        </w:p>
        <w:p w:rsidR="00500500" w:rsidRDefault="00500500" w:rsidP="007E11C7">
          <w:r>
            <w:t xml:space="preserve">Appendix </w:t>
          </w:r>
          <w:r w:rsidR="009254EB">
            <w:t>A</w:t>
          </w:r>
          <w:r>
            <w:t xml:space="preserve"> provides an explanation of how we have conducted the analysis for the different kinds of price variation.</w:t>
          </w:r>
          <w:r w:rsidR="00A469F9">
            <w:t xml:space="preserve"> </w:t>
          </w:r>
          <w:r w:rsidR="00734DC2">
            <w:t xml:space="preserve">In preparing this report, the AER made inquiries of </w:t>
          </w:r>
          <w:r w:rsidR="00734DC2" w:rsidRPr="00085EF2">
            <w:t>AGL</w:t>
          </w:r>
          <w:r w:rsidR="00734DC2">
            <w:t>, Energy Australia, Origin, A</w:t>
          </w:r>
          <w:r w:rsidR="00400DC1">
            <w:t xml:space="preserve">delaide </w:t>
          </w:r>
          <w:r w:rsidR="00734DC2">
            <w:t>B</w:t>
          </w:r>
          <w:r w:rsidR="00400DC1">
            <w:t>righton</w:t>
          </w:r>
          <w:r w:rsidR="00734DC2">
            <w:t xml:space="preserve"> C</w:t>
          </w:r>
          <w:r w:rsidR="00734DC2" w:rsidRPr="00085EF2">
            <w:t>ement,</w:t>
          </w:r>
          <w:r w:rsidR="00734DC2">
            <w:t xml:space="preserve"> Stanwell, Qenos, Santos and Engie to understand </w:t>
          </w:r>
          <w:r w:rsidR="00A469F9">
            <w:t xml:space="preserve">why participants changed offers or bids </w:t>
          </w:r>
          <w:r w:rsidR="00085EF2">
            <w:t xml:space="preserve">which </w:t>
          </w:r>
          <w:r w:rsidR="00A469F9">
            <w:t>influenced price outcomes</w:t>
          </w:r>
          <w:r w:rsidR="00734DC2">
            <w:t xml:space="preserve"> on these days. In gen</w:t>
          </w:r>
          <w:r w:rsidR="007A6376">
            <w:t>e</w:t>
          </w:r>
          <w:r w:rsidR="00734DC2">
            <w:t>ral terms</w:t>
          </w:r>
          <w:r w:rsidR="00085EF2">
            <w:t xml:space="preserve"> responses </w:t>
          </w:r>
          <w:r w:rsidR="007A6376">
            <w:t>related to</w:t>
          </w:r>
          <w:r w:rsidR="00A469F9">
            <w:t>:</w:t>
          </w:r>
        </w:p>
        <w:p w:rsidR="00947202" w:rsidRDefault="00947202" w:rsidP="00947202">
          <w:pPr>
            <w:pStyle w:val="Bulletpoint"/>
          </w:pPr>
          <w:r>
            <w:t>Changes to supply offers reflected varied production at commercial or industrial users’ sites.</w:t>
          </w:r>
        </w:p>
        <w:p w:rsidR="00947202" w:rsidRDefault="00947202" w:rsidP="00947202">
          <w:pPr>
            <w:pStyle w:val="Bulletpoint"/>
          </w:pPr>
          <w:r>
            <w:t>Demand forecasting inaccuracies owing to unexpected weather conditions.</w:t>
          </w:r>
        </w:p>
        <w:p w:rsidR="00837FAF" w:rsidRDefault="00947202" w:rsidP="00837FAF">
          <w:pPr>
            <w:pStyle w:val="Bulletpoint"/>
          </w:pPr>
          <w:r>
            <w:t>Allocating gas supplies to alternative uses at a time when g</w:t>
          </w:r>
          <w:r w:rsidR="00085EF2">
            <w:t>as was scarce and highly priced</w:t>
          </w:r>
          <w:r w:rsidR="00400DC1">
            <w:t>,</w:t>
          </w:r>
          <w:r w:rsidR="00085EF2">
            <w:t xml:space="preserve"> </w:t>
          </w:r>
          <w:r w:rsidR="00837FAF">
            <w:t>such as GFG</w:t>
          </w:r>
        </w:p>
        <w:p w:rsidR="00793F47" w:rsidRDefault="00085EF2" w:rsidP="00E96443">
          <w:pPr>
            <w:pStyle w:val="Bulletpoint"/>
            <w:numPr>
              <w:ilvl w:val="0"/>
              <w:numId w:val="0"/>
            </w:numPr>
          </w:pPr>
          <w:r w:rsidRPr="00085EF2">
            <w:t>C</w:t>
          </w:r>
          <w:r w:rsidR="00947202" w:rsidRPr="00085EF2">
            <w:t>hange</w:t>
          </w:r>
          <w:r w:rsidR="00E96443">
            <w:t>s</w:t>
          </w:r>
          <w:r w:rsidR="00947202" w:rsidRPr="00085EF2">
            <w:t xml:space="preserve"> to bids and offer schedules in the STTMs can impose a cost on all market participants in the form of increased MOS payments</w:t>
          </w:r>
          <w:r w:rsidRPr="00085EF2">
            <w:t xml:space="preserve"> and limiting the reliability of the price discovery process</w:t>
          </w:r>
          <w:r w:rsidR="00947202" w:rsidRPr="00085EF2">
            <w:t xml:space="preserve">. Re-bidding must only occur in instances where participants’ circumstances have materially changed since first submitting bid and offer schedules. </w:t>
          </w:r>
        </w:p>
        <w:p w:rsidR="00C55FDC" w:rsidRDefault="007E11C7" w:rsidP="00C55FDC">
          <w:pPr>
            <w:pStyle w:val="Heading2"/>
          </w:pPr>
          <w:bookmarkStart w:id="90" w:name="_Toc466896987"/>
          <w:r>
            <w:t xml:space="preserve">Friday </w:t>
          </w:r>
          <w:r w:rsidR="00B03F78">
            <w:t>1 July</w:t>
          </w:r>
          <w:r>
            <w:t xml:space="preserve"> 2016</w:t>
          </w:r>
          <w:bookmarkEnd w:id="90"/>
        </w:p>
        <w:p w:rsidR="007E11C7" w:rsidRDefault="007501F5" w:rsidP="00C55FDC">
          <w:r>
            <w:rPr>
              <w:noProof/>
              <w:lang w:eastAsia="en-AU"/>
            </w:rPr>
            <mc:AlternateContent>
              <mc:Choice Requires="wps">
                <w:drawing>
                  <wp:anchor distT="0" distB="0" distL="114300" distR="114300" simplePos="0" relativeHeight="251661312" behindDoc="0" locked="0" layoutInCell="1" allowOverlap="1" wp14:anchorId="01A594B6" wp14:editId="4846ACF5">
                    <wp:simplePos x="0" y="0"/>
                    <wp:positionH relativeFrom="column">
                      <wp:posOffset>6490</wp:posOffset>
                    </wp:positionH>
                    <wp:positionV relativeFrom="paragraph">
                      <wp:posOffset>212436</wp:posOffset>
                    </wp:positionV>
                    <wp:extent cx="5399549" cy="534390"/>
                    <wp:effectExtent l="0" t="0" r="1079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534390"/>
                            </a:xfrm>
                            <a:prstGeom prst="rect">
                              <a:avLst/>
                            </a:prstGeom>
                            <a:solidFill>
                              <a:srgbClr val="DBE5F1"/>
                            </a:solidFill>
                            <a:ln w="9525">
                              <a:solidFill>
                                <a:srgbClr val="000000"/>
                              </a:solidFill>
                              <a:miter lim="800000"/>
                              <a:headEnd/>
                              <a:tailEnd/>
                            </a:ln>
                          </wps:spPr>
                          <wps:txbx>
                            <w:txbxContent>
                              <w:p w:rsidR="002B723A" w:rsidRPr="00973418" w:rsidRDefault="002B723A" w:rsidP="007501F5">
                                <w:pPr>
                                  <w:ind w:left="2160" w:hanging="2160"/>
                                </w:pPr>
                                <w:r>
                                  <w:rPr>
                                    <w:b/>
                                  </w:rPr>
                                  <w:t>Sydney</w:t>
                                </w:r>
                                <w:r w:rsidRPr="0051165D">
                                  <w:rPr>
                                    <w:b/>
                                  </w:rPr>
                                  <w:t xml:space="preserve"> STTM:</w:t>
                                </w:r>
                                <w:r>
                                  <w:tab/>
                                  <w:t xml:space="preserve">There was a </w:t>
                                </w:r>
                                <w:r w:rsidRPr="00973418">
                                  <w:t>$</w:t>
                                </w:r>
                                <w:r>
                                  <w:t>257 440</w:t>
                                </w:r>
                                <w:r w:rsidRPr="00973418">
                                  <w:t xml:space="preserve"> </w:t>
                                </w:r>
                                <w:r>
                                  <w:t>MOS service payment</w:t>
                                </w:r>
                                <w:r w:rsidRPr="0097341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16.75pt;width:425.1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" fillcolor="#dbe5f1">
                    <v:textbox>
                      <w:txbxContent>
                        <w:p w:rsidR="002B723A" w:rsidRPr="00973418" w:rsidRDefault="002B723A" w:rsidP="007501F5">
                          <w:pPr>
                            <w:ind w:left="2160" w:hanging="2160"/>
                          </w:pPr>
                          <w:r>
                            <w:rPr>
                              <w:b/>
                            </w:rPr>
                            <w:t>Sydney</w:t>
                          </w:r>
                          <w:r w:rsidRPr="0051165D">
                            <w:rPr>
                              <w:b/>
                            </w:rPr>
                            <w:t xml:space="preserve"> STTM:</w:t>
                          </w:r>
                          <w:r>
                            <w:tab/>
                            <w:t xml:space="preserve">There was a </w:t>
                          </w:r>
                          <w:r w:rsidRPr="00973418">
                            <w:t>$</w:t>
                          </w:r>
                          <w:r>
                            <w:t>257 440</w:t>
                          </w:r>
                          <w:r w:rsidRPr="00973418">
                            <w:t xml:space="preserve"> </w:t>
                          </w:r>
                          <w:r>
                            <w:t>MOS service payment</w:t>
                          </w:r>
                          <w:r w:rsidRPr="00973418">
                            <w:t>.</w:t>
                          </w:r>
                        </w:p>
                      </w:txbxContent>
                    </v:textbox>
                  </v:shape>
                </w:pict>
              </mc:Fallback>
            </mc:AlternateContent>
          </w:r>
        </w:p>
        <w:p w:rsidR="007501F5" w:rsidRDefault="007501F5" w:rsidP="00C55FDC"/>
        <w:p w:rsidR="00C538C4" w:rsidRDefault="006C0D4C" w:rsidP="00C538C4">
          <w:r>
            <w:br/>
          </w:r>
          <w:r w:rsidR="00C538C4">
            <w:t xml:space="preserve">The Sydney hub is illustrated in </w:t>
          </w:r>
          <w:r w:rsidR="00AD4BE9">
            <w:fldChar w:fldCharType="begin"/>
          </w:r>
          <w:r w:rsidR="00AD4BE9">
            <w:instrText xml:space="preserve"> REF _Ref465356317 \h </w:instrText>
          </w:r>
          <w:r w:rsidR="00AD4BE9">
            <w:fldChar w:fldCharType="separate"/>
          </w:r>
          <w:r w:rsidR="00D94C93" w:rsidRPr="00CA42FB">
            <w:t>Figure </w:t>
          </w:r>
          <w:r w:rsidR="00D94C93">
            <w:rPr>
              <w:noProof/>
            </w:rPr>
            <w:t>28</w:t>
          </w:r>
          <w:r w:rsidR="00AD4BE9">
            <w:fldChar w:fldCharType="end"/>
          </w:r>
          <w:r w:rsidR="00C538C4">
            <w:t xml:space="preserve">. It shows how the Sydney hub is comprised of two distribution </w:t>
          </w:r>
          <w:r w:rsidR="001E50FC">
            <w:t>zone</w:t>
          </w:r>
          <w:r w:rsidR="00C538C4">
            <w:t xml:space="preserve">s (the Sydney </w:t>
          </w:r>
          <w:r w:rsidR="001E50FC">
            <w:t>zone</w:t>
          </w:r>
          <w:r w:rsidR="00C538C4">
            <w:t xml:space="preserve"> and the Wollongong sub network) connected by a distribution trunk line.</w:t>
          </w:r>
        </w:p>
        <w:p w:rsidR="00C538C4" w:rsidRDefault="00C538C4" w:rsidP="00C538C4">
          <w:r>
            <w:t xml:space="preserve">The MSP provides the majority of the MOS requirements in the northern Sydney </w:t>
          </w:r>
          <w:r w:rsidR="001E50FC">
            <w:t>zone</w:t>
          </w:r>
          <w:r>
            <w:t>. This is because it is connected to the network at the only pressure controlled point along the trunk line.</w:t>
          </w:r>
        </w:p>
        <w:p w:rsidR="00C538C4" w:rsidRDefault="00C538C4" w:rsidP="006D4C89">
          <w:r>
            <w:t>The EGP provides the majority of the MOS requirements in the Wollongong sub network. This is because both of its connection points are also pressure controlled.</w:t>
          </w:r>
        </w:p>
        <w:p w:rsidR="000B4D64" w:rsidRDefault="000B4D64" w:rsidP="006D4C89">
          <w:r>
            <w:t>On the day, a total of 33.2 </w:t>
          </w:r>
          <w:r w:rsidR="00F96792">
            <w:t xml:space="preserve">TJ </w:t>
          </w:r>
          <w:r w:rsidR="008538B1">
            <w:t xml:space="preserve">of </w:t>
          </w:r>
          <w:r w:rsidR="00F96792">
            <w:t>MOS</w:t>
          </w:r>
          <w:r>
            <w:t xml:space="preserve"> was required on the </w:t>
          </w:r>
          <w:r w:rsidR="00C538C4">
            <w:t>MSP</w:t>
          </w:r>
          <w:r>
            <w:t xml:space="preserve"> and the </w:t>
          </w:r>
          <w:r w:rsidR="00C538C4">
            <w:t>EGP</w:t>
          </w:r>
          <w:r>
            <w:t>. The service payment was made up of:</w:t>
          </w:r>
        </w:p>
        <w:p w:rsidR="000B4D64" w:rsidRPr="00BD3BC9" w:rsidRDefault="000B4D64" w:rsidP="00A8220F">
          <w:pPr>
            <w:pStyle w:val="ListParagraph"/>
            <w:numPr>
              <w:ilvl w:val="0"/>
              <w:numId w:val="25"/>
            </w:numPr>
          </w:pPr>
          <w:r w:rsidRPr="00BD3BC9">
            <w:t>28.8 TJ of decrease MOS on the MSP</w:t>
          </w:r>
          <w:r w:rsidRPr="00BD3BC9">
            <w:tab/>
          </w:r>
          <w:r w:rsidR="008E441C">
            <w:t xml:space="preserve">(at a cost of </w:t>
          </w:r>
          <w:r w:rsidRPr="00BD3BC9">
            <w:t>$235</w:t>
          </w:r>
          <w:r w:rsidR="008E441C">
            <w:t> </w:t>
          </w:r>
          <w:r w:rsidRPr="00BD3BC9">
            <w:t>705</w:t>
          </w:r>
          <w:r w:rsidR="008E441C">
            <w:t>)</w:t>
          </w:r>
        </w:p>
        <w:p w:rsidR="000B4D64" w:rsidRPr="00BD3BC9" w:rsidRDefault="000B4D64" w:rsidP="00A8220F">
          <w:pPr>
            <w:pStyle w:val="ListParagraph"/>
            <w:numPr>
              <w:ilvl w:val="0"/>
              <w:numId w:val="25"/>
            </w:numPr>
          </w:pPr>
          <w:r w:rsidRPr="00BD3BC9">
            <w:t>4.4 TJ of increase MOS on the EGP</w:t>
          </w:r>
          <w:r w:rsidRPr="00BD3BC9">
            <w:tab/>
          </w:r>
          <w:r w:rsidRPr="00BD3BC9">
            <w:tab/>
          </w:r>
          <w:r w:rsidR="008E441C">
            <w:t xml:space="preserve">(at a cost of </w:t>
          </w:r>
          <w:r w:rsidRPr="00BD3BC9">
            <w:t>$</w:t>
          </w:r>
          <w:r w:rsidR="00DF5B1A" w:rsidRPr="00BD3BC9">
            <w:t>21</w:t>
          </w:r>
          <w:r w:rsidR="008E441C">
            <w:t> </w:t>
          </w:r>
          <w:r w:rsidR="00DF5B1A" w:rsidRPr="00BD3BC9">
            <w:t>735</w:t>
          </w:r>
          <w:r w:rsidR="008E441C">
            <w:t>)</w:t>
          </w:r>
        </w:p>
        <w:p w:rsidR="00C04155" w:rsidRDefault="00C04155" w:rsidP="006D4C89">
          <w:r>
            <w:t>The overall MOS requirement on the day was driven by:</w:t>
          </w:r>
        </w:p>
        <w:p w:rsidR="00C04155" w:rsidRDefault="00C04155" w:rsidP="00A8220F">
          <w:pPr>
            <w:pStyle w:val="ListParagraph"/>
            <w:numPr>
              <w:ilvl w:val="0"/>
              <w:numId w:val="25"/>
            </w:numPr>
          </w:pPr>
          <w:r>
            <w:t>participants over forecasting demand</w:t>
          </w:r>
          <w:r w:rsidR="001E50FC">
            <w:t xml:space="preserve"> (in aggregate across both distribution zones)</w:t>
          </w:r>
          <w:r>
            <w:t xml:space="preserve"> by around 22.2 TJ</w:t>
          </w:r>
        </w:p>
        <w:p w:rsidR="001E50FC" w:rsidRDefault="00C04155" w:rsidP="00A8220F">
          <w:pPr>
            <w:pStyle w:val="ListParagraph"/>
            <w:numPr>
              <w:ilvl w:val="0"/>
              <w:numId w:val="25"/>
            </w:numPr>
          </w:pPr>
          <w:r>
            <w:t xml:space="preserve">actual deliveries from the </w:t>
          </w:r>
          <w:r w:rsidR="00C538C4">
            <w:t>EGP</w:t>
          </w:r>
          <w:r>
            <w:t xml:space="preserve"> and Rosalind Park injection points exceeding scheduled deliveries by 2.3 TJ.</w:t>
          </w:r>
          <w:r w:rsidR="008538B1">
            <w:rPr>
              <w:rStyle w:val="FootnoteReference"/>
            </w:rPr>
            <w:footnoteReference w:id="24"/>
          </w:r>
        </w:p>
        <w:p w:rsidR="007501F5" w:rsidRDefault="002B50F8" w:rsidP="006D4C89">
          <w:r>
            <w:t>In addition to this net decrease requirement absorbed on</w:t>
          </w:r>
          <w:r w:rsidR="00C8469B">
            <w:t xml:space="preserve"> the MSP</w:t>
          </w:r>
          <w:r>
            <w:t xml:space="preserve">, increase allocations providing an additional 4.4 TJ of gas to the hub on the </w:t>
          </w:r>
          <w:r w:rsidR="00C8469B">
            <w:t>EGP</w:t>
          </w:r>
          <w:r>
            <w:t xml:space="preserve"> drove further decrease allocations on the MSP.</w:t>
          </w:r>
          <w:r w:rsidR="002E20F9">
            <w:rPr>
              <w:rStyle w:val="FootnoteReference"/>
            </w:rPr>
            <w:footnoteReference w:id="25"/>
          </w:r>
        </w:p>
        <w:p w:rsidR="004E5A3A" w:rsidRDefault="004E5A3A" w:rsidP="006D4C89">
          <w:r>
            <w:t>The additional cost accrued due to counteracting MOS allocations (increase MOS on the EGP providing additional supply to the hub and decrease MOS allocations on the MSP parking gas nominated for delivery to the hub) is described in more detail in section </w:t>
          </w:r>
          <w:r>
            <w:fldChar w:fldCharType="begin"/>
          </w:r>
          <w:r>
            <w:instrText xml:space="preserve"> REF _Ref463957488 \r \h </w:instrText>
          </w:r>
          <w:r>
            <w:fldChar w:fldCharType="separate"/>
          </w:r>
          <w:r w:rsidR="00D94C93">
            <w:t>2.1</w:t>
          </w:r>
          <w:r>
            <w:fldChar w:fldCharType="end"/>
          </w:r>
          <w:r>
            <w:t>.</w:t>
          </w:r>
        </w:p>
        <w:p w:rsidR="00A36AA2" w:rsidRDefault="00A36AA2" w:rsidP="006D4C89">
          <w:r>
            <w:fldChar w:fldCharType="begin"/>
          </w:r>
          <w:r>
            <w:instrText xml:space="preserve"> REF _Ref451173111 \h </w:instrText>
          </w:r>
          <w:r>
            <w:fldChar w:fldCharType="separate"/>
          </w:r>
          <w:r w:rsidR="00D94C93">
            <w:t xml:space="preserve">Figure </w:t>
          </w:r>
          <w:r w:rsidR="00D94C93">
            <w:rPr>
              <w:noProof/>
            </w:rPr>
            <w:t>10</w:t>
          </w:r>
          <w:r>
            <w:fldChar w:fldCharType="end"/>
          </w:r>
          <w:r>
            <w:t xml:space="preserve"> shows the available balancing gas quantities offered on MOS enabled pipelines supplying the Sydney hub for the month of July 2016. The figure also illustrates the quantity of services allocated on each pipeline and the associated cost.</w:t>
          </w:r>
        </w:p>
        <w:p w:rsidR="0072716D" w:rsidRPr="005E7608" w:rsidRDefault="0072716D" w:rsidP="0072716D">
          <w:pPr>
            <w:pStyle w:val="Caption"/>
          </w:pPr>
          <w:bookmarkStart w:id="91" w:name="_Ref451173111"/>
          <w:bookmarkStart w:id="92" w:name="_Ref448329247"/>
          <w:bookmarkStart w:id="93" w:name="_Ref448926440"/>
          <w:r>
            <w:t xml:space="preserve">Figure </w:t>
          </w:r>
          <w:r w:rsidR="002852EF">
            <w:fldChar w:fldCharType="begin"/>
          </w:r>
          <w:r w:rsidR="002852EF">
            <w:instrText xml:space="preserve"> SEQ Figure \* ARABIC </w:instrText>
          </w:r>
          <w:r w:rsidR="002852EF">
            <w:fldChar w:fldCharType="separate"/>
          </w:r>
          <w:r w:rsidR="00D94C93">
            <w:rPr>
              <w:noProof/>
            </w:rPr>
            <w:t>10</w:t>
          </w:r>
          <w:r w:rsidR="002852EF">
            <w:rPr>
              <w:noProof/>
            </w:rPr>
            <w:fldChar w:fldCharType="end"/>
          </w:r>
          <w:bookmarkEnd w:id="91"/>
          <w:r>
            <w:t xml:space="preserve">: MOS stacks and allocation requirements for </w:t>
          </w:r>
          <w:bookmarkEnd w:id="92"/>
          <w:bookmarkEnd w:id="93"/>
          <w:r>
            <w:t>1 July</w:t>
          </w:r>
        </w:p>
        <w:p w:rsidR="00F95DD3" w:rsidRDefault="009023D9" w:rsidP="006D4C89">
          <w:r w:rsidRPr="009023D9">
            <w:rPr>
              <w:noProof/>
              <w:lang w:eastAsia="en-AU"/>
            </w:rPr>
            <w:drawing>
              <wp:inline distT="0" distB="0" distL="0" distR="0" wp14:anchorId="07DC96A1" wp14:editId="348B6585">
                <wp:extent cx="5382895" cy="2365368"/>
                <wp:effectExtent l="0" t="0" r="0" b="0"/>
                <wp:docPr id="54" name="Picture 54" descr="Figure 10 illustrates the relevant July MOS stacks and MOS allocation requirements in the Sydney STTM hub for the 1 July ga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2365368"/>
                        </a:xfrm>
                        <a:prstGeom prst="rect">
                          <a:avLst/>
                        </a:prstGeom>
                        <a:noFill/>
                        <a:ln>
                          <a:noFill/>
                        </a:ln>
                      </pic:spPr>
                    </pic:pic>
                  </a:graphicData>
                </a:graphic>
              </wp:inline>
            </w:drawing>
          </w:r>
        </w:p>
        <w:p w:rsidR="007E11C7" w:rsidRDefault="00B03F78" w:rsidP="007E11C7">
          <w:pPr>
            <w:pStyle w:val="Heading2"/>
          </w:pPr>
          <w:bookmarkStart w:id="94" w:name="_Toc466896988"/>
          <w:r>
            <w:t>Saturday</w:t>
          </w:r>
          <w:r w:rsidR="007501F5">
            <w:t xml:space="preserve"> </w:t>
          </w:r>
          <w:r>
            <w:t xml:space="preserve">2 July </w:t>
          </w:r>
          <w:r w:rsidR="007E11C7">
            <w:t>2016</w:t>
          </w:r>
          <w:bookmarkEnd w:id="94"/>
        </w:p>
        <w:p w:rsidR="007E11C7" w:rsidRDefault="00C62D8B" w:rsidP="007E11C7">
          <w:r>
            <w:rPr>
              <w:noProof/>
              <w:lang w:eastAsia="en-AU"/>
            </w:rPr>
            <mc:AlternateContent>
              <mc:Choice Requires="wps">
                <w:drawing>
                  <wp:anchor distT="0" distB="0" distL="114300" distR="114300" simplePos="0" relativeHeight="251663360" behindDoc="0" locked="0" layoutInCell="1" allowOverlap="1" wp14:anchorId="0D7FEEC5" wp14:editId="7FF7C524">
                    <wp:simplePos x="0" y="0"/>
                    <wp:positionH relativeFrom="column">
                      <wp:posOffset>14893</wp:posOffset>
                    </wp:positionH>
                    <wp:positionV relativeFrom="paragraph">
                      <wp:posOffset>166478</wp:posOffset>
                    </wp:positionV>
                    <wp:extent cx="5399549" cy="681487"/>
                    <wp:effectExtent l="0" t="0" r="10795" b="234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681487"/>
                            </a:xfrm>
                            <a:prstGeom prst="rect">
                              <a:avLst/>
                            </a:prstGeom>
                            <a:solidFill>
                              <a:srgbClr val="DBE5F1"/>
                            </a:solidFill>
                            <a:ln w="9525">
                              <a:solidFill>
                                <a:srgbClr val="000000"/>
                              </a:solidFill>
                              <a:miter lim="800000"/>
                              <a:headEnd/>
                              <a:tailEnd/>
                            </a:ln>
                          </wps:spPr>
                          <wps:txbx>
                            <w:txbxContent>
                              <w:p w:rsidR="002B723A" w:rsidRDefault="002B723A" w:rsidP="00C62D8B">
                                <w:pPr>
                                  <w:ind w:left="2160" w:hanging="2160"/>
                                </w:pPr>
                                <w:r>
                                  <w:rPr>
                                    <w:b/>
                                  </w:rPr>
                                  <w:t>Adelaide</w:t>
                                </w:r>
                                <w:r w:rsidRPr="0051165D">
                                  <w:rPr>
                                    <w:b/>
                                  </w:rPr>
                                  <w:t xml:space="preserve"> STTM:</w:t>
                                </w:r>
                                <w:r>
                                  <w:tab/>
                                  <w:t>There</w:t>
                                </w:r>
                                <w:r w:rsidRPr="00973418">
                                  <w:t xml:space="preserve"> was a $</w:t>
                                </w:r>
                                <w:r>
                                  <w:t>14.39</w:t>
                                </w:r>
                                <w:r w:rsidRPr="00973418">
                                  <w:t>/GJ variation between the D-2 schedule price ($</w:t>
                                </w:r>
                                <w:r>
                                  <w:t>9.61</w:t>
                                </w:r>
                                <w:r w:rsidRPr="00973418">
                                  <w:t>/GJ) and the</w:t>
                                </w:r>
                                <w:r>
                                  <w:t xml:space="preserve"> D-1 schedule price ($24/GJ).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5pt;margin-top:13.1pt;width:425.15pt;height: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" fillcolor="#dbe5f1">
                    <v:textbox>
                      <w:txbxContent>
                        <w:p w:rsidR="002B723A" w:rsidRDefault="002B723A" w:rsidP="00C62D8B">
                          <w:pPr>
                            <w:ind w:left="2160" w:hanging="2160"/>
                          </w:pPr>
                          <w:r>
                            <w:rPr>
                              <w:b/>
                            </w:rPr>
                            <w:t>Adelaide</w:t>
                          </w:r>
                          <w:r w:rsidRPr="0051165D">
                            <w:rPr>
                              <w:b/>
                            </w:rPr>
                            <w:t xml:space="preserve"> STTM:</w:t>
                          </w:r>
                          <w:r>
                            <w:tab/>
                            <w:t>There</w:t>
                          </w:r>
                          <w:r w:rsidRPr="00973418">
                            <w:t xml:space="preserve"> was a $</w:t>
                          </w:r>
                          <w:r>
                            <w:t>14.39</w:t>
                          </w:r>
                          <w:r w:rsidRPr="00973418">
                            <w:t>/GJ variation between the D-2 schedule price ($</w:t>
                          </w:r>
                          <w:r>
                            <w:t>9.61</w:t>
                          </w:r>
                          <w:r w:rsidRPr="00973418">
                            <w:t>/GJ) and the</w:t>
                          </w:r>
                          <w:r>
                            <w:t xml:space="preserve"> D-1 schedule price ($24/GJ).</w:t>
                          </w:r>
                        </w:p>
                      </w:txbxContent>
                    </v:textbox>
                  </v:shape>
                </w:pict>
              </mc:Fallback>
            </mc:AlternateContent>
          </w:r>
        </w:p>
        <w:p w:rsidR="006F692A" w:rsidRDefault="006F692A" w:rsidP="007E11C7"/>
        <w:p w:rsidR="00B621D6" w:rsidRDefault="00B621D6" w:rsidP="007E11C7"/>
        <w:p w:rsidR="008C11BF" w:rsidRDefault="008C11BF" w:rsidP="00367430">
          <w:pPr>
            <w:pStyle w:val="Tabletitle"/>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_Ref461628941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4</w:t>
          </w:r>
          <w:r>
            <w:rPr>
              <w:rFonts w:asciiTheme="minorHAnsi" w:eastAsia="Times New Roman" w:hAnsiTheme="minorHAnsi" w:cs="Arial"/>
              <w:b w:val="0"/>
              <w:color w:val="auto"/>
              <w:sz w:val="22"/>
              <w:szCs w:val="22"/>
            </w:rPr>
            <w:fldChar w:fldCharType="end"/>
          </w:r>
          <w:r w:rsidR="00381186">
            <w:rPr>
              <w:rFonts w:asciiTheme="minorHAnsi" w:eastAsia="Times New Roman" w:hAnsiTheme="minorHAnsi" w:cs="Arial"/>
              <w:b w:val="0"/>
              <w:color w:val="auto"/>
              <w:sz w:val="22"/>
              <w:szCs w:val="22"/>
            </w:rPr>
            <w:t xml:space="preserve"> </w:t>
          </w:r>
          <w:r>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Pr>
              <w:rFonts w:asciiTheme="minorHAnsi" w:eastAsia="Times New Roman" w:hAnsiTheme="minorHAnsi" w:cs="Arial"/>
              <w:b w:val="0"/>
              <w:color w:val="auto"/>
              <w:sz w:val="22"/>
              <w:szCs w:val="22"/>
            </w:rPr>
            <w:t xml:space="preserve"> each of the gas schedules for </w:t>
          </w:r>
          <w:r w:rsidR="007D1978">
            <w:rPr>
              <w:rFonts w:asciiTheme="minorHAnsi" w:eastAsia="Times New Roman" w:hAnsiTheme="minorHAnsi" w:cs="Arial"/>
              <w:b w:val="0"/>
              <w:color w:val="auto"/>
              <w:sz w:val="22"/>
              <w:szCs w:val="22"/>
            </w:rPr>
            <w:t>the 2 July gas day in Adelaide.</w:t>
          </w:r>
        </w:p>
        <w:p w:rsidR="00367430" w:rsidRDefault="00367430" w:rsidP="00367430">
          <w:pPr>
            <w:pStyle w:val="Tabletitle"/>
            <w:rPr>
              <w:noProof/>
              <w:color w:val="FF0000"/>
              <w:lang w:eastAsia="en-AU"/>
            </w:rPr>
          </w:pPr>
          <w:bookmarkStart w:id="95" w:name="_Ref461628941"/>
          <w:r>
            <w:t>Table </w:t>
          </w:r>
          <w:r w:rsidR="002852EF">
            <w:fldChar w:fldCharType="begin"/>
          </w:r>
          <w:r w:rsidR="002852EF">
            <w:instrText xml:space="preserve"> SEQ Table \* ARABIC </w:instrText>
          </w:r>
          <w:r w:rsidR="002852EF">
            <w:fldChar w:fldCharType="separate"/>
          </w:r>
          <w:r w:rsidR="00D94C93">
            <w:rPr>
              <w:noProof/>
            </w:rPr>
            <w:t>4</w:t>
          </w:r>
          <w:r w:rsidR="002852EF">
            <w:rPr>
              <w:noProof/>
            </w:rPr>
            <w:fldChar w:fldCharType="end"/>
          </w:r>
          <w:bookmarkEnd w:id="95"/>
          <w:r>
            <w:rPr>
              <w:noProof/>
            </w:rPr>
            <w:t>: Adelaide prices and quantities, all schedules, 2 July</w:t>
          </w:r>
        </w:p>
        <w:tbl>
          <w:tblPr>
            <w:tblStyle w:val="AERsummarytable"/>
            <w:tblW w:w="0" w:type="auto"/>
            <w:tblLook w:val="04A0" w:firstRow="1" w:lastRow="0" w:firstColumn="1" w:lastColumn="0" w:noHBand="0" w:noVBand="1"/>
          </w:tblPr>
          <w:tblGrid>
            <w:gridCol w:w="1772"/>
            <w:gridCol w:w="1727"/>
            <w:gridCol w:w="1727"/>
            <w:gridCol w:w="1728"/>
            <w:gridCol w:w="1739"/>
          </w:tblGrid>
          <w:tr w:rsidR="00367430" w:rsidTr="00A96D53">
            <w:trPr>
              <w:cnfStyle w:val="100000000000" w:firstRow="1" w:lastRow="0" w:firstColumn="0" w:lastColumn="0" w:oddVBand="0" w:evenVBand="0" w:oddHBand="0" w:evenHBand="0" w:firstRowFirstColumn="0" w:firstRowLastColumn="0" w:lastRowFirstColumn="0" w:lastRowLastColumn="0"/>
              <w:trHeight w:val="751"/>
            </w:trPr>
            <w:tc>
              <w:tcPr>
                <w:tcW w:w="1848" w:type="dxa"/>
                <w:vAlign w:val="center"/>
              </w:tcPr>
              <w:p w:rsidR="00367430" w:rsidRPr="00C64C3D" w:rsidRDefault="00367430" w:rsidP="00A96D53">
                <w:pPr>
                  <w:rPr>
                    <w:sz w:val="20"/>
                  </w:rPr>
                </w:pPr>
                <w:r w:rsidRPr="00C64C3D">
                  <w:rPr>
                    <w:sz w:val="20"/>
                  </w:rPr>
                  <w:t>Schedule</w:t>
                </w:r>
              </w:p>
            </w:tc>
            <w:tc>
              <w:tcPr>
                <w:tcW w:w="1848" w:type="dxa"/>
                <w:vAlign w:val="center"/>
              </w:tcPr>
              <w:p w:rsidR="00367430" w:rsidRPr="00C64C3D" w:rsidRDefault="00367430" w:rsidP="004B7C61">
                <w:pPr>
                  <w:jc w:val="center"/>
                  <w:rPr>
                    <w:sz w:val="20"/>
                  </w:rPr>
                </w:pPr>
                <w:r w:rsidRPr="00C64C3D">
                  <w:rPr>
                    <w:sz w:val="20"/>
                  </w:rPr>
                  <w:t>D-3</w:t>
                </w:r>
              </w:p>
            </w:tc>
            <w:tc>
              <w:tcPr>
                <w:tcW w:w="1848" w:type="dxa"/>
                <w:vAlign w:val="center"/>
              </w:tcPr>
              <w:p w:rsidR="00367430" w:rsidRPr="00C64C3D" w:rsidRDefault="00367430" w:rsidP="004B7C61">
                <w:pPr>
                  <w:jc w:val="center"/>
                  <w:rPr>
                    <w:sz w:val="20"/>
                  </w:rPr>
                </w:pPr>
                <w:r w:rsidRPr="00C64C3D">
                  <w:rPr>
                    <w:sz w:val="20"/>
                  </w:rPr>
                  <w:t>D-2</w:t>
                </w:r>
              </w:p>
            </w:tc>
            <w:tc>
              <w:tcPr>
                <w:tcW w:w="1849" w:type="dxa"/>
                <w:vAlign w:val="center"/>
              </w:tcPr>
              <w:p w:rsidR="00367430" w:rsidRPr="00C64C3D" w:rsidRDefault="00367430" w:rsidP="004B7C61">
                <w:pPr>
                  <w:jc w:val="center"/>
                  <w:rPr>
                    <w:sz w:val="20"/>
                  </w:rPr>
                </w:pPr>
                <w:r w:rsidRPr="00C64C3D">
                  <w:rPr>
                    <w:sz w:val="20"/>
                  </w:rPr>
                  <w:t>D-1</w:t>
                </w:r>
              </w:p>
            </w:tc>
            <w:tc>
              <w:tcPr>
                <w:tcW w:w="1849" w:type="dxa"/>
                <w:vAlign w:val="center"/>
              </w:tcPr>
              <w:p w:rsidR="00367430" w:rsidRPr="00C64C3D" w:rsidRDefault="00367430" w:rsidP="004B7C61">
                <w:pPr>
                  <w:jc w:val="center"/>
                  <w:rPr>
                    <w:sz w:val="20"/>
                  </w:rPr>
                </w:pPr>
                <w:r w:rsidRPr="00C64C3D">
                  <w:rPr>
                    <w:sz w:val="20"/>
                  </w:rPr>
                  <w:t>D+1</w:t>
                </w:r>
              </w:p>
            </w:tc>
          </w:tr>
          <w:tr w:rsidR="00367430" w:rsidTr="00A96D53">
            <w:trPr>
              <w:cnfStyle w:val="000000100000" w:firstRow="0" w:lastRow="0" w:firstColumn="0" w:lastColumn="0" w:oddVBand="0" w:evenVBand="0" w:oddHBand="1" w:evenHBand="0" w:firstRowFirstColumn="0" w:firstRowLastColumn="0" w:lastRowFirstColumn="0" w:lastRowLastColumn="0"/>
              <w:trHeight w:val="751"/>
            </w:trPr>
            <w:tc>
              <w:tcPr>
                <w:tcW w:w="1848" w:type="dxa"/>
                <w:vAlign w:val="center"/>
              </w:tcPr>
              <w:p w:rsidR="00367430" w:rsidRPr="00C64C3D" w:rsidRDefault="00367430" w:rsidP="00A96D53">
                <w:pPr>
                  <w:rPr>
                    <w:b/>
                    <w:sz w:val="20"/>
                  </w:rPr>
                </w:pPr>
                <w:r w:rsidRPr="00C64C3D">
                  <w:rPr>
                    <w:b/>
                    <w:sz w:val="20"/>
                  </w:rPr>
                  <w:t>Price ($/GJ)</w:t>
                </w:r>
              </w:p>
            </w:tc>
            <w:tc>
              <w:tcPr>
                <w:tcW w:w="1848" w:type="dxa"/>
                <w:vAlign w:val="center"/>
              </w:tcPr>
              <w:p w:rsidR="00367430" w:rsidRDefault="00367430" w:rsidP="004B7C61">
                <w:pPr>
                  <w:jc w:val="center"/>
                </w:pPr>
                <w:r>
                  <w:t>$8.40</w:t>
                </w:r>
              </w:p>
            </w:tc>
            <w:tc>
              <w:tcPr>
                <w:tcW w:w="1848" w:type="dxa"/>
                <w:vAlign w:val="center"/>
              </w:tcPr>
              <w:p w:rsidR="00367430" w:rsidRDefault="00367430" w:rsidP="004B7C61">
                <w:pPr>
                  <w:jc w:val="center"/>
                </w:pPr>
                <w:r>
                  <w:t>$9.61</w:t>
                </w:r>
              </w:p>
            </w:tc>
            <w:tc>
              <w:tcPr>
                <w:tcW w:w="1849" w:type="dxa"/>
                <w:vAlign w:val="center"/>
              </w:tcPr>
              <w:p w:rsidR="00367430" w:rsidRDefault="00367430" w:rsidP="004B7C61">
                <w:pPr>
                  <w:jc w:val="center"/>
                </w:pPr>
                <w:r>
                  <w:t>$24</w:t>
                </w:r>
              </w:p>
            </w:tc>
            <w:tc>
              <w:tcPr>
                <w:tcW w:w="1849" w:type="dxa"/>
                <w:vAlign w:val="center"/>
              </w:tcPr>
              <w:p w:rsidR="00367430" w:rsidRDefault="00367430" w:rsidP="004B7C61">
                <w:pPr>
                  <w:jc w:val="center"/>
                </w:pPr>
                <w:r>
                  <w:t>$24</w:t>
                </w:r>
              </w:p>
            </w:tc>
          </w:tr>
          <w:tr w:rsidR="00367430" w:rsidTr="00A96D53">
            <w:trPr>
              <w:cnfStyle w:val="000000010000" w:firstRow="0" w:lastRow="0" w:firstColumn="0" w:lastColumn="0" w:oddVBand="0" w:evenVBand="0" w:oddHBand="0" w:evenHBand="1" w:firstRowFirstColumn="0" w:firstRowLastColumn="0" w:lastRowFirstColumn="0" w:lastRowLastColumn="0"/>
              <w:trHeight w:val="751"/>
            </w:trPr>
            <w:tc>
              <w:tcPr>
                <w:tcW w:w="1848" w:type="dxa"/>
                <w:vAlign w:val="center"/>
              </w:tcPr>
              <w:p w:rsidR="00367430" w:rsidRPr="00C64C3D" w:rsidRDefault="00367430" w:rsidP="00A96D53">
                <w:pPr>
                  <w:rPr>
                    <w:b/>
                    <w:sz w:val="20"/>
                  </w:rPr>
                </w:pPr>
                <w:r w:rsidRPr="00C64C3D">
                  <w:rPr>
                    <w:b/>
                    <w:sz w:val="20"/>
                  </w:rPr>
                  <w:t>Quantity (TJ)</w:t>
                </w:r>
              </w:p>
            </w:tc>
            <w:tc>
              <w:tcPr>
                <w:tcW w:w="1848" w:type="dxa"/>
                <w:vAlign w:val="center"/>
              </w:tcPr>
              <w:p w:rsidR="00367430" w:rsidRDefault="00367430" w:rsidP="004B7C61">
                <w:pPr>
                  <w:jc w:val="center"/>
                </w:pPr>
                <w:r>
                  <w:t>71.21</w:t>
                </w:r>
              </w:p>
            </w:tc>
            <w:tc>
              <w:tcPr>
                <w:tcW w:w="1848" w:type="dxa"/>
                <w:vAlign w:val="center"/>
              </w:tcPr>
              <w:p w:rsidR="00367430" w:rsidRDefault="00367430" w:rsidP="004B7C61">
                <w:pPr>
                  <w:jc w:val="center"/>
                </w:pPr>
                <w:r>
                  <w:t>70.84</w:t>
                </w:r>
              </w:p>
            </w:tc>
            <w:tc>
              <w:tcPr>
                <w:tcW w:w="1849" w:type="dxa"/>
                <w:vAlign w:val="center"/>
              </w:tcPr>
              <w:p w:rsidR="00367430" w:rsidRDefault="00367430" w:rsidP="004B7C61">
                <w:pPr>
                  <w:jc w:val="center"/>
                </w:pPr>
                <w:r>
                  <w:t>76.91</w:t>
                </w:r>
              </w:p>
            </w:tc>
            <w:tc>
              <w:tcPr>
                <w:tcW w:w="1849" w:type="dxa"/>
                <w:vAlign w:val="center"/>
              </w:tcPr>
              <w:p w:rsidR="00367430" w:rsidRDefault="00367430" w:rsidP="004B7C61">
                <w:pPr>
                  <w:jc w:val="center"/>
                </w:pPr>
                <w:r>
                  <w:t>+3.176</w:t>
                </w:r>
              </w:p>
            </w:tc>
          </w:tr>
        </w:tbl>
        <w:p w:rsidR="007D1978" w:rsidRDefault="0025206B" w:rsidP="007D1978">
          <w:pPr>
            <w:rPr>
              <w:rFonts w:asciiTheme="minorHAnsi" w:eastAsia="Times New Roman" w:hAnsiTheme="minorHAnsi" w:cs="Arial"/>
            </w:rPr>
          </w:pPr>
          <w:r>
            <w:rPr>
              <w:rFonts w:asciiTheme="minorHAnsi" w:eastAsia="Times New Roman" w:hAnsiTheme="minorHAnsi" w:cs="Arial"/>
            </w:rPr>
            <w:t>The main drivers behind</w:t>
          </w:r>
          <w:r w:rsidR="007D1978">
            <w:rPr>
              <w:rFonts w:asciiTheme="minorHAnsi" w:eastAsia="Times New Roman" w:hAnsiTheme="minorHAnsi" w:cs="Arial"/>
            </w:rPr>
            <w:t xml:space="preserve"> the </w:t>
          </w:r>
          <w:r w:rsidR="007D1978" w:rsidRPr="00973418">
            <w:t>$</w:t>
          </w:r>
          <w:r w:rsidR="007D1978">
            <w:t>14.39</w:t>
          </w:r>
          <w:r w:rsidR="007D1978" w:rsidRPr="00973418">
            <w:t>/GJ variation between the D-2 schedule price ($</w:t>
          </w:r>
          <w:r w:rsidR="007D1978">
            <w:t>9.61</w:t>
          </w:r>
          <w:r w:rsidR="007D1978" w:rsidRPr="00973418">
            <w:t>/GJ) and the</w:t>
          </w:r>
          <w:r w:rsidR="007D1978">
            <w:t xml:space="preserve"> D-1 schedule price ($24/GJ) were </w:t>
          </w:r>
          <w:r w:rsidR="007D1978">
            <w:rPr>
              <w:rFonts w:asciiTheme="minorHAnsi" w:eastAsia="Times New Roman" w:hAnsiTheme="minorHAnsi" w:cs="Arial"/>
            </w:rPr>
            <w:t>an increase in controllable demand and a reduction in lower priced supply offers. Uninterruptable demand only increased slightly, and therefore had a less significant impact.</w:t>
          </w:r>
          <w:r w:rsidR="007D1978">
            <w:rPr>
              <w:rStyle w:val="FootnoteReference"/>
            </w:rPr>
            <w:footnoteReference w:id="26"/>
          </w:r>
        </w:p>
        <w:p w:rsidR="0025206B" w:rsidRDefault="0025206B" w:rsidP="0025206B">
          <w:r>
            <w:t>The D-1</w:t>
          </w:r>
          <w:r w:rsidR="00B550C4">
            <w:t xml:space="preserve"> price</w:t>
          </w:r>
          <w:r>
            <w:t xml:space="preserve"> </w:t>
          </w:r>
          <w:r w:rsidR="007A6376">
            <w:t xml:space="preserve">on 2 July </w:t>
          </w:r>
          <w:r>
            <w:t xml:space="preserve">was the highest </w:t>
          </w:r>
          <w:r w:rsidR="007A6376">
            <w:t xml:space="preserve">to date </w:t>
          </w:r>
          <w:r>
            <w:t>for the Adelaide STTM.</w:t>
          </w:r>
          <w:r>
            <w:rPr>
              <w:rStyle w:val="FootnoteReference"/>
            </w:rPr>
            <w:footnoteReference w:id="27"/>
          </w:r>
          <w:r>
            <w:t xml:space="preserve"> </w:t>
          </w:r>
          <w:r w:rsidR="00E96443">
            <w:t>Adelaide’s D</w:t>
          </w:r>
          <w:r w:rsidR="00E96443">
            <w:noBreakHyphen/>
          </w:r>
          <w:r>
            <w:t xml:space="preserve">1 price exceeded this level </w:t>
          </w:r>
          <w:r w:rsidR="007A6376">
            <w:t xml:space="preserve">again </w:t>
          </w:r>
          <w:r>
            <w:t>on 6 and 13 July gas days. These gas days are examined in further detail later in this report.</w:t>
          </w:r>
        </w:p>
        <w:p w:rsidR="00CD2E93" w:rsidRDefault="00CD2E93" w:rsidP="006D4C89">
          <w:r>
            <w:t xml:space="preserve">For the D-1 schedule, total demand was over 6 TJ higher than in the D-2 schedule. This was mainly due to an </w:t>
          </w:r>
          <w:r w:rsidR="0025206B">
            <w:t>increase in controllable demand</w:t>
          </w:r>
          <w:r>
            <w:t>.</w:t>
          </w:r>
        </w:p>
        <w:p w:rsidR="00680BF9" w:rsidRDefault="003D0C4C" w:rsidP="00772B5E">
          <w:r>
            <w:t xml:space="preserve">The main contributor to the increase in controllable demand was EnergyAustralia. </w:t>
          </w:r>
          <w:r w:rsidR="007D1978">
            <w:t xml:space="preserve">For the D-1 schedule, EnergyAustralia </w:t>
          </w:r>
          <w:r w:rsidR="000C6AD3">
            <w:t xml:space="preserve">increased its backhaul bid on the Moomba to Adelaide pipeline </w:t>
          </w:r>
          <w:r w:rsidR="000C6AD3">
            <w:rPr>
              <w:b/>
            </w:rPr>
            <w:t>(MAP)</w:t>
          </w:r>
          <w:r w:rsidR="000C6AD3">
            <w:t xml:space="preserve"> priced at </w:t>
          </w:r>
          <w:r w:rsidR="00A262E1">
            <w:t>$80/GJ</w:t>
          </w:r>
          <w:r w:rsidR="006F6C90">
            <w:t xml:space="preserve"> by 5 TJ.</w:t>
          </w:r>
          <w:r w:rsidR="00366388">
            <w:t xml:space="preserve"> </w:t>
          </w:r>
          <w:r w:rsidR="00A262E1">
            <w:t xml:space="preserve">Analysis indicates this would likely </w:t>
          </w:r>
          <w:r w:rsidR="00A701F1">
            <w:t>have been to supply gas</w:t>
          </w:r>
          <w:r w:rsidR="00A017AD">
            <w:t xml:space="preserve"> to </w:t>
          </w:r>
          <w:r w:rsidR="006F6C90">
            <w:t>Hallett;</w:t>
          </w:r>
          <w:r w:rsidR="00A017AD">
            <w:t xml:space="preserve"> </w:t>
          </w:r>
          <w:r w:rsidR="00366388">
            <w:t>its</w:t>
          </w:r>
          <w:r w:rsidR="00680BF9">
            <w:t xml:space="preserve"> gas-fire</w:t>
          </w:r>
          <w:r w:rsidR="00366388">
            <w:t xml:space="preserve">d electricity generator </w:t>
          </w:r>
          <w:r w:rsidR="00A017AD">
            <w:t>located around 210 km north of Adelaide.</w:t>
          </w:r>
        </w:p>
        <w:p w:rsidR="00E40F17" w:rsidRDefault="00E40F17" w:rsidP="00680BF9">
          <w:r>
            <w:t>The main contributor to the increase in uninterruptable demand was AGL, whic</w:t>
          </w:r>
          <w:r w:rsidR="00E3010D">
            <w:t>h increased its price taker bid</w:t>
          </w:r>
          <w:r>
            <w:t xml:space="preserve"> for the D-1 schedule by 1.1 TJ.</w:t>
          </w:r>
          <w:r w:rsidR="000C6AD3">
            <w:t xml:space="preserve"> Overall, uninterruptable demand increased by 1.2 TJ.</w:t>
          </w:r>
        </w:p>
        <w:p w:rsidR="00E76819" w:rsidRDefault="00E76819" w:rsidP="00680BF9">
          <w:r>
            <w:t>Some participants offered less gas</w:t>
          </w:r>
          <w:r w:rsidR="00E26428">
            <w:t xml:space="preserve"> priced at or under the D-1 price</w:t>
          </w:r>
          <w:r>
            <w:t xml:space="preserve"> for the D-1 schedule than t</w:t>
          </w:r>
          <w:r w:rsidR="001279C5">
            <w:t>hey offered in the D-2 schedule, including:</w:t>
          </w:r>
        </w:p>
        <w:p w:rsidR="001279C5" w:rsidRDefault="001279C5" w:rsidP="00A8220F">
          <w:pPr>
            <w:pStyle w:val="ListParagraph"/>
            <w:numPr>
              <w:ilvl w:val="0"/>
              <w:numId w:val="25"/>
            </w:numPr>
          </w:pPr>
          <w:r>
            <w:t>Simply Energy reduced its quantity of offers on the SEAGas pipeline</w:t>
          </w:r>
          <w:r w:rsidR="00E03098">
            <w:t xml:space="preserve"> </w:t>
          </w:r>
          <w:r w:rsidR="00E03098">
            <w:rPr>
              <w:b/>
            </w:rPr>
            <w:t>(SEAGas)</w:t>
          </w:r>
          <w:r>
            <w:t xml:space="preserve"> by </w:t>
          </w:r>
          <w:r w:rsidR="00E40F17">
            <w:t>5 TJ</w:t>
          </w:r>
        </w:p>
        <w:p w:rsidR="001279C5" w:rsidRDefault="001279C5" w:rsidP="00A8220F">
          <w:pPr>
            <w:pStyle w:val="ListParagraph"/>
            <w:numPr>
              <w:ilvl w:val="0"/>
              <w:numId w:val="25"/>
            </w:numPr>
          </w:pPr>
          <w:r>
            <w:t xml:space="preserve">Adelaide Brighton Cement </w:t>
          </w:r>
          <w:r>
            <w:rPr>
              <w:b/>
            </w:rPr>
            <w:t>(ABC)</w:t>
          </w:r>
          <w:r w:rsidRPr="001279C5">
            <w:t xml:space="preserve"> </w:t>
          </w:r>
          <w:r>
            <w:t>reduced its quantity of offers on the MAP by 1 TJ</w:t>
          </w:r>
        </w:p>
        <w:p w:rsidR="001279C5" w:rsidRDefault="001279C5" w:rsidP="00A8220F">
          <w:pPr>
            <w:pStyle w:val="ListParagraph"/>
            <w:numPr>
              <w:ilvl w:val="0"/>
              <w:numId w:val="25"/>
            </w:numPr>
          </w:pPr>
          <w:r>
            <w:t>AGL reduced its quantity of offers across the MAP and SEAGas by 2.2 TJ</w:t>
          </w:r>
        </w:p>
        <w:p w:rsidR="005C6A7C" w:rsidRDefault="00211DDA" w:rsidP="006D4C89">
          <w:r>
            <w:t xml:space="preserve">The changes to bids and offers are illustrated below. </w:t>
          </w:r>
          <w:r>
            <w:fldChar w:fldCharType="begin"/>
          </w:r>
          <w:r>
            <w:instrText xml:space="preserve"> REF _Ref461627448 \h </w:instrText>
          </w:r>
          <w:r>
            <w:fldChar w:fldCharType="separate"/>
          </w:r>
          <w:r w:rsidR="00D94C93">
            <w:t>Figure </w:t>
          </w:r>
          <w:r w:rsidR="00D94C93">
            <w:rPr>
              <w:noProof/>
            </w:rPr>
            <w:t>11</w:t>
          </w:r>
          <w:r>
            <w:fldChar w:fldCharType="end"/>
          </w:r>
          <w:r>
            <w:t xml:space="preserve"> </w:t>
          </w:r>
          <w:r w:rsidR="00DF7A52">
            <w:t>sets out</w:t>
          </w:r>
          <w:r>
            <w:t xml:space="preserve"> the </w:t>
          </w:r>
          <w:r w:rsidR="005C6A7C">
            <w:t>offer stacks (on the left) and the bid stacks (on the right) for the D-3, D-2, and D-1 schedules.</w:t>
          </w:r>
          <w:r w:rsidR="005C6A7C" w:rsidRPr="005C6A7C">
            <w:t xml:space="preserve"> </w:t>
          </w:r>
          <w:r w:rsidR="005C6A7C">
            <w:t>The overall changes in bids and offers can be seen by comparing one schedu</w:t>
          </w:r>
          <w:r w:rsidR="00DF7A52">
            <w:t>le with another. For example, for</w:t>
          </w:r>
          <w:r w:rsidR="005C6A7C">
            <w:t xml:space="preserve"> the D-1 schedule, there is a clear reduction i</w:t>
          </w:r>
          <w:r w:rsidR="00DF7A52">
            <w:t>n the quantity of offers priced</w:t>
          </w:r>
          <w:r w:rsidR="005C6A7C">
            <w:t xml:space="preserve"> </w:t>
          </w:r>
          <w:r w:rsidR="00101623">
            <w:t xml:space="preserve">at or above </w:t>
          </w:r>
          <w:r w:rsidR="005C6A7C">
            <w:t xml:space="preserve">$9/GJ compared to the D-2 schedule. This is shown by a significant decrease in the amount of blue offers, and a similar sized increase in orange offers. </w:t>
          </w:r>
        </w:p>
        <w:p w:rsidR="00D4290C" w:rsidRDefault="005C6A7C" w:rsidP="006D4C89">
          <w:r>
            <w:fldChar w:fldCharType="begin"/>
          </w:r>
          <w:r>
            <w:instrText xml:space="preserve"> REF _Ref461627456 \h </w:instrText>
          </w:r>
          <w:r>
            <w:fldChar w:fldCharType="separate"/>
          </w:r>
          <w:r w:rsidR="00D94C93">
            <w:t>Figure </w:t>
          </w:r>
          <w:r w:rsidR="00D94C93">
            <w:rPr>
              <w:noProof/>
            </w:rPr>
            <w:t>12</w:t>
          </w:r>
          <w:r>
            <w:fldChar w:fldCharType="end"/>
          </w:r>
          <w:r>
            <w:t xml:space="preserve"> </w:t>
          </w:r>
          <w:r w:rsidR="00D4290C">
            <w:t>illustrates the increase in higher priced bids and the reduction in lower priced supply offers from the D-2 to the D-1 schedules and in turn how these changes resulted in the</w:t>
          </w:r>
          <w:r w:rsidR="00D4290C">
            <w:rPr>
              <w:rFonts w:asciiTheme="minorHAnsi" w:eastAsia="Times New Roman" w:hAnsiTheme="minorHAnsi" w:cs="Arial"/>
            </w:rPr>
            <w:t xml:space="preserve"> </w:t>
          </w:r>
          <w:r w:rsidR="00D4290C" w:rsidRPr="00973418">
            <w:t>$</w:t>
          </w:r>
          <w:r w:rsidR="00D4290C">
            <w:t>14.39</w:t>
          </w:r>
          <w:r w:rsidR="00D4290C" w:rsidRPr="00973418">
            <w:t>/GJ variation</w:t>
          </w:r>
          <w:r w:rsidR="00D4290C">
            <w:t xml:space="preserve"> between the two schedules’ prices.</w:t>
          </w:r>
          <w:r w:rsidR="00AD4BE9">
            <w:t xml:space="preserve"> </w:t>
          </w:r>
          <w:r w:rsidR="00AD4BE9">
            <w:fldChar w:fldCharType="begin"/>
          </w:r>
          <w:r w:rsidR="00AD4BE9">
            <w:instrText xml:space="preserve"> REF _Ref461627456 \h </w:instrText>
          </w:r>
          <w:r w:rsidR="00AD4BE9">
            <w:fldChar w:fldCharType="separate"/>
          </w:r>
          <w:r w:rsidR="00D94C93">
            <w:t>Figure </w:t>
          </w:r>
          <w:r w:rsidR="00D94C93">
            <w:rPr>
              <w:noProof/>
            </w:rPr>
            <w:t>12</w:t>
          </w:r>
          <w:r w:rsidR="00AD4BE9">
            <w:fldChar w:fldCharType="end"/>
          </w:r>
          <w:r w:rsidR="00AD4BE9">
            <w:t xml:space="preserve"> shows the intersection of the offer and bid curves setting the D</w:t>
          </w:r>
          <w:r w:rsidR="00AD4BE9">
            <w:noBreakHyphen/>
            <w:t>2 and D</w:t>
          </w:r>
          <w:r w:rsidR="00AD4BE9">
            <w:noBreakHyphen/>
            <w:t>1 prices.</w:t>
          </w:r>
        </w:p>
        <w:p w:rsidR="0072716D" w:rsidRDefault="0072716D" w:rsidP="0072716D">
          <w:pPr>
            <w:pStyle w:val="Caption"/>
          </w:pPr>
          <w:bookmarkStart w:id="96" w:name="_Ref461627448"/>
          <w:r>
            <w:t>Figure </w:t>
          </w:r>
          <w:r w:rsidR="002852EF">
            <w:fldChar w:fldCharType="begin"/>
          </w:r>
          <w:r w:rsidR="002852EF">
            <w:instrText xml:space="preserve"> SEQ Figure \* ARABIC </w:instrText>
          </w:r>
          <w:r w:rsidR="002852EF">
            <w:fldChar w:fldCharType="separate"/>
          </w:r>
          <w:r w:rsidR="00D94C93">
            <w:rPr>
              <w:noProof/>
            </w:rPr>
            <w:t>11</w:t>
          </w:r>
          <w:r w:rsidR="002852EF">
            <w:rPr>
              <w:noProof/>
            </w:rPr>
            <w:fldChar w:fldCharType="end"/>
          </w:r>
          <w:bookmarkEnd w:id="96"/>
          <w:r>
            <w:t>: Adelaide STTM, 2 July 2016, changes to offer and bid quantities</w:t>
          </w:r>
        </w:p>
        <w:p w:rsidR="00E45B31" w:rsidRDefault="004B6729" w:rsidP="006D4C89">
          <w:pPr>
            <w:rPr>
              <w:rFonts w:asciiTheme="minorHAnsi" w:eastAsia="Times New Roman" w:hAnsiTheme="minorHAnsi" w:cs="Arial"/>
            </w:rPr>
          </w:pPr>
          <w:r w:rsidRPr="004B6729">
            <w:rPr>
              <w:noProof/>
              <w:lang w:eastAsia="en-AU"/>
            </w:rPr>
            <w:drawing>
              <wp:inline distT="0" distB="0" distL="0" distR="0" wp14:anchorId="25A7B775" wp14:editId="2E35D88D">
                <wp:extent cx="5382895" cy="1745454"/>
                <wp:effectExtent l="0" t="0" r="0" b="7620"/>
                <wp:docPr id="5" name="Picture 5" descr="Figure11 shows the daily hub offers and bids within certain price bands for the 2 July gas day in Adelaide. Offers to sell gas are displayed on the left while bids  to buy gas (including uncontrollable pricetaker demand) are display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1745454"/>
                        </a:xfrm>
                        <a:prstGeom prst="rect">
                          <a:avLst/>
                        </a:prstGeom>
                        <a:noFill/>
                        <a:ln>
                          <a:noFill/>
                        </a:ln>
                      </pic:spPr>
                    </pic:pic>
                  </a:graphicData>
                </a:graphic>
              </wp:inline>
            </w:drawing>
          </w:r>
        </w:p>
        <w:p w:rsidR="004A3CD0" w:rsidRDefault="004A3CD0" w:rsidP="004A3CD0">
          <w:pPr>
            <w:pStyle w:val="Caption"/>
          </w:pPr>
          <w:bookmarkStart w:id="97" w:name="_Ref461627456"/>
          <w:r>
            <w:t>Figure </w:t>
          </w:r>
          <w:r w:rsidR="002852EF">
            <w:fldChar w:fldCharType="begin"/>
          </w:r>
          <w:r w:rsidR="002852EF">
            <w:instrText xml:space="preserve"> SEQ Figure \* ARABIC </w:instrText>
          </w:r>
          <w:r w:rsidR="002852EF">
            <w:fldChar w:fldCharType="separate"/>
          </w:r>
          <w:r w:rsidR="00D94C93">
            <w:rPr>
              <w:noProof/>
            </w:rPr>
            <w:t>12</w:t>
          </w:r>
          <w:r w:rsidR="002852EF">
            <w:rPr>
              <w:noProof/>
            </w:rPr>
            <w:fldChar w:fldCharType="end"/>
          </w:r>
          <w:bookmarkEnd w:id="97"/>
          <w:r>
            <w:t>: Adelaide STTM, 2 July 2016, D</w:t>
          </w:r>
          <w:r>
            <w:noBreakHyphen/>
            <w:t>2 and D</w:t>
          </w:r>
          <w:r>
            <w:noBreakHyphen/>
            <w:t>1 schedules (TJ)</w:t>
          </w:r>
        </w:p>
        <w:p w:rsidR="0046432C" w:rsidRPr="00E65262" w:rsidRDefault="009023D9" w:rsidP="006D4C89">
          <w:pPr>
            <w:rPr>
              <w:rFonts w:asciiTheme="minorHAnsi" w:eastAsia="Times New Roman" w:hAnsiTheme="minorHAnsi" w:cs="Arial"/>
            </w:rPr>
          </w:pPr>
          <w:r w:rsidRPr="009023D9">
            <w:rPr>
              <w:noProof/>
              <w:lang w:eastAsia="en-AU"/>
            </w:rPr>
            <w:drawing>
              <wp:inline distT="0" distB="0" distL="0" distR="0" wp14:anchorId="7C28F81E" wp14:editId="4AC38A23">
                <wp:extent cx="5382895" cy="2776811"/>
                <wp:effectExtent l="0" t="0" r="8255" b="5080"/>
                <wp:docPr id="55" name="Picture 55" descr="Figure 12 illustrates the provisional (D-2) and ex ante (D-1) schedules for the 2 July 2016 gas day in Adelaid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2776811"/>
                        </a:xfrm>
                        <a:prstGeom prst="rect">
                          <a:avLst/>
                        </a:prstGeom>
                        <a:noFill/>
                        <a:ln>
                          <a:noFill/>
                        </a:ln>
                      </pic:spPr>
                    </pic:pic>
                  </a:graphicData>
                </a:graphic>
              </wp:inline>
            </w:drawing>
          </w:r>
        </w:p>
        <w:p w:rsidR="007E11C7" w:rsidRDefault="00B03F78" w:rsidP="007E11C7">
          <w:pPr>
            <w:pStyle w:val="Heading2"/>
          </w:pPr>
          <w:bookmarkStart w:id="98" w:name="_Toc466896989"/>
          <w:r>
            <w:t>Sunday 3 July</w:t>
          </w:r>
          <w:r w:rsidR="007E11C7">
            <w:t xml:space="preserve"> 2016</w:t>
          </w:r>
          <w:bookmarkEnd w:id="98"/>
        </w:p>
        <w:p w:rsidR="0039047D" w:rsidRDefault="0039047D" w:rsidP="007E11C7">
          <w:r>
            <w:rPr>
              <w:noProof/>
              <w:lang w:eastAsia="en-AU"/>
            </w:rPr>
            <mc:AlternateContent>
              <mc:Choice Requires="wps">
                <w:drawing>
                  <wp:anchor distT="0" distB="0" distL="114300" distR="114300" simplePos="0" relativeHeight="251665408" behindDoc="0" locked="0" layoutInCell="1" allowOverlap="1" wp14:anchorId="4682DF6C" wp14:editId="25C20123">
                    <wp:simplePos x="0" y="0"/>
                    <wp:positionH relativeFrom="column">
                      <wp:posOffset>-5080</wp:posOffset>
                    </wp:positionH>
                    <wp:positionV relativeFrom="paragraph">
                      <wp:posOffset>190721</wp:posOffset>
                    </wp:positionV>
                    <wp:extent cx="5399405" cy="664845"/>
                    <wp:effectExtent l="0" t="0" r="10795"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64845"/>
                            </a:xfrm>
                            <a:prstGeom prst="rect">
                              <a:avLst/>
                            </a:prstGeom>
                            <a:solidFill>
                              <a:srgbClr val="DBE5F1"/>
                            </a:solidFill>
                            <a:ln w="9525">
                              <a:solidFill>
                                <a:srgbClr val="000000"/>
                              </a:solidFill>
                              <a:miter lim="800000"/>
                              <a:headEnd/>
                              <a:tailEnd/>
                            </a:ln>
                          </wps:spPr>
                          <wps:txbx>
                            <w:txbxContent>
                              <w:p w:rsidR="002B723A" w:rsidRDefault="002B723A" w:rsidP="00096EFD">
                                <w:pPr>
                                  <w:ind w:left="2160" w:hanging="2160"/>
                                </w:pPr>
                                <w:r>
                                  <w:rPr>
                                    <w:b/>
                                  </w:rPr>
                                  <w:t>Brisbane</w:t>
                                </w:r>
                                <w:r w:rsidRPr="0051165D">
                                  <w:rPr>
                                    <w:b/>
                                  </w:rPr>
                                  <w:t xml:space="preserve"> STTM:</w:t>
                                </w:r>
                                <w:r>
                                  <w:tab/>
                                  <w:t>There</w:t>
                                </w:r>
                                <w:r w:rsidRPr="00973418">
                                  <w:t xml:space="preserve"> was a</w:t>
                                </w:r>
                                <w:r>
                                  <w:t>n</w:t>
                                </w:r>
                                <w:r w:rsidRPr="00973418">
                                  <w:t xml:space="preserve"> $</w:t>
                                </w:r>
                                <w:r>
                                  <w:t>8.03</w:t>
                                </w:r>
                                <w:r w:rsidRPr="00973418">
                                  <w:t>/GJ variation between the D-2 schedule price ($</w:t>
                                </w:r>
                                <w:r>
                                  <w:t>18.70</w:t>
                                </w:r>
                                <w:r w:rsidRPr="00973418">
                                  <w:t>/GJ) and the</w:t>
                                </w:r>
                                <w:r>
                                  <w:t xml:space="preserve"> D-1 schedule price ($10.67/GJ).</w:t>
                                </w:r>
                              </w:p>
                              <w:p w:rsidR="002B723A" w:rsidRPr="00096EFD" w:rsidRDefault="002B723A" w:rsidP="00096EFD">
                                <w:pPr>
                                  <w:ind w:left="2160"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15pt;width:425.15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" fillcolor="#dbe5f1">
                    <v:textbox>
                      <w:txbxContent>
                        <w:p w:rsidR="002B723A" w:rsidRDefault="002B723A" w:rsidP="00096EFD">
                          <w:pPr>
                            <w:ind w:left="2160" w:hanging="2160"/>
                          </w:pPr>
                          <w:r>
                            <w:rPr>
                              <w:b/>
                            </w:rPr>
                            <w:t>Brisbane</w:t>
                          </w:r>
                          <w:r w:rsidRPr="0051165D">
                            <w:rPr>
                              <w:b/>
                            </w:rPr>
                            <w:t xml:space="preserve"> STTM:</w:t>
                          </w:r>
                          <w:r>
                            <w:tab/>
                            <w:t>There</w:t>
                          </w:r>
                          <w:r w:rsidRPr="00973418">
                            <w:t xml:space="preserve"> was a</w:t>
                          </w:r>
                          <w:r>
                            <w:t>n</w:t>
                          </w:r>
                          <w:r w:rsidRPr="00973418">
                            <w:t xml:space="preserve"> $</w:t>
                          </w:r>
                          <w:r>
                            <w:t>8.03</w:t>
                          </w:r>
                          <w:r w:rsidRPr="00973418">
                            <w:t>/GJ variation between the D-2 schedule price ($</w:t>
                          </w:r>
                          <w:r>
                            <w:t>18.70</w:t>
                          </w:r>
                          <w:r w:rsidRPr="00973418">
                            <w:t>/GJ) and the</w:t>
                          </w:r>
                          <w:r>
                            <w:t xml:space="preserve"> D-1 schedule price ($10.67/GJ).</w:t>
                          </w:r>
                        </w:p>
                        <w:p w:rsidR="002B723A" w:rsidRPr="00096EFD" w:rsidRDefault="002B723A" w:rsidP="00096EFD">
                          <w:pPr>
                            <w:ind w:left="2160" w:hanging="2160"/>
                          </w:pPr>
                        </w:p>
                      </w:txbxContent>
                    </v:textbox>
                  </v:shape>
                </w:pict>
              </mc:Fallback>
            </mc:AlternateContent>
          </w:r>
        </w:p>
        <w:p w:rsidR="0039047D" w:rsidRDefault="0039047D" w:rsidP="007E11C7"/>
        <w:p w:rsidR="0039047D" w:rsidRDefault="0039047D" w:rsidP="007E11C7"/>
        <w:p w:rsidR="006023E9" w:rsidRDefault="004B7C61" w:rsidP="00367430">
          <w:pPr>
            <w:pStyle w:val="Tabletitle"/>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_Ref461629178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5</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B1040A">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B1040A">
            <w:rPr>
              <w:rFonts w:asciiTheme="minorHAnsi" w:eastAsia="Times New Roman" w:hAnsiTheme="minorHAnsi" w:cs="Arial"/>
              <w:b w:val="0"/>
              <w:color w:val="auto"/>
              <w:sz w:val="22"/>
              <w:szCs w:val="22"/>
            </w:rPr>
            <w:t xml:space="preserve"> each of the gas schedules for the 3 July gas day in Brisbane</w:t>
          </w:r>
          <w:r>
            <w:rPr>
              <w:rFonts w:asciiTheme="minorHAnsi" w:eastAsia="Times New Roman" w:hAnsiTheme="minorHAnsi" w:cs="Arial"/>
              <w:b w:val="0"/>
              <w:color w:val="auto"/>
              <w:sz w:val="22"/>
              <w:szCs w:val="22"/>
            </w:rPr>
            <w:t>.</w:t>
          </w:r>
          <w:r w:rsidR="006023E9">
            <w:rPr>
              <w:rFonts w:asciiTheme="minorHAnsi" w:eastAsia="Times New Roman" w:hAnsiTheme="minorHAnsi" w:cs="Arial"/>
              <w:b w:val="0"/>
              <w:color w:val="auto"/>
              <w:sz w:val="22"/>
              <w:szCs w:val="22"/>
            </w:rPr>
            <w:t xml:space="preserve"> </w:t>
          </w:r>
        </w:p>
        <w:p w:rsidR="00367430" w:rsidRDefault="00367430" w:rsidP="00367430">
          <w:pPr>
            <w:pStyle w:val="Tabletitle"/>
            <w:rPr>
              <w:noProof/>
              <w:color w:val="FF0000"/>
              <w:lang w:eastAsia="en-AU"/>
            </w:rPr>
          </w:pPr>
          <w:bookmarkStart w:id="99" w:name="_Ref461629178"/>
          <w:r>
            <w:t>Table </w:t>
          </w:r>
          <w:r w:rsidR="002852EF">
            <w:fldChar w:fldCharType="begin"/>
          </w:r>
          <w:r w:rsidR="002852EF">
            <w:instrText xml:space="preserve"> SEQ Table \* ARABIC </w:instrText>
          </w:r>
          <w:r w:rsidR="002852EF">
            <w:fldChar w:fldCharType="separate"/>
          </w:r>
          <w:r w:rsidR="00D94C93">
            <w:rPr>
              <w:noProof/>
            </w:rPr>
            <w:t>5</w:t>
          </w:r>
          <w:r w:rsidR="002852EF">
            <w:rPr>
              <w:noProof/>
            </w:rPr>
            <w:fldChar w:fldCharType="end"/>
          </w:r>
          <w:bookmarkEnd w:id="99"/>
          <w:r>
            <w:rPr>
              <w:noProof/>
            </w:rPr>
            <w:t>: Brisbane prices and quantities, all schedules, 3 July</w:t>
          </w:r>
        </w:p>
        <w:tbl>
          <w:tblPr>
            <w:tblStyle w:val="AERsummarytable"/>
            <w:tblW w:w="0" w:type="auto"/>
            <w:tblLook w:val="04A0" w:firstRow="1" w:lastRow="0" w:firstColumn="1" w:lastColumn="0" w:noHBand="0" w:noVBand="1"/>
          </w:tblPr>
          <w:tblGrid>
            <w:gridCol w:w="1767"/>
            <w:gridCol w:w="1731"/>
            <w:gridCol w:w="1731"/>
            <w:gridCol w:w="1732"/>
            <w:gridCol w:w="1732"/>
          </w:tblGrid>
          <w:tr w:rsidR="00367430" w:rsidTr="00C55632">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367430" w:rsidRPr="00C64C3D" w:rsidRDefault="00367430" w:rsidP="00A96D53">
                <w:pPr>
                  <w:rPr>
                    <w:sz w:val="20"/>
                  </w:rPr>
                </w:pPr>
                <w:r w:rsidRPr="00C64C3D">
                  <w:rPr>
                    <w:sz w:val="20"/>
                  </w:rPr>
                  <w:t>Schedule</w:t>
                </w:r>
              </w:p>
            </w:tc>
            <w:tc>
              <w:tcPr>
                <w:tcW w:w="1731" w:type="dxa"/>
                <w:vAlign w:val="center"/>
              </w:tcPr>
              <w:p w:rsidR="00367430" w:rsidRPr="00C64C3D" w:rsidRDefault="00367430" w:rsidP="004B7C61">
                <w:pPr>
                  <w:jc w:val="center"/>
                  <w:rPr>
                    <w:sz w:val="20"/>
                  </w:rPr>
                </w:pPr>
                <w:r w:rsidRPr="00C64C3D">
                  <w:rPr>
                    <w:sz w:val="20"/>
                  </w:rPr>
                  <w:t>D-3</w:t>
                </w:r>
              </w:p>
            </w:tc>
            <w:tc>
              <w:tcPr>
                <w:tcW w:w="1731" w:type="dxa"/>
                <w:vAlign w:val="center"/>
              </w:tcPr>
              <w:p w:rsidR="00367430" w:rsidRPr="00C64C3D" w:rsidRDefault="00367430" w:rsidP="004B7C61">
                <w:pPr>
                  <w:jc w:val="center"/>
                  <w:rPr>
                    <w:sz w:val="20"/>
                  </w:rPr>
                </w:pPr>
                <w:r w:rsidRPr="00C64C3D">
                  <w:rPr>
                    <w:sz w:val="20"/>
                  </w:rPr>
                  <w:t>D-2</w:t>
                </w:r>
              </w:p>
            </w:tc>
            <w:tc>
              <w:tcPr>
                <w:tcW w:w="1732" w:type="dxa"/>
                <w:vAlign w:val="center"/>
              </w:tcPr>
              <w:p w:rsidR="00367430" w:rsidRPr="00C64C3D" w:rsidRDefault="00367430" w:rsidP="004B7C61">
                <w:pPr>
                  <w:jc w:val="center"/>
                  <w:rPr>
                    <w:sz w:val="20"/>
                  </w:rPr>
                </w:pPr>
                <w:r w:rsidRPr="00C64C3D">
                  <w:rPr>
                    <w:sz w:val="20"/>
                  </w:rPr>
                  <w:t>D-1</w:t>
                </w:r>
              </w:p>
            </w:tc>
            <w:tc>
              <w:tcPr>
                <w:tcW w:w="1732" w:type="dxa"/>
                <w:vAlign w:val="center"/>
              </w:tcPr>
              <w:p w:rsidR="00367430" w:rsidRPr="00C64C3D" w:rsidRDefault="00367430" w:rsidP="004B7C61">
                <w:pPr>
                  <w:jc w:val="center"/>
                  <w:rPr>
                    <w:sz w:val="20"/>
                  </w:rPr>
                </w:pPr>
                <w:r w:rsidRPr="00C64C3D">
                  <w:rPr>
                    <w:sz w:val="20"/>
                  </w:rPr>
                  <w:t>D+1</w:t>
                </w:r>
              </w:p>
            </w:tc>
          </w:tr>
          <w:tr w:rsidR="00367430" w:rsidTr="00C55632">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Price ($/GJ)</w:t>
                </w:r>
              </w:p>
            </w:tc>
            <w:tc>
              <w:tcPr>
                <w:tcW w:w="1731" w:type="dxa"/>
                <w:vAlign w:val="center"/>
              </w:tcPr>
              <w:p w:rsidR="00367430" w:rsidRDefault="00367430" w:rsidP="004B7C61">
                <w:pPr>
                  <w:jc w:val="center"/>
                </w:pPr>
                <w:r>
                  <w:t>$10.26</w:t>
                </w:r>
              </w:p>
            </w:tc>
            <w:tc>
              <w:tcPr>
                <w:tcW w:w="1731" w:type="dxa"/>
                <w:vAlign w:val="center"/>
              </w:tcPr>
              <w:p w:rsidR="00367430" w:rsidRDefault="00367430" w:rsidP="004B7C61">
                <w:pPr>
                  <w:jc w:val="center"/>
                </w:pPr>
                <w:r>
                  <w:t>$18.70</w:t>
                </w:r>
              </w:p>
            </w:tc>
            <w:tc>
              <w:tcPr>
                <w:tcW w:w="1732" w:type="dxa"/>
                <w:vAlign w:val="center"/>
              </w:tcPr>
              <w:p w:rsidR="00367430" w:rsidRDefault="00367430" w:rsidP="004B7C61">
                <w:pPr>
                  <w:jc w:val="center"/>
                </w:pPr>
                <w:r>
                  <w:t>$10.67</w:t>
                </w:r>
              </w:p>
            </w:tc>
            <w:tc>
              <w:tcPr>
                <w:tcW w:w="1732" w:type="dxa"/>
                <w:vAlign w:val="center"/>
              </w:tcPr>
              <w:p w:rsidR="00367430" w:rsidRDefault="00367430" w:rsidP="004B7C61">
                <w:pPr>
                  <w:jc w:val="center"/>
                </w:pPr>
                <w:r>
                  <w:t>$10.67</w:t>
                </w:r>
              </w:p>
            </w:tc>
          </w:tr>
          <w:tr w:rsidR="00367430" w:rsidTr="00C55632">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Quantity (TJ)</w:t>
                </w:r>
              </w:p>
            </w:tc>
            <w:tc>
              <w:tcPr>
                <w:tcW w:w="1731" w:type="dxa"/>
                <w:vAlign w:val="center"/>
              </w:tcPr>
              <w:p w:rsidR="00367430" w:rsidRDefault="00367430" w:rsidP="004B7C61">
                <w:pPr>
                  <w:jc w:val="center"/>
                </w:pPr>
                <w:r>
                  <w:t>84.81</w:t>
                </w:r>
              </w:p>
            </w:tc>
            <w:tc>
              <w:tcPr>
                <w:tcW w:w="1731" w:type="dxa"/>
                <w:vAlign w:val="center"/>
              </w:tcPr>
              <w:p w:rsidR="00367430" w:rsidRDefault="00367430" w:rsidP="004B7C61">
                <w:pPr>
                  <w:jc w:val="center"/>
                </w:pPr>
                <w:r>
                  <w:t>85.79</w:t>
                </w:r>
              </w:p>
            </w:tc>
            <w:tc>
              <w:tcPr>
                <w:tcW w:w="1732" w:type="dxa"/>
                <w:vAlign w:val="center"/>
              </w:tcPr>
              <w:p w:rsidR="00367430" w:rsidRDefault="00367430" w:rsidP="004B7C61">
                <w:pPr>
                  <w:jc w:val="center"/>
                </w:pPr>
                <w:r>
                  <w:t>85.39</w:t>
                </w:r>
              </w:p>
            </w:tc>
            <w:tc>
              <w:tcPr>
                <w:tcW w:w="1732" w:type="dxa"/>
                <w:vAlign w:val="center"/>
              </w:tcPr>
              <w:p w:rsidR="00367430" w:rsidRDefault="00367430" w:rsidP="004B7C61">
                <w:pPr>
                  <w:jc w:val="center"/>
                </w:pPr>
                <w:r>
                  <w:t>-1.378</w:t>
                </w:r>
              </w:p>
            </w:tc>
          </w:tr>
        </w:tbl>
        <w:p w:rsidR="0025206B" w:rsidRDefault="0025206B" w:rsidP="0025206B">
          <w:pPr>
            <w:rPr>
              <w:rFonts w:asciiTheme="minorHAnsi" w:eastAsia="Times New Roman" w:hAnsiTheme="minorHAnsi" w:cs="Arial"/>
            </w:rPr>
          </w:pPr>
          <w:r>
            <w:rPr>
              <w:rFonts w:asciiTheme="minorHAnsi" w:eastAsia="Times New Roman" w:hAnsiTheme="minorHAnsi" w:cs="Arial"/>
            </w:rPr>
            <w:t xml:space="preserve">The main driver behind the </w:t>
          </w:r>
          <w:r w:rsidR="00E40F17" w:rsidRPr="00973418">
            <w:t>$</w:t>
          </w:r>
          <w:r w:rsidR="00E40F17">
            <w:t>8.03</w:t>
          </w:r>
          <w:r w:rsidR="00E40F17" w:rsidRPr="00973418">
            <w:t>/GJ variation between the D-2 schedule price ($</w:t>
          </w:r>
          <w:r w:rsidR="00E40F17">
            <w:t>18.70</w:t>
          </w:r>
          <w:r w:rsidR="00E40F17" w:rsidRPr="00973418">
            <w:t>/GJ) and the</w:t>
          </w:r>
          <w:r w:rsidR="00E40F17">
            <w:t xml:space="preserve"> D-1 schedule price ($10.67/GJ)</w:t>
          </w:r>
          <w:r>
            <w:rPr>
              <w:rFonts w:asciiTheme="minorHAnsi" w:eastAsia="Times New Roman" w:hAnsiTheme="minorHAnsi" w:cs="Arial"/>
            </w:rPr>
            <w:t xml:space="preserve"> was an increase in low priced supply offers. Both uninterruptable and controllable demand remained at similar levels.</w:t>
          </w:r>
          <w:r w:rsidR="00C52966">
            <w:rPr>
              <w:rStyle w:val="FootnoteReference"/>
              <w:rFonts w:asciiTheme="minorHAnsi" w:eastAsia="Times New Roman" w:hAnsiTheme="minorHAnsi" w:cs="Arial"/>
            </w:rPr>
            <w:footnoteReference w:id="28"/>
          </w:r>
        </w:p>
        <w:p w:rsidR="00E40F17" w:rsidRDefault="00E40F17" w:rsidP="00E40F17">
          <w:r>
            <w:t>Some participants offered more gas priced at or under the D-1 price for the D-1 schedule than they offered in the D-2 schedule, including:</w:t>
          </w:r>
        </w:p>
        <w:p w:rsidR="00E40F17" w:rsidRDefault="00E40F17" w:rsidP="00A8220F">
          <w:pPr>
            <w:pStyle w:val="ListParagraph"/>
            <w:numPr>
              <w:ilvl w:val="0"/>
              <w:numId w:val="25"/>
            </w:numPr>
            <w:rPr>
              <w:rFonts w:asciiTheme="minorHAnsi" w:eastAsia="Times New Roman" w:hAnsiTheme="minorHAnsi" w:cs="Arial"/>
            </w:rPr>
          </w:pPr>
          <w:r>
            <w:rPr>
              <w:rFonts w:asciiTheme="minorHAnsi" w:eastAsia="Times New Roman" w:hAnsiTheme="minorHAnsi" w:cs="Arial"/>
            </w:rPr>
            <w:t xml:space="preserve">Origin increased its quantity of offers on the Roma to Brisbane pipeline </w:t>
          </w:r>
          <w:r>
            <w:rPr>
              <w:rFonts w:asciiTheme="minorHAnsi" w:eastAsia="Times New Roman" w:hAnsiTheme="minorHAnsi" w:cs="Arial"/>
              <w:b/>
            </w:rPr>
            <w:t>(RBP)</w:t>
          </w:r>
          <w:r>
            <w:rPr>
              <w:rFonts w:asciiTheme="minorHAnsi" w:eastAsia="Times New Roman" w:hAnsiTheme="minorHAnsi" w:cs="Arial"/>
            </w:rPr>
            <w:t xml:space="preserve"> by 12.3 TJ</w:t>
          </w:r>
        </w:p>
        <w:p w:rsidR="00E40F17" w:rsidRPr="00E40F17" w:rsidRDefault="00E40F17" w:rsidP="00A8220F">
          <w:pPr>
            <w:pStyle w:val="ListParagraph"/>
            <w:numPr>
              <w:ilvl w:val="0"/>
              <w:numId w:val="25"/>
            </w:numPr>
            <w:rPr>
              <w:rFonts w:asciiTheme="minorHAnsi" w:eastAsia="Times New Roman" w:hAnsiTheme="minorHAnsi" w:cs="Arial"/>
            </w:rPr>
          </w:pPr>
          <w:r>
            <w:rPr>
              <w:rFonts w:asciiTheme="minorHAnsi" w:eastAsia="Times New Roman" w:hAnsiTheme="minorHAnsi" w:cs="Arial"/>
            </w:rPr>
            <w:t>AGL increased its quantity of offers on the RBP by 3.6 TJ</w:t>
          </w:r>
        </w:p>
        <w:p w:rsidR="00D4290C" w:rsidRDefault="00E96099" w:rsidP="00367430">
          <w:r>
            <w:fldChar w:fldCharType="begin"/>
          </w:r>
          <w:r>
            <w:instrText xml:space="preserve"> REF _Ref461630614 \h </w:instrText>
          </w:r>
          <w:r>
            <w:fldChar w:fldCharType="separate"/>
          </w:r>
          <w:r w:rsidR="00D94C93">
            <w:t>Figure </w:t>
          </w:r>
          <w:r w:rsidR="00D94C93">
            <w:rPr>
              <w:noProof/>
            </w:rPr>
            <w:t>13</w:t>
          </w:r>
          <w:r>
            <w:fldChar w:fldCharType="end"/>
          </w:r>
          <w:r>
            <w:t xml:space="preserve"> </w:t>
          </w:r>
          <w:r w:rsidR="00D4290C">
            <w:t>illustrates the increase in low</w:t>
          </w:r>
          <w:r w:rsidR="00D7611E">
            <w:t>er</w:t>
          </w:r>
          <w:r w:rsidR="00D4290C">
            <w:t xml:space="preserve"> priced supply offers from the D-2 to the D-1 schedules and in turn how these changes resulted in the </w:t>
          </w:r>
          <w:r w:rsidR="00D4290C" w:rsidRPr="00973418">
            <w:t>$</w:t>
          </w:r>
          <w:r w:rsidR="00D4290C">
            <w:t>8.03</w:t>
          </w:r>
          <w:r w:rsidR="00D4290C" w:rsidRPr="00973418">
            <w:t>/GJ</w:t>
          </w:r>
          <w:r w:rsidR="00D4290C">
            <w:t xml:space="preserve"> variation between the two schedules’ prices.</w:t>
          </w:r>
        </w:p>
        <w:p w:rsidR="004A3CD0" w:rsidRDefault="004A3CD0" w:rsidP="004A3CD0">
          <w:pPr>
            <w:pStyle w:val="Caption"/>
          </w:pPr>
          <w:bookmarkStart w:id="100" w:name="_Ref461630614"/>
          <w:r>
            <w:t>Figure </w:t>
          </w:r>
          <w:r w:rsidR="002852EF">
            <w:fldChar w:fldCharType="begin"/>
          </w:r>
          <w:r w:rsidR="002852EF">
            <w:instrText xml:space="preserve"> SEQ Figure \* ARABIC </w:instrText>
          </w:r>
          <w:r w:rsidR="002852EF">
            <w:fldChar w:fldCharType="separate"/>
          </w:r>
          <w:r w:rsidR="00D94C93">
            <w:rPr>
              <w:noProof/>
            </w:rPr>
            <w:t>13</w:t>
          </w:r>
          <w:r w:rsidR="002852EF">
            <w:rPr>
              <w:noProof/>
            </w:rPr>
            <w:fldChar w:fldCharType="end"/>
          </w:r>
          <w:bookmarkEnd w:id="100"/>
          <w:r>
            <w:t>: Brisbane STTM, 3 July 2016, D</w:t>
          </w:r>
          <w:r>
            <w:noBreakHyphen/>
            <w:t>2 and D</w:t>
          </w:r>
          <w:r>
            <w:noBreakHyphen/>
            <w:t>1 schedules (TJ)</w:t>
          </w:r>
        </w:p>
        <w:p w:rsidR="007A6376" w:rsidRDefault="0021719F" w:rsidP="006D4C89">
          <w:pPr>
            <w:rPr>
              <w:rFonts w:eastAsiaTheme="majorEastAsia" w:cstheme="majorBidi"/>
              <w:b/>
              <w:bCs/>
              <w:color w:val="70635A" w:themeColor="text2"/>
              <w:sz w:val="32"/>
              <w:szCs w:val="26"/>
            </w:rPr>
          </w:pPr>
          <w:r w:rsidRPr="0021719F">
            <w:rPr>
              <w:noProof/>
              <w:lang w:eastAsia="en-AU"/>
            </w:rPr>
            <w:drawing>
              <wp:inline distT="0" distB="0" distL="0" distR="0" wp14:anchorId="1EB25975" wp14:editId="3B1EAAC1">
                <wp:extent cx="5382895" cy="3085885"/>
                <wp:effectExtent l="0" t="0" r="8255" b="635"/>
                <wp:docPr id="14" name="Picture 14" descr="Figure 13 illustrates the provisional (D-2) and ex ante (D-1) schedules for the 3 July 2016 gas day in Brisban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085885"/>
                        </a:xfrm>
                        <a:prstGeom prst="rect">
                          <a:avLst/>
                        </a:prstGeom>
                        <a:noFill/>
                        <a:ln>
                          <a:noFill/>
                        </a:ln>
                      </pic:spPr>
                    </pic:pic>
                  </a:graphicData>
                </a:graphic>
              </wp:inline>
            </w:drawing>
          </w:r>
        </w:p>
        <w:p w:rsidR="007A6376" w:rsidRDefault="007A6376">
          <w:pPr>
            <w:spacing w:line="240" w:lineRule="auto"/>
            <w:jc w:val="left"/>
            <w:rPr>
              <w:rFonts w:eastAsiaTheme="majorEastAsia" w:cstheme="majorBidi"/>
              <w:b/>
              <w:bCs/>
              <w:color w:val="70635A" w:themeColor="text2"/>
              <w:sz w:val="32"/>
              <w:szCs w:val="26"/>
            </w:rPr>
          </w:pPr>
        </w:p>
        <w:p w:rsidR="007E11C7" w:rsidRDefault="00B03F78" w:rsidP="007E11C7">
          <w:pPr>
            <w:pStyle w:val="Heading2"/>
          </w:pPr>
          <w:bookmarkStart w:id="101" w:name="_Toc466896990"/>
          <w:r>
            <w:t>Monday 4 July</w:t>
          </w:r>
          <w:r w:rsidR="007E11C7">
            <w:t xml:space="preserve"> 2016</w:t>
          </w:r>
          <w:bookmarkEnd w:id="101"/>
        </w:p>
        <w:p w:rsidR="004777A6" w:rsidRDefault="004777A6" w:rsidP="004777A6">
          <w:r>
            <w:rPr>
              <w:noProof/>
              <w:lang w:eastAsia="en-AU"/>
            </w:rPr>
            <mc:AlternateContent>
              <mc:Choice Requires="wps">
                <w:drawing>
                  <wp:anchor distT="0" distB="0" distL="114300" distR="114300" simplePos="0" relativeHeight="251671552" behindDoc="0" locked="0" layoutInCell="1" allowOverlap="1" wp14:anchorId="2289925F" wp14:editId="12C0FB57">
                    <wp:simplePos x="0" y="0"/>
                    <wp:positionH relativeFrom="column">
                      <wp:posOffset>-6985</wp:posOffset>
                    </wp:positionH>
                    <wp:positionV relativeFrom="paragraph">
                      <wp:posOffset>162502</wp:posOffset>
                    </wp:positionV>
                    <wp:extent cx="5399405" cy="665018"/>
                    <wp:effectExtent l="0" t="0" r="10795"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65018"/>
                            </a:xfrm>
                            <a:prstGeom prst="rect">
                              <a:avLst/>
                            </a:prstGeom>
                            <a:solidFill>
                              <a:srgbClr val="DBE5F1"/>
                            </a:solidFill>
                            <a:ln w="9525">
                              <a:solidFill>
                                <a:srgbClr val="000000"/>
                              </a:solidFill>
                              <a:miter lim="800000"/>
                              <a:headEnd/>
                              <a:tailEnd/>
                            </a:ln>
                          </wps:spPr>
                          <wps:txbx>
                            <w:txbxContent>
                              <w:p w:rsidR="002B723A" w:rsidRDefault="002B723A" w:rsidP="004777A6">
                                <w:pPr>
                                  <w:ind w:left="2160" w:hanging="2160"/>
                                </w:pPr>
                                <w:r>
                                  <w:rPr>
                                    <w:b/>
                                  </w:rPr>
                                  <w:t>Sydney</w:t>
                                </w:r>
                                <w:r w:rsidRPr="0051165D">
                                  <w:rPr>
                                    <w:b/>
                                  </w:rPr>
                                  <w:t xml:space="preserve"> STTM:</w:t>
                                </w:r>
                                <w:r>
                                  <w:tab/>
                                  <w:t>There</w:t>
                                </w:r>
                                <w:r w:rsidRPr="00973418">
                                  <w:t xml:space="preserve"> was a $</w:t>
                                </w:r>
                                <w:r>
                                  <w:t>7.77</w:t>
                                </w:r>
                                <w:r w:rsidRPr="00973418">
                                  <w:t>/GJ variation between the D-2 schedule price ($</w:t>
                                </w:r>
                                <w:r>
                                  <w:t>19.97</w:t>
                                </w:r>
                                <w:r w:rsidRPr="00973418">
                                  <w:t>/GJ) and the</w:t>
                                </w:r>
                                <w:r>
                                  <w:t xml:space="preserve"> D-1 schedule price ($12.20/GJ).</w:t>
                                </w:r>
                              </w:p>
                              <w:p w:rsidR="002B723A" w:rsidRPr="00096EFD" w:rsidRDefault="002B723A" w:rsidP="004777A6">
                                <w:pPr>
                                  <w:ind w:left="2160"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pt;margin-top:12.8pt;width:425.15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" fillcolor="#dbe5f1">
                    <v:textbox>
                      <w:txbxContent>
                        <w:p w:rsidR="002B723A" w:rsidRDefault="002B723A" w:rsidP="004777A6">
                          <w:pPr>
                            <w:ind w:left="2160" w:hanging="2160"/>
                          </w:pPr>
                          <w:r>
                            <w:rPr>
                              <w:b/>
                            </w:rPr>
                            <w:t>Sydney</w:t>
                          </w:r>
                          <w:r w:rsidRPr="0051165D">
                            <w:rPr>
                              <w:b/>
                            </w:rPr>
                            <w:t xml:space="preserve"> STTM:</w:t>
                          </w:r>
                          <w:r>
                            <w:tab/>
                            <w:t>There</w:t>
                          </w:r>
                          <w:r w:rsidRPr="00973418">
                            <w:t xml:space="preserve"> was a $</w:t>
                          </w:r>
                          <w:r>
                            <w:t>7.77</w:t>
                          </w:r>
                          <w:r w:rsidRPr="00973418">
                            <w:t>/GJ variation between the D-2 schedule price ($</w:t>
                          </w:r>
                          <w:r>
                            <w:t>19.97</w:t>
                          </w:r>
                          <w:r w:rsidRPr="00973418">
                            <w:t>/GJ) and the</w:t>
                          </w:r>
                          <w:r>
                            <w:t xml:space="preserve"> D-1 schedule price ($12.20/GJ).</w:t>
                          </w:r>
                        </w:p>
                        <w:p w:rsidR="002B723A" w:rsidRPr="00096EFD" w:rsidRDefault="002B723A" w:rsidP="004777A6">
                          <w:pPr>
                            <w:ind w:left="2160" w:hanging="2160"/>
                          </w:pPr>
                        </w:p>
                      </w:txbxContent>
                    </v:textbox>
                  </v:shape>
                </w:pict>
              </mc:Fallback>
            </mc:AlternateContent>
          </w:r>
        </w:p>
        <w:p w:rsidR="004777A6" w:rsidRDefault="004777A6" w:rsidP="004777A6"/>
        <w:p w:rsidR="004777A6" w:rsidRDefault="004777A6" w:rsidP="004777A6"/>
        <w:p w:rsidR="004B7C61" w:rsidRDefault="004B7C61" w:rsidP="00367430">
          <w:pPr>
            <w:pStyle w:val="Tabletitle"/>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_Ref461629253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6</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B1040A">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B1040A">
            <w:rPr>
              <w:rFonts w:asciiTheme="minorHAnsi" w:eastAsia="Times New Roman" w:hAnsiTheme="minorHAnsi" w:cs="Arial"/>
              <w:b w:val="0"/>
              <w:color w:val="auto"/>
              <w:sz w:val="22"/>
              <w:szCs w:val="22"/>
            </w:rPr>
            <w:t xml:space="preserve"> each of the gas schedules for the 4 July gas day in Sydney.</w:t>
          </w:r>
        </w:p>
        <w:p w:rsidR="00367430" w:rsidRPr="00367430" w:rsidRDefault="00367430" w:rsidP="00367430">
          <w:pPr>
            <w:pStyle w:val="Tabletitle"/>
            <w:rPr>
              <w:noProof/>
              <w:color w:val="FF0000"/>
              <w:lang w:eastAsia="en-AU"/>
            </w:rPr>
          </w:pPr>
          <w:bookmarkStart w:id="102" w:name="_Ref461629253"/>
          <w:r>
            <w:t>Table </w:t>
          </w:r>
          <w:r w:rsidR="002852EF">
            <w:fldChar w:fldCharType="begin"/>
          </w:r>
          <w:r w:rsidR="002852EF">
            <w:instrText xml:space="preserve"> SEQ Table \* ARABIC </w:instrText>
          </w:r>
          <w:r w:rsidR="002852EF">
            <w:fldChar w:fldCharType="separate"/>
          </w:r>
          <w:r w:rsidR="00D94C93">
            <w:rPr>
              <w:noProof/>
            </w:rPr>
            <w:t>6</w:t>
          </w:r>
          <w:r w:rsidR="002852EF">
            <w:rPr>
              <w:noProof/>
            </w:rPr>
            <w:fldChar w:fldCharType="end"/>
          </w:r>
          <w:bookmarkEnd w:id="102"/>
          <w:r>
            <w:rPr>
              <w:noProof/>
            </w:rPr>
            <w:t>: Sydney prices and quantities, all schedules, 4 July</w:t>
          </w:r>
        </w:p>
        <w:tbl>
          <w:tblPr>
            <w:tblStyle w:val="AERsummarytable"/>
            <w:tblW w:w="0" w:type="auto"/>
            <w:tblLook w:val="04A0" w:firstRow="1" w:lastRow="0" w:firstColumn="1" w:lastColumn="0" w:noHBand="0" w:noVBand="1"/>
          </w:tblPr>
          <w:tblGrid>
            <w:gridCol w:w="1767"/>
            <w:gridCol w:w="1731"/>
            <w:gridCol w:w="1731"/>
            <w:gridCol w:w="1732"/>
            <w:gridCol w:w="1732"/>
          </w:tblGrid>
          <w:tr w:rsidR="00367430" w:rsidTr="00526C83">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367430" w:rsidRPr="00C64C3D" w:rsidRDefault="00367430" w:rsidP="00A96D53">
                <w:pPr>
                  <w:rPr>
                    <w:sz w:val="20"/>
                  </w:rPr>
                </w:pPr>
                <w:r w:rsidRPr="00C64C3D">
                  <w:rPr>
                    <w:sz w:val="20"/>
                  </w:rPr>
                  <w:t>Schedule</w:t>
                </w:r>
              </w:p>
            </w:tc>
            <w:tc>
              <w:tcPr>
                <w:tcW w:w="1731" w:type="dxa"/>
                <w:vAlign w:val="center"/>
              </w:tcPr>
              <w:p w:rsidR="00367430" w:rsidRPr="00C64C3D" w:rsidRDefault="00367430" w:rsidP="00BA4FA2">
                <w:pPr>
                  <w:jc w:val="center"/>
                  <w:rPr>
                    <w:sz w:val="20"/>
                  </w:rPr>
                </w:pPr>
                <w:r w:rsidRPr="00C64C3D">
                  <w:rPr>
                    <w:sz w:val="20"/>
                  </w:rPr>
                  <w:t>D-3</w:t>
                </w:r>
              </w:p>
            </w:tc>
            <w:tc>
              <w:tcPr>
                <w:tcW w:w="1731" w:type="dxa"/>
                <w:vAlign w:val="center"/>
              </w:tcPr>
              <w:p w:rsidR="00367430" w:rsidRPr="00C64C3D" w:rsidRDefault="00367430" w:rsidP="00BA4FA2">
                <w:pPr>
                  <w:jc w:val="center"/>
                  <w:rPr>
                    <w:sz w:val="20"/>
                  </w:rPr>
                </w:pPr>
                <w:r w:rsidRPr="00C64C3D">
                  <w:rPr>
                    <w:sz w:val="20"/>
                  </w:rPr>
                  <w:t>D-2</w:t>
                </w:r>
              </w:p>
            </w:tc>
            <w:tc>
              <w:tcPr>
                <w:tcW w:w="1732" w:type="dxa"/>
                <w:vAlign w:val="center"/>
              </w:tcPr>
              <w:p w:rsidR="00367430" w:rsidRPr="00C64C3D" w:rsidRDefault="00367430" w:rsidP="00BA4FA2">
                <w:pPr>
                  <w:jc w:val="center"/>
                  <w:rPr>
                    <w:sz w:val="20"/>
                  </w:rPr>
                </w:pPr>
                <w:r w:rsidRPr="00C64C3D">
                  <w:rPr>
                    <w:sz w:val="20"/>
                  </w:rPr>
                  <w:t>D-1</w:t>
                </w:r>
              </w:p>
            </w:tc>
            <w:tc>
              <w:tcPr>
                <w:tcW w:w="1732" w:type="dxa"/>
                <w:vAlign w:val="center"/>
              </w:tcPr>
              <w:p w:rsidR="00367430" w:rsidRPr="00C64C3D" w:rsidRDefault="00367430" w:rsidP="00BA4FA2">
                <w:pPr>
                  <w:jc w:val="center"/>
                  <w:rPr>
                    <w:sz w:val="20"/>
                  </w:rPr>
                </w:pPr>
                <w:r w:rsidRPr="00C64C3D">
                  <w:rPr>
                    <w:sz w:val="20"/>
                  </w:rPr>
                  <w:t>D+1</w:t>
                </w:r>
              </w:p>
            </w:tc>
          </w:tr>
          <w:tr w:rsidR="00367430" w:rsidTr="00526C83">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Price ($/GJ)</w:t>
                </w:r>
              </w:p>
            </w:tc>
            <w:tc>
              <w:tcPr>
                <w:tcW w:w="1731" w:type="dxa"/>
                <w:vAlign w:val="center"/>
              </w:tcPr>
              <w:p w:rsidR="00367430" w:rsidRDefault="00367430" w:rsidP="00BA4FA2">
                <w:pPr>
                  <w:jc w:val="center"/>
                </w:pPr>
                <w:r>
                  <w:t>$13.20</w:t>
                </w:r>
              </w:p>
            </w:tc>
            <w:tc>
              <w:tcPr>
                <w:tcW w:w="1731" w:type="dxa"/>
                <w:vAlign w:val="center"/>
              </w:tcPr>
              <w:p w:rsidR="00367430" w:rsidRDefault="00367430" w:rsidP="00BA4FA2">
                <w:pPr>
                  <w:jc w:val="center"/>
                </w:pPr>
                <w:r>
                  <w:t>$19.97</w:t>
                </w:r>
              </w:p>
            </w:tc>
            <w:tc>
              <w:tcPr>
                <w:tcW w:w="1732" w:type="dxa"/>
                <w:vAlign w:val="center"/>
              </w:tcPr>
              <w:p w:rsidR="00367430" w:rsidRDefault="00367430" w:rsidP="00BA4FA2">
                <w:pPr>
                  <w:jc w:val="center"/>
                </w:pPr>
                <w:r>
                  <w:t>$12.20</w:t>
                </w:r>
              </w:p>
            </w:tc>
            <w:tc>
              <w:tcPr>
                <w:tcW w:w="1732" w:type="dxa"/>
                <w:vAlign w:val="center"/>
              </w:tcPr>
              <w:p w:rsidR="00367430" w:rsidRDefault="00367430" w:rsidP="00BA4FA2">
                <w:pPr>
                  <w:jc w:val="center"/>
                </w:pPr>
                <w:r>
                  <w:t>$12.20</w:t>
                </w:r>
              </w:p>
            </w:tc>
          </w:tr>
          <w:tr w:rsidR="00367430" w:rsidTr="00526C83">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Quantity (TJ)</w:t>
                </w:r>
              </w:p>
            </w:tc>
            <w:tc>
              <w:tcPr>
                <w:tcW w:w="1731" w:type="dxa"/>
                <w:vAlign w:val="center"/>
              </w:tcPr>
              <w:p w:rsidR="00367430" w:rsidRDefault="00367430" w:rsidP="00BA4FA2">
                <w:pPr>
                  <w:jc w:val="center"/>
                </w:pPr>
                <w:r>
                  <w:t>316</w:t>
                </w:r>
              </w:p>
            </w:tc>
            <w:tc>
              <w:tcPr>
                <w:tcW w:w="1731" w:type="dxa"/>
                <w:vAlign w:val="center"/>
              </w:tcPr>
              <w:p w:rsidR="00367430" w:rsidRDefault="00367430" w:rsidP="00BA4FA2">
                <w:pPr>
                  <w:jc w:val="center"/>
                </w:pPr>
                <w:r>
                  <w:t>321.85</w:t>
                </w:r>
              </w:p>
            </w:tc>
            <w:tc>
              <w:tcPr>
                <w:tcW w:w="1732" w:type="dxa"/>
                <w:vAlign w:val="center"/>
              </w:tcPr>
              <w:p w:rsidR="00367430" w:rsidRDefault="00367430" w:rsidP="00BA4FA2">
                <w:pPr>
                  <w:jc w:val="center"/>
                </w:pPr>
                <w:r>
                  <w:t>319.09</w:t>
                </w:r>
              </w:p>
            </w:tc>
            <w:tc>
              <w:tcPr>
                <w:tcW w:w="1732" w:type="dxa"/>
                <w:vAlign w:val="center"/>
              </w:tcPr>
              <w:p w:rsidR="00367430" w:rsidRDefault="00367430" w:rsidP="00BA4FA2">
                <w:pPr>
                  <w:jc w:val="center"/>
                </w:pPr>
                <w:r>
                  <w:t>-4.665</w:t>
                </w:r>
              </w:p>
            </w:tc>
          </w:tr>
        </w:tbl>
        <w:p w:rsidR="00526C83" w:rsidRDefault="00526C83" w:rsidP="00526C83">
          <w:pPr>
            <w:rPr>
              <w:rFonts w:asciiTheme="minorHAnsi" w:eastAsia="Times New Roman" w:hAnsiTheme="minorHAnsi" w:cs="Arial"/>
            </w:rPr>
          </w:pPr>
          <w:r>
            <w:rPr>
              <w:rFonts w:asciiTheme="minorHAnsi" w:eastAsia="Times New Roman" w:hAnsiTheme="minorHAnsi" w:cs="Arial"/>
            </w:rPr>
            <w:t>The main</w:t>
          </w:r>
          <w:r w:rsidR="00D73E22">
            <w:rPr>
              <w:rFonts w:asciiTheme="minorHAnsi" w:eastAsia="Times New Roman" w:hAnsiTheme="minorHAnsi" w:cs="Arial"/>
            </w:rPr>
            <w:t xml:space="preserve"> drivers behind the </w:t>
          </w:r>
          <w:r w:rsidR="00E4643E" w:rsidRPr="00973418">
            <w:t>$</w:t>
          </w:r>
          <w:r w:rsidR="00E4643E">
            <w:t>7.77</w:t>
          </w:r>
          <w:r w:rsidR="00E4643E" w:rsidRPr="00973418">
            <w:t>/GJ variation between the D-2 schedule price ($</w:t>
          </w:r>
          <w:r w:rsidR="00E4643E">
            <w:t>19.97</w:t>
          </w:r>
          <w:r w:rsidR="00E4643E" w:rsidRPr="00973418">
            <w:t>/GJ) and the</w:t>
          </w:r>
          <w:r w:rsidR="00E4643E">
            <w:t xml:space="preserve"> D-1 schedule price ($12.20/GJ)</w:t>
          </w:r>
          <w:r w:rsidR="00D73E22">
            <w:rPr>
              <w:rFonts w:asciiTheme="minorHAnsi" w:eastAsia="Times New Roman" w:hAnsiTheme="minorHAnsi" w:cs="Arial"/>
            </w:rPr>
            <w:t xml:space="preserve"> were</w:t>
          </w:r>
          <w:r>
            <w:rPr>
              <w:rFonts w:asciiTheme="minorHAnsi" w:eastAsia="Times New Roman" w:hAnsiTheme="minorHAnsi" w:cs="Arial"/>
            </w:rPr>
            <w:t xml:space="preserve"> a </w:t>
          </w:r>
          <w:r w:rsidR="00E4643E">
            <w:rPr>
              <w:rFonts w:asciiTheme="minorHAnsi" w:eastAsia="Times New Roman" w:hAnsiTheme="minorHAnsi" w:cs="Arial"/>
            </w:rPr>
            <w:t>reduction</w:t>
          </w:r>
          <w:r>
            <w:rPr>
              <w:rFonts w:asciiTheme="minorHAnsi" w:eastAsia="Times New Roman" w:hAnsiTheme="minorHAnsi" w:cs="Arial"/>
            </w:rPr>
            <w:t xml:space="preserve"> in </w:t>
          </w:r>
          <w:r w:rsidR="00D73E22">
            <w:rPr>
              <w:rFonts w:asciiTheme="minorHAnsi" w:eastAsia="Times New Roman" w:hAnsiTheme="minorHAnsi" w:cs="Arial"/>
            </w:rPr>
            <w:t xml:space="preserve">both </w:t>
          </w:r>
          <w:r>
            <w:rPr>
              <w:rFonts w:asciiTheme="minorHAnsi" w:eastAsia="Times New Roman" w:hAnsiTheme="minorHAnsi" w:cs="Arial"/>
            </w:rPr>
            <w:t>uninterruptable</w:t>
          </w:r>
          <w:r w:rsidR="00D73E22">
            <w:rPr>
              <w:rFonts w:asciiTheme="minorHAnsi" w:eastAsia="Times New Roman" w:hAnsiTheme="minorHAnsi" w:cs="Arial"/>
            </w:rPr>
            <w:t xml:space="preserve"> and controllable</w:t>
          </w:r>
          <w:r>
            <w:rPr>
              <w:rFonts w:asciiTheme="minorHAnsi" w:eastAsia="Times New Roman" w:hAnsiTheme="minorHAnsi" w:cs="Arial"/>
            </w:rPr>
            <w:t xml:space="preserve"> demand </w:t>
          </w:r>
          <w:r w:rsidR="006B3873">
            <w:rPr>
              <w:rFonts w:asciiTheme="minorHAnsi" w:eastAsia="Times New Roman" w:hAnsiTheme="minorHAnsi" w:cs="Arial"/>
            </w:rPr>
            <w:t xml:space="preserve">and an increase in </w:t>
          </w:r>
          <w:r w:rsidR="00D73E22">
            <w:rPr>
              <w:rFonts w:asciiTheme="minorHAnsi" w:eastAsia="Times New Roman" w:hAnsiTheme="minorHAnsi" w:cs="Arial"/>
            </w:rPr>
            <w:t>low priced supply offers.</w:t>
          </w:r>
        </w:p>
        <w:p w:rsidR="00C30527" w:rsidRDefault="00E4643E" w:rsidP="00526C83">
          <w:pPr>
            <w:rPr>
              <w:rFonts w:asciiTheme="minorHAnsi" w:eastAsia="Times New Roman" w:hAnsiTheme="minorHAnsi" w:cs="Arial"/>
            </w:rPr>
          </w:pPr>
          <w:r>
            <w:t>The main contributor to the reduction in uninterruptable demand was EnergyAustralia, wh</w:t>
          </w:r>
          <w:r w:rsidR="00E3010D">
            <w:t>ich reduced its price taker bid</w:t>
          </w:r>
          <w:r>
            <w:t xml:space="preserve"> for the D-1 schedule by </w:t>
          </w:r>
          <w:r w:rsidR="00FB06DD">
            <w:t xml:space="preserve">nearly </w:t>
          </w:r>
          <w:r>
            <w:t>4 TJ. Qenos also reduc</w:t>
          </w:r>
          <w:r w:rsidR="00E3010D">
            <w:t>ed its price taker bid</w:t>
          </w:r>
          <w:r>
            <w:t xml:space="preserve"> by over 1 TJ. Overall, uninterruptable demand </w:t>
          </w:r>
          <w:r w:rsidR="00C30527">
            <w:rPr>
              <w:rFonts w:asciiTheme="minorHAnsi" w:eastAsia="Times New Roman" w:hAnsiTheme="minorHAnsi" w:cs="Arial"/>
            </w:rPr>
            <w:t>decreased by 3.7 TJ.</w:t>
          </w:r>
          <w:r w:rsidR="00C30527">
            <w:rPr>
              <w:rStyle w:val="FootnoteReference"/>
              <w:rFonts w:asciiTheme="minorHAnsi" w:eastAsia="Times New Roman" w:hAnsiTheme="minorHAnsi" w:cs="Arial"/>
            </w:rPr>
            <w:footnoteReference w:id="29"/>
          </w:r>
        </w:p>
        <w:p w:rsidR="000C6AD3" w:rsidRPr="000C6AD3" w:rsidRDefault="008A7791" w:rsidP="008A7791">
          <w:pPr>
            <w:rPr>
              <w:rFonts w:asciiTheme="minorHAnsi" w:eastAsia="Times New Roman" w:hAnsiTheme="minorHAnsi" w:cs="Arial"/>
            </w:rPr>
          </w:pPr>
          <w:r>
            <w:rPr>
              <w:rFonts w:asciiTheme="minorHAnsi" w:eastAsia="Times New Roman" w:hAnsiTheme="minorHAnsi" w:cs="Arial"/>
            </w:rPr>
            <w:t xml:space="preserve">The main contributor to the </w:t>
          </w:r>
          <w:r w:rsidR="000C6AD3">
            <w:rPr>
              <w:rFonts w:asciiTheme="minorHAnsi" w:eastAsia="Times New Roman" w:hAnsiTheme="minorHAnsi" w:cs="Arial"/>
            </w:rPr>
            <w:t>reduction</w:t>
          </w:r>
          <w:r>
            <w:rPr>
              <w:rFonts w:asciiTheme="minorHAnsi" w:eastAsia="Times New Roman" w:hAnsiTheme="minorHAnsi" w:cs="Arial"/>
            </w:rPr>
            <w:t xml:space="preserve"> in</w:t>
          </w:r>
          <w:r w:rsidR="000C6AD3">
            <w:rPr>
              <w:rFonts w:asciiTheme="minorHAnsi" w:eastAsia="Times New Roman" w:hAnsiTheme="minorHAnsi" w:cs="Arial"/>
            </w:rPr>
            <w:t xml:space="preserve"> controllable demand was Origin. For the D-1 schedule, Origin reduced its backhaul bid on the Moomba to Sydney pipeline </w:t>
          </w:r>
          <w:r w:rsidR="000C6AD3">
            <w:rPr>
              <w:rFonts w:asciiTheme="minorHAnsi" w:eastAsia="Times New Roman" w:hAnsiTheme="minorHAnsi" w:cs="Arial"/>
              <w:b/>
            </w:rPr>
            <w:t>(MSP)</w:t>
          </w:r>
          <w:r w:rsidR="000C6AD3">
            <w:rPr>
              <w:rFonts w:asciiTheme="minorHAnsi" w:eastAsia="Times New Roman" w:hAnsiTheme="minorHAnsi" w:cs="Arial"/>
            </w:rPr>
            <w:t xml:space="preserve"> priced at or above $12.20/GJ by 5 TJ.</w:t>
          </w:r>
        </w:p>
        <w:p w:rsidR="0039047D" w:rsidRDefault="0039047D" w:rsidP="0039047D">
          <w:r>
            <w:t>Some participants offered more gas priced at or under the D-1 price for the D-1 schedule than they offered in the D-2 schedule, including:</w:t>
          </w:r>
        </w:p>
        <w:p w:rsidR="0039047D" w:rsidRDefault="0039047D" w:rsidP="00A8220F">
          <w:pPr>
            <w:pStyle w:val="ListParagraph"/>
            <w:numPr>
              <w:ilvl w:val="0"/>
              <w:numId w:val="25"/>
            </w:numPr>
          </w:pPr>
          <w:r>
            <w:t>Santos increased its quantity of offers on the MSP by 12.5 TJ</w:t>
          </w:r>
          <w:r>
            <w:rPr>
              <w:rStyle w:val="FootnoteReference"/>
            </w:rPr>
            <w:footnoteReference w:id="30"/>
          </w:r>
        </w:p>
        <w:p w:rsidR="0039047D" w:rsidRDefault="0039047D" w:rsidP="00A8220F">
          <w:pPr>
            <w:pStyle w:val="ListParagraph"/>
            <w:numPr>
              <w:ilvl w:val="0"/>
              <w:numId w:val="25"/>
            </w:numPr>
          </w:pPr>
          <w:r>
            <w:t xml:space="preserve">AGL increased its quantity of offers on the Eastern Gas Pipeline </w:t>
          </w:r>
          <w:r>
            <w:rPr>
              <w:b/>
            </w:rPr>
            <w:t>(EGP)</w:t>
          </w:r>
          <w:r>
            <w:t xml:space="preserve"> and the MSP by 3.2 TJ</w:t>
          </w:r>
        </w:p>
        <w:p w:rsidR="0039047D" w:rsidRPr="0039047D" w:rsidRDefault="0039047D" w:rsidP="00A8220F">
          <w:pPr>
            <w:pStyle w:val="ListParagraph"/>
            <w:numPr>
              <w:ilvl w:val="0"/>
              <w:numId w:val="25"/>
            </w:numPr>
          </w:pPr>
          <w:r>
            <w:t>EnergyAustralia increased its quantity of offers on the MSP by 2 TJ</w:t>
          </w:r>
        </w:p>
        <w:p w:rsidR="00D4290C" w:rsidRPr="008E33F7" w:rsidRDefault="004A7122" w:rsidP="006D4C89">
          <w:r>
            <w:rPr>
              <w:rFonts w:asciiTheme="minorHAnsi" w:eastAsia="Times New Roman" w:hAnsiTheme="minorHAnsi" w:cs="Arial"/>
            </w:rPr>
            <w:fldChar w:fldCharType="begin"/>
          </w:r>
          <w:r>
            <w:rPr>
              <w:rFonts w:asciiTheme="minorHAnsi" w:eastAsia="Times New Roman" w:hAnsiTheme="minorHAnsi" w:cs="Arial"/>
            </w:rPr>
            <w:instrText xml:space="preserve"> REF _Ref461631846 \h </w:instrText>
          </w:r>
          <w:r>
            <w:rPr>
              <w:rFonts w:asciiTheme="minorHAnsi" w:eastAsia="Times New Roman" w:hAnsiTheme="minorHAnsi" w:cs="Arial"/>
            </w:rPr>
          </w:r>
          <w:r>
            <w:rPr>
              <w:rFonts w:asciiTheme="minorHAnsi" w:eastAsia="Times New Roman" w:hAnsiTheme="minorHAnsi" w:cs="Arial"/>
            </w:rPr>
            <w:fldChar w:fldCharType="separate"/>
          </w:r>
          <w:r w:rsidR="00D94C93">
            <w:t>Figure </w:t>
          </w:r>
          <w:r w:rsidR="00D94C93">
            <w:rPr>
              <w:noProof/>
            </w:rPr>
            <w:t>14</w:t>
          </w:r>
          <w:r>
            <w:rPr>
              <w:rFonts w:asciiTheme="minorHAnsi" w:eastAsia="Times New Roman" w:hAnsiTheme="minorHAnsi" w:cs="Arial"/>
            </w:rPr>
            <w:fldChar w:fldCharType="end"/>
          </w:r>
          <w:r>
            <w:rPr>
              <w:rFonts w:asciiTheme="minorHAnsi" w:eastAsia="Times New Roman" w:hAnsiTheme="minorHAnsi" w:cs="Arial"/>
            </w:rPr>
            <w:t xml:space="preserve"> </w:t>
          </w:r>
          <w:r w:rsidR="0039047D">
            <w:t xml:space="preserve">illustrates </w:t>
          </w:r>
          <w:r w:rsidR="00D4290C">
            <w:t>the reduction in higher priced bids and the increase in low</w:t>
          </w:r>
          <w:r w:rsidR="00D7611E">
            <w:t>er</w:t>
          </w:r>
          <w:r w:rsidR="00D4290C">
            <w:t xml:space="preserve"> priced supply offers from the D-2 to the D-1 schedules and in turn how these changes resulted in the </w:t>
          </w:r>
          <w:r w:rsidR="008E33F7" w:rsidRPr="00973418">
            <w:t>$</w:t>
          </w:r>
          <w:r w:rsidR="008E33F7">
            <w:t>7.77</w:t>
          </w:r>
          <w:r w:rsidR="008E33F7" w:rsidRPr="00973418">
            <w:t>/GJ variation</w:t>
          </w:r>
          <w:r w:rsidR="008E33F7" w:rsidRPr="008E33F7">
            <w:t xml:space="preserve"> </w:t>
          </w:r>
          <w:r w:rsidR="008E33F7">
            <w:t>between the two schedules’ prices.</w:t>
          </w:r>
        </w:p>
        <w:p w:rsidR="004A3CD0" w:rsidRDefault="004A3CD0" w:rsidP="004A3CD0">
          <w:pPr>
            <w:pStyle w:val="Caption"/>
          </w:pPr>
          <w:bookmarkStart w:id="103" w:name="_Ref461631846"/>
          <w:r>
            <w:t>Figure </w:t>
          </w:r>
          <w:r w:rsidR="002852EF">
            <w:fldChar w:fldCharType="begin"/>
          </w:r>
          <w:r w:rsidR="002852EF">
            <w:instrText xml:space="preserve"> SEQ Figure \* ARABIC </w:instrText>
          </w:r>
          <w:r w:rsidR="002852EF">
            <w:fldChar w:fldCharType="separate"/>
          </w:r>
          <w:r w:rsidR="00D94C93">
            <w:rPr>
              <w:noProof/>
            </w:rPr>
            <w:t>14</w:t>
          </w:r>
          <w:r w:rsidR="002852EF">
            <w:rPr>
              <w:noProof/>
            </w:rPr>
            <w:fldChar w:fldCharType="end"/>
          </w:r>
          <w:bookmarkEnd w:id="103"/>
          <w:r>
            <w:t>: Sydney STTM, 4 July 2016, D</w:t>
          </w:r>
          <w:r>
            <w:noBreakHyphen/>
            <w:t>2 and D</w:t>
          </w:r>
          <w:r>
            <w:noBreakHyphen/>
            <w:t>1 schedules (TJ)</w:t>
          </w:r>
        </w:p>
        <w:p w:rsidR="0046432C" w:rsidRDefault="0046432C" w:rsidP="006D4C89">
          <w:r w:rsidRPr="0046432C">
            <w:rPr>
              <w:noProof/>
              <w:lang w:eastAsia="en-AU"/>
            </w:rPr>
            <w:drawing>
              <wp:inline distT="0" distB="0" distL="0" distR="0" wp14:anchorId="1076EE42" wp14:editId="3D9F0F8D">
                <wp:extent cx="5382895" cy="3071562"/>
                <wp:effectExtent l="0" t="0" r="8255" b="0"/>
                <wp:docPr id="16" name="Picture 16" descr="Figure 14 illustrates the provisional (D-2) and ex ante (D-1) schedules for the 4 July 2016 gas day in Sydney.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071562"/>
                        </a:xfrm>
                        <a:prstGeom prst="rect">
                          <a:avLst/>
                        </a:prstGeom>
                        <a:noFill/>
                        <a:ln>
                          <a:noFill/>
                        </a:ln>
                      </pic:spPr>
                    </pic:pic>
                  </a:graphicData>
                </a:graphic>
              </wp:inline>
            </w:drawing>
          </w:r>
        </w:p>
        <w:p w:rsidR="006A3973" w:rsidRDefault="006A3973">
          <w:pPr>
            <w:spacing w:line="240" w:lineRule="auto"/>
            <w:jc w:val="left"/>
          </w:pPr>
          <w:r>
            <w:br w:type="page"/>
          </w:r>
        </w:p>
        <w:p w:rsidR="004777A6" w:rsidRDefault="004777A6" w:rsidP="004777A6">
          <w:pPr>
            <w:pStyle w:val="Heading2"/>
          </w:pPr>
          <w:bookmarkStart w:id="104" w:name="_Ref461626320"/>
          <w:bookmarkStart w:id="105" w:name="_Toc466896991"/>
          <w:r>
            <w:t>Wednesday 6 July 2016</w:t>
          </w:r>
          <w:bookmarkEnd w:id="104"/>
          <w:bookmarkEnd w:id="105"/>
        </w:p>
        <w:p w:rsidR="00381186" w:rsidRDefault="00381186" w:rsidP="00381186">
          <w:r>
            <w:rPr>
              <w:noProof/>
              <w:lang w:eastAsia="en-AU"/>
            </w:rPr>
            <mc:AlternateContent>
              <mc:Choice Requires="wps">
                <w:drawing>
                  <wp:anchor distT="0" distB="0" distL="114300" distR="114300" simplePos="0" relativeHeight="251667456" behindDoc="0" locked="0" layoutInCell="1" allowOverlap="1" wp14:anchorId="1A246932" wp14:editId="01E455E5">
                    <wp:simplePos x="0" y="0"/>
                    <wp:positionH relativeFrom="column">
                      <wp:posOffset>-17780</wp:posOffset>
                    </wp:positionH>
                    <wp:positionV relativeFrom="paragraph">
                      <wp:posOffset>80645</wp:posOffset>
                    </wp:positionV>
                    <wp:extent cx="5399405" cy="1200150"/>
                    <wp:effectExtent l="0" t="0" r="1079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200150"/>
                            </a:xfrm>
                            <a:prstGeom prst="rect">
                              <a:avLst/>
                            </a:prstGeom>
                            <a:solidFill>
                              <a:srgbClr val="DBE5F1"/>
                            </a:solidFill>
                            <a:ln w="9525">
                              <a:solidFill>
                                <a:srgbClr val="000000"/>
                              </a:solidFill>
                              <a:miter lim="800000"/>
                              <a:headEnd/>
                              <a:tailEnd/>
                            </a:ln>
                          </wps:spPr>
                          <wps:txbx>
                            <w:txbxContent>
                              <w:p w:rsidR="002B723A" w:rsidRDefault="002B723A" w:rsidP="004339C9">
                                <w:pPr>
                                  <w:ind w:left="2160" w:hanging="2160"/>
                                </w:pPr>
                                <w:r>
                                  <w:rPr>
                                    <w:b/>
                                  </w:rPr>
                                  <w:t>Adelaide</w:t>
                                </w:r>
                                <w:r w:rsidRPr="0051165D">
                                  <w:rPr>
                                    <w:b/>
                                  </w:rPr>
                                  <w:t xml:space="preserve"> STTM:</w:t>
                                </w:r>
                                <w:r>
                                  <w:tab/>
                                  <w:t>There</w:t>
                                </w:r>
                                <w:r w:rsidRPr="00973418">
                                  <w:t xml:space="preserve"> was a $</w:t>
                                </w:r>
                                <w:r>
                                  <w:t>10.62</w:t>
                                </w:r>
                                <w:r w:rsidRPr="00973418">
                                  <w:t>/GJ variation between the D-2 schedule price ($</w:t>
                                </w:r>
                                <w:r>
                                  <w:t>14.83</w:t>
                                </w:r>
                                <w:r w:rsidRPr="00973418">
                                  <w:t>/GJ) and the</w:t>
                                </w:r>
                                <w:r>
                                  <w:t xml:space="preserve"> D-1 schedule price ($25.45/GJ). </w:t>
                                </w:r>
                              </w:p>
                              <w:p w:rsidR="002B723A" w:rsidRDefault="002B723A" w:rsidP="004339C9">
                                <w:pPr>
                                  <w:ind w:left="2160"/>
                                </w:pPr>
                                <w:r>
                                  <w:t>There was also a</w:t>
                                </w:r>
                                <w:r w:rsidRPr="00973418">
                                  <w:t xml:space="preserve"> $</w:t>
                                </w:r>
                                <w:r>
                                  <w:t>7.64</w:t>
                                </w:r>
                                <w:r w:rsidRPr="00973418">
                                  <w:t>/GJ variation between the D-1 schedule price and the D+1 schedule price ($</w:t>
                                </w:r>
                                <w:r>
                                  <w:t>17.81</w:t>
                                </w:r>
                                <w:r w:rsidRPr="00973418">
                                  <w:t>/GJ).</w:t>
                                </w:r>
                              </w:p>
                              <w:p w:rsidR="002B723A" w:rsidRDefault="002B723A" w:rsidP="00B368DC">
                                <w:pPr>
                                  <w:ind w:left="2160" w:hanging="2160"/>
                                </w:pPr>
                              </w:p>
                              <w:p w:rsidR="002B723A" w:rsidRPr="00096EFD" w:rsidRDefault="002B723A" w:rsidP="00B368DC">
                                <w:pPr>
                                  <w:ind w:left="2160"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pt;margin-top:6.35pt;width:425.1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" fillcolor="#dbe5f1">
                    <v:textbox>
                      <w:txbxContent>
                        <w:p w:rsidR="002B723A" w:rsidRDefault="002B723A" w:rsidP="004339C9">
                          <w:pPr>
                            <w:ind w:left="2160" w:hanging="2160"/>
                          </w:pPr>
                          <w:r>
                            <w:rPr>
                              <w:b/>
                            </w:rPr>
                            <w:t>Adelaide</w:t>
                          </w:r>
                          <w:r w:rsidRPr="0051165D">
                            <w:rPr>
                              <w:b/>
                            </w:rPr>
                            <w:t xml:space="preserve"> STTM:</w:t>
                          </w:r>
                          <w:r>
                            <w:tab/>
                            <w:t>There</w:t>
                          </w:r>
                          <w:r w:rsidRPr="00973418">
                            <w:t xml:space="preserve"> was a $</w:t>
                          </w:r>
                          <w:r>
                            <w:t>10.62</w:t>
                          </w:r>
                          <w:r w:rsidRPr="00973418">
                            <w:t>/GJ variation between the D-2 schedule price ($</w:t>
                          </w:r>
                          <w:r>
                            <w:t>14.83</w:t>
                          </w:r>
                          <w:r w:rsidRPr="00973418">
                            <w:t>/GJ) and the</w:t>
                          </w:r>
                          <w:r>
                            <w:t xml:space="preserve"> D-1 schedule price ($25.45/GJ). </w:t>
                          </w:r>
                        </w:p>
                        <w:p w:rsidR="002B723A" w:rsidRDefault="002B723A" w:rsidP="004339C9">
                          <w:pPr>
                            <w:ind w:left="2160"/>
                          </w:pPr>
                          <w:r>
                            <w:t>There was also a</w:t>
                          </w:r>
                          <w:r w:rsidRPr="00973418">
                            <w:t xml:space="preserve"> $</w:t>
                          </w:r>
                          <w:r>
                            <w:t>7.64</w:t>
                          </w:r>
                          <w:r w:rsidRPr="00973418">
                            <w:t>/GJ variation between the D-1 schedule price and the D+1 schedule price ($</w:t>
                          </w:r>
                          <w:r>
                            <w:t>17.81</w:t>
                          </w:r>
                          <w:r w:rsidRPr="00973418">
                            <w:t>/GJ).</w:t>
                          </w:r>
                        </w:p>
                        <w:p w:rsidR="002B723A" w:rsidRDefault="002B723A" w:rsidP="00B368DC">
                          <w:pPr>
                            <w:ind w:left="2160" w:hanging="2160"/>
                          </w:pPr>
                        </w:p>
                        <w:p w:rsidR="002B723A" w:rsidRPr="00096EFD" w:rsidRDefault="002B723A" w:rsidP="00B368DC">
                          <w:pPr>
                            <w:ind w:left="2160" w:hanging="2160"/>
                          </w:pPr>
                        </w:p>
                      </w:txbxContent>
                    </v:textbox>
                  </v:shape>
                </w:pict>
              </mc:Fallback>
            </mc:AlternateContent>
          </w:r>
        </w:p>
        <w:p w:rsidR="00381186" w:rsidRDefault="00381186" w:rsidP="00381186"/>
        <w:p w:rsidR="00381186" w:rsidRDefault="00381186" w:rsidP="00381186"/>
        <w:p w:rsidR="00381186" w:rsidRDefault="00381186" w:rsidP="00381186"/>
        <w:bookmarkStart w:id="106" w:name="_Ref461632731"/>
        <w:p w:rsidR="00381186" w:rsidRDefault="00381186" w:rsidP="00381186">
          <w:r>
            <w:fldChar w:fldCharType="begin"/>
          </w:r>
          <w:r>
            <w:instrText xml:space="preserve"> REF _Ref465357647 \h </w:instrText>
          </w:r>
          <w:r>
            <w:fldChar w:fldCharType="separate"/>
          </w:r>
          <w:r w:rsidR="00D94C93">
            <w:t>Table </w:t>
          </w:r>
          <w:r w:rsidR="00D94C93">
            <w:rPr>
              <w:noProof/>
            </w:rPr>
            <w:t>7</w:t>
          </w:r>
          <w:r>
            <w:fldChar w:fldCharType="end"/>
          </w:r>
          <w:r>
            <w:t xml:space="preserve"> </w:t>
          </w:r>
          <w:r w:rsidRPr="00381186">
            <w:t>sets out the price and quantity for each of the gas schedules for the 6 July gas day in Adelaide.</w:t>
          </w:r>
        </w:p>
        <w:p w:rsidR="00C4306E" w:rsidRPr="00367430" w:rsidRDefault="00C4306E" w:rsidP="00C4306E">
          <w:pPr>
            <w:pStyle w:val="Tabletitle"/>
            <w:rPr>
              <w:noProof/>
              <w:color w:val="FF0000"/>
              <w:lang w:eastAsia="en-AU"/>
            </w:rPr>
          </w:pPr>
          <w:bookmarkStart w:id="107" w:name="_Ref465357647"/>
          <w:r>
            <w:t>Table </w:t>
          </w:r>
          <w:r w:rsidR="002852EF">
            <w:fldChar w:fldCharType="begin"/>
          </w:r>
          <w:r w:rsidR="002852EF">
            <w:instrText xml:space="preserve"> SEQ Table \* ARABIC </w:instrText>
          </w:r>
          <w:r w:rsidR="002852EF">
            <w:fldChar w:fldCharType="separate"/>
          </w:r>
          <w:r w:rsidR="00D94C93">
            <w:rPr>
              <w:noProof/>
            </w:rPr>
            <w:t>7</w:t>
          </w:r>
          <w:r w:rsidR="002852EF">
            <w:rPr>
              <w:noProof/>
            </w:rPr>
            <w:fldChar w:fldCharType="end"/>
          </w:r>
          <w:bookmarkEnd w:id="106"/>
          <w:bookmarkEnd w:id="107"/>
          <w:r>
            <w:rPr>
              <w:noProof/>
            </w:rPr>
            <w:t xml:space="preserve">: </w:t>
          </w:r>
          <w:r w:rsidR="009E324D">
            <w:rPr>
              <w:noProof/>
            </w:rPr>
            <w:t>Adelaide</w:t>
          </w:r>
          <w:r>
            <w:rPr>
              <w:noProof/>
            </w:rPr>
            <w:t xml:space="preserve"> prices </w:t>
          </w:r>
          <w:r w:rsidR="009E324D">
            <w:rPr>
              <w:noProof/>
            </w:rPr>
            <w:t>and quantities, all schedules, 6</w:t>
          </w:r>
          <w:r>
            <w:rPr>
              <w:noProof/>
            </w:rPr>
            <w:t xml:space="preserve"> July</w:t>
          </w:r>
        </w:p>
        <w:tbl>
          <w:tblPr>
            <w:tblStyle w:val="AERsummarytable"/>
            <w:tblW w:w="0" w:type="auto"/>
            <w:tblLook w:val="04A0" w:firstRow="1" w:lastRow="0" w:firstColumn="1" w:lastColumn="0" w:noHBand="0" w:noVBand="1"/>
          </w:tblPr>
          <w:tblGrid>
            <w:gridCol w:w="1767"/>
            <w:gridCol w:w="1731"/>
            <w:gridCol w:w="1731"/>
            <w:gridCol w:w="1732"/>
            <w:gridCol w:w="1732"/>
          </w:tblGrid>
          <w:tr w:rsidR="00C4306E" w:rsidTr="002A7F8B">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C4306E" w:rsidRPr="00C64C3D" w:rsidRDefault="00C4306E" w:rsidP="001E41B4">
                <w:pPr>
                  <w:rPr>
                    <w:sz w:val="20"/>
                  </w:rPr>
                </w:pPr>
                <w:r w:rsidRPr="00C64C3D">
                  <w:rPr>
                    <w:sz w:val="20"/>
                  </w:rPr>
                  <w:t>Schedule</w:t>
                </w:r>
              </w:p>
            </w:tc>
            <w:tc>
              <w:tcPr>
                <w:tcW w:w="1731" w:type="dxa"/>
                <w:vAlign w:val="center"/>
              </w:tcPr>
              <w:p w:rsidR="00C4306E" w:rsidRPr="00C64C3D" w:rsidRDefault="00C4306E" w:rsidP="001E41B4">
                <w:pPr>
                  <w:jc w:val="center"/>
                  <w:rPr>
                    <w:sz w:val="20"/>
                  </w:rPr>
                </w:pPr>
                <w:r w:rsidRPr="00C64C3D">
                  <w:rPr>
                    <w:sz w:val="20"/>
                  </w:rPr>
                  <w:t>D-3</w:t>
                </w:r>
              </w:p>
            </w:tc>
            <w:tc>
              <w:tcPr>
                <w:tcW w:w="1731" w:type="dxa"/>
                <w:vAlign w:val="center"/>
              </w:tcPr>
              <w:p w:rsidR="00C4306E" w:rsidRPr="00C64C3D" w:rsidRDefault="00C4306E" w:rsidP="001E41B4">
                <w:pPr>
                  <w:jc w:val="center"/>
                  <w:rPr>
                    <w:sz w:val="20"/>
                  </w:rPr>
                </w:pPr>
                <w:r w:rsidRPr="00C64C3D">
                  <w:rPr>
                    <w:sz w:val="20"/>
                  </w:rPr>
                  <w:t>D-2</w:t>
                </w:r>
              </w:p>
            </w:tc>
            <w:tc>
              <w:tcPr>
                <w:tcW w:w="1732" w:type="dxa"/>
                <w:vAlign w:val="center"/>
              </w:tcPr>
              <w:p w:rsidR="00C4306E" w:rsidRPr="00C64C3D" w:rsidRDefault="00C4306E" w:rsidP="001E41B4">
                <w:pPr>
                  <w:jc w:val="center"/>
                  <w:rPr>
                    <w:sz w:val="20"/>
                  </w:rPr>
                </w:pPr>
                <w:r w:rsidRPr="00C64C3D">
                  <w:rPr>
                    <w:sz w:val="20"/>
                  </w:rPr>
                  <w:t>D-1</w:t>
                </w:r>
              </w:p>
            </w:tc>
            <w:tc>
              <w:tcPr>
                <w:tcW w:w="1732" w:type="dxa"/>
                <w:vAlign w:val="center"/>
              </w:tcPr>
              <w:p w:rsidR="00C4306E" w:rsidRPr="00C64C3D" w:rsidRDefault="00C4306E" w:rsidP="001E41B4">
                <w:pPr>
                  <w:jc w:val="center"/>
                  <w:rPr>
                    <w:sz w:val="20"/>
                  </w:rPr>
                </w:pPr>
                <w:r w:rsidRPr="00C64C3D">
                  <w:rPr>
                    <w:sz w:val="20"/>
                  </w:rPr>
                  <w:t>D+1</w:t>
                </w:r>
              </w:p>
            </w:tc>
          </w:tr>
          <w:tr w:rsidR="002A7F8B" w:rsidTr="002A7F8B">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2A7F8B" w:rsidRPr="00C64C3D" w:rsidRDefault="002A7F8B" w:rsidP="001E41B4">
                <w:pPr>
                  <w:rPr>
                    <w:b/>
                    <w:sz w:val="20"/>
                  </w:rPr>
                </w:pPr>
                <w:r w:rsidRPr="00C64C3D">
                  <w:rPr>
                    <w:b/>
                    <w:sz w:val="20"/>
                  </w:rPr>
                  <w:t>Price ($/GJ)</w:t>
                </w:r>
              </w:p>
            </w:tc>
            <w:tc>
              <w:tcPr>
                <w:tcW w:w="1731" w:type="dxa"/>
                <w:vAlign w:val="center"/>
              </w:tcPr>
              <w:p w:rsidR="002A7F8B" w:rsidRDefault="002A7F8B" w:rsidP="002A7F8B">
                <w:pPr>
                  <w:jc w:val="center"/>
                </w:pPr>
                <w:r>
                  <w:t>$14.20</w:t>
                </w:r>
              </w:p>
            </w:tc>
            <w:tc>
              <w:tcPr>
                <w:tcW w:w="1731" w:type="dxa"/>
                <w:vAlign w:val="center"/>
              </w:tcPr>
              <w:p w:rsidR="002A7F8B" w:rsidRDefault="002A7F8B" w:rsidP="002A7F8B">
                <w:pPr>
                  <w:jc w:val="center"/>
                </w:pPr>
                <w:r>
                  <w:t>$14.83</w:t>
                </w:r>
              </w:p>
            </w:tc>
            <w:tc>
              <w:tcPr>
                <w:tcW w:w="1732" w:type="dxa"/>
                <w:vAlign w:val="center"/>
              </w:tcPr>
              <w:p w:rsidR="002A7F8B" w:rsidRDefault="002A7F8B" w:rsidP="002A7F8B">
                <w:pPr>
                  <w:jc w:val="center"/>
                </w:pPr>
                <w:r>
                  <w:t>$25.45</w:t>
                </w:r>
              </w:p>
            </w:tc>
            <w:tc>
              <w:tcPr>
                <w:tcW w:w="1732" w:type="dxa"/>
                <w:vAlign w:val="center"/>
              </w:tcPr>
              <w:p w:rsidR="002A7F8B" w:rsidRDefault="002A7F8B" w:rsidP="002A7F8B">
                <w:pPr>
                  <w:jc w:val="center"/>
                </w:pPr>
                <w:r>
                  <w:t>$17.81</w:t>
                </w:r>
              </w:p>
            </w:tc>
          </w:tr>
          <w:tr w:rsidR="002A7F8B" w:rsidTr="002A7F8B">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2A7F8B" w:rsidRPr="00C64C3D" w:rsidRDefault="002A7F8B" w:rsidP="001E41B4">
                <w:pPr>
                  <w:rPr>
                    <w:b/>
                    <w:sz w:val="20"/>
                  </w:rPr>
                </w:pPr>
                <w:r w:rsidRPr="00C64C3D">
                  <w:rPr>
                    <w:b/>
                    <w:sz w:val="20"/>
                  </w:rPr>
                  <w:t>Quantity (TJ)</w:t>
                </w:r>
              </w:p>
            </w:tc>
            <w:tc>
              <w:tcPr>
                <w:tcW w:w="1731" w:type="dxa"/>
                <w:vAlign w:val="center"/>
              </w:tcPr>
              <w:p w:rsidR="002A7F8B" w:rsidRDefault="002A7F8B" w:rsidP="002A7F8B">
                <w:pPr>
                  <w:jc w:val="center"/>
                </w:pPr>
                <w:r>
                  <w:t>93.37</w:t>
                </w:r>
              </w:p>
            </w:tc>
            <w:tc>
              <w:tcPr>
                <w:tcW w:w="1731" w:type="dxa"/>
                <w:vAlign w:val="center"/>
              </w:tcPr>
              <w:p w:rsidR="002A7F8B" w:rsidRDefault="002A7F8B" w:rsidP="002A7F8B">
                <w:pPr>
                  <w:jc w:val="center"/>
                </w:pPr>
                <w:r>
                  <w:t>93.46</w:t>
                </w:r>
              </w:p>
            </w:tc>
            <w:tc>
              <w:tcPr>
                <w:tcW w:w="1732" w:type="dxa"/>
                <w:vAlign w:val="center"/>
              </w:tcPr>
              <w:p w:rsidR="002A7F8B" w:rsidRDefault="002A7F8B" w:rsidP="002A7F8B">
                <w:pPr>
                  <w:jc w:val="center"/>
                </w:pPr>
                <w:r>
                  <w:t>95.52</w:t>
                </w:r>
              </w:p>
            </w:tc>
            <w:tc>
              <w:tcPr>
                <w:tcW w:w="1732" w:type="dxa"/>
                <w:vAlign w:val="center"/>
              </w:tcPr>
              <w:p w:rsidR="002A7F8B" w:rsidRDefault="002A7F8B" w:rsidP="002A7F8B">
                <w:pPr>
                  <w:jc w:val="center"/>
                </w:pPr>
                <w:r>
                  <w:t>-3.063</w:t>
                </w:r>
              </w:p>
            </w:tc>
          </w:tr>
        </w:tbl>
        <w:p w:rsidR="008A0A02" w:rsidRDefault="00B550C4" w:rsidP="00B550C4">
          <w:r>
            <w:t>The D-1 price was the highest ever for the Adelaide STTM</w:t>
          </w:r>
          <w:r w:rsidR="008A0A02">
            <w:t xml:space="preserve">, </w:t>
          </w:r>
          <w:r w:rsidR="001E45D4">
            <w:t xml:space="preserve">exceeding </w:t>
          </w:r>
          <w:r w:rsidR="008A0A02">
            <w:t xml:space="preserve">the </w:t>
          </w:r>
          <w:r w:rsidR="001E45D4">
            <w:t xml:space="preserve">high </w:t>
          </w:r>
          <w:r w:rsidR="008A0A02">
            <w:t xml:space="preserve">set days earlier for the 2 July gas day. </w:t>
          </w:r>
          <w:r w:rsidR="00AC67ED">
            <w:t>A new</w:t>
          </w:r>
          <w:r w:rsidR="001E45D4">
            <w:t xml:space="preserve"> high occurred </w:t>
          </w:r>
          <w:r w:rsidR="008A0A02">
            <w:t xml:space="preserve">again </w:t>
          </w:r>
          <w:r w:rsidR="001E45D4">
            <w:t xml:space="preserve">on </w:t>
          </w:r>
          <w:r w:rsidR="008A0A02">
            <w:t>the 13 July gas day, examined later in this report.</w:t>
          </w:r>
        </w:p>
        <w:p w:rsidR="008A0A02" w:rsidRDefault="008A0A02" w:rsidP="008A0A02">
          <w:pPr>
            <w:rPr>
              <w:rFonts w:asciiTheme="minorHAnsi" w:eastAsia="Times New Roman" w:hAnsiTheme="minorHAnsi" w:cs="Arial"/>
            </w:rPr>
          </w:pPr>
          <w:r w:rsidRPr="008A0A02">
            <w:rPr>
              <w:rFonts w:asciiTheme="minorHAnsi" w:eastAsia="Times New Roman" w:hAnsiTheme="minorHAnsi" w:cs="Arial"/>
            </w:rPr>
            <w:t xml:space="preserve">The main drivers behind the </w:t>
          </w:r>
          <w:r w:rsidRPr="008A0A02">
            <w:t>$10.62</w:t>
          </w:r>
          <w:r w:rsidRPr="00973418">
            <w:t>/GJ variation between the D-2 schedule price ($</w:t>
          </w:r>
          <w:r>
            <w:t>14.83</w:t>
          </w:r>
          <w:r w:rsidRPr="00973418">
            <w:t>/GJ) and the</w:t>
          </w:r>
          <w:r>
            <w:t xml:space="preserve"> D-1 schedule price ($</w:t>
          </w:r>
          <w:r w:rsidRPr="008A0A02">
            <w:t>25.45/GJ)</w:t>
          </w:r>
          <w:r w:rsidRPr="008A0A02">
            <w:rPr>
              <w:rFonts w:asciiTheme="minorHAnsi" w:eastAsia="Times New Roman" w:hAnsiTheme="minorHAnsi" w:cs="Arial"/>
            </w:rPr>
            <w:t xml:space="preserve"> were an increase in </w:t>
          </w:r>
          <w:r w:rsidR="00A40CE7">
            <w:rPr>
              <w:rFonts w:asciiTheme="minorHAnsi" w:eastAsia="Times New Roman" w:hAnsiTheme="minorHAnsi" w:cs="Arial"/>
            </w:rPr>
            <w:t xml:space="preserve">uninterruptable </w:t>
          </w:r>
          <w:r w:rsidRPr="00A40CE7">
            <w:rPr>
              <w:rFonts w:asciiTheme="minorHAnsi" w:eastAsia="Times New Roman" w:hAnsiTheme="minorHAnsi" w:cs="Arial"/>
            </w:rPr>
            <w:t xml:space="preserve">demand </w:t>
          </w:r>
          <w:r w:rsidR="00A40CE7" w:rsidRPr="00A40CE7">
            <w:rPr>
              <w:rFonts w:asciiTheme="minorHAnsi" w:eastAsia="Times New Roman" w:hAnsiTheme="minorHAnsi" w:cs="Arial"/>
            </w:rPr>
            <w:t xml:space="preserve">and a reduction </w:t>
          </w:r>
          <w:r w:rsidRPr="00A40CE7">
            <w:rPr>
              <w:rFonts w:asciiTheme="minorHAnsi" w:eastAsia="Times New Roman" w:hAnsiTheme="minorHAnsi" w:cs="Arial"/>
            </w:rPr>
            <w:t>in low priced supply offers.</w:t>
          </w:r>
          <w:r w:rsidR="00B93C74">
            <w:rPr>
              <w:rFonts w:asciiTheme="minorHAnsi" w:eastAsia="Times New Roman" w:hAnsiTheme="minorHAnsi" w:cs="Arial"/>
            </w:rPr>
            <w:t xml:space="preserve"> Controllable demand was unchanged.</w:t>
          </w:r>
        </w:p>
        <w:p w:rsidR="00A40CE7" w:rsidRDefault="003C35FE" w:rsidP="008A0A02">
          <w:pPr>
            <w:rPr>
              <w:rFonts w:asciiTheme="minorHAnsi" w:eastAsia="Times New Roman" w:hAnsiTheme="minorHAnsi" w:cs="Arial"/>
            </w:rPr>
          </w:pPr>
          <w:r>
            <w:rPr>
              <w:rFonts w:asciiTheme="minorHAnsi" w:eastAsia="Times New Roman" w:hAnsiTheme="minorHAnsi" w:cs="Arial"/>
            </w:rPr>
            <w:t>There was a negative</w:t>
          </w:r>
          <w:r w:rsidR="00A40CE7">
            <w:rPr>
              <w:rFonts w:asciiTheme="minorHAnsi" w:eastAsia="Times New Roman" w:hAnsiTheme="minorHAnsi" w:cs="Arial"/>
            </w:rPr>
            <w:t xml:space="preserve"> imbalance on the day of </w:t>
          </w:r>
          <w:r>
            <w:rPr>
              <w:rFonts w:asciiTheme="minorHAnsi" w:eastAsia="Times New Roman" w:hAnsiTheme="minorHAnsi" w:cs="Arial"/>
            </w:rPr>
            <w:t xml:space="preserve">just over </w:t>
          </w:r>
          <w:r w:rsidR="00A40CE7">
            <w:rPr>
              <w:rFonts w:asciiTheme="minorHAnsi" w:eastAsia="Times New Roman" w:hAnsiTheme="minorHAnsi" w:cs="Arial"/>
            </w:rPr>
            <w:t xml:space="preserve">3 TJ. This means the actual demand on the day was lower than the total demand forecast in the D-1 schedule. This led to the </w:t>
          </w:r>
          <w:r w:rsidR="00A40CE7" w:rsidRPr="00973418">
            <w:t>$</w:t>
          </w:r>
          <w:r w:rsidR="00A40CE7">
            <w:t>7.64</w:t>
          </w:r>
          <w:r w:rsidR="00A40CE7" w:rsidRPr="00973418">
            <w:t>/GJ variation between the D-1 schedule price and the D+1 schedule price ($</w:t>
          </w:r>
          <w:r w:rsidR="00A40CE7">
            <w:t>17.81</w:t>
          </w:r>
          <w:r w:rsidR="00A40CE7" w:rsidRPr="00973418">
            <w:t>/GJ)</w:t>
          </w:r>
          <w:r w:rsidR="00A40CE7">
            <w:t>.</w:t>
          </w:r>
        </w:p>
        <w:p w:rsidR="00DF4B66" w:rsidRDefault="00DF4B66" w:rsidP="006D4C89">
          <w:pPr>
            <w:pStyle w:val="Heading4notnumbered"/>
            <w:spacing w:before="200"/>
            <w:outlineLvl w:val="9"/>
          </w:pPr>
          <w:r>
            <w:t>The price variation between the D-2 and D-1 schedules</w:t>
          </w:r>
        </w:p>
        <w:p w:rsidR="00A40CE7" w:rsidRDefault="00A40CE7" w:rsidP="009E324D">
          <w:pPr>
            <w:rPr>
              <w:rFonts w:asciiTheme="minorHAnsi" w:eastAsia="Times New Roman" w:hAnsiTheme="minorHAnsi" w:cs="Arial"/>
            </w:rPr>
          </w:pPr>
          <w:r>
            <w:t>The main contributor to the increase in uninterruptable demand was AGL, whic</w:t>
          </w:r>
          <w:r w:rsidR="00E3010D">
            <w:t>h increased its price taker bid</w:t>
          </w:r>
          <w:r>
            <w:t xml:space="preserve"> for the D-1 schedule by 1.9 TJ.</w:t>
          </w:r>
          <w:r>
            <w:rPr>
              <w:rStyle w:val="FootnoteReference"/>
            </w:rPr>
            <w:footnoteReference w:id="31"/>
          </w:r>
        </w:p>
        <w:p w:rsidR="0067533B" w:rsidRDefault="0067533B" w:rsidP="0067533B">
          <w:r>
            <w:t>Some participants offered less gas priced at or under the D-1 price for the D-1 schedule than they offered in the D-2 schedule, including:</w:t>
          </w:r>
        </w:p>
        <w:p w:rsidR="0067533B" w:rsidRDefault="0067533B" w:rsidP="00A8220F">
          <w:pPr>
            <w:pStyle w:val="ListParagraph"/>
            <w:numPr>
              <w:ilvl w:val="0"/>
              <w:numId w:val="25"/>
            </w:numPr>
          </w:pPr>
          <w:r>
            <w:t>AGL reduced its quantity of offers on the MAP and SEAGas by 13.2 TJ</w:t>
          </w:r>
          <w:r>
            <w:rPr>
              <w:rStyle w:val="FootnoteReference"/>
            </w:rPr>
            <w:footnoteReference w:id="32"/>
          </w:r>
        </w:p>
        <w:p w:rsidR="00A40CE7" w:rsidRDefault="0067533B" w:rsidP="00A8220F">
          <w:pPr>
            <w:pStyle w:val="ListParagraph"/>
            <w:numPr>
              <w:ilvl w:val="0"/>
              <w:numId w:val="25"/>
            </w:numPr>
          </w:pPr>
          <w:r>
            <w:t>ABC reduced its quantity of offers on the MAP by 1 TJ</w:t>
          </w:r>
        </w:p>
        <w:p w:rsidR="006A3973" w:rsidRPr="0067533B" w:rsidRDefault="006A3973" w:rsidP="006A3973"/>
        <w:p w:rsidR="00DF4B66" w:rsidRDefault="00DF4B66" w:rsidP="006D4C89">
          <w:pPr>
            <w:pStyle w:val="Heading4notnumbered"/>
            <w:spacing w:before="200"/>
            <w:outlineLvl w:val="9"/>
          </w:pPr>
          <w:r>
            <w:t>The price variation between the D-1 and D+1 schedules</w:t>
          </w:r>
        </w:p>
        <w:p w:rsidR="00066D30" w:rsidRDefault="006D4C89" w:rsidP="001E0F54">
          <w:r>
            <w:t>The ex post price then reduced significantly due to a -3 TJ imbalance (</w:t>
          </w:r>
          <w:r w:rsidR="00E7595D">
            <w:t>which was largely a result of over forecast demand</w:t>
          </w:r>
          <w:r>
            <w:t>).</w:t>
          </w:r>
        </w:p>
        <w:p w:rsidR="00B8059A" w:rsidRDefault="00D7611E" w:rsidP="00D7611E">
          <w:r>
            <w:rPr>
              <w:rFonts w:asciiTheme="minorHAnsi" w:eastAsia="Times New Roman" w:hAnsiTheme="minorHAnsi" w:cs="Arial"/>
            </w:rPr>
            <w:fldChar w:fldCharType="begin"/>
          </w:r>
          <w:r>
            <w:rPr>
              <w:rFonts w:asciiTheme="minorHAnsi" w:eastAsia="Times New Roman" w:hAnsiTheme="minorHAnsi" w:cs="Arial"/>
            </w:rPr>
            <w:instrText xml:space="preserve"> REF _Ref461634484 \h </w:instrText>
          </w:r>
          <w:r>
            <w:rPr>
              <w:rFonts w:asciiTheme="minorHAnsi" w:eastAsia="Times New Roman" w:hAnsiTheme="minorHAnsi" w:cs="Arial"/>
            </w:rPr>
          </w:r>
          <w:r>
            <w:rPr>
              <w:rFonts w:asciiTheme="minorHAnsi" w:eastAsia="Times New Roman" w:hAnsiTheme="minorHAnsi" w:cs="Arial"/>
            </w:rPr>
            <w:fldChar w:fldCharType="separate"/>
          </w:r>
          <w:r w:rsidR="00D94C93">
            <w:t>Figure </w:t>
          </w:r>
          <w:r w:rsidR="00D94C93">
            <w:rPr>
              <w:noProof/>
            </w:rPr>
            <w:t>15</w:t>
          </w:r>
          <w:r>
            <w:rPr>
              <w:rFonts w:asciiTheme="minorHAnsi" w:eastAsia="Times New Roman" w:hAnsiTheme="minorHAnsi" w:cs="Arial"/>
            </w:rPr>
            <w:fldChar w:fldCharType="end"/>
          </w:r>
          <w:r>
            <w:rPr>
              <w:rFonts w:asciiTheme="minorHAnsi" w:eastAsia="Times New Roman" w:hAnsiTheme="minorHAnsi" w:cs="Arial"/>
            </w:rPr>
            <w:t xml:space="preserve"> illustrates the increase in higher priced bids and the reduction in lower priced supply offers from</w:t>
          </w:r>
          <w:r w:rsidRPr="00D7611E">
            <w:t xml:space="preserve"> </w:t>
          </w:r>
          <w:r>
            <w:t xml:space="preserve">the D-2 to the D-1 schedules and in turn how these changes resulted in the </w:t>
          </w:r>
          <w:r w:rsidRPr="008A0A02">
            <w:t>$10.62</w:t>
          </w:r>
          <w:r w:rsidRPr="00973418">
            <w:t>/GJ variation</w:t>
          </w:r>
          <w:r w:rsidRPr="00D7611E">
            <w:t xml:space="preserve"> </w:t>
          </w:r>
          <w:r>
            <w:t xml:space="preserve">between the two schedules’ prices. </w:t>
          </w:r>
        </w:p>
        <w:p w:rsidR="00D7611E" w:rsidRPr="00D7611E" w:rsidRDefault="00B8059A" w:rsidP="00D7611E">
          <w:pPr>
            <w:rPr>
              <w:rFonts w:asciiTheme="minorHAnsi" w:eastAsia="Times New Roman" w:hAnsiTheme="minorHAnsi" w:cs="Arial"/>
              <w:b/>
            </w:rPr>
          </w:pPr>
          <w:r>
            <w:t xml:space="preserve">The figure </w:t>
          </w:r>
          <w:r w:rsidR="00D7611E">
            <w:t xml:space="preserve">also highlights the impact of inelastic supply </w:t>
          </w:r>
          <w:r>
            <w:t xml:space="preserve">from around </w:t>
          </w:r>
          <w:r w:rsidR="00D7611E">
            <w:t>$15/GJ and higher.</w:t>
          </w:r>
          <w:r>
            <w:t xml:space="preserve"> I</w:t>
          </w:r>
          <w:r w:rsidR="00D7611E">
            <w:t xml:space="preserve">nelastic supply results in </w:t>
          </w:r>
          <w:r>
            <w:t xml:space="preserve">larger </w:t>
          </w:r>
          <w:r w:rsidR="00D7611E">
            <w:t xml:space="preserve">changes in price </w:t>
          </w:r>
          <w:r>
            <w:t>relative to a change in demand</w:t>
          </w:r>
          <w:r w:rsidR="00D7611E">
            <w:t xml:space="preserve">. This was </w:t>
          </w:r>
          <w:r>
            <w:t xml:space="preserve">particularly </w:t>
          </w:r>
          <w:r w:rsidR="00D7611E">
            <w:t xml:space="preserve">evident </w:t>
          </w:r>
          <w:r>
            <w:t>for the D+1 schedule, where the price fell by $7.64/GJ in response to demand reducing by around 3 TJ.</w:t>
          </w:r>
        </w:p>
        <w:p w:rsidR="004A3CD0" w:rsidRDefault="004A3CD0" w:rsidP="004A3CD0">
          <w:pPr>
            <w:pStyle w:val="Caption"/>
          </w:pPr>
          <w:bookmarkStart w:id="108" w:name="_Ref461634484"/>
          <w:r>
            <w:t>Figure </w:t>
          </w:r>
          <w:r w:rsidR="002852EF">
            <w:fldChar w:fldCharType="begin"/>
          </w:r>
          <w:r w:rsidR="002852EF">
            <w:instrText xml:space="preserve"> SEQ Figure \* ARABIC </w:instrText>
          </w:r>
          <w:r w:rsidR="002852EF">
            <w:fldChar w:fldCharType="separate"/>
          </w:r>
          <w:r w:rsidR="00D94C93">
            <w:rPr>
              <w:noProof/>
            </w:rPr>
            <w:t>15</w:t>
          </w:r>
          <w:r w:rsidR="002852EF">
            <w:rPr>
              <w:noProof/>
            </w:rPr>
            <w:fldChar w:fldCharType="end"/>
          </w:r>
          <w:bookmarkEnd w:id="108"/>
          <w:r>
            <w:t>: Adelaide STTM, 6 July 2016, D</w:t>
          </w:r>
          <w:r>
            <w:noBreakHyphen/>
            <w:t>2, D</w:t>
          </w:r>
          <w:r>
            <w:noBreakHyphen/>
            <w:t>1 and D+1 schedules (TJ)</w:t>
          </w:r>
        </w:p>
        <w:p w:rsidR="00F57B74" w:rsidRDefault="00F57B74" w:rsidP="006D4C89">
          <w:pPr>
            <w:rPr>
              <w:rFonts w:eastAsia="Times New Roman" w:cs="Arial"/>
            </w:rPr>
          </w:pPr>
          <w:r w:rsidRPr="00F57B74">
            <w:rPr>
              <w:noProof/>
              <w:lang w:eastAsia="en-AU"/>
            </w:rPr>
            <w:drawing>
              <wp:inline distT="0" distB="0" distL="0" distR="0" wp14:anchorId="2FBFE48B" wp14:editId="6FAF84BC">
                <wp:extent cx="5382895" cy="3107526"/>
                <wp:effectExtent l="0" t="0" r="8255" b="0"/>
                <wp:docPr id="21" name="Picture 21" descr="Figure 15 illustrates the two day ahead (D-2) provisional schedule, the ex ante (D-1) schedule and the ex post (D+1) schedule for the 6 July 2016 gas day in Adelaid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3107526"/>
                        </a:xfrm>
                        <a:prstGeom prst="rect">
                          <a:avLst/>
                        </a:prstGeom>
                        <a:noFill/>
                        <a:ln>
                          <a:noFill/>
                        </a:ln>
                      </pic:spPr>
                    </pic:pic>
                  </a:graphicData>
                </a:graphic>
              </wp:inline>
            </w:drawing>
          </w:r>
        </w:p>
        <w:p w:rsidR="00CC2345" w:rsidRPr="00CC2345" w:rsidRDefault="00AD4BE9" w:rsidP="006D4C89">
          <w:pPr>
            <w:rPr>
              <w:rFonts w:asciiTheme="minorHAnsi" w:eastAsia="Times New Roman" w:hAnsiTheme="minorHAnsi" w:cs="Arial"/>
            </w:rPr>
          </w:pPr>
          <w:r>
            <w:rPr>
              <w:rFonts w:asciiTheme="minorHAnsi" w:eastAsia="Times New Roman" w:hAnsiTheme="minorHAnsi" w:cs="Arial"/>
            </w:rPr>
            <w:fldChar w:fldCharType="begin"/>
          </w:r>
          <w:r>
            <w:rPr>
              <w:rFonts w:asciiTheme="minorHAnsi" w:eastAsia="Times New Roman" w:hAnsiTheme="minorHAnsi" w:cs="Arial"/>
            </w:rPr>
            <w:instrText xml:space="preserve"> REF _Ref461634947 \h </w:instrText>
          </w:r>
          <w:r>
            <w:rPr>
              <w:rFonts w:asciiTheme="minorHAnsi" w:eastAsia="Times New Roman" w:hAnsiTheme="minorHAnsi" w:cs="Arial"/>
            </w:rPr>
          </w:r>
          <w:r>
            <w:rPr>
              <w:rFonts w:asciiTheme="minorHAnsi" w:eastAsia="Times New Roman" w:hAnsiTheme="minorHAnsi" w:cs="Arial"/>
            </w:rPr>
            <w:fldChar w:fldCharType="separate"/>
          </w:r>
          <w:r w:rsidR="00D94C93">
            <w:t>Figure </w:t>
          </w:r>
          <w:r w:rsidR="00D94C93">
            <w:rPr>
              <w:noProof/>
            </w:rPr>
            <w:t>16</w:t>
          </w:r>
          <w:r>
            <w:rPr>
              <w:rFonts w:asciiTheme="minorHAnsi" w:eastAsia="Times New Roman" w:hAnsiTheme="minorHAnsi" w:cs="Arial"/>
            </w:rPr>
            <w:fldChar w:fldCharType="end"/>
          </w:r>
          <w:r>
            <w:rPr>
              <w:rFonts w:asciiTheme="minorHAnsi" w:eastAsia="Times New Roman" w:hAnsiTheme="minorHAnsi" w:cs="Arial"/>
            </w:rPr>
            <w:t xml:space="preserve"> shows</w:t>
          </w:r>
          <w:r w:rsidR="0014513D">
            <w:rPr>
              <w:rFonts w:asciiTheme="minorHAnsi" w:eastAsia="Times New Roman" w:hAnsiTheme="minorHAnsi" w:cs="Arial"/>
            </w:rPr>
            <w:t xml:space="preserve"> </w:t>
          </w:r>
          <w:r w:rsidR="0014513D" w:rsidRPr="00913EE8">
            <w:rPr>
              <w:rFonts w:asciiTheme="minorHAnsi" w:eastAsia="Times New Roman" w:hAnsiTheme="minorHAnsi" w:cs="Arial"/>
            </w:rPr>
            <w:t>the high level of gas generation required upstream of the Adelaide hub which may have influenced the sharp increase in participants’ valuation of gas quantities above the perceived level of demand in the Adelaide STTM hub.</w:t>
          </w:r>
        </w:p>
        <w:p w:rsidR="00592BC4" w:rsidRDefault="00B34500" w:rsidP="00C973E2">
          <w:pPr>
            <w:pStyle w:val="Caption"/>
          </w:pPr>
          <w:bookmarkStart w:id="109" w:name="_Ref461634947"/>
          <w:r>
            <w:t>Figure </w:t>
          </w:r>
          <w:r w:rsidR="002852EF">
            <w:fldChar w:fldCharType="begin"/>
          </w:r>
          <w:r w:rsidR="002852EF">
            <w:instrText xml:space="preserve"> SEQ Figure \* ARABIC </w:instrText>
          </w:r>
          <w:r w:rsidR="002852EF">
            <w:fldChar w:fldCharType="separate"/>
          </w:r>
          <w:r w:rsidR="00D94C93">
            <w:rPr>
              <w:noProof/>
            </w:rPr>
            <w:t>16</w:t>
          </w:r>
          <w:r w:rsidR="002852EF">
            <w:rPr>
              <w:noProof/>
            </w:rPr>
            <w:fldChar w:fldCharType="end"/>
          </w:r>
          <w:bookmarkEnd w:id="109"/>
          <w:r>
            <w:t>: South Australia’s generation mix</w:t>
          </w:r>
          <w:r w:rsidR="009D3094" w:rsidRPr="009D3094">
            <w:t xml:space="preserve"> </w:t>
          </w:r>
          <w:r w:rsidR="00D0047C">
            <w:t>around</w:t>
          </w:r>
          <w:r w:rsidR="009D3094">
            <w:t xml:space="preserve"> 6 July</w:t>
          </w:r>
        </w:p>
        <w:p w:rsidR="00B34500" w:rsidRDefault="006A3973" w:rsidP="006A3973">
          <w:pPr>
            <w:pStyle w:val="Caption"/>
            <w:keepNext w:val="0"/>
          </w:pPr>
          <w:r w:rsidRPr="006A3973">
            <w:rPr>
              <w:noProof/>
              <w:lang w:eastAsia="en-AU"/>
            </w:rPr>
            <w:drawing>
              <wp:inline distT="0" distB="0" distL="0" distR="0" wp14:anchorId="2319D83D" wp14:editId="318958DA">
                <wp:extent cx="5382895" cy="1926747"/>
                <wp:effectExtent l="0" t="0" r="8255" b="0"/>
                <wp:docPr id="56" name="Picture 56" descr="Figure 16 shows the energy output (GWh) of gas-fired generators in South Australia by fuel type for 6 July and surround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1926747"/>
                        </a:xfrm>
                        <a:prstGeom prst="rect">
                          <a:avLst/>
                        </a:prstGeom>
                        <a:noFill/>
                        <a:ln>
                          <a:noFill/>
                        </a:ln>
                      </pic:spPr>
                    </pic:pic>
                  </a:graphicData>
                </a:graphic>
              </wp:inline>
            </w:drawing>
          </w:r>
        </w:p>
        <w:p w:rsidR="003C3458" w:rsidRDefault="003C3458" w:rsidP="003C3458">
          <w:pPr>
            <w:pStyle w:val="Heading2"/>
          </w:pPr>
          <w:bookmarkStart w:id="110" w:name="_Toc466896992"/>
          <w:r>
            <w:t>Tuesday 12 July 2016</w:t>
          </w:r>
          <w:bookmarkEnd w:id="110"/>
        </w:p>
        <w:p w:rsidR="003C3458" w:rsidRDefault="003C3458" w:rsidP="007E11C7">
          <w:r>
            <w:rPr>
              <w:noProof/>
              <w:lang w:eastAsia="en-AU"/>
            </w:rPr>
            <mc:AlternateContent>
              <mc:Choice Requires="wps">
                <w:drawing>
                  <wp:anchor distT="0" distB="0" distL="114300" distR="114300" simplePos="0" relativeHeight="251675648" behindDoc="0" locked="0" layoutInCell="1" allowOverlap="1" wp14:anchorId="3F4DDA13" wp14:editId="28B3D4DC">
                    <wp:simplePos x="0" y="0"/>
                    <wp:positionH relativeFrom="column">
                      <wp:posOffset>767</wp:posOffset>
                    </wp:positionH>
                    <wp:positionV relativeFrom="paragraph">
                      <wp:posOffset>144145</wp:posOffset>
                    </wp:positionV>
                    <wp:extent cx="5399549" cy="681487"/>
                    <wp:effectExtent l="0" t="0" r="1079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681487"/>
                            </a:xfrm>
                            <a:prstGeom prst="rect">
                              <a:avLst/>
                            </a:prstGeom>
                            <a:solidFill>
                              <a:srgbClr val="DBE5F1"/>
                            </a:solidFill>
                            <a:ln w="9525">
                              <a:solidFill>
                                <a:srgbClr val="000000"/>
                              </a:solidFill>
                              <a:miter lim="800000"/>
                              <a:headEnd/>
                              <a:tailEnd/>
                            </a:ln>
                          </wps:spPr>
                          <wps:txbx>
                            <w:txbxContent>
                              <w:p w:rsidR="002B723A" w:rsidRDefault="002B723A" w:rsidP="003C3458">
                                <w:pPr>
                                  <w:ind w:left="2160" w:hanging="2160"/>
                                </w:pPr>
                                <w:r>
                                  <w:rPr>
                                    <w:b/>
                                  </w:rPr>
                                  <w:t>Adelaide</w:t>
                                </w:r>
                                <w:r w:rsidRPr="0051165D">
                                  <w:rPr>
                                    <w:b/>
                                  </w:rPr>
                                  <w:t xml:space="preserve"> STTM:</w:t>
                                </w:r>
                                <w:r>
                                  <w:tab/>
                                  <w:t xml:space="preserve">There </w:t>
                                </w:r>
                                <w:r w:rsidRPr="00973418">
                                  <w:t>was a $</w:t>
                                </w:r>
                                <w:r>
                                  <w:t>12</w:t>
                                </w:r>
                                <w:r w:rsidRPr="00973418">
                                  <w:t>/GJ variation between the D-1 schedule price ($</w:t>
                                </w:r>
                                <w:r>
                                  <w:t>17.99</w:t>
                                </w:r>
                                <w:r w:rsidRPr="00973418">
                                  <w:t xml:space="preserve">/GJ) and </w:t>
                                </w:r>
                                <w:r>
                                  <w:t xml:space="preserve">the </w:t>
                                </w:r>
                                <w:r w:rsidRPr="00973418">
                                  <w:t>D+1 schedule price ($</w:t>
                                </w:r>
                                <w:r>
                                  <w:t>29.99</w:t>
                                </w:r>
                                <w:r w:rsidRPr="00973418">
                                  <w:t>/GJ).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5pt;margin-top:11.35pt;width:425.15pt;height:5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" fillcolor="#dbe5f1">
                    <v:textbox>
                      <w:txbxContent>
                        <w:p w:rsidR="002B723A" w:rsidRDefault="002B723A" w:rsidP="003C3458">
                          <w:pPr>
                            <w:ind w:left="2160" w:hanging="2160"/>
                          </w:pPr>
                          <w:r>
                            <w:rPr>
                              <w:b/>
                            </w:rPr>
                            <w:t>Adelaide</w:t>
                          </w:r>
                          <w:r w:rsidRPr="0051165D">
                            <w:rPr>
                              <w:b/>
                            </w:rPr>
                            <w:t xml:space="preserve"> STTM:</w:t>
                          </w:r>
                          <w:r>
                            <w:tab/>
                            <w:t xml:space="preserve">There </w:t>
                          </w:r>
                          <w:r w:rsidRPr="00973418">
                            <w:t>was a $</w:t>
                          </w:r>
                          <w:r>
                            <w:t>12</w:t>
                          </w:r>
                          <w:r w:rsidRPr="00973418">
                            <w:t>/GJ variation between the D-1 schedule price ($</w:t>
                          </w:r>
                          <w:r>
                            <w:t>17.99</w:t>
                          </w:r>
                          <w:r w:rsidRPr="00973418">
                            <w:t xml:space="preserve">/GJ) and </w:t>
                          </w:r>
                          <w:r>
                            <w:t xml:space="preserve">the </w:t>
                          </w:r>
                          <w:r w:rsidRPr="00973418">
                            <w:t>D+1 schedule price ($</w:t>
                          </w:r>
                          <w:r>
                            <w:t>29.99</w:t>
                          </w:r>
                          <w:r w:rsidRPr="00973418">
                            <w:t>/GJ).</w:t>
                          </w:r>
                        </w:p>
                      </w:txbxContent>
                    </v:textbox>
                  </v:shape>
                </w:pict>
              </mc:Fallback>
            </mc:AlternateContent>
          </w:r>
        </w:p>
        <w:p w:rsidR="003C3458" w:rsidRDefault="003C3458" w:rsidP="007E11C7"/>
        <w:p w:rsidR="003C3458" w:rsidRDefault="003C3458" w:rsidP="007E11C7"/>
        <w:p w:rsidR="004B7C61" w:rsidRDefault="004B7C61" w:rsidP="00367430">
          <w:pPr>
            <w:pStyle w:val="Tabletitle"/>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_Ref461629399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8</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B1040A">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B1040A">
            <w:rPr>
              <w:rFonts w:asciiTheme="minorHAnsi" w:eastAsia="Times New Roman" w:hAnsiTheme="minorHAnsi" w:cs="Arial"/>
              <w:b w:val="0"/>
              <w:color w:val="auto"/>
              <w:sz w:val="22"/>
              <w:szCs w:val="22"/>
            </w:rPr>
            <w:t xml:space="preserve"> each of the gas schedules for the 12 July gas day in Adelaide.</w:t>
          </w:r>
        </w:p>
        <w:p w:rsidR="00367430" w:rsidRPr="00367430" w:rsidRDefault="00367430" w:rsidP="00367430">
          <w:pPr>
            <w:pStyle w:val="Tabletitle"/>
            <w:rPr>
              <w:noProof/>
              <w:color w:val="FF0000"/>
              <w:lang w:eastAsia="en-AU"/>
            </w:rPr>
          </w:pPr>
          <w:bookmarkStart w:id="111" w:name="_Ref461629399"/>
          <w:r>
            <w:t>Table </w:t>
          </w:r>
          <w:r w:rsidR="002852EF">
            <w:fldChar w:fldCharType="begin"/>
          </w:r>
          <w:r w:rsidR="002852EF">
            <w:instrText xml:space="preserve"> SEQ Table \* ARABIC </w:instrText>
          </w:r>
          <w:r w:rsidR="002852EF">
            <w:fldChar w:fldCharType="separate"/>
          </w:r>
          <w:r w:rsidR="00D94C93">
            <w:rPr>
              <w:noProof/>
            </w:rPr>
            <w:t>8</w:t>
          </w:r>
          <w:r w:rsidR="002852EF">
            <w:rPr>
              <w:noProof/>
            </w:rPr>
            <w:fldChar w:fldCharType="end"/>
          </w:r>
          <w:bookmarkEnd w:id="111"/>
          <w:r>
            <w:rPr>
              <w:noProof/>
            </w:rPr>
            <w:t>: Adelaide prices and quantities, all schedules, 12 July</w:t>
          </w:r>
        </w:p>
        <w:tbl>
          <w:tblPr>
            <w:tblStyle w:val="AERsummarytable"/>
            <w:tblW w:w="0" w:type="auto"/>
            <w:tblLook w:val="04A0" w:firstRow="1" w:lastRow="0" w:firstColumn="1" w:lastColumn="0" w:noHBand="0" w:noVBand="1"/>
          </w:tblPr>
          <w:tblGrid>
            <w:gridCol w:w="1767"/>
            <w:gridCol w:w="1731"/>
            <w:gridCol w:w="1731"/>
            <w:gridCol w:w="1732"/>
            <w:gridCol w:w="1732"/>
          </w:tblGrid>
          <w:tr w:rsidR="00367430" w:rsidTr="003C35FE">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367430" w:rsidRPr="00C64C3D" w:rsidRDefault="00367430" w:rsidP="00A96D53">
                <w:pPr>
                  <w:rPr>
                    <w:sz w:val="20"/>
                  </w:rPr>
                </w:pPr>
                <w:r w:rsidRPr="00C64C3D">
                  <w:rPr>
                    <w:sz w:val="20"/>
                  </w:rPr>
                  <w:t>Schedule</w:t>
                </w:r>
              </w:p>
            </w:tc>
            <w:tc>
              <w:tcPr>
                <w:tcW w:w="1731" w:type="dxa"/>
                <w:vAlign w:val="center"/>
              </w:tcPr>
              <w:p w:rsidR="00367430" w:rsidRPr="00C64C3D" w:rsidRDefault="00367430" w:rsidP="00BA4FA2">
                <w:pPr>
                  <w:jc w:val="center"/>
                  <w:rPr>
                    <w:sz w:val="20"/>
                  </w:rPr>
                </w:pPr>
                <w:r w:rsidRPr="00C64C3D">
                  <w:rPr>
                    <w:sz w:val="20"/>
                  </w:rPr>
                  <w:t>D-3</w:t>
                </w:r>
              </w:p>
            </w:tc>
            <w:tc>
              <w:tcPr>
                <w:tcW w:w="1731" w:type="dxa"/>
                <w:vAlign w:val="center"/>
              </w:tcPr>
              <w:p w:rsidR="00367430" w:rsidRPr="00C64C3D" w:rsidRDefault="00367430" w:rsidP="00BA4FA2">
                <w:pPr>
                  <w:jc w:val="center"/>
                  <w:rPr>
                    <w:sz w:val="20"/>
                  </w:rPr>
                </w:pPr>
                <w:r w:rsidRPr="00C64C3D">
                  <w:rPr>
                    <w:sz w:val="20"/>
                  </w:rPr>
                  <w:t>D-2</w:t>
                </w:r>
              </w:p>
            </w:tc>
            <w:tc>
              <w:tcPr>
                <w:tcW w:w="1732" w:type="dxa"/>
                <w:vAlign w:val="center"/>
              </w:tcPr>
              <w:p w:rsidR="00367430" w:rsidRPr="00C64C3D" w:rsidRDefault="00367430" w:rsidP="00BA4FA2">
                <w:pPr>
                  <w:jc w:val="center"/>
                  <w:rPr>
                    <w:sz w:val="20"/>
                  </w:rPr>
                </w:pPr>
                <w:r w:rsidRPr="00C64C3D">
                  <w:rPr>
                    <w:sz w:val="20"/>
                  </w:rPr>
                  <w:t>D-1</w:t>
                </w:r>
              </w:p>
            </w:tc>
            <w:tc>
              <w:tcPr>
                <w:tcW w:w="1732" w:type="dxa"/>
                <w:vAlign w:val="center"/>
              </w:tcPr>
              <w:p w:rsidR="00367430" w:rsidRPr="00C64C3D" w:rsidRDefault="00367430" w:rsidP="00BA4FA2">
                <w:pPr>
                  <w:jc w:val="center"/>
                  <w:rPr>
                    <w:sz w:val="20"/>
                  </w:rPr>
                </w:pPr>
                <w:r w:rsidRPr="00C64C3D">
                  <w:rPr>
                    <w:sz w:val="20"/>
                  </w:rPr>
                  <w:t>D+1</w:t>
                </w:r>
              </w:p>
            </w:tc>
          </w:tr>
          <w:tr w:rsidR="00367430" w:rsidTr="003C35FE">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Price ($/GJ)</w:t>
                </w:r>
              </w:p>
            </w:tc>
            <w:tc>
              <w:tcPr>
                <w:tcW w:w="1731" w:type="dxa"/>
                <w:vAlign w:val="center"/>
              </w:tcPr>
              <w:p w:rsidR="00367430" w:rsidRDefault="00367430" w:rsidP="00BA4FA2">
                <w:pPr>
                  <w:jc w:val="center"/>
                </w:pPr>
                <w:r>
                  <w:t>$14.20</w:t>
                </w:r>
              </w:p>
            </w:tc>
            <w:tc>
              <w:tcPr>
                <w:tcW w:w="1731" w:type="dxa"/>
                <w:vAlign w:val="center"/>
              </w:tcPr>
              <w:p w:rsidR="00367430" w:rsidRDefault="00367430" w:rsidP="00BA4FA2">
                <w:pPr>
                  <w:jc w:val="center"/>
                </w:pPr>
                <w:r>
                  <w:t>$14.99</w:t>
                </w:r>
              </w:p>
            </w:tc>
            <w:tc>
              <w:tcPr>
                <w:tcW w:w="1732" w:type="dxa"/>
                <w:vAlign w:val="center"/>
              </w:tcPr>
              <w:p w:rsidR="00367430" w:rsidRDefault="00367430" w:rsidP="00BA4FA2">
                <w:pPr>
                  <w:jc w:val="center"/>
                </w:pPr>
                <w:r>
                  <w:t>$17.99</w:t>
                </w:r>
              </w:p>
            </w:tc>
            <w:tc>
              <w:tcPr>
                <w:tcW w:w="1732" w:type="dxa"/>
                <w:vAlign w:val="center"/>
              </w:tcPr>
              <w:p w:rsidR="00367430" w:rsidRDefault="00367430" w:rsidP="00BA4FA2">
                <w:pPr>
                  <w:jc w:val="center"/>
                </w:pPr>
                <w:r>
                  <w:t>$29.99</w:t>
                </w:r>
              </w:p>
            </w:tc>
          </w:tr>
          <w:tr w:rsidR="00367430" w:rsidTr="003C35FE">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Quantity (TJ)</w:t>
                </w:r>
              </w:p>
            </w:tc>
            <w:tc>
              <w:tcPr>
                <w:tcW w:w="1731" w:type="dxa"/>
                <w:vAlign w:val="center"/>
              </w:tcPr>
              <w:p w:rsidR="00367430" w:rsidRDefault="00367430" w:rsidP="00BA4FA2">
                <w:pPr>
                  <w:jc w:val="center"/>
                </w:pPr>
                <w:r>
                  <w:t>98.12</w:t>
                </w:r>
              </w:p>
            </w:tc>
            <w:tc>
              <w:tcPr>
                <w:tcW w:w="1731" w:type="dxa"/>
                <w:vAlign w:val="center"/>
              </w:tcPr>
              <w:p w:rsidR="00367430" w:rsidRDefault="00367430" w:rsidP="00BA4FA2">
                <w:pPr>
                  <w:jc w:val="center"/>
                </w:pPr>
                <w:r>
                  <w:t>101.24</w:t>
                </w:r>
              </w:p>
            </w:tc>
            <w:tc>
              <w:tcPr>
                <w:tcW w:w="1732" w:type="dxa"/>
                <w:vAlign w:val="center"/>
              </w:tcPr>
              <w:p w:rsidR="00367430" w:rsidRDefault="00367430" w:rsidP="00BA4FA2">
                <w:pPr>
                  <w:jc w:val="center"/>
                </w:pPr>
                <w:r>
                  <w:t>102.7</w:t>
                </w:r>
              </w:p>
            </w:tc>
            <w:tc>
              <w:tcPr>
                <w:tcW w:w="1732" w:type="dxa"/>
                <w:vAlign w:val="center"/>
              </w:tcPr>
              <w:p w:rsidR="00367430" w:rsidRDefault="00367430" w:rsidP="00BA4FA2">
                <w:pPr>
                  <w:jc w:val="center"/>
                </w:pPr>
                <w:r>
                  <w:t>+7.071</w:t>
                </w:r>
              </w:p>
            </w:tc>
          </w:tr>
        </w:tbl>
        <w:p w:rsidR="003C35FE" w:rsidRDefault="003C35FE" w:rsidP="00913EE8">
          <w:r w:rsidRPr="003C35FE">
            <w:rPr>
              <w:rFonts w:asciiTheme="minorHAnsi" w:eastAsia="Times New Roman" w:hAnsiTheme="minorHAnsi" w:cs="Arial"/>
            </w:rPr>
            <w:t xml:space="preserve">There </w:t>
          </w:r>
          <w:r>
            <w:rPr>
              <w:rFonts w:asciiTheme="minorHAnsi" w:eastAsia="Times New Roman" w:hAnsiTheme="minorHAnsi" w:cs="Arial"/>
            </w:rPr>
            <w:t xml:space="preserve">was a </w:t>
          </w:r>
          <w:r w:rsidR="00066D30">
            <w:rPr>
              <w:rFonts w:asciiTheme="minorHAnsi" w:eastAsia="Times New Roman" w:hAnsiTheme="minorHAnsi" w:cs="Arial"/>
            </w:rPr>
            <w:t>positive</w:t>
          </w:r>
          <w:r>
            <w:rPr>
              <w:rFonts w:asciiTheme="minorHAnsi" w:eastAsia="Times New Roman" w:hAnsiTheme="minorHAnsi" w:cs="Arial"/>
            </w:rPr>
            <w:t xml:space="preserve"> imbalance on the day of just over 7 TJ. This means the actual demand on the day was </w:t>
          </w:r>
          <w:r w:rsidR="00066D30">
            <w:rPr>
              <w:rFonts w:asciiTheme="minorHAnsi" w:eastAsia="Times New Roman" w:hAnsiTheme="minorHAnsi" w:cs="Arial"/>
            </w:rPr>
            <w:t xml:space="preserve">higher </w:t>
          </w:r>
          <w:r>
            <w:rPr>
              <w:rFonts w:asciiTheme="minorHAnsi" w:eastAsia="Times New Roman" w:hAnsiTheme="minorHAnsi" w:cs="Arial"/>
            </w:rPr>
            <w:t xml:space="preserve">than the total demand forecast in the D-1 schedule. This led to the </w:t>
          </w:r>
          <w:r w:rsidRPr="00973418">
            <w:t>$</w:t>
          </w:r>
          <w:r>
            <w:t>12</w:t>
          </w:r>
          <w:r w:rsidRPr="00973418">
            <w:t>/GJ variation between the D-1 schedule price ($</w:t>
          </w:r>
          <w:r>
            <w:t>17.99</w:t>
          </w:r>
          <w:r w:rsidRPr="00973418">
            <w:t xml:space="preserve">/GJ) and </w:t>
          </w:r>
          <w:r>
            <w:t xml:space="preserve">the </w:t>
          </w:r>
          <w:r w:rsidRPr="00973418">
            <w:t>D+1 schedule price ($</w:t>
          </w:r>
          <w:r>
            <w:t>29.99</w:t>
          </w:r>
          <w:r w:rsidRPr="00973418">
            <w:t>/GJ).</w:t>
          </w:r>
        </w:p>
        <w:p w:rsidR="00066D30" w:rsidRDefault="00066D30" w:rsidP="00066D30">
          <w:r w:rsidRPr="00066D30">
            <w:fldChar w:fldCharType="begin"/>
          </w:r>
          <w:r w:rsidRPr="00066D30">
            <w:instrText xml:space="preserve"> REF _Ref457986929 \h </w:instrText>
          </w:r>
          <w:r>
            <w:instrText xml:space="preserve"> \* MERGEFORMAT </w:instrText>
          </w:r>
          <w:r w:rsidRPr="00066D30">
            <w:fldChar w:fldCharType="separate"/>
          </w:r>
          <w:r w:rsidR="00D94C93">
            <w:t>Figure 17</w:t>
          </w:r>
          <w:r w:rsidRPr="00066D30">
            <w:fldChar w:fldCharType="end"/>
          </w:r>
          <w:r w:rsidRPr="00066D30">
            <w:t xml:space="preserve"> illustrates how the increase in demand for the D+1 schedule (after taking into account the 7 TJ imbalance) resulted in the $12/GJ increase in price.</w:t>
          </w:r>
          <w:r>
            <w:t xml:space="preserve"> Whi</w:t>
          </w:r>
          <w:r w:rsidR="005F2807">
            <w:t>le the imbalance is the main contributor to the price rise (i.e. had demand been forecast accurately, the D+1 price would have been similar to the D-1 price), another influential factor is the inelasticity of supply offers from around $12/GJ and higher.</w:t>
          </w:r>
        </w:p>
        <w:p w:rsidR="003C35FE" w:rsidRDefault="005F2807" w:rsidP="00367430">
          <w:r>
            <w:t xml:space="preserve">There was only 1.1 TJ of supply remaining at the D-1 price of $17.99/GJ. The next price step was for $24.88/GJ. </w:t>
          </w:r>
        </w:p>
        <w:p w:rsidR="005F2807" w:rsidRDefault="00383DB5" w:rsidP="00367430">
          <w:r>
            <w:t xml:space="preserve">As the positive imbalance quantity shifted the demand (bid) curve to the right by 7.1 TJ, the ex post price increase to $29.99/GJ. </w:t>
          </w:r>
        </w:p>
        <w:p w:rsidR="00383DB5" w:rsidRPr="00383DB5" w:rsidRDefault="00383DB5" w:rsidP="00367430">
          <w:r>
            <w:t>The main factor influencing the higher requirement for gas on the day was an unscheduled back haul bid</w:t>
          </w:r>
          <w:r w:rsidR="005F2807">
            <w:t xml:space="preserve"> (EnergyAustralia)</w:t>
          </w:r>
          <w:r>
            <w:t xml:space="preserve"> for 5.3 TJ of gas delivered on the Moomba to Adelaide Pipeline (MAP).</w:t>
          </w:r>
        </w:p>
        <w:p w:rsidR="000B06FD" w:rsidRPr="00F4294F" w:rsidRDefault="004E566F" w:rsidP="00FE60F9">
          <w:r w:rsidRPr="00F4294F">
            <w:fldChar w:fldCharType="begin"/>
          </w:r>
          <w:r w:rsidRPr="00F4294F">
            <w:instrText xml:space="preserve"> REF _Ref457986929 \h </w:instrText>
          </w:r>
          <w:r w:rsidR="005F2807" w:rsidRPr="00F4294F">
            <w:instrText xml:space="preserve"> \* MERGEFORMAT </w:instrText>
          </w:r>
          <w:r w:rsidRPr="00F4294F">
            <w:fldChar w:fldCharType="separate"/>
          </w:r>
          <w:r w:rsidR="00D94C93">
            <w:t>Figure 17</w:t>
          </w:r>
          <w:r w:rsidRPr="00F4294F">
            <w:fldChar w:fldCharType="end"/>
          </w:r>
          <w:r w:rsidRPr="00F4294F">
            <w:t xml:space="preserve"> </w:t>
          </w:r>
          <w:r w:rsidR="006414C2" w:rsidRPr="00F4294F">
            <w:t xml:space="preserve">illustrates </w:t>
          </w:r>
          <w:r w:rsidR="000B06FD" w:rsidRPr="00F4294F">
            <w:t xml:space="preserve">the impact of actual demand being 7.1 TJ higher than forecast in the D-1 schedule. It also shows that supply became more inelastic </w:t>
          </w:r>
          <w:r w:rsidR="00F4294F" w:rsidRPr="00F4294F">
            <w:t>in the D-1 schedule from around $14/GJ and higher. While this didn’t impact the D-1 price significantly, it was in part responsible for the high D+1 price. The D+1 price would have been around $18/GJ</w:t>
          </w:r>
          <w:r w:rsidR="000625FD">
            <w:t xml:space="preserve"> (instead of $29.99/GJ)</w:t>
          </w:r>
          <w:r w:rsidR="00F4294F" w:rsidRPr="00F4294F">
            <w:t xml:space="preserve"> had supply offers remained unchanged from the D-2 to D-1 schedules.</w:t>
          </w:r>
        </w:p>
        <w:p w:rsidR="004A3CD0" w:rsidRDefault="004A3CD0" w:rsidP="004A3CD0">
          <w:pPr>
            <w:pStyle w:val="Caption"/>
          </w:pPr>
          <w:bookmarkStart w:id="112" w:name="_Ref457986929"/>
          <w:r>
            <w:t>Figure </w:t>
          </w:r>
          <w:r w:rsidR="002852EF">
            <w:fldChar w:fldCharType="begin"/>
          </w:r>
          <w:r w:rsidR="002852EF">
            <w:instrText xml:space="preserve"> SEQ</w:instrText>
          </w:r>
          <w:r w:rsidR="002852EF">
            <w:instrText xml:space="preserve"> Figure \* ARABIC </w:instrText>
          </w:r>
          <w:r w:rsidR="002852EF">
            <w:fldChar w:fldCharType="separate"/>
          </w:r>
          <w:r w:rsidR="00D94C93">
            <w:rPr>
              <w:noProof/>
            </w:rPr>
            <w:t>17</w:t>
          </w:r>
          <w:r w:rsidR="002852EF">
            <w:rPr>
              <w:noProof/>
            </w:rPr>
            <w:fldChar w:fldCharType="end"/>
          </w:r>
          <w:bookmarkEnd w:id="112"/>
          <w:r>
            <w:t>: Adelaide STTM, 12 July 2016, D-1 and D+1 schedules (TJ)</w:t>
          </w:r>
        </w:p>
        <w:p w:rsidR="00F57B74" w:rsidRDefault="00FE60F9" w:rsidP="006D4C89">
          <w:r w:rsidRPr="00FE60F9">
            <w:rPr>
              <w:noProof/>
              <w:lang w:eastAsia="en-AU"/>
            </w:rPr>
            <w:drawing>
              <wp:inline distT="0" distB="0" distL="0" distR="0" wp14:anchorId="15F9BA1E" wp14:editId="2865BB3C">
                <wp:extent cx="5382895" cy="3108964"/>
                <wp:effectExtent l="0" t="0" r="8255" b="0"/>
                <wp:docPr id="26" name="Picture 26" descr="Figure 17 illustrates the two day ahead (D-2) provisional schedule, the ex ante (D-1) schedule and the ex post (D+1) schedule for the 12 July 2016 gas day in Adelaid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108964"/>
                        </a:xfrm>
                        <a:prstGeom prst="rect">
                          <a:avLst/>
                        </a:prstGeom>
                        <a:noFill/>
                        <a:ln>
                          <a:noFill/>
                        </a:ln>
                      </pic:spPr>
                    </pic:pic>
                  </a:graphicData>
                </a:graphic>
              </wp:inline>
            </w:drawing>
          </w:r>
        </w:p>
        <w:p w:rsidR="003C3458" w:rsidRDefault="003C3458" w:rsidP="003C3458">
          <w:pPr>
            <w:pStyle w:val="Heading2"/>
          </w:pPr>
          <w:bookmarkStart w:id="113" w:name="_Ref461626357"/>
          <w:bookmarkStart w:id="114" w:name="_Toc466896993"/>
          <w:r>
            <w:t>Wednesday 13 July 2016</w:t>
          </w:r>
          <w:bookmarkEnd w:id="113"/>
          <w:bookmarkEnd w:id="114"/>
        </w:p>
        <w:p w:rsidR="007E11C7" w:rsidRDefault="003C3458" w:rsidP="007E11C7">
          <w:r>
            <w:rPr>
              <w:noProof/>
              <w:lang w:eastAsia="en-AU"/>
            </w:rPr>
            <mc:AlternateContent>
              <mc:Choice Requires="wps">
                <w:drawing>
                  <wp:anchor distT="0" distB="0" distL="114300" distR="114300" simplePos="0" relativeHeight="251673600" behindDoc="0" locked="0" layoutInCell="1" allowOverlap="1" wp14:anchorId="61CCB853" wp14:editId="05C82598">
                    <wp:simplePos x="0" y="0"/>
                    <wp:positionH relativeFrom="column">
                      <wp:posOffset>4371</wp:posOffset>
                    </wp:positionH>
                    <wp:positionV relativeFrom="paragraph">
                      <wp:posOffset>136616</wp:posOffset>
                    </wp:positionV>
                    <wp:extent cx="5399549" cy="1016813"/>
                    <wp:effectExtent l="0" t="0" r="1079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1016813"/>
                            </a:xfrm>
                            <a:prstGeom prst="rect">
                              <a:avLst/>
                            </a:prstGeom>
                            <a:solidFill>
                              <a:srgbClr val="DBE5F1"/>
                            </a:solidFill>
                            <a:ln w="9525">
                              <a:solidFill>
                                <a:srgbClr val="000000"/>
                              </a:solidFill>
                              <a:miter lim="800000"/>
                              <a:headEnd/>
                              <a:tailEnd/>
                            </a:ln>
                          </wps:spPr>
                          <wps:txbx>
                            <w:txbxContent>
                              <w:p w:rsidR="002B723A" w:rsidRPr="00973418" w:rsidRDefault="002B723A" w:rsidP="003C3458">
                                <w:pPr>
                                  <w:ind w:left="2160" w:hanging="2160"/>
                                </w:pPr>
                                <w:r w:rsidRPr="0051165D">
                                  <w:rPr>
                                    <w:b/>
                                  </w:rPr>
                                  <w:t>Adelaide STTM:</w:t>
                                </w:r>
                                <w:r>
                                  <w:tab/>
                                  <w:t xml:space="preserve">There was an </w:t>
                                </w:r>
                                <w:r w:rsidRPr="00973418">
                                  <w:t>$</w:t>
                                </w:r>
                                <w:r>
                                  <w:t>8.08</w:t>
                                </w:r>
                                <w:r w:rsidRPr="00973418">
                                  <w:t>/GJ variation between the D-2 schedule price ($</w:t>
                                </w:r>
                                <w:r>
                                  <w:t>17.80</w:t>
                                </w:r>
                                <w:r w:rsidRPr="00973418">
                                  <w:t>/GJ) and D-1 schedule price ($</w:t>
                                </w:r>
                                <w:r>
                                  <w:t>25.88</w:t>
                                </w:r>
                                <w:r w:rsidRPr="00973418">
                                  <w:t>/GJ).</w:t>
                                </w:r>
                              </w:p>
                              <w:p w:rsidR="002B723A" w:rsidRDefault="002B723A" w:rsidP="003C3458">
                                <w:r w:rsidRPr="0051165D">
                                  <w:rPr>
                                    <w:b/>
                                  </w:rPr>
                                  <w:t>Victorian market:</w:t>
                                </w:r>
                                <w:r w:rsidRPr="00893889">
                                  <w:t xml:space="preserve"> </w:t>
                                </w:r>
                                <w:r>
                                  <w:tab/>
                                  <w:t>T</w:t>
                                </w:r>
                                <w:r w:rsidRPr="00893889">
                                  <w:t>he imbalance price reached $</w:t>
                                </w:r>
                                <w:r>
                                  <w:t>43.33</w:t>
                                </w:r>
                                <w:r w:rsidRPr="00893889">
                                  <w:t>/GJ.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pt;margin-top:10.75pt;width:425.15pt;height:8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" fillcolor="#dbe5f1">
                    <v:textbox>
                      <w:txbxContent>
                        <w:p w:rsidR="002B723A" w:rsidRPr="00973418" w:rsidRDefault="002B723A" w:rsidP="003C3458">
                          <w:pPr>
                            <w:ind w:left="2160" w:hanging="2160"/>
                          </w:pPr>
                          <w:r w:rsidRPr="0051165D">
                            <w:rPr>
                              <w:b/>
                            </w:rPr>
                            <w:t>Adelaide STTM:</w:t>
                          </w:r>
                          <w:r>
                            <w:tab/>
                            <w:t xml:space="preserve">There was an </w:t>
                          </w:r>
                          <w:r w:rsidRPr="00973418">
                            <w:t>$</w:t>
                          </w:r>
                          <w:r>
                            <w:t>8.08</w:t>
                          </w:r>
                          <w:r w:rsidRPr="00973418">
                            <w:t>/GJ variation between the D-2 schedule price ($</w:t>
                          </w:r>
                          <w:r>
                            <w:t>17.80</w:t>
                          </w:r>
                          <w:r w:rsidRPr="00973418">
                            <w:t>/GJ) and D-1 schedule price ($</w:t>
                          </w:r>
                          <w:r>
                            <w:t>25.88</w:t>
                          </w:r>
                          <w:r w:rsidRPr="00973418">
                            <w:t>/GJ).</w:t>
                          </w:r>
                        </w:p>
                        <w:p w:rsidR="002B723A" w:rsidRDefault="002B723A" w:rsidP="003C3458">
                          <w:r w:rsidRPr="0051165D">
                            <w:rPr>
                              <w:b/>
                            </w:rPr>
                            <w:t>Victorian market:</w:t>
                          </w:r>
                          <w:r w:rsidRPr="00893889">
                            <w:t xml:space="preserve"> </w:t>
                          </w:r>
                          <w:r>
                            <w:tab/>
                            <w:t>T</w:t>
                          </w:r>
                          <w:r w:rsidRPr="00893889">
                            <w:t>he imbalance price reached $</w:t>
                          </w:r>
                          <w:r>
                            <w:t>43.33</w:t>
                          </w:r>
                          <w:r w:rsidRPr="00893889">
                            <w:t>/GJ.</w:t>
                          </w:r>
                        </w:p>
                      </w:txbxContent>
                    </v:textbox>
                  </v:shape>
                </w:pict>
              </mc:Fallback>
            </mc:AlternateContent>
          </w:r>
        </w:p>
        <w:p w:rsidR="00B368DC" w:rsidRDefault="00B368DC" w:rsidP="007E11C7"/>
        <w:p w:rsidR="00B368DC" w:rsidRDefault="00B368DC" w:rsidP="007E11C7"/>
        <w:p w:rsidR="00B368DC" w:rsidRDefault="00B368DC" w:rsidP="007E11C7"/>
        <w:p w:rsidR="005B3503" w:rsidRPr="004809C2" w:rsidRDefault="005B3503" w:rsidP="005B3503">
          <w:pPr>
            <w:spacing w:after="120"/>
          </w:pPr>
          <w:r>
            <w:t>High forecast demand in Victoria and high gas fired generation requirements in South Australia upstream of the Adelaide hub drove increased demand for gas in both states.</w:t>
          </w:r>
          <w:r w:rsidRPr="005B3503">
            <w:t xml:space="preserve"> Around the same time, prices for gas traded in the Gas Supply Hub at Wallumbilla aligned with prices set in southern markets, reaching $14.25/GJ for gas traded on 12 July (for delivery on 13 July).</w:t>
          </w:r>
        </w:p>
        <w:p w:rsidR="00DF4B66" w:rsidRDefault="00DF4B66" w:rsidP="006D4C89">
          <w:pPr>
            <w:pStyle w:val="Heading4notnumbered"/>
            <w:spacing w:before="200"/>
            <w:outlineLvl w:val="9"/>
          </w:pPr>
          <w:r>
            <w:t>Victoria</w:t>
          </w:r>
        </w:p>
        <w:p w:rsidR="008100A0" w:rsidRDefault="008100A0" w:rsidP="006D4C89">
          <w:r>
            <w:t xml:space="preserve">On 13 July, the 6 am (beginning of day) price in the Victorian gas market reached </w:t>
          </w:r>
          <w:r w:rsidR="006D4C89">
            <w:t>$43.55/GJ</w:t>
          </w:r>
          <w:r w:rsidR="006D4C89">
            <w:rPr>
              <w:rStyle w:val="FootnoteReference"/>
            </w:rPr>
            <w:footnoteReference w:id="33"/>
          </w:r>
          <w:r w:rsidR="006D4C89">
            <w:t xml:space="preserve"> as temperatures dropped to some of the coldest levels seen this winter (4.5˚C</w:t>
          </w:r>
          <w:r>
            <w:t xml:space="preserve"> in Melbourne</w:t>
          </w:r>
          <w:r w:rsidR="006D4C89">
            <w:t>), leading to forecast demand exceeding 1.15 PJ.</w:t>
          </w:r>
          <w:r w:rsidR="006D4C89">
            <w:rPr>
              <w:rStyle w:val="FootnoteReference"/>
            </w:rPr>
            <w:footnoteReference w:id="34"/>
          </w:r>
          <w:r w:rsidR="006D4C89">
            <w:t xml:space="preserve"> </w:t>
          </w:r>
        </w:p>
        <w:p w:rsidR="008100A0" w:rsidRDefault="008100A0" w:rsidP="008100A0">
          <w:r>
            <w:t>Under forecast demand during the previous gas day led to higher than predicted afternoon consumption. This led to a depletion of the line</w:t>
          </w:r>
          <w:r w:rsidR="008744DA">
            <w:t xml:space="preserve"> </w:t>
          </w:r>
          <w:r>
            <w:t>pack in the system and resulted in actual line</w:t>
          </w:r>
          <w:r w:rsidR="008744DA">
            <w:t xml:space="preserve"> </w:t>
          </w:r>
          <w:r>
            <w:t>pack levels at the beginning of the 13 July gas day being 36.39 TJ below expected levels</w:t>
          </w:r>
          <w:r w:rsidR="006A3973">
            <w:t xml:space="preserve"> (</w:t>
          </w:r>
          <w:r w:rsidR="00505647">
            <w:t xml:space="preserve">demand </w:t>
          </w:r>
          <w:r w:rsidR="006A3973">
            <w:t xml:space="preserve">was </w:t>
          </w:r>
          <w:r w:rsidR="00505647">
            <w:t>forecast at 1266 TJ at 6 am</w:t>
          </w:r>
          <w:r w:rsidR="006A3973">
            <w:t>).</w:t>
          </w:r>
        </w:p>
        <w:p w:rsidR="008100A0" w:rsidRDefault="008100A0" w:rsidP="008100A0">
          <w:r>
            <w:t>High forecast demand and lower line</w:t>
          </w:r>
          <w:r w:rsidR="008744DA">
            <w:t xml:space="preserve"> </w:t>
          </w:r>
          <w:r>
            <w:t xml:space="preserve">pack levels resulted in injections at </w:t>
          </w:r>
          <w:r w:rsidR="00505647">
            <w:t>L</w:t>
          </w:r>
          <w:r>
            <w:t>ongford</w:t>
          </w:r>
          <w:r w:rsidR="00505647">
            <w:t xml:space="preserve"> being profiled towards the start of the gas day.</w:t>
          </w:r>
          <w:r w:rsidR="00505647">
            <w:rPr>
              <w:rStyle w:val="FootnoteReference"/>
            </w:rPr>
            <w:footnoteReference w:id="35"/>
          </w:r>
        </w:p>
        <w:p w:rsidR="008100A0" w:rsidRDefault="008100A0" w:rsidP="008100A0">
          <w:r>
            <w:fldChar w:fldCharType="begin"/>
          </w:r>
          <w:r>
            <w:instrText xml:space="preserve"> REF _Ref461705697 \h </w:instrText>
          </w:r>
          <w:r>
            <w:fldChar w:fldCharType="separate"/>
          </w:r>
          <w:r w:rsidR="00D94C93">
            <w:t>Figure </w:t>
          </w:r>
          <w:r w:rsidR="00D94C93">
            <w:rPr>
              <w:noProof/>
            </w:rPr>
            <w:t>18</w:t>
          </w:r>
          <w:r>
            <w:fldChar w:fldCharType="end"/>
          </w:r>
          <w:r>
            <w:t xml:space="preserve"> shows the under forecasting across the afternoon of 12 July into the morning of 13 July which contributed to depleted line</w:t>
          </w:r>
          <w:r w:rsidR="008744DA">
            <w:t xml:space="preserve"> </w:t>
          </w:r>
          <w:r>
            <w:t>pack levels in the Victorian gas network.</w:t>
          </w:r>
        </w:p>
        <w:p w:rsidR="008100A0" w:rsidRDefault="008100A0" w:rsidP="008100A0">
          <w:pPr>
            <w:pStyle w:val="Caption"/>
          </w:pPr>
          <w:bookmarkStart w:id="115" w:name="_Ref461705697"/>
          <w:r>
            <w:t>Figure </w:t>
          </w:r>
          <w:r w:rsidR="002852EF">
            <w:fldChar w:fldCharType="begin"/>
          </w:r>
          <w:r w:rsidR="002852EF">
            <w:instrText xml:space="preserve"> SEQ Figure \* ARABIC </w:instrText>
          </w:r>
          <w:r w:rsidR="002852EF">
            <w:fldChar w:fldCharType="separate"/>
          </w:r>
          <w:r w:rsidR="00D94C93">
            <w:rPr>
              <w:noProof/>
            </w:rPr>
            <w:t>18</w:t>
          </w:r>
          <w:r w:rsidR="002852EF">
            <w:rPr>
              <w:noProof/>
            </w:rPr>
            <w:fldChar w:fldCharType="end"/>
          </w:r>
          <w:bookmarkEnd w:id="115"/>
          <w:r>
            <w:t>: Forecast demand at each scheduling horizon leading up to and during the 13 July gas day in Victoria</w:t>
          </w:r>
        </w:p>
        <w:p w:rsidR="008100A0" w:rsidRDefault="008100A0" w:rsidP="008100A0">
          <w:r w:rsidRPr="00C83C5D">
            <w:rPr>
              <w:noProof/>
              <w:lang w:eastAsia="en-AU"/>
            </w:rPr>
            <w:drawing>
              <wp:inline distT="0" distB="0" distL="0" distR="0" wp14:anchorId="6A56D8BC" wp14:editId="20C59E0F">
                <wp:extent cx="5382895" cy="2800706"/>
                <wp:effectExtent l="0" t="0" r="8255" b="0"/>
                <wp:docPr id="33" name="Picture 33" descr="Figure 18 shows forecast and actual demand in the Victorian gas market across each hour of gas days 12 and 13 July 2016. Forecast demand from the beginning of each of the 5 scheduling horizons across each gas day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2800706"/>
                        </a:xfrm>
                        <a:prstGeom prst="rect">
                          <a:avLst/>
                        </a:prstGeom>
                        <a:noFill/>
                        <a:ln>
                          <a:noFill/>
                        </a:ln>
                      </pic:spPr>
                    </pic:pic>
                  </a:graphicData>
                </a:graphic>
              </wp:inline>
            </w:drawing>
          </w:r>
        </w:p>
        <w:p w:rsidR="004E566F" w:rsidRDefault="004E566F" w:rsidP="006D4C89">
          <w:r>
            <w:fldChar w:fldCharType="begin"/>
          </w:r>
          <w:r>
            <w:instrText xml:space="preserve"> REF _Ref461637073 \h </w:instrText>
          </w:r>
          <w:r>
            <w:fldChar w:fldCharType="separate"/>
          </w:r>
          <w:r w:rsidR="00D94C93">
            <w:t>Figure </w:t>
          </w:r>
          <w:r w:rsidR="00D94C93">
            <w:rPr>
              <w:noProof/>
            </w:rPr>
            <w:t>19</w:t>
          </w:r>
          <w:r>
            <w:fldChar w:fldCharType="end"/>
          </w:r>
          <w:r>
            <w:t xml:space="preserve"> shows</w:t>
          </w:r>
          <w:r w:rsidR="00505647">
            <w:t xml:space="preserve"> the scheduled (6 am and 10 am schedules) line</w:t>
          </w:r>
          <w:r w:rsidR="008744DA">
            <w:t xml:space="preserve"> </w:t>
          </w:r>
          <w:r w:rsidR="00505647">
            <w:t>pack quantities and actual line</w:t>
          </w:r>
          <w:r w:rsidR="008744DA">
            <w:t xml:space="preserve"> </w:t>
          </w:r>
          <w:r w:rsidR="00505647">
            <w:t>pack levels (at each of the five scheduling horizons) on 13 July and surrounding days. The figure illustrates the 36.4 TJ line</w:t>
          </w:r>
          <w:r w:rsidR="008744DA">
            <w:t xml:space="preserve"> </w:t>
          </w:r>
          <w:r w:rsidR="00505647">
            <w:t>pack shortfall at the beginning of the 13 July gas day and the relatively high level of supply required on the gas day.</w:t>
          </w:r>
        </w:p>
        <w:p w:rsidR="007E4800" w:rsidRDefault="007E4800" w:rsidP="007E4800">
          <w:pPr>
            <w:pStyle w:val="Caption"/>
          </w:pPr>
          <w:bookmarkStart w:id="116" w:name="_Ref461637073"/>
          <w:r>
            <w:t>Figure </w:t>
          </w:r>
          <w:r w:rsidR="002852EF">
            <w:fldChar w:fldCharType="begin"/>
          </w:r>
          <w:r w:rsidR="002852EF">
            <w:instrText xml:space="preserve"> SEQ Figure \* ARABIC </w:instrText>
          </w:r>
          <w:r w:rsidR="002852EF">
            <w:fldChar w:fldCharType="separate"/>
          </w:r>
          <w:r w:rsidR="00D94C93">
            <w:rPr>
              <w:noProof/>
            </w:rPr>
            <w:t>19</w:t>
          </w:r>
          <w:r w:rsidR="002852EF">
            <w:rPr>
              <w:noProof/>
            </w:rPr>
            <w:fldChar w:fldCharType="end"/>
          </w:r>
          <w:bookmarkEnd w:id="116"/>
          <w:r>
            <w:t xml:space="preserve">: </w:t>
          </w:r>
          <w:r w:rsidR="00FB0E92">
            <w:t xml:space="preserve">Scheduled hourly </w:t>
          </w:r>
          <w:r w:rsidR="008744DA">
            <w:t>line pack</w:t>
          </w:r>
          <w:r w:rsidR="00FB0E92">
            <w:t xml:space="preserve"> levels in Victoria*</w:t>
          </w:r>
        </w:p>
        <w:p w:rsidR="00F1449C" w:rsidRDefault="0002263E" w:rsidP="006D4C89">
          <w:r w:rsidRPr="0002263E">
            <w:rPr>
              <w:noProof/>
              <w:lang w:eastAsia="en-AU"/>
            </w:rPr>
            <w:drawing>
              <wp:inline distT="0" distB="0" distL="0" distR="0" wp14:anchorId="584D5F4B" wp14:editId="2B4DA2C7">
                <wp:extent cx="5382895" cy="2803374"/>
                <wp:effectExtent l="0" t="0" r="8255" b="0"/>
                <wp:docPr id="35" name="Picture 35" descr="Figure 19 shows the scheduled (active/usable) line pack quantities and actual line pack levels in the Victorian market on 13 July and surrounding gas days. Forecast hourly line pack is displayed for each of the five scheduling horizons on 13 July, alongside actual linepack levels at the beginning of the five schedules. The figure also shows the scheduled supply to the market, measured against the secondary vertic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2803374"/>
                        </a:xfrm>
                        <a:prstGeom prst="rect">
                          <a:avLst/>
                        </a:prstGeom>
                        <a:noFill/>
                        <a:ln>
                          <a:noFill/>
                        </a:ln>
                      </pic:spPr>
                    </pic:pic>
                  </a:graphicData>
                </a:graphic>
              </wp:inline>
            </w:drawing>
          </w:r>
          <w:r w:rsidR="00FB0E92" w:rsidRPr="00FB0E92">
            <w:rPr>
              <w:sz w:val="16"/>
              <w:szCs w:val="16"/>
            </w:rPr>
            <w:t xml:space="preserve">* </w:t>
          </w:r>
          <w:r w:rsidR="004777D0">
            <w:rPr>
              <w:sz w:val="16"/>
              <w:szCs w:val="16"/>
            </w:rPr>
            <w:t>O</w:t>
          </w:r>
          <w:r w:rsidR="004777D0" w:rsidRPr="00FB0E92">
            <w:rPr>
              <w:sz w:val="16"/>
              <w:szCs w:val="16"/>
            </w:rPr>
            <w:t>perational schedule l</w:t>
          </w:r>
          <w:r w:rsidR="004777D0">
            <w:rPr>
              <w:sz w:val="16"/>
              <w:szCs w:val="16"/>
            </w:rPr>
            <w:t>ine</w:t>
          </w:r>
          <w:r w:rsidR="008744DA">
            <w:rPr>
              <w:sz w:val="16"/>
              <w:szCs w:val="16"/>
            </w:rPr>
            <w:t xml:space="preserve"> </w:t>
          </w:r>
          <w:r w:rsidR="004777D0">
            <w:rPr>
              <w:sz w:val="16"/>
              <w:szCs w:val="16"/>
            </w:rPr>
            <w:t>pack data is shown for each</w:t>
          </w:r>
          <w:r w:rsidR="004777D0" w:rsidRPr="00FB0E92">
            <w:rPr>
              <w:sz w:val="16"/>
              <w:szCs w:val="16"/>
            </w:rPr>
            <w:t xml:space="preserve"> gas day (beginning at 6 am). </w:t>
          </w:r>
          <w:r w:rsidR="004777D0">
            <w:rPr>
              <w:sz w:val="16"/>
              <w:szCs w:val="16"/>
            </w:rPr>
            <w:t>For 13 July, actual and scheduled line</w:t>
          </w:r>
          <w:r w:rsidR="008744DA">
            <w:rPr>
              <w:sz w:val="16"/>
              <w:szCs w:val="16"/>
            </w:rPr>
            <w:t xml:space="preserve"> </w:t>
          </w:r>
          <w:r w:rsidR="004777D0">
            <w:rPr>
              <w:sz w:val="16"/>
              <w:szCs w:val="16"/>
            </w:rPr>
            <w:t>pack i</w:t>
          </w:r>
          <w:r w:rsidR="004777D0" w:rsidRPr="00FB0E92">
            <w:rPr>
              <w:sz w:val="16"/>
              <w:szCs w:val="16"/>
            </w:rPr>
            <w:t xml:space="preserve">nformation </w:t>
          </w:r>
          <w:r w:rsidR="004777D0">
            <w:rPr>
              <w:sz w:val="16"/>
              <w:szCs w:val="16"/>
            </w:rPr>
            <w:t>is</w:t>
          </w:r>
          <w:r w:rsidR="008C2164">
            <w:rPr>
              <w:sz w:val="16"/>
              <w:szCs w:val="16"/>
            </w:rPr>
            <w:t xml:space="preserve"> displayed</w:t>
          </w:r>
          <w:r w:rsidR="004777D0">
            <w:rPr>
              <w:sz w:val="16"/>
              <w:szCs w:val="16"/>
            </w:rPr>
            <w:t xml:space="preserve"> </w:t>
          </w:r>
          <w:r w:rsidR="004777D0" w:rsidRPr="00FB0E92">
            <w:rPr>
              <w:sz w:val="16"/>
              <w:szCs w:val="16"/>
            </w:rPr>
            <w:t>for the five scheduling horizons at 6 am, 10 am, 2 pm, 6 pm and 10 pm. Scheduled injection</w:t>
          </w:r>
          <w:r w:rsidR="004777D0">
            <w:rPr>
              <w:sz w:val="16"/>
              <w:szCs w:val="16"/>
            </w:rPr>
            <w:t>s</w:t>
          </w:r>
          <w:r w:rsidR="004777D0" w:rsidRPr="00FB0E92">
            <w:rPr>
              <w:sz w:val="16"/>
              <w:szCs w:val="16"/>
            </w:rPr>
            <w:t xml:space="preserve"> </w:t>
          </w:r>
          <w:r w:rsidR="004777D0">
            <w:rPr>
              <w:sz w:val="16"/>
              <w:szCs w:val="16"/>
            </w:rPr>
            <w:t xml:space="preserve">for each scheduling horizon, </w:t>
          </w:r>
          <w:r w:rsidR="004777D0" w:rsidRPr="00FB0E92">
            <w:rPr>
              <w:sz w:val="16"/>
              <w:szCs w:val="16"/>
            </w:rPr>
            <w:t>represent</w:t>
          </w:r>
          <w:r w:rsidR="004777D0">
            <w:rPr>
              <w:sz w:val="16"/>
              <w:szCs w:val="16"/>
            </w:rPr>
            <w:t>ing</w:t>
          </w:r>
          <w:r w:rsidR="004777D0" w:rsidRPr="00FB0E92">
            <w:rPr>
              <w:sz w:val="16"/>
              <w:szCs w:val="16"/>
            </w:rPr>
            <w:t xml:space="preserve"> the total amount of gas </w:t>
          </w:r>
          <w:r w:rsidR="004777D0">
            <w:rPr>
              <w:sz w:val="16"/>
              <w:szCs w:val="16"/>
            </w:rPr>
            <w:t xml:space="preserve">to be delivered across </w:t>
          </w:r>
          <w:r w:rsidR="004777D0" w:rsidRPr="00FB0E92">
            <w:rPr>
              <w:sz w:val="16"/>
              <w:szCs w:val="16"/>
            </w:rPr>
            <w:t>for the entire gas day</w:t>
          </w:r>
          <w:r w:rsidR="004777D0">
            <w:rPr>
              <w:sz w:val="16"/>
              <w:szCs w:val="16"/>
            </w:rPr>
            <w:t>, are</w:t>
          </w:r>
          <w:r w:rsidR="004777D0" w:rsidRPr="00FB0E92">
            <w:rPr>
              <w:sz w:val="16"/>
              <w:szCs w:val="16"/>
            </w:rPr>
            <w:t xml:space="preserve"> measured on the secondary vertical axis</w:t>
          </w:r>
          <w:r w:rsidR="004777D0">
            <w:rPr>
              <w:sz w:val="16"/>
              <w:szCs w:val="16"/>
            </w:rPr>
            <w:t>.</w:t>
          </w:r>
        </w:p>
        <w:p w:rsidR="00DF1C4D" w:rsidRDefault="00DF1C4D" w:rsidP="00FA337C">
          <w:r>
            <w:t xml:space="preserve">The available offers to supply gas in Victoria for 13 January were similar to the surrounding days. Given the high demand and low line pack levels, the high beginning of day price was not </w:t>
          </w:r>
          <w:r w:rsidR="001E45D4">
            <w:t xml:space="preserve">unexpected </w:t>
          </w:r>
          <w:r>
            <w:t xml:space="preserve">under </w:t>
          </w:r>
          <w:r w:rsidR="001E45D4">
            <w:t>such</w:t>
          </w:r>
          <w:r>
            <w:t xml:space="preserve"> circumstances. </w:t>
          </w:r>
        </w:p>
        <w:p w:rsidR="00FA337C" w:rsidRDefault="00FA337C" w:rsidP="00FA337C">
          <w:r>
            <w:fldChar w:fldCharType="begin"/>
          </w:r>
          <w:r>
            <w:instrText xml:space="preserve"> REF _Ref461708213 \h </w:instrText>
          </w:r>
          <w:r>
            <w:fldChar w:fldCharType="separate"/>
          </w:r>
          <w:r w:rsidR="00D94C93">
            <w:t>Figure </w:t>
          </w:r>
          <w:r w:rsidR="00D94C93">
            <w:rPr>
              <w:noProof/>
            </w:rPr>
            <w:t>20</w:t>
          </w:r>
          <w:r>
            <w:fldChar w:fldCharType="end"/>
          </w:r>
          <w:r>
            <w:t xml:space="preserve"> shows the hourly injection quantities for 13 July, illustrating the higher injection quantities profiled during the beginning of the gas day at Longford to </w:t>
          </w:r>
          <w:r w:rsidR="00971B49">
            <w:t>assist in replenishing</w:t>
          </w:r>
          <w:r>
            <w:t xml:space="preserve"> </w:t>
          </w:r>
          <w:r w:rsidR="008744DA">
            <w:t>line pack</w:t>
          </w:r>
          <w:r>
            <w:t xml:space="preserve"> levels and </w:t>
          </w:r>
          <w:r w:rsidR="00971B49">
            <w:t xml:space="preserve">catering for the </w:t>
          </w:r>
          <w:r>
            <w:t>high demand</w:t>
          </w:r>
          <w:r w:rsidR="00971B49">
            <w:t xml:space="preserve"> expected on the gas day</w:t>
          </w:r>
          <w:r>
            <w:t>.</w:t>
          </w:r>
        </w:p>
        <w:p w:rsidR="00FA337C" w:rsidRDefault="00FA337C" w:rsidP="00FA337C">
          <w:pPr>
            <w:pStyle w:val="Caption"/>
          </w:pPr>
          <w:bookmarkStart w:id="117" w:name="_Ref461708213"/>
          <w:r>
            <w:t>Figure </w:t>
          </w:r>
          <w:r w:rsidR="002852EF">
            <w:fldChar w:fldCharType="begin"/>
          </w:r>
          <w:r w:rsidR="002852EF">
            <w:instrText xml:space="preserve"> SEQ Figure \* ARABIC </w:instrText>
          </w:r>
          <w:r w:rsidR="002852EF">
            <w:fldChar w:fldCharType="separate"/>
          </w:r>
          <w:r w:rsidR="00D94C93">
            <w:rPr>
              <w:noProof/>
            </w:rPr>
            <w:t>20</w:t>
          </w:r>
          <w:r w:rsidR="002852EF">
            <w:rPr>
              <w:noProof/>
            </w:rPr>
            <w:fldChar w:fldCharType="end"/>
          </w:r>
          <w:bookmarkEnd w:id="117"/>
          <w:r>
            <w:t>: Hourly injection quantities in Victoria on the 13 July gas day</w:t>
          </w:r>
        </w:p>
        <w:p w:rsidR="005F2807" w:rsidRDefault="00194640" w:rsidP="006D4C89">
          <w:pPr>
            <w:pStyle w:val="Heading4notnumbered"/>
            <w:spacing w:before="200"/>
            <w:outlineLvl w:val="9"/>
          </w:pPr>
          <w:r w:rsidRPr="00194640">
            <w:rPr>
              <w:noProof/>
              <w:lang w:eastAsia="en-AU"/>
            </w:rPr>
            <w:drawing>
              <wp:inline distT="0" distB="0" distL="0" distR="0" wp14:anchorId="5C6A80A9" wp14:editId="7CD6C176">
                <wp:extent cx="5382895" cy="2608353"/>
                <wp:effectExtent l="0" t="0" r="8255" b="1905"/>
                <wp:docPr id="34" name="Picture 34" descr="Figure 20 shows the metered injections sorted by facility for each hour of the 13 July gas day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2608353"/>
                        </a:xfrm>
                        <a:prstGeom prst="rect">
                          <a:avLst/>
                        </a:prstGeom>
                        <a:noFill/>
                        <a:ln>
                          <a:noFill/>
                        </a:ln>
                      </pic:spPr>
                    </pic:pic>
                  </a:graphicData>
                </a:graphic>
              </wp:inline>
            </w:drawing>
          </w:r>
        </w:p>
        <w:p w:rsidR="00DF4B66" w:rsidRDefault="00DF4B66" w:rsidP="006D4C89">
          <w:pPr>
            <w:pStyle w:val="Heading4notnumbered"/>
            <w:spacing w:before="200"/>
            <w:outlineLvl w:val="9"/>
          </w:pPr>
          <w:r>
            <w:t>Adelaide</w:t>
          </w:r>
        </w:p>
        <w:p w:rsidR="005F2807" w:rsidRPr="00981289" w:rsidRDefault="004B7C61" w:rsidP="00367430">
          <w:pPr>
            <w:pStyle w:val="Tabletitle"/>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_Ref461629552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9</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B1040A">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B1040A">
            <w:rPr>
              <w:rFonts w:asciiTheme="minorHAnsi" w:eastAsia="Times New Roman" w:hAnsiTheme="minorHAnsi" w:cs="Arial"/>
              <w:b w:val="0"/>
              <w:color w:val="auto"/>
              <w:sz w:val="22"/>
              <w:szCs w:val="22"/>
            </w:rPr>
            <w:t xml:space="preserve"> each of the gas schedules for the 13 July gas day in Adelaide.</w:t>
          </w:r>
        </w:p>
        <w:p w:rsidR="00367430" w:rsidRDefault="00367430" w:rsidP="00367430">
          <w:pPr>
            <w:pStyle w:val="Tabletitle"/>
            <w:rPr>
              <w:noProof/>
              <w:color w:val="FF0000"/>
              <w:lang w:eastAsia="en-AU"/>
            </w:rPr>
          </w:pPr>
          <w:bookmarkStart w:id="118" w:name="_Ref461629552"/>
          <w:r>
            <w:t>Table </w:t>
          </w:r>
          <w:r w:rsidR="002852EF">
            <w:fldChar w:fldCharType="begin"/>
          </w:r>
          <w:r w:rsidR="002852EF">
            <w:instrText xml:space="preserve"> SEQ Table \* ARABIC </w:instrText>
          </w:r>
          <w:r w:rsidR="002852EF">
            <w:fldChar w:fldCharType="separate"/>
          </w:r>
          <w:r w:rsidR="00D94C93">
            <w:rPr>
              <w:noProof/>
            </w:rPr>
            <w:t>9</w:t>
          </w:r>
          <w:r w:rsidR="002852EF">
            <w:rPr>
              <w:noProof/>
            </w:rPr>
            <w:fldChar w:fldCharType="end"/>
          </w:r>
          <w:bookmarkEnd w:id="118"/>
          <w:r>
            <w:rPr>
              <w:noProof/>
            </w:rPr>
            <w:t>: Adelaide prices and quantities, all schedules, 13 July</w:t>
          </w:r>
        </w:p>
        <w:tbl>
          <w:tblPr>
            <w:tblStyle w:val="AERsummarytable"/>
            <w:tblW w:w="0" w:type="auto"/>
            <w:tblLook w:val="04A0" w:firstRow="1" w:lastRow="0" w:firstColumn="1" w:lastColumn="0" w:noHBand="0" w:noVBand="1"/>
          </w:tblPr>
          <w:tblGrid>
            <w:gridCol w:w="1767"/>
            <w:gridCol w:w="1731"/>
            <w:gridCol w:w="1731"/>
            <w:gridCol w:w="1732"/>
            <w:gridCol w:w="1732"/>
          </w:tblGrid>
          <w:tr w:rsidR="00367430" w:rsidTr="004B7C61">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367430" w:rsidRPr="00C64C3D" w:rsidRDefault="00367430" w:rsidP="00A96D53">
                <w:pPr>
                  <w:rPr>
                    <w:sz w:val="20"/>
                  </w:rPr>
                </w:pPr>
                <w:r w:rsidRPr="00C64C3D">
                  <w:rPr>
                    <w:sz w:val="20"/>
                  </w:rPr>
                  <w:t>Schedule</w:t>
                </w:r>
              </w:p>
            </w:tc>
            <w:tc>
              <w:tcPr>
                <w:tcW w:w="1731" w:type="dxa"/>
                <w:vAlign w:val="center"/>
              </w:tcPr>
              <w:p w:rsidR="00367430" w:rsidRPr="00C64C3D" w:rsidRDefault="00367430" w:rsidP="00BA4FA2">
                <w:pPr>
                  <w:jc w:val="center"/>
                  <w:rPr>
                    <w:sz w:val="20"/>
                  </w:rPr>
                </w:pPr>
                <w:r w:rsidRPr="00C64C3D">
                  <w:rPr>
                    <w:sz w:val="20"/>
                  </w:rPr>
                  <w:t>D-3</w:t>
                </w:r>
              </w:p>
            </w:tc>
            <w:tc>
              <w:tcPr>
                <w:tcW w:w="1731" w:type="dxa"/>
                <w:vAlign w:val="center"/>
              </w:tcPr>
              <w:p w:rsidR="00367430" w:rsidRPr="00C64C3D" w:rsidRDefault="00367430" w:rsidP="00BA4FA2">
                <w:pPr>
                  <w:jc w:val="center"/>
                  <w:rPr>
                    <w:sz w:val="20"/>
                  </w:rPr>
                </w:pPr>
                <w:r w:rsidRPr="00C64C3D">
                  <w:rPr>
                    <w:sz w:val="20"/>
                  </w:rPr>
                  <w:t>D-2</w:t>
                </w:r>
              </w:p>
            </w:tc>
            <w:tc>
              <w:tcPr>
                <w:tcW w:w="1732" w:type="dxa"/>
                <w:vAlign w:val="center"/>
              </w:tcPr>
              <w:p w:rsidR="00367430" w:rsidRPr="00C64C3D" w:rsidRDefault="00367430" w:rsidP="00BA4FA2">
                <w:pPr>
                  <w:jc w:val="center"/>
                  <w:rPr>
                    <w:sz w:val="20"/>
                  </w:rPr>
                </w:pPr>
                <w:r w:rsidRPr="00C64C3D">
                  <w:rPr>
                    <w:sz w:val="20"/>
                  </w:rPr>
                  <w:t>D-1</w:t>
                </w:r>
              </w:p>
            </w:tc>
            <w:tc>
              <w:tcPr>
                <w:tcW w:w="1732" w:type="dxa"/>
                <w:vAlign w:val="center"/>
              </w:tcPr>
              <w:p w:rsidR="00367430" w:rsidRPr="00C64C3D" w:rsidRDefault="00367430" w:rsidP="00BA4FA2">
                <w:pPr>
                  <w:jc w:val="center"/>
                  <w:rPr>
                    <w:sz w:val="20"/>
                  </w:rPr>
                </w:pPr>
                <w:r w:rsidRPr="00C64C3D">
                  <w:rPr>
                    <w:sz w:val="20"/>
                  </w:rPr>
                  <w:t>D+1</w:t>
                </w:r>
              </w:p>
            </w:tc>
          </w:tr>
          <w:tr w:rsidR="00367430" w:rsidTr="004B7C61">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Price ($/GJ)</w:t>
                </w:r>
              </w:p>
            </w:tc>
            <w:tc>
              <w:tcPr>
                <w:tcW w:w="1731" w:type="dxa"/>
                <w:vAlign w:val="center"/>
              </w:tcPr>
              <w:p w:rsidR="00367430" w:rsidRDefault="00367430" w:rsidP="00BA4FA2">
                <w:pPr>
                  <w:jc w:val="center"/>
                </w:pPr>
                <w:r>
                  <w:t>$12.30</w:t>
                </w:r>
              </w:p>
            </w:tc>
            <w:tc>
              <w:tcPr>
                <w:tcW w:w="1731" w:type="dxa"/>
                <w:vAlign w:val="center"/>
              </w:tcPr>
              <w:p w:rsidR="00367430" w:rsidRDefault="00367430" w:rsidP="00BA4FA2">
                <w:pPr>
                  <w:jc w:val="center"/>
                </w:pPr>
                <w:r>
                  <w:t>$17.80</w:t>
                </w:r>
              </w:p>
            </w:tc>
            <w:tc>
              <w:tcPr>
                <w:tcW w:w="1732" w:type="dxa"/>
                <w:vAlign w:val="center"/>
              </w:tcPr>
              <w:p w:rsidR="00367430" w:rsidRDefault="00367430" w:rsidP="00BA4FA2">
                <w:pPr>
                  <w:jc w:val="center"/>
                </w:pPr>
                <w:r>
                  <w:t>$25.88</w:t>
                </w:r>
              </w:p>
            </w:tc>
            <w:tc>
              <w:tcPr>
                <w:tcW w:w="1732" w:type="dxa"/>
                <w:vAlign w:val="center"/>
              </w:tcPr>
              <w:p w:rsidR="00367430" w:rsidRDefault="00367430" w:rsidP="00BA4FA2">
                <w:pPr>
                  <w:jc w:val="center"/>
                </w:pPr>
                <w:r>
                  <w:t>$23.50</w:t>
                </w:r>
              </w:p>
            </w:tc>
          </w:tr>
          <w:tr w:rsidR="00367430" w:rsidTr="004B7C61">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Quantity (TJ)</w:t>
                </w:r>
              </w:p>
            </w:tc>
            <w:tc>
              <w:tcPr>
                <w:tcW w:w="1731" w:type="dxa"/>
                <w:vAlign w:val="center"/>
              </w:tcPr>
              <w:p w:rsidR="00367430" w:rsidRDefault="00367430" w:rsidP="00BA4FA2">
                <w:pPr>
                  <w:jc w:val="center"/>
                </w:pPr>
                <w:r>
                  <w:t>94.3</w:t>
                </w:r>
              </w:p>
            </w:tc>
            <w:tc>
              <w:tcPr>
                <w:tcW w:w="1731" w:type="dxa"/>
                <w:vAlign w:val="center"/>
              </w:tcPr>
              <w:p w:rsidR="00367430" w:rsidRDefault="00367430" w:rsidP="00BA4FA2">
                <w:pPr>
                  <w:jc w:val="center"/>
                </w:pPr>
                <w:r>
                  <w:t>95.31</w:t>
                </w:r>
              </w:p>
            </w:tc>
            <w:tc>
              <w:tcPr>
                <w:tcW w:w="1732" w:type="dxa"/>
                <w:vAlign w:val="center"/>
              </w:tcPr>
              <w:p w:rsidR="00367430" w:rsidRDefault="00367430" w:rsidP="00BA4FA2">
                <w:pPr>
                  <w:jc w:val="center"/>
                </w:pPr>
                <w:r>
                  <w:t>101.8</w:t>
                </w:r>
              </w:p>
            </w:tc>
            <w:tc>
              <w:tcPr>
                <w:tcW w:w="1732" w:type="dxa"/>
                <w:vAlign w:val="center"/>
              </w:tcPr>
              <w:p w:rsidR="00367430" w:rsidRDefault="00367430" w:rsidP="00BA4FA2">
                <w:pPr>
                  <w:jc w:val="center"/>
                </w:pPr>
                <w:r>
                  <w:t>-1.632</w:t>
                </w:r>
              </w:p>
            </w:tc>
          </w:tr>
        </w:tbl>
        <w:p w:rsidR="00F31A67" w:rsidRDefault="00F31A67" w:rsidP="00F31A67">
          <w:r>
            <w:t xml:space="preserve">The D-1 price was the highest ever for the Adelaide STTM, beating the previous record set days earlier for the 6 July gas day. </w:t>
          </w:r>
        </w:p>
        <w:p w:rsidR="00F31A67" w:rsidRDefault="005F2807" w:rsidP="00F31A67">
          <w:pPr>
            <w:rPr>
              <w:rFonts w:asciiTheme="minorHAnsi" w:eastAsia="Times New Roman" w:hAnsiTheme="minorHAnsi" w:cs="Arial"/>
            </w:rPr>
          </w:pPr>
          <w:r w:rsidRPr="008A0A02">
            <w:rPr>
              <w:rFonts w:asciiTheme="minorHAnsi" w:eastAsia="Times New Roman" w:hAnsiTheme="minorHAnsi" w:cs="Arial"/>
            </w:rPr>
            <w:t xml:space="preserve">The main drivers behind the </w:t>
          </w:r>
          <w:r w:rsidR="00F31A67" w:rsidRPr="00973418">
            <w:t>$</w:t>
          </w:r>
          <w:r w:rsidR="00F31A67">
            <w:t>8.08</w:t>
          </w:r>
          <w:r w:rsidR="00F31A67" w:rsidRPr="00973418">
            <w:t>/GJ variation between the D-2 schedule price ($</w:t>
          </w:r>
          <w:r w:rsidR="00F31A67">
            <w:t>17.80</w:t>
          </w:r>
          <w:r w:rsidR="00F31A67" w:rsidRPr="00973418">
            <w:t>/GJ) and D-1 schedule price ($</w:t>
          </w:r>
          <w:r w:rsidR="00F31A67">
            <w:t>25.88</w:t>
          </w:r>
          <w:r w:rsidR="00F31A67" w:rsidRPr="00973418">
            <w:t>/GJ)</w:t>
          </w:r>
          <w:r w:rsidRPr="008A0A02">
            <w:rPr>
              <w:rFonts w:asciiTheme="minorHAnsi" w:eastAsia="Times New Roman" w:hAnsiTheme="minorHAnsi" w:cs="Arial"/>
            </w:rPr>
            <w:t xml:space="preserve"> </w:t>
          </w:r>
          <w:r w:rsidR="00F31A67">
            <w:rPr>
              <w:rFonts w:asciiTheme="minorHAnsi" w:eastAsia="Times New Roman" w:hAnsiTheme="minorHAnsi" w:cs="Arial"/>
            </w:rPr>
            <w:t xml:space="preserve">were an increase in both uninterruptable and controllable demand </w:t>
          </w:r>
          <w:r w:rsidR="00F31A67" w:rsidRPr="00A40CE7">
            <w:rPr>
              <w:rFonts w:asciiTheme="minorHAnsi" w:eastAsia="Times New Roman" w:hAnsiTheme="minorHAnsi" w:cs="Arial"/>
            </w:rPr>
            <w:t>and a reduction in low priced supply offers.</w:t>
          </w:r>
        </w:p>
        <w:p w:rsidR="005F2807" w:rsidRDefault="00F31A67" w:rsidP="005F2807">
          <w:pPr>
            <w:rPr>
              <w:rFonts w:asciiTheme="minorHAnsi" w:eastAsia="Times New Roman" w:hAnsiTheme="minorHAnsi" w:cs="Arial"/>
            </w:rPr>
          </w:pPr>
          <w:r>
            <w:rPr>
              <w:rFonts w:asciiTheme="minorHAnsi" w:eastAsia="Times New Roman" w:hAnsiTheme="minorHAnsi" w:cs="Arial"/>
            </w:rPr>
            <w:t>The main contributor to the increase in uninterruptable demand was EnergyAustralia, which increased its price taker bid for the D-1 schedule by over 1.4 TJ.</w:t>
          </w:r>
          <w:r w:rsidR="009212EC">
            <w:rPr>
              <w:rFonts w:asciiTheme="minorHAnsi" w:eastAsia="Times New Roman" w:hAnsiTheme="minorHAnsi" w:cs="Arial"/>
            </w:rPr>
            <w:t xml:space="preserve"> Origin also increased its price taker bid by 700 GJ.</w:t>
          </w:r>
        </w:p>
        <w:p w:rsidR="00F31A67" w:rsidRDefault="00E3010D" w:rsidP="005F2807">
          <w:pPr>
            <w:rPr>
              <w:rFonts w:asciiTheme="minorHAnsi" w:eastAsia="Times New Roman" w:hAnsiTheme="minorHAnsi" w:cs="Arial"/>
            </w:rPr>
          </w:pPr>
          <w:r>
            <w:rPr>
              <w:rFonts w:asciiTheme="minorHAnsi" w:eastAsia="Times New Roman" w:hAnsiTheme="minorHAnsi" w:cs="Arial"/>
            </w:rPr>
            <w:t xml:space="preserve">EnergyAustralia was also the main contributor to the increase in controllable demand, however its market impact was minimised somewhat by an increase in lower priced offers of a similar quantity. </w:t>
          </w:r>
        </w:p>
        <w:p w:rsidR="00986A77" w:rsidRDefault="00E3010D" w:rsidP="00E3010D">
          <w:r>
            <w:t xml:space="preserve">For the D-1 schedule, EnergyAustralia increased its backhaul bid on the </w:t>
          </w:r>
          <w:r w:rsidR="00903CA3">
            <w:t xml:space="preserve">MAP </w:t>
          </w:r>
          <w:r>
            <w:t>priced at or above $25.88/GJ by 4 TJ.</w:t>
          </w:r>
          <w:r>
            <w:rPr>
              <w:rStyle w:val="FootnoteReference"/>
            </w:rPr>
            <w:footnoteReference w:id="36"/>
          </w:r>
          <w:r>
            <w:t xml:space="preserve"> EnergyAustralia also increased its offers on SEAGas priced at or below $25.88/GJ by 3.5 TJ.</w:t>
          </w:r>
          <w:r w:rsidR="00986A77">
            <w:t xml:space="preserve"> The net impact still applied upwards pressure on prices; however the quantity of gas was only 500 GJ.</w:t>
          </w:r>
          <w:r w:rsidR="00986A77">
            <w:rPr>
              <w:rStyle w:val="FootnoteReference"/>
            </w:rPr>
            <w:footnoteReference w:id="37"/>
          </w:r>
        </w:p>
        <w:p w:rsidR="00E3010D" w:rsidRDefault="00FC377E" w:rsidP="005F2807">
          <w:pPr>
            <w:rPr>
              <w:rFonts w:asciiTheme="minorHAnsi" w:eastAsia="Times New Roman" w:hAnsiTheme="minorHAnsi" w:cs="Arial"/>
            </w:rPr>
          </w:pPr>
          <w:r>
            <w:rPr>
              <w:rFonts w:asciiTheme="minorHAnsi" w:eastAsia="Times New Roman" w:hAnsiTheme="minorHAnsi" w:cs="Arial"/>
            </w:rPr>
            <w:t>The main contributor to the reduction in low priced offers was AGL. For the D-1 schedule, AGL reduced its offers</w:t>
          </w:r>
          <w:r w:rsidR="00E03098">
            <w:rPr>
              <w:rFonts w:asciiTheme="minorHAnsi" w:eastAsia="Times New Roman" w:hAnsiTheme="minorHAnsi" w:cs="Arial"/>
            </w:rPr>
            <w:t xml:space="preserve"> on</w:t>
          </w:r>
          <w:r>
            <w:rPr>
              <w:rFonts w:asciiTheme="minorHAnsi" w:eastAsia="Times New Roman" w:hAnsiTheme="minorHAnsi" w:cs="Arial"/>
            </w:rPr>
            <w:t xml:space="preserve"> SEAGas priced at or below $25.88/GJ by 3.4 TJ.</w:t>
          </w:r>
        </w:p>
        <w:p w:rsidR="00B6750E" w:rsidRDefault="004E566F" w:rsidP="006D4C89">
          <w:r w:rsidRPr="00B6750E">
            <w:fldChar w:fldCharType="begin"/>
          </w:r>
          <w:r w:rsidRPr="00B6750E">
            <w:instrText xml:space="preserve"> REF _Ref461637099 \h </w:instrText>
          </w:r>
          <w:r w:rsidR="00E156B8" w:rsidRPr="00B6750E">
            <w:instrText xml:space="preserve"> \* MERGEFORMAT </w:instrText>
          </w:r>
          <w:r w:rsidRPr="00B6750E">
            <w:fldChar w:fldCharType="separate"/>
          </w:r>
          <w:r w:rsidR="00D94C93">
            <w:t>Figure 21</w:t>
          </w:r>
          <w:r w:rsidRPr="00B6750E">
            <w:fldChar w:fldCharType="end"/>
          </w:r>
          <w:r w:rsidRPr="00B6750E">
            <w:t xml:space="preserve"> </w:t>
          </w:r>
          <w:r w:rsidR="00B6750E" w:rsidRPr="00B6750E">
            <w:t>illustrates the increase in higher priced bids and the reduction in lower priced supply offers from the D-2 to the D-1 schedules and in turn how these changes resulted in the $8.08/GJ variation between the two schedules’ prices.</w:t>
          </w:r>
        </w:p>
        <w:p w:rsidR="004A3CD0" w:rsidRDefault="004A3CD0" w:rsidP="004E566F">
          <w:pPr>
            <w:pStyle w:val="Caption"/>
          </w:pPr>
          <w:bookmarkStart w:id="119" w:name="_Ref461637099"/>
          <w:r>
            <w:t>Figure </w:t>
          </w:r>
          <w:r w:rsidR="002852EF">
            <w:fldChar w:fldCharType="begin"/>
          </w:r>
          <w:r w:rsidR="002852EF">
            <w:instrText xml:space="preserve"> SEQ Figure \* ARABIC </w:instrText>
          </w:r>
          <w:r w:rsidR="002852EF">
            <w:fldChar w:fldCharType="separate"/>
          </w:r>
          <w:r w:rsidR="00D94C93">
            <w:rPr>
              <w:noProof/>
            </w:rPr>
            <w:t>21</w:t>
          </w:r>
          <w:r w:rsidR="002852EF">
            <w:rPr>
              <w:noProof/>
            </w:rPr>
            <w:fldChar w:fldCharType="end"/>
          </w:r>
          <w:bookmarkEnd w:id="119"/>
          <w:r>
            <w:t>: Adelaide STTM, 13 July 2016, D</w:t>
          </w:r>
          <w:r>
            <w:noBreakHyphen/>
            <w:t>2 and D</w:t>
          </w:r>
          <w:r>
            <w:noBreakHyphen/>
            <w:t>1 schedules (TJ)</w:t>
          </w:r>
        </w:p>
        <w:p w:rsidR="00510D74" w:rsidRPr="00AB0D4E" w:rsidRDefault="002D0D7B" w:rsidP="00071AF3">
          <w:r w:rsidRPr="002D0D7B">
            <w:rPr>
              <w:noProof/>
              <w:lang w:eastAsia="en-AU"/>
            </w:rPr>
            <w:drawing>
              <wp:inline distT="0" distB="0" distL="0" distR="0" wp14:anchorId="55C8C58D" wp14:editId="124F8B77">
                <wp:extent cx="5382895" cy="3071562"/>
                <wp:effectExtent l="0" t="0" r="8255" b="0"/>
                <wp:docPr id="27" name="Picture 27" descr="Figure 21 illustrates the provisional (D-2) and ex ante (D-1) schedules for the 13 July 2016 gas day in Adelaid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071562"/>
                        </a:xfrm>
                        <a:prstGeom prst="rect">
                          <a:avLst/>
                        </a:prstGeom>
                        <a:noFill/>
                        <a:ln>
                          <a:noFill/>
                        </a:ln>
                      </pic:spPr>
                    </pic:pic>
                  </a:graphicData>
                </a:graphic>
              </wp:inline>
            </w:drawing>
          </w:r>
        </w:p>
        <w:p w:rsidR="00071AF3" w:rsidRPr="004E566F" w:rsidRDefault="00071AF3" w:rsidP="00071AF3">
          <w:pPr>
            <w:rPr>
              <w:rFonts w:asciiTheme="minorHAnsi" w:eastAsia="Times New Roman" w:hAnsiTheme="minorHAnsi" w:cs="Arial"/>
            </w:rPr>
          </w:pPr>
          <w:r w:rsidRPr="00AB0D4E">
            <w:rPr>
              <w:rFonts w:asciiTheme="minorHAnsi" w:eastAsia="Times New Roman" w:hAnsiTheme="minorHAnsi" w:cs="Arial"/>
            </w:rPr>
            <w:fldChar w:fldCharType="begin"/>
          </w:r>
          <w:r w:rsidRPr="00AB0D4E">
            <w:rPr>
              <w:rFonts w:asciiTheme="minorHAnsi" w:eastAsia="Times New Roman" w:hAnsiTheme="minorHAnsi" w:cs="Arial"/>
            </w:rPr>
            <w:instrText xml:space="preserve"> REF _Ref461637202 \h  \* MERGEFORMAT </w:instrText>
          </w:r>
          <w:r w:rsidRPr="00AB0D4E">
            <w:rPr>
              <w:rFonts w:asciiTheme="minorHAnsi" w:eastAsia="Times New Roman" w:hAnsiTheme="minorHAnsi" w:cs="Arial"/>
            </w:rPr>
          </w:r>
          <w:r w:rsidRPr="00AB0D4E">
            <w:rPr>
              <w:rFonts w:asciiTheme="minorHAnsi" w:eastAsia="Times New Roman" w:hAnsiTheme="minorHAnsi" w:cs="Arial"/>
            </w:rPr>
            <w:fldChar w:fldCharType="separate"/>
          </w:r>
          <w:r w:rsidR="00D94C93" w:rsidRPr="00D94C93">
            <w:rPr>
              <w:rFonts w:asciiTheme="minorHAnsi" w:eastAsia="Times New Roman" w:hAnsiTheme="minorHAnsi" w:cs="Arial"/>
            </w:rPr>
            <w:t>Figure 22</w:t>
          </w:r>
          <w:r w:rsidRPr="00AB0D4E">
            <w:rPr>
              <w:rFonts w:asciiTheme="minorHAnsi" w:eastAsia="Times New Roman" w:hAnsiTheme="minorHAnsi" w:cs="Arial"/>
            </w:rPr>
            <w:fldChar w:fldCharType="end"/>
          </w:r>
          <w:r w:rsidRPr="00AB0D4E">
            <w:rPr>
              <w:rFonts w:asciiTheme="minorHAnsi" w:eastAsia="Times New Roman" w:hAnsiTheme="minorHAnsi" w:cs="Arial"/>
            </w:rPr>
            <w:t xml:space="preserve"> shows the increase in bids (</w:t>
          </w:r>
          <w:r w:rsidR="00510D74" w:rsidRPr="00AB0D4E">
            <w:rPr>
              <w:rFonts w:asciiTheme="minorHAnsi" w:eastAsia="Times New Roman" w:hAnsiTheme="minorHAnsi" w:cs="Arial"/>
            </w:rPr>
            <w:t xml:space="preserve">reflecting both uninterruptable and controllable demand) </w:t>
          </w:r>
          <w:r w:rsidRPr="00AB0D4E">
            <w:rPr>
              <w:rFonts w:asciiTheme="minorHAnsi" w:eastAsia="Times New Roman" w:hAnsiTheme="minorHAnsi" w:cs="Arial"/>
            </w:rPr>
            <w:t>which resulted in the higher scheduled quantity in the D</w:t>
          </w:r>
          <w:r w:rsidRPr="00AB0D4E">
            <w:rPr>
              <w:rFonts w:asciiTheme="minorHAnsi" w:eastAsia="Times New Roman" w:hAnsiTheme="minorHAnsi" w:cs="Arial"/>
            </w:rPr>
            <w:noBreakHyphen/>
            <w:t>1 schedule.</w:t>
          </w:r>
        </w:p>
        <w:p w:rsidR="00071AF3" w:rsidRDefault="00071AF3" w:rsidP="00071AF3">
          <w:pPr>
            <w:keepNext/>
            <w:rPr>
              <w:b/>
              <w:bCs/>
              <w:color w:val="076A92" w:themeColor="text1"/>
              <w:sz w:val="24"/>
              <w:szCs w:val="18"/>
            </w:rPr>
          </w:pPr>
          <w:bookmarkStart w:id="120" w:name="_Ref461637202"/>
          <w:r w:rsidRPr="00C973E2">
            <w:rPr>
              <w:b/>
              <w:bCs/>
              <w:color w:val="076A92" w:themeColor="text1"/>
              <w:sz w:val="24"/>
              <w:szCs w:val="18"/>
            </w:rPr>
            <w:t>Figure </w:t>
          </w:r>
          <w:r w:rsidRPr="00C973E2">
            <w:rPr>
              <w:b/>
              <w:bCs/>
              <w:color w:val="076A92" w:themeColor="text1"/>
              <w:sz w:val="24"/>
              <w:szCs w:val="18"/>
            </w:rPr>
            <w:fldChar w:fldCharType="begin"/>
          </w:r>
          <w:r w:rsidRPr="00C973E2">
            <w:rPr>
              <w:b/>
              <w:bCs/>
              <w:color w:val="076A92" w:themeColor="text1"/>
              <w:sz w:val="24"/>
              <w:szCs w:val="18"/>
            </w:rPr>
            <w:instrText xml:space="preserve"> SEQ Figure \* ARABIC </w:instrText>
          </w:r>
          <w:r w:rsidRPr="00C973E2">
            <w:rPr>
              <w:b/>
              <w:bCs/>
              <w:color w:val="076A92" w:themeColor="text1"/>
              <w:sz w:val="24"/>
              <w:szCs w:val="18"/>
            </w:rPr>
            <w:fldChar w:fldCharType="separate"/>
          </w:r>
          <w:r w:rsidR="00D94C93">
            <w:rPr>
              <w:b/>
              <w:bCs/>
              <w:noProof/>
              <w:color w:val="076A92" w:themeColor="text1"/>
              <w:sz w:val="24"/>
              <w:szCs w:val="18"/>
            </w:rPr>
            <w:t>22</w:t>
          </w:r>
          <w:r w:rsidRPr="00C973E2">
            <w:rPr>
              <w:b/>
              <w:bCs/>
              <w:color w:val="076A92" w:themeColor="text1"/>
              <w:sz w:val="24"/>
              <w:szCs w:val="18"/>
            </w:rPr>
            <w:fldChar w:fldCharType="end"/>
          </w:r>
          <w:bookmarkEnd w:id="120"/>
          <w:r w:rsidRPr="00C973E2">
            <w:rPr>
              <w:b/>
              <w:bCs/>
              <w:color w:val="076A92" w:themeColor="text1"/>
              <w:sz w:val="24"/>
              <w:szCs w:val="18"/>
            </w:rPr>
            <w:t xml:space="preserve">: </w:t>
          </w:r>
          <w:r>
            <w:rPr>
              <w:b/>
              <w:bCs/>
              <w:color w:val="076A92" w:themeColor="text1"/>
              <w:sz w:val="24"/>
              <w:szCs w:val="18"/>
            </w:rPr>
            <w:t xml:space="preserve">Adelaide STTM, 13 July, demand bids for provisional and ex ante schedules </w:t>
          </w:r>
        </w:p>
        <w:p w:rsidR="00071AF3" w:rsidRDefault="00071AF3" w:rsidP="00071AF3">
          <w:r w:rsidRPr="00F1449C">
            <w:rPr>
              <w:noProof/>
              <w:lang w:eastAsia="en-AU"/>
            </w:rPr>
            <w:drawing>
              <wp:inline distT="0" distB="0" distL="0" distR="0" wp14:anchorId="10A61486" wp14:editId="4E6E064F">
                <wp:extent cx="5382895" cy="3492073"/>
                <wp:effectExtent l="0" t="0" r="8255" b="0"/>
                <wp:docPr id="31" name="Picture 31" descr="Figure 22 shows the daily hub pricetaker (uncontrollable) demand forecasts and bids (to purchase gas) within certain price bands for the 13 July gas day in Adelaide. The line indicates the provisional and ex ante schedule prices based on the quantity of gas schedu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492073"/>
                        </a:xfrm>
                        <a:prstGeom prst="rect">
                          <a:avLst/>
                        </a:prstGeom>
                        <a:noFill/>
                        <a:ln>
                          <a:noFill/>
                        </a:ln>
                      </pic:spPr>
                    </pic:pic>
                  </a:graphicData>
                </a:graphic>
              </wp:inline>
            </w:drawing>
          </w:r>
        </w:p>
        <w:p w:rsidR="004E566F" w:rsidRDefault="004E566F" w:rsidP="004E566F">
          <w:r w:rsidRPr="00913EE8">
            <w:fldChar w:fldCharType="begin"/>
          </w:r>
          <w:r w:rsidRPr="00913EE8">
            <w:instrText xml:space="preserve"> REF _Ref461637112 \h </w:instrText>
          </w:r>
          <w:r w:rsidR="00E156B8" w:rsidRPr="00913EE8">
            <w:instrText xml:space="preserve"> \* MERGEFORMAT </w:instrText>
          </w:r>
          <w:r w:rsidRPr="00913EE8">
            <w:fldChar w:fldCharType="separate"/>
          </w:r>
          <w:r w:rsidR="00D94C93">
            <w:t>Figure 23</w:t>
          </w:r>
          <w:r w:rsidRPr="00913EE8">
            <w:fldChar w:fldCharType="end"/>
          </w:r>
          <w:r w:rsidRPr="00913EE8">
            <w:t xml:space="preserve"> </w:t>
          </w:r>
          <w:r w:rsidRPr="00913EE8">
            <w:rPr>
              <w:rFonts w:asciiTheme="minorHAnsi" w:eastAsia="Times New Roman" w:hAnsiTheme="minorHAnsi" w:cs="Arial"/>
            </w:rPr>
            <w:t>shows the high level of gas generation required upstream of the Adelaide hub which may have influenced the sharp increase in participants’ valuation of gas quantities above the perceived level of demand in the Adelaide STTM hub.</w:t>
          </w:r>
        </w:p>
        <w:p w:rsidR="00D262E3" w:rsidRDefault="009D3094" w:rsidP="00022D75">
          <w:pPr>
            <w:pStyle w:val="Caption"/>
            <w:spacing w:before="200" w:after="0"/>
          </w:pPr>
          <w:bookmarkStart w:id="121" w:name="_Ref461637112"/>
          <w:r>
            <w:t>Figure </w:t>
          </w:r>
          <w:r w:rsidR="002852EF">
            <w:fldChar w:fldCharType="begin"/>
          </w:r>
          <w:r w:rsidR="002852EF">
            <w:instrText xml:space="preserve"> SEQ Figure \* ARABIC </w:instrText>
          </w:r>
          <w:r w:rsidR="002852EF">
            <w:fldChar w:fldCharType="separate"/>
          </w:r>
          <w:r w:rsidR="00D94C93">
            <w:rPr>
              <w:noProof/>
            </w:rPr>
            <w:t>23</w:t>
          </w:r>
          <w:r w:rsidR="002852EF">
            <w:rPr>
              <w:noProof/>
            </w:rPr>
            <w:fldChar w:fldCharType="end"/>
          </w:r>
          <w:bookmarkEnd w:id="121"/>
          <w:r>
            <w:t xml:space="preserve">: South Australia’s generation mix </w:t>
          </w:r>
          <w:r w:rsidR="00D0047C">
            <w:t>around</w:t>
          </w:r>
          <w:r>
            <w:t xml:space="preserve"> 13 July </w:t>
          </w:r>
        </w:p>
        <w:p w:rsidR="009D3094" w:rsidRDefault="006A3973" w:rsidP="00022D75">
          <w:pPr>
            <w:pStyle w:val="Caption"/>
            <w:spacing w:before="200" w:after="0"/>
          </w:pPr>
          <w:r w:rsidRPr="006A3973">
            <w:rPr>
              <w:noProof/>
              <w:lang w:eastAsia="en-AU"/>
            </w:rPr>
            <w:drawing>
              <wp:inline distT="0" distB="0" distL="0" distR="0" wp14:anchorId="7E6F28FC" wp14:editId="0984459C">
                <wp:extent cx="5382895" cy="3463646"/>
                <wp:effectExtent l="0" t="0" r="8255" b="3810"/>
                <wp:docPr id="58" name="Picture 58" descr="Figure 23 shows the energy output (GWh) of gas-fired generators in South Australia by fuel type for 13 July and surround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463646"/>
                        </a:xfrm>
                        <a:prstGeom prst="rect">
                          <a:avLst/>
                        </a:prstGeom>
                        <a:noFill/>
                        <a:ln>
                          <a:noFill/>
                        </a:ln>
                      </pic:spPr>
                    </pic:pic>
                  </a:graphicData>
                </a:graphic>
              </wp:inline>
            </w:drawing>
          </w:r>
        </w:p>
        <w:p w:rsidR="008D3AE4" w:rsidRDefault="008D3AE4" w:rsidP="008D3AE4"/>
        <w:p w:rsidR="003C3458" w:rsidRDefault="003C3458" w:rsidP="003C3458">
          <w:pPr>
            <w:pStyle w:val="Heading2"/>
          </w:pPr>
          <w:bookmarkStart w:id="122" w:name="_Toc464223542"/>
          <w:bookmarkStart w:id="123" w:name="_Toc464223746"/>
          <w:bookmarkStart w:id="124" w:name="_Toc464224259"/>
          <w:bookmarkStart w:id="125" w:name="_Toc466896994"/>
          <w:bookmarkEnd w:id="122"/>
          <w:bookmarkEnd w:id="123"/>
          <w:bookmarkEnd w:id="124"/>
          <w:r>
            <w:t>Friday 15 July 2016</w:t>
          </w:r>
          <w:bookmarkEnd w:id="125"/>
        </w:p>
        <w:p w:rsidR="003C3458" w:rsidRDefault="003C3458" w:rsidP="003C3458">
          <w:r>
            <w:rPr>
              <w:noProof/>
              <w:lang w:eastAsia="en-AU"/>
            </w:rPr>
            <mc:AlternateContent>
              <mc:Choice Requires="wps">
                <w:drawing>
                  <wp:anchor distT="0" distB="0" distL="114300" distR="114300" simplePos="0" relativeHeight="251679744" behindDoc="0" locked="0" layoutInCell="1" allowOverlap="1" wp14:anchorId="3B8A48A4" wp14:editId="43119471">
                    <wp:simplePos x="0" y="0"/>
                    <wp:positionH relativeFrom="column">
                      <wp:posOffset>14893</wp:posOffset>
                    </wp:positionH>
                    <wp:positionV relativeFrom="paragraph">
                      <wp:posOffset>166478</wp:posOffset>
                    </wp:positionV>
                    <wp:extent cx="5399549" cy="681487"/>
                    <wp:effectExtent l="0" t="0" r="10795"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681487"/>
                            </a:xfrm>
                            <a:prstGeom prst="rect">
                              <a:avLst/>
                            </a:prstGeom>
                            <a:solidFill>
                              <a:srgbClr val="DBE5F1"/>
                            </a:solidFill>
                            <a:ln w="9525">
                              <a:solidFill>
                                <a:srgbClr val="000000"/>
                              </a:solidFill>
                              <a:miter lim="800000"/>
                              <a:headEnd/>
                              <a:tailEnd/>
                            </a:ln>
                          </wps:spPr>
                          <wps:txbx>
                            <w:txbxContent>
                              <w:p w:rsidR="002B723A" w:rsidRDefault="002B723A" w:rsidP="003C3458">
                                <w:pPr>
                                  <w:ind w:left="2160" w:hanging="2160"/>
                                </w:pPr>
                                <w:r>
                                  <w:rPr>
                                    <w:b/>
                                  </w:rPr>
                                  <w:t>Adelaide</w:t>
                                </w:r>
                                <w:r w:rsidRPr="0051165D">
                                  <w:rPr>
                                    <w:b/>
                                  </w:rPr>
                                  <w:t xml:space="preserve"> STTM:</w:t>
                                </w:r>
                                <w:r>
                                  <w:tab/>
                                  <w:t>There</w:t>
                                </w:r>
                                <w:r w:rsidRPr="00973418">
                                  <w:t xml:space="preserve"> was a $</w:t>
                                </w:r>
                                <w:r>
                                  <w:t>9.12</w:t>
                                </w:r>
                                <w:r w:rsidRPr="00973418">
                                  <w:t>/GJ variation between the D-2 schedule price ($</w:t>
                                </w:r>
                                <w:r>
                                  <w:t>11.10</w:t>
                                </w:r>
                                <w:r w:rsidRPr="00973418">
                                  <w:t>/GJ) and the</w:t>
                                </w:r>
                                <w:r>
                                  <w:t xml:space="preserve"> D-1 schedule price ($20.22/GJ).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5pt;margin-top:13.1pt;width:425.15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" fillcolor="#dbe5f1">
                    <v:textbox>
                      <w:txbxContent>
                        <w:p w:rsidR="002B723A" w:rsidRDefault="002B723A" w:rsidP="003C3458">
                          <w:pPr>
                            <w:ind w:left="2160" w:hanging="2160"/>
                          </w:pPr>
                          <w:r>
                            <w:rPr>
                              <w:b/>
                            </w:rPr>
                            <w:t>Adelaide</w:t>
                          </w:r>
                          <w:r w:rsidRPr="0051165D">
                            <w:rPr>
                              <w:b/>
                            </w:rPr>
                            <w:t xml:space="preserve"> STTM:</w:t>
                          </w:r>
                          <w:r>
                            <w:tab/>
                            <w:t>There</w:t>
                          </w:r>
                          <w:r w:rsidRPr="00973418">
                            <w:t xml:space="preserve"> was a $</w:t>
                          </w:r>
                          <w:r>
                            <w:t>9.12</w:t>
                          </w:r>
                          <w:r w:rsidRPr="00973418">
                            <w:t>/GJ variation between the D-2 schedule price ($</w:t>
                          </w:r>
                          <w:r>
                            <w:t>11.10</w:t>
                          </w:r>
                          <w:r w:rsidRPr="00973418">
                            <w:t>/GJ) and the</w:t>
                          </w:r>
                          <w:r>
                            <w:t xml:space="preserve"> D-1 schedule price ($20.22/GJ).</w:t>
                          </w:r>
                        </w:p>
                      </w:txbxContent>
                    </v:textbox>
                  </v:shape>
                </w:pict>
              </mc:Fallback>
            </mc:AlternateContent>
          </w:r>
        </w:p>
        <w:p w:rsidR="003C3458" w:rsidRDefault="003C3458" w:rsidP="003C3458"/>
        <w:p w:rsidR="003C3458" w:rsidRDefault="003C3458" w:rsidP="00C55FDC"/>
        <w:p w:rsidR="00CB2535" w:rsidRDefault="00CB2535" w:rsidP="00CB2535">
          <w:pPr>
            <w:pStyle w:val="Tabletitle"/>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_Ref461629634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10</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B1040A">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B1040A">
            <w:rPr>
              <w:rFonts w:asciiTheme="minorHAnsi" w:eastAsia="Times New Roman" w:hAnsiTheme="minorHAnsi" w:cs="Arial"/>
              <w:b w:val="0"/>
              <w:color w:val="auto"/>
              <w:sz w:val="22"/>
              <w:szCs w:val="22"/>
            </w:rPr>
            <w:t xml:space="preserve"> each of the gas schedules for the 15 July gas day in Adelaide.</w:t>
          </w:r>
        </w:p>
        <w:p w:rsidR="00367430" w:rsidRPr="00367430" w:rsidRDefault="00367430" w:rsidP="00367430">
          <w:pPr>
            <w:pStyle w:val="Tabletitle"/>
            <w:rPr>
              <w:noProof/>
              <w:color w:val="FF0000"/>
              <w:lang w:eastAsia="en-AU"/>
            </w:rPr>
          </w:pPr>
          <w:bookmarkStart w:id="126" w:name="_Ref461629634"/>
          <w:r>
            <w:t>Table </w:t>
          </w:r>
          <w:r w:rsidR="002852EF">
            <w:fldChar w:fldCharType="begin"/>
          </w:r>
          <w:r w:rsidR="002852EF">
            <w:instrText xml:space="preserve"> SEQ Table \* ARABIC </w:instrText>
          </w:r>
          <w:r w:rsidR="002852EF">
            <w:fldChar w:fldCharType="separate"/>
          </w:r>
          <w:r w:rsidR="00D94C93">
            <w:rPr>
              <w:noProof/>
            </w:rPr>
            <w:t>10</w:t>
          </w:r>
          <w:r w:rsidR="002852EF">
            <w:rPr>
              <w:noProof/>
            </w:rPr>
            <w:fldChar w:fldCharType="end"/>
          </w:r>
          <w:bookmarkEnd w:id="126"/>
          <w:r>
            <w:rPr>
              <w:noProof/>
            </w:rPr>
            <w:t>: Adelaide prices and quantities, all schedules, 15 July</w:t>
          </w:r>
        </w:p>
        <w:tbl>
          <w:tblPr>
            <w:tblStyle w:val="AERsummarytable"/>
            <w:tblW w:w="0" w:type="auto"/>
            <w:tblLook w:val="04A0" w:firstRow="1" w:lastRow="0" w:firstColumn="1" w:lastColumn="0" w:noHBand="0" w:noVBand="1"/>
          </w:tblPr>
          <w:tblGrid>
            <w:gridCol w:w="1767"/>
            <w:gridCol w:w="1731"/>
            <w:gridCol w:w="1731"/>
            <w:gridCol w:w="1732"/>
            <w:gridCol w:w="1732"/>
          </w:tblGrid>
          <w:tr w:rsidR="00367430" w:rsidTr="00903CA3">
            <w:trPr>
              <w:cnfStyle w:val="100000000000" w:firstRow="1" w:lastRow="0" w:firstColumn="0" w:lastColumn="0" w:oddVBand="0" w:evenVBand="0" w:oddHBand="0" w:evenHBand="0" w:firstRowFirstColumn="0" w:firstRowLastColumn="0" w:lastRowFirstColumn="0" w:lastRowLastColumn="0"/>
              <w:trHeight w:val="751"/>
            </w:trPr>
            <w:tc>
              <w:tcPr>
                <w:tcW w:w="1767" w:type="dxa"/>
                <w:vAlign w:val="center"/>
              </w:tcPr>
              <w:p w:rsidR="00367430" w:rsidRPr="00C64C3D" w:rsidRDefault="00367430" w:rsidP="00A96D53">
                <w:pPr>
                  <w:rPr>
                    <w:sz w:val="20"/>
                  </w:rPr>
                </w:pPr>
                <w:r w:rsidRPr="00C64C3D">
                  <w:rPr>
                    <w:sz w:val="20"/>
                  </w:rPr>
                  <w:t>Schedule</w:t>
                </w:r>
              </w:p>
            </w:tc>
            <w:tc>
              <w:tcPr>
                <w:tcW w:w="1731" w:type="dxa"/>
                <w:vAlign w:val="center"/>
              </w:tcPr>
              <w:p w:rsidR="00367430" w:rsidRPr="00C64C3D" w:rsidRDefault="00367430" w:rsidP="00BA4FA2">
                <w:pPr>
                  <w:jc w:val="center"/>
                  <w:rPr>
                    <w:sz w:val="20"/>
                  </w:rPr>
                </w:pPr>
                <w:r w:rsidRPr="00C64C3D">
                  <w:rPr>
                    <w:sz w:val="20"/>
                  </w:rPr>
                  <w:t>D-3</w:t>
                </w:r>
              </w:p>
            </w:tc>
            <w:tc>
              <w:tcPr>
                <w:tcW w:w="1731" w:type="dxa"/>
                <w:vAlign w:val="center"/>
              </w:tcPr>
              <w:p w:rsidR="00367430" w:rsidRPr="00C64C3D" w:rsidRDefault="00367430" w:rsidP="00BA4FA2">
                <w:pPr>
                  <w:jc w:val="center"/>
                  <w:rPr>
                    <w:sz w:val="20"/>
                  </w:rPr>
                </w:pPr>
                <w:r w:rsidRPr="00C64C3D">
                  <w:rPr>
                    <w:sz w:val="20"/>
                  </w:rPr>
                  <w:t>D-2</w:t>
                </w:r>
              </w:p>
            </w:tc>
            <w:tc>
              <w:tcPr>
                <w:tcW w:w="1732" w:type="dxa"/>
                <w:vAlign w:val="center"/>
              </w:tcPr>
              <w:p w:rsidR="00367430" w:rsidRPr="00C64C3D" w:rsidRDefault="00367430" w:rsidP="00BA4FA2">
                <w:pPr>
                  <w:jc w:val="center"/>
                  <w:rPr>
                    <w:sz w:val="20"/>
                  </w:rPr>
                </w:pPr>
                <w:r w:rsidRPr="00C64C3D">
                  <w:rPr>
                    <w:sz w:val="20"/>
                  </w:rPr>
                  <w:t>D-1</w:t>
                </w:r>
              </w:p>
            </w:tc>
            <w:tc>
              <w:tcPr>
                <w:tcW w:w="1732" w:type="dxa"/>
                <w:vAlign w:val="center"/>
              </w:tcPr>
              <w:p w:rsidR="00367430" w:rsidRPr="00C64C3D" w:rsidRDefault="00367430" w:rsidP="00BA4FA2">
                <w:pPr>
                  <w:jc w:val="center"/>
                  <w:rPr>
                    <w:sz w:val="20"/>
                  </w:rPr>
                </w:pPr>
                <w:r w:rsidRPr="00C64C3D">
                  <w:rPr>
                    <w:sz w:val="20"/>
                  </w:rPr>
                  <w:t>D+1</w:t>
                </w:r>
              </w:p>
            </w:tc>
          </w:tr>
          <w:tr w:rsidR="00367430" w:rsidTr="00903CA3">
            <w:trPr>
              <w:cnfStyle w:val="000000100000" w:firstRow="0" w:lastRow="0" w:firstColumn="0" w:lastColumn="0" w:oddVBand="0" w:evenVBand="0" w:oddHBand="1" w:evenHBand="0"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Price ($/GJ)</w:t>
                </w:r>
              </w:p>
            </w:tc>
            <w:tc>
              <w:tcPr>
                <w:tcW w:w="1731" w:type="dxa"/>
                <w:vAlign w:val="center"/>
              </w:tcPr>
              <w:p w:rsidR="00367430" w:rsidRDefault="00367430" w:rsidP="00BA4FA2">
                <w:pPr>
                  <w:jc w:val="center"/>
                </w:pPr>
                <w:r>
                  <w:t>$14.54</w:t>
                </w:r>
              </w:p>
            </w:tc>
            <w:tc>
              <w:tcPr>
                <w:tcW w:w="1731" w:type="dxa"/>
                <w:vAlign w:val="center"/>
              </w:tcPr>
              <w:p w:rsidR="00367430" w:rsidRDefault="00367430" w:rsidP="00BA4FA2">
                <w:pPr>
                  <w:jc w:val="center"/>
                </w:pPr>
                <w:r>
                  <w:t>$11.10</w:t>
                </w:r>
              </w:p>
            </w:tc>
            <w:tc>
              <w:tcPr>
                <w:tcW w:w="1732" w:type="dxa"/>
                <w:vAlign w:val="center"/>
              </w:tcPr>
              <w:p w:rsidR="00367430" w:rsidRDefault="00367430" w:rsidP="00BA4FA2">
                <w:pPr>
                  <w:jc w:val="center"/>
                </w:pPr>
                <w:r>
                  <w:t>$20.22</w:t>
                </w:r>
              </w:p>
            </w:tc>
            <w:tc>
              <w:tcPr>
                <w:tcW w:w="1732" w:type="dxa"/>
                <w:vAlign w:val="center"/>
              </w:tcPr>
              <w:p w:rsidR="00367430" w:rsidRDefault="00367430" w:rsidP="00BA4FA2">
                <w:pPr>
                  <w:jc w:val="center"/>
                </w:pPr>
                <w:r>
                  <w:t>$20.22</w:t>
                </w:r>
              </w:p>
            </w:tc>
          </w:tr>
          <w:tr w:rsidR="00367430" w:rsidTr="00903CA3">
            <w:trPr>
              <w:cnfStyle w:val="000000010000" w:firstRow="0" w:lastRow="0" w:firstColumn="0" w:lastColumn="0" w:oddVBand="0" w:evenVBand="0" w:oddHBand="0" w:evenHBand="1" w:firstRowFirstColumn="0" w:firstRowLastColumn="0" w:lastRowFirstColumn="0" w:lastRowLastColumn="0"/>
              <w:trHeight w:val="751"/>
            </w:trPr>
            <w:tc>
              <w:tcPr>
                <w:tcW w:w="1767" w:type="dxa"/>
                <w:vAlign w:val="center"/>
              </w:tcPr>
              <w:p w:rsidR="00367430" w:rsidRPr="00C64C3D" w:rsidRDefault="00367430" w:rsidP="00A96D53">
                <w:pPr>
                  <w:rPr>
                    <w:b/>
                    <w:sz w:val="20"/>
                  </w:rPr>
                </w:pPr>
                <w:r w:rsidRPr="00C64C3D">
                  <w:rPr>
                    <w:b/>
                    <w:sz w:val="20"/>
                  </w:rPr>
                  <w:t>Quantity (TJ)</w:t>
                </w:r>
              </w:p>
            </w:tc>
            <w:tc>
              <w:tcPr>
                <w:tcW w:w="1731" w:type="dxa"/>
                <w:vAlign w:val="center"/>
              </w:tcPr>
              <w:p w:rsidR="00367430" w:rsidRDefault="00367430" w:rsidP="00BA4FA2">
                <w:pPr>
                  <w:jc w:val="center"/>
                </w:pPr>
                <w:r>
                  <w:t>101.63</w:t>
                </w:r>
              </w:p>
            </w:tc>
            <w:tc>
              <w:tcPr>
                <w:tcW w:w="1731" w:type="dxa"/>
                <w:vAlign w:val="center"/>
              </w:tcPr>
              <w:p w:rsidR="00367430" w:rsidRDefault="00367430" w:rsidP="00BA4FA2">
                <w:pPr>
                  <w:jc w:val="center"/>
                </w:pPr>
                <w:r>
                  <w:t>101.7</w:t>
                </w:r>
              </w:p>
            </w:tc>
            <w:tc>
              <w:tcPr>
                <w:tcW w:w="1732" w:type="dxa"/>
                <w:vAlign w:val="center"/>
              </w:tcPr>
              <w:p w:rsidR="00367430" w:rsidRDefault="00367430" w:rsidP="00BA4FA2">
                <w:pPr>
                  <w:jc w:val="center"/>
                </w:pPr>
                <w:r>
                  <w:t>94.10</w:t>
                </w:r>
              </w:p>
            </w:tc>
            <w:tc>
              <w:tcPr>
                <w:tcW w:w="1732" w:type="dxa"/>
                <w:vAlign w:val="center"/>
              </w:tcPr>
              <w:p w:rsidR="00367430" w:rsidRDefault="00367430" w:rsidP="00BA4FA2">
                <w:pPr>
                  <w:jc w:val="center"/>
                </w:pPr>
                <w:r>
                  <w:t>+0.156</w:t>
                </w:r>
              </w:p>
            </w:tc>
          </w:tr>
        </w:tbl>
        <w:p w:rsidR="00903CA3" w:rsidRDefault="00903CA3" w:rsidP="00903CA3">
          <w:pPr>
            <w:rPr>
              <w:rFonts w:asciiTheme="minorHAnsi" w:eastAsia="Times New Roman" w:hAnsiTheme="minorHAnsi" w:cs="Arial"/>
            </w:rPr>
          </w:pPr>
          <w:r w:rsidRPr="008A0A02">
            <w:rPr>
              <w:rFonts w:asciiTheme="minorHAnsi" w:eastAsia="Times New Roman" w:hAnsiTheme="minorHAnsi" w:cs="Arial"/>
            </w:rPr>
            <w:t>Th</w:t>
          </w:r>
          <w:r>
            <w:rPr>
              <w:rFonts w:asciiTheme="minorHAnsi" w:eastAsia="Times New Roman" w:hAnsiTheme="minorHAnsi" w:cs="Arial"/>
            </w:rPr>
            <w:t>e main driver</w:t>
          </w:r>
          <w:r w:rsidRPr="008A0A02">
            <w:rPr>
              <w:rFonts w:asciiTheme="minorHAnsi" w:eastAsia="Times New Roman" w:hAnsiTheme="minorHAnsi" w:cs="Arial"/>
            </w:rPr>
            <w:t xml:space="preserve"> behind the </w:t>
          </w:r>
          <w:r w:rsidRPr="00973418">
            <w:t>$</w:t>
          </w:r>
          <w:r>
            <w:t>9.12</w:t>
          </w:r>
          <w:r w:rsidRPr="00973418">
            <w:t>/GJ variation between the D-2 schedule price ($</w:t>
          </w:r>
          <w:r>
            <w:t>11.10</w:t>
          </w:r>
          <w:r w:rsidRPr="00973418">
            <w:t>/GJ) and the</w:t>
          </w:r>
          <w:r>
            <w:t xml:space="preserve"> D-1 schedule price ($20.22/GJ)</w:t>
          </w:r>
          <w:r w:rsidRPr="008A0A02">
            <w:rPr>
              <w:rFonts w:asciiTheme="minorHAnsi" w:eastAsia="Times New Roman" w:hAnsiTheme="minorHAnsi" w:cs="Arial"/>
            </w:rPr>
            <w:t xml:space="preserve"> </w:t>
          </w:r>
          <w:r>
            <w:rPr>
              <w:rFonts w:asciiTheme="minorHAnsi" w:eastAsia="Times New Roman" w:hAnsiTheme="minorHAnsi" w:cs="Arial"/>
            </w:rPr>
            <w:t>was</w:t>
          </w:r>
          <w:r w:rsidRPr="00A40CE7">
            <w:rPr>
              <w:rFonts w:asciiTheme="minorHAnsi" w:eastAsia="Times New Roman" w:hAnsiTheme="minorHAnsi" w:cs="Arial"/>
            </w:rPr>
            <w:t xml:space="preserve"> a reduction in low priced supply offers.</w:t>
          </w:r>
          <w:r>
            <w:rPr>
              <w:rFonts w:asciiTheme="minorHAnsi" w:eastAsia="Times New Roman" w:hAnsiTheme="minorHAnsi" w:cs="Arial"/>
            </w:rPr>
            <w:t xml:space="preserve"> </w:t>
          </w:r>
          <w:r w:rsidR="004C7E24">
            <w:rPr>
              <w:rFonts w:asciiTheme="minorHAnsi" w:eastAsia="Times New Roman" w:hAnsiTheme="minorHAnsi" w:cs="Arial"/>
            </w:rPr>
            <w:t>The price increase occurred despite an overall reduction in demand.</w:t>
          </w:r>
          <w:r w:rsidR="004C7E24">
            <w:rPr>
              <w:rStyle w:val="FootnoteReference"/>
            </w:rPr>
            <w:footnoteReference w:id="38"/>
          </w:r>
        </w:p>
        <w:p w:rsidR="004C7E24" w:rsidRDefault="004C7E24" w:rsidP="004C7E24">
          <w:r>
            <w:t>Some participants offered less gas priced at or under the D-1 price for the D-1 schedule than they offered in the D-2 schedule, including:</w:t>
          </w:r>
        </w:p>
        <w:p w:rsidR="004C7E24" w:rsidRDefault="004C7E24" w:rsidP="00A8220F">
          <w:pPr>
            <w:pStyle w:val="ListParagraph"/>
            <w:numPr>
              <w:ilvl w:val="0"/>
              <w:numId w:val="25"/>
            </w:numPr>
          </w:pPr>
          <w:r>
            <w:t>AGL reduced its quantity of offers on the MAP and SEAGas by over 9 TJ</w:t>
          </w:r>
          <w:r>
            <w:rPr>
              <w:rStyle w:val="FootnoteReference"/>
            </w:rPr>
            <w:footnoteReference w:id="39"/>
          </w:r>
        </w:p>
        <w:p w:rsidR="00E03098" w:rsidRDefault="00E03098" w:rsidP="00A8220F">
          <w:pPr>
            <w:pStyle w:val="ListParagraph"/>
            <w:numPr>
              <w:ilvl w:val="0"/>
              <w:numId w:val="25"/>
            </w:numPr>
          </w:pPr>
          <w:r>
            <w:t>Simply Energy reduced its quantity of offers on the MAP and SEAGas by 5.5 TJ</w:t>
          </w:r>
          <w:r>
            <w:rPr>
              <w:rStyle w:val="FootnoteReference"/>
            </w:rPr>
            <w:footnoteReference w:id="40"/>
          </w:r>
        </w:p>
        <w:p w:rsidR="00542793" w:rsidRDefault="00542793" w:rsidP="00A8220F">
          <w:pPr>
            <w:pStyle w:val="ListParagraph"/>
            <w:numPr>
              <w:ilvl w:val="0"/>
              <w:numId w:val="25"/>
            </w:numPr>
          </w:pPr>
          <w:r>
            <w:t>EnergyAustralia reduced its quantity of offers on the MAP and SEAGas by 8 TJ</w:t>
          </w:r>
          <w:r>
            <w:rPr>
              <w:rStyle w:val="FootnoteReference"/>
            </w:rPr>
            <w:footnoteReference w:id="41"/>
          </w:r>
        </w:p>
        <w:p w:rsidR="007D3E10" w:rsidRDefault="004E566F" w:rsidP="006D4C89">
          <w:r>
            <w:fldChar w:fldCharType="begin"/>
          </w:r>
          <w:r>
            <w:instrText xml:space="preserve"> REF _Ref461637264 \h </w:instrText>
          </w:r>
          <w:r>
            <w:fldChar w:fldCharType="separate"/>
          </w:r>
          <w:r w:rsidR="00D94C93">
            <w:t>Figure </w:t>
          </w:r>
          <w:r w:rsidR="00D94C93">
            <w:rPr>
              <w:noProof/>
            </w:rPr>
            <w:t>24</w:t>
          </w:r>
          <w:r>
            <w:fldChar w:fldCharType="end"/>
          </w:r>
          <w:r>
            <w:t xml:space="preserve"> </w:t>
          </w:r>
          <w:r w:rsidR="007D3E10">
            <w:t xml:space="preserve">illustrates the reduction in higher priced bids and the reduction in lower priced supply offers from the D-2 to the D-1 schedules and in turn how </w:t>
          </w:r>
          <w:r w:rsidR="009C2A29">
            <w:t>these changes resulted in the $11.10</w:t>
          </w:r>
          <w:r w:rsidR="007D3E10">
            <w:t>/GJ variation between the two schedules’ prices.</w:t>
          </w:r>
          <w:r w:rsidR="00A44447">
            <w:t xml:space="preserve"> It shows </w:t>
          </w:r>
          <w:r w:rsidR="007D3E10">
            <w:t>the reduction in demand was small relative to the reduction in lower priced offers.</w:t>
          </w:r>
        </w:p>
        <w:p w:rsidR="004A3CD0" w:rsidRDefault="004A3CD0" w:rsidP="004A3CD0">
          <w:pPr>
            <w:pStyle w:val="Caption"/>
          </w:pPr>
          <w:bookmarkStart w:id="127" w:name="_Ref461637264"/>
          <w:r>
            <w:t>Figure </w:t>
          </w:r>
          <w:r w:rsidR="002852EF">
            <w:fldChar w:fldCharType="begin"/>
          </w:r>
          <w:r w:rsidR="002852EF">
            <w:instrText xml:space="preserve"> SEQ Figure \* ARABIC </w:instrText>
          </w:r>
          <w:r w:rsidR="002852EF">
            <w:fldChar w:fldCharType="separate"/>
          </w:r>
          <w:r w:rsidR="00D94C93">
            <w:rPr>
              <w:noProof/>
            </w:rPr>
            <w:t>24</w:t>
          </w:r>
          <w:r w:rsidR="002852EF">
            <w:rPr>
              <w:noProof/>
            </w:rPr>
            <w:fldChar w:fldCharType="end"/>
          </w:r>
          <w:bookmarkEnd w:id="127"/>
          <w:r>
            <w:t>: Adelaide STTM, 15 July 2016, D</w:t>
          </w:r>
          <w:r>
            <w:noBreakHyphen/>
            <w:t>2 and D</w:t>
          </w:r>
          <w:r>
            <w:noBreakHyphen/>
            <w:t>1 schedules (TJ)</w:t>
          </w:r>
        </w:p>
        <w:p w:rsidR="002D0D7B" w:rsidRDefault="002D0D7B" w:rsidP="006D4C89">
          <w:r w:rsidRPr="002D0D7B">
            <w:rPr>
              <w:noProof/>
              <w:lang w:eastAsia="en-AU"/>
            </w:rPr>
            <w:drawing>
              <wp:inline distT="0" distB="0" distL="0" distR="0" wp14:anchorId="14789D3A" wp14:editId="72347C4E">
                <wp:extent cx="5382895" cy="3071562"/>
                <wp:effectExtent l="0" t="0" r="8255" b="0"/>
                <wp:docPr id="28" name="Picture 28" descr="Figure 24 illustrates the provisional (D-2) and ex ante (D-1) schedules for the 15 July 2016 gas day in Adelaid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895" cy="3071562"/>
                        </a:xfrm>
                        <a:prstGeom prst="rect">
                          <a:avLst/>
                        </a:prstGeom>
                        <a:noFill/>
                        <a:ln>
                          <a:noFill/>
                        </a:ln>
                      </pic:spPr>
                    </pic:pic>
                  </a:graphicData>
                </a:graphic>
              </wp:inline>
            </w:drawing>
          </w:r>
        </w:p>
        <w:p w:rsidR="003C67EB" w:rsidRDefault="003C67EB" w:rsidP="003C67EB">
          <w:pPr>
            <w:pStyle w:val="Heading2"/>
          </w:pPr>
          <w:bookmarkStart w:id="128" w:name="_Toc466896995"/>
          <w:r>
            <w:t>Tuesday 26 July 2016</w:t>
          </w:r>
          <w:bookmarkEnd w:id="128"/>
        </w:p>
        <w:p w:rsidR="003C67EB" w:rsidRDefault="003C67EB" w:rsidP="003C67EB">
          <w:r>
            <w:rPr>
              <w:noProof/>
              <w:lang w:eastAsia="en-AU"/>
            </w:rPr>
            <mc:AlternateContent>
              <mc:Choice Requires="wps">
                <w:drawing>
                  <wp:anchor distT="0" distB="0" distL="114300" distR="114300" simplePos="0" relativeHeight="251681792" behindDoc="0" locked="0" layoutInCell="1" allowOverlap="1" wp14:anchorId="6291AC0D" wp14:editId="09826856">
                    <wp:simplePos x="0" y="0"/>
                    <wp:positionH relativeFrom="column">
                      <wp:posOffset>14893</wp:posOffset>
                    </wp:positionH>
                    <wp:positionV relativeFrom="paragraph">
                      <wp:posOffset>166478</wp:posOffset>
                    </wp:positionV>
                    <wp:extent cx="5399549" cy="681487"/>
                    <wp:effectExtent l="0" t="0" r="10795"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681487"/>
                            </a:xfrm>
                            <a:prstGeom prst="rect">
                              <a:avLst/>
                            </a:prstGeom>
                            <a:solidFill>
                              <a:srgbClr val="DBE5F1"/>
                            </a:solidFill>
                            <a:ln w="9525">
                              <a:solidFill>
                                <a:srgbClr val="000000"/>
                              </a:solidFill>
                              <a:miter lim="800000"/>
                              <a:headEnd/>
                              <a:tailEnd/>
                            </a:ln>
                          </wps:spPr>
                          <wps:txbx>
                            <w:txbxContent>
                              <w:p w:rsidR="002B723A" w:rsidRDefault="002B723A" w:rsidP="003C67EB">
                                <w:pPr>
                                  <w:ind w:left="2160" w:hanging="2160"/>
                                </w:pPr>
                                <w:r>
                                  <w:rPr>
                                    <w:b/>
                                  </w:rPr>
                                  <w:t>Brisbane</w:t>
                                </w:r>
                                <w:r w:rsidRPr="0051165D">
                                  <w:rPr>
                                    <w:b/>
                                  </w:rPr>
                                  <w:t xml:space="preserve"> STTM:</w:t>
                                </w:r>
                                <w:r>
                                  <w:tab/>
                                  <w:t>There</w:t>
                                </w:r>
                                <w:r w:rsidRPr="00973418">
                                  <w:t xml:space="preserve"> was a $</w:t>
                                </w:r>
                                <w:r>
                                  <w:t>7.78</w:t>
                                </w:r>
                                <w:r w:rsidRPr="00973418">
                                  <w:t>/GJ variation between the D-2 schedule price ($</w:t>
                                </w:r>
                                <w:r>
                                  <w:t>14.88</w:t>
                                </w:r>
                                <w:r w:rsidRPr="00973418">
                                  <w:t>/GJ) and the</w:t>
                                </w:r>
                                <w:r>
                                  <w:t xml:space="preserve"> D-1 schedule price ($7.10/GJ).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5pt;margin-top:13.1pt;width:425.15pt;height:5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" fillcolor="#dbe5f1">
                    <v:textbox>
                      <w:txbxContent>
                        <w:p w:rsidR="002B723A" w:rsidRDefault="002B723A" w:rsidP="003C67EB">
                          <w:pPr>
                            <w:ind w:left="2160" w:hanging="2160"/>
                          </w:pPr>
                          <w:r>
                            <w:rPr>
                              <w:b/>
                            </w:rPr>
                            <w:t>Brisbane</w:t>
                          </w:r>
                          <w:r w:rsidRPr="0051165D">
                            <w:rPr>
                              <w:b/>
                            </w:rPr>
                            <w:t xml:space="preserve"> STTM:</w:t>
                          </w:r>
                          <w:r>
                            <w:tab/>
                            <w:t>There</w:t>
                          </w:r>
                          <w:r w:rsidRPr="00973418">
                            <w:t xml:space="preserve"> was a $</w:t>
                          </w:r>
                          <w:r>
                            <w:t>7.78</w:t>
                          </w:r>
                          <w:r w:rsidRPr="00973418">
                            <w:t>/GJ variation between the D-2 schedule price ($</w:t>
                          </w:r>
                          <w:r>
                            <w:t>14.88</w:t>
                          </w:r>
                          <w:r w:rsidRPr="00973418">
                            <w:t>/GJ) and the</w:t>
                          </w:r>
                          <w:r>
                            <w:t xml:space="preserve"> D-1 schedule price ($7.10/GJ).</w:t>
                          </w:r>
                        </w:p>
                      </w:txbxContent>
                    </v:textbox>
                  </v:shape>
                </w:pict>
              </mc:Fallback>
            </mc:AlternateContent>
          </w:r>
        </w:p>
        <w:p w:rsidR="003C67EB" w:rsidRDefault="003C67EB" w:rsidP="003C67EB"/>
        <w:p w:rsidR="003C67EB" w:rsidRDefault="003C67EB" w:rsidP="003C3458"/>
        <w:p w:rsidR="00CB2535" w:rsidRDefault="00CB2535" w:rsidP="00CB2535">
          <w:pPr>
            <w:pStyle w:val="Tabletitle"/>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fldChar w:fldCharType="begin"/>
          </w:r>
          <w:r>
            <w:rPr>
              <w:rFonts w:asciiTheme="minorHAnsi" w:eastAsia="Times New Roman" w:hAnsiTheme="minorHAnsi" w:cs="Arial"/>
              <w:b w:val="0"/>
              <w:color w:val="auto"/>
              <w:sz w:val="22"/>
              <w:szCs w:val="22"/>
            </w:rPr>
            <w:instrText xml:space="preserve"> REF _Ref461629682 \h  \* MERGEFORMAT </w:instrText>
          </w:r>
          <w:r>
            <w:rPr>
              <w:rFonts w:asciiTheme="minorHAnsi" w:eastAsia="Times New Roman" w:hAnsiTheme="minorHAnsi" w:cs="Arial"/>
              <w:b w:val="0"/>
              <w:color w:val="auto"/>
              <w:sz w:val="22"/>
              <w:szCs w:val="22"/>
            </w:rPr>
          </w:r>
          <w:r>
            <w:rPr>
              <w:rFonts w:asciiTheme="minorHAnsi" w:eastAsia="Times New Roman" w:hAnsiTheme="minorHAnsi" w:cs="Arial"/>
              <w:b w:val="0"/>
              <w:color w:val="auto"/>
              <w:sz w:val="22"/>
              <w:szCs w:val="22"/>
            </w:rPr>
            <w:fldChar w:fldCharType="separate"/>
          </w:r>
          <w:r w:rsidR="00D94C93" w:rsidRPr="00D94C93">
            <w:rPr>
              <w:rFonts w:asciiTheme="minorHAnsi" w:eastAsia="Times New Roman" w:hAnsiTheme="minorHAnsi" w:cs="Arial"/>
              <w:b w:val="0"/>
              <w:color w:val="auto"/>
              <w:sz w:val="22"/>
              <w:szCs w:val="22"/>
            </w:rPr>
            <w:t>Table 11</w:t>
          </w:r>
          <w:r>
            <w:rPr>
              <w:rFonts w:asciiTheme="minorHAnsi" w:eastAsia="Times New Roman" w:hAnsiTheme="minorHAnsi" w:cs="Arial"/>
              <w:b w:val="0"/>
              <w:color w:val="auto"/>
              <w:sz w:val="22"/>
              <w:szCs w:val="22"/>
            </w:rPr>
            <w:fldChar w:fldCharType="end"/>
          </w:r>
          <w:r>
            <w:rPr>
              <w:rFonts w:asciiTheme="minorHAnsi" w:eastAsia="Times New Roman" w:hAnsiTheme="minorHAnsi" w:cs="Arial"/>
              <w:b w:val="0"/>
              <w:color w:val="auto"/>
              <w:sz w:val="22"/>
              <w:szCs w:val="22"/>
            </w:rPr>
            <w:t xml:space="preserve"> </w:t>
          </w:r>
          <w:r w:rsidR="003E5099">
            <w:rPr>
              <w:rFonts w:asciiTheme="minorHAnsi" w:eastAsia="Times New Roman" w:hAnsiTheme="minorHAnsi" w:cs="Arial"/>
              <w:b w:val="0"/>
              <w:color w:val="auto"/>
              <w:sz w:val="22"/>
              <w:szCs w:val="22"/>
            </w:rPr>
            <w:t xml:space="preserve">sets out the price and quantity </w:t>
          </w:r>
          <w:r w:rsidR="00D70218">
            <w:rPr>
              <w:rFonts w:asciiTheme="minorHAnsi" w:eastAsia="Times New Roman" w:hAnsiTheme="minorHAnsi" w:cs="Arial"/>
              <w:b w:val="0"/>
              <w:color w:val="auto"/>
              <w:sz w:val="22"/>
              <w:szCs w:val="22"/>
            </w:rPr>
            <w:t>for</w:t>
          </w:r>
          <w:r w:rsidR="003E5099">
            <w:rPr>
              <w:rFonts w:asciiTheme="minorHAnsi" w:eastAsia="Times New Roman" w:hAnsiTheme="minorHAnsi" w:cs="Arial"/>
              <w:b w:val="0"/>
              <w:color w:val="auto"/>
              <w:sz w:val="22"/>
              <w:szCs w:val="22"/>
            </w:rPr>
            <w:t xml:space="preserve"> each of the gas schedules for the 26 July gas day in Brisbane.</w:t>
          </w:r>
        </w:p>
        <w:p w:rsidR="00367430" w:rsidRPr="00367430" w:rsidRDefault="00367430" w:rsidP="00367430">
          <w:pPr>
            <w:pStyle w:val="Tabletitle"/>
            <w:rPr>
              <w:noProof/>
              <w:color w:val="FF0000"/>
              <w:lang w:eastAsia="en-AU"/>
            </w:rPr>
          </w:pPr>
          <w:bookmarkStart w:id="129" w:name="_Ref461629682"/>
          <w:r>
            <w:t>Table </w:t>
          </w:r>
          <w:r w:rsidR="002852EF">
            <w:fldChar w:fldCharType="begin"/>
          </w:r>
          <w:r w:rsidR="002852EF">
            <w:instrText xml:space="preserve"> SEQ Table \* ARABIC </w:instrText>
          </w:r>
          <w:r w:rsidR="002852EF">
            <w:fldChar w:fldCharType="separate"/>
          </w:r>
          <w:r w:rsidR="00D94C93">
            <w:rPr>
              <w:noProof/>
            </w:rPr>
            <w:t>11</w:t>
          </w:r>
          <w:r w:rsidR="002852EF">
            <w:rPr>
              <w:noProof/>
            </w:rPr>
            <w:fldChar w:fldCharType="end"/>
          </w:r>
          <w:bookmarkEnd w:id="129"/>
          <w:r>
            <w:rPr>
              <w:noProof/>
            </w:rPr>
            <w:t>: Brisbane prices and quantities, all schedules, 26 July</w:t>
          </w:r>
        </w:p>
        <w:tbl>
          <w:tblPr>
            <w:tblStyle w:val="AERsummarytable"/>
            <w:tblW w:w="0" w:type="auto"/>
            <w:tblLook w:val="04A0" w:firstRow="1" w:lastRow="0" w:firstColumn="1" w:lastColumn="0" w:noHBand="0" w:noVBand="1"/>
          </w:tblPr>
          <w:tblGrid>
            <w:gridCol w:w="1771"/>
            <w:gridCol w:w="1735"/>
            <w:gridCol w:w="1735"/>
            <w:gridCol w:w="1726"/>
            <w:gridCol w:w="1726"/>
          </w:tblGrid>
          <w:tr w:rsidR="00367430" w:rsidTr="00F27C6D">
            <w:trPr>
              <w:cnfStyle w:val="100000000000" w:firstRow="1" w:lastRow="0" w:firstColumn="0" w:lastColumn="0" w:oddVBand="0" w:evenVBand="0" w:oddHBand="0" w:evenHBand="0" w:firstRowFirstColumn="0" w:firstRowLastColumn="0" w:lastRowFirstColumn="0" w:lastRowLastColumn="0"/>
              <w:trHeight w:val="751"/>
            </w:trPr>
            <w:tc>
              <w:tcPr>
                <w:tcW w:w="1771" w:type="dxa"/>
                <w:vAlign w:val="center"/>
              </w:tcPr>
              <w:p w:rsidR="00367430" w:rsidRPr="00C64C3D" w:rsidRDefault="00367430" w:rsidP="00A96D53">
                <w:pPr>
                  <w:rPr>
                    <w:sz w:val="20"/>
                  </w:rPr>
                </w:pPr>
                <w:r w:rsidRPr="00C64C3D">
                  <w:rPr>
                    <w:sz w:val="20"/>
                  </w:rPr>
                  <w:t>Schedule</w:t>
                </w:r>
              </w:p>
            </w:tc>
            <w:tc>
              <w:tcPr>
                <w:tcW w:w="1735" w:type="dxa"/>
                <w:vAlign w:val="center"/>
              </w:tcPr>
              <w:p w:rsidR="00367430" w:rsidRPr="00C64C3D" w:rsidRDefault="00367430" w:rsidP="00BA4FA2">
                <w:pPr>
                  <w:jc w:val="center"/>
                  <w:rPr>
                    <w:sz w:val="20"/>
                  </w:rPr>
                </w:pPr>
                <w:r w:rsidRPr="00C64C3D">
                  <w:rPr>
                    <w:sz w:val="20"/>
                  </w:rPr>
                  <w:t>D-3</w:t>
                </w:r>
              </w:p>
            </w:tc>
            <w:tc>
              <w:tcPr>
                <w:tcW w:w="1735" w:type="dxa"/>
                <w:vAlign w:val="center"/>
              </w:tcPr>
              <w:p w:rsidR="00367430" w:rsidRPr="00C64C3D" w:rsidRDefault="00367430" w:rsidP="00BA4FA2">
                <w:pPr>
                  <w:jc w:val="center"/>
                  <w:rPr>
                    <w:sz w:val="20"/>
                  </w:rPr>
                </w:pPr>
                <w:r w:rsidRPr="00C64C3D">
                  <w:rPr>
                    <w:sz w:val="20"/>
                  </w:rPr>
                  <w:t>D-2</w:t>
                </w:r>
              </w:p>
            </w:tc>
            <w:tc>
              <w:tcPr>
                <w:tcW w:w="1726" w:type="dxa"/>
                <w:vAlign w:val="center"/>
              </w:tcPr>
              <w:p w:rsidR="00367430" w:rsidRPr="00C64C3D" w:rsidRDefault="00367430" w:rsidP="00BA4FA2">
                <w:pPr>
                  <w:jc w:val="center"/>
                  <w:rPr>
                    <w:sz w:val="20"/>
                  </w:rPr>
                </w:pPr>
                <w:r w:rsidRPr="00C64C3D">
                  <w:rPr>
                    <w:sz w:val="20"/>
                  </w:rPr>
                  <w:t>D-1</w:t>
                </w:r>
              </w:p>
            </w:tc>
            <w:tc>
              <w:tcPr>
                <w:tcW w:w="1726" w:type="dxa"/>
                <w:vAlign w:val="center"/>
              </w:tcPr>
              <w:p w:rsidR="00367430" w:rsidRPr="00C64C3D" w:rsidRDefault="00367430" w:rsidP="00BA4FA2">
                <w:pPr>
                  <w:jc w:val="center"/>
                  <w:rPr>
                    <w:sz w:val="20"/>
                  </w:rPr>
                </w:pPr>
                <w:r w:rsidRPr="00C64C3D">
                  <w:rPr>
                    <w:sz w:val="20"/>
                  </w:rPr>
                  <w:t>D+1</w:t>
                </w:r>
              </w:p>
            </w:tc>
          </w:tr>
          <w:tr w:rsidR="00367430" w:rsidTr="00F27C6D">
            <w:trPr>
              <w:cnfStyle w:val="000000100000" w:firstRow="0" w:lastRow="0" w:firstColumn="0" w:lastColumn="0" w:oddVBand="0" w:evenVBand="0" w:oddHBand="1" w:evenHBand="0" w:firstRowFirstColumn="0" w:firstRowLastColumn="0" w:lastRowFirstColumn="0" w:lastRowLastColumn="0"/>
              <w:trHeight w:val="751"/>
            </w:trPr>
            <w:tc>
              <w:tcPr>
                <w:tcW w:w="1771" w:type="dxa"/>
                <w:vAlign w:val="center"/>
              </w:tcPr>
              <w:p w:rsidR="00367430" w:rsidRPr="00C64C3D" w:rsidRDefault="00367430" w:rsidP="00A96D53">
                <w:pPr>
                  <w:rPr>
                    <w:b/>
                    <w:sz w:val="20"/>
                  </w:rPr>
                </w:pPr>
                <w:r w:rsidRPr="00C64C3D">
                  <w:rPr>
                    <w:b/>
                    <w:sz w:val="20"/>
                  </w:rPr>
                  <w:t>Price ($/GJ)</w:t>
                </w:r>
              </w:p>
            </w:tc>
            <w:tc>
              <w:tcPr>
                <w:tcW w:w="1735" w:type="dxa"/>
                <w:vAlign w:val="center"/>
              </w:tcPr>
              <w:p w:rsidR="00367430" w:rsidRDefault="00367430" w:rsidP="00BA4FA2">
                <w:pPr>
                  <w:jc w:val="center"/>
                </w:pPr>
                <w:r>
                  <w:t>$14.88</w:t>
                </w:r>
              </w:p>
            </w:tc>
            <w:tc>
              <w:tcPr>
                <w:tcW w:w="1735" w:type="dxa"/>
                <w:vAlign w:val="center"/>
              </w:tcPr>
              <w:p w:rsidR="00367430" w:rsidRDefault="00367430" w:rsidP="00BA4FA2">
                <w:pPr>
                  <w:jc w:val="center"/>
                </w:pPr>
                <w:r>
                  <w:t>$14.88</w:t>
                </w:r>
              </w:p>
            </w:tc>
            <w:tc>
              <w:tcPr>
                <w:tcW w:w="1726" w:type="dxa"/>
                <w:vAlign w:val="center"/>
              </w:tcPr>
              <w:p w:rsidR="00367430" w:rsidRDefault="00367430" w:rsidP="00BA4FA2">
                <w:pPr>
                  <w:jc w:val="center"/>
                </w:pPr>
                <w:r>
                  <w:t>$7.10</w:t>
                </w:r>
              </w:p>
            </w:tc>
            <w:tc>
              <w:tcPr>
                <w:tcW w:w="1726" w:type="dxa"/>
                <w:vAlign w:val="center"/>
              </w:tcPr>
              <w:p w:rsidR="00367430" w:rsidRDefault="00367430" w:rsidP="00BA4FA2">
                <w:pPr>
                  <w:jc w:val="center"/>
                </w:pPr>
                <w:r>
                  <w:t>$7.10</w:t>
                </w:r>
              </w:p>
            </w:tc>
          </w:tr>
          <w:tr w:rsidR="00367430" w:rsidTr="00F27C6D">
            <w:trPr>
              <w:cnfStyle w:val="000000010000" w:firstRow="0" w:lastRow="0" w:firstColumn="0" w:lastColumn="0" w:oddVBand="0" w:evenVBand="0" w:oddHBand="0" w:evenHBand="1" w:firstRowFirstColumn="0" w:firstRowLastColumn="0" w:lastRowFirstColumn="0" w:lastRowLastColumn="0"/>
              <w:trHeight w:val="751"/>
            </w:trPr>
            <w:tc>
              <w:tcPr>
                <w:tcW w:w="1771" w:type="dxa"/>
                <w:vAlign w:val="center"/>
              </w:tcPr>
              <w:p w:rsidR="00367430" w:rsidRPr="00C64C3D" w:rsidRDefault="00367430" w:rsidP="00A96D53">
                <w:pPr>
                  <w:rPr>
                    <w:b/>
                    <w:sz w:val="20"/>
                  </w:rPr>
                </w:pPr>
                <w:r w:rsidRPr="00C64C3D">
                  <w:rPr>
                    <w:b/>
                    <w:sz w:val="20"/>
                  </w:rPr>
                  <w:t>Quantity (TJ)</w:t>
                </w:r>
              </w:p>
            </w:tc>
            <w:tc>
              <w:tcPr>
                <w:tcW w:w="1735" w:type="dxa"/>
                <w:vAlign w:val="center"/>
              </w:tcPr>
              <w:p w:rsidR="00367430" w:rsidRDefault="00F27C6D" w:rsidP="00BA4FA2">
                <w:pPr>
                  <w:jc w:val="center"/>
                </w:pPr>
                <w:r>
                  <w:t>103.5</w:t>
                </w:r>
              </w:p>
            </w:tc>
            <w:tc>
              <w:tcPr>
                <w:tcW w:w="1735" w:type="dxa"/>
                <w:vAlign w:val="center"/>
              </w:tcPr>
              <w:p w:rsidR="00367430" w:rsidRDefault="00F27C6D" w:rsidP="00BA4FA2">
                <w:pPr>
                  <w:jc w:val="center"/>
                </w:pPr>
                <w:r>
                  <w:t>102.9</w:t>
                </w:r>
              </w:p>
            </w:tc>
            <w:tc>
              <w:tcPr>
                <w:tcW w:w="1726" w:type="dxa"/>
                <w:vAlign w:val="center"/>
              </w:tcPr>
              <w:p w:rsidR="00367430" w:rsidRDefault="00F27C6D" w:rsidP="00BA4FA2">
                <w:pPr>
                  <w:jc w:val="center"/>
                </w:pPr>
                <w:r>
                  <w:t>102.8</w:t>
                </w:r>
              </w:p>
            </w:tc>
            <w:tc>
              <w:tcPr>
                <w:tcW w:w="1726" w:type="dxa"/>
                <w:vAlign w:val="center"/>
              </w:tcPr>
              <w:p w:rsidR="00367430" w:rsidRDefault="00367430" w:rsidP="00BA4FA2">
                <w:pPr>
                  <w:jc w:val="center"/>
                </w:pPr>
                <w:r>
                  <w:t>-1.143</w:t>
                </w:r>
              </w:p>
            </w:tc>
          </w:tr>
        </w:tbl>
        <w:p w:rsidR="00F27C6D" w:rsidRDefault="00F27C6D" w:rsidP="006D4C89">
          <w:pPr>
            <w:rPr>
              <w:rFonts w:asciiTheme="minorHAnsi" w:eastAsia="Times New Roman" w:hAnsiTheme="minorHAnsi" w:cs="Arial"/>
            </w:rPr>
          </w:pPr>
          <w:r w:rsidRPr="008A0A02">
            <w:rPr>
              <w:rFonts w:asciiTheme="minorHAnsi" w:eastAsia="Times New Roman" w:hAnsiTheme="minorHAnsi" w:cs="Arial"/>
            </w:rPr>
            <w:t>Th</w:t>
          </w:r>
          <w:r>
            <w:rPr>
              <w:rFonts w:asciiTheme="minorHAnsi" w:eastAsia="Times New Roman" w:hAnsiTheme="minorHAnsi" w:cs="Arial"/>
            </w:rPr>
            <w:t>e main driver</w:t>
          </w:r>
          <w:r w:rsidRPr="008A0A02">
            <w:rPr>
              <w:rFonts w:asciiTheme="minorHAnsi" w:eastAsia="Times New Roman" w:hAnsiTheme="minorHAnsi" w:cs="Arial"/>
            </w:rPr>
            <w:t xml:space="preserve"> behind the </w:t>
          </w:r>
          <w:r w:rsidRPr="00973418">
            <w:t>$</w:t>
          </w:r>
          <w:r>
            <w:t>7.78</w:t>
          </w:r>
          <w:r w:rsidRPr="00973418">
            <w:t>/GJ variation between the D-2 schedule price ($</w:t>
          </w:r>
          <w:r>
            <w:t>14.88</w:t>
          </w:r>
          <w:r w:rsidRPr="00973418">
            <w:t>/GJ) and the</w:t>
          </w:r>
          <w:r>
            <w:t xml:space="preserve"> D-1 schedule price ($7.10/GJ)</w:t>
          </w:r>
          <w:r w:rsidRPr="008A0A02">
            <w:rPr>
              <w:rFonts w:asciiTheme="minorHAnsi" w:eastAsia="Times New Roman" w:hAnsiTheme="minorHAnsi" w:cs="Arial"/>
            </w:rPr>
            <w:t xml:space="preserve"> </w:t>
          </w:r>
          <w:r>
            <w:rPr>
              <w:rFonts w:asciiTheme="minorHAnsi" w:eastAsia="Times New Roman" w:hAnsiTheme="minorHAnsi" w:cs="Arial"/>
            </w:rPr>
            <w:t>was</w:t>
          </w:r>
          <w:r w:rsidRPr="00A40CE7">
            <w:rPr>
              <w:rFonts w:asciiTheme="minorHAnsi" w:eastAsia="Times New Roman" w:hAnsiTheme="minorHAnsi" w:cs="Arial"/>
            </w:rPr>
            <w:t xml:space="preserve"> </w:t>
          </w:r>
          <w:r>
            <w:rPr>
              <w:rFonts w:asciiTheme="minorHAnsi" w:eastAsia="Times New Roman" w:hAnsiTheme="minorHAnsi" w:cs="Arial"/>
            </w:rPr>
            <w:t>an increase</w:t>
          </w:r>
          <w:r w:rsidRPr="00A40CE7">
            <w:rPr>
              <w:rFonts w:asciiTheme="minorHAnsi" w:eastAsia="Times New Roman" w:hAnsiTheme="minorHAnsi" w:cs="Arial"/>
            </w:rPr>
            <w:t xml:space="preserve"> in low priced supply offers.</w:t>
          </w:r>
          <w:r>
            <w:rPr>
              <w:rFonts w:asciiTheme="minorHAnsi" w:eastAsia="Times New Roman" w:hAnsiTheme="minorHAnsi" w:cs="Arial"/>
            </w:rPr>
            <w:t xml:space="preserve"> Uninterruptable and controllable demand remained at similar levels across all schedules.</w:t>
          </w:r>
        </w:p>
        <w:p w:rsidR="00424976" w:rsidRDefault="00424976" w:rsidP="00424976">
          <w:pPr>
            <w:rPr>
              <w:rFonts w:asciiTheme="minorHAnsi" w:eastAsia="Times New Roman" w:hAnsiTheme="minorHAnsi" w:cs="Arial"/>
            </w:rPr>
          </w:pPr>
          <w:r>
            <w:rPr>
              <w:rFonts w:asciiTheme="minorHAnsi" w:eastAsia="Times New Roman" w:hAnsiTheme="minorHAnsi" w:cs="Arial"/>
            </w:rPr>
            <w:t>The main contributor to the increase in low priced offers was Stanwell. For the D-1 schedule, Stanwell increased its offers on the RBP priced at or below $7.10/GJ by 10 TJ.</w:t>
          </w:r>
          <w:r w:rsidR="00BE583C">
            <w:rPr>
              <w:rStyle w:val="FootnoteReference"/>
              <w:rFonts w:asciiTheme="minorHAnsi" w:eastAsia="Times New Roman" w:hAnsiTheme="minorHAnsi" w:cs="Arial"/>
            </w:rPr>
            <w:footnoteReference w:id="42"/>
          </w:r>
          <w:r>
            <w:rPr>
              <w:rFonts w:asciiTheme="minorHAnsi" w:eastAsia="Times New Roman" w:hAnsiTheme="minorHAnsi" w:cs="Arial"/>
            </w:rPr>
            <w:t xml:space="preserve"> Alinta also increased its offers on the RBP in the same price range by nearly 1.4 TJ.</w:t>
          </w:r>
          <w:r>
            <w:rPr>
              <w:rStyle w:val="FootnoteReference"/>
              <w:rFonts w:asciiTheme="minorHAnsi" w:eastAsia="Times New Roman" w:hAnsiTheme="minorHAnsi" w:cs="Arial"/>
            </w:rPr>
            <w:footnoteReference w:id="43"/>
          </w:r>
        </w:p>
        <w:p w:rsidR="00424976" w:rsidRDefault="00BE583C" w:rsidP="006D4C89">
          <w:r w:rsidRPr="00FA3A48">
            <w:t xml:space="preserve">This also coincided with a number of trades in the </w:t>
          </w:r>
          <w:r>
            <w:t>Wallumbilla Gas Supply Hub (GSH)</w:t>
          </w:r>
          <w:r w:rsidRPr="00FA3A48">
            <w:t xml:space="preserve"> for delivery on the </w:t>
          </w:r>
          <w:r>
            <w:t xml:space="preserve">Roma to Brisbane Pipeline (RBP) </w:t>
          </w:r>
          <w:r w:rsidRPr="00FA3A48">
            <w:t>on 26 July</w:t>
          </w:r>
          <w:r>
            <w:t>.</w:t>
          </w:r>
          <w:r>
            <w:rPr>
              <w:rStyle w:val="FootnoteReference"/>
            </w:rPr>
            <w:footnoteReference w:id="44"/>
          </w:r>
          <w:r w:rsidRPr="00FA3A48">
            <w:t xml:space="preserve"> </w:t>
          </w:r>
          <w:r>
            <w:t xml:space="preserve">The reduction in offer prices prior to the 26 July gas day may have been associated with an expected increase in the availability of gas at lower prices </w:t>
          </w:r>
          <w:r w:rsidRPr="00FA3A48">
            <w:t xml:space="preserve">following the QCLNG maintenance period commencing </w:t>
          </w:r>
          <w:r>
            <w:t xml:space="preserve">from </w:t>
          </w:r>
          <w:r w:rsidRPr="00FA3A48">
            <w:t>25 July.</w:t>
          </w:r>
        </w:p>
        <w:p w:rsidR="009C2A29" w:rsidRDefault="00BE583C" w:rsidP="00F27C6D">
          <w:r>
            <w:fldChar w:fldCharType="begin"/>
          </w:r>
          <w:r>
            <w:instrText xml:space="preserve"> REF _Ref461637278 \h </w:instrText>
          </w:r>
          <w:r>
            <w:fldChar w:fldCharType="separate"/>
          </w:r>
          <w:r w:rsidR="00D94C93">
            <w:t>Figure </w:t>
          </w:r>
          <w:r w:rsidR="00D94C93">
            <w:rPr>
              <w:noProof/>
            </w:rPr>
            <w:t>25</w:t>
          </w:r>
          <w:r>
            <w:fldChar w:fldCharType="end"/>
          </w:r>
          <w:r w:rsidR="00F27C6D">
            <w:t xml:space="preserve"> illustrates</w:t>
          </w:r>
          <w:r w:rsidR="009C2A29">
            <w:t xml:space="preserve"> the increase in low priced supply offers from the D-2 to the D-1 schedules and in turn how this change resulted in the </w:t>
          </w:r>
          <w:r w:rsidR="009C2A29" w:rsidRPr="00973418">
            <w:t>$</w:t>
          </w:r>
          <w:r w:rsidR="009C2A29">
            <w:t>7.78</w:t>
          </w:r>
          <w:r w:rsidR="009C2A29" w:rsidRPr="00973418">
            <w:t>/GJ variation</w:t>
          </w:r>
          <w:r w:rsidR="009C2A29">
            <w:t xml:space="preserve"> between the two schedules’ prices.</w:t>
          </w:r>
        </w:p>
        <w:p w:rsidR="004A3CD0" w:rsidRDefault="004A3CD0" w:rsidP="004A3CD0">
          <w:pPr>
            <w:pStyle w:val="Caption"/>
          </w:pPr>
          <w:bookmarkStart w:id="130" w:name="_Ref461637278"/>
          <w:r>
            <w:t>Figure </w:t>
          </w:r>
          <w:r w:rsidR="002852EF">
            <w:fldChar w:fldCharType="begin"/>
          </w:r>
          <w:r w:rsidR="002852EF">
            <w:instrText xml:space="preserve"> SEQ Figure \* ARABIC </w:instrText>
          </w:r>
          <w:r w:rsidR="002852EF">
            <w:fldChar w:fldCharType="separate"/>
          </w:r>
          <w:r w:rsidR="00D94C93">
            <w:rPr>
              <w:noProof/>
            </w:rPr>
            <w:t>25</w:t>
          </w:r>
          <w:r w:rsidR="002852EF">
            <w:rPr>
              <w:noProof/>
            </w:rPr>
            <w:fldChar w:fldCharType="end"/>
          </w:r>
          <w:bookmarkEnd w:id="130"/>
          <w:r>
            <w:t>: Brisbane STTM, 26 July 2016, D</w:t>
          </w:r>
          <w:r>
            <w:noBreakHyphen/>
            <w:t>2 and D</w:t>
          </w:r>
          <w:r>
            <w:noBreakHyphen/>
            <w:t>1 schedules (TJ)</w:t>
          </w:r>
        </w:p>
        <w:p w:rsidR="003C3458" w:rsidRPr="00253233" w:rsidRDefault="002D0D7B" w:rsidP="006D4C89">
          <w:pPr>
            <w:rPr>
              <w:rFonts w:asciiTheme="minorHAnsi" w:eastAsia="Times New Roman" w:hAnsiTheme="minorHAnsi" w:cs="Arial"/>
            </w:rPr>
          </w:pPr>
          <w:r w:rsidRPr="00253233">
            <w:rPr>
              <w:rFonts w:asciiTheme="minorHAnsi" w:eastAsia="Times New Roman" w:hAnsiTheme="minorHAnsi" w:cs="Arial"/>
              <w:noProof/>
              <w:lang w:eastAsia="en-AU"/>
            </w:rPr>
            <w:drawing>
              <wp:inline distT="0" distB="0" distL="0" distR="0" wp14:anchorId="6AE95726" wp14:editId="14C13795">
                <wp:extent cx="5382895" cy="3107526"/>
                <wp:effectExtent l="0" t="0" r="8255" b="0"/>
                <wp:docPr id="29" name="Picture 29" descr="Figure 25 illustrates the provisional (D-2) and ex ante (D-1) schedules for the 26 July 2016 gas day in Brisbane. Prices ($/GJ) are shown on the vertical axis and quantities (TJ) are shown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895" cy="3107526"/>
                        </a:xfrm>
                        <a:prstGeom prst="rect">
                          <a:avLst/>
                        </a:prstGeom>
                        <a:noFill/>
                        <a:ln>
                          <a:noFill/>
                        </a:ln>
                      </pic:spPr>
                    </pic:pic>
                  </a:graphicData>
                </a:graphic>
              </wp:inline>
            </w:drawing>
          </w:r>
        </w:p>
        <w:p w:rsidR="003C3458" w:rsidRPr="00253233" w:rsidRDefault="003C3458" w:rsidP="006D4C89">
          <w:pPr>
            <w:rPr>
              <w:rFonts w:asciiTheme="minorHAnsi" w:eastAsia="Times New Roman" w:hAnsiTheme="minorHAnsi" w:cs="Arial"/>
            </w:rPr>
          </w:pPr>
        </w:p>
        <w:p w:rsidR="00253233" w:rsidRPr="00253233" w:rsidRDefault="004E566F" w:rsidP="006D4C89">
          <w:pPr>
            <w:rPr>
              <w:rFonts w:asciiTheme="minorHAnsi" w:eastAsia="Times New Roman" w:hAnsiTheme="minorHAnsi" w:cs="Arial"/>
            </w:rPr>
          </w:pPr>
          <w:r>
            <w:rPr>
              <w:rFonts w:asciiTheme="minorHAnsi" w:eastAsia="Times New Roman" w:hAnsiTheme="minorHAnsi" w:cs="Arial"/>
            </w:rPr>
            <w:fldChar w:fldCharType="begin"/>
          </w:r>
          <w:r>
            <w:rPr>
              <w:rFonts w:asciiTheme="minorHAnsi" w:eastAsia="Times New Roman" w:hAnsiTheme="minorHAnsi" w:cs="Arial"/>
            </w:rPr>
            <w:instrText xml:space="preserve"> REF _Ref457916157 \h </w:instrText>
          </w:r>
          <w:r>
            <w:rPr>
              <w:rFonts w:asciiTheme="minorHAnsi" w:eastAsia="Times New Roman" w:hAnsiTheme="minorHAnsi" w:cs="Arial"/>
            </w:rPr>
          </w:r>
          <w:r>
            <w:rPr>
              <w:rFonts w:asciiTheme="minorHAnsi" w:eastAsia="Times New Roman" w:hAnsiTheme="minorHAnsi" w:cs="Arial"/>
            </w:rPr>
            <w:fldChar w:fldCharType="separate"/>
          </w:r>
          <w:r w:rsidR="00D94C93">
            <w:t>Figure </w:t>
          </w:r>
          <w:r w:rsidR="00D94C93">
            <w:rPr>
              <w:noProof/>
            </w:rPr>
            <w:t>26</w:t>
          </w:r>
          <w:r>
            <w:rPr>
              <w:rFonts w:asciiTheme="minorHAnsi" w:eastAsia="Times New Roman" w:hAnsiTheme="minorHAnsi" w:cs="Arial"/>
            </w:rPr>
            <w:fldChar w:fldCharType="end"/>
          </w:r>
          <w:r>
            <w:rPr>
              <w:rFonts w:asciiTheme="minorHAnsi" w:eastAsia="Times New Roman" w:hAnsiTheme="minorHAnsi" w:cs="Arial"/>
            </w:rPr>
            <w:t xml:space="preserve"> shows</w:t>
          </w:r>
          <w:r w:rsidR="00617D72">
            <w:rPr>
              <w:rFonts w:asciiTheme="minorHAnsi" w:eastAsia="Times New Roman" w:hAnsiTheme="minorHAnsi" w:cs="Arial"/>
            </w:rPr>
            <w:t xml:space="preserve"> the additional </w:t>
          </w:r>
          <w:r w:rsidR="00BE583C">
            <w:rPr>
              <w:rFonts w:asciiTheme="minorHAnsi" w:eastAsia="Times New Roman" w:hAnsiTheme="minorHAnsi" w:cs="Arial"/>
            </w:rPr>
            <w:t>quantity of gas offers made for the D-1 schedule compared to the D-2 and D-3 schedules</w:t>
          </w:r>
          <w:r w:rsidR="00617D72">
            <w:rPr>
              <w:rFonts w:asciiTheme="minorHAnsi" w:eastAsia="Times New Roman" w:hAnsiTheme="minorHAnsi" w:cs="Arial"/>
            </w:rPr>
            <w:t>.</w:t>
          </w:r>
        </w:p>
      </w:sdtContent>
    </w:sdt>
    <w:p w:rsidR="00EB36A1" w:rsidRDefault="00EB36A1" w:rsidP="00EB36A1">
      <w:pPr>
        <w:pStyle w:val="Caption"/>
      </w:pPr>
      <w:bookmarkStart w:id="131" w:name="_Ref457916157"/>
      <w:r>
        <w:t>Figure </w:t>
      </w:r>
      <w:r w:rsidR="002852EF">
        <w:fldChar w:fldCharType="begin"/>
      </w:r>
      <w:r w:rsidR="002852EF">
        <w:instrText xml:space="preserve"> SEQ Figure \* ARABIC </w:instrText>
      </w:r>
      <w:r w:rsidR="002852EF">
        <w:fldChar w:fldCharType="separate"/>
      </w:r>
      <w:r w:rsidR="00D94C93">
        <w:rPr>
          <w:noProof/>
        </w:rPr>
        <w:t>26</w:t>
      </w:r>
      <w:r w:rsidR="002852EF">
        <w:rPr>
          <w:noProof/>
        </w:rPr>
        <w:fldChar w:fldCharType="end"/>
      </w:r>
      <w:bookmarkEnd w:id="131"/>
      <w:r>
        <w:t xml:space="preserve">: Brisbane STTM, 26 July 2016, supply offers </w:t>
      </w:r>
      <w:r w:rsidR="003830FC">
        <w:t>across the D-3, D-2, and D-1 schedules</w:t>
      </w:r>
    </w:p>
    <w:p w:rsidR="0019352B" w:rsidRDefault="00253233" w:rsidP="006D4C89">
      <w:pPr>
        <w:rPr>
          <w:b/>
          <w:noProof/>
          <w:color w:val="FF0000"/>
          <w:sz w:val="24"/>
          <w:szCs w:val="20"/>
          <w:lang w:eastAsia="en-AU"/>
        </w:rPr>
      </w:pPr>
      <w:r w:rsidRPr="00253233">
        <w:rPr>
          <w:rFonts w:asciiTheme="minorHAnsi" w:eastAsia="Times New Roman" w:hAnsiTheme="minorHAnsi" w:cs="Arial"/>
          <w:noProof/>
          <w:lang w:eastAsia="en-AU"/>
        </w:rPr>
        <w:drawing>
          <wp:inline distT="0" distB="0" distL="0" distR="0" wp14:anchorId="400AC4A3" wp14:editId="78267F52">
            <wp:extent cx="5382895" cy="3488116"/>
            <wp:effectExtent l="0" t="0" r="8255" b="0"/>
            <wp:docPr id="288" name="Picture 288" descr="Figure 26 shows the daily hub offers (to sell gas) within certain price bands for the 26 July gas day in Brisbane. The line indicates the provisional and ex ante schedule prices based on the quantity of gas schedu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488116"/>
                    </a:xfrm>
                    <a:prstGeom prst="rect">
                      <a:avLst/>
                    </a:prstGeom>
                    <a:noFill/>
                    <a:ln>
                      <a:noFill/>
                    </a:ln>
                  </pic:spPr>
                </pic:pic>
              </a:graphicData>
            </a:graphic>
          </wp:inline>
        </w:drawing>
      </w:r>
    </w:p>
    <w:p w:rsidR="00D06E10" w:rsidRDefault="00D06E10" w:rsidP="006D4C89">
      <w:pPr>
        <w:rPr>
          <w:b/>
          <w:noProof/>
          <w:color w:val="FF0000"/>
          <w:sz w:val="24"/>
          <w:szCs w:val="20"/>
          <w:lang w:eastAsia="en-AU"/>
        </w:rPr>
      </w:pPr>
    </w:p>
    <w:p w:rsidR="00D06E10" w:rsidRDefault="00D06E10" w:rsidP="00D06E10">
      <w:pPr>
        <w:pStyle w:val="Heading2"/>
      </w:pPr>
      <w:bookmarkStart w:id="132" w:name="_Toc466896996"/>
      <w:r>
        <w:t>Thursday 25 August 2016</w:t>
      </w:r>
      <w:bookmarkEnd w:id="132"/>
    </w:p>
    <w:p w:rsidR="00D06E10" w:rsidRDefault="00D06E10" w:rsidP="00D06E10">
      <w:r>
        <w:rPr>
          <w:noProof/>
          <w:lang w:eastAsia="en-AU"/>
        </w:rPr>
        <mc:AlternateContent>
          <mc:Choice Requires="wps">
            <w:drawing>
              <wp:anchor distT="0" distB="0" distL="114300" distR="114300" simplePos="0" relativeHeight="251683840" behindDoc="0" locked="0" layoutInCell="1" allowOverlap="1" wp14:anchorId="77EF7262" wp14:editId="380414B6">
                <wp:simplePos x="0" y="0"/>
                <wp:positionH relativeFrom="column">
                  <wp:posOffset>6490</wp:posOffset>
                </wp:positionH>
                <wp:positionV relativeFrom="paragraph">
                  <wp:posOffset>212436</wp:posOffset>
                </wp:positionV>
                <wp:extent cx="5399549" cy="534390"/>
                <wp:effectExtent l="0" t="0" r="1079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49" cy="534390"/>
                        </a:xfrm>
                        <a:prstGeom prst="rect">
                          <a:avLst/>
                        </a:prstGeom>
                        <a:solidFill>
                          <a:srgbClr val="DBE5F1"/>
                        </a:solidFill>
                        <a:ln w="9525">
                          <a:solidFill>
                            <a:srgbClr val="000000"/>
                          </a:solidFill>
                          <a:miter lim="800000"/>
                          <a:headEnd/>
                          <a:tailEnd/>
                        </a:ln>
                      </wps:spPr>
                      <wps:txbx>
                        <w:txbxContent>
                          <w:p w:rsidR="002B723A" w:rsidRPr="00973418" w:rsidRDefault="002B723A" w:rsidP="00D06E10">
                            <w:pPr>
                              <w:ind w:left="2160" w:hanging="2160"/>
                            </w:pPr>
                            <w:r>
                              <w:rPr>
                                <w:b/>
                              </w:rPr>
                              <w:t>Sydney</w:t>
                            </w:r>
                            <w:r w:rsidRPr="0051165D">
                              <w:rPr>
                                <w:b/>
                              </w:rPr>
                              <w:t xml:space="preserve"> STTM:</w:t>
                            </w:r>
                            <w:r>
                              <w:tab/>
                              <w:t xml:space="preserve">There was a </w:t>
                            </w:r>
                            <w:r w:rsidRPr="00973418">
                              <w:t>$</w:t>
                            </w:r>
                            <w:r>
                              <w:t>256 937</w:t>
                            </w:r>
                            <w:r w:rsidRPr="00973418">
                              <w:t xml:space="preserve"> </w:t>
                            </w:r>
                            <w:r>
                              <w:t>MOS service payment</w:t>
                            </w:r>
                            <w:r w:rsidRPr="0097341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pt;margin-top:16.75pt;width:425.15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" fillcolor="#dbe5f1">
                <v:textbox>
                  <w:txbxContent>
                    <w:p w:rsidR="002B723A" w:rsidRPr="00973418" w:rsidRDefault="002B723A" w:rsidP="00D06E10">
                      <w:pPr>
                        <w:ind w:left="2160" w:hanging="2160"/>
                      </w:pPr>
                      <w:r>
                        <w:rPr>
                          <w:b/>
                        </w:rPr>
                        <w:t>Sydney</w:t>
                      </w:r>
                      <w:r w:rsidRPr="0051165D">
                        <w:rPr>
                          <w:b/>
                        </w:rPr>
                        <w:t xml:space="preserve"> STTM:</w:t>
                      </w:r>
                      <w:r>
                        <w:tab/>
                        <w:t xml:space="preserve">There was a </w:t>
                      </w:r>
                      <w:r w:rsidRPr="00973418">
                        <w:t>$</w:t>
                      </w:r>
                      <w:r>
                        <w:t>256 937</w:t>
                      </w:r>
                      <w:r w:rsidRPr="00973418">
                        <w:t xml:space="preserve"> </w:t>
                      </w:r>
                      <w:r>
                        <w:t>MOS service payment</w:t>
                      </w:r>
                      <w:r w:rsidRPr="00973418">
                        <w:t>.</w:t>
                      </w:r>
                    </w:p>
                  </w:txbxContent>
                </v:textbox>
              </v:shape>
            </w:pict>
          </mc:Fallback>
        </mc:AlternateContent>
      </w:r>
    </w:p>
    <w:p w:rsidR="00D06E10" w:rsidRDefault="00D06E10" w:rsidP="00D06E10"/>
    <w:p w:rsidR="00D06E10" w:rsidRDefault="00D06E10" w:rsidP="00D06E10">
      <w:pPr>
        <w:jc w:val="left"/>
      </w:pPr>
    </w:p>
    <w:p w:rsidR="008538B1" w:rsidRDefault="008538B1" w:rsidP="00CB2535">
      <w:r>
        <w:t>On 25 August, a total of 33.2 TJ of MOS was required on the MSP and EGP. The service payment was made up of:</w:t>
      </w:r>
    </w:p>
    <w:p w:rsidR="008538B1" w:rsidRPr="00BD3BC9" w:rsidRDefault="008538B1" w:rsidP="00A8220F">
      <w:pPr>
        <w:pStyle w:val="ListParagraph"/>
        <w:numPr>
          <w:ilvl w:val="0"/>
          <w:numId w:val="25"/>
        </w:numPr>
      </w:pPr>
      <w:r>
        <w:t>21.6</w:t>
      </w:r>
      <w:r w:rsidRPr="00BD3BC9">
        <w:t> TJ of decrease MOS on the MSP</w:t>
      </w:r>
      <w:r w:rsidRPr="00BD3BC9">
        <w:tab/>
      </w:r>
      <w:r>
        <w:t xml:space="preserve">(at a cost of </w:t>
      </w:r>
      <w:r w:rsidRPr="00BD3BC9">
        <w:t>$</w:t>
      </w:r>
      <w:r>
        <w:t>168 480)</w:t>
      </w:r>
    </w:p>
    <w:p w:rsidR="008538B1" w:rsidRPr="00BD3BC9" w:rsidRDefault="008538B1" w:rsidP="00A8220F">
      <w:pPr>
        <w:pStyle w:val="ListParagraph"/>
        <w:numPr>
          <w:ilvl w:val="0"/>
          <w:numId w:val="25"/>
        </w:numPr>
      </w:pPr>
      <w:r>
        <w:t>10.6 TJ of increase MOS on the EGP</w:t>
      </w:r>
      <w:r>
        <w:tab/>
        <w:t xml:space="preserve">(at a cost of </w:t>
      </w:r>
      <w:r w:rsidRPr="00BD3BC9">
        <w:t>$</w:t>
      </w:r>
      <w:r>
        <w:t>88 457)</w:t>
      </w:r>
    </w:p>
    <w:p w:rsidR="008538B1" w:rsidRDefault="008538B1" w:rsidP="008538B1">
      <w:r>
        <w:t>The overall MOS requirement on the day was driven by:</w:t>
      </w:r>
    </w:p>
    <w:p w:rsidR="008538B1" w:rsidRDefault="008538B1" w:rsidP="00A8220F">
      <w:pPr>
        <w:pStyle w:val="ListParagraph"/>
        <w:numPr>
          <w:ilvl w:val="0"/>
          <w:numId w:val="25"/>
        </w:numPr>
      </w:pPr>
      <w:r>
        <w:t>participants over forecasting demand (in aggregate across both distribution zones) by around 15.6 TJ</w:t>
      </w:r>
    </w:p>
    <w:p w:rsidR="008538B1" w:rsidRDefault="008538B1" w:rsidP="00A8220F">
      <w:pPr>
        <w:pStyle w:val="ListParagraph"/>
        <w:numPr>
          <w:ilvl w:val="0"/>
          <w:numId w:val="25"/>
        </w:numPr>
      </w:pPr>
      <w:r>
        <w:t xml:space="preserve">actual deliveries from the EGP injection points </w:t>
      </w:r>
      <w:r w:rsidR="003E5061">
        <w:t>being reduced</w:t>
      </w:r>
      <w:r>
        <w:t xml:space="preserve"> by </w:t>
      </w:r>
      <w:r w:rsidR="003E5061">
        <w:t>4.7</w:t>
      </w:r>
      <w:r>
        <w:t> TJ</w:t>
      </w:r>
      <w:r w:rsidR="003E5061">
        <w:t xml:space="preserve"> (compared to the deliveries scheduled on the pipeline</w:t>
      </w:r>
      <w:r w:rsidR="00C01146">
        <w:t>)</w:t>
      </w:r>
      <w:r>
        <w:t>.</w:t>
      </w:r>
      <w:r w:rsidR="00695903">
        <w:rPr>
          <w:rStyle w:val="FootnoteReference"/>
        </w:rPr>
        <w:footnoteReference w:id="45"/>
      </w:r>
    </w:p>
    <w:p w:rsidR="008538B1" w:rsidRDefault="0022233D" w:rsidP="00CB2535">
      <w:r>
        <w:t>The supply/demand deviation from schedule accounted for 10.9 TJ of the MOS allocation requirement, while the remainder of MOS allocations were related to the counteracting nature of the MOS deliveries.</w:t>
      </w:r>
    </w:p>
    <w:p w:rsidR="00CB2535" w:rsidRDefault="00CB2535" w:rsidP="00CB2535">
      <w:r>
        <w:fldChar w:fldCharType="begin"/>
      </w:r>
      <w:r>
        <w:instrText xml:space="preserve"> REF _Ref461629771 \h </w:instrText>
      </w:r>
      <w:r>
        <w:fldChar w:fldCharType="separate"/>
      </w:r>
      <w:r w:rsidR="00D94C93">
        <w:t xml:space="preserve">Figure </w:t>
      </w:r>
      <w:r w:rsidR="00D94C93">
        <w:rPr>
          <w:noProof/>
        </w:rPr>
        <w:t>27</w:t>
      </w:r>
      <w:r>
        <w:fldChar w:fldCharType="end"/>
      </w:r>
      <w:r>
        <w:t xml:space="preserve"> shows the available balancing gas quantities offered on MOS enabled pipelines supplying the Sydney hub for the month of August 2016. The figure also illustrates the quantity of services allocated on each pipeline and the associated cost.</w:t>
      </w:r>
    </w:p>
    <w:p w:rsidR="00D06E10" w:rsidRPr="005E7608" w:rsidRDefault="00D06E10" w:rsidP="00D06E10">
      <w:pPr>
        <w:pStyle w:val="Caption"/>
      </w:pPr>
      <w:bookmarkStart w:id="133" w:name="_Ref461629771"/>
      <w:r>
        <w:t xml:space="preserve">Figure </w:t>
      </w:r>
      <w:r w:rsidR="002852EF">
        <w:fldChar w:fldCharType="begin"/>
      </w:r>
      <w:r w:rsidR="002852EF">
        <w:instrText xml:space="preserve"> SEQ Figure \* ARABIC </w:instrText>
      </w:r>
      <w:r w:rsidR="002852EF">
        <w:fldChar w:fldCharType="separate"/>
      </w:r>
      <w:r w:rsidR="00D94C93">
        <w:rPr>
          <w:noProof/>
        </w:rPr>
        <w:t>27</w:t>
      </w:r>
      <w:r w:rsidR="002852EF">
        <w:rPr>
          <w:noProof/>
        </w:rPr>
        <w:fldChar w:fldCharType="end"/>
      </w:r>
      <w:bookmarkEnd w:id="133"/>
      <w:r>
        <w:t>: MOS stacks and allocation requirements for 25 August</w:t>
      </w:r>
    </w:p>
    <w:p w:rsidR="00D06E10" w:rsidRDefault="008623D7" w:rsidP="00D06E10">
      <w:r w:rsidRPr="008623D7">
        <w:rPr>
          <w:noProof/>
          <w:lang w:eastAsia="en-AU"/>
        </w:rPr>
        <w:drawing>
          <wp:inline distT="0" distB="0" distL="0" distR="0" wp14:anchorId="658AA764" wp14:editId="13448AFC">
            <wp:extent cx="5382895" cy="3165802"/>
            <wp:effectExtent l="0" t="0" r="8255" b="0"/>
            <wp:docPr id="59" name="Picture 59" descr="Figure 27 illustrates the relevant August MOS stacks and MOS allocation requirements in the Sydney STTM hub for the 25 August ga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895" cy="3165802"/>
                    </a:xfrm>
                    <a:prstGeom prst="rect">
                      <a:avLst/>
                    </a:prstGeom>
                    <a:noFill/>
                    <a:ln>
                      <a:noFill/>
                    </a:ln>
                  </pic:spPr>
                </pic:pic>
              </a:graphicData>
            </a:graphic>
          </wp:inline>
        </w:drawing>
      </w:r>
    </w:p>
    <w:p w:rsidR="00755536" w:rsidRPr="00CA42FB" w:rsidRDefault="00BD2C79" w:rsidP="00755536">
      <w:pPr>
        <w:pStyle w:val="Heading1"/>
      </w:pPr>
      <w:bookmarkStart w:id="134" w:name="_Toc466896997"/>
      <w:r w:rsidRPr="00CA42FB">
        <w:t xml:space="preserve">Other </w:t>
      </w:r>
      <w:r w:rsidR="00DB5504">
        <w:t>market and c</w:t>
      </w:r>
      <w:r w:rsidR="00755536" w:rsidRPr="00CA42FB">
        <w:t>ompliance Issues</w:t>
      </w:r>
      <w:bookmarkEnd w:id="134"/>
    </w:p>
    <w:p w:rsidR="00CA42FB" w:rsidRDefault="00CA42FB" w:rsidP="00CA42FB">
      <w:r w:rsidRPr="00CA42FB">
        <w:t>In addition to the information described in Part 2 and Part 3 of the report, in investigating SPV days the AER identified a number of other issues which are worth highlighting with this final report on winter SPV days. Particularly MOS Service payments can represent a significant additional ancillary cost of business to participate in the STTMs in addition to the primary market prices</w:t>
      </w:r>
      <w:r>
        <w:t>.</w:t>
      </w:r>
    </w:p>
    <w:p w:rsidR="00755536" w:rsidRPr="00CA42FB" w:rsidRDefault="00A86334" w:rsidP="00755536">
      <w:pPr>
        <w:pStyle w:val="Heading6notnumbered"/>
      </w:pPr>
      <w:r w:rsidRPr="00CA42FB">
        <w:t xml:space="preserve">The MOS balancing gas market </w:t>
      </w:r>
      <w:r w:rsidR="00CB5485">
        <w:t>—</w:t>
      </w:r>
      <w:r w:rsidRPr="00CA42FB">
        <w:t xml:space="preserve"> </w:t>
      </w:r>
      <w:r w:rsidR="00755536" w:rsidRPr="00CA42FB">
        <w:t xml:space="preserve">MOS </w:t>
      </w:r>
      <w:r w:rsidRPr="00CA42FB">
        <w:t xml:space="preserve">Service </w:t>
      </w:r>
      <w:r w:rsidR="00755536" w:rsidRPr="00CA42FB">
        <w:t>Payments in Sydney</w:t>
      </w:r>
    </w:p>
    <w:p w:rsidR="00A86334" w:rsidRPr="00CA42FB" w:rsidRDefault="00A86334" w:rsidP="00A86334">
      <w:r w:rsidRPr="00CA42FB">
        <w:t>MOS, also referred to as balancing gas, is required to manage everyday pipeline deviations.</w:t>
      </w:r>
      <w:r w:rsidRPr="00CA42FB">
        <w:rPr>
          <w:rStyle w:val="FootnoteReference"/>
        </w:rPr>
        <w:footnoteReference w:id="46"/>
      </w:r>
      <w:r w:rsidRPr="00CA42FB">
        <w:t xml:space="preserve"> A pipeline deviation occurs when there is a difference between the total quantity of gas nominated by the pipeline’s shippers (typically gas retailers) and the quantity of gas physically delivered. There are two kinds of pipeline deviations; positive (when more gas is delivered) and negative (when less gas is delivered).</w:t>
      </w:r>
    </w:p>
    <w:p w:rsidR="00A86334" w:rsidRPr="00CA42FB" w:rsidRDefault="00A86334" w:rsidP="00A86334">
      <w:r w:rsidRPr="00CA42FB">
        <w:t xml:space="preserve">When actual gas flows are higher than final nominations, the difference is allocated as </w:t>
      </w:r>
      <w:r w:rsidRPr="00CA42FB">
        <w:rPr>
          <w:b/>
        </w:rPr>
        <w:t>increase MOS</w:t>
      </w:r>
      <w:r w:rsidRPr="00CA42FB">
        <w:t xml:space="preserve">. When actual gas flows are lower than final nominations, the difference is allocated as </w:t>
      </w:r>
      <w:r w:rsidRPr="00CA42FB">
        <w:rPr>
          <w:b/>
        </w:rPr>
        <w:t>decrease MOS</w:t>
      </w:r>
      <w:r w:rsidRPr="00CA42FB">
        <w:t>.</w:t>
      </w:r>
    </w:p>
    <w:p w:rsidR="00A86334" w:rsidRPr="00CA42FB" w:rsidRDefault="00A86334" w:rsidP="00A86334">
      <w:r w:rsidRPr="00CA42FB">
        <w:t>MOS is provided by participants who submit offers to AEMO on a monthly basis. When MOS is required, the offers are allocated in merit order (i.e. from lowest price to highest price) until the required quantity is met.</w:t>
      </w:r>
      <w:r w:rsidRPr="00CA42FB">
        <w:rPr>
          <w:rStyle w:val="FootnoteReference"/>
        </w:rPr>
        <w:footnoteReference w:id="47"/>
      </w:r>
    </w:p>
    <w:p w:rsidR="00A86334" w:rsidRDefault="00A86334" w:rsidP="00A86334">
      <w:r w:rsidRPr="00CA42FB">
        <w:t xml:space="preserve">The Sydney hub is illustrated in </w:t>
      </w:r>
      <w:r w:rsidR="0014513D">
        <w:fldChar w:fldCharType="begin"/>
      </w:r>
      <w:r w:rsidR="0014513D">
        <w:instrText xml:space="preserve"> REF _Ref465356317 \h </w:instrText>
      </w:r>
      <w:r w:rsidR="0014513D">
        <w:fldChar w:fldCharType="separate"/>
      </w:r>
      <w:r w:rsidR="00D94C93" w:rsidRPr="00CA42FB">
        <w:t>Figure </w:t>
      </w:r>
      <w:r w:rsidR="00D94C93">
        <w:rPr>
          <w:noProof/>
        </w:rPr>
        <w:t>28</w:t>
      </w:r>
      <w:r w:rsidR="0014513D">
        <w:fldChar w:fldCharType="end"/>
      </w:r>
      <w:r w:rsidRPr="00CA42FB">
        <w:t>. Simply put, the Sydney hub is comprised of two distribution networks, or zones (the Sydney zone and the Wollongong sub network) connected by a distribution trunk line.</w:t>
      </w:r>
    </w:p>
    <w:p w:rsidR="006F5225" w:rsidRPr="00CA42FB" w:rsidRDefault="006F5225" w:rsidP="006F5225">
      <w:pPr>
        <w:pStyle w:val="Caption"/>
        <w:tabs>
          <w:tab w:val="left" w:pos="5134"/>
        </w:tabs>
      </w:pPr>
      <w:bookmarkStart w:id="135" w:name="_Ref465356317"/>
      <w:r w:rsidRPr="00CA42FB">
        <w:t>Figure </w:t>
      </w:r>
      <w:r w:rsidR="002852EF">
        <w:fldChar w:fldCharType="begin"/>
      </w:r>
      <w:r w:rsidR="002852EF">
        <w:instrText xml:space="preserve"> SEQ Figure \* ARABIC </w:instrText>
      </w:r>
      <w:r w:rsidR="002852EF">
        <w:fldChar w:fldCharType="separate"/>
      </w:r>
      <w:r w:rsidR="00D94C93">
        <w:rPr>
          <w:noProof/>
        </w:rPr>
        <w:t>28</w:t>
      </w:r>
      <w:r w:rsidR="002852EF">
        <w:rPr>
          <w:noProof/>
        </w:rPr>
        <w:fldChar w:fldCharType="end"/>
      </w:r>
      <w:bookmarkEnd w:id="135"/>
      <w:r w:rsidRPr="00CA42FB">
        <w:t>: The Sydney hub</w:t>
      </w:r>
      <w:r w:rsidRPr="00CA42FB">
        <w:tab/>
      </w:r>
    </w:p>
    <w:p w:rsidR="006F5225" w:rsidRPr="00CA42FB" w:rsidRDefault="00244125" w:rsidP="006F5225">
      <w:pPr>
        <w:keepNext/>
      </w:pPr>
      <w:r>
        <w:rPr>
          <w:noProof/>
          <w:lang w:eastAsia="en-AU"/>
        </w:rPr>
        <w:drawing>
          <wp:inline distT="0" distB="0" distL="0" distR="0" wp14:anchorId="6B25FE76" wp14:editId="2B9FF4EC">
            <wp:extent cx="5367655" cy="1876425"/>
            <wp:effectExtent l="0" t="0" r="4445" b="9525"/>
            <wp:docPr id="13" name="Picture 13" descr="Figure 28 illustrates the connection points of the Sydne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7655" cy="1876425"/>
                    </a:xfrm>
                    <a:prstGeom prst="rect">
                      <a:avLst/>
                    </a:prstGeom>
                    <a:noFill/>
                    <a:ln>
                      <a:noFill/>
                    </a:ln>
                  </pic:spPr>
                </pic:pic>
              </a:graphicData>
            </a:graphic>
          </wp:inline>
        </w:drawing>
      </w:r>
    </w:p>
    <w:p w:rsidR="006F5225" w:rsidRPr="00CA42FB" w:rsidRDefault="006F5225" w:rsidP="006F5225">
      <w:pPr>
        <w:ind w:left="284" w:hanging="284"/>
        <w:rPr>
          <w:i/>
          <w:sz w:val="16"/>
        </w:rPr>
      </w:pPr>
      <w:r w:rsidRPr="00CA42FB">
        <w:rPr>
          <w:sz w:val="16"/>
        </w:rPr>
        <w:t xml:space="preserve">* </w:t>
      </w:r>
      <w:r w:rsidRPr="00CA42FB">
        <w:rPr>
          <w:sz w:val="16"/>
        </w:rPr>
        <w:tab/>
      </w:r>
      <w:r w:rsidRPr="00CA42FB">
        <w:rPr>
          <w:b/>
          <w:sz w:val="16"/>
        </w:rPr>
        <w:t>Custody Transfer Point (CTP) dynamics:</w:t>
      </w:r>
      <w:r w:rsidRPr="00CA42FB">
        <w:rPr>
          <w:sz w:val="16"/>
        </w:rPr>
        <w:t xml:space="preserve"> MSP Wilton CTP – pressure controlled; EGP Horsley Park a Wilton CTPs – flow controlled; EGP Port Kembla &amp; Albion Park CTPs – pressure controlled; NGS &amp; Rosalind Park CTPs – flow controlled. </w:t>
      </w:r>
      <w:r w:rsidRPr="00CA42FB">
        <w:rPr>
          <w:i/>
          <w:sz w:val="16"/>
        </w:rPr>
        <w:t>Distribution trunk line: Mt Keira – pressure controlled.</w:t>
      </w:r>
    </w:p>
    <w:p w:rsidR="006F5225" w:rsidRPr="006F5225" w:rsidRDefault="006F5225" w:rsidP="00A86334">
      <w:r w:rsidRPr="006F5225">
        <w:rPr>
          <w:bCs/>
          <w:iCs/>
        </w:rPr>
        <w:t xml:space="preserve">MOS </w:t>
      </w:r>
      <w:r w:rsidR="000648CC">
        <w:rPr>
          <w:bCs/>
          <w:iCs/>
        </w:rPr>
        <w:t>s</w:t>
      </w:r>
      <w:r w:rsidR="000648CC" w:rsidRPr="006F5225">
        <w:rPr>
          <w:bCs/>
          <w:iCs/>
        </w:rPr>
        <w:t xml:space="preserve">ervice </w:t>
      </w:r>
      <w:r w:rsidR="000648CC">
        <w:rPr>
          <w:bCs/>
          <w:iCs/>
        </w:rPr>
        <w:t>p</w:t>
      </w:r>
      <w:r w:rsidR="000648CC" w:rsidRPr="006F5225">
        <w:rPr>
          <w:bCs/>
          <w:iCs/>
        </w:rPr>
        <w:t xml:space="preserve">ayments </w:t>
      </w:r>
      <w:r w:rsidRPr="006F5225">
        <w:rPr>
          <w:bCs/>
          <w:iCs/>
        </w:rPr>
        <w:t xml:space="preserve">in Sydney over </w:t>
      </w:r>
      <w:r w:rsidR="00244125">
        <w:rPr>
          <w:bCs/>
          <w:iCs/>
        </w:rPr>
        <w:t>w</w:t>
      </w:r>
      <w:r w:rsidRPr="006F5225">
        <w:rPr>
          <w:bCs/>
          <w:iCs/>
        </w:rPr>
        <w:t xml:space="preserve">inter 2016 driven by high July and August payments were $5,851,262 which was 93% higher than for </w:t>
      </w:r>
      <w:r w:rsidR="00244125">
        <w:rPr>
          <w:bCs/>
          <w:iCs/>
        </w:rPr>
        <w:t>w</w:t>
      </w:r>
      <w:r w:rsidRPr="006F5225">
        <w:rPr>
          <w:bCs/>
          <w:iCs/>
        </w:rPr>
        <w:t>inter 2015:</w:t>
      </w:r>
    </w:p>
    <w:p w:rsidR="006F5225" w:rsidRPr="006F5225" w:rsidRDefault="006F5225" w:rsidP="00EF1B43">
      <w:pPr>
        <w:pStyle w:val="ListParagraph"/>
        <w:numPr>
          <w:ilvl w:val="0"/>
          <w:numId w:val="28"/>
        </w:numPr>
      </w:pPr>
      <w:r w:rsidRPr="006F5225">
        <w:rPr>
          <w:bCs/>
          <w:iCs/>
        </w:rPr>
        <w:t>for the July MOS period, a total of 416.67 TJ of decrease MOS services on the MSP were required (averaging about 13.4 TJ a day) resulting in $2,017,413.56 of payments. This is the highest monthly volume of decrease MSP MOS required in the Sydney STTM since market start.</w:t>
      </w:r>
    </w:p>
    <w:p w:rsidR="006F5225" w:rsidRPr="006F5225" w:rsidRDefault="006F5225" w:rsidP="00EF1B43">
      <w:pPr>
        <w:pStyle w:val="ListParagraph"/>
        <w:numPr>
          <w:ilvl w:val="0"/>
          <w:numId w:val="28"/>
        </w:numPr>
      </w:pPr>
      <w:r w:rsidRPr="006F5225">
        <w:rPr>
          <w:bCs/>
          <w:iCs/>
        </w:rPr>
        <w:t>for the August MOS period, 286.66 TJ of decrease MOS services parked on the MSP was the highest quantity since June 2012 (leaving aside July 2016 requirements).</w:t>
      </w:r>
    </w:p>
    <w:p w:rsidR="006F5225" w:rsidRPr="006F5225" w:rsidRDefault="006F5225" w:rsidP="00EF1B43">
      <w:pPr>
        <w:pStyle w:val="ListParagraph"/>
        <w:numPr>
          <w:ilvl w:val="0"/>
          <w:numId w:val="28"/>
        </w:numPr>
      </w:pPr>
      <w:r w:rsidRPr="006F5225">
        <w:rPr>
          <w:bCs/>
          <w:iCs/>
        </w:rPr>
        <w:t>the average price of the first 10 TJ of decrease MOS offers for July and August 2016 increased from $1.67/GJ in 2015 to $4.31/GJ in 2016.</w:t>
      </w:r>
    </w:p>
    <w:p w:rsidR="00C217B6" w:rsidRDefault="006F5225" w:rsidP="00C217B6">
      <w:r w:rsidRPr="00CA42FB">
        <w:t>Accordingly, both the increased magnitude of MOS volumes required and the price of MOS impacted on the much higher MOS service payments in Sydney this winter.</w:t>
      </w:r>
    </w:p>
    <w:p w:rsidR="00C217B6" w:rsidRPr="00C217B6" w:rsidRDefault="00C217B6" w:rsidP="00C217B6">
      <w:pPr>
        <w:pStyle w:val="Heading6notnumbered"/>
      </w:pPr>
      <w:r w:rsidRPr="00C217B6">
        <w:t>Over forecasting by participants at a hub level</w:t>
      </w:r>
      <w:r>
        <w:t xml:space="preserve"> and higher MOS offer costs</w:t>
      </w:r>
    </w:p>
    <w:p w:rsidR="00C217B6" w:rsidRDefault="00C217B6" w:rsidP="00C217B6">
      <w:pPr>
        <w:rPr>
          <w:bCs/>
          <w:iCs/>
        </w:rPr>
      </w:pPr>
      <w:r w:rsidRPr="00C217B6">
        <w:rPr>
          <w:bCs/>
          <w:iCs/>
        </w:rPr>
        <w:t>For July, an over forecasting demand trend in the hub led to 81 per cent of gas days</w:t>
      </w:r>
      <w:r>
        <w:rPr>
          <w:bCs/>
          <w:iCs/>
        </w:rPr>
        <w:t xml:space="preserve"> </w:t>
      </w:r>
      <w:r w:rsidRPr="00C217B6">
        <w:rPr>
          <w:bCs/>
          <w:iCs/>
        </w:rPr>
        <w:t>at a hub level being over forecast at around 11.5 TJ   above actual requirements.  This over forecasting impacted on the high level of decrease MOS required on the MSP across July</w:t>
      </w:r>
      <w:r w:rsidR="0018389C">
        <w:rPr>
          <w:bCs/>
          <w:iCs/>
        </w:rPr>
        <w:t>,</w:t>
      </w:r>
      <w:r w:rsidRPr="00C217B6">
        <w:rPr>
          <w:bCs/>
          <w:iCs/>
        </w:rPr>
        <w:t xml:space="preserve"> i.e. as a general rule for each TJ of demand over forecast an extra TJ of decrease MOS was required on the MSP for gas to be ‘parked’ short of the Sydney hub </w:t>
      </w:r>
    </w:p>
    <w:p w:rsidR="00C217B6" w:rsidRPr="00C217B6" w:rsidRDefault="00C217B6" w:rsidP="00C217B6">
      <w:pPr>
        <w:rPr>
          <w:bCs/>
          <w:iCs/>
        </w:rPr>
      </w:pPr>
      <w:r w:rsidRPr="00C217B6">
        <w:rPr>
          <w:bCs/>
          <w:iCs/>
        </w:rPr>
        <w:t>There are only three main suppliers of MOS in the Sydney STTM</w:t>
      </w:r>
      <w:r>
        <w:rPr>
          <w:bCs/>
          <w:iCs/>
        </w:rPr>
        <w:t xml:space="preserve"> including decrease MOS on the MSP</w:t>
      </w:r>
      <w:r w:rsidRPr="00C217B6">
        <w:rPr>
          <w:bCs/>
          <w:iCs/>
        </w:rPr>
        <w:t xml:space="preserve">.  Any single supplier can </w:t>
      </w:r>
      <w:r>
        <w:rPr>
          <w:bCs/>
          <w:iCs/>
        </w:rPr>
        <w:t xml:space="preserve">move the market price of MOS offer </w:t>
      </w:r>
      <w:r w:rsidRPr="00C217B6">
        <w:rPr>
          <w:bCs/>
          <w:iCs/>
        </w:rPr>
        <w:t xml:space="preserve">by changing the price of its offers. The large increase in year-on-year MOS offer costs on the MSP for July was due in part to a participant effectively withdrawing by only offering to supply MOS at prices above $8.11 per GJ. Whether this change in offer behaviour reflects an increase in the cost of contracting with the pipeline operator or some other operational factor is uncertain.     </w:t>
      </w:r>
    </w:p>
    <w:p w:rsidR="006F5225" w:rsidRPr="006F5225" w:rsidRDefault="006F5225" w:rsidP="006F5225">
      <w:pPr>
        <w:pStyle w:val="Heading6notnumbered"/>
        <w:rPr>
          <w:rFonts w:eastAsiaTheme="minorHAnsi" w:cstheme="minorBidi"/>
          <w:bCs w:val="0"/>
          <w:iCs w:val="0"/>
          <w:color w:val="auto"/>
          <w:szCs w:val="22"/>
        </w:rPr>
      </w:pPr>
      <w:r w:rsidRPr="004D7D5B">
        <w:t>Imprecision in nominations at a sub zone level</w:t>
      </w:r>
    </w:p>
    <w:p w:rsidR="006F5225" w:rsidRPr="006F5225" w:rsidRDefault="006F5225" w:rsidP="00A86334">
      <w:r w:rsidRPr="006F5225">
        <w:rPr>
          <w:bCs/>
          <w:iCs/>
        </w:rPr>
        <w:t>However, participant’s demand forecast for the whole of the Sydney hub were not the only cause of higher MOS, they were also appear to have been impacted by a phenomenon which reappeared this winter of counteracting MOS (CMOS)</w:t>
      </w:r>
      <w:r w:rsidR="00203AB5">
        <w:rPr>
          <w:rStyle w:val="FootnoteReference"/>
          <w:bCs/>
          <w:iCs/>
        </w:rPr>
        <w:footnoteReference w:id="48"/>
      </w:r>
      <w:r w:rsidRPr="006F5225">
        <w:rPr>
          <w:bCs/>
          <w:iCs/>
        </w:rPr>
        <w:t xml:space="preserve"> which can occur b</w:t>
      </w:r>
      <w:r w:rsidR="00244125">
        <w:rPr>
          <w:bCs/>
          <w:iCs/>
        </w:rPr>
        <w:t xml:space="preserve">ecause of the splitting of the </w:t>
      </w:r>
      <w:r w:rsidRPr="006F5225">
        <w:rPr>
          <w:bCs/>
          <w:iCs/>
        </w:rPr>
        <w:t>Sydney hub into different zones:</w:t>
      </w:r>
    </w:p>
    <w:p w:rsidR="006F5225" w:rsidRPr="00365697" w:rsidRDefault="006F5225" w:rsidP="00EF1B43">
      <w:pPr>
        <w:pStyle w:val="ListParagraph"/>
        <w:numPr>
          <w:ilvl w:val="0"/>
          <w:numId w:val="27"/>
        </w:numPr>
      </w:pPr>
      <w:r w:rsidRPr="00365697">
        <w:t>The Moomba to Sydney pipeline (</w:t>
      </w:r>
      <w:r w:rsidRPr="00365697">
        <w:rPr>
          <w:b/>
        </w:rPr>
        <w:t>MSP</w:t>
      </w:r>
      <w:r w:rsidRPr="00365697">
        <w:t>) provides the majority of the MOS requirements in the northern Sydney zone. This is because it is connected to the network at the only pressure controlled point along the trunk line.</w:t>
      </w:r>
      <w:r w:rsidRPr="00365697">
        <w:rPr>
          <w:rStyle w:val="FootnoteReference"/>
        </w:rPr>
        <w:footnoteReference w:id="49"/>
      </w:r>
      <w:r w:rsidRPr="00365697">
        <w:t xml:space="preserve"> </w:t>
      </w:r>
    </w:p>
    <w:p w:rsidR="006F5225" w:rsidRPr="00365697" w:rsidRDefault="006F5225" w:rsidP="00EF1B43">
      <w:pPr>
        <w:pStyle w:val="ListParagraph"/>
        <w:numPr>
          <w:ilvl w:val="0"/>
          <w:numId w:val="27"/>
        </w:numPr>
      </w:pPr>
      <w:r w:rsidRPr="00365697">
        <w:t>The Eastern Gas pipeline (</w:t>
      </w:r>
      <w:r w:rsidRPr="00365697">
        <w:rPr>
          <w:b/>
        </w:rPr>
        <w:t>EGP</w:t>
      </w:r>
      <w:r w:rsidRPr="00365697">
        <w:t>) provides the majority of the MOS requirements in the Wollongong sub network. This is because both of its connection points are also pressure controlled.</w:t>
      </w:r>
      <w:r w:rsidRPr="00365697">
        <w:rPr>
          <w:rStyle w:val="FootnoteReference"/>
        </w:rPr>
        <w:footnoteReference w:id="50"/>
      </w:r>
    </w:p>
    <w:p w:rsidR="006F5225" w:rsidRPr="004F6FFA" w:rsidRDefault="006F5225" w:rsidP="00203AB5">
      <w:pPr>
        <w:rPr>
          <w:bCs/>
          <w:iCs/>
        </w:rPr>
      </w:pPr>
      <w:r w:rsidRPr="006F5225">
        <w:rPr>
          <w:bCs/>
          <w:iCs/>
        </w:rPr>
        <w:t xml:space="preserve">Over </w:t>
      </w:r>
      <w:r w:rsidR="00244125">
        <w:rPr>
          <w:bCs/>
          <w:iCs/>
        </w:rPr>
        <w:t xml:space="preserve">the months of July and August </w:t>
      </w:r>
      <w:r w:rsidRPr="006F5225">
        <w:rPr>
          <w:bCs/>
          <w:iCs/>
        </w:rPr>
        <w:t>2016</w:t>
      </w:r>
      <w:r w:rsidR="00244125">
        <w:rPr>
          <w:rStyle w:val="FootnoteReference"/>
          <w:bCs/>
          <w:iCs/>
        </w:rPr>
        <w:footnoteReference w:id="51"/>
      </w:r>
      <w:r w:rsidRPr="006F5225">
        <w:rPr>
          <w:bCs/>
          <w:iCs/>
        </w:rPr>
        <w:t xml:space="preserve"> there w</w:t>
      </w:r>
      <w:r w:rsidR="004F6FFA">
        <w:rPr>
          <w:bCs/>
          <w:iCs/>
        </w:rPr>
        <w:t>as</w:t>
      </w:r>
      <w:r w:rsidRPr="006F5225">
        <w:rPr>
          <w:bCs/>
          <w:iCs/>
        </w:rPr>
        <w:t xml:space="preserve"> </w:t>
      </w:r>
      <w:r w:rsidR="004F6FFA">
        <w:rPr>
          <w:bCs/>
          <w:iCs/>
        </w:rPr>
        <w:t>a significantly higher</w:t>
      </w:r>
      <w:r w:rsidRPr="006F5225">
        <w:rPr>
          <w:bCs/>
          <w:iCs/>
        </w:rPr>
        <w:t xml:space="preserve"> </w:t>
      </w:r>
      <w:r w:rsidR="004F6FFA">
        <w:rPr>
          <w:bCs/>
          <w:iCs/>
        </w:rPr>
        <w:t xml:space="preserve">level of </w:t>
      </w:r>
      <w:r w:rsidRPr="006F5225">
        <w:rPr>
          <w:bCs/>
          <w:iCs/>
        </w:rPr>
        <w:t xml:space="preserve">CMOS in the Sydney hub compared to </w:t>
      </w:r>
      <w:r w:rsidR="004F6FFA">
        <w:rPr>
          <w:bCs/>
          <w:iCs/>
        </w:rPr>
        <w:t>the previous year. There were 58 days across June and July 2016 where CMOS allocations were greater than 3 TJ</w:t>
      </w:r>
      <w:r w:rsidR="004F6FFA">
        <w:rPr>
          <w:rStyle w:val="FootnoteReference"/>
          <w:bCs/>
          <w:iCs/>
        </w:rPr>
        <w:footnoteReference w:id="52"/>
      </w:r>
      <w:r w:rsidR="004F6FFA">
        <w:rPr>
          <w:bCs/>
          <w:iCs/>
        </w:rPr>
        <w:t xml:space="preserve">, compared to 42 days in 2015. </w:t>
      </w:r>
      <w:r w:rsidR="00203AB5">
        <w:rPr>
          <w:bCs/>
          <w:iCs/>
        </w:rPr>
        <w:t xml:space="preserve">The CMOS allocations over these months are illustrated in </w:t>
      </w:r>
      <w:r w:rsidR="0014513D">
        <w:rPr>
          <w:bCs/>
          <w:iCs/>
        </w:rPr>
        <w:fldChar w:fldCharType="begin"/>
      </w:r>
      <w:r w:rsidR="0014513D">
        <w:rPr>
          <w:bCs/>
          <w:iCs/>
        </w:rPr>
        <w:instrText xml:space="preserve"> REF _Ref464643603 \h </w:instrText>
      </w:r>
      <w:r w:rsidR="0014513D">
        <w:rPr>
          <w:bCs/>
          <w:iCs/>
        </w:rPr>
      </w:r>
      <w:r w:rsidR="0014513D">
        <w:rPr>
          <w:bCs/>
          <w:iCs/>
        </w:rPr>
        <w:fldChar w:fldCharType="separate"/>
      </w:r>
      <w:r w:rsidR="00D94C93" w:rsidRPr="00365697">
        <w:t>Figure </w:t>
      </w:r>
      <w:r w:rsidR="00D94C93">
        <w:rPr>
          <w:noProof/>
        </w:rPr>
        <w:t>29</w:t>
      </w:r>
      <w:r w:rsidR="0014513D">
        <w:rPr>
          <w:bCs/>
          <w:iCs/>
        </w:rPr>
        <w:fldChar w:fldCharType="end"/>
      </w:r>
      <w:r w:rsidR="00203AB5">
        <w:rPr>
          <w:bCs/>
          <w:iCs/>
        </w:rPr>
        <w:t>.</w:t>
      </w:r>
    </w:p>
    <w:p w:rsidR="006F5225" w:rsidRPr="00365697" w:rsidRDefault="006F5225" w:rsidP="006F5225">
      <w:pPr>
        <w:pStyle w:val="Caption"/>
      </w:pPr>
      <w:bookmarkStart w:id="136" w:name="_Ref464643603"/>
      <w:r w:rsidRPr="00365697">
        <w:t>Figure </w:t>
      </w:r>
      <w:r w:rsidR="002852EF">
        <w:fldChar w:fldCharType="begin"/>
      </w:r>
      <w:r w:rsidR="002852EF">
        <w:instrText xml:space="preserve"> SEQ Figure \* ARABIC </w:instrText>
      </w:r>
      <w:r w:rsidR="002852EF">
        <w:fldChar w:fldCharType="separate"/>
      </w:r>
      <w:r w:rsidR="00D94C93">
        <w:rPr>
          <w:noProof/>
        </w:rPr>
        <w:t>29</w:t>
      </w:r>
      <w:r w:rsidR="002852EF">
        <w:rPr>
          <w:noProof/>
        </w:rPr>
        <w:fldChar w:fldCharType="end"/>
      </w:r>
      <w:bookmarkEnd w:id="136"/>
      <w:r w:rsidRPr="00365697">
        <w:t>: Counteracting MOS in Sydney across July and August 2016</w:t>
      </w:r>
    </w:p>
    <w:p w:rsidR="006F5225" w:rsidRPr="00365697" w:rsidRDefault="006F5225" w:rsidP="006F5225">
      <w:r w:rsidRPr="00365697">
        <w:rPr>
          <w:noProof/>
          <w:lang w:eastAsia="en-AU"/>
        </w:rPr>
        <w:drawing>
          <wp:inline distT="0" distB="0" distL="0" distR="0" wp14:anchorId="3283C58C" wp14:editId="043E4E1A">
            <wp:extent cx="5349536" cy="2674188"/>
            <wp:effectExtent l="0" t="0" r="3810" b="0"/>
            <wp:docPr id="48" name="Picture 48" descr="Figure 29 illustrates the Sydney MOS requirements and associated daily service cost over win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2690864"/>
                    </a:xfrm>
                    <a:prstGeom prst="rect">
                      <a:avLst/>
                    </a:prstGeom>
                    <a:noFill/>
                    <a:ln>
                      <a:noFill/>
                    </a:ln>
                  </pic:spPr>
                </pic:pic>
              </a:graphicData>
            </a:graphic>
          </wp:inline>
        </w:drawing>
      </w:r>
    </w:p>
    <w:p w:rsidR="006F5225" w:rsidRPr="00365697" w:rsidRDefault="006F5225" w:rsidP="006F5225">
      <w:r w:rsidRPr="00365697">
        <w:t>Despite the aggregate demand for the whole of the Sydney hub being over forecast</w:t>
      </w:r>
      <w:r>
        <w:t>,</w:t>
      </w:r>
      <w:r w:rsidRPr="00365697">
        <w:t xml:space="preserve"> i.e. in July, under-forecast demand within the Wollongong sub-section of the network resulted in insufficient nominations to deliver gas to the region. The difference between these nominations and actual deliveries off the EGP (which could not be supplied through Mount Keira) were allocated as increase MOS on the EGP.</w:t>
      </w:r>
      <w:r w:rsidRPr="00365697">
        <w:rPr>
          <w:rStyle w:val="FootnoteReference"/>
        </w:rPr>
        <w:footnoteReference w:id="53"/>
      </w:r>
      <w:r w:rsidRPr="00365697">
        <w:t xml:space="preserve"> As the additional deliveries to Wollongong also offset the trunk line delivery requirement to meet demand in the hub, the increase MOS provided on the EGP added to the decrease MOS requirements allocated on the MSP for July. In summary, we consider this contributed to the already high decrease MOS quantities and payments on the MSP and added further to the high cost of MOS services over the period. This is shown in </w:t>
      </w:r>
      <w:r w:rsidR="0014513D">
        <w:fldChar w:fldCharType="begin"/>
      </w:r>
      <w:r w:rsidR="0014513D">
        <w:instrText xml:space="preserve"> REF _Ref465357286 \h </w:instrText>
      </w:r>
      <w:r w:rsidR="0014513D">
        <w:fldChar w:fldCharType="separate"/>
      </w:r>
      <w:r w:rsidR="00D94C93" w:rsidRPr="00365697">
        <w:t>Figure </w:t>
      </w:r>
      <w:r w:rsidR="00D94C93">
        <w:rPr>
          <w:noProof/>
        </w:rPr>
        <w:t>30</w:t>
      </w:r>
      <w:r w:rsidR="0014513D">
        <w:fldChar w:fldCharType="end"/>
      </w:r>
      <w:r w:rsidR="0014513D">
        <w:t>.</w:t>
      </w:r>
      <w:r w:rsidRPr="00365697">
        <w:t xml:space="preserve"> </w:t>
      </w:r>
    </w:p>
    <w:p w:rsidR="006F5225" w:rsidRPr="00365697" w:rsidRDefault="006F5225" w:rsidP="006F5225">
      <w:pPr>
        <w:pStyle w:val="Caption"/>
      </w:pPr>
      <w:bookmarkStart w:id="137" w:name="_Ref465357286"/>
      <w:r w:rsidRPr="00365697">
        <w:t>Figure </w:t>
      </w:r>
      <w:r w:rsidR="002852EF">
        <w:fldChar w:fldCharType="begin"/>
      </w:r>
      <w:r w:rsidR="002852EF">
        <w:instrText xml:space="preserve"> SEQ Figure \* ARABIC </w:instrText>
      </w:r>
      <w:r w:rsidR="002852EF">
        <w:fldChar w:fldCharType="separate"/>
      </w:r>
      <w:r w:rsidR="00D94C93">
        <w:rPr>
          <w:noProof/>
        </w:rPr>
        <w:t>30</w:t>
      </w:r>
      <w:r w:rsidR="002852EF">
        <w:rPr>
          <w:noProof/>
        </w:rPr>
        <w:fldChar w:fldCharType="end"/>
      </w:r>
      <w:bookmarkEnd w:id="137"/>
      <w:r w:rsidRPr="00365697">
        <w:t>: EGP system point deliveries and resulting MOS requirements</w:t>
      </w:r>
    </w:p>
    <w:p w:rsidR="006F5225" w:rsidRPr="006F5225" w:rsidRDefault="006F5225" w:rsidP="00A86334">
      <w:r w:rsidRPr="00365697">
        <w:rPr>
          <w:noProof/>
          <w:lang w:eastAsia="en-AU"/>
        </w:rPr>
        <w:drawing>
          <wp:inline distT="0" distB="0" distL="0" distR="0" wp14:anchorId="6546DE6F" wp14:editId="6AD041DB">
            <wp:extent cx="5369442" cy="3530010"/>
            <wp:effectExtent l="0" t="0" r="3175" b="0"/>
            <wp:docPr id="49" name="Picture 49" descr="Figure 30 shows the actual metered deliveries into the Sydney STTM hub at each of the relevant cusody transfer points (CTP) along the Eastern Gas Pipeline (EGP) over winter 2016. The figure illustrates the difference between the scheduled and actual gas flows at the pressure controlled CTPs which resulted in increase MOS allocations on the EGP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538854"/>
                    </a:xfrm>
                    <a:prstGeom prst="rect">
                      <a:avLst/>
                    </a:prstGeom>
                    <a:noFill/>
                    <a:ln>
                      <a:noFill/>
                    </a:ln>
                  </pic:spPr>
                </pic:pic>
              </a:graphicData>
            </a:graphic>
          </wp:inline>
        </w:drawing>
      </w:r>
    </w:p>
    <w:p w:rsidR="00C217B6" w:rsidRPr="00C217B6" w:rsidRDefault="00203AB5" w:rsidP="00A86334">
      <w:pPr>
        <w:rPr>
          <w:u w:val="single"/>
        </w:rPr>
      </w:pPr>
      <w:r w:rsidRPr="00C217B6">
        <w:t xml:space="preserve">The driver of higher costs over the period was due to a combination of factors including higher service costs resulting from changes to the monthly MOS offers. The combination of these higher priced </w:t>
      </w:r>
      <w:r w:rsidRPr="00252B0A">
        <w:t>offers and the large quantities of CMOS led to the significantly higher costs for MOS compared to the previous year.</w:t>
      </w:r>
      <w:r w:rsidR="00533895" w:rsidRPr="00252B0A">
        <w:rPr>
          <w:rStyle w:val="FootnoteReference"/>
        </w:rPr>
        <w:footnoteReference w:id="54"/>
      </w:r>
    </w:p>
    <w:p w:rsidR="004D7D5B" w:rsidRPr="00365697" w:rsidRDefault="004D7D5B" w:rsidP="004D7D5B">
      <w:pPr>
        <w:pStyle w:val="Heading6notnumbered"/>
      </w:pPr>
      <w:r w:rsidRPr="00365697">
        <w:t xml:space="preserve">Impact of pipeline </w:t>
      </w:r>
      <w:r w:rsidR="008E7218">
        <w:t xml:space="preserve">capacity </w:t>
      </w:r>
      <w:r w:rsidRPr="00365697">
        <w:t>constraints on market prices</w:t>
      </w:r>
    </w:p>
    <w:p w:rsidR="00947202" w:rsidRDefault="00947202" w:rsidP="00A86334">
      <w:pPr>
        <w:rPr>
          <w:b/>
        </w:rPr>
      </w:pPr>
      <w:r w:rsidRPr="00252B0A">
        <w:rPr>
          <w:b/>
        </w:rPr>
        <w:t>Adelaide STTM: Constraints on the Moomba Adelaide Pipeline</w:t>
      </w:r>
    </w:p>
    <w:p w:rsidR="00B43398" w:rsidRDefault="00B43398" w:rsidP="00A86334">
      <w:r w:rsidRPr="00C217B6">
        <w:t xml:space="preserve">On 24 June 2016, the capacity </w:t>
      </w:r>
      <w:r>
        <w:t xml:space="preserve">submitted for </w:t>
      </w:r>
      <w:r w:rsidRPr="00C217B6">
        <w:t>the MAP</w:t>
      </w:r>
      <w:r>
        <w:t xml:space="preserve"> by Epic for the Adelaide STTM </w:t>
      </w:r>
      <w:r w:rsidRPr="00C217B6">
        <w:t xml:space="preserve">was 41 TJ which </w:t>
      </w:r>
      <w:r>
        <w:t xml:space="preserve">is </w:t>
      </w:r>
      <w:r w:rsidRPr="00C217B6">
        <w:t xml:space="preserve">significantly lower than the MAP’s </w:t>
      </w:r>
      <w:r>
        <w:t xml:space="preserve">STTM </w:t>
      </w:r>
      <w:r w:rsidRPr="00C217B6">
        <w:t xml:space="preserve">capacity </w:t>
      </w:r>
      <w:r>
        <w:t xml:space="preserve">subsequently submitted from </w:t>
      </w:r>
      <w:r w:rsidRPr="00C217B6">
        <w:t>July</w:t>
      </w:r>
      <w:r>
        <w:t xml:space="preserve"> this year</w:t>
      </w:r>
      <w:r w:rsidRPr="00C217B6">
        <w:t xml:space="preserve">.  In response to our questions about </w:t>
      </w:r>
      <w:r>
        <w:t xml:space="preserve">the capacity </w:t>
      </w:r>
      <w:r w:rsidRPr="00C217B6">
        <w:t xml:space="preserve">on the </w:t>
      </w:r>
      <w:r>
        <w:t>24 June, Epic noted that on 5</w:t>
      </w:r>
      <w:r w:rsidRPr="00C217B6">
        <w:t xml:space="preserve"> July 2016, it had changed the way it calculated available daily capacity for deliveries in the Adelaide STTM</w:t>
      </w:r>
      <w:r>
        <w:t xml:space="preserve"> which has resulted in much higher capacities being submitted</w:t>
      </w:r>
      <w:r w:rsidRPr="00C217B6">
        <w:t xml:space="preserve">. This change in capacity </w:t>
      </w:r>
      <w:r>
        <w:t>appears to</w:t>
      </w:r>
      <w:r w:rsidRPr="00C217B6">
        <w:t xml:space="preserve"> have understated the </w:t>
      </w:r>
      <w:r w:rsidRPr="004D7CAC">
        <w:t xml:space="preserve">capacity </w:t>
      </w:r>
      <w:r w:rsidRPr="00C217B6">
        <w:t xml:space="preserve">available to shippers and </w:t>
      </w:r>
      <w:r>
        <w:t xml:space="preserve">potentially </w:t>
      </w:r>
      <w:r w:rsidRPr="00C217B6">
        <w:t>given the false impression of a constraint</w:t>
      </w:r>
      <w:r>
        <w:t xml:space="preserve"> which led to a high ex ante price of $18.99/GJ as noted in the AER’s June SPV report</w:t>
      </w:r>
      <w:r w:rsidRPr="00C217B6">
        <w:t xml:space="preserve">. </w:t>
      </w:r>
      <w:r w:rsidRPr="004D7CAC">
        <w:t xml:space="preserve">This </w:t>
      </w:r>
      <w:r>
        <w:t xml:space="preserve">appears to have been </w:t>
      </w:r>
      <w:r w:rsidRPr="004D7CAC">
        <w:t>an endur</w:t>
      </w:r>
      <w:r w:rsidRPr="00C217B6">
        <w:t>ing issue which</w:t>
      </w:r>
      <w:r>
        <w:t xml:space="preserve"> was only addressed in July; the AER is continuing to investigate</w:t>
      </w:r>
      <w:r w:rsidRPr="00C217B6">
        <w:t>.</w:t>
      </w:r>
    </w:p>
    <w:p w:rsidR="00B43398" w:rsidRDefault="00B43398" w:rsidP="00A86334">
      <w:pPr>
        <w:rPr>
          <w:b/>
        </w:rPr>
      </w:pPr>
      <w:r>
        <w:rPr>
          <w:b/>
        </w:rPr>
        <w:t>South West Pipeline</w:t>
      </w:r>
    </w:p>
    <w:p w:rsidR="00B43398" w:rsidRPr="00252B0A" w:rsidRDefault="00B43398" w:rsidP="00A86334">
      <w:pPr>
        <w:rPr>
          <w:b/>
        </w:rPr>
      </w:pPr>
      <w:r w:rsidRPr="009925A8">
        <w:t>Through its planning and reporting role, AEMO noted that a limitation in the South West Pipeline’s (SWP) capacity from Melbourne to Port Campbell may limit flows to South Australia via SEAGas and could also impact refilling Iona.</w:t>
      </w:r>
      <w:r w:rsidRPr="00B70F06">
        <w:rPr>
          <w:vertAlign w:val="superscript"/>
        </w:rPr>
        <w:footnoteReference w:id="55"/>
      </w:r>
      <w:r w:rsidRPr="009925A8">
        <w:t xml:space="preserve"> </w:t>
      </w:r>
      <w:r>
        <w:t>Of participants using the Iona storage facility, one participant did comment that constraints on the SWP pre-winter for withdrawing gas into the Iona storage did impact its ability to refill the storage to the levels it required. Other participants acknowledged the presence of a constraint but that it did not impact them materially in terms of their gas trading over winter.</w:t>
      </w:r>
    </w:p>
    <w:p w:rsidR="004D7D5B" w:rsidRPr="00365697" w:rsidRDefault="004D7D5B" w:rsidP="004D7D5B">
      <w:pPr>
        <w:pStyle w:val="Heading6notnumbered"/>
      </w:pPr>
      <w:r w:rsidRPr="00365697">
        <w:t>Impact of poor Victorian demand forecasting</w:t>
      </w:r>
    </w:p>
    <w:p w:rsidR="004D7D5B" w:rsidRDefault="004D7D5B" w:rsidP="00A86334">
      <w:r w:rsidRPr="00365697">
        <w:t>The AER identified one smaller volume Victorian market participant whose demand forecasts did not meet the required standard of a best estimate forecast of demand for the Victorian Gas Market (Part 19 of the Gas Rules) consistently submitting a forecast demand which was over 20 per cent above its actual demand. The participant’s forecast demand was relatively small (between 0 to 10 TJ/day), however on occasion is may have contributed to impacts on market price given the inelasticity of the supply curve around the clearing price</w:t>
      </w:r>
      <w:r>
        <w:t>,</w:t>
      </w:r>
      <w:r w:rsidRPr="00365697">
        <w:t xml:space="preserve"> i.e. a small change in forecast demand — even 1 or 2 TJ — can result in a $2 - $10/GJ increase in the market price. The participant has subsequently improved its forecasting performance.</w:t>
      </w:r>
    </w:p>
    <w:p w:rsidR="004D7D5B" w:rsidRPr="00365697" w:rsidRDefault="004D7D5B" w:rsidP="004D7D5B">
      <w:pPr>
        <w:pStyle w:val="Heading6notnumbered"/>
      </w:pPr>
      <w:r w:rsidRPr="00365697">
        <w:t>Adequacy of Bulletin Board Reporting</w:t>
      </w:r>
    </w:p>
    <w:p w:rsidR="004D7D5B" w:rsidRDefault="004D7D5B" w:rsidP="00A86334">
      <w:r w:rsidRPr="00365697">
        <w:t xml:space="preserve">The AER looked into of the quality of reporting on the Gas Bulletin Board (Part 18 of the Gas Rules) over </w:t>
      </w:r>
      <w:r>
        <w:t>w</w:t>
      </w:r>
      <w:r w:rsidRPr="00365697">
        <w:t>inter in general but also in response to comments raised by participants on specific issues such as AGL’s reported supply outage in Queensland. The AER is satisfied that information provided was in accordance with the Gas Rules.</w:t>
      </w:r>
    </w:p>
    <w:p w:rsidR="004D7D5B" w:rsidRDefault="004D7D5B" w:rsidP="00A86334"/>
    <w:p w:rsidR="004D7D5B" w:rsidRDefault="004D7D5B" w:rsidP="00A86334"/>
    <w:p w:rsidR="004D7D5B" w:rsidRDefault="009925A8">
      <w:pPr>
        <w:pStyle w:val="Heading1notnumber"/>
      </w:pPr>
      <w:bookmarkStart w:id="138" w:name="_Toc466896998"/>
      <w:r>
        <w:t>A</w:t>
      </w:r>
      <w:r w:rsidR="004D7D5B" w:rsidRPr="004D7D5B">
        <w:t>ppendix A – AER SPV reporting thresholds</w:t>
      </w:r>
      <w:bookmarkEnd w:id="138"/>
    </w:p>
    <w:p w:rsidR="004D7D5B" w:rsidRDefault="004D7D5B" w:rsidP="004D7D5B">
      <w:r>
        <w:t xml:space="preserve">The Significant Price Variation Reporting thresholds are set out below. </w:t>
      </w:r>
    </w:p>
    <w:p w:rsidR="004D7D5B" w:rsidRDefault="004D7D5B" w:rsidP="004D7D5B">
      <w:r>
        <w:t xml:space="preserve">The two reporting thresholds set out in the </w:t>
      </w:r>
      <w:hyperlink r:id="rId46" w:history="1">
        <w:r w:rsidRPr="00010935">
          <w:rPr>
            <w:rStyle w:val="Hyperlink"/>
          </w:rPr>
          <w:t>Victorian SPV guideline</w:t>
        </w:r>
      </w:hyperlink>
      <w:r>
        <w:t xml:space="preserve"> are when:</w:t>
      </w:r>
    </w:p>
    <w:p w:rsidR="004D7D5B" w:rsidRDefault="004D7D5B" w:rsidP="004D7D5B">
      <w:pPr>
        <w:pStyle w:val="ListBullet"/>
      </w:pPr>
      <w:r>
        <w:t>the trade weighted market price published by AEMO on a gas day is more than three times the average price for the previous 30 days and the trade weighted market price is equal to or greater than $15/GJ</w:t>
      </w:r>
    </w:p>
    <w:p w:rsidR="004D7D5B" w:rsidRDefault="004D7D5B" w:rsidP="004D7D5B">
      <w:pPr>
        <w:pStyle w:val="ListBullet"/>
      </w:pPr>
      <w:r>
        <w:t>the ancillary payment amount published by AEMO on a gas day is an amount payable or receivable which exceeds $250 000.</w:t>
      </w:r>
    </w:p>
    <w:p w:rsidR="004D7D5B" w:rsidRDefault="004D7D5B" w:rsidP="004D7D5B">
      <w:r>
        <w:t xml:space="preserve">The five reporting thresholds set out in the </w:t>
      </w:r>
      <w:hyperlink r:id="rId47" w:history="1">
        <w:r w:rsidRPr="00010935">
          <w:rPr>
            <w:rStyle w:val="Hyperlink"/>
          </w:rPr>
          <w:t>STTM SPV guideline</w:t>
        </w:r>
      </w:hyperlink>
      <w:r>
        <w:t xml:space="preserve"> are:</w:t>
      </w:r>
    </w:p>
    <w:p w:rsidR="004D7D5B" w:rsidRDefault="004D7D5B" w:rsidP="004D7D5B">
      <w:pPr>
        <w:pStyle w:val="ListBullet"/>
      </w:pPr>
      <w:r>
        <w:t>variations</w:t>
      </w:r>
      <w:r w:rsidRPr="00010935">
        <w:t xml:space="preserve"> greater than $7/GJ between </w:t>
      </w:r>
      <w:r>
        <w:t>the D-2 price and ex ante price</w:t>
      </w:r>
    </w:p>
    <w:p w:rsidR="004D7D5B" w:rsidRDefault="004D7D5B" w:rsidP="004D7D5B">
      <w:pPr>
        <w:pStyle w:val="ListBullet"/>
      </w:pPr>
      <w:r>
        <w:t>variations</w:t>
      </w:r>
      <w:r w:rsidRPr="00010935">
        <w:t xml:space="preserve"> greater than $7/GJ between the ex</w:t>
      </w:r>
      <w:r>
        <w:t xml:space="preserve"> ante and the ex post price</w:t>
      </w:r>
    </w:p>
    <w:p w:rsidR="004D7D5B" w:rsidRDefault="004D7D5B" w:rsidP="004D7D5B">
      <w:pPr>
        <w:pStyle w:val="ListBullet"/>
      </w:pPr>
      <w:r>
        <w:t>the</w:t>
      </w:r>
      <w:r w:rsidRPr="00010935">
        <w:t xml:space="preserve"> ex ante price </w:t>
      </w:r>
      <w:r>
        <w:t>being</w:t>
      </w:r>
      <w:r w:rsidRPr="00010935">
        <w:t xml:space="preserve"> greater than three times the 30 day rolling averag</w:t>
      </w:r>
      <w:r>
        <w:t>e price and greater than $15/GJ</w:t>
      </w:r>
    </w:p>
    <w:p w:rsidR="004D7D5B" w:rsidRDefault="004D7D5B" w:rsidP="004D7D5B">
      <w:pPr>
        <w:pStyle w:val="ListBullet"/>
      </w:pPr>
      <w:r>
        <w:t>the ex post price being</w:t>
      </w:r>
      <w:r w:rsidRPr="00010935">
        <w:t xml:space="preserve"> greater than three times the 30 day rolling averag</w:t>
      </w:r>
      <w:r>
        <w:t>e price and greater than $15/GJ</w:t>
      </w:r>
    </w:p>
    <w:p w:rsidR="004D7D5B" w:rsidRDefault="004D7D5B" w:rsidP="004D7D5B">
      <w:pPr>
        <w:pStyle w:val="ListBullet"/>
      </w:pPr>
      <w:r w:rsidRPr="00010935">
        <w:t>MOS service payment</w:t>
      </w:r>
      <w:r>
        <w:t>s exceeds $250 000.</w:t>
      </w:r>
    </w:p>
    <w:p w:rsidR="001A2BF5" w:rsidRDefault="00814A3E" w:rsidP="001A2BF5">
      <w:pPr>
        <w:pStyle w:val="Heading1notnumber"/>
      </w:pPr>
      <w:bookmarkStart w:id="139" w:name="_Toc466896999"/>
      <w:r>
        <w:t>Appendix B</w:t>
      </w:r>
      <w:r w:rsidR="00500500">
        <w:t xml:space="preserve"> – </w:t>
      </w:r>
      <w:r w:rsidR="00F5495E">
        <w:t>P</w:t>
      </w:r>
      <w:r w:rsidR="00793F47">
        <w:t xml:space="preserve">rice impact </w:t>
      </w:r>
      <w:r w:rsidR="00500500">
        <w:t>analysis</w:t>
      </w:r>
      <w:r w:rsidR="00793F47">
        <w:t xml:space="preserve"> </w:t>
      </w:r>
      <w:r w:rsidR="00F5495E">
        <w:t xml:space="preserve">methodology </w:t>
      </w:r>
      <w:r w:rsidR="00793F47">
        <w:t>for SPV days</w:t>
      </w:r>
      <w:bookmarkEnd w:id="139"/>
    </w:p>
    <w:p w:rsidR="001A2BF5" w:rsidRDefault="001A2BF5" w:rsidP="001A2BF5">
      <w:pPr>
        <w:pStyle w:val="Tabletitle"/>
      </w:pPr>
      <w:r>
        <w:t>Short term trading market</w:t>
      </w:r>
    </w:p>
    <w:p w:rsidR="001A2BF5" w:rsidRDefault="001A2BF5" w:rsidP="001A2BF5">
      <w:r>
        <w:t>Throughout this report, we h</w:t>
      </w:r>
      <w:r w:rsidR="00DD734F">
        <w:t>ave focussed our analysis on participant driven</w:t>
      </w:r>
      <w:r>
        <w:t xml:space="preserve"> supply and demand factors that contributed to the significant price variation</w:t>
      </w:r>
      <w:r w:rsidR="006120E3">
        <w:t xml:space="preserve"> </w:t>
      </w:r>
      <w:r w:rsidR="006120E3">
        <w:rPr>
          <w:b/>
        </w:rPr>
        <w:t>(SPV)</w:t>
      </w:r>
      <w:r>
        <w:t>.</w:t>
      </w:r>
    </w:p>
    <w:p w:rsidR="001A2BF5" w:rsidRDefault="001A2BF5" w:rsidP="001A2BF5">
      <w:r>
        <w:t xml:space="preserve">Supply is represented by </w:t>
      </w:r>
      <w:r w:rsidRPr="00F57F48">
        <w:rPr>
          <w:b/>
        </w:rPr>
        <w:t>offers</w:t>
      </w:r>
      <w:r>
        <w:t xml:space="preserve"> submitted to AEMO. If a participant intends to supply gas to a hub on a particular gas day, they must submit an offer to AEMO which sets out their identity, the hub (for example, the Adelaide hub), the facility (for example, a particular pipeline or storage facility),</w:t>
      </w:r>
      <w:r w:rsidR="00F57F48">
        <w:t xml:space="preserve"> the prices and quantities offered in each price step. </w:t>
      </w:r>
    </w:p>
    <w:p w:rsidR="00F57F48" w:rsidRPr="00F57F48" w:rsidRDefault="00F57F48" w:rsidP="001A2BF5">
      <w:r>
        <w:t xml:space="preserve">The National Gas Rules </w:t>
      </w:r>
      <w:r>
        <w:rPr>
          <w:b/>
        </w:rPr>
        <w:t>(NGR)</w:t>
      </w:r>
      <w:r>
        <w:t xml:space="preserve"> state offers are confidential information until the end of the gas day to which they relate.</w:t>
      </w:r>
      <w:r>
        <w:rPr>
          <w:rStyle w:val="FootnoteReference"/>
        </w:rPr>
        <w:footnoteReference w:id="56"/>
      </w:r>
    </w:p>
    <w:p w:rsidR="001A2BF5" w:rsidRDefault="001A2BF5" w:rsidP="001A2BF5">
      <w:r>
        <w:t xml:space="preserve">On any given gas day, total demand is made up of: </w:t>
      </w:r>
    </w:p>
    <w:p w:rsidR="001A2BF5" w:rsidRDefault="001A2BF5" w:rsidP="00A8220F">
      <w:pPr>
        <w:pStyle w:val="ListParagraph"/>
        <w:numPr>
          <w:ilvl w:val="0"/>
          <w:numId w:val="25"/>
        </w:numPr>
      </w:pPr>
      <w:r>
        <w:t>uninterruptable (or uncontrollable) demand</w:t>
      </w:r>
    </w:p>
    <w:p w:rsidR="001A2BF5" w:rsidRDefault="001A2BF5" w:rsidP="00A8220F">
      <w:pPr>
        <w:pStyle w:val="ListParagraph"/>
        <w:numPr>
          <w:ilvl w:val="0"/>
          <w:numId w:val="25"/>
        </w:numPr>
      </w:pPr>
      <w:r>
        <w:t>controllable (or price sensitive/interruptible) demand</w:t>
      </w:r>
    </w:p>
    <w:p w:rsidR="001A2BF5" w:rsidRDefault="001A2BF5" w:rsidP="001A2BF5">
      <w:r>
        <w:t>An example of uninterruptable demand is residential consumption.</w:t>
      </w:r>
      <w:r>
        <w:rPr>
          <w:rStyle w:val="FootnoteReference"/>
        </w:rPr>
        <w:footnoteReference w:id="57"/>
      </w:r>
      <w:r>
        <w:t xml:space="preserve"> Each participant submits a </w:t>
      </w:r>
      <w:r w:rsidRPr="00F57F48">
        <w:rPr>
          <w:b/>
        </w:rPr>
        <w:t>price taker bid</w:t>
      </w:r>
      <w:r>
        <w:t xml:space="preserve"> which represents its forecast of uninterruptable </w:t>
      </w:r>
      <w:r w:rsidR="00F57F48">
        <w:t>demand.</w:t>
      </w:r>
    </w:p>
    <w:p w:rsidR="001A2BF5" w:rsidRDefault="001A2BF5" w:rsidP="001A2BF5">
      <w:r>
        <w:t>An example of price sensitive demand could be an industrial user that is prepared to purchase gas but only at (or below) a particular price. This type of consumption is reflected in price specific bids (</w:t>
      </w:r>
      <w:r w:rsidR="00F57F48">
        <w:t>this report refers to them as simply ‘</w:t>
      </w:r>
      <w:r w:rsidR="00F57F48" w:rsidRPr="00F57F48">
        <w:rPr>
          <w:b/>
        </w:rPr>
        <w:t>bids</w:t>
      </w:r>
      <w:r w:rsidR="00F57F48">
        <w:t>’).</w:t>
      </w:r>
      <w:r w:rsidR="00F57F48">
        <w:rPr>
          <w:rStyle w:val="FootnoteReference"/>
        </w:rPr>
        <w:footnoteReference w:id="58"/>
      </w:r>
    </w:p>
    <w:p w:rsidR="00F57F48" w:rsidRDefault="00F57F48" w:rsidP="00F57F48">
      <w:r>
        <w:t>The NGR states that price taker bids are confidential information.</w:t>
      </w:r>
      <w:r>
        <w:rPr>
          <w:rStyle w:val="FootnoteReference"/>
        </w:rPr>
        <w:footnoteReference w:id="59"/>
      </w:r>
    </w:p>
    <w:p w:rsidR="007C68BF" w:rsidRDefault="00F57F48" w:rsidP="00F57F48">
      <w:r>
        <w:t xml:space="preserve">To avoid the disclosure of confidential information, </w:t>
      </w:r>
      <w:r w:rsidR="009254EB">
        <w:t>this</w:t>
      </w:r>
      <w:r>
        <w:t xml:space="preserve"> report</w:t>
      </w:r>
      <w:r w:rsidR="00A44447">
        <w:t xml:space="preserve"> does not state any individual</w:t>
      </w:r>
      <w:r>
        <w:t xml:space="preserve"> price taker bid</w:t>
      </w:r>
      <w:r w:rsidR="00A44447">
        <w:t>s</w:t>
      </w:r>
      <w:r>
        <w:t xml:space="preserve">. At times, the </w:t>
      </w:r>
      <w:r>
        <w:rPr>
          <w:i/>
        </w:rPr>
        <w:t>change</w:t>
      </w:r>
      <w:r>
        <w:t xml:space="preserve"> in a </w:t>
      </w:r>
      <w:r w:rsidR="00A44447">
        <w:t xml:space="preserve">particular </w:t>
      </w:r>
      <w:r>
        <w:t>participant’s price taker bid will be</w:t>
      </w:r>
      <w:r w:rsidR="007C68BF">
        <w:t xml:space="preserve"> noted. At times it is necessary to report on a participant’s change in price taker bid so we can consider this alongside </w:t>
      </w:r>
      <w:r w:rsidR="00A44447">
        <w:t>any other changes made</w:t>
      </w:r>
      <w:r w:rsidR="007C68BF">
        <w:t xml:space="preserve"> to bids and offers in order to understand the participant’s overall impact on the market. Excluding the change in price taker bids could result in an inaccurate representation of the drivers behind a particular price outcome.</w:t>
      </w:r>
      <w:r w:rsidR="009802AE">
        <w:t xml:space="preserve"> </w:t>
      </w:r>
    </w:p>
    <w:p w:rsidR="00D115B9" w:rsidRDefault="009802AE" w:rsidP="00F57F48">
      <w:r>
        <w:t xml:space="preserve">Our approach is </w:t>
      </w:r>
      <w:r w:rsidR="00510511">
        <w:t>the same</w:t>
      </w:r>
      <w:r>
        <w:t xml:space="preserve"> </w:t>
      </w:r>
      <w:r w:rsidR="006120E3">
        <w:t>regardless of whether the SPV</w:t>
      </w:r>
      <w:r>
        <w:t xml:space="preserve"> </w:t>
      </w:r>
      <w:r w:rsidR="006120E3">
        <w:t>represents a rise, or fall, in price.</w:t>
      </w:r>
    </w:p>
    <w:p w:rsidR="00EC43B2" w:rsidRDefault="00A44447" w:rsidP="00F57F48">
      <w:r>
        <w:t>In general, a participant could</w:t>
      </w:r>
      <w:r w:rsidR="00EC43B2">
        <w:t xml:space="preserve"> contribute to a price rise by:</w:t>
      </w:r>
    </w:p>
    <w:p w:rsidR="00EC43B2" w:rsidRDefault="00EC43B2" w:rsidP="00A8220F">
      <w:pPr>
        <w:pStyle w:val="ListParagraph"/>
        <w:numPr>
          <w:ilvl w:val="0"/>
          <w:numId w:val="25"/>
        </w:numPr>
      </w:pPr>
      <w:r>
        <w:t>increasing their demand (either uninterruptable or controllable)</w:t>
      </w:r>
    </w:p>
    <w:p w:rsidR="00EC43B2" w:rsidRDefault="00EC43B2" w:rsidP="00A8220F">
      <w:pPr>
        <w:pStyle w:val="ListParagraph"/>
        <w:numPr>
          <w:ilvl w:val="0"/>
          <w:numId w:val="25"/>
        </w:numPr>
      </w:pPr>
      <w:r>
        <w:t>reducing their quantity of lower priced offers</w:t>
      </w:r>
    </w:p>
    <w:p w:rsidR="00EC43B2" w:rsidRDefault="00EC43B2" w:rsidP="00EC43B2">
      <w:r>
        <w:t xml:space="preserve">Conversely, </w:t>
      </w:r>
      <w:r w:rsidR="00A44447">
        <w:t>a participant could</w:t>
      </w:r>
      <w:r>
        <w:t xml:space="preserve"> contribute to a price fall by:</w:t>
      </w:r>
    </w:p>
    <w:p w:rsidR="007C68BF" w:rsidRDefault="00EC43B2" w:rsidP="00A8220F">
      <w:pPr>
        <w:pStyle w:val="ListParagraph"/>
        <w:numPr>
          <w:ilvl w:val="0"/>
          <w:numId w:val="25"/>
        </w:numPr>
      </w:pPr>
      <w:r>
        <w:t xml:space="preserve">decreasing their demand (either uninterruptable or controllable) </w:t>
      </w:r>
    </w:p>
    <w:p w:rsidR="00EC43B2" w:rsidRDefault="00EC43B2" w:rsidP="00A8220F">
      <w:pPr>
        <w:pStyle w:val="ListParagraph"/>
        <w:numPr>
          <w:ilvl w:val="0"/>
          <w:numId w:val="25"/>
        </w:numPr>
      </w:pPr>
      <w:r>
        <w:t>increasing their quantity of lower priced offers</w:t>
      </w:r>
    </w:p>
    <w:p w:rsidR="00016666" w:rsidRDefault="00016666" w:rsidP="00EC43B2">
      <w:r>
        <w:t>When analysing an SPV between the D-2 and the D-1 schedule</w:t>
      </w:r>
      <w:r w:rsidR="000A002A">
        <w:t>s</w:t>
      </w:r>
      <w:r>
        <w:t>, we have considered</w:t>
      </w:r>
      <w:r w:rsidR="000A002A">
        <w:t xml:space="preserve"> changes made by participants to</w:t>
      </w:r>
      <w:r>
        <w:t xml:space="preserve"> price taker bids, bids priced at or above the D-1 price, and offers priced at or below the D-1 price.</w:t>
      </w:r>
    </w:p>
    <w:p w:rsidR="00D94B83" w:rsidRDefault="00B9465E" w:rsidP="00EC43B2">
      <w:r>
        <w:t xml:space="preserve">This allows us to measure the overall market impact arising from a </w:t>
      </w:r>
      <w:r w:rsidR="00D94B83">
        <w:t>particular</w:t>
      </w:r>
      <w:r>
        <w:t xml:space="preserve"> participant’s change in bids and/or offers fro</w:t>
      </w:r>
      <w:r w:rsidR="002266C8">
        <w:t>m the D-2 to the D-1 schedules.</w:t>
      </w:r>
      <w:r w:rsidR="00D94B83">
        <w:t xml:space="preserve"> </w:t>
      </w:r>
    </w:p>
    <w:p w:rsidR="000A002A" w:rsidRPr="00F57F48" w:rsidRDefault="009254EB" w:rsidP="00EC43B2">
      <w:r>
        <w:t xml:space="preserve">If a participant’s change results in their net position in the hub changing significantly in a way that </w:t>
      </w:r>
      <w:r w:rsidR="00A44447">
        <w:t>could</w:t>
      </w:r>
      <w:r>
        <w:t xml:space="preserve"> have contributed to the SPV, then it is likely to feature in this report.</w:t>
      </w:r>
    </w:p>
    <w:sectPr w:rsidR="000A002A" w:rsidRPr="00F57F48" w:rsidSect="007315D9">
      <w:footerReference w:type="even" r:id="rId48"/>
      <w:footerReference w:type="default" r:id="rId49"/>
      <w:footerReference w:type="first" r:id="rId50"/>
      <w:pgSz w:w="11906" w:h="16838" w:code="9"/>
      <w:pgMar w:top="1134" w:right="1700" w:bottom="1560"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23A" w:rsidRDefault="002B723A">
      <w:pPr>
        <w:spacing w:before="0" w:line="240" w:lineRule="auto"/>
      </w:pPr>
      <w:r>
        <w:separator/>
      </w:r>
    </w:p>
  </w:endnote>
  <w:endnote w:type="continuationSeparator" w:id="0">
    <w:p w:rsidR="002B723A" w:rsidRDefault="002B723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3A" w:rsidRPr="007A4D1F" w:rsidRDefault="002B723A"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2852EF" w:rsidRPr="002852EF">
      <w:rPr>
        <w:rFonts w:eastAsia="Arial" w:cs="Times New Roman"/>
        <w:b/>
        <w:bCs/>
        <w:noProof/>
        <w:color w:val="076A92" w:themeColor="text1"/>
        <w:sz w:val="18"/>
        <w:lang w:val="en-US"/>
      </w:rPr>
      <w:t>Significant price variation report</w:t>
    </w:r>
    <w:r>
      <w:rPr>
        <w:rFonts w:eastAsia="Arial" w:cs="Times New Roman"/>
        <w:color w:val="076A92" w:themeColor="text1"/>
        <w:sz w:val="18"/>
      </w:rPr>
      <w:fldChar w:fldCharType="end"/>
    </w:r>
    <w:r>
      <w:rPr>
        <w:rFonts w:eastAsia="Arial" w:cs="Times New Roman"/>
        <w:color w:val="076A92" w:themeColor="text1"/>
        <w:sz w:val="18"/>
      </w:rPr>
      <w:t xml:space="preserve"> East Coast Gas Markets June 2016</w:t>
    </w:r>
    <w:r>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2852EF">
      <w:rPr>
        <w:rFonts w:eastAsia="Arial" w:cs="Times New Roman"/>
        <w:noProof/>
        <w:color w:val="076A92" w:themeColor="text1"/>
        <w:sz w:val="18"/>
      </w:rPr>
      <w:t>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2B723A" w:rsidRDefault="002B723A" w:rsidP="003610D1">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3A" w:rsidRPr="00A91A9E" w:rsidRDefault="002B723A"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2B723A" w:rsidRDefault="002B723A"/>
  <w:p w:rsidR="002B723A" w:rsidRDefault="002B72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3A" w:rsidRDefault="002852EF" w:rsidP="003610D1">
    <w:pPr>
      <w:pStyle w:val="Footer"/>
      <w:tabs>
        <w:tab w:val="clear" w:pos="9026"/>
        <w:tab w:val="right" w:pos="8505"/>
      </w:tabs>
    </w:pPr>
    <w:r>
      <w:fldChar w:fldCharType="begin"/>
    </w:r>
    <w:r>
      <w:instrText xml:space="preserve"> STYLEREF  "Report Title"  \* MERGEFORMAT </w:instrText>
    </w:r>
    <w:r>
      <w:fldChar w:fldCharType="separate"/>
    </w:r>
    <w:r w:rsidRPr="002852EF">
      <w:rPr>
        <w:b/>
        <w:bCs/>
        <w:noProof/>
        <w:lang w:val="en-US"/>
      </w:rPr>
      <w:t>Significant price variation report</w:t>
    </w:r>
    <w:r>
      <w:rPr>
        <w:b/>
        <w:bCs/>
        <w:noProof/>
        <w:lang w:val="en-US"/>
      </w:rPr>
      <w:fldChar w:fldCharType="end"/>
    </w:r>
    <w:r w:rsidR="002B723A">
      <w:rPr>
        <w:bCs/>
        <w:noProof/>
        <w:lang w:val="en-US"/>
      </w:rPr>
      <w:t xml:space="preserve"> East Coast Gas Markets July</w:t>
    </w:r>
    <w:r w:rsidR="002B723A" w:rsidRPr="00091C2D">
      <w:rPr>
        <w:bCs/>
        <w:noProof/>
        <w:lang w:val="en-US"/>
      </w:rPr>
      <w:t xml:space="preserve"> 2016</w:t>
    </w:r>
    <w:r w:rsidR="002B723A">
      <w:tab/>
    </w:r>
    <w:r w:rsidR="002B723A">
      <w:tab/>
    </w:r>
    <w:r w:rsidR="002B723A">
      <w:fldChar w:fldCharType="begin"/>
    </w:r>
    <w:r w:rsidR="002B723A">
      <w:instrText xml:space="preserve"> PAGE   \* MERGEFORMAT </w:instrText>
    </w:r>
    <w:r w:rsidR="002B723A">
      <w:fldChar w:fldCharType="separate"/>
    </w:r>
    <w:r>
      <w:rPr>
        <w:noProof/>
      </w:rPr>
      <w:t>36</w:t>
    </w:r>
    <w:r w:rsidR="002B723A">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3A" w:rsidRDefault="002852EF" w:rsidP="003610D1">
    <w:pPr>
      <w:pStyle w:val="Footer"/>
      <w:tabs>
        <w:tab w:val="clear" w:pos="9026"/>
        <w:tab w:val="right" w:pos="8505"/>
      </w:tabs>
    </w:pPr>
    <w:r>
      <w:fldChar w:fldCharType="begin"/>
    </w:r>
    <w:r>
      <w:instrText xml:space="preserve"> STYLEREF  "Report Title"  \* MER</w:instrText>
    </w:r>
    <w:r>
      <w:instrText xml:space="preserve">GEFORMAT </w:instrText>
    </w:r>
    <w:r>
      <w:fldChar w:fldCharType="separate"/>
    </w:r>
    <w:r w:rsidR="002B723A">
      <w:rPr>
        <w:noProof/>
      </w:rPr>
      <w:t>Significant price variation report</w:t>
    </w:r>
    <w:r>
      <w:rPr>
        <w:noProof/>
      </w:rPr>
      <w:fldChar w:fldCharType="end"/>
    </w:r>
    <w:r w:rsidR="002B723A">
      <w:tab/>
    </w:r>
    <w:r w:rsidR="002B723A">
      <w:tab/>
    </w:r>
    <w:r w:rsidR="002B723A">
      <w:fldChar w:fldCharType="begin"/>
    </w:r>
    <w:r w:rsidR="002B723A">
      <w:instrText xml:space="preserve"> PAGE   \* MERGEFORMAT </w:instrText>
    </w:r>
    <w:r w:rsidR="002B723A">
      <w:fldChar w:fldCharType="separate"/>
    </w:r>
    <w:r w:rsidR="002B723A">
      <w:rPr>
        <w:noProof/>
      </w:rPr>
      <w:t>1</w:t>
    </w:r>
    <w:r w:rsidR="002B723A">
      <w:fldChar w:fldCharType="end"/>
    </w:r>
  </w:p>
  <w:p w:rsidR="002B723A" w:rsidRDefault="002B723A">
    <w:pPr>
      <w:pStyle w:val="Footer"/>
    </w:pPr>
  </w:p>
  <w:p w:rsidR="002B723A" w:rsidRDefault="002B723A"/>
  <w:p w:rsidR="002B723A" w:rsidRDefault="002B72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23A" w:rsidRDefault="002B723A">
      <w:pPr>
        <w:spacing w:before="0" w:line="240" w:lineRule="auto"/>
      </w:pPr>
      <w:r>
        <w:separator/>
      </w:r>
    </w:p>
  </w:footnote>
  <w:footnote w:type="continuationSeparator" w:id="0">
    <w:p w:rsidR="002B723A" w:rsidRDefault="002B723A">
      <w:pPr>
        <w:spacing w:before="0" w:line="240" w:lineRule="auto"/>
      </w:pPr>
      <w:r>
        <w:continuationSeparator/>
      </w:r>
    </w:p>
  </w:footnote>
  <w:footnote w:id="1">
    <w:p w:rsidR="002B723A" w:rsidRDefault="002B723A" w:rsidP="004B59DD">
      <w:pPr>
        <w:pStyle w:val="FootnoteText"/>
      </w:pPr>
      <w:r>
        <w:rPr>
          <w:rStyle w:val="FootnoteReference"/>
        </w:rPr>
        <w:footnoteRef/>
      </w:r>
      <w:r>
        <w:t xml:space="preserve"> </w:t>
      </w:r>
      <w:r>
        <w:tab/>
        <w:t>The obligation is set out in the National Gas Rules. Rule</w:t>
      </w:r>
      <w:r w:rsidRPr="00D57BF1">
        <w:t xml:space="preserve"> 498(3)(b)</w:t>
      </w:r>
      <w:r>
        <w:t xml:space="preserve"> relates to SPVs in the Short Term Trading Markets, and rule </w:t>
      </w:r>
      <w:r w:rsidRPr="00D57BF1">
        <w:t>355(1)(b)</w:t>
      </w:r>
      <w:r>
        <w:t xml:space="preserve"> relates to SPVs in the Victorian market.</w:t>
      </w:r>
    </w:p>
  </w:footnote>
  <w:footnote w:id="2">
    <w:p w:rsidR="002B723A" w:rsidRDefault="002B723A" w:rsidP="004B59DD">
      <w:pPr>
        <w:pStyle w:val="FootnoteText"/>
      </w:pPr>
      <w:r>
        <w:rPr>
          <w:rStyle w:val="FootnoteReference"/>
        </w:rPr>
        <w:footnoteRef/>
      </w:r>
      <w:r>
        <w:t xml:space="preserve"> </w:t>
      </w:r>
      <w:r>
        <w:tab/>
      </w:r>
      <w:r w:rsidRPr="006022E2">
        <w:t xml:space="preserve">These thresholds are noted </w:t>
      </w:r>
      <w:r>
        <w:t>in</w:t>
      </w:r>
      <w:r w:rsidRPr="006022E2">
        <w:t xml:space="preserve"> Appendix A.</w:t>
      </w:r>
    </w:p>
  </w:footnote>
  <w:footnote w:id="3">
    <w:p w:rsidR="002B723A" w:rsidRDefault="002B723A" w:rsidP="00275561">
      <w:pPr>
        <w:pStyle w:val="FootnoteText"/>
      </w:pPr>
      <w:r>
        <w:rPr>
          <w:rStyle w:val="FootnoteReference"/>
        </w:rPr>
        <w:footnoteRef/>
      </w:r>
      <w:r>
        <w:t xml:space="preserve"> </w:t>
      </w:r>
      <w:r>
        <w:tab/>
        <w:t xml:space="preserve">The June SPV report is available here: </w:t>
      </w:r>
      <w:hyperlink r:id="rId1" w:history="1">
        <w:r w:rsidRPr="00BE505C">
          <w:rPr>
            <w:rStyle w:val="Hyperlink"/>
            <w:sz w:val="16"/>
          </w:rPr>
          <w:t>http://www.aer.gov.au/wholesale-markets/market-performance/significant-price-variation-report-june-2016</w:t>
        </w:r>
      </w:hyperlink>
    </w:p>
  </w:footnote>
  <w:footnote w:id="4">
    <w:p w:rsidR="002B723A" w:rsidRDefault="002B723A" w:rsidP="0077634A">
      <w:pPr>
        <w:pStyle w:val="FootnoteText"/>
      </w:pPr>
      <w:r>
        <w:rPr>
          <w:rStyle w:val="FootnoteReference"/>
        </w:rPr>
        <w:footnoteRef/>
      </w:r>
      <w:r>
        <w:t xml:space="preserve"> </w:t>
      </w:r>
      <w:r>
        <w:tab/>
        <w:t xml:space="preserve">We note had it not been for a long term LNG contract, the investment to extend the Moomba field would not have happened. </w:t>
      </w:r>
    </w:p>
  </w:footnote>
  <w:footnote w:id="5">
    <w:p w:rsidR="002B723A" w:rsidRDefault="002B723A">
      <w:pPr>
        <w:pStyle w:val="FootnoteText"/>
      </w:pPr>
      <w:r>
        <w:rPr>
          <w:rStyle w:val="FootnoteReference"/>
        </w:rPr>
        <w:footnoteRef/>
      </w:r>
      <w:r>
        <w:t xml:space="preserve"> </w:t>
      </w:r>
      <w:r>
        <w:tab/>
        <w:t>Some industrial participants, for example Qenos or AB Cement participate directly in the market. Others have another party – usually an energy retailer – participate on their behalf.</w:t>
      </w:r>
    </w:p>
  </w:footnote>
  <w:footnote w:id="6">
    <w:p w:rsidR="002B723A" w:rsidRDefault="002B723A" w:rsidP="00984554">
      <w:pPr>
        <w:pStyle w:val="FootnoteText"/>
      </w:pPr>
      <w:r>
        <w:rPr>
          <w:rStyle w:val="FootnoteReference"/>
        </w:rPr>
        <w:footnoteRef/>
      </w:r>
      <w:r>
        <w:t xml:space="preserve"> </w:t>
      </w:r>
      <w:r>
        <w:tab/>
        <w:t xml:space="preserve">Unlike the Victorian gas market, where many gas fired electricity generators </w:t>
      </w:r>
      <w:r>
        <w:rPr>
          <w:b/>
        </w:rPr>
        <w:t xml:space="preserve">(GFG) </w:t>
      </w:r>
      <w:r>
        <w:t>sit within the physical boundaries of the market, no GFG sits within the physical boundaries of the Adelaide or Sydney STTM and therefore do not have to participate in the market. However, these GFGs can make offers to buy gas from the daily market for transport to their power station (withdrawal bids). Though more commonly they choose to bypass markets and buy gas directly under long term contracts.</w:t>
      </w:r>
    </w:p>
  </w:footnote>
  <w:footnote w:id="7">
    <w:p w:rsidR="002B723A" w:rsidRDefault="002B723A" w:rsidP="00984554">
      <w:pPr>
        <w:pStyle w:val="FootnoteText"/>
      </w:pPr>
      <w:r>
        <w:rPr>
          <w:rStyle w:val="FootnoteReference"/>
        </w:rPr>
        <w:footnoteRef/>
      </w:r>
      <w:r>
        <w:t xml:space="preserve"> </w:t>
      </w:r>
      <w:r>
        <w:tab/>
        <w:t xml:space="preserve">In 2020, domestic demand (residential and commercial, industrial, and gas fired electricity generators) is forecast to be around 515 PJ a year, whereas the demand from LNG is forecast to reach nearly 2000 PJ. </w:t>
      </w:r>
    </w:p>
  </w:footnote>
  <w:footnote w:id="8">
    <w:p w:rsidR="002B723A" w:rsidRDefault="002B723A" w:rsidP="00984554">
      <w:pPr>
        <w:pStyle w:val="FootnoteText"/>
      </w:pPr>
      <w:r>
        <w:rPr>
          <w:rStyle w:val="FootnoteReference"/>
        </w:rPr>
        <w:footnoteRef/>
      </w:r>
      <w:r>
        <w:t xml:space="preserve"> </w:t>
      </w:r>
      <w:r>
        <w:tab/>
      </w:r>
      <w:r w:rsidRPr="00270867">
        <w:t>Also, the EGP has been connected to the Wilton connection point in New South Wales. Previously only the MSP was connected to this point. The new connection enables Sydney’s demand to be supplied predominately by the EGP (which sources gas from Victoria) if required by participants.</w:t>
      </w:r>
    </w:p>
  </w:footnote>
  <w:footnote w:id="9">
    <w:p w:rsidR="002B723A" w:rsidRDefault="002B723A" w:rsidP="00984554">
      <w:pPr>
        <w:pStyle w:val="FootnoteText"/>
      </w:pPr>
      <w:r>
        <w:rPr>
          <w:rStyle w:val="FootnoteReference"/>
        </w:rPr>
        <w:footnoteRef/>
      </w:r>
      <w:r>
        <w:t xml:space="preserve"> </w:t>
      </w:r>
      <w:r>
        <w:tab/>
        <w:t>It is noted that gas-fired generation decreased in Queensland and the AER understands this is because the ramp gas that made gas-fired generation cheap in previous winters was no longer available in 2016.</w:t>
      </w:r>
    </w:p>
  </w:footnote>
  <w:footnote w:id="10">
    <w:p w:rsidR="002B723A" w:rsidRDefault="002B723A" w:rsidP="00984554">
      <w:pPr>
        <w:pStyle w:val="FootnoteText"/>
      </w:pPr>
      <w:r>
        <w:rPr>
          <w:rStyle w:val="FootnoteReference"/>
        </w:rPr>
        <w:footnoteRef/>
      </w:r>
      <w:r>
        <w:t xml:space="preserve"> </w:t>
      </w:r>
      <w:r>
        <w:tab/>
        <w:t xml:space="preserve">See AER Communication Winter Energy Prices, </w:t>
      </w:r>
      <w:hyperlink r:id="rId2" w:history="1">
        <w:r w:rsidRPr="009C5B85">
          <w:rPr>
            <w:rStyle w:val="Hyperlink"/>
            <w:sz w:val="16"/>
          </w:rPr>
          <w:t>http://www.aer.gov.au/communication/winter-energy-prices-2016</w:t>
        </w:r>
      </w:hyperlink>
      <w:r>
        <w:t>.</w:t>
      </w:r>
    </w:p>
  </w:footnote>
  <w:footnote w:id="11">
    <w:p w:rsidR="002B723A" w:rsidRDefault="002B723A" w:rsidP="002F6C95">
      <w:pPr>
        <w:pStyle w:val="FootnoteText"/>
      </w:pPr>
      <w:r>
        <w:rPr>
          <w:rStyle w:val="FootnoteReference"/>
        </w:rPr>
        <w:footnoteRef/>
      </w:r>
      <w:r>
        <w:t xml:space="preserve"> </w:t>
      </w:r>
      <w:r>
        <w:tab/>
        <w:t xml:space="preserve">These factors were also discussed in the ACCC Gas Inquiry Report April 2016: </w:t>
      </w:r>
      <w:hyperlink r:id="rId3" w:history="1">
        <w:r w:rsidRPr="007F55FA">
          <w:rPr>
            <w:rStyle w:val="Hyperlink"/>
            <w:sz w:val="16"/>
          </w:rPr>
          <w:t>http://www.accc.gov.au/regulated-infrastructure/energy/east-coast-gas-inquiry-2015</w:t>
        </w:r>
      </w:hyperlink>
      <w:r>
        <w:t xml:space="preserve"> </w:t>
      </w:r>
    </w:p>
  </w:footnote>
  <w:footnote w:id="12">
    <w:p w:rsidR="002B723A" w:rsidRDefault="002B723A" w:rsidP="009273E1">
      <w:pPr>
        <w:pStyle w:val="FootnoteText"/>
      </w:pPr>
      <w:r>
        <w:rPr>
          <w:rStyle w:val="FootnoteReference"/>
        </w:rPr>
        <w:footnoteRef/>
      </w:r>
      <w:r>
        <w:t xml:space="preserve"> </w:t>
      </w:r>
      <w:r>
        <w:tab/>
        <w:t>We calculated the top ten demand days across winter 2015 and 2016. Seven of the ten days high demand days occurred in 2015. The high demand days in 2015 ranged from around 1.56–1.63 PJ.</w:t>
      </w:r>
    </w:p>
  </w:footnote>
  <w:footnote w:id="13">
    <w:p w:rsidR="002B723A" w:rsidRDefault="002B723A" w:rsidP="00022D75">
      <w:pPr>
        <w:pStyle w:val="FootnoteText"/>
      </w:pPr>
      <w:r>
        <w:rPr>
          <w:rStyle w:val="FootnoteReference"/>
        </w:rPr>
        <w:footnoteRef/>
      </w:r>
      <w:r>
        <w:t xml:space="preserve"> </w:t>
      </w:r>
      <w:r>
        <w:tab/>
        <w:t>The historic dynamic has been that producers and LNG exporters have not participated in the traded markets. Trading of gas through the STTMs and Victorian Gas Market has been limited to smaller balancing volumes between gas retailers topping up long term supply contracts or to accommodate short term changes in demand.</w:t>
      </w:r>
    </w:p>
  </w:footnote>
  <w:footnote w:id="14">
    <w:p w:rsidR="002B723A" w:rsidRDefault="002B723A" w:rsidP="00022D75">
      <w:pPr>
        <w:pStyle w:val="FootnoteText"/>
      </w:pPr>
      <w:r>
        <w:rPr>
          <w:rStyle w:val="FootnoteReference"/>
        </w:rPr>
        <w:footnoteRef/>
      </w:r>
      <w:r>
        <w:t xml:space="preserve">    See section 4.4.5 of the ACCC Gas Inquiry Report April 2016, </w:t>
      </w:r>
      <w:hyperlink r:id="rId4" w:history="1">
        <w:r w:rsidRPr="005872F4">
          <w:rPr>
            <w:rStyle w:val="Hyperlink"/>
            <w:sz w:val="16"/>
          </w:rPr>
          <w:t>www.accc.gov.au</w:t>
        </w:r>
      </w:hyperlink>
      <w:r>
        <w:t xml:space="preserve"> </w:t>
      </w:r>
    </w:p>
  </w:footnote>
  <w:footnote w:id="15">
    <w:p w:rsidR="002B723A" w:rsidRDefault="002B723A" w:rsidP="006B1728">
      <w:pPr>
        <w:pStyle w:val="FootnoteText"/>
      </w:pPr>
      <w:r>
        <w:rPr>
          <w:rStyle w:val="FootnoteReference"/>
        </w:rPr>
        <w:footnoteRef/>
      </w:r>
      <w:r>
        <w:t xml:space="preserve"> </w:t>
      </w:r>
      <w:r>
        <w:tab/>
        <w:t>South Australia, New South Wales, and Victoria.</w:t>
      </w:r>
    </w:p>
  </w:footnote>
  <w:footnote w:id="16">
    <w:p w:rsidR="002B723A" w:rsidRDefault="002B723A" w:rsidP="006B1728">
      <w:pPr>
        <w:pStyle w:val="FootnoteText"/>
      </w:pPr>
      <w:r>
        <w:rPr>
          <w:rStyle w:val="FootnoteReference"/>
        </w:rPr>
        <w:footnoteRef/>
      </w:r>
      <w:r>
        <w:t xml:space="preserve"> </w:t>
      </w:r>
      <w:r>
        <w:tab/>
        <w:t xml:space="preserve">Source: Bulletin Board data; INT911, INT924, INT925, </w:t>
      </w:r>
      <w:hyperlink r:id="rId5" w:history="1">
        <w:r w:rsidRPr="00D51219">
          <w:rPr>
            <w:rStyle w:val="Hyperlink"/>
            <w:sz w:val="16"/>
          </w:rPr>
          <w:t>www.gasbb.com.au</w:t>
        </w:r>
      </w:hyperlink>
      <w:r>
        <w:t>. Using capacities of 1,024 TJ for winter 2016 and 1,010 TJ for winter 2015.</w:t>
      </w:r>
    </w:p>
  </w:footnote>
  <w:footnote w:id="17">
    <w:p w:rsidR="002B723A" w:rsidRDefault="002B723A" w:rsidP="006B1728">
      <w:pPr>
        <w:pStyle w:val="FootnoteText"/>
      </w:pPr>
      <w:r>
        <w:rPr>
          <w:rStyle w:val="FootnoteReference"/>
        </w:rPr>
        <w:footnoteRef/>
      </w:r>
      <w:r>
        <w:t xml:space="preserve"> </w:t>
      </w:r>
      <w:r>
        <w:tab/>
        <w:t>In August, Lochard Energy (the owner/operator of Iona) informed the AER that Iona’s recent storage is at historic lows.</w:t>
      </w:r>
    </w:p>
  </w:footnote>
  <w:footnote w:id="18">
    <w:p w:rsidR="002B723A" w:rsidRDefault="002B723A" w:rsidP="00315A6A">
      <w:pPr>
        <w:pStyle w:val="FootnoteText"/>
      </w:pPr>
      <w:r>
        <w:rPr>
          <w:rStyle w:val="FootnoteReference"/>
        </w:rPr>
        <w:footnoteRef/>
      </w:r>
      <w:r>
        <w:t xml:space="preserve"> </w:t>
      </w:r>
      <w:r>
        <w:tab/>
        <w:t>Date range: 13 June 2016 to 31 July 2016. Data source: ex ante scheduled quantity (INT652).</w:t>
      </w:r>
    </w:p>
  </w:footnote>
  <w:footnote w:id="19">
    <w:p w:rsidR="002B723A" w:rsidRDefault="002B723A" w:rsidP="00315A6A">
      <w:pPr>
        <w:pStyle w:val="FootnoteText"/>
      </w:pPr>
      <w:r>
        <w:rPr>
          <w:rStyle w:val="FootnoteReference"/>
        </w:rPr>
        <w:footnoteRef/>
      </w:r>
      <w:r>
        <w:t xml:space="preserve"> </w:t>
      </w:r>
      <w:r>
        <w:tab/>
      </w:r>
      <w:hyperlink r:id="rId6" w:history="1">
        <w:r w:rsidRPr="00EC1E6A">
          <w:rPr>
            <w:rStyle w:val="Hyperlink"/>
            <w:sz w:val="16"/>
          </w:rPr>
          <w:t>http://www.afr.com/business/energy/gas/shell-australia-juggles-gas-sales-amid-pricing-swings-20160829-gr45uk</w:t>
        </w:r>
      </w:hyperlink>
      <w:r>
        <w:t xml:space="preserve"> </w:t>
      </w:r>
    </w:p>
    <w:p w:rsidR="002B723A" w:rsidRDefault="002B723A" w:rsidP="00315A6A">
      <w:pPr>
        <w:pStyle w:val="FootnoteText"/>
      </w:pPr>
      <w:r>
        <w:tab/>
      </w:r>
      <w:r w:rsidRPr="00080981">
        <w:t>The Chairman was</w:t>
      </w:r>
      <w:r>
        <w:t xml:space="preserve"> </w:t>
      </w:r>
      <w:r w:rsidRPr="00080981">
        <w:t xml:space="preserve">quoted as saying </w:t>
      </w:r>
      <w:r>
        <w:t xml:space="preserve">Shell </w:t>
      </w:r>
      <w:r w:rsidRPr="00080981">
        <w:t>had sold twice as much gas into the domestic market than it had purchased from third parties from its operation</w:t>
      </w:r>
    </w:p>
  </w:footnote>
  <w:footnote w:id="20">
    <w:p w:rsidR="002B723A" w:rsidRDefault="002B723A" w:rsidP="00315A6A">
      <w:pPr>
        <w:pStyle w:val="FootnoteText"/>
      </w:pPr>
      <w:r>
        <w:rPr>
          <w:rStyle w:val="FootnoteReference"/>
        </w:rPr>
        <w:footnoteRef/>
      </w:r>
      <w:r>
        <w:t xml:space="preserve"> </w:t>
      </w:r>
      <w:r>
        <w:tab/>
      </w:r>
      <w:r w:rsidRPr="00FD477D">
        <w:t xml:space="preserve">Visibility of gas traded at Wallumbilla is limited to trades on the Exchange, with market intelligence indicating that a smaller portion of Queensland gas is traded through the Exchange, </w:t>
      </w:r>
      <w:r>
        <w:t xml:space="preserve">than </w:t>
      </w:r>
      <w:r w:rsidRPr="00FD477D">
        <w:t>gas traded off-market, bilaterally.</w:t>
      </w:r>
    </w:p>
  </w:footnote>
  <w:footnote w:id="21">
    <w:p w:rsidR="002B723A" w:rsidRDefault="002B723A" w:rsidP="00E76084">
      <w:pPr>
        <w:pStyle w:val="FootnoteText"/>
      </w:pPr>
      <w:r>
        <w:rPr>
          <w:rStyle w:val="FootnoteReference"/>
        </w:rPr>
        <w:footnoteRef/>
      </w:r>
      <w:r>
        <w:t xml:space="preserve"> </w:t>
      </w:r>
      <w:r>
        <w:tab/>
        <w:t xml:space="preserve">This is based on estimates of gas consumption by South Australian generators for winter 2015 (137.7 TJ/d) and winter 2016 (174.1 TJ/d). The total change in GFG requirements illustrated in </w:t>
      </w:r>
      <w:r>
        <w:fldChar w:fldCharType="begin"/>
      </w:r>
      <w:r>
        <w:instrText xml:space="preserve"> REF _Ref465356291 \h </w:instrText>
      </w:r>
      <w:r>
        <w:fldChar w:fldCharType="separate"/>
      </w:r>
      <w:r w:rsidRPr="00137954">
        <w:t>Figure </w:t>
      </w:r>
      <w:r>
        <w:rPr>
          <w:noProof/>
        </w:rPr>
        <w:t>9</w:t>
      </w:r>
      <w:r>
        <w:fldChar w:fldCharType="end"/>
      </w:r>
      <w:r>
        <w:t xml:space="preserve"> is around 3.2 gigawatt hours per day, comparing 2015 (13.1 GWh/d) and 2016 (16.3 GWh/d).</w:t>
      </w:r>
    </w:p>
  </w:footnote>
  <w:footnote w:id="22">
    <w:p w:rsidR="002B723A" w:rsidRDefault="002B723A" w:rsidP="00E76084">
      <w:pPr>
        <w:pStyle w:val="FootnoteText"/>
      </w:pPr>
      <w:r>
        <w:rPr>
          <w:rStyle w:val="FootnoteReference"/>
        </w:rPr>
        <w:footnoteRef/>
      </w:r>
      <w:r>
        <w:t xml:space="preserve"> </w:t>
      </w:r>
      <w:r>
        <w:tab/>
        <w:t>Liquid = diesel. There are some small peaking plants in South Australia that are powered by diesel. These units make up a small proportion of South Australia’s overall generation capacity, and only run in response to high prices.</w:t>
      </w:r>
    </w:p>
  </w:footnote>
  <w:footnote w:id="23">
    <w:p w:rsidR="002B723A" w:rsidRDefault="002B723A" w:rsidP="00E76084">
      <w:pPr>
        <w:pStyle w:val="FootnoteText"/>
      </w:pPr>
      <w:r>
        <w:rPr>
          <w:rStyle w:val="FootnoteReference"/>
        </w:rPr>
        <w:footnoteRef/>
      </w:r>
      <w:r>
        <w:t xml:space="preserve"> </w:t>
      </w:r>
      <w:r>
        <w:tab/>
      </w:r>
      <w:hyperlink r:id="rId7" w:history="1">
        <w:r w:rsidRPr="0048545E">
          <w:rPr>
            <w:rStyle w:val="Hyperlink"/>
            <w:sz w:val="16"/>
          </w:rPr>
          <w:t>https://www.agl.com.au/about-agl/media-centre/article-list/2016/july/agl-update-on-fy17-gas-portfolio-margins</w:t>
        </w:r>
      </w:hyperlink>
      <w:r>
        <w:t xml:space="preserve"> </w:t>
      </w:r>
    </w:p>
  </w:footnote>
  <w:footnote w:id="24">
    <w:p w:rsidR="002B723A" w:rsidRDefault="002B723A">
      <w:pPr>
        <w:pStyle w:val="FootnoteText"/>
      </w:pPr>
      <w:r>
        <w:rPr>
          <w:rStyle w:val="FootnoteReference"/>
        </w:rPr>
        <w:footnoteRef/>
      </w:r>
      <w:r>
        <w:t xml:space="preserve"> </w:t>
      </w:r>
      <w:r>
        <w:tab/>
        <w:t>The majority of this quantity (2 TJ) was delivered on the EGP.</w:t>
      </w:r>
    </w:p>
  </w:footnote>
  <w:footnote w:id="25">
    <w:p w:rsidR="002B723A" w:rsidRDefault="002B723A">
      <w:pPr>
        <w:pStyle w:val="FootnoteText"/>
      </w:pPr>
      <w:r>
        <w:rPr>
          <w:rStyle w:val="FootnoteReference"/>
        </w:rPr>
        <w:footnoteRef/>
      </w:r>
      <w:r>
        <w:t xml:space="preserve"> </w:t>
      </w:r>
      <w:r>
        <w:tab/>
        <w:t>This contributed around $41 297 of additional cost for the balancing gas services (compared to the cost for net decrease requirements being allocated entirely on the MSP). The 24.48 TJ net decrease requirement (22.15 TJ over forecast plus 2.34 TJ over supply) was also impacted by MOS deliveries on the EGP balancing under forecasting in the Wollongong sub-network (4.35 TJ). Collectively, these quantities account for the total MOS requirement (24.5 TJ supply/demand error, 4.35 TJ of increase EGP MOS and counteracting 4.35 TJ of additional MOS decrease allocations on the MSP: 33.2 TJ of MOS allocations in total).</w:t>
      </w:r>
    </w:p>
  </w:footnote>
  <w:footnote w:id="26">
    <w:p w:rsidR="002B723A" w:rsidRDefault="002B723A" w:rsidP="007D1978">
      <w:pPr>
        <w:pStyle w:val="FootnoteText"/>
      </w:pPr>
      <w:r>
        <w:rPr>
          <w:rStyle w:val="FootnoteReference"/>
        </w:rPr>
        <w:footnoteRef/>
      </w:r>
      <w:r>
        <w:t xml:space="preserve"> </w:t>
      </w:r>
      <w:r>
        <w:tab/>
        <w:t>For the D-2 schedule, price taker bids (which reflect uninterruptable demand) were around 70.5 TJ. For the D-1 schedule, they were 71.7 TJ (1.2 TJ higher).</w:t>
      </w:r>
    </w:p>
  </w:footnote>
  <w:footnote w:id="27">
    <w:p w:rsidR="002B723A" w:rsidRDefault="002B723A" w:rsidP="0025206B">
      <w:pPr>
        <w:pStyle w:val="FootnoteText"/>
      </w:pPr>
      <w:r>
        <w:rPr>
          <w:rStyle w:val="FootnoteReference"/>
        </w:rPr>
        <w:footnoteRef/>
      </w:r>
      <w:r>
        <w:t xml:space="preserve"> </w:t>
      </w:r>
      <w:r>
        <w:tab/>
        <w:t>The previous record D-1 price was $18.99/GJ for the 24 June 2016 gas day which is assessed in our June report. Before this, the previous record D-1 price was $14.89/GJ for the 4 July 2012 gas day.</w:t>
      </w:r>
    </w:p>
  </w:footnote>
  <w:footnote w:id="28">
    <w:p w:rsidR="002B723A" w:rsidRDefault="002B723A">
      <w:pPr>
        <w:pStyle w:val="FootnoteText"/>
      </w:pPr>
      <w:r>
        <w:rPr>
          <w:rStyle w:val="FootnoteReference"/>
        </w:rPr>
        <w:footnoteRef/>
      </w:r>
      <w:r>
        <w:t xml:space="preserve"> </w:t>
      </w:r>
      <w:r>
        <w:tab/>
        <w:t xml:space="preserve">The similar levels of demand can be seen in </w:t>
      </w:r>
      <w:r>
        <w:fldChar w:fldCharType="begin"/>
      </w:r>
      <w:r>
        <w:instrText xml:space="preserve"> REF _Ref461630614 \h </w:instrText>
      </w:r>
      <w:r>
        <w:fldChar w:fldCharType="separate"/>
      </w:r>
      <w:r>
        <w:t>Figure </w:t>
      </w:r>
      <w:r>
        <w:rPr>
          <w:noProof/>
        </w:rPr>
        <w:t>13</w:t>
      </w:r>
      <w:r>
        <w:fldChar w:fldCharType="end"/>
      </w:r>
      <w:r>
        <w:t>, where the solid red line and the dotted red line are closely correlated.</w:t>
      </w:r>
    </w:p>
  </w:footnote>
  <w:footnote w:id="29">
    <w:p w:rsidR="002B723A" w:rsidRDefault="002B723A">
      <w:pPr>
        <w:pStyle w:val="FootnoteText"/>
      </w:pPr>
      <w:r>
        <w:rPr>
          <w:rStyle w:val="FootnoteReference"/>
        </w:rPr>
        <w:footnoteRef/>
      </w:r>
      <w:r>
        <w:t xml:space="preserve"> </w:t>
      </w:r>
      <w:r>
        <w:tab/>
        <w:t>For the D-2 schedule, price taker bids totalled 321 TJ. For the D-1 schedule, price taker bids totalled 317 TJ.</w:t>
      </w:r>
    </w:p>
  </w:footnote>
  <w:footnote w:id="30">
    <w:p w:rsidR="002B723A" w:rsidRDefault="002B723A">
      <w:pPr>
        <w:pStyle w:val="FootnoteText"/>
      </w:pPr>
      <w:r>
        <w:rPr>
          <w:rStyle w:val="FootnoteReference"/>
        </w:rPr>
        <w:footnoteRef/>
      </w:r>
      <w:r>
        <w:t xml:space="preserve"> </w:t>
      </w:r>
      <w:r>
        <w:tab/>
        <w:t>Santos Direct offered a total of 25 TJ for the D-1 schedule. 12.5 TJ of this was priced at $10.75/GJ, 6.25 TJ was priced at $13.80/GJ, and the remaining 6.25 TJ was priced at $15.60/GJ. Santos had no offers for the D-2 schedule.</w:t>
      </w:r>
    </w:p>
  </w:footnote>
  <w:footnote w:id="31">
    <w:p w:rsidR="002B723A" w:rsidRDefault="002B723A">
      <w:pPr>
        <w:pStyle w:val="FootnoteText"/>
      </w:pPr>
      <w:r>
        <w:rPr>
          <w:rStyle w:val="FootnoteReference"/>
        </w:rPr>
        <w:footnoteRef/>
      </w:r>
      <w:r>
        <w:t xml:space="preserve"> </w:t>
      </w:r>
      <w:r>
        <w:tab/>
      </w:r>
      <w:r w:rsidRPr="00A40CE7">
        <w:t>For the D-2 schedul</w:t>
      </w:r>
      <w:r>
        <w:t>e, price taker bids totalled 93.2</w:t>
      </w:r>
      <w:r w:rsidRPr="00A40CE7">
        <w:t xml:space="preserve"> TJ. For the D-1 schedul</w:t>
      </w:r>
      <w:r>
        <w:t>e, price taker bids totalled 95.31</w:t>
      </w:r>
      <w:r w:rsidRPr="00A40CE7">
        <w:t xml:space="preserve"> TJ.</w:t>
      </w:r>
    </w:p>
  </w:footnote>
  <w:footnote w:id="32">
    <w:p w:rsidR="002B723A" w:rsidRDefault="002B723A">
      <w:pPr>
        <w:pStyle w:val="FootnoteText"/>
      </w:pPr>
      <w:r>
        <w:rPr>
          <w:rStyle w:val="FootnoteReference"/>
        </w:rPr>
        <w:footnoteRef/>
      </w:r>
      <w:r>
        <w:t xml:space="preserve"> </w:t>
      </w:r>
      <w:r>
        <w:tab/>
        <w:t>This is a net amount. AGL increased offers on the MAP by 6 TJ, and reduced offers on SEAGas by 19.2 TJ.</w:t>
      </w:r>
    </w:p>
  </w:footnote>
  <w:footnote w:id="33">
    <w:p w:rsidR="002B723A" w:rsidRDefault="002B723A">
      <w:pPr>
        <w:pStyle w:val="FootnoteText"/>
      </w:pPr>
      <w:r>
        <w:rPr>
          <w:rStyle w:val="FootnoteReference"/>
        </w:rPr>
        <w:footnoteRef/>
      </w:r>
      <w:r>
        <w:t xml:space="preserve"> </w:t>
      </w:r>
      <w:r>
        <w:tab/>
      </w:r>
      <w:r w:rsidRPr="006D4C89">
        <w:t>This is the highest Victorian price since 2007-2008 (the price previously reached $54.88/GJ on 22 November 2008).</w:t>
      </w:r>
    </w:p>
  </w:footnote>
  <w:footnote w:id="34">
    <w:p w:rsidR="002B723A" w:rsidRDefault="002B723A">
      <w:pPr>
        <w:pStyle w:val="FootnoteText"/>
      </w:pPr>
      <w:r>
        <w:rPr>
          <w:rStyle w:val="FootnoteReference"/>
        </w:rPr>
        <w:footnoteRef/>
      </w:r>
      <w:r>
        <w:t xml:space="preserve"> </w:t>
      </w:r>
      <w:r>
        <w:tab/>
      </w:r>
      <w:r w:rsidRPr="006D4C89">
        <w:t>While this wasn’t the lowest temperature this winter, the wind chill had a more significant effect which led to overnight temperatures plummeting and snow in a number of areas across the state. Actual demand exceeded 1200 TJ</w:t>
      </w:r>
      <w:r>
        <w:t>, the highest level this winter</w:t>
      </w:r>
      <w:r w:rsidRPr="006D4C89">
        <w:t>.</w:t>
      </w:r>
    </w:p>
  </w:footnote>
  <w:footnote w:id="35">
    <w:p w:rsidR="002B723A" w:rsidRDefault="002B723A">
      <w:pPr>
        <w:pStyle w:val="FootnoteText"/>
      </w:pPr>
      <w:r>
        <w:rPr>
          <w:rStyle w:val="FootnoteReference"/>
        </w:rPr>
        <w:footnoteRef/>
      </w:r>
      <w:r>
        <w:t xml:space="preserve"> </w:t>
      </w:r>
      <w:r>
        <w:tab/>
        <w:t>This hourly profiling had no impact on prices, as prices are set on the daily injection quantity.</w:t>
      </w:r>
    </w:p>
  </w:footnote>
  <w:footnote w:id="36">
    <w:p w:rsidR="002B723A" w:rsidRDefault="002B723A">
      <w:pPr>
        <w:pStyle w:val="FootnoteText"/>
      </w:pPr>
      <w:r>
        <w:rPr>
          <w:rStyle w:val="FootnoteReference"/>
        </w:rPr>
        <w:footnoteRef/>
      </w:r>
      <w:r>
        <w:t xml:space="preserve"> </w:t>
      </w:r>
      <w:r>
        <w:tab/>
        <w:t xml:space="preserve">It is likely this was </w:t>
      </w:r>
      <w:r w:rsidRPr="00E3010D">
        <w:t>to supply gas to Hallett; its gas-fired electricity generator located around 210 km north of Adelaide.</w:t>
      </w:r>
    </w:p>
  </w:footnote>
  <w:footnote w:id="37">
    <w:p w:rsidR="002B723A" w:rsidRDefault="002B723A">
      <w:pPr>
        <w:pStyle w:val="FootnoteText"/>
      </w:pPr>
      <w:r>
        <w:rPr>
          <w:rStyle w:val="FootnoteReference"/>
        </w:rPr>
        <w:footnoteRef/>
      </w:r>
      <w:r>
        <w:t xml:space="preserve"> </w:t>
      </w:r>
      <w:r>
        <w:tab/>
        <w:t>4 TJ – 3.5 TJ = 500 GJ</w:t>
      </w:r>
    </w:p>
  </w:footnote>
  <w:footnote w:id="38">
    <w:p w:rsidR="002B723A" w:rsidRDefault="002B723A" w:rsidP="004C7E24">
      <w:pPr>
        <w:pStyle w:val="FootnoteText"/>
      </w:pPr>
      <w:r>
        <w:rPr>
          <w:rStyle w:val="FootnoteReference"/>
        </w:rPr>
        <w:footnoteRef/>
      </w:r>
      <w:r>
        <w:t xml:space="preserve"> </w:t>
      </w:r>
      <w:r>
        <w:tab/>
        <w:t>The reduced demand was a result controllable demand, namely EnergyAustralia reducing its backhaul bids on the MAP priced at or above $20.22/GJ by 7.5 TJ. By itself, this rebid resulted in less demand at the Adelaide hub, and therefore did not apply upwards pressure on the D-1 price.</w:t>
      </w:r>
    </w:p>
  </w:footnote>
  <w:footnote w:id="39">
    <w:p w:rsidR="002B723A" w:rsidRDefault="002B723A" w:rsidP="004C7E24">
      <w:pPr>
        <w:pStyle w:val="FootnoteText"/>
      </w:pPr>
      <w:r>
        <w:rPr>
          <w:rStyle w:val="FootnoteReference"/>
        </w:rPr>
        <w:footnoteRef/>
      </w:r>
      <w:r>
        <w:t xml:space="preserve"> </w:t>
      </w:r>
      <w:r>
        <w:tab/>
        <w:t>AGL reduced offers on the MAP by 4.3 TJ, and reduced offers on SEAGas by 4.7 TJ.</w:t>
      </w:r>
    </w:p>
  </w:footnote>
  <w:footnote w:id="40">
    <w:p w:rsidR="002B723A" w:rsidRDefault="002B723A">
      <w:pPr>
        <w:pStyle w:val="FootnoteText"/>
      </w:pPr>
      <w:r>
        <w:rPr>
          <w:rStyle w:val="FootnoteReference"/>
        </w:rPr>
        <w:footnoteRef/>
      </w:r>
      <w:r>
        <w:t xml:space="preserve"> </w:t>
      </w:r>
      <w:r>
        <w:tab/>
        <w:t>This is a net amount. Simply Energy increased offers on the MAP by 3.5 TJ, and reduced offers on SEAGas by 9 TJ.</w:t>
      </w:r>
    </w:p>
  </w:footnote>
  <w:footnote w:id="41">
    <w:p w:rsidR="002B723A" w:rsidRDefault="002B723A" w:rsidP="00542793">
      <w:pPr>
        <w:pStyle w:val="FootnoteText"/>
      </w:pPr>
      <w:r>
        <w:rPr>
          <w:rStyle w:val="FootnoteReference"/>
        </w:rPr>
        <w:footnoteRef/>
      </w:r>
      <w:r>
        <w:t xml:space="preserve"> </w:t>
      </w:r>
      <w:r>
        <w:tab/>
        <w:t>This is a net amount. EnergyAustralia increased offers on the MAP by 10.5 TJ, and reduced offers on SEAGas by 18.5 TJ. When considered alongside its 7.5 TJ reduction in bids, the broader net impact still applied upwards pressure on prices; however the net quantity of gas was only 500 GJ.</w:t>
      </w:r>
    </w:p>
  </w:footnote>
  <w:footnote w:id="42">
    <w:p w:rsidR="002B723A" w:rsidRDefault="002B723A">
      <w:pPr>
        <w:pStyle w:val="FootnoteText"/>
      </w:pPr>
      <w:r>
        <w:rPr>
          <w:rStyle w:val="FootnoteReference"/>
        </w:rPr>
        <w:footnoteRef/>
      </w:r>
      <w:r>
        <w:t xml:space="preserve"> </w:t>
      </w:r>
      <w:r>
        <w:tab/>
        <w:t>For the D-2 schedule, Stanwell had no offers at any price. For the D-1 schedule, it made a 10 TJ offer priced at $7.10/GJ, and a 5 TJ offer priced at $12/GJ.</w:t>
      </w:r>
    </w:p>
  </w:footnote>
  <w:footnote w:id="43">
    <w:p w:rsidR="002B723A" w:rsidRDefault="002B723A">
      <w:pPr>
        <w:pStyle w:val="FootnoteText"/>
      </w:pPr>
      <w:r>
        <w:rPr>
          <w:rStyle w:val="FootnoteReference"/>
        </w:rPr>
        <w:footnoteRef/>
      </w:r>
      <w:r>
        <w:t xml:space="preserve"> </w:t>
      </w:r>
      <w:r>
        <w:tab/>
        <w:t>Alinta also increased its offers priced above $7.10/GJ for the D-1 schedule by 15.4 TJ.</w:t>
      </w:r>
    </w:p>
  </w:footnote>
  <w:footnote w:id="44">
    <w:p w:rsidR="002B723A" w:rsidRDefault="002B723A" w:rsidP="00BE583C">
      <w:pPr>
        <w:pStyle w:val="FootnoteText"/>
      </w:pPr>
      <w:r>
        <w:rPr>
          <w:rStyle w:val="FootnoteReference"/>
        </w:rPr>
        <w:footnoteRef/>
      </w:r>
      <w:r>
        <w:t xml:space="preserve"> </w:t>
      </w:r>
      <w:r>
        <w:tab/>
      </w:r>
      <w:r w:rsidRPr="00FA3A48">
        <w:t xml:space="preserve">17.225 TJ </w:t>
      </w:r>
      <w:r>
        <w:t xml:space="preserve">of gas was </w:t>
      </w:r>
      <w:r w:rsidRPr="00FA3A48">
        <w:t>purchased by a number of participants at prices between $5.55/GJ - $6.</w:t>
      </w:r>
      <w:r>
        <w:t>20/GJ in balance-of-day product trades.</w:t>
      </w:r>
    </w:p>
  </w:footnote>
  <w:footnote w:id="45">
    <w:p w:rsidR="002B723A" w:rsidRDefault="002B723A">
      <w:pPr>
        <w:pStyle w:val="FootnoteText"/>
      </w:pPr>
      <w:r>
        <w:rPr>
          <w:rStyle w:val="FootnoteReference"/>
        </w:rPr>
        <w:footnoteRef/>
      </w:r>
      <w:r>
        <w:t xml:space="preserve"> </w:t>
      </w:r>
      <w:r>
        <w:tab/>
        <w:t>Analysis indicates the renomination of flows reduced the scheduled delivery quantity into flow controlled delivery points on the EGP and did not contribute to additional counteracting MOS requirements on the day.</w:t>
      </w:r>
    </w:p>
  </w:footnote>
  <w:footnote w:id="46">
    <w:p w:rsidR="002B723A" w:rsidRDefault="002B723A" w:rsidP="00A86334">
      <w:pPr>
        <w:pStyle w:val="FootnoteText"/>
      </w:pPr>
      <w:r>
        <w:rPr>
          <w:rStyle w:val="FootnoteReference"/>
        </w:rPr>
        <w:footnoteRef/>
      </w:r>
      <w:r>
        <w:t xml:space="preserve"> </w:t>
      </w:r>
      <w:r>
        <w:tab/>
      </w:r>
      <w:r w:rsidRPr="00D04079">
        <w:t>A pipelines ability to offer decrease MOS is limited by the amount of gas it is providing to the hub. For example, if a pipeline was providing 50 TJ to a hub, it could provide up to 50 TJ in decrease MOS. There is no such limitation for the provision of increase MOS.</w:t>
      </w:r>
    </w:p>
  </w:footnote>
  <w:footnote w:id="47">
    <w:p w:rsidR="002B723A" w:rsidRPr="00A94100" w:rsidRDefault="002B723A" w:rsidP="00A86334">
      <w:pPr>
        <w:pStyle w:val="FootnoteText"/>
        <w:rPr>
          <w:szCs w:val="16"/>
        </w:rPr>
      </w:pPr>
      <w:r>
        <w:rPr>
          <w:rStyle w:val="FootnoteReference"/>
        </w:rPr>
        <w:footnoteRef/>
      </w:r>
      <w:r>
        <w:t xml:space="preserve"> </w:t>
      </w:r>
      <w:r>
        <w:tab/>
      </w:r>
      <w:r w:rsidRPr="00A94100">
        <w:rPr>
          <w:szCs w:val="16"/>
        </w:rPr>
        <w:t xml:space="preserve">For further details about MOS, please refer to the significant price variation report for January 2016 </w:t>
      </w:r>
      <w:r w:rsidRPr="00EB6C06">
        <w:rPr>
          <w:szCs w:val="16"/>
        </w:rPr>
        <w:t>(</w:t>
      </w:r>
      <w:hyperlink r:id="rId8" w:history="1">
        <w:r w:rsidRPr="00EB6C06">
          <w:rPr>
            <w:rStyle w:val="Hyperlink"/>
            <w:sz w:val="16"/>
            <w:szCs w:val="16"/>
          </w:rPr>
          <w:t>https://www.aer.gov.au/wholesale-markets/market-performance/significant-price-variation-report-13-and-23-january-2016-sydney-sttm</w:t>
        </w:r>
      </w:hyperlink>
      <w:r w:rsidRPr="00EB6C06">
        <w:rPr>
          <w:szCs w:val="16"/>
        </w:rPr>
        <w:t>).</w:t>
      </w:r>
    </w:p>
  </w:footnote>
  <w:footnote w:id="48">
    <w:p w:rsidR="002B723A" w:rsidRPr="00203AB5" w:rsidRDefault="002B723A">
      <w:pPr>
        <w:pStyle w:val="FootnoteText"/>
      </w:pPr>
      <w:r>
        <w:rPr>
          <w:rStyle w:val="FootnoteReference"/>
        </w:rPr>
        <w:footnoteRef/>
      </w:r>
      <w:r>
        <w:t xml:space="preserve"> </w:t>
      </w:r>
      <w:r>
        <w:tab/>
      </w:r>
      <w:r w:rsidRPr="00203AB5">
        <w:rPr>
          <w:bCs/>
          <w:iCs/>
          <w:szCs w:val="16"/>
        </w:rPr>
        <w:t>CMOS is defined for this report’s purposes as the need for simultaneously increase MOS (increased flows) to be provided by one pipeline at the same time as decrease MOS (parked gas) by the other pipeline on the same day in the magnitude of more than 2 TJs on both pipelines.</w:t>
      </w:r>
    </w:p>
  </w:footnote>
  <w:footnote w:id="49">
    <w:p w:rsidR="002B723A" w:rsidRDefault="002B723A" w:rsidP="006F5225">
      <w:pPr>
        <w:pStyle w:val="FootnoteText"/>
      </w:pPr>
      <w:r>
        <w:rPr>
          <w:rStyle w:val="FootnoteReference"/>
        </w:rPr>
        <w:footnoteRef/>
      </w:r>
      <w:r>
        <w:t xml:space="preserve"> </w:t>
      </w:r>
      <w:r>
        <w:tab/>
        <w:t>While the EGP is also connected at Wilton, it is connected by a flow controlled point.</w:t>
      </w:r>
    </w:p>
  </w:footnote>
  <w:footnote w:id="50">
    <w:p w:rsidR="002B723A" w:rsidRDefault="002B723A" w:rsidP="006F5225">
      <w:pPr>
        <w:pStyle w:val="FootnoteText"/>
      </w:pPr>
      <w:r>
        <w:rPr>
          <w:rStyle w:val="FootnoteReference"/>
        </w:rPr>
        <w:footnoteRef/>
      </w:r>
      <w:r>
        <w:t xml:space="preserve"> </w:t>
      </w:r>
      <w:r>
        <w:tab/>
        <w:t>Gas can flow into the Wollongong sub network through the Mount Keira pressure reduction station. However gas can only flow in this direction and cannot flow back towards the northern Sydney network.</w:t>
      </w:r>
    </w:p>
  </w:footnote>
  <w:footnote w:id="51">
    <w:p w:rsidR="002B723A" w:rsidRDefault="002B723A">
      <w:pPr>
        <w:pStyle w:val="FootnoteText"/>
      </w:pPr>
      <w:r>
        <w:rPr>
          <w:rStyle w:val="FootnoteReference"/>
        </w:rPr>
        <w:footnoteRef/>
      </w:r>
      <w:r>
        <w:t xml:space="preserve"> </w:t>
      </w:r>
      <w:r>
        <w:tab/>
        <w:t>The numbers of counteracting MOS days in June were the same in 2015 and 2016, with a lower quantity of counteracting MOS allocated across June 2016.</w:t>
      </w:r>
    </w:p>
  </w:footnote>
  <w:footnote w:id="52">
    <w:p w:rsidR="002B723A" w:rsidRDefault="002B723A" w:rsidP="004F6FFA">
      <w:pPr>
        <w:pStyle w:val="FootnoteText"/>
      </w:pPr>
      <w:r>
        <w:rPr>
          <w:rStyle w:val="FootnoteReference"/>
        </w:rPr>
        <w:footnoteRef/>
      </w:r>
      <w:r>
        <w:t xml:space="preserve"> </w:t>
      </w:r>
      <w:r>
        <w:tab/>
        <w:t>Absolute MOS allocations of 1.5 TJ of increase MOS on the EGP, offset by an equivalent 1.5 TJ of decrease MOS on the MSP.</w:t>
      </w:r>
    </w:p>
  </w:footnote>
  <w:footnote w:id="53">
    <w:p w:rsidR="002B723A" w:rsidRDefault="002B723A" w:rsidP="006F5225">
      <w:pPr>
        <w:pStyle w:val="FootnoteText"/>
      </w:pPr>
      <w:r>
        <w:rPr>
          <w:rStyle w:val="FootnoteReference"/>
        </w:rPr>
        <w:footnoteRef/>
      </w:r>
      <w:r>
        <w:t xml:space="preserve"> </w:t>
      </w:r>
      <w:r>
        <w:tab/>
        <w:t xml:space="preserve">The difference between the nominated EGP deliveries through the flow controlled CTPs into Wollongong (the dotted black line in </w:t>
      </w:r>
      <w:r>
        <w:fldChar w:fldCharType="begin"/>
      </w:r>
      <w:r>
        <w:instrText xml:space="preserve"> REF _Ref465357286 \h </w:instrText>
      </w:r>
      <w:r>
        <w:fldChar w:fldCharType="separate"/>
      </w:r>
      <w:r w:rsidRPr="00365697">
        <w:t>Figure </w:t>
      </w:r>
      <w:r>
        <w:rPr>
          <w:noProof/>
        </w:rPr>
        <w:t>30</w:t>
      </w:r>
      <w:r>
        <w:fldChar w:fldCharType="end"/>
      </w:r>
      <w:r>
        <w:t>) and the actual metered flows at those points (the delivered quantities shaded red) is the quantity of MOS allocated on the pipeline over the period.</w:t>
      </w:r>
    </w:p>
  </w:footnote>
  <w:footnote w:id="54">
    <w:p w:rsidR="002B723A" w:rsidRDefault="002B723A">
      <w:pPr>
        <w:pStyle w:val="FootnoteText"/>
      </w:pPr>
      <w:r>
        <w:rPr>
          <w:rStyle w:val="FootnoteReference"/>
        </w:rPr>
        <w:footnoteRef/>
      </w:r>
      <w:r>
        <w:t xml:space="preserve"> </w:t>
      </w:r>
      <w:r>
        <w:tab/>
        <w:t>Total MOS service costs were $94 431 higher in 2016: $156 958 in 2016 ($83 107 in June and $74 851 in July) compared to $62 527 in 2015 ($34 172 in June and $28 355 in July).</w:t>
      </w:r>
    </w:p>
  </w:footnote>
  <w:footnote w:id="55">
    <w:p w:rsidR="002B723A" w:rsidRDefault="002B723A" w:rsidP="00B43398">
      <w:pPr>
        <w:pStyle w:val="FootnoteText"/>
      </w:pPr>
      <w:r>
        <w:rPr>
          <w:rStyle w:val="FootnoteReference"/>
        </w:rPr>
        <w:footnoteRef/>
      </w:r>
      <w:r>
        <w:t xml:space="preserve"> </w:t>
      </w:r>
      <w:r>
        <w:tab/>
      </w:r>
      <w:hyperlink r:id="rId9" w:history="1">
        <w:r w:rsidRPr="00E70B11">
          <w:rPr>
            <w:rStyle w:val="Hyperlink"/>
            <w:sz w:val="16"/>
            <w:szCs w:val="16"/>
          </w:rPr>
          <w:t>https://www.aemo.com.au/Gas/National-planning-and-forecasting/Victorian-Gas-Planning-Report</w:t>
        </w:r>
      </w:hyperlink>
      <w:r>
        <w:t xml:space="preserve"> </w:t>
      </w:r>
    </w:p>
  </w:footnote>
  <w:footnote w:id="56">
    <w:p w:rsidR="002B723A" w:rsidRDefault="002B723A">
      <w:pPr>
        <w:pStyle w:val="FootnoteText"/>
      </w:pPr>
      <w:r>
        <w:rPr>
          <w:rStyle w:val="FootnoteReference"/>
        </w:rPr>
        <w:footnoteRef/>
      </w:r>
      <w:r>
        <w:t xml:space="preserve"> </w:t>
      </w:r>
      <w:r>
        <w:tab/>
        <w:t>Rule 407(4)</w:t>
      </w:r>
    </w:p>
  </w:footnote>
  <w:footnote w:id="57">
    <w:p w:rsidR="002B723A" w:rsidRDefault="002B723A" w:rsidP="001A2BF5">
      <w:pPr>
        <w:pStyle w:val="FootnoteText"/>
      </w:pPr>
      <w:r>
        <w:rPr>
          <w:rStyle w:val="FootnoteReference"/>
        </w:rPr>
        <w:footnoteRef/>
      </w:r>
      <w:r>
        <w:t xml:space="preserve"> </w:t>
      </w:r>
      <w:r>
        <w:tab/>
        <w:t>This is because h</w:t>
      </w:r>
      <w:r w:rsidRPr="00791E39">
        <w:t>ousehold gas consumption is unlikely to be influenced by the market price on any given</w:t>
      </w:r>
      <w:r>
        <w:t xml:space="preserve"> gas</w:t>
      </w:r>
      <w:r w:rsidRPr="00791E39">
        <w:t xml:space="preserve"> day.</w:t>
      </w:r>
    </w:p>
  </w:footnote>
  <w:footnote w:id="58">
    <w:p w:rsidR="002B723A" w:rsidRDefault="002B723A">
      <w:pPr>
        <w:pStyle w:val="FootnoteText"/>
      </w:pPr>
      <w:r>
        <w:rPr>
          <w:rStyle w:val="FootnoteReference"/>
        </w:rPr>
        <w:footnoteRef/>
      </w:r>
      <w:r>
        <w:t xml:space="preserve"> </w:t>
      </w:r>
      <w:r>
        <w:tab/>
        <w:t>These are sometimes referred to as ‘ex ante bids’ or ‘price sensitive bids’.</w:t>
      </w:r>
    </w:p>
  </w:footnote>
  <w:footnote w:id="59">
    <w:p w:rsidR="002B723A" w:rsidRDefault="002B723A" w:rsidP="00F57F48">
      <w:pPr>
        <w:pStyle w:val="FootnoteText"/>
      </w:pPr>
      <w:r>
        <w:rPr>
          <w:rStyle w:val="FootnoteReference"/>
        </w:rPr>
        <w:footnoteRef/>
      </w:r>
      <w:r>
        <w:t xml:space="preserve"> </w:t>
      </w:r>
      <w:r>
        <w:tab/>
        <w:t>Rule 409(4)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DED07EA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23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6AA6814"/>
    <w:multiLevelType w:val="hybridMultilevel"/>
    <w:tmpl w:val="0A6C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CCB02CE"/>
    <w:multiLevelType w:val="hybridMultilevel"/>
    <w:tmpl w:val="9FA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9D94EFE"/>
    <w:multiLevelType w:val="hybridMultilevel"/>
    <w:tmpl w:val="7D36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4D3A09"/>
    <w:multiLevelType w:val="hybridMultilevel"/>
    <w:tmpl w:val="328451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83C3E5C"/>
    <w:multiLevelType w:val="hybridMultilevel"/>
    <w:tmpl w:val="45BE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2">
    <w:nsid w:val="31792F1D"/>
    <w:multiLevelType w:val="hybridMultilevel"/>
    <w:tmpl w:val="81041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4">
    <w:nsid w:val="36A87F9E"/>
    <w:multiLevelType w:val="hybridMultilevel"/>
    <w:tmpl w:val="4BC4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585B7A"/>
    <w:multiLevelType w:val="hybridMultilevel"/>
    <w:tmpl w:val="5448A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8D3792"/>
    <w:multiLevelType w:val="hybridMultilevel"/>
    <w:tmpl w:val="2E5A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445197B"/>
    <w:multiLevelType w:val="hybridMultilevel"/>
    <w:tmpl w:val="4DFC3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4FF7762"/>
    <w:multiLevelType w:val="hybridMultilevel"/>
    <w:tmpl w:val="81F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3">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34">
    <w:nsid w:val="6D772AE1"/>
    <w:multiLevelType w:val="hybridMultilevel"/>
    <w:tmpl w:val="5A386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7183419"/>
    <w:multiLevelType w:val="hybridMultilevel"/>
    <w:tmpl w:val="B4B4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3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3"/>
  </w:num>
  <w:num w:numId="13">
    <w:abstractNumId w:val="26"/>
  </w:num>
  <w:num w:numId="14">
    <w:abstractNumId w:val="14"/>
  </w:num>
  <w:num w:numId="15">
    <w:abstractNumId w:val="19"/>
  </w:num>
  <w:num w:numId="16">
    <w:abstractNumId w:val="28"/>
  </w:num>
  <w:num w:numId="17">
    <w:abstractNumId w:val="12"/>
  </w:num>
  <w:num w:numId="18">
    <w:abstractNumId w:val="21"/>
  </w:num>
  <w:num w:numId="19">
    <w:abstractNumId w:val="29"/>
  </w:num>
  <w:num w:numId="20">
    <w:abstractNumId w:val="35"/>
  </w:num>
  <w:num w:numId="21">
    <w:abstractNumId w:val="32"/>
  </w:num>
  <w:num w:numId="22">
    <w:abstractNumId w:val="9"/>
  </w:num>
  <w:num w:numId="23">
    <w:abstractNumId w:val="16"/>
  </w:num>
  <w:num w:numId="24">
    <w:abstractNumId w:val="10"/>
  </w:num>
  <w:num w:numId="25">
    <w:abstractNumId w:val="13"/>
  </w:num>
  <w:num w:numId="26">
    <w:abstractNumId w:val="25"/>
  </w:num>
  <w:num w:numId="27">
    <w:abstractNumId w:val="36"/>
  </w:num>
  <w:num w:numId="28">
    <w:abstractNumId w:val="22"/>
  </w:num>
  <w:num w:numId="29">
    <w:abstractNumId w:val="11"/>
  </w:num>
  <w:num w:numId="30">
    <w:abstractNumId w:val="30"/>
  </w:num>
  <w:num w:numId="31">
    <w:abstractNumId w:val="27"/>
  </w:num>
  <w:num w:numId="32">
    <w:abstractNumId w:val="2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4"/>
  </w:num>
  <w:num w:numId="36">
    <w:abstractNumId w:val="18"/>
  </w:num>
  <w:num w:numId="37">
    <w:abstractNumId w:val="17"/>
  </w:num>
  <w:num w:numId="38">
    <w:abstractNumId w:val="34"/>
  </w:num>
  <w:num w:numId="39">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423937">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3644\D16 119207  Significant price variation report - July August 2016.DOCX"/>
  </w:docVars>
  <w:rsids>
    <w:rsidRoot w:val="003610D1"/>
    <w:rsid w:val="00001779"/>
    <w:rsid w:val="000018C4"/>
    <w:rsid w:val="000018E6"/>
    <w:rsid w:val="00001FB6"/>
    <w:rsid w:val="00002750"/>
    <w:rsid w:val="000028FB"/>
    <w:rsid w:val="00004BE2"/>
    <w:rsid w:val="00007EC7"/>
    <w:rsid w:val="00010920"/>
    <w:rsid w:val="00010935"/>
    <w:rsid w:val="00010B1A"/>
    <w:rsid w:val="0001186D"/>
    <w:rsid w:val="00011933"/>
    <w:rsid w:val="00011B93"/>
    <w:rsid w:val="00013CDB"/>
    <w:rsid w:val="00013D02"/>
    <w:rsid w:val="00013FD9"/>
    <w:rsid w:val="0001433F"/>
    <w:rsid w:val="00016666"/>
    <w:rsid w:val="000175F5"/>
    <w:rsid w:val="00017BF7"/>
    <w:rsid w:val="000208CC"/>
    <w:rsid w:val="00021644"/>
    <w:rsid w:val="000221E2"/>
    <w:rsid w:val="0002263E"/>
    <w:rsid w:val="00022D75"/>
    <w:rsid w:val="00024297"/>
    <w:rsid w:val="00024726"/>
    <w:rsid w:val="000248F1"/>
    <w:rsid w:val="00027FCE"/>
    <w:rsid w:val="000305BF"/>
    <w:rsid w:val="00030632"/>
    <w:rsid w:val="00031D46"/>
    <w:rsid w:val="00032426"/>
    <w:rsid w:val="000332F2"/>
    <w:rsid w:val="00033D07"/>
    <w:rsid w:val="000342CE"/>
    <w:rsid w:val="000354F5"/>
    <w:rsid w:val="000365DE"/>
    <w:rsid w:val="00037142"/>
    <w:rsid w:val="00041065"/>
    <w:rsid w:val="000420DC"/>
    <w:rsid w:val="00043A64"/>
    <w:rsid w:val="00043BD3"/>
    <w:rsid w:val="00043F8E"/>
    <w:rsid w:val="000442A8"/>
    <w:rsid w:val="00044AA4"/>
    <w:rsid w:val="0004626C"/>
    <w:rsid w:val="000463C3"/>
    <w:rsid w:val="00047668"/>
    <w:rsid w:val="00047881"/>
    <w:rsid w:val="000508E0"/>
    <w:rsid w:val="00050C1C"/>
    <w:rsid w:val="0005162D"/>
    <w:rsid w:val="00051AA5"/>
    <w:rsid w:val="000545DD"/>
    <w:rsid w:val="0005494B"/>
    <w:rsid w:val="00055385"/>
    <w:rsid w:val="000554BB"/>
    <w:rsid w:val="000570C9"/>
    <w:rsid w:val="00060440"/>
    <w:rsid w:val="000606EB"/>
    <w:rsid w:val="00060D1F"/>
    <w:rsid w:val="00061314"/>
    <w:rsid w:val="00061A48"/>
    <w:rsid w:val="000625FD"/>
    <w:rsid w:val="00062951"/>
    <w:rsid w:val="00062FFB"/>
    <w:rsid w:val="000635D7"/>
    <w:rsid w:val="0006378A"/>
    <w:rsid w:val="00063A97"/>
    <w:rsid w:val="000648CC"/>
    <w:rsid w:val="00064EC8"/>
    <w:rsid w:val="0006532E"/>
    <w:rsid w:val="0006553A"/>
    <w:rsid w:val="00066AAB"/>
    <w:rsid w:val="00066D30"/>
    <w:rsid w:val="0006788A"/>
    <w:rsid w:val="0007086D"/>
    <w:rsid w:val="000708CF"/>
    <w:rsid w:val="00071AF3"/>
    <w:rsid w:val="0007263E"/>
    <w:rsid w:val="00073C34"/>
    <w:rsid w:val="000760CB"/>
    <w:rsid w:val="000801EF"/>
    <w:rsid w:val="00080965"/>
    <w:rsid w:val="00080981"/>
    <w:rsid w:val="00080C63"/>
    <w:rsid w:val="00081DF0"/>
    <w:rsid w:val="00082075"/>
    <w:rsid w:val="00082934"/>
    <w:rsid w:val="00082F76"/>
    <w:rsid w:val="00083FB8"/>
    <w:rsid w:val="000844CC"/>
    <w:rsid w:val="00084EC0"/>
    <w:rsid w:val="000851EA"/>
    <w:rsid w:val="00085C6B"/>
    <w:rsid w:val="00085EF2"/>
    <w:rsid w:val="000872A0"/>
    <w:rsid w:val="00090DE0"/>
    <w:rsid w:val="00090E9D"/>
    <w:rsid w:val="00091C2D"/>
    <w:rsid w:val="00094459"/>
    <w:rsid w:val="000958D9"/>
    <w:rsid w:val="00096EFD"/>
    <w:rsid w:val="00097E52"/>
    <w:rsid w:val="000A002A"/>
    <w:rsid w:val="000A282B"/>
    <w:rsid w:val="000A434F"/>
    <w:rsid w:val="000A5A40"/>
    <w:rsid w:val="000A5BD1"/>
    <w:rsid w:val="000A6DEE"/>
    <w:rsid w:val="000B06FD"/>
    <w:rsid w:val="000B1671"/>
    <w:rsid w:val="000B2C10"/>
    <w:rsid w:val="000B42D8"/>
    <w:rsid w:val="000B4D64"/>
    <w:rsid w:val="000B527E"/>
    <w:rsid w:val="000B5557"/>
    <w:rsid w:val="000B590C"/>
    <w:rsid w:val="000B5C64"/>
    <w:rsid w:val="000C027D"/>
    <w:rsid w:val="000C0941"/>
    <w:rsid w:val="000C0E4B"/>
    <w:rsid w:val="000C0F97"/>
    <w:rsid w:val="000C1000"/>
    <w:rsid w:val="000C190D"/>
    <w:rsid w:val="000C2B33"/>
    <w:rsid w:val="000C30EF"/>
    <w:rsid w:val="000C3347"/>
    <w:rsid w:val="000C461D"/>
    <w:rsid w:val="000C55AE"/>
    <w:rsid w:val="000C6AD3"/>
    <w:rsid w:val="000C6BC6"/>
    <w:rsid w:val="000C6CDD"/>
    <w:rsid w:val="000D0554"/>
    <w:rsid w:val="000D0FD5"/>
    <w:rsid w:val="000D107C"/>
    <w:rsid w:val="000D31DC"/>
    <w:rsid w:val="000D3815"/>
    <w:rsid w:val="000D3E04"/>
    <w:rsid w:val="000D446F"/>
    <w:rsid w:val="000D4BE2"/>
    <w:rsid w:val="000D557D"/>
    <w:rsid w:val="000E0460"/>
    <w:rsid w:val="000E07AB"/>
    <w:rsid w:val="000E2251"/>
    <w:rsid w:val="000E2989"/>
    <w:rsid w:val="000E298E"/>
    <w:rsid w:val="000E2F78"/>
    <w:rsid w:val="000E32A2"/>
    <w:rsid w:val="000E3FA1"/>
    <w:rsid w:val="000E68C8"/>
    <w:rsid w:val="000E7278"/>
    <w:rsid w:val="000E77F2"/>
    <w:rsid w:val="000E7C66"/>
    <w:rsid w:val="000E7C94"/>
    <w:rsid w:val="000F0132"/>
    <w:rsid w:val="000F0BA0"/>
    <w:rsid w:val="000F15E7"/>
    <w:rsid w:val="000F218F"/>
    <w:rsid w:val="000F297D"/>
    <w:rsid w:val="000F2E53"/>
    <w:rsid w:val="000F4279"/>
    <w:rsid w:val="000F4D76"/>
    <w:rsid w:val="000F56A6"/>
    <w:rsid w:val="000F5D51"/>
    <w:rsid w:val="000F60B8"/>
    <w:rsid w:val="000F720B"/>
    <w:rsid w:val="000F761B"/>
    <w:rsid w:val="00101623"/>
    <w:rsid w:val="00101A55"/>
    <w:rsid w:val="0010261D"/>
    <w:rsid w:val="00102E51"/>
    <w:rsid w:val="00103088"/>
    <w:rsid w:val="001036A1"/>
    <w:rsid w:val="0010381E"/>
    <w:rsid w:val="00103C36"/>
    <w:rsid w:val="00103D3D"/>
    <w:rsid w:val="001040BE"/>
    <w:rsid w:val="001060D2"/>
    <w:rsid w:val="001070C8"/>
    <w:rsid w:val="00107D12"/>
    <w:rsid w:val="00110A91"/>
    <w:rsid w:val="00111FF2"/>
    <w:rsid w:val="00112012"/>
    <w:rsid w:val="001135AB"/>
    <w:rsid w:val="00113CC5"/>
    <w:rsid w:val="0011409E"/>
    <w:rsid w:val="001143C4"/>
    <w:rsid w:val="00114564"/>
    <w:rsid w:val="0011518C"/>
    <w:rsid w:val="001159DC"/>
    <w:rsid w:val="0011645F"/>
    <w:rsid w:val="00116D63"/>
    <w:rsid w:val="0011728A"/>
    <w:rsid w:val="0011741C"/>
    <w:rsid w:val="0012004B"/>
    <w:rsid w:val="0012020B"/>
    <w:rsid w:val="00120A30"/>
    <w:rsid w:val="00121D1A"/>
    <w:rsid w:val="00121FB1"/>
    <w:rsid w:val="00122806"/>
    <w:rsid w:val="00122B4E"/>
    <w:rsid w:val="001234FF"/>
    <w:rsid w:val="001251A8"/>
    <w:rsid w:val="001279C5"/>
    <w:rsid w:val="00132608"/>
    <w:rsid w:val="001329D4"/>
    <w:rsid w:val="00132B65"/>
    <w:rsid w:val="00133B9A"/>
    <w:rsid w:val="00134063"/>
    <w:rsid w:val="00134C27"/>
    <w:rsid w:val="00135FF7"/>
    <w:rsid w:val="001363FE"/>
    <w:rsid w:val="00136AAB"/>
    <w:rsid w:val="00136AF6"/>
    <w:rsid w:val="00137954"/>
    <w:rsid w:val="00140C95"/>
    <w:rsid w:val="001418DB"/>
    <w:rsid w:val="00141D53"/>
    <w:rsid w:val="00142F97"/>
    <w:rsid w:val="001444AF"/>
    <w:rsid w:val="00144712"/>
    <w:rsid w:val="00144763"/>
    <w:rsid w:val="0014513D"/>
    <w:rsid w:val="001454C2"/>
    <w:rsid w:val="00145A16"/>
    <w:rsid w:val="00145B08"/>
    <w:rsid w:val="00146D5D"/>
    <w:rsid w:val="00146E94"/>
    <w:rsid w:val="00147796"/>
    <w:rsid w:val="001478ED"/>
    <w:rsid w:val="0014793F"/>
    <w:rsid w:val="00147AD2"/>
    <w:rsid w:val="00147F0E"/>
    <w:rsid w:val="00151193"/>
    <w:rsid w:val="001516C7"/>
    <w:rsid w:val="00151CC0"/>
    <w:rsid w:val="00153F66"/>
    <w:rsid w:val="00154DA7"/>
    <w:rsid w:val="00155614"/>
    <w:rsid w:val="00155CFA"/>
    <w:rsid w:val="0015715D"/>
    <w:rsid w:val="001571AB"/>
    <w:rsid w:val="00157982"/>
    <w:rsid w:val="00157B32"/>
    <w:rsid w:val="001613A8"/>
    <w:rsid w:val="00161921"/>
    <w:rsid w:val="00161AD4"/>
    <w:rsid w:val="001640AB"/>
    <w:rsid w:val="0016468E"/>
    <w:rsid w:val="001651C0"/>
    <w:rsid w:val="001653F0"/>
    <w:rsid w:val="00165EF5"/>
    <w:rsid w:val="00166022"/>
    <w:rsid w:val="00166763"/>
    <w:rsid w:val="00170045"/>
    <w:rsid w:val="00170BB8"/>
    <w:rsid w:val="00170CAA"/>
    <w:rsid w:val="00171580"/>
    <w:rsid w:val="001716FC"/>
    <w:rsid w:val="001737FF"/>
    <w:rsid w:val="00173F30"/>
    <w:rsid w:val="00174796"/>
    <w:rsid w:val="00175815"/>
    <w:rsid w:val="00175D96"/>
    <w:rsid w:val="00176941"/>
    <w:rsid w:val="001773C2"/>
    <w:rsid w:val="001820ED"/>
    <w:rsid w:val="001823A8"/>
    <w:rsid w:val="00183714"/>
    <w:rsid w:val="0018389C"/>
    <w:rsid w:val="00183F9A"/>
    <w:rsid w:val="001841B5"/>
    <w:rsid w:val="00184DEC"/>
    <w:rsid w:val="00185629"/>
    <w:rsid w:val="00186C3C"/>
    <w:rsid w:val="00187BD9"/>
    <w:rsid w:val="0019021C"/>
    <w:rsid w:val="00190BEC"/>
    <w:rsid w:val="0019191C"/>
    <w:rsid w:val="00192B8F"/>
    <w:rsid w:val="0019352B"/>
    <w:rsid w:val="001943A5"/>
    <w:rsid w:val="00194640"/>
    <w:rsid w:val="00194E60"/>
    <w:rsid w:val="0019621B"/>
    <w:rsid w:val="00197254"/>
    <w:rsid w:val="00197545"/>
    <w:rsid w:val="001A0BD1"/>
    <w:rsid w:val="001A1B52"/>
    <w:rsid w:val="001A1CA9"/>
    <w:rsid w:val="001A2BF5"/>
    <w:rsid w:val="001A2CD9"/>
    <w:rsid w:val="001A34CC"/>
    <w:rsid w:val="001A34F5"/>
    <w:rsid w:val="001A4D36"/>
    <w:rsid w:val="001A4F02"/>
    <w:rsid w:val="001A6982"/>
    <w:rsid w:val="001B044D"/>
    <w:rsid w:val="001B0767"/>
    <w:rsid w:val="001B0A95"/>
    <w:rsid w:val="001B1048"/>
    <w:rsid w:val="001B24F2"/>
    <w:rsid w:val="001B26A5"/>
    <w:rsid w:val="001B2DD5"/>
    <w:rsid w:val="001B311E"/>
    <w:rsid w:val="001B34AB"/>
    <w:rsid w:val="001B3A02"/>
    <w:rsid w:val="001B3A22"/>
    <w:rsid w:val="001B3F3A"/>
    <w:rsid w:val="001B70FC"/>
    <w:rsid w:val="001C10F8"/>
    <w:rsid w:val="001C1E43"/>
    <w:rsid w:val="001C24E9"/>
    <w:rsid w:val="001C28FD"/>
    <w:rsid w:val="001C2CEA"/>
    <w:rsid w:val="001C4856"/>
    <w:rsid w:val="001C558F"/>
    <w:rsid w:val="001C5A6F"/>
    <w:rsid w:val="001C5C5C"/>
    <w:rsid w:val="001C6D91"/>
    <w:rsid w:val="001C7779"/>
    <w:rsid w:val="001D0365"/>
    <w:rsid w:val="001D0520"/>
    <w:rsid w:val="001D287B"/>
    <w:rsid w:val="001D3866"/>
    <w:rsid w:val="001D4864"/>
    <w:rsid w:val="001D4960"/>
    <w:rsid w:val="001D4C98"/>
    <w:rsid w:val="001D59E8"/>
    <w:rsid w:val="001D75E1"/>
    <w:rsid w:val="001E0460"/>
    <w:rsid w:val="001E0F54"/>
    <w:rsid w:val="001E1806"/>
    <w:rsid w:val="001E190B"/>
    <w:rsid w:val="001E1B07"/>
    <w:rsid w:val="001E1DEB"/>
    <w:rsid w:val="001E34C6"/>
    <w:rsid w:val="001E414F"/>
    <w:rsid w:val="001E41B4"/>
    <w:rsid w:val="001E45D4"/>
    <w:rsid w:val="001E50C3"/>
    <w:rsid w:val="001E50FC"/>
    <w:rsid w:val="001E58CE"/>
    <w:rsid w:val="001E5BF5"/>
    <w:rsid w:val="001E65A9"/>
    <w:rsid w:val="001E75EC"/>
    <w:rsid w:val="001E78DB"/>
    <w:rsid w:val="001E7A45"/>
    <w:rsid w:val="001E7E6E"/>
    <w:rsid w:val="001F02A3"/>
    <w:rsid w:val="001F0D21"/>
    <w:rsid w:val="001F0D4F"/>
    <w:rsid w:val="001F20E4"/>
    <w:rsid w:val="001F3290"/>
    <w:rsid w:val="001F33E6"/>
    <w:rsid w:val="001F34E0"/>
    <w:rsid w:val="001F36AA"/>
    <w:rsid w:val="001F37F7"/>
    <w:rsid w:val="001F3F51"/>
    <w:rsid w:val="001F44D1"/>
    <w:rsid w:val="001F496F"/>
    <w:rsid w:val="001F4FE1"/>
    <w:rsid w:val="001F6C30"/>
    <w:rsid w:val="00200735"/>
    <w:rsid w:val="0020088C"/>
    <w:rsid w:val="00200ADD"/>
    <w:rsid w:val="00201459"/>
    <w:rsid w:val="0020179E"/>
    <w:rsid w:val="00203218"/>
    <w:rsid w:val="00203AB5"/>
    <w:rsid w:val="00204154"/>
    <w:rsid w:val="00204DA7"/>
    <w:rsid w:val="002055FD"/>
    <w:rsid w:val="002056EB"/>
    <w:rsid w:val="0020678F"/>
    <w:rsid w:val="00206817"/>
    <w:rsid w:val="00206B96"/>
    <w:rsid w:val="0020724A"/>
    <w:rsid w:val="00207783"/>
    <w:rsid w:val="00210172"/>
    <w:rsid w:val="00210AF3"/>
    <w:rsid w:val="002114E0"/>
    <w:rsid w:val="002114E4"/>
    <w:rsid w:val="00211DDA"/>
    <w:rsid w:val="002122ED"/>
    <w:rsid w:val="002124FF"/>
    <w:rsid w:val="00212C3D"/>
    <w:rsid w:val="00213E1F"/>
    <w:rsid w:val="002161BB"/>
    <w:rsid w:val="002163EB"/>
    <w:rsid w:val="002165D0"/>
    <w:rsid w:val="0021719F"/>
    <w:rsid w:val="00217BDA"/>
    <w:rsid w:val="00217D32"/>
    <w:rsid w:val="00220318"/>
    <w:rsid w:val="00220337"/>
    <w:rsid w:val="00221530"/>
    <w:rsid w:val="0022233D"/>
    <w:rsid w:val="00222478"/>
    <w:rsid w:val="00223138"/>
    <w:rsid w:val="002239C4"/>
    <w:rsid w:val="00223DE7"/>
    <w:rsid w:val="00223F3E"/>
    <w:rsid w:val="00224DCB"/>
    <w:rsid w:val="002251D1"/>
    <w:rsid w:val="00225B31"/>
    <w:rsid w:val="00226555"/>
    <w:rsid w:val="002266C8"/>
    <w:rsid w:val="00226DC2"/>
    <w:rsid w:val="0023016C"/>
    <w:rsid w:val="00230C6B"/>
    <w:rsid w:val="00231620"/>
    <w:rsid w:val="00233351"/>
    <w:rsid w:val="002337E0"/>
    <w:rsid w:val="00234DF3"/>
    <w:rsid w:val="00235D3C"/>
    <w:rsid w:val="00235D6C"/>
    <w:rsid w:val="0023674F"/>
    <w:rsid w:val="0023686D"/>
    <w:rsid w:val="00236A62"/>
    <w:rsid w:val="00237413"/>
    <w:rsid w:val="00237CB4"/>
    <w:rsid w:val="00237E0C"/>
    <w:rsid w:val="0024023C"/>
    <w:rsid w:val="002403A5"/>
    <w:rsid w:val="002406E0"/>
    <w:rsid w:val="00241296"/>
    <w:rsid w:val="00241FE3"/>
    <w:rsid w:val="002420CB"/>
    <w:rsid w:val="002433A1"/>
    <w:rsid w:val="00244125"/>
    <w:rsid w:val="002451D2"/>
    <w:rsid w:val="00245BA3"/>
    <w:rsid w:val="00246631"/>
    <w:rsid w:val="00247FC3"/>
    <w:rsid w:val="00250603"/>
    <w:rsid w:val="00251131"/>
    <w:rsid w:val="00251722"/>
    <w:rsid w:val="00251B0E"/>
    <w:rsid w:val="00251D61"/>
    <w:rsid w:val="0025206B"/>
    <w:rsid w:val="00252B0A"/>
    <w:rsid w:val="00253233"/>
    <w:rsid w:val="002532B0"/>
    <w:rsid w:val="00253361"/>
    <w:rsid w:val="00254B38"/>
    <w:rsid w:val="00255EEF"/>
    <w:rsid w:val="00260176"/>
    <w:rsid w:val="002614FF"/>
    <w:rsid w:val="00262704"/>
    <w:rsid w:val="002642AB"/>
    <w:rsid w:val="00264398"/>
    <w:rsid w:val="002667D4"/>
    <w:rsid w:val="00266915"/>
    <w:rsid w:val="002669E4"/>
    <w:rsid w:val="002677FF"/>
    <w:rsid w:val="0027015A"/>
    <w:rsid w:val="00270867"/>
    <w:rsid w:val="002733BB"/>
    <w:rsid w:val="00273C2F"/>
    <w:rsid w:val="002743BE"/>
    <w:rsid w:val="00275561"/>
    <w:rsid w:val="00277918"/>
    <w:rsid w:val="0028007A"/>
    <w:rsid w:val="0028085B"/>
    <w:rsid w:val="0028094F"/>
    <w:rsid w:val="00280BEC"/>
    <w:rsid w:val="002812C2"/>
    <w:rsid w:val="002813D7"/>
    <w:rsid w:val="002817AA"/>
    <w:rsid w:val="00282EAC"/>
    <w:rsid w:val="0028311C"/>
    <w:rsid w:val="002836C8"/>
    <w:rsid w:val="002852EF"/>
    <w:rsid w:val="0028532A"/>
    <w:rsid w:val="00285557"/>
    <w:rsid w:val="002877BC"/>
    <w:rsid w:val="00292AF9"/>
    <w:rsid w:val="00292BBD"/>
    <w:rsid w:val="002931DC"/>
    <w:rsid w:val="002932B5"/>
    <w:rsid w:val="00293956"/>
    <w:rsid w:val="00293A0A"/>
    <w:rsid w:val="00293C20"/>
    <w:rsid w:val="00293DE9"/>
    <w:rsid w:val="0029452B"/>
    <w:rsid w:val="00295A09"/>
    <w:rsid w:val="00296BB3"/>
    <w:rsid w:val="00296D34"/>
    <w:rsid w:val="00297821"/>
    <w:rsid w:val="00297D01"/>
    <w:rsid w:val="002A0699"/>
    <w:rsid w:val="002A2A93"/>
    <w:rsid w:val="002A582A"/>
    <w:rsid w:val="002A5CF9"/>
    <w:rsid w:val="002A6276"/>
    <w:rsid w:val="002A68C4"/>
    <w:rsid w:val="002A6BEC"/>
    <w:rsid w:val="002A765C"/>
    <w:rsid w:val="002A7F8B"/>
    <w:rsid w:val="002B06D6"/>
    <w:rsid w:val="002B20BA"/>
    <w:rsid w:val="002B2896"/>
    <w:rsid w:val="002B3F9A"/>
    <w:rsid w:val="002B4F2D"/>
    <w:rsid w:val="002B50F8"/>
    <w:rsid w:val="002B5295"/>
    <w:rsid w:val="002B6D54"/>
    <w:rsid w:val="002B6EDD"/>
    <w:rsid w:val="002B701C"/>
    <w:rsid w:val="002B7066"/>
    <w:rsid w:val="002B723A"/>
    <w:rsid w:val="002B7724"/>
    <w:rsid w:val="002C0471"/>
    <w:rsid w:val="002C051F"/>
    <w:rsid w:val="002C083D"/>
    <w:rsid w:val="002C0B8B"/>
    <w:rsid w:val="002C325C"/>
    <w:rsid w:val="002C5674"/>
    <w:rsid w:val="002C609C"/>
    <w:rsid w:val="002C76BC"/>
    <w:rsid w:val="002C7F09"/>
    <w:rsid w:val="002D0D7B"/>
    <w:rsid w:val="002D0DA8"/>
    <w:rsid w:val="002D0F6E"/>
    <w:rsid w:val="002D15FD"/>
    <w:rsid w:val="002D16B8"/>
    <w:rsid w:val="002D2BAB"/>
    <w:rsid w:val="002D3A96"/>
    <w:rsid w:val="002D41EB"/>
    <w:rsid w:val="002D4EE4"/>
    <w:rsid w:val="002D5D79"/>
    <w:rsid w:val="002D5DBD"/>
    <w:rsid w:val="002D5FF9"/>
    <w:rsid w:val="002D63D6"/>
    <w:rsid w:val="002D6F9A"/>
    <w:rsid w:val="002D7FFB"/>
    <w:rsid w:val="002E031B"/>
    <w:rsid w:val="002E0AF3"/>
    <w:rsid w:val="002E1F41"/>
    <w:rsid w:val="002E20F9"/>
    <w:rsid w:val="002E3D6C"/>
    <w:rsid w:val="002E4748"/>
    <w:rsid w:val="002E4D6E"/>
    <w:rsid w:val="002E5340"/>
    <w:rsid w:val="002E663E"/>
    <w:rsid w:val="002E6ABC"/>
    <w:rsid w:val="002F025A"/>
    <w:rsid w:val="002F23F5"/>
    <w:rsid w:val="002F320E"/>
    <w:rsid w:val="002F41D5"/>
    <w:rsid w:val="002F48D5"/>
    <w:rsid w:val="002F59A8"/>
    <w:rsid w:val="002F5EE3"/>
    <w:rsid w:val="002F60BE"/>
    <w:rsid w:val="002F63F2"/>
    <w:rsid w:val="002F6C95"/>
    <w:rsid w:val="002F7C60"/>
    <w:rsid w:val="00300895"/>
    <w:rsid w:val="00300AF1"/>
    <w:rsid w:val="00300DE2"/>
    <w:rsid w:val="00300F89"/>
    <w:rsid w:val="00301859"/>
    <w:rsid w:val="003018C8"/>
    <w:rsid w:val="00302121"/>
    <w:rsid w:val="0030268F"/>
    <w:rsid w:val="00302CCE"/>
    <w:rsid w:val="00302DD6"/>
    <w:rsid w:val="00303022"/>
    <w:rsid w:val="00306049"/>
    <w:rsid w:val="003061A8"/>
    <w:rsid w:val="00307951"/>
    <w:rsid w:val="00311066"/>
    <w:rsid w:val="0031159B"/>
    <w:rsid w:val="00311893"/>
    <w:rsid w:val="00311DB0"/>
    <w:rsid w:val="00312374"/>
    <w:rsid w:val="00313320"/>
    <w:rsid w:val="00313B2B"/>
    <w:rsid w:val="00315A6A"/>
    <w:rsid w:val="003168F1"/>
    <w:rsid w:val="003171AA"/>
    <w:rsid w:val="003206A8"/>
    <w:rsid w:val="00321AB7"/>
    <w:rsid w:val="00321D5A"/>
    <w:rsid w:val="003237BF"/>
    <w:rsid w:val="00323C0D"/>
    <w:rsid w:val="00323C23"/>
    <w:rsid w:val="00324878"/>
    <w:rsid w:val="00324CCF"/>
    <w:rsid w:val="00326DD4"/>
    <w:rsid w:val="00327A75"/>
    <w:rsid w:val="0033044A"/>
    <w:rsid w:val="00330DD6"/>
    <w:rsid w:val="00331F89"/>
    <w:rsid w:val="00332AAD"/>
    <w:rsid w:val="003335CE"/>
    <w:rsid w:val="00334209"/>
    <w:rsid w:val="0033615C"/>
    <w:rsid w:val="00336359"/>
    <w:rsid w:val="003364FF"/>
    <w:rsid w:val="0033700F"/>
    <w:rsid w:val="003373C4"/>
    <w:rsid w:val="00337FC1"/>
    <w:rsid w:val="0034136A"/>
    <w:rsid w:val="00341D08"/>
    <w:rsid w:val="00342809"/>
    <w:rsid w:val="00344B92"/>
    <w:rsid w:val="00345F5A"/>
    <w:rsid w:val="00346620"/>
    <w:rsid w:val="00346649"/>
    <w:rsid w:val="00346A2B"/>
    <w:rsid w:val="003471A7"/>
    <w:rsid w:val="0035174A"/>
    <w:rsid w:val="00351D22"/>
    <w:rsid w:val="00353C34"/>
    <w:rsid w:val="00355A64"/>
    <w:rsid w:val="003570BD"/>
    <w:rsid w:val="003610D1"/>
    <w:rsid w:val="00361390"/>
    <w:rsid w:val="00362F0C"/>
    <w:rsid w:val="00365697"/>
    <w:rsid w:val="0036573A"/>
    <w:rsid w:val="00366388"/>
    <w:rsid w:val="003669C2"/>
    <w:rsid w:val="00367430"/>
    <w:rsid w:val="00370288"/>
    <w:rsid w:val="0037052A"/>
    <w:rsid w:val="00370EE8"/>
    <w:rsid w:val="003712DE"/>
    <w:rsid w:val="00371583"/>
    <w:rsid w:val="00371762"/>
    <w:rsid w:val="0037216A"/>
    <w:rsid w:val="00372443"/>
    <w:rsid w:val="003729B2"/>
    <w:rsid w:val="00373A36"/>
    <w:rsid w:val="003745C3"/>
    <w:rsid w:val="00374AB0"/>
    <w:rsid w:val="003757B0"/>
    <w:rsid w:val="00376E63"/>
    <w:rsid w:val="003807C9"/>
    <w:rsid w:val="00381186"/>
    <w:rsid w:val="003811F9"/>
    <w:rsid w:val="00381538"/>
    <w:rsid w:val="00381976"/>
    <w:rsid w:val="003821FE"/>
    <w:rsid w:val="00383054"/>
    <w:rsid w:val="003830FC"/>
    <w:rsid w:val="00383DB5"/>
    <w:rsid w:val="00386951"/>
    <w:rsid w:val="003873EE"/>
    <w:rsid w:val="003874BC"/>
    <w:rsid w:val="00390216"/>
    <w:rsid w:val="0039047D"/>
    <w:rsid w:val="00390B79"/>
    <w:rsid w:val="003913F5"/>
    <w:rsid w:val="00393A49"/>
    <w:rsid w:val="00395335"/>
    <w:rsid w:val="00395B06"/>
    <w:rsid w:val="003A04F3"/>
    <w:rsid w:val="003A20A2"/>
    <w:rsid w:val="003A3C41"/>
    <w:rsid w:val="003A4202"/>
    <w:rsid w:val="003A4880"/>
    <w:rsid w:val="003A5FF8"/>
    <w:rsid w:val="003A791D"/>
    <w:rsid w:val="003A7C5D"/>
    <w:rsid w:val="003A7C97"/>
    <w:rsid w:val="003B07C1"/>
    <w:rsid w:val="003B14CE"/>
    <w:rsid w:val="003B2190"/>
    <w:rsid w:val="003B2283"/>
    <w:rsid w:val="003B2F44"/>
    <w:rsid w:val="003B3643"/>
    <w:rsid w:val="003B37A3"/>
    <w:rsid w:val="003B3803"/>
    <w:rsid w:val="003B4D22"/>
    <w:rsid w:val="003B50E4"/>
    <w:rsid w:val="003B5126"/>
    <w:rsid w:val="003B6009"/>
    <w:rsid w:val="003B6AE8"/>
    <w:rsid w:val="003C0BAD"/>
    <w:rsid w:val="003C106A"/>
    <w:rsid w:val="003C29F6"/>
    <w:rsid w:val="003C2ADB"/>
    <w:rsid w:val="003C2B11"/>
    <w:rsid w:val="003C3458"/>
    <w:rsid w:val="003C35FE"/>
    <w:rsid w:val="003C3DD5"/>
    <w:rsid w:val="003C4833"/>
    <w:rsid w:val="003C48C8"/>
    <w:rsid w:val="003C5F95"/>
    <w:rsid w:val="003C6647"/>
    <w:rsid w:val="003C6726"/>
    <w:rsid w:val="003C67EB"/>
    <w:rsid w:val="003C6B41"/>
    <w:rsid w:val="003C78FA"/>
    <w:rsid w:val="003D0C4C"/>
    <w:rsid w:val="003D2B47"/>
    <w:rsid w:val="003D32A1"/>
    <w:rsid w:val="003D360E"/>
    <w:rsid w:val="003D6FB8"/>
    <w:rsid w:val="003E117E"/>
    <w:rsid w:val="003E29B5"/>
    <w:rsid w:val="003E37D8"/>
    <w:rsid w:val="003E5061"/>
    <w:rsid w:val="003E5099"/>
    <w:rsid w:val="003E569C"/>
    <w:rsid w:val="003E5F2A"/>
    <w:rsid w:val="003E6EBE"/>
    <w:rsid w:val="003E78F9"/>
    <w:rsid w:val="003F01D3"/>
    <w:rsid w:val="003F151F"/>
    <w:rsid w:val="003F29F2"/>
    <w:rsid w:val="003F3477"/>
    <w:rsid w:val="003F3F07"/>
    <w:rsid w:val="003F4971"/>
    <w:rsid w:val="003F4BAB"/>
    <w:rsid w:val="003F596A"/>
    <w:rsid w:val="003F7D97"/>
    <w:rsid w:val="003F7D9A"/>
    <w:rsid w:val="004005DC"/>
    <w:rsid w:val="00400DC1"/>
    <w:rsid w:val="00402667"/>
    <w:rsid w:val="00402F66"/>
    <w:rsid w:val="00403A49"/>
    <w:rsid w:val="00405DEA"/>
    <w:rsid w:val="004063EF"/>
    <w:rsid w:val="004075BD"/>
    <w:rsid w:val="004079A7"/>
    <w:rsid w:val="00407B22"/>
    <w:rsid w:val="0041007E"/>
    <w:rsid w:val="0041057A"/>
    <w:rsid w:val="00410F22"/>
    <w:rsid w:val="00411EE1"/>
    <w:rsid w:val="0041303E"/>
    <w:rsid w:val="00413568"/>
    <w:rsid w:val="00413CE7"/>
    <w:rsid w:val="00413F1C"/>
    <w:rsid w:val="00415FCA"/>
    <w:rsid w:val="00416B89"/>
    <w:rsid w:val="00420231"/>
    <w:rsid w:val="0042078C"/>
    <w:rsid w:val="0042166F"/>
    <w:rsid w:val="004225A4"/>
    <w:rsid w:val="00423508"/>
    <w:rsid w:val="0042394F"/>
    <w:rsid w:val="00424976"/>
    <w:rsid w:val="00424E79"/>
    <w:rsid w:val="004259F3"/>
    <w:rsid w:val="00427066"/>
    <w:rsid w:val="00427215"/>
    <w:rsid w:val="004300F1"/>
    <w:rsid w:val="00430FFC"/>
    <w:rsid w:val="004311CA"/>
    <w:rsid w:val="00431500"/>
    <w:rsid w:val="004319DA"/>
    <w:rsid w:val="00431B5D"/>
    <w:rsid w:val="00432771"/>
    <w:rsid w:val="00432F60"/>
    <w:rsid w:val="004339C9"/>
    <w:rsid w:val="004339F4"/>
    <w:rsid w:val="00433F91"/>
    <w:rsid w:val="004340B8"/>
    <w:rsid w:val="004346E5"/>
    <w:rsid w:val="00434949"/>
    <w:rsid w:val="00435ACE"/>
    <w:rsid w:val="00436166"/>
    <w:rsid w:val="00437D8B"/>
    <w:rsid w:val="004408B3"/>
    <w:rsid w:val="00440A60"/>
    <w:rsid w:val="00440F08"/>
    <w:rsid w:val="00441403"/>
    <w:rsid w:val="004415F0"/>
    <w:rsid w:val="00441A57"/>
    <w:rsid w:val="004428F7"/>
    <w:rsid w:val="00442C9C"/>
    <w:rsid w:val="004442C5"/>
    <w:rsid w:val="00445B07"/>
    <w:rsid w:val="00447B49"/>
    <w:rsid w:val="00447EE4"/>
    <w:rsid w:val="00447F78"/>
    <w:rsid w:val="0045223F"/>
    <w:rsid w:val="004523FB"/>
    <w:rsid w:val="0045492C"/>
    <w:rsid w:val="0045558A"/>
    <w:rsid w:val="00457706"/>
    <w:rsid w:val="00461394"/>
    <w:rsid w:val="00462149"/>
    <w:rsid w:val="004641AB"/>
    <w:rsid w:val="0046432C"/>
    <w:rsid w:val="00464E90"/>
    <w:rsid w:val="004655C5"/>
    <w:rsid w:val="00465F35"/>
    <w:rsid w:val="00466CAC"/>
    <w:rsid w:val="004677C7"/>
    <w:rsid w:val="0047074E"/>
    <w:rsid w:val="004707BB"/>
    <w:rsid w:val="00471063"/>
    <w:rsid w:val="004710D5"/>
    <w:rsid w:val="0047159A"/>
    <w:rsid w:val="004727DB"/>
    <w:rsid w:val="00472A4D"/>
    <w:rsid w:val="00473AAF"/>
    <w:rsid w:val="00473E87"/>
    <w:rsid w:val="00475ED4"/>
    <w:rsid w:val="00476EE8"/>
    <w:rsid w:val="0047706C"/>
    <w:rsid w:val="00477496"/>
    <w:rsid w:val="004777A6"/>
    <w:rsid w:val="004777D0"/>
    <w:rsid w:val="00477D66"/>
    <w:rsid w:val="0048005B"/>
    <w:rsid w:val="00480623"/>
    <w:rsid w:val="004809C2"/>
    <w:rsid w:val="004812E7"/>
    <w:rsid w:val="0048191E"/>
    <w:rsid w:val="00482C2B"/>
    <w:rsid w:val="00483940"/>
    <w:rsid w:val="00484335"/>
    <w:rsid w:val="00484539"/>
    <w:rsid w:val="004845E9"/>
    <w:rsid w:val="0048483C"/>
    <w:rsid w:val="00485C9C"/>
    <w:rsid w:val="00485E66"/>
    <w:rsid w:val="00487C05"/>
    <w:rsid w:val="004904B5"/>
    <w:rsid w:val="0049123B"/>
    <w:rsid w:val="00491930"/>
    <w:rsid w:val="0049210A"/>
    <w:rsid w:val="00492D26"/>
    <w:rsid w:val="00492E2C"/>
    <w:rsid w:val="00493B57"/>
    <w:rsid w:val="00494F70"/>
    <w:rsid w:val="004954EE"/>
    <w:rsid w:val="0049588F"/>
    <w:rsid w:val="00496138"/>
    <w:rsid w:val="0049613A"/>
    <w:rsid w:val="00496709"/>
    <w:rsid w:val="00496CA8"/>
    <w:rsid w:val="004A0304"/>
    <w:rsid w:val="004A0D3E"/>
    <w:rsid w:val="004A0E84"/>
    <w:rsid w:val="004A16C7"/>
    <w:rsid w:val="004A1F9F"/>
    <w:rsid w:val="004A22F6"/>
    <w:rsid w:val="004A24E2"/>
    <w:rsid w:val="004A3CD0"/>
    <w:rsid w:val="004A4717"/>
    <w:rsid w:val="004A5809"/>
    <w:rsid w:val="004A7122"/>
    <w:rsid w:val="004A7149"/>
    <w:rsid w:val="004A7C09"/>
    <w:rsid w:val="004A7E7D"/>
    <w:rsid w:val="004B0A01"/>
    <w:rsid w:val="004B1578"/>
    <w:rsid w:val="004B2FAB"/>
    <w:rsid w:val="004B3BA7"/>
    <w:rsid w:val="004B56EF"/>
    <w:rsid w:val="004B59DD"/>
    <w:rsid w:val="004B6729"/>
    <w:rsid w:val="004B74D3"/>
    <w:rsid w:val="004B7931"/>
    <w:rsid w:val="004B7C61"/>
    <w:rsid w:val="004C10AA"/>
    <w:rsid w:val="004C10C3"/>
    <w:rsid w:val="004C23AA"/>
    <w:rsid w:val="004C26C4"/>
    <w:rsid w:val="004C2889"/>
    <w:rsid w:val="004C2EF4"/>
    <w:rsid w:val="004C3151"/>
    <w:rsid w:val="004C32B0"/>
    <w:rsid w:val="004C3CFB"/>
    <w:rsid w:val="004C496A"/>
    <w:rsid w:val="004C4AA5"/>
    <w:rsid w:val="004C5470"/>
    <w:rsid w:val="004C6120"/>
    <w:rsid w:val="004C61C9"/>
    <w:rsid w:val="004C6FFD"/>
    <w:rsid w:val="004C76E6"/>
    <w:rsid w:val="004C7E24"/>
    <w:rsid w:val="004D0B56"/>
    <w:rsid w:val="004D1195"/>
    <w:rsid w:val="004D1AE0"/>
    <w:rsid w:val="004D2432"/>
    <w:rsid w:val="004D2950"/>
    <w:rsid w:val="004D2E2F"/>
    <w:rsid w:val="004D41F7"/>
    <w:rsid w:val="004D438D"/>
    <w:rsid w:val="004D4662"/>
    <w:rsid w:val="004D51D9"/>
    <w:rsid w:val="004D7BFF"/>
    <w:rsid w:val="004D7CAC"/>
    <w:rsid w:val="004D7D5B"/>
    <w:rsid w:val="004E075F"/>
    <w:rsid w:val="004E3781"/>
    <w:rsid w:val="004E42DC"/>
    <w:rsid w:val="004E4D29"/>
    <w:rsid w:val="004E53B3"/>
    <w:rsid w:val="004E566F"/>
    <w:rsid w:val="004E57C9"/>
    <w:rsid w:val="004E5A3A"/>
    <w:rsid w:val="004E5C29"/>
    <w:rsid w:val="004E63C3"/>
    <w:rsid w:val="004E6B57"/>
    <w:rsid w:val="004E6CAC"/>
    <w:rsid w:val="004E6FA8"/>
    <w:rsid w:val="004E7595"/>
    <w:rsid w:val="004E7CCD"/>
    <w:rsid w:val="004E7E65"/>
    <w:rsid w:val="004F08B8"/>
    <w:rsid w:val="004F0F22"/>
    <w:rsid w:val="004F0F7E"/>
    <w:rsid w:val="004F156F"/>
    <w:rsid w:val="004F1B9E"/>
    <w:rsid w:val="004F3440"/>
    <w:rsid w:val="004F3496"/>
    <w:rsid w:val="004F3D52"/>
    <w:rsid w:val="004F5584"/>
    <w:rsid w:val="004F581F"/>
    <w:rsid w:val="004F607F"/>
    <w:rsid w:val="004F6D0B"/>
    <w:rsid w:val="004F6FFA"/>
    <w:rsid w:val="004F7C87"/>
    <w:rsid w:val="00500119"/>
    <w:rsid w:val="00500500"/>
    <w:rsid w:val="00500525"/>
    <w:rsid w:val="0050246B"/>
    <w:rsid w:val="0050374D"/>
    <w:rsid w:val="00504A1C"/>
    <w:rsid w:val="00505647"/>
    <w:rsid w:val="00505844"/>
    <w:rsid w:val="00506034"/>
    <w:rsid w:val="0050656A"/>
    <w:rsid w:val="00507F51"/>
    <w:rsid w:val="00510511"/>
    <w:rsid w:val="00510D74"/>
    <w:rsid w:val="005112D4"/>
    <w:rsid w:val="005113DA"/>
    <w:rsid w:val="0051165D"/>
    <w:rsid w:val="005137DD"/>
    <w:rsid w:val="00516D6B"/>
    <w:rsid w:val="005171A9"/>
    <w:rsid w:val="005174A6"/>
    <w:rsid w:val="00517A20"/>
    <w:rsid w:val="00517C7C"/>
    <w:rsid w:val="00521216"/>
    <w:rsid w:val="005214E2"/>
    <w:rsid w:val="00521A48"/>
    <w:rsid w:val="00521A9F"/>
    <w:rsid w:val="00522217"/>
    <w:rsid w:val="005244F6"/>
    <w:rsid w:val="00526C83"/>
    <w:rsid w:val="00527764"/>
    <w:rsid w:val="005277AD"/>
    <w:rsid w:val="00527B57"/>
    <w:rsid w:val="00530813"/>
    <w:rsid w:val="005312A4"/>
    <w:rsid w:val="00531686"/>
    <w:rsid w:val="00531C8A"/>
    <w:rsid w:val="00531E10"/>
    <w:rsid w:val="00531FF8"/>
    <w:rsid w:val="0053243C"/>
    <w:rsid w:val="00533895"/>
    <w:rsid w:val="00535116"/>
    <w:rsid w:val="0053635C"/>
    <w:rsid w:val="005366CC"/>
    <w:rsid w:val="005367F2"/>
    <w:rsid w:val="0054028F"/>
    <w:rsid w:val="005412A6"/>
    <w:rsid w:val="0054243F"/>
    <w:rsid w:val="00542497"/>
    <w:rsid w:val="00542793"/>
    <w:rsid w:val="00542899"/>
    <w:rsid w:val="00542CA9"/>
    <w:rsid w:val="00542CC7"/>
    <w:rsid w:val="00543D9D"/>
    <w:rsid w:val="0054547A"/>
    <w:rsid w:val="00545C0F"/>
    <w:rsid w:val="00545DEE"/>
    <w:rsid w:val="005467C2"/>
    <w:rsid w:val="00546D8D"/>
    <w:rsid w:val="00547484"/>
    <w:rsid w:val="00547A1A"/>
    <w:rsid w:val="0055219F"/>
    <w:rsid w:val="005535F1"/>
    <w:rsid w:val="0055483C"/>
    <w:rsid w:val="00554CAF"/>
    <w:rsid w:val="0055566B"/>
    <w:rsid w:val="0055779C"/>
    <w:rsid w:val="00560CCF"/>
    <w:rsid w:val="00560E7A"/>
    <w:rsid w:val="0056278B"/>
    <w:rsid w:val="0056290C"/>
    <w:rsid w:val="00562AAE"/>
    <w:rsid w:val="00562CBF"/>
    <w:rsid w:val="00562DFC"/>
    <w:rsid w:val="005635FC"/>
    <w:rsid w:val="00563DBD"/>
    <w:rsid w:val="00564052"/>
    <w:rsid w:val="00564669"/>
    <w:rsid w:val="00565294"/>
    <w:rsid w:val="005668D7"/>
    <w:rsid w:val="00567343"/>
    <w:rsid w:val="00567AE4"/>
    <w:rsid w:val="005702BD"/>
    <w:rsid w:val="005704FF"/>
    <w:rsid w:val="00571067"/>
    <w:rsid w:val="00571963"/>
    <w:rsid w:val="00572A42"/>
    <w:rsid w:val="00575F70"/>
    <w:rsid w:val="005769DA"/>
    <w:rsid w:val="0057715F"/>
    <w:rsid w:val="0058006E"/>
    <w:rsid w:val="00581454"/>
    <w:rsid w:val="00581B15"/>
    <w:rsid w:val="00582442"/>
    <w:rsid w:val="00585B82"/>
    <w:rsid w:val="005860BC"/>
    <w:rsid w:val="00586B65"/>
    <w:rsid w:val="00586DCB"/>
    <w:rsid w:val="0058747A"/>
    <w:rsid w:val="0058767D"/>
    <w:rsid w:val="00587F96"/>
    <w:rsid w:val="00590126"/>
    <w:rsid w:val="0059123B"/>
    <w:rsid w:val="00592A56"/>
    <w:rsid w:val="00592BC4"/>
    <w:rsid w:val="00593638"/>
    <w:rsid w:val="00594926"/>
    <w:rsid w:val="005952B2"/>
    <w:rsid w:val="005961E9"/>
    <w:rsid w:val="00597E00"/>
    <w:rsid w:val="005A0009"/>
    <w:rsid w:val="005A06EA"/>
    <w:rsid w:val="005A1498"/>
    <w:rsid w:val="005A2081"/>
    <w:rsid w:val="005A33ED"/>
    <w:rsid w:val="005A3BF4"/>
    <w:rsid w:val="005A6768"/>
    <w:rsid w:val="005B0395"/>
    <w:rsid w:val="005B115B"/>
    <w:rsid w:val="005B12BB"/>
    <w:rsid w:val="005B1CD1"/>
    <w:rsid w:val="005B2572"/>
    <w:rsid w:val="005B2BBD"/>
    <w:rsid w:val="005B2CB1"/>
    <w:rsid w:val="005B3503"/>
    <w:rsid w:val="005B3713"/>
    <w:rsid w:val="005B4C54"/>
    <w:rsid w:val="005B4DE3"/>
    <w:rsid w:val="005B5747"/>
    <w:rsid w:val="005B6A93"/>
    <w:rsid w:val="005B6B0F"/>
    <w:rsid w:val="005B76EF"/>
    <w:rsid w:val="005B7713"/>
    <w:rsid w:val="005B7BEA"/>
    <w:rsid w:val="005C0D15"/>
    <w:rsid w:val="005C1074"/>
    <w:rsid w:val="005C10DA"/>
    <w:rsid w:val="005C139A"/>
    <w:rsid w:val="005C167B"/>
    <w:rsid w:val="005C2E42"/>
    <w:rsid w:val="005C2FBB"/>
    <w:rsid w:val="005C3E6D"/>
    <w:rsid w:val="005C3EC3"/>
    <w:rsid w:val="005C3F69"/>
    <w:rsid w:val="005C3FFC"/>
    <w:rsid w:val="005C4FDF"/>
    <w:rsid w:val="005C6A7C"/>
    <w:rsid w:val="005D0F29"/>
    <w:rsid w:val="005D17F8"/>
    <w:rsid w:val="005D259F"/>
    <w:rsid w:val="005D2641"/>
    <w:rsid w:val="005D502B"/>
    <w:rsid w:val="005D5094"/>
    <w:rsid w:val="005D5668"/>
    <w:rsid w:val="005D581A"/>
    <w:rsid w:val="005D6979"/>
    <w:rsid w:val="005D709D"/>
    <w:rsid w:val="005D7F50"/>
    <w:rsid w:val="005E081D"/>
    <w:rsid w:val="005E3705"/>
    <w:rsid w:val="005E385C"/>
    <w:rsid w:val="005E49B6"/>
    <w:rsid w:val="005E51B2"/>
    <w:rsid w:val="005E7608"/>
    <w:rsid w:val="005E7666"/>
    <w:rsid w:val="005E76FB"/>
    <w:rsid w:val="005F05B1"/>
    <w:rsid w:val="005F2807"/>
    <w:rsid w:val="005F392C"/>
    <w:rsid w:val="005F3C2E"/>
    <w:rsid w:val="005F4843"/>
    <w:rsid w:val="005F495A"/>
    <w:rsid w:val="005F52A5"/>
    <w:rsid w:val="005F5C0D"/>
    <w:rsid w:val="005F5F4C"/>
    <w:rsid w:val="005F6137"/>
    <w:rsid w:val="005F7AF3"/>
    <w:rsid w:val="00600109"/>
    <w:rsid w:val="006007DC"/>
    <w:rsid w:val="00600BF5"/>
    <w:rsid w:val="00600D9F"/>
    <w:rsid w:val="00601D10"/>
    <w:rsid w:val="00601F12"/>
    <w:rsid w:val="00601F52"/>
    <w:rsid w:val="006022E2"/>
    <w:rsid w:val="006023E9"/>
    <w:rsid w:val="006038F9"/>
    <w:rsid w:val="00604189"/>
    <w:rsid w:val="00606017"/>
    <w:rsid w:val="00606422"/>
    <w:rsid w:val="0060685F"/>
    <w:rsid w:val="00607BB0"/>
    <w:rsid w:val="00611A92"/>
    <w:rsid w:val="006120E3"/>
    <w:rsid w:val="00612500"/>
    <w:rsid w:val="00612CDA"/>
    <w:rsid w:val="00612F42"/>
    <w:rsid w:val="00614BBE"/>
    <w:rsid w:val="00616783"/>
    <w:rsid w:val="00616C07"/>
    <w:rsid w:val="0061760D"/>
    <w:rsid w:val="00617D72"/>
    <w:rsid w:val="00620AC7"/>
    <w:rsid w:val="00621217"/>
    <w:rsid w:val="0062303E"/>
    <w:rsid w:val="00624E14"/>
    <w:rsid w:val="00625E5E"/>
    <w:rsid w:val="00627307"/>
    <w:rsid w:val="0063028E"/>
    <w:rsid w:val="00631FA3"/>
    <w:rsid w:val="00632309"/>
    <w:rsid w:val="00633BFF"/>
    <w:rsid w:val="00635554"/>
    <w:rsid w:val="00635581"/>
    <w:rsid w:val="00636EC5"/>
    <w:rsid w:val="0063775E"/>
    <w:rsid w:val="00637FCC"/>
    <w:rsid w:val="006402E4"/>
    <w:rsid w:val="00640950"/>
    <w:rsid w:val="00640DFD"/>
    <w:rsid w:val="006412A3"/>
    <w:rsid w:val="006414C2"/>
    <w:rsid w:val="006429F8"/>
    <w:rsid w:val="00643B62"/>
    <w:rsid w:val="00644AF3"/>
    <w:rsid w:val="00646207"/>
    <w:rsid w:val="00646424"/>
    <w:rsid w:val="00647517"/>
    <w:rsid w:val="00647F47"/>
    <w:rsid w:val="00650912"/>
    <w:rsid w:val="00651659"/>
    <w:rsid w:val="00652C4C"/>
    <w:rsid w:val="00652C6E"/>
    <w:rsid w:val="00654081"/>
    <w:rsid w:val="00654F52"/>
    <w:rsid w:val="00655E33"/>
    <w:rsid w:val="00656423"/>
    <w:rsid w:val="00661B33"/>
    <w:rsid w:val="00663313"/>
    <w:rsid w:val="006653A9"/>
    <w:rsid w:val="006654B9"/>
    <w:rsid w:val="00665553"/>
    <w:rsid w:val="00665AE3"/>
    <w:rsid w:val="00667403"/>
    <w:rsid w:val="0067052C"/>
    <w:rsid w:val="00670642"/>
    <w:rsid w:val="00670B02"/>
    <w:rsid w:val="00671CE5"/>
    <w:rsid w:val="00672FFE"/>
    <w:rsid w:val="006735D7"/>
    <w:rsid w:val="00674962"/>
    <w:rsid w:val="00675176"/>
    <w:rsid w:val="0067533B"/>
    <w:rsid w:val="006756DD"/>
    <w:rsid w:val="00677119"/>
    <w:rsid w:val="006771C7"/>
    <w:rsid w:val="00677A98"/>
    <w:rsid w:val="006804C5"/>
    <w:rsid w:val="006806A4"/>
    <w:rsid w:val="00680BF9"/>
    <w:rsid w:val="0068227E"/>
    <w:rsid w:val="00685F9B"/>
    <w:rsid w:val="006860D2"/>
    <w:rsid w:val="006869C4"/>
    <w:rsid w:val="00686FEF"/>
    <w:rsid w:val="00692128"/>
    <w:rsid w:val="0069250E"/>
    <w:rsid w:val="00694B5A"/>
    <w:rsid w:val="00694E92"/>
    <w:rsid w:val="00695903"/>
    <w:rsid w:val="00695C84"/>
    <w:rsid w:val="00695FA0"/>
    <w:rsid w:val="00696AC2"/>
    <w:rsid w:val="006978F9"/>
    <w:rsid w:val="00697920"/>
    <w:rsid w:val="006A0FAC"/>
    <w:rsid w:val="006A1105"/>
    <w:rsid w:val="006A176B"/>
    <w:rsid w:val="006A35CE"/>
    <w:rsid w:val="006A3973"/>
    <w:rsid w:val="006A3B1C"/>
    <w:rsid w:val="006A54E0"/>
    <w:rsid w:val="006A6A8A"/>
    <w:rsid w:val="006A6D77"/>
    <w:rsid w:val="006A7127"/>
    <w:rsid w:val="006B0099"/>
    <w:rsid w:val="006B038C"/>
    <w:rsid w:val="006B1728"/>
    <w:rsid w:val="006B2AE0"/>
    <w:rsid w:val="006B2EFD"/>
    <w:rsid w:val="006B3111"/>
    <w:rsid w:val="006B369C"/>
    <w:rsid w:val="006B3873"/>
    <w:rsid w:val="006B3F3F"/>
    <w:rsid w:val="006B52D7"/>
    <w:rsid w:val="006B54C6"/>
    <w:rsid w:val="006B5EF7"/>
    <w:rsid w:val="006B6416"/>
    <w:rsid w:val="006B660D"/>
    <w:rsid w:val="006B6F44"/>
    <w:rsid w:val="006B7190"/>
    <w:rsid w:val="006B7CAD"/>
    <w:rsid w:val="006C0D4C"/>
    <w:rsid w:val="006C1FFB"/>
    <w:rsid w:val="006C2BAC"/>
    <w:rsid w:val="006C3A7D"/>
    <w:rsid w:val="006C53B5"/>
    <w:rsid w:val="006C7729"/>
    <w:rsid w:val="006D0401"/>
    <w:rsid w:val="006D0F6F"/>
    <w:rsid w:val="006D3029"/>
    <w:rsid w:val="006D3562"/>
    <w:rsid w:val="006D3958"/>
    <w:rsid w:val="006D3C75"/>
    <w:rsid w:val="006D45CA"/>
    <w:rsid w:val="006D4C89"/>
    <w:rsid w:val="006D510D"/>
    <w:rsid w:val="006D60F2"/>
    <w:rsid w:val="006D691C"/>
    <w:rsid w:val="006D6CEE"/>
    <w:rsid w:val="006D79CD"/>
    <w:rsid w:val="006E136B"/>
    <w:rsid w:val="006E1B99"/>
    <w:rsid w:val="006E1C2B"/>
    <w:rsid w:val="006E3F5A"/>
    <w:rsid w:val="006E3F6F"/>
    <w:rsid w:val="006E3FF1"/>
    <w:rsid w:val="006E5982"/>
    <w:rsid w:val="006E6CB7"/>
    <w:rsid w:val="006E7F70"/>
    <w:rsid w:val="006F0224"/>
    <w:rsid w:val="006F2091"/>
    <w:rsid w:val="006F2861"/>
    <w:rsid w:val="006F2875"/>
    <w:rsid w:val="006F3333"/>
    <w:rsid w:val="006F5060"/>
    <w:rsid w:val="006F51C1"/>
    <w:rsid w:val="006F5225"/>
    <w:rsid w:val="006F5343"/>
    <w:rsid w:val="006F5672"/>
    <w:rsid w:val="006F5C0E"/>
    <w:rsid w:val="006F5C2B"/>
    <w:rsid w:val="006F6843"/>
    <w:rsid w:val="006F692A"/>
    <w:rsid w:val="006F6C90"/>
    <w:rsid w:val="006F6E4E"/>
    <w:rsid w:val="006F7DC5"/>
    <w:rsid w:val="00700FDA"/>
    <w:rsid w:val="00702B7C"/>
    <w:rsid w:val="00703233"/>
    <w:rsid w:val="007042B0"/>
    <w:rsid w:val="0070460A"/>
    <w:rsid w:val="00704FF1"/>
    <w:rsid w:val="00705C66"/>
    <w:rsid w:val="00705F2C"/>
    <w:rsid w:val="007079A7"/>
    <w:rsid w:val="00711068"/>
    <w:rsid w:val="007121C4"/>
    <w:rsid w:val="007124C8"/>
    <w:rsid w:val="00712C6A"/>
    <w:rsid w:val="007143F6"/>
    <w:rsid w:val="007147EF"/>
    <w:rsid w:val="007151A3"/>
    <w:rsid w:val="00715AC6"/>
    <w:rsid w:val="00716EED"/>
    <w:rsid w:val="0071749D"/>
    <w:rsid w:val="0071769A"/>
    <w:rsid w:val="00720352"/>
    <w:rsid w:val="00720DE3"/>
    <w:rsid w:val="007211E5"/>
    <w:rsid w:val="00721D00"/>
    <w:rsid w:val="007225F2"/>
    <w:rsid w:val="00723310"/>
    <w:rsid w:val="00725F22"/>
    <w:rsid w:val="007260E5"/>
    <w:rsid w:val="00726715"/>
    <w:rsid w:val="00726D9E"/>
    <w:rsid w:val="0072716D"/>
    <w:rsid w:val="007307B0"/>
    <w:rsid w:val="0073081F"/>
    <w:rsid w:val="00730BA4"/>
    <w:rsid w:val="00730CF1"/>
    <w:rsid w:val="007315D9"/>
    <w:rsid w:val="0073178F"/>
    <w:rsid w:val="007336BF"/>
    <w:rsid w:val="00734DC2"/>
    <w:rsid w:val="0073630C"/>
    <w:rsid w:val="00737B40"/>
    <w:rsid w:val="00737D5B"/>
    <w:rsid w:val="0074012B"/>
    <w:rsid w:val="00740A70"/>
    <w:rsid w:val="00740C0E"/>
    <w:rsid w:val="007416BB"/>
    <w:rsid w:val="00742BC7"/>
    <w:rsid w:val="00743441"/>
    <w:rsid w:val="00743AA7"/>
    <w:rsid w:val="00743C09"/>
    <w:rsid w:val="007460AF"/>
    <w:rsid w:val="007462CD"/>
    <w:rsid w:val="007464F4"/>
    <w:rsid w:val="00746A39"/>
    <w:rsid w:val="00747545"/>
    <w:rsid w:val="007501F5"/>
    <w:rsid w:val="00751A5F"/>
    <w:rsid w:val="00751EA6"/>
    <w:rsid w:val="00752397"/>
    <w:rsid w:val="00752E13"/>
    <w:rsid w:val="00753294"/>
    <w:rsid w:val="007532DE"/>
    <w:rsid w:val="00753660"/>
    <w:rsid w:val="0075399C"/>
    <w:rsid w:val="00753B67"/>
    <w:rsid w:val="0075407C"/>
    <w:rsid w:val="00754590"/>
    <w:rsid w:val="00755536"/>
    <w:rsid w:val="007566A7"/>
    <w:rsid w:val="00756B19"/>
    <w:rsid w:val="00756B95"/>
    <w:rsid w:val="00757193"/>
    <w:rsid w:val="00757CB3"/>
    <w:rsid w:val="00760401"/>
    <w:rsid w:val="00760BB3"/>
    <w:rsid w:val="00761CB1"/>
    <w:rsid w:val="0076201A"/>
    <w:rsid w:val="0076255C"/>
    <w:rsid w:val="007634DC"/>
    <w:rsid w:val="00763826"/>
    <w:rsid w:val="00766DDD"/>
    <w:rsid w:val="0077094F"/>
    <w:rsid w:val="00770A8B"/>
    <w:rsid w:val="00770CBE"/>
    <w:rsid w:val="00771571"/>
    <w:rsid w:val="00772869"/>
    <w:rsid w:val="00772B5E"/>
    <w:rsid w:val="00773DF0"/>
    <w:rsid w:val="00774131"/>
    <w:rsid w:val="00774293"/>
    <w:rsid w:val="00774916"/>
    <w:rsid w:val="00775925"/>
    <w:rsid w:val="00775DF8"/>
    <w:rsid w:val="00776191"/>
    <w:rsid w:val="0077626C"/>
    <w:rsid w:val="007762CF"/>
    <w:rsid w:val="0077634A"/>
    <w:rsid w:val="00776DF6"/>
    <w:rsid w:val="00777DEE"/>
    <w:rsid w:val="00777EE9"/>
    <w:rsid w:val="007804F5"/>
    <w:rsid w:val="0078087D"/>
    <w:rsid w:val="00781B7B"/>
    <w:rsid w:val="00782108"/>
    <w:rsid w:val="007821EC"/>
    <w:rsid w:val="00782CE4"/>
    <w:rsid w:val="00782D37"/>
    <w:rsid w:val="007853D7"/>
    <w:rsid w:val="007858B7"/>
    <w:rsid w:val="00785A63"/>
    <w:rsid w:val="0078658B"/>
    <w:rsid w:val="00786FFD"/>
    <w:rsid w:val="00787D6E"/>
    <w:rsid w:val="0079014F"/>
    <w:rsid w:val="007909D9"/>
    <w:rsid w:val="00790BF7"/>
    <w:rsid w:val="00791E39"/>
    <w:rsid w:val="00792A59"/>
    <w:rsid w:val="00793F47"/>
    <w:rsid w:val="00794043"/>
    <w:rsid w:val="00794441"/>
    <w:rsid w:val="007948BC"/>
    <w:rsid w:val="007962E7"/>
    <w:rsid w:val="007965E4"/>
    <w:rsid w:val="0079754A"/>
    <w:rsid w:val="007976ED"/>
    <w:rsid w:val="007977AF"/>
    <w:rsid w:val="007A0814"/>
    <w:rsid w:val="007A09BB"/>
    <w:rsid w:val="007A0D38"/>
    <w:rsid w:val="007A210A"/>
    <w:rsid w:val="007A223D"/>
    <w:rsid w:val="007A23C8"/>
    <w:rsid w:val="007A312F"/>
    <w:rsid w:val="007A32BC"/>
    <w:rsid w:val="007A3970"/>
    <w:rsid w:val="007A49B9"/>
    <w:rsid w:val="007A4C62"/>
    <w:rsid w:val="007A4D73"/>
    <w:rsid w:val="007A6095"/>
    <w:rsid w:val="007A6376"/>
    <w:rsid w:val="007A7279"/>
    <w:rsid w:val="007A7AB0"/>
    <w:rsid w:val="007A7B0C"/>
    <w:rsid w:val="007B18C1"/>
    <w:rsid w:val="007B1D4F"/>
    <w:rsid w:val="007B1FFF"/>
    <w:rsid w:val="007B2DB3"/>
    <w:rsid w:val="007B42BB"/>
    <w:rsid w:val="007B4B0E"/>
    <w:rsid w:val="007B5014"/>
    <w:rsid w:val="007B5A66"/>
    <w:rsid w:val="007B683F"/>
    <w:rsid w:val="007B7BBD"/>
    <w:rsid w:val="007C005E"/>
    <w:rsid w:val="007C1EB4"/>
    <w:rsid w:val="007C2848"/>
    <w:rsid w:val="007C3093"/>
    <w:rsid w:val="007C31DF"/>
    <w:rsid w:val="007C3C98"/>
    <w:rsid w:val="007C4AAD"/>
    <w:rsid w:val="007C51E1"/>
    <w:rsid w:val="007C5E47"/>
    <w:rsid w:val="007C66BE"/>
    <w:rsid w:val="007C68BF"/>
    <w:rsid w:val="007C7569"/>
    <w:rsid w:val="007C7FCB"/>
    <w:rsid w:val="007D17E3"/>
    <w:rsid w:val="007D1978"/>
    <w:rsid w:val="007D24AD"/>
    <w:rsid w:val="007D2CE9"/>
    <w:rsid w:val="007D324D"/>
    <w:rsid w:val="007D3E10"/>
    <w:rsid w:val="007D65F2"/>
    <w:rsid w:val="007D6F45"/>
    <w:rsid w:val="007D7145"/>
    <w:rsid w:val="007E0091"/>
    <w:rsid w:val="007E0D91"/>
    <w:rsid w:val="007E11C7"/>
    <w:rsid w:val="007E12D3"/>
    <w:rsid w:val="007E1B08"/>
    <w:rsid w:val="007E24B2"/>
    <w:rsid w:val="007E29C4"/>
    <w:rsid w:val="007E2EC9"/>
    <w:rsid w:val="007E3A6C"/>
    <w:rsid w:val="007E4800"/>
    <w:rsid w:val="007E4B5F"/>
    <w:rsid w:val="007E52DA"/>
    <w:rsid w:val="007E5792"/>
    <w:rsid w:val="007E7313"/>
    <w:rsid w:val="007E7E05"/>
    <w:rsid w:val="007F0500"/>
    <w:rsid w:val="007F09C9"/>
    <w:rsid w:val="007F14AF"/>
    <w:rsid w:val="007F1CF0"/>
    <w:rsid w:val="007F203F"/>
    <w:rsid w:val="007F2A33"/>
    <w:rsid w:val="007F4415"/>
    <w:rsid w:val="007F7B63"/>
    <w:rsid w:val="00800E60"/>
    <w:rsid w:val="00800E8F"/>
    <w:rsid w:val="008026F1"/>
    <w:rsid w:val="00803E40"/>
    <w:rsid w:val="00804245"/>
    <w:rsid w:val="00807202"/>
    <w:rsid w:val="008100A0"/>
    <w:rsid w:val="00810A0D"/>
    <w:rsid w:val="00811747"/>
    <w:rsid w:val="00812012"/>
    <w:rsid w:val="00814A3E"/>
    <w:rsid w:val="00814E82"/>
    <w:rsid w:val="00815CA0"/>
    <w:rsid w:val="008164F4"/>
    <w:rsid w:val="00817300"/>
    <w:rsid w:val="00820444"/>
    <w:rsid w:val="008204FE"/>
    <w:rsid w:val="00822B1B"/>
    <w:rsid w:val="00822DA4"/>
    <w:rsid w:val="00824481"/>
    <w:rsid w:val="00824608"/>
    <w:rsid w:val="00826CFE"/>
    <w:rsid w:val="00827105"/>
    <w:rsid w:val="00830639"/>
    <w:rsid w:val="008315BA"/>
    <w:rsid w:val="00832306"/>
    <w:rsid w:val="00832689"/>
    <w:rsid w:val="00833394"/>
    <w:rsid w:val="008354D1"/>
    <w:rsid w:val="00835A3D"/>
    <w:rsid w:val="00836C9A"/>
    <w:rsid w:val="00837B78"/>
    <w:rsid w:val="00837FAF"/>
    <w:rsid w:val="00840157"/>
    <w:rsid w:val="00842FDF"/>
    <w:rsid w:val="0084375E"/>
    <w:rsid w:val="00843BA8"/>
    <w:rsid w:val="008440C3"/>
    <w:rsid w:val="00844EEE"/>
    <w:rsid w:val="00850300"/>
    <w:rsid w:val="00850566"/>
    <w:rsid w:val="00850BD9"/>
    <w:rsid w:val="00850F12"/>
    <w:rsid w:val="00851AF8"/>
    <w:rsid w:val="00852168"/>
    <w:rsid w:val="0085242F"/>
    <w:rsid w:val="00852549"/>
    <w:rsid w:val="00853346"/>
    <w:rsid w:val="008538B1"/>
    <w:rsid w:val="008545CC"/>
    <w:rsid w:val="0085477B"/>
    <w:rsid w:val="00855153"/>
    <w:rsid w:val="0085759C"/>
    <w:rsid w:val="008612B9"/>
    <w:rsid w:val="00862328"/>
    <w:rsid w:val="008623D7"/>
    <w:rsid w:val="0086284F"/>
    <w:rsid w:val="008632FD"/>
    <w:rsid w:val="008634F6"/>
    <w:rsid w:val="00867568"/>
    <w:rsid w:val="00867A64"/>
    <w:rsid w:val="00870107"/>
    <w:rsid w:val="008705EE"/>
    <w:rsid w:val="00872C3A"/>
    <w:rsid w:val="00872C60"/>
    <w:rsid w:val="00873CC7"/>
    <w:rsid w:val="008744DA"/>
    <w:rsid w:val="00874BA5"/>
    <w:rsid w:val="00874E50"/>
    <w:rsid w:val="008800AD"/>
    <w:rsid w:val="00882B39"/>
    <w:rsid w:val="008834E5"/>
    <w:rsid w:val="0088426B"/>
    <w:rsid w:val="0088472D"/>
    <w:rsid w:val="008850C7"/>
    <w:rsid w:val="0088523D"/>
    <w:rsid w:val="00885659"/>
    <w:rsid w:val="00885E7B"/>
    <w:rsid w:val="00886244"/>
    <w:rsid w:val="00886B8A"/>
    <w:rsid w:val="00890A1F"/>
    <w:rsid w:val="00892119"/>
    <w:rsid w:val="008928BC"/>
    <w:rsid w:val="00892FEA"/>
    <w:rsid w:val="0089366F"/>
    <w:rsid w:val="00893889"/>
    <w:rsid w:val="00895102"/>
    <w:rsid w:val="00895492"/>
    <w:rsid w:val="00895586"/>
    <w:rsid w:val="00895669"/>
    <w:rsid w:val="0089637B"/>
    <w:rsid w:val="00896B0F"/>
    <w:rsid w:val="008A049A"/>
    <w:rsid w:val="008A07BF"/>
    <w:rsid w:val="008A0A02"/>
    <w:rsid w:val="008A11D3"/>
    <w:rsid w:val="008A2176"/>
    <w:rsid w:val="008A28E4"/>
    <w:rsid w:val="008A2B2A"/>
    <w:rsid w:val="008A481E"/>
    <w:rsid w:val="008A7791"/>
    <w:rsid w:val="008A77A3"/>
    <w:rsid w:val="008A7820"/>
    <w:rsid w:val="008B01CD"/>
    <w:rsid w:val="008B0738"/>
    <w:rsid w:val="008B0D0C"/>
    <w:rsid w:val="008B0DD7"/>
    <w:rsid w:val="008B1DE3"/>
    <w:rsid w:val="008B2F8C"/>
    <w:rsid w:val="008B4C96"/>
    <w:rsid w:val="008B4EF8"/>
    <w:rsid w:val="008B66AF"/>
    <w:rsid w:val="008B681A"/>
    <w:rsid w:val="008C11BF"/>
    <w:rsid w:val="008C16ED"/>
    <w:rsid w:val="008C2164"/>
    <w:rsid w:val="008C2644"/>
    <w:rsid w:val="008C2CF2"/>
    <w:rsid w:val="008C3433"/>
    <w:rsid w:val="008C3C9E"/>
    <w:rsid w:val="008C3D66"/>
    <w:rsid w:val="008C3E60"/>
    <w:rsid w:val="008C449E"/>
    <w:rsid w:val="008C4DBD"/>
    <w:rsid w:val="008D0458"/>
    <w:rsid w:val="008D0EF8"/>
    <w:rsid w:val="008D0F8B"/>
    <w:rsid w:val="008D16C0"/>
    <w:rsid w:val="008D1990"/>
    <w:rsid w:val="008D199B"/>
    <w:rsid w:val="008D1FFC"/>
    <w:rsid w:val="008D2331"/>
    <w:rsid w:val="008D248E"/>
    <w:rsid w:val="008D2C93"/>
    <w:rsid w:val="008D2CC1"/>
    <w:rsid w:val="008D38CE"/>
    <w:rsid w:val="008D3AE4"/>
    <w:rsid w:val="008D46BD"/>
    <w:rsid w:val="008D4FED"/>
    <w:rsid w:val="008D5102"/>
    <w:rsid w:val="008D5309"/>
    <w:rsid w:val="008D6938"/>
    <w:rsid w:val="008D7D4B"/>
    <w:rsid w:val="008D7DFA"/>
    <w:rsid w:val="008E00B5"/>
    <w:rsid w:val="008E17A5"/>
    <w:rsid w:val="008E184A"/>
    <w:rsid w:val="008E2403"/>
    <w:rsid w:val="008E3267"/>
    <w:rsid w:val="008E33F7"/>
    <w:rsid w:val="008E441C"/>
    <w:rsid w:val="008E53EA"/>
    <w:rsid w:val="008E626F"/>
    <w:rsid w:val="008E688C"/>
    <w:rsid w:val="008E7021"/>
    <w:rsid w:val="008E7218"/>
    <w:rsid w:val="008E722C"/>
    <w:rsid w:val="008F01EF"/>
    <w:rsid w:val="008F0410"/>
    <w:rsid w:val="008F186D"/>
    <w:rsid w:val="008F3083"/>
    <w:rsid w:val="008F3779"/>
    <w:rsid w:val="008F4AE1"/>
    <w:rsid w:val="008F504D"/>
    <w:rsid w:val="008F53DD"/>
    <w:rsid w:val="008F56DA"/>
    <w:rsid w:val="008F639A"/>
    <w:rsid w:val="008F6B6B"/>
    <w:rsid w:val="008F773E"/>
    <w:rsid w:val="00901619"/>
    <w:rsid w:val="00902006"/>
    <w:rsid w:val="009023D9"/>
    <w:rsid w:val="009026D7"/>
    <w:rsid w:val="00902D04"/>
    <w:rsid w:val="009035BB"/>
    <w:rsid w:val="00903CA3"/>
    <w:rsid w:val="009046C7"/>
    <w:rsid w:val="00904BFC"/>
    <w:rsid w:val="0090574A"/>
    <w:rsid w:val="00905A72"/>
    <w:rsid w:val="00905BED"/>
    <w:rsid w:val="0090736F"/>
    <w:rsid w:val="00907A32"/>
    <w:rsid w:val="00907D61"/>
    <w:rsid w:val="009100EB"/>
    <w:rsid w:val="00911E80"/>
    <w:rsid w:val="0091301E"/>
    <w:rsid w:val="00913476"/>
    <w:rsid w:val="00913EE8"/>
    <w:rsid w:val="00915755"/>
    <w:rsid w:val="00916414"/>
    <w:rsid w:val="00917EC0"/>
    <w:rsid w:val="009212EC"/>
    <w:rsid w:val="009213C6"/>
    <w:rsid w:val="00921A5D"/>
    <w:rsid w:val="00922A09"/>
    <w:rsid w:val="00922D11"/>
    <w:rsid w:val="00923169"/>
    <w:rsid w:val="00924190"/>
    <w:rsid w:val="009254EB"/>
    <w:rsid w:val="0092702B"/>
    <w:rsid w:val="009273E1"/>
    <w:rsid w:val="00931A04"/>
    <w:rsid w:val="00932AC1"/>
    <w:rsid w:val="00932DA9"/>
    <w:rsid w:val="00933CB7"/>
    <w:rsid w:val="00934D8F"/>
    <w:rsid w:val="0093504B"/>
    <w:rsid w:val="00935C1A"/>
    <w:rsid w:val="00936B5D"/>
    <w:rsid w:val="00936DE7"/>
    <w:rsid w:val="00937398"/>
    <w:rsid w:val="009377F6"/>
    <w:rsid w:val="00937BE5"/>
    <w:rsid w:val="00937D26"/>
    <w:rsid w:val="00940988"/>
    <w:rsid w:val="00940ED3"/>
    <w:rsid w:val="0094213A"/>
    <w:rsid w:val="0094294B"/>
    <w:rsid w:val="00943D11"/>
    <w:rsid w:val="00945175"/>
    <w:rsid w:val="009453D8"/>
    <w:rsid w:val="00946018"/>
    <w:rsid w:val="00946263"/>
    <w:rsid w:val="00947202"/>
    <w:rsid w:val="00947CA1"/>
    <w:rsid w:val="00950032"/>
    <w:rsid w:val="009505DC"/>
    <w:rsid w:val="00950E57"/>
    <w:rsid w:val="00951995"/>
    <w:rsid w:val="00955A02"/>
    <w:rsid w:val="00956522"/>
    <w:rsid w:val="0095725E"/>
    <w:rsid w:val="009605CD"/>
    <w:rsid w:val="00960A97"/>
    <w:rsid w:val="00961F77"/>
    <w:rsid w:val="00962DE8"/>
    <w:rsid w:val="0096353B"/>
    <w:rsid w:val="00965C10"/>
    <w:rsid w:val="00967977"/>
    <w:rsid w:val="00971493"/>
    <w:rsid w:val="00971B49"/>
    <w:rsid w:val="00972FBF"/>
    <w:rsid w:val="00973418"/>
    <w:rsid w:val="00974507"/>
    <w:rsid w:val="00974999"/>
    <w:rsid w:val="00975AFF"/>
    <w:rsid w:val="00977721"/>
    <w:rsid w:val="009802AE"/>
    <w:rsid w:val="00981107"/>
    <w:rsid w:val="00981289"/>
    <w:rsid w:val="00982427"/>
    <w:rsid w:val="00983943"/>
    <w:rsid w:val="00984554"/>
    <w:rsid w:val="00984FCB"/>
    <w:rsid w:val="0098584D"/>
    <w:rsid w:val="009865F5"/>
    <w:rsid w:val="00986A77"/>
    <w:rsid w:val="0098706B"/>
    <w:rsid w:val="0098717B"/>
    <w:rsid w:val="009903BA"/>
    <w:rsid w:val="00990DD8"/>
    <w:rsid w:val="00991247"/>
    <w:rsid w:val="00992010"/>
    <w:rsid w:val="009925A8"/>
    <w:rsid w:val="00993FB8"/>
    <w:rsid w:val="0099408E"/>
    <w:rsid w:val="00995555"/>
    <w:rsid w:val="00995DF5"/>
    <w:rsid w:val="00996508"/>
    <w:rsid w:val="009A0E05"/>
    <w:rsid w:val="009A2006"/>
    <w:rsid w:val="009A22D5"/>
    <w:rsid w:val="009A3277"/>
    <w:rsid w:val="009A3422"/>
    <w:rsid w:val="009A3F03"/>
    <w:rsid w:val="009A4BCA"/>
    <w:rsid w:val="009A5760"/>
    <w:rsid w:val="009A6124"/>
    <w:rsid w:val="009A7DB4"/>
    <w:rsid w:val="009B028C"/>
    <w:rsid w:val="009B2162"/>
    <w:rsid w:val="009B235D"/>
    <w:rsid w:val="009B2617"/>
    <w:rsid w:val="009B31B7"/>
    <w:rsid w:val="009B4746"/>
    <w:rsid w:val="009B4D56"/>
    <w:rsid w:val="009B4EEA"/>
    <w:rsid w:val="009B500E"/>
    <w:rsid w:val="009B5488"/>
    <w:rsid w:val="009B5D0A"/>
    <w:rsid w:val="009B5D66"/>
    <w:rsid w:val="009B7525"/>
    <w:rsid w:val="009B7798"/>
    <w:rsid w:val="009B77DD"/>
    <w:rsid w:val="009C06A3"/>
    <w:rsid w:val="009C2314"/>
    <w:rsid w:val="009C2A29"/>
    <w:rsid w:val="009C38BE"/>
    <w:rsid w:val="009C454F"/>
    <w:rsid w:val="009C4FB2"/>
    <w:rsid w:val="009C53E8"/>
    <w:rsid w:val="009C6724"/>
    <w:rsid w:val="009C680D"/>
    <w:rsid w:val="009C6AAF"/>
    <w:rsid w:val="009C758F"/>
    <w:rsid w:val="009D1002"/>
    <w:rsid w:val="009D3094"/>
    <w:rsid w:val="009D3582"/>
    <w:rsid w:val="009D359E"/>
    <w:rsid w:val="009D3F99"/>
    <w:rsid w:val="009D44E3"/>
    <w:rsid w:val="009D4C79"/>
    <w:rsid w:val="009D4CBE"/>
    <w:rsid w:val="009D5039"/>
    <w:rsid w:val="009D59C9"/>
    <w:rsid w:val="009D5C40"/>
    <w:rsid w:val="009D7EB3"/>
    <w:rsid w:val="009E027D"/>
    <w:rsid w:val="009E0E19"/>
    <w:rsid w:val="009E15E2"/>
    <w:rsid w:val="009E1941"/>
    <w:rsid w:val="009E324D"/>
    <w:rsid w:val="009E58E4"/>
    <w:rsid w:val="009E6888"/>
    <w:rsid w:val="009E7327"/>
    <w:rsid w:val="009E7D16"/>
    <w:rsid w:val="009F037A"/>
    <w:rsid w:val="009F046F"/>
    <w:rsid w:val="009F095A"/>
    <w:rsid w:val="009F38DC"/>
    <w:rsid w:val="009F54F8"/>
    <w:rsid w:val="009F5D6A"/>
    <w:rsid w:val="009F64E7"/>
    <w:rsid w:val="009F6AFA"/>
    <w:rsid w:val="009F7864"/>
    <w:rsid w:val="009F7A8E"/>
    <w:rsid w:val="00A00550"/>
    <w:rsid w:val="00A00BB8"/>
    <w:rsid w:val="00A00DF7"/>
    <w:rsid w:val="00A017AD"/>
    <w:rsid w:val="00A01A99"/>
    <w:rsid w:val="00A029BF"/>
    <w:rsid w:val="00A03107"/>
    <w:rsid w:val="00A033A8"/>
    <w:rsid w:val="00A037DB"/>
    <w:rsid w:val="00A0402F"/>
    <w:rsid w:val="00A05C26"/>
    <w:rsid w:val="00A06265"/>
    <w:rsid w:val="00A06A41"/>
    <w:rsid w:val="00A0720F"/>
    <w:rsid w:val="00A10C65"/>
    <w:rsid w:val="00A1197B"/>
    <w:rsid w:val="00A11DDF"/>
    <w:rsid w:val="00A12AE3"/>
    <w:rsid w:val="00A12CAE"/>
    <w:rsid w:val="00A14069"/>
    <w:rsid w:val="00A14640"/>
    <w:rsid w:val="00A14EDE"/>
    <w:rsid w:val="00A152E1"/>
    <w:rsid w:val="00A15502"/>
    <w:rsid w:val="00A216B6"/>
    <w:rsid w:val="00A24E49"/>
    <w:rsid w:val="00A262E1"/>
    <w:rsid w:val="00A275C3"/>
    <w:rsid w:val="00A27F48"/>
    <w:rsid w:val="00A30EFA"/>
    <w:rsid w:val="00A31CC7"/>
    <w:rsid w:val="00A32420"/>
    <w:rsid w:val="00A341C4"/>
    <w:rsid w:val="00A344AC"/>
    <w:rsid w:val="00A34B9B"/>
    <w:rsid w:val="00A34C1E"/>
    <w:rsid w:val="00A35427"/>
    <w:rsid w:val="00A36187"/>
    <w:rsid w:val="00A36AA2"/>
    <w:rsid w:val="00A3710C"/>
    <w:rsid w:val="00A375C9"/>
    <w:rsid w:val="00A40CE7"/>
    <w:rsid w:val="00A41576"/>
    <w:rsid w:val="00A43540"/>
    <w:rsid w:val="00A43829"/>
    <w:rsid w:val="00A43A5C"/>
    <w:rsid w:val="00A44447"/>
    <w:rsid w:val="00A44E42"/>
    <w:rsid w:val="00A469F9"/>
    <w:rsid w:val="00A46C3E"/>
    <w:rsid w:val="00A50591"/>
    <w:rsid w:val="00A50632"/>
    <w:rsid w:val="00A514B2"/>
    <w:rsid w:val="00A53898"/>
    <w:rsid w:val="00A54ABD"/>
    <w:rsid w:val="00A55AE4"/>
    <w:rsid w:val="00A57823"/>
    <w:rsid w:val="00A57EFC"/>
    <w:rsid w:val="00A6075B"/>
    <w:rsid w:val="00A61060"/>
    <w:rsid w:val="00A61D6F"/>
    <w:rsid w:val="00A61E01"/>
    <w:rsid w:val="00A61F09"/>
    <w:rsid w:val="00A62AFE"/>
    <w:rsid w:val="00A6326C"/>
    <w:rsid w:val="00A632FC"/>
    <w:rsid w:val="00A634BB"/>
    <w:rsid w:val="00A66938"/>
    <w:rsid w:val="00A66985"/>
    <w:rsid w:val="00A66A43"/>
    <w:rsid w:val="00A677C8"/>
    <w:rsid w:val="00A67F8B"/>
    <w:rsid w:val="00A701F1"/>
    <w:rsid w:val="00A70456"/>
    <w:rsid w:val="00A7077C"/>
    <w:rsid w:val="00A70AEC"/>
    <w:rsid w:val="00A74D7E"/>
    <w:rsid w:val="00A77A1A"/>
    <w:rsid w:val="00A77E8F"/>
    <w:rsid w:val="00A807CD"/>
    <w:rsid w:val="00A81D6C"/>
    <w:rsid w:val="00A8220F"/>
    <w:rsid w:val="00A82E24"/>
    <w:rsid w:val="00A86334"/>
    <w:rsid w:val="00A86749"/>
    <w:rsid w:val="00A872C5"/>
    <w:rsid w:val="00A912E6"/>
    <w:rsid w:val="00A91794"/>
    <w:rsid w:val="00A91F83"/>
    <w:rsid w:val="00A9337F"/>
    <w:rsid w:val="00A93951"/>
    <w:rsid w:val="00A94100"/>
    <w:rsid w:val="00A9473F"/>
    <w:rsid w:val="00A9530C"/>
    <w:rsid w:val="00A9591D"/>
    <w:rsid w:val="00A9661C"/>
    <w:rsid w:val="00A96D53"/>
    <w:rsid w:val="00A974A8"/>
    <w:rsid w:val="00A978DA"/>
    <w:rsid w:val="00AA0FEA"/>
    <w:rsid w:val="00AA24EE"/>
    <w:rsid w:val="00AA2D90"/>
    <w:rsid w:val="00AA31CF"/>
    <w:rsid w:val="00AA36A0"/>
    <w:rsid w:val="00AA40BA"/>
    <w:rsid w:val="00AA44B4"/>
    <w:rsid w:val="00AA55ED"/>
    <w:rsid w:val="00AA5DE5"/>
    <w:rsid w:val="00AB0647"/>
    <w:rsid w:val="00AB0D4E"/>
    <w:rsid w:val="00AB1D83"/>
    <w:rsid w:val="00AB2581"/>
    <w:rsid w:val="00AB28E2"/>
    <w:rsid w:val="00AB2C6C"/>
    <w:rsid w:val="00AB494E"/>
    <w:rsid w:val="00AB573A"/>
    <w:rsid w:val="00AB58CB"/>
    <w:rsid w:val="00AB6A90"/>
    <w:rsid w:val="00AC0552"/>
    <w:rsid w:val="00AC06B3"/>
    <w:rsid w:val="00AC1E95"/>
    <w:rsid w:val="00AC3636"/>
    <w:rsid w:val="00AC3738"/>
    <w:rsid w:val="00AC4665"/>
    <w:rsid w:val="00AC4770"/>
    <w:rsid w:val="00AC482C"/>
    <w:rsid w:val="00AC4901"/>
    <w:rsid w:val="00AC4D78"/>
    <w:rsid w:val="00AC67ED"/>
    <w:rsid w:val="00AC77B5"/>
    <w:rsid w:val="00AD1BDA"/>
    <w:rsid w:val="00AD25B1"/>
    <w:rsid w:val="00AD285D"/>
    <w:rsid w:val="00AD2AFD"/>
    <w:rsid w:val="00AD2FEA"/>
    <w:rsid w:val="00AD3848"/>
    <w:rsid w:val="00AD3A94"/>
    <w:rsid w:val="00AD3DAC"/>
    <w:rsid w:val="00AD4BE9"/>
    <w:rsid w:val="00AD5A0F"/>
    <w:rsid w:val="00AD60B5"/>
    <w:rsid w:val="00AD7560"/>
    <w:rsid w:val="00AD7592"/>
    <w:rsid w:val="00AE09CE"/>
    <w:rsid w:val="00AE1E9B"/>
    <w:rsid w:val="00AE24AF"/>
    <w:rsid w:val="00AE2502"/>
    <w:rsid w:val="00AE47DC"/>
    <w:rsid w:val="00AE4C64"/>
    <w:rsid w:val="00AE577E"/>
    <w:rsid w:val="00AE6347"/>
    <w:rsid w:val="00AE641A"/>
    <w:rsid w:val="00AE6710"/>
    <w:rsid w:val="00AE7C30"/>
    <w:rsid w:val="00AE7C54"/>
    <w:rsid w:val="00AF09C5"/>
    <w:rsid w:val="00AF2C48"/>
    <w:rsid w:val="00AF333F"/>
    <w:rsid w:val="00AF4D75"/>
    <w:rsid w:val="00AF5B93"/>
    <w:rsid w:val="00AF6F50"/>
    <w:rsid w:val="00B010B8"/>
    <w:rsid w:val="00B0168F"/>
    <w:rsid w:val="00B01FE1"/>
    <w:rsid w:val="00B03598"/>
    <w:rsid w:val="00B03F78"/>
    <w:rsid w:val="00B04576"/>
    <w:rsid w:val="00B04C51"/>
    <w:rsid w:val="00B05C04"/>
    <w:rsid w:val="00B06222"/>
    <w:rsid w:val="00B06489"/>
    <w:rsid w:val="00B06725"/>
    <w:rsid w:val="00B07916"/>
    <w:rsid w:val="00B07B04"/>
    <w:rsid w:val="00B101C4"/>
    <w:rsid w:val="00B10227"/>
    <w:rsid w:val="00B1040A"/>
    <w:rsid w:val="00B10674"/>
    <w:rsid w:val="00B10EDC"/>
    <w:rsid w:val="00B11C1D"/>
    <w:rsid w:val="00B11FAE"/>
    <w:rsid w:val="00B133B4"/>
    <w:rsid w:val="00B15946"/>
    <w:rsid w:val="00B16BC8"/>
    <w:rsid w:val="00B20697"/>
    <w:rsid w:val="00B21064"/>
    <w:rsid w:val="00B21C95"/>
    <w:rsid w:val="00B21F58"/>
    <w:rsid w:val="00B22232"/>
    <w:rsid w:val="00B22A33"/>
    <w:rsid w:val="00B25180"/>
    <w:rsid w:val="00B26225"/>
    <w:rsid w:val="00B27E58"/>
    <w:rsid w:val="00B30077"/>
    <w:rsid w:val="00B302E3"/>
    <w:rsid w:val="00B30632"/>
    <w:rsid w:val="00B319BB"/>
    <w:rsid w:val="00B326F7"/>
    <w:rsid w:val="00B336BD"/>
    <w:rsid w:val="00B34500"/>
    <w:rsid w:val="00B35883"/>
    <w:rsid w:val="00B35AE4"/>
    <w:rsid w:val="00B36447"/>
    <w:rsid w:val="00B368DC"/>
    <w:rsid w:val="00B371BE"/>
    <w:rsid w:val="00B37F64"/>
    <w:rsid w:val="00B40AF4"/>
    <w:rsid w:val="00B40C1B"/>
    <w:rsid w:val="00B412C7"/>
    <w:rsid w:val="00B4193E"/>
    <w:rsid w:val="00B41F75"/>
    <w:rsid w:val="00B41FF7"/>
    <w:rsid w:val="00B42C0B"/>
    <w:rsid w:val="00B42D8E"/>
    <w:rsid w:val="00B43398"/>
    <w:rsid w:val="00B46D3C"/>
    <w:rsid w:val="00B46F0C"/>
    <w:rsid w:val="00B472EC"/>
    <w:rsid w:val="00B479E9"/>
    <w:rsid w:val="00B47D8C"/>
    <w:rsid w:val="00B47F77"/>
    <w:rsid w:val="00B508A0"/>
    <w:rsid w:val="00B50D30"/>
    <w:rsid w:val="00B520DE"/>
    <w:rsid w:val="00B526F1"/>
    <w:rsid w:val="00B54C36"/>
    <w:rsid w:val="00B550C4"/>
    <w:rsid w:val="00B55333"/>
    <w:rsid w:val="00B56403"/>
    <w:rsid w:val="00B56698"/>
    <w:rsid w:val="00B57905"/>
    <w:rsid w:val="00B6099C"/>
    <w:rsid w:val="00B61083"/>
    <w:rsid w:val="00B61D87"/>
    <w:rsid w:val="00B621D6"/>
    <w:rsid w:val="00B63450"/>
    <w:rsid w:val="00B65230"/>
    <w:rsid w:val="00B65643"/>
    <w:rsid w:val="00B657B9"/>
    <w:rsid w:val="00B65E5B"/>
    <w:rsid w:val="00B67430"/>
    <w:rsid w:val="00B6750E"/>
    <w:rsid w:val="00B70ECC"/>
    <w:rsid w:val="00B70F06"/>
    <w:rsid w:val="00B718C2"/>
    <w:rsid w:val="00B72328"/>
    <w:rsid w:val="00B724EC"/>
    <w:rsid w:val="00B72D11"/>
    <w:rsid w:val="00B72D5C"/>
    <w:rsid w:val="00B72F43"/>
    <w:rsid w:val="00B73625"/>
    <w:rsid w:val="00B736DB"/>
    <w:rsid w:val="00B73881"/>
    <w:rsid w:val="00B73C4D"/>
    <w:rsid w:val="00B74FEE"/>
    <w:rsid w:val="00B75658"/>
    <w:rsid w:val="00B76E1A"/>
    <w:rsid w:val="00B77018"/>
    <w:rsid w:val="00B7788C"/>
    <w:rsid w:val="00B77A8F"/>
    <w:rsid w:val="00B77FC4"/>
    <w:rsid w:val="00B80409"/>
    <w:rsid w:val="00B8059A"/>
    <w:rsid w:val="00B825A6"/>
    <w:rsid w:val="00B8287F"/>
    <w:rsid w:val="00B82990"/>
    <w:rsid w:val="00B82F0C"/>
    <w:rsid w:val="00B847D9"/>
    <w:rsid w:val="00B84932"/>
    <w:rsid w:val="00B84C6B"/>
    <w:rsid w:val="00B84D0F"/>
    <w:rsid w:val="00B85130"/>
    <w:rsid w:val="00B85679"/>
    <w:rsid w:val="00B861B8"/>
    <w:rsid w:val="00B8689A"/>
    <w:rsid w:val="00B90CA8"/>
    <w:rsid w:val="00B917FD"/>
    <w:rsid w:val="00B92C7B"/>
    <w:rsid w:val="00B933CA"/>
    <w:rsid w:val="00B93C74"/>
    <w:rsid w:val="00B9465E"/>
    <w:rsid w:val="00B95EDB"/>
    <w:rsid w:val="00B96C23"/>
    <w:rsid w:val="00B974C2"/>
    <w:rsid w:val="00B97CBE"/>
    <w:rsid w:val="00BA0FB1"/>
    <w:rsid w:val="00BA1F97"/>
    <w:rsid w:val="00BA2DC8"/>
    <w:rsid w:val="00BA4FA2"/>
    <w:rsid w:val="00BA6591"/>
    <w:rsid w:val="00BA741E"/>
    <w:rsid w:val="00BA7B1A"/>
    <w:rsid w:val="00BA7CC3"/>
    <w:rsid w:val="00BB3C3E"/>
    <w:rsid w:val="00BB54EA"/>
    <w:rsid w:val="00BB5887"/>
    <w:rsid w:val="00BB6777"/>
    <w:rsid w:val="00BB6A96"/>
    <w:rsid w:val="00BB78DB"/>
    <w:rsid w:val="00BC036D"/>
    <w:rsid w:val="00BC15D5"/>
    <w:rsid w:val="00BC1C68"/>
    <w:rsid w:val="00BC452D"/>
    <w:rsid w:val="00BC4C6E"/>
    <w:rsid w:val="00BC5516"/>
    <w:rsid w:val="00BC5C52"/>
    <w:rsid w:val="00BC7843"/>
    <w:rsid w:val="00BC794B"/>
    <w:rsid w:val="00BC7EB6"/>
    <w:rsid w:val="00BD0F16"/>
    <w:rsid w:val="00BD226B"/>
    <w:rsid w:val="00BD2C79"/>
    <w:rsid w:val="00BD3BC9"/>
    <w:rsid w:val="00BD3D5C"/>
    <w:rsid w:val="00BD5827"/>
    <w:rsid w:val="00BD58B9"/>
    <w:rsid w:val="00BD593D"/>
    <w:rsid w:val="00BD5F24"/>
    <w:rsid w:val="00BD652C"/>
    <w:rsid w:val="00BD69CF"/>
    <w:rsid w:val="00BD6C0B"/>
    <w:rsid w:val="00BD7141"/>
    <w:rsid w:val="00BD750A"/>
    <w:rsid w:val="00BE09C6"/>
    <w:rsid w:val="00BE0D8B"/>
    <w:rsid w:val="00BE12DB"/>
    <w:rsid w:val="00BE168A"/>
    <w:rsid w:val="00BE2A24"/>
    <w:rsid w:val="00BE3D09"/>
    <w:rsid w:val="00BE49AA"/>
    <w:rsid w:val="00BE53C5"/>
    <w:rsid w:val="00BE5555"/>
    <w:rsid w:val="00BE583C"/>
    <w:rsid w:val="00BE5B26"/>
    <w:rsid w:val="00BE63FF"/>
    <w:rsid w:val="00BE7342"/>
    <w:rsid w:val="00BE7D58"/>
    <w:rsid w:val="00BF1E99"/>
    <w:rsid w:val="00BF285C"/>
    <w:rsid w:val="00BF2DF7"/>
    <w:rsid w:val="00BF31A2"/>
    <w:rsid w:val="00BF51F4"/>
    <w:rsid w:val="00BF5A4B"/>
    <w:rsid w:val="00BF6617"/>
    <w:rsid w:val="00BF6D3A"/>
    <w:rsid w:val="00BF6EC7"/>
    <w:rsid w:val="00BF7D60"/>
    <w:rsid w:val="00C00084"/>
    <w:rsid w:val="00C000ED"/>
    <w:rsid w:val="00C0059B"/>
    <w:rsid w:val="00C01146"/>
    <w:rsid w:val="00C0159F"/>
    <w:rsid w:val="00C04155"/>
    <w:rsid w:val="00C045E9"/>
    <w:rsid w:val="00C0477C"/>
    <w:rsid w:val="00C04983"/>
    <w:rsid w:val="00C04ABE"/>
    <w:rsid w:val="00C04C8A"/>
    <w:rsid w:val="00C05079"/>
    <w:rsid w:val="00C05B59"/>
    <w:rsid w:val="00C05F4E"/>
    <w:rsid w:val="00C06A9C"/>
    <w:rsid w:val="00C06D6D"/>
    <w:rsid w:val="00C10CED"/>
    <w:rsid w:val="00C118D7"/>
    <w:rsid w:val="00C1227F"/>
    <w:rsid w:val="00C122C0"/>
    <w:rsid w:val="00C15B58"/>
    <w:rsid w:val="00C16089"/>
    <w:rsid w:val="00C20BC6"/>
    <w:rsid w:val="00C217B6"/>
    <w:rsid w:val="00C21C11"/>
    <w:rsid w:val="00C25639"/>
    <w:rsid w:val="00C2594F"/>
    <w:rsid w:val="00C26086"/>
    <w:rsid w:val="00C26AE5"/>
    <w:rsid w:val="00C27415"/>
    <w:rsid w:val="00C27A73"/>
    <w:rsid w:val="00C27FBD"/>
    <w:rsid w:val="00C301DC"/>
    <w:rsid w:val="00C30527"/>
    <w:rsid w:val="00C30A3A"/>
    <w:rsid w:val="00C30ACC"/>
    <w:rsid w:val="00C30B5C"/>
    <w:rsid w:val="00C314EC"/>
    <w:rsid w:val="00C31562"/>
    <w:rsid w:val="00C33BEB"/>
    <w:rsid w:val="00C36118"/>
    <w:rsid w:val="00C36729"/>
    <w:rsid w:val="00C36DD4"/>
    <w:rsid w:val="00C376CD"/>
    <w:rsid w:val="00C41602"/>
    <w:rsid w:val="00C424C5"/>
    <w:rsid w:val="00C4306E"/>
    <w:rsid w:val="00C4434A"/>
    <w:rsid w:val="00C45908"/>
    <w:rsid w:val="00C47CF4"/>
    <w:rsid w:val="00C47E86"/>
    <w:rsid w:val="00C508E9"/>
    <w:rsid w:val="00C50D21"/>
    <w:rsid w:val="00C50FE2"/>
    <w:rsid w:val="00C5144D"/>
    <w:rsid w:val="00C5192E"/>
    <w:rsid w:val="00C51CDE"/>
    <w:rsid w:val="00C52966"/>
    <w:rsid w:val="00C538C4"/>
    <w:rsid w:val="00C5408F"/>
    <w:rsid w:val="00C55632"/>
    <w:rsid w:val="00C557F5"/>
    <w:rsid w:val="00C55BB0"/>
    <w:rsid w:val="00C55FDC"/>
    <w:rsid w:val="00C6053C"/>
    <w:rsid w:val="00C61674"/>
    <w:rsid w:val="00C628B0"/>
    <w:rsid w:val="00C62D8B"/>
    <w:rsid w:val="00C62DCB"/>
    <w:rsid w:val="00C6596B"/>
    <w:rsid w:val="00C66636"/>
    <w:rsid w:val="00C66E57"/>
    <w:rsid w:val="00C670A2"/>
    <w:rsid w:val="00C67A44"/>
    <w:rsid w:val="00C67BB3"/>
    <w:rsid w:val="00C701C4"/>
    <w:rsid w:val="00C7068C"/>
    <w:rsid w:val="00C7072B"/>
    <w:rsid w:val="00C72661"/>
    <w:rsid w:val="00C727CA"/>
    <w:rsid w:val="00C7298B"/>
    <w:rsid w:val="00C7348E"/>
    <w:rsid w:val="00C73ECF"/>
    <w:rsid w:val="00C74EF2"/>
    <w:rsid w:val="00C751D1"/>
    <w:rsid w:val="00C76187"/>
    <w:rsid w:val="00C769C9"/>
    <w:rsid w:val="00C76F8E"/>
    <w:rsid w:val="00C77C70"/>
    <w:rsid w:val="00C81C32"/>
    <w:rsid w:val="00C821CE"/>
    <w:rsid w:val="00C82235"/>
    <w:rsid w:val="00C830D8"/>
    <w:rsid w:val="00C83C5D"/>
    <w:rsid w:val="00C840DE"/>
    <w:rsid w:val="00C8469B"/>
    <w:rsid w:val="00C85687"/>
    <w:rsid w:val="00C85712"/>
    <w:rsid w:val="00C859CE"/>
    <w:rsid w:val="00C91BAB"/>
    <w:rsid w:val="00C91CB1"/>
    <w:rsid w:val="00C92174"/>
    <w:rsid w:val="00C9343E"/>
    <w:rsid w:val="00C945B1"/>
    <w:rsid w:val="00C94EC3"/>
    <w:rsid w:val="00C95114"/>
    <w:rsid w:val="00C961A1"/>
    <w:rsid w:val="00C96478"/>
    <w:rsid w:val="00C97163"/>
    <w:rsid w:val="00C973E2"/>
    <w:rsid w:val="00C97F8C"/>
    <w:rsid w:val="00CA1616"/>
    <w:rsid w:val="00CA22EF"/>
    <w:rsid w:val="00CA2626"/>
    <w:rsid w:val="00CA42FB"/>
    <w:rsid w:val="00CA467B"/>
    <w:rsid w:val="00CA49F1"/>
    <w:rsid w:val="00CA4B27"/>
    <w:rsid w:val="00CA7CEA"/>
    <w:rsid w:val="00CA7F8E"/>
    <w:rsid w:val="00CB01E6"/>
    <w:rsid w:val="00CB04F8"/>
    <w:rsid w:val="00CB0D5B"/>
    <w:rsid w:val="00CB1FC0"/>
    <w:rsid w:val="00CB2392"/>
    <w:rsid w:val="00CB2535"/>
    <w:rsid w:val="00CB25D9"/>
    <w:rsid w:val="00CB2BEB"/>
    <w:rsid w:val="00CB3AD1"/>
    <w:rsid w:val="00CB4ABB"/>
    <w:rsid w:val="00CB5485"/>
    <w:rsid w:val="00CB5CA0"/>
    <w:rsid w:val="00CB62DD"/>
    <w:rsid w:val="00CB7065"/>
    <w:rsid w:val="00CC001C"/>
    <w:rsid w:val="00CC0738"/>
    <w:rsid w:val="00CC0CD3"/>
    <w:rsid w:val="00CC1514"/>
    <w:rsid w:val="00CC2345"/>
    <w:rsid w:val="00CC29E6"/>
    <w:rsid w:val="00CC3154"/>
    <w:rsid w:val="00CC3456"/>
    <w:rsid w:val="00CC35B8"/>
    <w:rsid w:val="00CC445F"/>
    <w:rsid w:val="00CC4D58"/>
    <w:rsid w:val="00CC503C"/>
    <w:rsid w:val="00CC5E28"/>
    <w:rsid w:val="00CC63CD"/>
    <w:rsid w:val="00CC65AF"/>
    <w:rsid w:val="00CC7EB2"/>
    <w:rsid w:val="00CD08F0"/>
    <w:rsid w:val="00CD1255"/>
    <w:rsid w:val="00CD2492"/>
    <w:rsid w:val="00CD2D44"/>
    <w:rsid w:val="00CD2E93"/>
    <w:rsid w:val="00CD2FDB"/>
    <w:rsid w:val="00CD3910"/>
    <w:rsid w:val="00CD53E3"/>
    <w:rsid w:val="00CD6876"/>
    <w:rsid w:val="00CD7B01"/>
    <w:rsid w:val="00CE140F"/>
    <w:rsid w:val="00CE2A67"/>
    <w:rsid w:val="00CE3937"/>
    <w:rsid w:val="00CE3BF3"/>
    <w:rsid w:val="00CE3E82"/>
    <w:rsid w:val="00CE3E98"/>
    <w:rsid w:val="00CE4343"/>
    <w:rsid w:val="00CE4815"/>
    <w:rsid w:val="00CE4819"/>
    <w:rsid w:val="00CE634A"/>
    <w:rsid w:val="00CE7898"/>
    <w:rsid w:val="00CE7E37"/>
    <w:rsid w:val="00CF0730"/>
    <w:rsid w:val="00CF0BC0"/>
    <w:rsid w:val="00CF2FAC"/>
    <w:rsid w:val="00CF3380"/>
    <w:rsid w:val="00CF34E2"/>
    <w:rsid w:val="00CF40CF"/>
    <w:rsid w:val="00CF4EAE"/>
    <w:rsid w:val="00CF538C"/>
    <w:rsid w:val="00CF5B32"/>
    <w:rsid w:val="00CF69BC"/>
    <w:rsid w:val="00CF6EB3"/>
    <w:rsid w:val="00CF7345"/>
    <w:rsid w:val="00D0047C"/>
    <w:rsid w:val="00D02FD5"/>
    <w:rsid w:val="00D03362"/>
    <w:rsid w:val="00D033B3"/>
    <w:rsid w:val="00D037DC"/>
    <w:rsid w:val="00D03922"/>
    <w:rsid w:val="00D04079"/>
    <w:rsid w:val="00D04151"/>
    <w:rsid w:val="00D04195"/>
    <w:rsid w:val="00D04F70"/>
    <w:rsid w:val="00D057E0"/>
    <w:rsid w:val="00D05F9E"/>
    <w:rsid w:val="00D06908"/>
    <w:rsid w:val="00D06E10"/>
    <w:rsid w:val="00D10573"/>
    <w:rsid w:val="00D112C0"/>
    <w:rsid w:val="00D115B9"/>
    <w:rsid w:val="00D11C73"/>
    <w:rsid w:val="00D120EB"/>
    <w:rsid w:val="00D12442"/>
    <w:rsid w:val="00D131B3"/>
    <w:rsid w:val="00D15D03"/>
    <w:rsid w:val="00D15D64"/>
    <w:rsid w:val="00D15E02"/>
    <w:rsid w:val="00D15E40"/>
    <w:rsid w:val="00D20ADE"/>
    <w:rsid w:val="00D20DC9"/>
    <w:rsid w:val="00D20EFE"/>
    <w:rsid w:val="00D229F3"/>
    <w:rsid w:val="00D235D0"/>
    <w:rsid w:val="00D244DB"/>
    <w:rsid w:val="00D24776"/>
    <w:rsid w:val="00D2494F"/>
    <w:rsid w:val="00D24C4B"/>
    <w:rsid w:val="00D262E3"/>
    <w:rsid w:val="00D27AE7"/>
    <w:rsid w:val="00D31B41"/>
    <w:rsid w:val="00D33039"/>
    <w:rsid w:val="00D332B9"/>
    <w:rsid w:val="00D33AA3"/>
    <w:rsid w:val="00D34940"/>
    <w:rsid w:val="00D34B6B"/>
    <w:rsid w:val="00D34CBC"/>
    <w:rsid w:val="00D35257"/>
    <w:rsid w:val="00D3557A"/>
    <w:rsid w:val="00D37123"/>
    <w:rsid w:val="00D37413"/>
    <w:rsid w:val="00D40755"/>
    <w:rsid w:val="00D408C7"/>
    <w:rsid w:val="00D4290C"/>
    <w:rsid w:val="00D42B1C"/>
    <w:rsid w:val="00D42F3D"/>
    <w:rsid w:val="00D44525"/>
    <w:rsid w:val="00D449D5"/>
    <w:rsid w:val="00D469F5"/>
    <w:rsid w:val="00D4765B"/>
    <w:rsid w:val="00D47BB3"/>
    <w:rsid w:val="00D50215"/>
    <w:rsid w:val="00D515E1"/>
    <w:rsid w:val="00D520CD"/>
    <w:rsid w:val="00D52637"/>
    <w:rsid w:val="00D530EE"/>
    <w:rsid w:val="00D54225"/>
    <w:rsid w:val="00D5481C"/>
    <w:rsid w:val="00D568C9"/>
    <w:rsid w:val="00D5707F"/>
    <w:rsid w:val="00D57396"/>
    <w:rsid w:val="00D57BF1"/>
    <w:rsid w:val="00D57E14"/>
    <w:rsid w:val="00D6069F"/>
    <w:rsid w:val="00D609FA"/>
    <w:rsid w:val="00D60A95"/>
    <w:rsid w:val="00D613AB"/>
    <w:rsid w:val="00D6162D"/>
    <w:rsid w:val="00D619CF"/>
    <w:rsid w:val="00D61D57"/>
    <w:rsid w:val="00D623D8"/>
    <w:rsid w:val="00D62AD5"/>
    <w:rsid w:val="00D62D05"/>
    <w:rsid w:val="00D632D6"/>
    <w:rsid w:val="00D6469B"/>
    <w:rsid w:val="00D64AB7"/>
    <w:rsid w:val="00D64DC2"/>
    <w:rsid w:val="00D65737"/>
    <w:rsid w:val="00D66388"/>
    <w:rsid w:val="00D66E1D"/>
    <w:rsid w:val="00D67C0C"/>
    <w:rsid w:val="00D70218"/>
    <w:rsid w:val="00D702E8"/>
    <w:rsid w:val="00D70531"/>
    <w:rsid w:val="00D71C61"/>
    <w:rsid w:val="00D73E22"/>
    <w:rsid w:val="00D75404"/>
    <w:rsid w:val="00D75AEF"/>
    <w:rsid w:val="00D7611E"/>
    <w:rsid w:val="00D764C4"/>
    <w:rsid w:val="00D770AB"/>
    <w:rsid w:val="00D77458"/>
    <w:rsid w:val="00D776A2"/>
    <w:rsid w:val="00D80D0E"/>
    <w:rsid w:val="00D816CB"/>
    <w:rsid w:val="00D83055"/>
    <w:rsid w:val="00D845BE"/>
    <w:rsid w:val="00D85238"/>
    <w:rsid w:val="00D92E7C"/>
    <w:rsid w:val="00D933E4"/>
    <w:rsid w:val="00D939AF"/>
    <w:rsid w:val="00D94301"/>
    <w:rsid w:val="00D9491D"/>
    <w:rsid w:val="00D94B83"/>
    <w:rsid w:val="00D94C93"/>
    <w:rsid w:val="00DA0651"/>
    <w:rsid w:val="00DA0766"/>
    <w:rsid w:val="00DA1078"/>
    <w:rsid w:val="00DA21F3"/>
    <w:rsid w:val="00DA35F4"/>
    <w:rsid w:val="00DA452B"/>
    <w:rsid w:val="00DA495F"/>
    <w:rsid w:val="00DA5EEB"/>
    <w:rsid w:val="00DA6B05"/>
    <w:rsid w:val="00DA744D"/>
    <w:rsid w:val="00DA7635"/>
    <w:rsid w:val="00DB114D"/>
    <w:rsid w:val="00DB297C"/>
    <w:rsid w:val="00DB4344"/>
    <w:rsid w:val="00DB4D47"/>
    <w:rsid w:val="00DB5504"/>
    <w:rsid w:val="00DB7186"/>
    <w:rsid w:val="00DC0046"/>
    <w:rsid w:val="00DC0086"/>
    <w:rsid w:val="00DC0473"/>
    <w:rsid w:val="00DC15D5"/>
    <w:rsid w:val="00DC1A68"/>
    <w:rsid w:val="00DC1AC9"/>
    <w:rsid w:val="00DC1C11"/>
    <w:rsid w:val="00DC2146"/>
    <w:rsid w:val="00DC24E1"/>
    <w:rsid w:val="00DC2F3F"/>
    <w:rsid w:val="00DC5D0F"/>
    <w:rsid w:val="00DC6A2F"/>
    <w:rsid w:val="00DC7EF4"/>
    <w:rsid w:val="00DD1440"/>
    <w:rsid w:val="00DD1C3C"/>
    <w:rsid w:val="00DD20E9"/>
    <w:rsid w:val="00DD2565"/>
    <w:rsid w:val="00DD2FD1"/>
    <w:rsid w:val="00DD379B"/>
    <w:rsid w:val="00DD4029"/>
    <w:rsid w:val="00DD5913"/>
    <w:rsid w:val="00DD734F"/>
    <w:rsid w:val="00DE1655"/>
    <w:rsid w:val="00DE165D"/>
    <w:rsid w:val="00DE2DD5"/>
    <w:rsid w:val="00DE3004"/>
    <w:rsid w:val="00DE6540"/>
    <w:rsid w:val="00DE7ED9"/>
    <w:rsid w:val="00DF05A0"/>
    <w:rsid w:val="00DF1C10"/>
    <w:rsid w:val="00DF1C4D"/>
    <w:rsid w:val="00DF23C5"/>
    <w:rsid w:val="00DF3CE9"/>
    <w:rsid w:val="00DF47DA"/>
    <w:rsid w:val="00DF4B66"/>
    <w:rsid w:val="00DF50B3"/>
    <w:rsid w:val="00DF5B1A"/>
    <w:rsid w:val="00DF5E1F"/>
    <w:rsid w:val="00DF6968"/>
    <w:rsid w:val="00DF6E9A"/>
    <w:rsid w:val="00DF7368"/>
    <w:rsid w:val="00DF7A52"/>
    <w:rsid w:val="00E0036B"/>
    <w:rsid w:val="00E019E6"/>
    <w:rsid w:val="00E01FC2"/>
    <w:rsid w:val="00E02946"/>
    <w:rsid w:val="00E02D38"/>
    <w:rsid w:val="00E03098"/>
    <w:rsid w:val="00E034B3"/>
    <w:rsid w:val="00E04843"/>
    <w:rsid w:val="00E04A0D"/>
    <w:rsid w:val="00E04FC6"/>
    <w:rsid w:val="00E06361"/>
    <w:rsid w:val="00E06391"/>
    <w:rsid w:val="00E064C9"/>
    <w:rsid w:val="00E07F39"/>
    <w:rsid w:val="00E10083"/>
    <w:rsid w:val="00E10335"/>
    <w:rsid w:val="00E10950"/>
    <w:rsid w:val="00E11C68"/>
    <w:rsid w:val="00E1222B"/>
    <w:rsid w:val="00E125B3"/>
    <w:rsid w:val="00E126C3"/>
    <w:rsid w:val="00E12F97"/>
    <w:rsid w:val="00E1378E"/>
    <w:rsid w:val="00E13C7D"/>
    <w:rsid w:val="00E13FA6"/>
    <w:rsid w:val="00E145B1"/>
    <w:rsid w:val="00E150A1"/>
    <w:rsid w:val="00E156B8"/>
    <w:rsid w:val="00E16434"/>
    <w:rsid w:val="00E169BD"/>
    <w:rsid w:val="00E17870"/>
    <w:rsid w:val="00E17DC5"/>
    <w:rsid w:val="00E20C6E"/>
    <w:rsid w:val="00E211F9"/>
    <w:rsid w:val="00E21DF6"/>
    <w:rsid w:val="00E2254B"/>
    <w:rsid w:val="00E22DC2"/>
    <w:rsid w:val="00E26428"/>
    <w:rsid w:val="00E27802"/>
    <w:rsid w:val="00E27B7B"/>
    <w:rsid w:val="00E3010D"/>
    <w:rsid w:val="00E31A4A"/>
    <w:rsid w:val="00E33279"/>
    <w:rsid w:val="00E34012"/>
    <w:rsid w:val="00E34093"/>
    <w:rsid w:val="00E3445C"/>
    <w:rsid w:val="00E34601"/>
    <w:rsid w:val="00E34784"/>
    <w:rsid w:val="00E356B9"/>
    <w:rsid w:val="00E36452"/>
    <w:rsid w:val="00E36754"/>
    <w:rsid w:val="00E36826"/>
    <w:rsid w:val="00E36CA0"/>
    <w:rsid w:val="00E4045A"/>
    <w:rsid w:val="00E4086F"/>
    <w:rsid w:val="00E40F17"/>
    <w:rsid w:val="00E42071"/>
    <w:rsid w:val="00E427AF"/>
    <w:rsid w:val="00E42C16"/>
    <w:rsid w:val="00E42DF8"/>
    <w:rsid w:val="00E42E2E"/>
    <w:rsid w:val="00E43BEC"/>
    <w:rsid w:val="00E4427C"/>
    <w:rsid w:val="00E44AA7"/>
    <w:rsid w:val="00E4508C"/>
    <w:rsid w:val="00E45B31"/>
    <w:rsid w:val="00E4643E"/>
    <w:rsid w:val="00E46574"/>
    <w:rsid w:val="00E468C2"/>
    <w:rsid w:val="00E4766C"/>
    <w:rsid w:val="00E504D8"/>
    <w:rsid w:val="00E51642"/>
    <w:rsid w:val="00E5211B"/>
    <w:rsid w:val="00E525DD"/>
    <w:rsid w:val="00E52FD4"/>
    <w:rsid w:val="00E5334F"/>
    <w:rsid w:val="00E53842"/>
    <w:rsid w:val="00E54160"/>
    <w:rsid w:val="00E54195"/>
    <w:rsid w:val="00E54C59"/>
    <w:rsid w:val="00E5528A"/>
    <w:rsid w:val="00E55476"/>
    <w:rsid w:val="00E56088"/>
    <w:rsid w:val="00E5771C"/>
    <w:rsid w:val="00E622A6"/>
    <w:rsid w:val="00E636C7"/>
    <w:rsid w:val="00E63C91"/>
    <w:rsid w:val="00E64375"/>
    <w:rsid w:val="00E64701"/>
    <w:rsid w:val="00E65262"/>
    <w:rsid w:val="00E65D55"/>
    <w:rsid w:val="00E6653D"/>
    <w:rsid w:val="00E6684F"/>
    <w:rsid w:val="00E67B56"/>
    <w:rsid w:val="00E70B11"/>
    <w:rsid w:val="00E715BB"/>
    <w:rsid w:val="00E715E2"/>
    <w:rsid w:val="00E71BC0"/>
    <w:rsid w:val="00E73046"/>
    <w:rsid w:val="00E73F72"/>
    <w:rsid w:val="00E742C6"/>
    <w:rsid w:val="00E7595D"/>
    <w:rsid w:val="00E76084"/>
    <w:rsid w:val="00E76819"/>
    <w:rsid w:val="00E77ADD"/>
    <w:rsid w:val="00E77C15"/>
    <w:rsid w:val="00E811A4"/>
    <w:rsid w:val="00E8288E"/>
    <w:rsid w:val="00E838A2"/>
    <w:rsid w:val="00E87F8F"/>
    <w:rsid w:val="00E9005A"/>
    <w:rsid w:val="00E90925"/>
    <w:rsid w:val="00E90FB3"/>
    <w:rsid w:val="00E9267B"/>
    <w:rsid w:val="00E92701"/>
    <w:rsid w:val="00E93A1C"/>
    <w:rsid w:val="00E96099"/>
    <w:rsid w:val="00E96144"/>
    <w:rsid w:val="00E96443"/>
    <w:rsid w:val="00E96737"/>
    <w:rsid w:val="00E97CCE"/>
    <w:rsid w:val="00EA0BA4"/>
    <w:rsid w:val="00EA0C2B"/>
    <w:rsid w:val="00EA1153"/>
    <w:rsid w:val="00EA1853"/>
    <w:rsid w:val="00EA1AA5"/>
    <w:rsid w:val="00EA2A70"/>
    <w:rsid w:val="00EA2DB9"/>
    <w:rsid w:val="00EA3FFC"/>
    <w:rsid w:val="00EA52CB"/>
    <w:rsid w:val="00EA5F7C"/>
    <w:rsid w:val="00EA67B9"/>
    <w:rsid w:val="00EA6A2D"/>
    <w:rsid w:val="00EA7E1F"/>
    <w:rsid w:val="00EB0194"/>
    <w:rsid w:val="00EB02BE"/>
    <w:rsid w:val="00EB1DAC"/>
    <w:rsid w:val="00EB2378"/>
    <w:rsid w:val="00EB26C4"/>
    <w:rsid w:val="00EB2974"/>
    <w:rsid w:val="00EB2A7A"/>
    <w:rsid w:val="00EB36A1"/>
    <w:rsid w:val="00EB389D"/>
    <w:rsid w:val="00EB421C"/>
    <w:rsid w:val="00EB4703"/>
    <w:rsid w:val="00EB4CF3"/>
    <w:rsid w:val="00EB551D"/>
    <w:rsid w:val="00EB55A1"/>
    <w:rsid w:val="00EB574E"/>
    <w:rsid w:val="00EB5A69"/>
    <w:rsid w:val="00EB620E"/>
    <w:rsid w:val="00EB6916"/>
    <w:rsid w:val="00EB6C06"/>
    <w:rsid w:val="00EB7516"/>
    <w:rsid w:val="00EB7884"/>
    <w:rsid w:val="00EC0EB1"/>
    <w:rsid w:val="00EC183D"/>
    <w:rsid w:val="00EC188C"/>
    <w:rsid w:val="00EC1EAE"/>
    <w:rsid w:val="00EC2107"/>
    <w:rsid w:val="00EC3717"/>
    <w:rsid w:val="00EC43B2"/>
    <w:rsid w:val="00EC4A12"/>
    <w:rsid w:val="00EC4EB0"/>
    <w:rsid w:val="00EC4F7C"/>
    <w:rsid w:val="00EC6185"/>
    <w:rsid w:val="00EC623C"/>
    <w:rsid w:val="00EC647C"/>
    <w:rsid w:val="00ED1616"/>
    <w:rsid w:val="00ED50FF"/>
    <w:rsid w:val="00ED5272"/>
    <w:rsid w:val="00ED6AB4"/>
    <w:rsid w:val="00ED6CBD"/>
    <w:rsid w:val="00EE0335"/>
    <w:rsid w:val="00EE1A85"/>
    <w:rsid w:val="00EE1B5D"/>
    <w:rsid w:val="00EE211A"/>
    <w:rsid w:val="00EE3470"/>
    <w:rsid w:val="00EE3C5B"/>
    <w:rsid w:val="00EE42C7"/>
    <w:rsid w:val="00EE5CA9"/>
    <w:rsid w:val="00EE5EA3"/>
    <w:rsid w:val="00EE60CF"/>
    <w:rsid w:val="00EE6E03"/>
    <w:rsid w:val="00EE71DC"/>
    <w:rsid w:val="00EE71EE"/>
    <w:rsid w:val="00EF0DD8"/>
    <w:rsid w:val="00EF1B43"/>
    <w:rsid w:val="00EF342D"/>
    <w:rsid w:val="00EF3D17"/>
    <w:rsid w:val="00EF4169"/>
    <w:rsid w:val="00EF46E9"/>
    <w:rsid w:val="00EF5A84"/>
    <w:rsid w:val="00EF6E4B"/>
    <w:rsid w:val="00EF7D9E"/>
    <w:rsid w:val="00F003BE"/>
    <w:rsid w:val="00F004F3"/>
    <w:rsid w:val="00F014DC"/>
    <w:rsid w:val="00F0248A"/>
    <w:rsid w:val="00F04840"/>
    <w:rsid w:val="00F05C2E"/>
    <w:rsid w:val="00F05C8D"/>
    <w:rsid w:val="00F05E1A"/>
    <w:rsid w:val="00F06491"/>
    <w:rsid w:val="00F0719E"/>
    <w:rsid w:val="00F077E4"/>
    <w:rsid w:val="00F101DA"/>
    <w:rsid w:val="00F11DDE"/>
    <w:rsid w:val="00F12B6C"/>
    <w:rsid w:val="00F1391C"/>
    <w:rsid w:val="00F13CDA"/>
    <w:rsid w:val="00F1449C"/>
    <w:rsid w:val="00F14A68"/>
    <w:rsid w:val="00F14B59"/>
    <w:rsid w:val="00F17B14"/>
    <w:rsid w:val="00F205DB"/>
    <w:rsid w:val="00F207EE"/>
    <w:rsid w:val="00F212C6"/>
    <w:rsid w:val="00F23835"/>
    <w:rsid w:val="00F25465"/>
    <w:rsid w:val="00F266D1"/>
    <w:rsid w:val="00F26E06"/>
    <w:rsid w:val="00F27C6D"/>
    <w:rsid w:val="00F3199F"/>
    <w:rsid w:val="00F31A67"/>
    <w:rsid w:val="00F32499"/>
    <w:rsid w:val="00F32F1A"/>
    <w:rsid w:val="00F33BDA"/>
    <w:rsid w:val="00F34899"/>
    <w:rsid w:val="00F3518C"/>
    <w:rsid w:val="00F3573D"/>
    <w:rsid w:val="00F37732"/>
    <w:rsid w:val="00F42230"/>
    <w:rsid w:val="00F4294F"/>
    <w:rsid w:val="00F42A18"/>
    <w:rsid w:val="00F431CD"/>
    <w:rsid w:val="00F432BB"/>
    <w:rsid w:val="00F44723"/>
    <w:rsid w:val="00F449DD"/>
    <w:rsid w:val="00F46007"/>
    <w:rsid w:val="00F468BE"/>
    <w:rsid w:val="00F500F4"/>
    <w:rsid w:val="00F506A4"/>
    <w:rsid w:val="00F53E8C"/>
    <w:rsid w:val="00F547B2"/>
    <w:rsid w:val="00F5495E"/>
    <w:rsid w:val="00F565FD"/>
    <w:rsid w:val="00F56B0F"/>
    <w:rsid w:val="00F57A15"/>
    <w:rsid w:val="00F57B74"/>
    <w:rsid w:val="00F57F48"/>
    <w:rsid w:val="00F61B22"/>
    <w:rsid w:val="00F6208C"/>
    <w:rsid w:val="00F627CD"/>
    <w:rsid w:val="00F6329E"/>
    <w:rsid w:val="00F63794"/>
    <w:rsid w:val="00F6401E"/>
    <w:rsid w:val="00F659DE"/>
    <w:rsid w:val="00F674F2"/>
    <w:rsid w:val="00F67E33"/>
    <w:rsid w:val="00F70B41"/>
    <w:rsid w:val="00F70DD1"/>
    <w:rsid w:val="00F71B0D"/>
    <w:rsid w:val="00F7334A"/>
    <w:rsid w:val="00F74736"/>
    <w:rsid w:val="00F74A4F"/>
    <w:rsid w:val="00F752E1"/>
    <w:rsid w:val="00F75714"/>
    <w:rsid w:val="00F758CE"/>
    <w:rsid w:val="00F75BFE"/>
    <w:rsid w:val="00F75E45"/>
    <w:rsid w:val="00F774BB"/>
    <w:rsid w:val="00F8079F"/>
    <w:rsid w:val="00F815D2"/>
    <w:rsid w:val="00F83642"/>
    <w:rsid w:val="00F841AF"/>
    <w:rsid w:val="00F84FBB"/>
    <w:rsid w:val="00F8607E"/>
    <w:rsid w:val="00F873BA"/>
    <w:rsid w:val="00F87A7C"/>
    <w:rsid w:val="00F90295"/>
    <w:rsid w:val="00F9096B"/>
    <w:rsid w:val="00F92702"/>
    <w:rsid w:val="00F92C68"/>
    <w:rsid w:val="00F92FA3"/>
    <w:rsid w:val="00F93E26"/>
    <w:rsid w:val="00F94CA7"/>
    <w:rsid w:val="00F95AE5"/>
    <w:rsid w:val="00F95DD3"/>
    <w:rsid w:val="00F96792"/>
    <w:rsid w:val="00F96E8A"/>
    <w:rsid w:val="00F9718E"/>
    <w:rsid w:val="00F97A85"/>
    <w:rsid w:val="00FA0EE5"/>
    <w:rsid w:val="00FA166F"/>
    <w:rsid w:val="00FA2FA1"/>
    <w:rsid w:val="00FA3051"/>
    <w:rsid w:val="00FA337C"/>
    <w:rsid w:val="00FA43D9"/>
    <w:rsid w:val="00FA440E"/>
    <w:rsid w:val="00FA5670"/>
    <w:rsid w:val="00FA6096"/>
    <w:rsid w:val="00FA6381"/>
    <w:rsid w:val="00FA68B3"/>
    <w:rsid w:val="00FA78BF"/>
    <w:rsid w:val="00FA79D1"/>
    <w:rsid w:val="00FA7E97"/>
    <w:rsid w:val="00FB06DD"/>
    <w:rsid w:val="00FB0BEE"/>
    <w:rsid w:val="00FB0E92"/>
    <w:rsid w:val="00FB11D2"/>
    <w:rsid w:val="00FB1E4E"/>
    <w:rsid w:val="00FB57D9"/>
    <w:rsid w:val="00FB5F3B"/>
    <w:rsid w:val="00FC0007"/>
    <w:rsid w:val="00FC08E8"/>
    <w:rsid w:val="00FC19D4"/>
    <w:rsid w:val="00FC1A2C"/>
    <w:rsid w:val="00FC23A7"/>
    <w:rsid w:val="00FC377E"/>
    <w:rsid w:val="00FC40CB"/>
    <w:rsid w:val="00FC46C5"/>
    <w:rsid w:val="00FC687D"/>
    <w:rsid w:val="00FC6C23"/>
    <w:rsid w:val="00FC77CC"/>
    <w:rsid w:val="00FD1A13"/>
    <w:rsid w:val="00FD1F7F"/>
    <w:rsid w:val="00FD2780"/>
    <w:rsid w:val="00FD3014"/>
    <w:rsid w:val="00FD331D"/>
    <w:rsid w:val="00FD477D"/>
    <w:rsid w:val="00FD4A36"/>
    <w:rsid w:val="00FD4E66"/>
    <w:rsid w:val="00FD5F26"/>
    <w:rsid w:val="00FD69A6"/>
    <w:rsid w:val="00FD6B42"/>
    <w:rsid w:val="00FD6F39"/>
    <w:rsid w:val="00FD7037"/>
    <w:rsid w:val="00FE106D"/>
    <w:rsid w:val="00FE20D7"/>
    <w:rsid w:val="00FE22ED"/>
    <w:rsid w:val="00FE3312"/>
    <w:rsid w:val="00FE396E"/>
    <w:rsid w:val="00FE3E29"/>
    <w:rsid w:val="00FE5583"/>
    <w:rsid w:val="00FE5666"/>
    <w:rsid w:val="00FE598F"/>
    <w:rsid w:val="00FE6075"/>
    <w:rsid w:val="00FE60F9"/>
    <w:rsid w:val="00FE620E"/>
    <w:rsid w:val="00FE6AB6"/>
    <w:rsid w:val="00FE6F18"/>
    <w:rsid w:val="00FE7816"/>
    <w:rsid w:val="00FE7BD4"/>
    <w:rsid w:val="00FF04B7"/>
    <w:rsid w:val="00FF0A2D"/>
    <w:rsid w:val="00FF0B76"/>
    <w:rsid w:val="00FF1093"/>
    <w:rsid w:val="00FF1665"/>
    <w:rsid w:val="00FF1810"/>
    <w:rsid w:val="00FF2BBB"/>
    <w:rsid w:val="00FF2EF7"/>
    <w:rsid w:val="00FF3E5B"/>
    <w:rsid w:val="00FF6BFC"/>
    <w:rsid w:val="00FF6CA8"/>
    <w:rsid w:val="00FF6D69"/>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23937">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B95EDB"/>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99"/>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heading4">
    <w:name w:val="AER heading 4"/>
    <w:basedOn w:val="Normal"/>
    <w:rsid w:val="008026F1"/>
    <w:pPr>
      <w:keepNext/>
      <w:spacing w:before="240" w:after="120" w:line="240" w:lineRule="auto"/>
      <w:ind w:left="851" w:hanging="851"/>
      <w:jc w:val="left"/>
    </w:pPr>
    <w:rPr>
      <w:rFonts w:ascii="Times New Roman" w:eastAsia="Times New Roman" w:hAnsi="Times New Roman" w:cs="Times New Roman"/>
      <w:b/>
      <w:bCs/>
    </w:rPr>
  </w:style>
  <w:style w:type="paragraph" w:styleId="BodyText">
    <w:name w:val="Body Text"/>
    <w:basedOn w:val="Normal"/>
    <w:link w:val="BodyTextChar"/>
    <w:uiPriority w:val="99"/>
    <w:semiHidden/>
    <w:unhideWhenUsed/>
    <w:rsid w:val="003C0BAD"/>
    <w:pPr>
      <w:spacing w:after="120"/>
    </w:pPr>
  </w:style>
  <w:style w:type="character" w:customStyle="1" w:styleId="BodyTextChar">
    <w:name w:val="Body Text Char"/>
    <w:basedOn w:val="DefaultParagraphFont"/>
    <w:link w:val="BodyText"/>
    <w:uiPriority w:val="99"/>
    <w:semiHidden/>
    <w:rsid w:val="003C0BA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B95EDB"/>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99"/>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heading4">
    <w:name w:val="AER heading 4"/>
    <w:basedOn w:val="Normal"/>
    <w:rsid w:val="008026F1"/>
    <w:pPr>
      <w:keepNext/>
      <w:spacing w:before="240" w:after="120" w:line="240" w:lineRule="auto"/>
      <w:ind w:left="851" w:hanging="851"/>
      <w:jc w:val="left"/>
    </w:pPr>
    <w:rPr>
      <w:rFonts w:ascii="Times New Roman" w:eastAsia="Times New Roman" w:hAnsi="Times New Roman" w:cs="Times New Roman"/>
      <w:b/>
      <w:bCs/>
    </w:rPr>
  </w:style>
  <w:style w:type="paragraph" w:styleId="BodyText">
    <w:name w:val="Body Text"/>
    <w:basedOn w:val="Normal"/>
    <w:link w:val="BodyTextChar"/>
    <w:uiPriority w:val="99"/>
    <w:semiHidden/>
    <w:unhideWhenUsed/>
    <w:rsid w:val="003C0BAD"/>
    <w:pPr>
      <w:spacing w:after="120"/>
    </w:pPr>
  </w:style>
  <w:style w:type="character" w:customStyle="1" w:styleId="BodyTextChar">
    <w:name w:val="Body Text Char"/>
    <w:basedOn w:val="DefaultParagraphFont"/>
    <w:link w:val="BodyText"/>
    <w:uiPriority w:val="99"/>
    <w:semiHidden/>
    <w:rsid w:val="003C0B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1074">
      <w:bodyDiv w:val="1"/>
      <w:marLeft w:val="0"/>
      <w:marRight w:val="0"/>
      <w:marTop w:val="0"/>
      <w:marBottom w:val="0"/>
      <w:divBdr>
        <w:top w:val="none" w:sz="0" w:space="0" w:color="auto"/>
        <w:left w:val="none" w:sz="0" w:space="0" w:color="auto"/>
        <w:bottom w:val="none" w:sz="0" w:space="0" w:color="auto"/>
        <w:right w:val="none" w:sz="0" w:space="0" w:color="auto"/>
      </w:divBdr>
    </w:div>
    <w:div w:id="167721982">
      <w:bodyDiv w:val="1"/>
      <w:marLeft w:val="0"/>
      <w:marRight w:val="0"/>
      <w:marTop w:val="0"/>
      <w:marBottom w:val="0"/>
      <w:divBdr>
        <w:top w:val="none" w:sz="0" w:space="0" w:color="auto"/>
        <w:left w:val="none" w:sz="0" w:space="0" w:color="auto"/>
        <w:bottom w:val="none" w:sz="0" w:space="0" w:color="auto"/>
        <w:right w:val="none" w:sz="0" w:space="0" w:color="auto"/>
      </w:divBdr>
    </w:div>
    <w:div w:id="243034249">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52537669">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817234274">
      <w:bodyDiv w:val="1"/>
      <w:marLeft w:val="0"/>
      <w:marRight w:val="0"/>
      <w:marTop w:val="0"/>
      <w:marBottom w:val="0"/>
      <w:divBdr>
        <w:top w:val="none" w:sz="0" w:space="0" w:color="auto"/>
        <w:left w:val="none" w:sz="0" w:space="0" w:color="auto"/>
        <w:bottom w:val="none" w:sz="0" w:space="0" w:color="auto"/>
        <w:right w:val="none" w:sz="0" w:space="0" w:color="auto"/>
      </w:divBdr>
    </w:div>
    <w:div w:id="826700981">
      <w:bodyDiv w:val="1"/>
      <w:marLeft w:val="0"/>
      <w:marRight w:val="0"/>
      <w:marTop w:val="0"/>
      <w:marBottom w:val="0"/>
      <w:divBdr>
        <w:top w:val="none" w:sz="0" w:space="0" w:color="auto"/>
        <w:left w:val="none" w:sz="0" w:space="0" w:color="auto"/>
        <w:bottom w:val="none" w:sz="0" w:space="0" w:color="auto"/>
        <w:right w:val="none" w:sz="0" w:space="0" w:color="auto"/>
      </w:divBdr>
    </w:div>
    <w:div w:id="843474959">
      <w:bodyDiv w:val="1"/>
      <w:marLeft w:val="0"/>
      <w:marRight w:val="0"/>
      <w:marTop w:val="0"/>
      <w:marBottom w:val="0"/>
      <w:divBdr>
        <w:top w:val="none" w:sz="0" w:space="0" w:color="auto"/>
        <w:left w:val="none" w:sz="0" w:space="0" w:color="auto"/>
        <w:bottom w:val="none" w:sz="0" w:space="0" w:color="auto"/>
        <w:right w:val="none" w:sz="0" w:space="0" w:color="auto"/>
      </w:divBdr>
    </w:div>
    <w:div w:id="960067390">
      <w:bodyDiv w:val="1"/>
      <w:marLeft w:val="0"/>
      <w:marRight w:val="0"/>
      <w:marTop w:val="0"/>
      <w:marBottom w:val="0"/>
      <w:divBdr>
        <w:top w:val="none" w:sz="0" w:space="0" w:color="auto"/>
        <w:left w:val="none" w:sz="0" w:space="0" w:color="auto"/>
        <w:bottom w:val="none" w:sz="0" w:space="0" w:color="auto"/>
        <w:right w:val="none" w:sz="0" w:space="0" w:color="auto"/>
      </w:divBdr>
    </w:div>
    <w:div w:id="986666938">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97408104">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84709525">
      <w:bodyDiv w:val="1"/>
      <w:marLeft w:val="0"/>
      <w:marRight w:val="0"/>
      <w:marTop w:val="0"/>
      <w:marBottom w:val="0"/>
      <w:divBdr>
        <w:top w:val="none" w:sz="0" w:space="0" w:color="auto"/>
        <w:left w:val="none" w:sz="0" w:space="0" w:color="auto"/>
        <w:bottom w:val="none" w:sz="0" w:space="0" w:color="auto"/>
        <w:right w:val="none" w:sz="0" w:space="0" w:color="auto"/>
      </w:divBdr>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380089040">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22219626">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888809">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661154351">
      <w:bodyDiv w:val="1"/>
      <w:marLeft w:val="0"/>
      <w:marRight w:val="0"/>
      <w:marTop w:val="0"/>
      <w:marBottom w:val="0"/>
      <w:divBdr>
        <w:top w:val="none" w:sz="0" w:space="0" w:color="auto"/>
        <w:left w:val="none" w:sz="0" w:space="0" w:color="auto"/>
        <w:bottom w:val="none" w:sz="0" w:space="0" w:color="auto"/>
        <w:right w:val="none" w:sz="0" w:space="0" w:color="auto"/>
      </w:divBdr>
    </w:div>
    <w:div w:id="1762870797">
      <w:bodyDiv w:val="1"/>
      <w:marLeft w:val="0"/>
      <w:marRight w:val="0"/>
      <w:marTop w:val="0"/>
      <w:marBottom w:val="0"/>
      <w:divBdr>
        <w:top w:val="none" w:sz="0" w:space="0" w:color="auto"/>
        <w:left w:val="none" w:sz="0" w:space="0" w:color="auto"/>
        <w:bottom w:val="none" w:sz="0" w:space="0" w:color="auto"/>
        <w:right w:val="none" w:sz="0" w:space="0" w:color="auto"/>
      </w:divBdr>
      <w:divsChild>
        <w:div w:id="1100183032">
          <w:marLeft w:val="0"/>
          <w:marRight w:val="0"/>
          <w:marTop w:val="0"/>
          <w:marBottom w:val="0"/>
          <w:divBdr>
            <w:top w:val="none" w:sz="0" w:space="0" w:color="auto"/>
            <w:left w:val="none" w:sz="0" w:space="0" w:color="auto"/>
            <w:bottom w:val="none" w:sz="0" w:space="0" w:color="auto"/>
            <w:right w:val="none" w:sz="0" w:space="0" w:color="auto"/>
          </w:divBdr>
          <w:divsChild>
            <w:div w:id="1213927370">
              <w:marLeft w:val="0"/>
              <w:marRight w:val="0"/>
              <w:marTop w:val="210"/>
              <w:marBottom w:val="0"/>
              <w:divBdr>
                <w:top w:val="none" w:sz="0" w:space="0" w:color="auto"/>
                <w:left w:val="none" w:sz="0" w:space="0" w:color="auto"/>
                <w:bottom w:val="none" w:sz="0" w:space="0" w:color="auto"/>
                <w:right w:val="none" w:sz="0" w:space="0" w:color="auto"/>
              </w:divBdr>
              <w:divsChild>
                <w:div w:id="927932603">
                  <w:marLeft w:val="0"/>
                  <w:marRight w:val="0"/>
                  <w:marTop w:val="0"/>
                  <w:marBottom w:val="0"/>
                  <w:divBdr>
                    <w:top w:val="none" w:sz="0" w:space="0" w:color="auto"/>
                    <w:left w:val="none" w:sz="0" w:space="0" w:color="auto"/>
                    <w:bottom w:val="none" w:sz="0" w:space="0" w:color="auto"/>
                    <w:right w:val="none" w:sz="0" w:space="0" w:color="auto"/>
                  </w:divBdr>
                  <w:divsChild>
                    <w:div w:id="1434864770">
                      <w:marLeft w:val="0"/>
                      <w:marRight w:val="0"/>
                      <w:marTop w:val="0"/>
                      <w:marBottom w:val="600"/>
                      <w:divBdr>
                        <w:top w:val="none" w:sz="0" w:space="0" w:color="auto"/>
                        <w:left w:val="none" w:sz="0" w:space="0" w:color="auto"/>
                        <w:bottom w:val="none" w:sz="0" w:space="0" w:color="auto"/>
                        <w:right w:val="none" w:sz="0" w:space="0" w:color="auto"/>
                      </w:divBdr>
                      <w:divsChild>
                        <w:div w:id="176429076">
                          <w:marLeft w:val="0"/>
                          <w:marRight w:val="0"/>
                          <w:marTop w:val="0"/>
                          <w:marBottom w:val="0"/>
                          <w:divBdr>
                            <w:top w:val="none" w:sz="0" w:space="0" w:color="auto"/>
                            <w:left w:val="none" w:sz="0" w:space="0" w:color="auto"/>
                            <w:bottom w:val="none" w:sz="0" w:space="0" w:color="auto"/>
                            <w:right w:val="none" w:sz="0" w:space="0" w:color="auto"/>
                          </w:divBdr>
                          <w:divsChild>
                            <w:div w:id="188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451225">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1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numbering" Target="numbering.xml"/><Relationship Id="rId21" Type="http://schemas.openxmlformats.org/officeDocument/2006/relationships/hyperlink" Target="http://www.gasbb.com.au" TargetMode="External"/><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hyperlink" Target="https://www.aer.gov.au/wholesale-markets/market-guidelines/significant-price-variations-in-the-sttm-reporting-triggers" TargetMode="External"/><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https://www.aer.gov.au/wholesale-markets/market-guidelines/significant-price-variation-guideline-for-victorian-declared-wholesale-market" TargetMode="External"/><Relationship Id="rId2" Type="http://schemas.openxmlformats.org/officeDocument/2006/relationships/customXml" Target="../customXml/item2.xml"/><Relationship Id="rId16" Type="http://schemas.openxmlformats.org/officeDocument/2006/relationships/hyperlink" Target="http://www.gasbb.com.au" TargetMode="External"/><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gasbb.com.au"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wholesale-markets/market-performance/significant-price-variation-report-13-and-23-january-2016-sydney-sttm" TargetMode="External"/><Relationship Id="rId3" Type="http://schemas.openxmlformats.org/officeDocument/2006/relationships/hyperlink" Target="http://www.accc.gov.au/regulated-infrastructure/energy/east-coast-gas-inquiry-2015" TargetMode="External"/><Relationship Id="rId7" Type="http://schemas.openxmlformats.org/officeDocument/2006/relationships/hyperlink" Target="https://www.agl.com.au/about-agl/media-centre/article-list/2016/july/agl-update-on-fy17-gas-portfolio-margins" TargetMode="External"/><Relationship Id="rId2" Type="http://schemas.openxmlformats.org/officeDocument/2006/relationships/hyperlink" Target="http://www.aer.gov.au/communication/winter-energy-prices-2016" TargetMode="External"/><Relationship Id="rId1" Type="http://schemas.openxmlformats.org/officeDocument/2006/relationships/hyperlink" Target="http://www.aer.gov.au/wholesale-markets/market-performance/significant-price-variation-report-june-2016" TargetMode="External"/><Relationship Id="rId6" Type="http://schemas.openxmlformats.org/officeDocument/2006/relationships/hyperlink" Target="http://www.afr.com/business/energy/gas/shell-australia-juggles-gas-sales-amid-pricing-swings-20160829-gr45uk" TargetMode="External"/><Relationship Id="rId5" Type="http://schemas.openxmlformats.org/officeDocument/2006/relationships/hyperlink" Target="http://www.gasbb.com.au" TargetMode="External"/><Relationship Id="rId4" Type="http://schemas.openxmlformats.org/officeDocument/2006/relationships/hyperlink" Target="http://www.accc.gov.au" TargetMode="External"/><Relationship Id="rId9" Type="http://schemas.openxmlformats.org/officeDocument/2006/relationships/hyperlink" Target="https://www.aemo.com.au/Gas/National-planning-and-forecasting/Victorian-Gas-Planning-Report"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6706EC-C01F-4758-A511-64FD5D21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7ED143F1.dotm</Template>
  <TotalTime>0</TotalTime>
  <Pages>47</Pages>
  <Words>10208</Words>
  <Characters>58191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2016-11-14T04:38:00Z</dcterms:created>
  <dcterms:modified xsi:type="dcterms:W3CDTF">2016-11-14T04:38:00Z</dcterms:modified>
</cp:coreProperties>
</file>