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40AF4" w:rsidRDefault="00B40AF4" w:rsidP="00C7068C">
      <w:pPr>
        <w:rPr>
          <w:b/>
          <w:color w:val="076A92" w:themeColor="text1"/>
          <w:sz w:val="24"/>
          <w:szCs w:val="20"/>
        </w:rPr>
      </w:pPr>
      <w:r w:rsidRPr="00290C63">
        <w:rPr>
          <w:noProof/>
          <w:lang w:eastAsia="en-AU"/>
        </w:rPr>
        <w:drawing>
          <wp:anchor distT="0" distB="0" distL="114300" distR="114300" simplePos="0" relativeHeight="251659264" behindDoc="1" locked="0" layoutInCell="1" allowOverlap="1" wp14:anchorId="11F7CA8A" wp14:editId="6A21BEF6">
            <wp:simplePos x="0" y="0"/>
            <wp:positionH relativeFrom="column">
              <wp:posOffset>-1137920</wp:posOffset>
            </wp:positionH>
            <wp:positionV relativeFrom="paragraph">
              <wp:posOffset>-920115</wp:posOffset>
            </wp:positionV>
            <wp:extent cx="7796530" cy="10925175"/>
            <wp:effectExtent l="0" t="0" r="0" b="9525"/>
            <wp:wrapNone/>
            <wp:docPr id="5" name="Picture 5" descr="Australian Energy Regulator Report 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ER report front cover_D0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796530" cy="10925175"/>
                    </a:xfrm>
                    <a:prstGeom prst="rect">
                      <a:avLst/>
                    </a:prstGeom>
                    <a:noFill/>
                  </pic:spPr>
                </pic:pic>
              </a:graphicData>
            </a:graphic>
            <wp14:sizeRelH relativeFrom="page">
              <wp14:pctWidth>0</wp14:pctWidth>
            </wp14:sizeRelH>
            <wp14:sizeRelV relativeFrom="page">
              <wp14:pctHeight>0</wp14:pctHeight>
            </wp14:sizeRelV>
          </wp:anchor>
        </w:drawing>
      </w:r>
    </w:p>
    <w:sdt>
      <w:sdtPr>
        <w:rPr>
          <w:b/>
          <w:color w:val="076A92" w:themeColor="text1"/>
          <w:sz w:val="24"/>
          <w:szCs w:val="20"/>
        </w:rPr>
        <w:id w:val="1099676627"/>
        <w:docPartObj>
          <w:docPartGallery w:val="Cover Pages"/>
          <w:docPartUnique/>
        </w:docPartObj>
      </w:sdtPr>
      <w:sdtEndPr>
        <w:rPr>
          <w:noProof/>
          <w:color w:val="FF0000"/>
          <w:highlight w:val="yellow"/>
          <w:lang w:eastAsia="en-AU"/>
        </w:rPr>
      </w:sdtEndPr>
      <w:sdtContent>
        <w:p w:rsidR="00C7068C" w:rsidRDefault="00C7068C" w:rsidP="00C7068C">
          <w:r w:rsidRPr="004300F1">
            <w:t xml:space="preserve"> </w:t>
          </w:r>
        </w:p>
        <w:sdt>
          <w:sdtPr>
            <w:id w:val="-244801280"/>
            <w:docPartObj>
              <w:docPartGallery w:val="Cover Pages"/>
              <w:docPartUnique/>
            </w:docPartObj>
          </w:sdtPr>
          <w:sdtEndPr>
            <w:rPr>
              <w:rFonts w:eastAsiaTheme="majorEastAsia" w:cstheme="majorBidi"/>
              <w:b/>
              <w:noProof/>
              <w:sz w:val="72"/>
              <w:szCs w:val="72"/>
              <w:lang w:eastAsia="en-AU"/>
            </w:rPr>
          </w:sdtEndPr>
          <w:sdtContent>
            <w:p w:rsidR="00C7068C" w:rsidRPr="00DB723B" w:rsidRDefault="00C7068C" w:rsidP="00C7068C"/>
            <w:p w:rsidR="00C7068C" w:rsidRPr="00DB723B" w:rsidRDefault="00C7068C" w:rsidP="00C7068C"/>
            <w:p w:rsidR="00C7068C" w:rsidRPr="00DB723B" w:rsidRDefault="00C7068C" w:rsidP="00C7068C"/>
            <w:p w:rsidR="00C7068C" w:rsidRPr="00DB723B" w:rsidRDefault="00C7068C" w:rsidP="00C7068C"/>
            <w:p w:rsidR="00C7068C" w:rsidRPr="00DB723B" w:rsidRDefault="00C7068C" w:rsidP="00C7068C"/>
            <w:p w:rsidR="00C7068C" w:rsidRPr="00DB723B" w:rsidRDefault="00C7068C" w:rsidP="00C7068C"/>
            <w:p w:rsidR="00C7068C" w:rsidRPr="00DB723B" w:rsidRDefault="00C7068C" w:rsidP="00C7068C"/>
            <w:p w:rsidR="00C7068C" w:rsidRPr="00DB723B" w:rsidRDefault="00654F52" w:rsidP="00C7068C">
              <w:pPr>
                <w:pStyle w:val="ReportTitle"/>
              </w:pPr>
              <w:r>
                <w:t>S</w:t>
              </w:r>
              <w:r w:rsidR="00CD6876">
                <w:t>ignificant price variation report</w:t>
              </w:r>
            </w:p>
            <w:p w:rsidR="00C7068C" w:rsidRDefault="00C7068C" w:rsidP="00C7068C">
              <w:pPr>
                <w:pStyle w:val="ReportSubtitle"/>
              </w:pPr>
            </w:p>
            <w:p w:rsidR="00C7068C" w:rsidRPr="00DB723B" w:rsidRDefault="00303022" w:rsidP="00C7068C">
              <w:pPr>
                <w:pStyle w:val="ReportSubtitle"/>
              </w:pPr>
              <w:r>
                <w:t>East Coast Gas Markets</w:t>
              </w:r>
              <w:r w:rsidR="00C7068C">
                <w:t xml:space="preserve"> </w:t>
              </w:r>
              <w:r w:rsidR="008634F6">
                <w:br/>
              </w:r>
              <w:r>
                <w:t>June 2016</w:t>
              </w:r>
            </w:p>
            <w:p w:rsidR="00C7068C" w:rsidRDefault="00C7068C" w:rsidP="00C7068C">
              <w:pPr>
                <w:pStyle w:val="ReportDate"/>
              </w:pPr>
            </w:p>
            <w:p w:rsidR="00C7068C" w:rsidRDefault="00C7068C" w:rsidP="00C7068C">
              <w:pPr>
                <w:pStyle w:val="ReportDate"/>
              </w:pPr>
            </w:p>
            <w:p w:rsidR="00C7068C" w:rsidRPr="00DB723B" w:rsidRDefault="0047706C" w:rsidP="00C7068C">
              <w:pPr>
                <w:pStyle w:val="ReportDate"/>
              </w:pPr>
              <w:r w:rsidRPr="00E44AA7">
                <w:t>26</w:t>
              </w:r>
              <w:r w:rsidR="00923169" w:rsidRPr="00293C20">
                <w:t xml:space="preserve"> </w:t>
              </w:r>
              <w:r w:rsidR="00303022">
                <w:t xml:space="preserve">August </w:t>
              </w:r>
              <w:r w:rsidR="00C7068C" w:rsidRPr="00293C20">
                <w:t>201</w:t>
              </w:r>
              <w:r w:rsidR="00CD6876" w:rsidRPr="00293C20">
                <w:t>6</w:t>
              </w:r>
            </w:p>
            <w:p w:rsidR="00C7068C" w:rsidRPr="0015715D" w:rsidRDefault="00C7068C" w:rsidP="0015715D">
              <w:r w:rsidRPr="00DB723B">
                <w:br w:type="page"/>
              </w:r>
            </w:p>
          </w:sdtContent>
        </w:sdt>
        <w:p w:rsidR="00C7068C" w:rsidRDefault="0015715D" w:rsidP="00C7068C">
          <w:pPr>
            <w:spacing w:line="240" w:lineRule="auto"/>
          </w:pPr>
          <w:r>
            <w:lastRenderedPageBreak/>
            <w:t>© Commonwealth of Australia 201</w:t>
          </w:r>
          <w:r w:rsidR="00CD6876">
            <w:t>6</w:t>
          </w:r>
        </w:p>
        <w:p w:rsidR="00C7068C" w:rsidRDefault="00C7068C" w:rsidP="00C7068C">
          <w:pPr>
            <w:pStyle w:val="Copyright"/>
          </w:pPr>
          <w:r>
            <w:t>This work is copyright. In addition to any use permitted under the Copyright Act 1968, all material contained within this work is provided under a Creative Commons Attributions 3.0 Australia licence, with the exception of:</w:t>
          </w:r>
        </w:p>
        <w:p w:rsidR="00C7068C" w:rsidRDefault="00C7068C" w:rsidP="0090574A">
          <w:pPr>
            <w:pStyle w:val="StyleCopyrightBefore0pt"/>
            <w:numPr>
              <w:ilvl w:val="0"/>
              <w:numId w:val="22"/>
            </w:numPr>
          </w:pPr>
          <w:r>
            <w:t>the Commonwealth Coat of Arms</w:t>
          </w:r>
        </w:p>
        <w:p w:rsidR="00C7068C" w:rsidRDefault="00C7068C" w:rsidP="0090574A">
          <w:pPr>
            <w:pStyle w:val="StyleCopyrightBefore0pt"/>
            <w:numPr>
              <w:ilvl w:val="0"/>
              <w:numId w:val="22"/>
            </w:numPr>
          </w:pPr>
          <w:r>
            <w:t>the ACCC and AER logos</w:t>
          </w:r>
        </w:p>
        <w:p w:rsidR="00C7068C" w:rsidRPr="00B927D8" w:rsidRDefault="00C7068C" w:rsidP="0090574A">
          <w:pPr>
            <w:pStyle w:val="ListBullet"/>
            <w:numPr>
              <w:ilvl w:val="0"/>
              <w:numId w:val="22"/>
            </w:numPr>
            <w:rPr>
              <w:sz w:val="20"/>
              <w:szCs w:val="20"/>
            </w:rPr>
          </w:pPr>
          <w:r w:rsidRPr="007A4D1F">
            <w:rPr>
              <w:sz w:val="20"/>
              <w:szCs w:val="20"/>
            </w:rPr>
            <w:t>any illustration, diagram, photograph or graphic over which the Australian Competition and Consumer Commission does not hold copyright, but which may be part of or contained within this publication. The details of the relevant licence conditions are available on the Creative Commons website, as is the full legal code for the CC BY 3.0 AU licence.</w:t>
          </w:r>
        </w:p>
        <w:p w:rsidR="00C7068C" w:rsidRDefault="00C7068C" w:rsidP="00C7068C">
          <w:pPr>
            <w:pStyle w:val="Copyright"/>
            <w:jc w:val="left"/>
          </w:pPr>
          <w:r>
            <w:t xml:space="preserve">Requests and inquiries concerning reproduction and rights should be addressed to the </w:t>
          </w:r>
          <w:r>
            <w:br/>
            <w:t xml:space="preserve">Director, Corporate Communications, </w:t>
          </w:r>
          <w:r>
            <w:br/>
            <w:t xml:space="preserve">Australian Competition and Consumer Commission, </w:t>
          </w:r>
          <w:r>
            <w:br/>
            <w:t xml:space="preserve">GPO Box 4141, </w:t>
          </w:r>
          <w:r>
            <w:br/>
            <w:t xml:space="preserve">Canberra ACT 2601 </w:t>
          </w:r>
          <w:r>
            <w:br/>
            <w:t>or publishing.unit@accc.gov.au.</w:t>
          </w:r>
        </w:p>
        <w:p w:rsidR="00C7068C" w:rsidRDefault="00C7068C" w:rsidP="00C7068C">
          <w:pPr>
            <w:pStyle w:val="Copyright"/>
            <w:jc w:val="left"/>
          </w:pPr>
          <w:r>
            <w:t>Inquiries about this publication should be addressed to:</w:t>
          </w:r>
        </w:p>
        <w:p w:rsidR="00C7068C" w:rsidRDefault="00C7068C" w:rsidP="00C7068C">
          <w:pPr>
            <w:pStyle w:val="Copyright"/>
            <w:jc w:val="left"/>
          </w:pPr>
          <w:r>
            <w:t xml:space="preserve">Australian Energy </w:t>
          </w:r>
          <w:r w:rsidRPr="00F171E0">
            <w:t>Regulator</w:t>
          </w:r>
          <w:r>
            <w:br/>
            <w:t>GPO Box 520</w:t>
          </w:r>
          <w:r>
            <w:br/>
            <w:t>Melbourne</w:t>
          </w:r>
          <w:r w:rsidR="00D816CB">
            <w:t xml:space="preserve"> </w:t>
          </w:r>
          <w:r>
            <w:t>Vic</w:t>
          </w:r>
          <w:r w:rsidR="00D816CB">
            <w:t xml:space="preserve"> </w:t>
          </w:r>
          <w:r>
            <w:t>3001</w:t>
          </w:r>
        </w:p>
        <w:p w:rsidR="00C7068C" w:rsidRDefault="00C7068C" w:rsidP="00C7068C">
          <w:pPr>
            <w:pStyle w:val="Copyright"/>
            <w:jc w:val="left"/>
          </w:pPr>
          <w:r>
            <w:t>Tel: (03) 9290 1444</w:t>
          </w:r>
          <w:r>
            <w:br/>
            <w:t>Fax: (03) 9290 1457</w:t>
          </w:r>
        </w:p>
        <w:p w:rsidR="00C7068C" w:rsidRPr="00CC65AF" w:rsidRDefault="00C7068C" w:rsidP="00C7068C">
          <w:pPr>
            <w:pStyle w:val="Copyright"/>
            <w:jc w:val="left"/>
          </w:pPr>
          <w:r>
            <w:t xml:space="preserve">Email: </w:t>
          </w:r>
          <w:hyperlink r:id="rId11" w:history="1">
            <w:r w:rsidRPr="00D64888">
              <w:rPr>
                <w:rStyle w:val="Hyperlink"/>
              </w:rPr>
              <w:t>AERInquiry@aer.gov.au</w:t>
            </w:r>
          </w:hyperlink>
          <w:r>
            <w:rPr>
              <w:rStyle w:val="Hyperlink"/>
            </w:rPr>
            <w:br/>
          </w:r>
          <w:r w:rsidRPr="00CC65AF">
            <w:t>AER Referenc</w:t>
          </w:r>
          <w:r w:rsidRPr="0033044A">
            <w:t xml:space="preserve">e: </w:t>
          </w:r>
          <w:r w:rsidR="009F7864">
            <w:t>60423</w:t>
          </w:r>
          <w:r w:rsidR="007976ED">
            <w:t>-</w:t>
          </w:r>
          <w:r w:rsidR="009F7864" w:rsidRPr="009F7864">
            <w:rPr>
              <w:rFonts w:cs="Arial"/>
              <w:szCs w:val="18"/>
            </w:rPr>
            <w:t>D16/97090</w:t>
          </w:r>
        </w:p>
        <w:p w:rsidR="00C7068C" w:rsidRDefault="00C7068C" w:rsidP="00C7068C"/>
        <w:p w:rsidR="00C7068C" w:rsidRPr="00C569B4" w:rsidRDefault="00C7068C" w:rsidP="00C7068C">
          <w:r w:rsidRPr="00C569B4">
            <w:t>Amendment Record</w:t>
          </w:r>
        </w:p>
        <w:tbl>
          <w:tblPr>
            <w:tblStyle w:val="AERTable-Text"/>
            <w:tblW w:w="0" w:type="auto"/>
            <w:tblLook w:val="04A0" w:firstRow="1" w:lastRow="0" w:firstColumn="1" w:lastColumn="0" w:noHBand="0" w:noVBand="1"/>
          </w:tblPr>
          <w:tblGrid>
            <w:gridCol w:w="2899"/>
            <w:gridCol w:w="2906"/>
            <w:gridCol w:w="2888"/>
          </w:tblGrid>
          <w:tr w:rsidR="00C7068C" w:rsidTr="00CC65AF">
            <w:trPr>
              <w:cnfStyle w:val="100000000000" w:firstRow="1" w:lastRow="0" w:firstColumn="0" w:lastColumn="0" w:oddVBand="0" w:evenVBand="0" w:oddHBand="0" w:evenHBand="0" w:firstRowFirstColumn="0" w:firstRowLastColumn="0" w:lastRowFirstColumn="0" w:lastRowLastColumn="0"/>
            </w:trPr>
            <w:tc>
              <w:tcPr>
                <w:tcW w:w="2899" w:type="dxa"/>
              </w:tcPr>
              <w:p w:rsidR="00C7068C" w:rsidRDefault="00C7068C" w:rsidP="009B028C">
                <w:r>
                  <w:t>Version</w:t>
                </w:r>
              </w:p>
            </w:tc>
            <w:tc>
              <w:tcPr>
                <w:tcW w:w="2906" w:type="dxa"/>
              </w:tcPr>
              <w:p w:rsidR="00C7068C" w:rsidRDefault="00C7068C" w:rsidP="009B028C">
                <w:r>
                  <w:t>Date</w:t>
                </w:r>
              </w:p>
            </w:tc>
            <w:tc>
              <w:tcPr>
                <w:tcW w:w="2888" w:type="dxa"/>
              </w:tcPr>
              <w:p w:rsidR="00C7068C" w:rsidRDefault="00C7068C" w:rsidP="009B028C">
                <w:r>
                  <w:t>Pages</w:t>
                </w:r>
              </w:p>
            </w:tc>
          </w:tr>
          <w:tr w:rsidR="00C7068C" w:rsidTr="00CC65AF">
            <w:trPr>
              <w:cnfStyle w:val="000000100000" w:firstRow="0" w:lastRow="0" w:firstColumn="0" w:lastColumn="0" w:oddVBand="0" w:evenVBand="0" w:oddHBand="1" w:evenHBand="0" w:firstRowFirstColumn="0" w:firstRowLastColumn="0" w:lastRowFirstColumn="0" w:lastRowLastColumn="0"/>
            </w:trPr>
            <w:tc>
              <w:tcPr>
                <w:tcW w:w="2899" w:type="dxa"/>
              </w:tcPr>
              <w:p w:rsidR="00C7068C" w:rsidRPr="00885E7B" w:rsidRDefault="00147AD2" w:rsidP="009B028C">
                <w:pPr>
                  <w:spacing w:before="0" w:after="200"/>
                </w:pPr>
                <w:r w:rsidRPr="00885E7B">
                  <w:t>1 version for publication</w:t>
                </w:r>
              </w:p>
            </w:tc>
            <w:tc>
              <w:tcPr>
                <w:tcW w:w="2906" w:type="dxa"/>
              </w:tcPr>
              <w:p w:rsidR="00C7068C" w:rsidRPr="00885E7B" w:rsidRDefault="00E44AA7" w:rsidP="00697920">
                <w:pPr>
                  <w:spacing w:before="0" w:after="200"/>
                </w:pPr>
                <w:r>
                  <w:t>26 August 2016</w:t>
                </w:r>
              </w:p>
            </w:tc>
            <w:tc>
              <w:tcPr>
                <w:tcW w:w="2888" w:type="dxa"/>
              </w:tcPr>
              <w:p w:rsidR="00C7068C" w:rsidRPr="00885E7B" w:rsidRDefault="0065711B" w:rsidP="00697920">
                <w:pPr>
                  <w:spacing w:before="0" w:after="200"/>
                </w:pPr>
                <w:r>
                  <w:fldChar w:fldCharType="begin"/>
                </w:r>
                <w:r>
                  <w:instrText xml:space="preserve"> PAGEREF _Ref460415438 \h </w:instrText>
                </w:r>
                <w:r>
                  <w:fldChar w:fldCharType="separate"/>
                </w:r>
                <w:r>
                  <w:rPr>
                    <w:noProof/>
                  </w:rPr>
                  <w:t>27</w:t>
                </w:r>
                <w:r>
                  <w:fldChar w:fldCharType="end"/>
                </w:r>
              </w:p>
            </w:tc>
          </w:tr>
          <w:tr w:rsidR="007A223D" w:rsidTr="00CC65AF">
            <w:trPr>
              <w:cnfStyle w:val="000000010000" w:firstRow="0" w:lastRow="0" w:firstColumn="0" w:lastColumn="0" w:oddVBand="0" w:evenVBand="0" w:oddHBand="0" w:evenHBand="1" w:firstRowFirstColumn="0" w:firstRowLastColumn="0" w:lastRowFirstColumn="0" w:lastRowLastColumn="0"/>
            </w:trPr>
            <w:tc>
              <w:tcPr>
                <w:tcW w:w="2899" w:type="dxa"/>
              </w:tcPr>
              <w:p w:rsidR="007A223D" w:rsidRPr="007A223D" w:rsidRDefault="007A223D" w:rsidP="009B028C">
                <w:pPr>
                  <w:spacing w:before="0" w:after="200"/>
                  <w:rPr>
                    <w:sz w:val="18"/>
                  </w:rPr>
                </w:pPr>
              </w:p>
            </w:tc>
            <w:tc>
              <w:tcPr>
                <w:tcW w:w="2906" w:type="dxa"/>
              </w:tcPr>
              <w:p w:rsidR="007A223D" w:rsidRPr="007A223D" w:rsidRDefault="007A223D" w:rsidP="00CC65AF">
                <w:pPr>
                  <w:spacing w:before="0" w:after="200"/>
                  <w:rPr>
                    <w:sz w:val="18"/>
                  </w:rPr>
                </w:pPr>
              </w:p>
            </w:tc>
            <w:tc>
              <w:tcPr>
                <w:tcW w:w="2888" w:type="dxa"/>
              </w:tcPr>
              <w:p w:rsidR="007A223D" w:rsidRPr="007A223D" w:rsidRDefault="007A223D" w:rsidP="009B028C">
                <w:pPr>
                  <w:spacing w:before="0" w:after="200"/>
                  <w:rPr>
                    <w:sz w:val="18"/>
                  </w:rPr>
                </w:pPr>
              </w:p>
            </w:tc>
          </w:tr>
        </w:tbl>
        <w:p w:rsidR="00C7068C" w:rsidRDefault="00C7068C" w:rsidP="00C7068C"/>
        <w:p w:rsidR="00C7068C" w:rsidRDefault="00C7068C" w:rsidP="00C7068C">
          <w:pPr>
            <w:spacing w:line="240" w:lineRule="auto"/>
          </w:pPr>
          <w:r>
            <w:br w:type="page"/>
          </w:r>
        </w:p>
        <w:p w:rsidR="00C7068C" w:rsidRDefault="00C7068C" w:rsidP="00C7068C">
          <w:pPr>
            <w:pStyle w:val="TOCHeading"/>
          </w:pPr>
          <w:r>
            <w:lastRenderedPageBreak/>
            <w:t>Contents</w:t>
          </w:r>
        </w:p>
        <w:bookmarkStart w:id="0" w:name="_Toc213047617"/>
        <w:p w:rsidR="005B1B75" w:rsidRDefault="006007DC">
          <w:pPr>
            <w:pStyle w:val="TOC1"/>
            <w:rPr>
              <w:rFonts w:asciiTheme="minorHAnsi" w:eastAsiaTheme="minorEastAsia" w:hAnsiTheme="minorHAnsi"/>
              <w:b w:val="0"/>
              <w:color w:val="auto"/>
              <w:sz w:val="22"/>
              <w:lang w:val="en-AU" w:eastAsia="en-AU"/>
            </w:rPr>
          </w:pPr>
          <w:r>
            <w:rPr>
              <w:b w:val="0"/>
            </w:rPr>
            <w:fldChar w:fldCharType="begin"/>
          </w:r>
          <w:r>
            <w:rPr>
              <w:b w:val="0"/>
            </w:rPr>
            <w:instrText xml:space="preserve"> TOC \o "1-3" \h \z \u </w:instrText>
          </w:r>
          <w:r>
            <w:rPr>
              <w:b w:val="0"/>
            </w:rPr>
            <w:fldChar w:fldCharType="separate"/>
          </w:r>
          <w:hyperlink w:anchor="_Toc460417304" w:history="1">
            <w:r w:rsidR="005B1B75" w:rsidRPr="00541F28">
              <w:rPr>
                <w:rStyle w:val="Hyperlink"/>
              </w:rPr>
              <w:t>1</w:t>
            </w:r>
            <w:r w:rsidR="005B1B75">
              <w:rPr>
                <w:rFonts w:asciiTheme="minorHAnsi" w:eastAsiaTheme="minorEastAsia" w:hAnsiTheme="minorHAnsi"/>
                <w:b w:val="0"/>
                <w:color w:val="auto"/>
                <w:sz w:val="22"/>
                <w:lang w:val="en-AU" w:eastAsia="en-AU"/>
              </w:rPr>
              <w:tab/>
            </w:r>
            <w:r w:rsidR="005B1B75" w:rsidRPr="00541F28">
              <w:rPr>
                <w:rStyle w:val="Hyperlink"/>
              </w:rPr>
              <w:t>Summary</w:t>
            </w:r>
            <w:r w:rsidR="005B1B75">
              <w:rPr>
                <w:webHidden/>
              </w:rPr>
              <w:tab/>
            </w:r>
            <w:r w:rsidR="005B1B75" w:rsidRPr="005B1B75">
              <w:rPr>
                <w:webHidden/>
              </w:rPr>
              <w:tab/>
            </w:r>
            <w:r w:rsidR="005B1B75">
              <w:rPr>
                <w:webHidden/>
              </w:rPr>
              <w:fldChar w:fldCharType="begin"/>
            </w:r>
            <w:r w:rsidR="005B1B75">
              <w:rPr>
                <w:webHidden/>
              </w:rPr>
              <w:instrText xml:space="preserve"> PAGEREF _Toc460417304 \h </w:instrText>
            </w:r>
            <w:r w:rsidR="005B1B75">
              <w:rPr>
                <w:webHidden/>
              </w:rPr>
            </w:r>
            <w:r w:rsidR="005B1B75">
              <w:rPr>
                <w:webHidden/>
              </w:rPr>
              <w:fldChar w:fldCharType="separate"/>
            </w:r>
            <w:r w:rsidR="005B1B75">
              <w:rPr>
                <w:webHidden/>
              </w:rPr>
              <w:t>4</w:t>
            </w:r>
            <w:r w:rsidR="005B1B75">
              <w:rPr>
                <w:webHidden/>
              </w:rPr>
              <w:fldChar w:fldCharType="end"/>
            </w:r>
          </w:hyperlink>
        </w:p>
        <w:p w:rsidR="005B1B75" w:rsidRDefault="005B1B75">
          <w:pPr>
            <w:pStyle w:val="TOC2"/>
            <w:rPr>
              <w:rFonts w:asciiTheme="minorHAnsi" w:eastAsiaTheme="minorEastAsia" w:hAnsiTheme="minorHAnsi"/>
              <w:b w:val="0"/>
              <w:color w:val="auto"/>
              <w:sz w:val="22"/>
              <w:lang w:eastAsia="en-AU"/>
            </w:rPr>
          </w:pPr>
          <w:hyperlink w:anchor="_Toc460417305" w:history="1">
            <w:r w:rsidRPr="00541F28">
              <w:rPr>
                <w:rStyle w:val="Hyperlink"/>
              </w:rPr>
              <w:t>1.1</w:t>
            </w:r>
            <w:r>
              <w:rPr>
                <w:rFonts w:asciiTheme="minorHAnsi" w:eastAsiaTheme="minorEastAsia" w:hAnsiTheme="minorHAnsi"/>
                <w:b w:val="0"/>
                <w:color w:val="auto"/>
                <w:sz w:val="22"/>
                <w:lang w:eastAsia="en-AU"/>
              </w:rPr>
              <w:tab/>
            </w:r>
            <w:r w:rsidRPr="00541F28">
              <w:rPr>
                <w:rStyle w:val="Hyperlink"/>
              </w:rPr>
              <w:t>The AER’s reporting obligation</w:t>
            </w:r>
            <w:r>
              <w:rPr>
                <w:webHidden/>
              </w:rPr>
              <w:tab/>
            </w:r>
            <w:r>
              <w:rPr>
                <w:webHidden/>
              </w:rPr>
              <w:fldChar w:fldCharType="begin"/>
            </w:r>
            <w:r>
              <w:rPr>
                <w:webHidden/>
              </w:rPr>
              <w:instrText xml:space="preserve"> PAGEREF _Toc460417305 \h </w:instrText>
            </w:r>
            <w:r>
              <w:rPr>
                <w:webHidden/>
              </w:rPr>
            </w:r>
            <w:r>
              <w:rPr>
                <w:webHidden/>
              </w:rPr>
              <w:fldChar w:fldCharType="separate"/>
            </w:r>
            <w:r>
              <w:rPr>
                <w:webHidden/>
              </w:rPr>
              <w:t>5</w:t>
            </w:r>
            <w:r>
              <w:rPr>
                <w:webHidden/>
              </w:rPr>
              <w:fldChar w:fldCharType="end"/>
            </w:r>
          </w:hyperlink>
        </w:p>
        <w:p w:rsidR="005B1B75" w:rsidRDefault="005B1B75">
          <w:pPr>
            <w:pStyle w:val="TOC2"/>
            <w:rPr>
              <w:rFonts w:asciiTheme="minorHAnsi" w:eastAsiaTheme="minorEastAsia" w:hAnsiTheme="minorHAnsi"/>
              <w:b w:val="0"/>
              <w:color w:val="auto"/>
              <w:sz w:val="22"/>
              <w:lang w:eastAsia="en-AU"/>
            </w:rPr>
          </w:pPr>
          <w:hyperlink w:anchor="_Toc460417306" w:history="1">
            <w:r w:rsidRPr="00541F28">
              <w:rPr>
                <w:rStyle w:val="Hyperlink"/>
              </w:rPr>
              <w:t>1.2</w:t>
            </w:r>
            <w:r>
              <w:rPr>
                <w:rFonts w:asciiTheme="minorHAnsi" w:eastAsiaTheme="minorEastAsia" w:hAnsiTheme="minorHAnsi"/>
                <w:b w:val="0"/>
                <w:color w:val="auto"/>
                <w:sz w:val="22"/>
                <w:lang w:eastAsia="en-AU"/>
              </w:rPr>
              <w:tab/>
            </w:r>
            <w:r w:rsidRPr="00541F28">
              <w:rPr>
                <w:rStyle w:val="Hyperlink"/>
              </w:rPr>
              <w:t>The east coast gas markets</w:t>
            </w:r>
            <w:r>
              <w:rPr>
                <w:webHidden/>
              </w:rPr>
              <w:tab/>
            </w:r>
            <w:r>
              <w:rPr>
                <w:webHidden/>
              </w:rPr>
              <w:fldChar w:fldCharType="begin"/>
            </w:r>
            <w:r>
              <w:rPr>
                <w:webHidden/>
              </w:rPr>
              <w:instrText xml:space="preserve"> PAGEREF _Toc460417306 \h </w:instrText>
            </w:r>
            <w:r>
              <w:rPr>
                <w:webHidden/>
              </w:rPr>
            </w:r>
            <w:r>
              <w:rPr>
                <w:webHidden/>
              </w:rPr>
              <w:fldChar w:fldCharType="separate"/>
            </w:r>
            <w:r>
              <w:rPr>
                <w:webHidden/>
              </w:rPr>
              <w:t>6</w:t>
            </w:r>
            <w:r>
              <w:rPr>
                <w:webHidden/>
              </w:rPr>
              <w:fldChar w:fldCharType="end"/>
            </w:r>
          </w:hyperlink>
        </w:p>
        <w:p w:rsidR="005B1B75" w:rsidRDefault="005B1B75">
          <w:pPr>
            <w:pStyle w:val="TOC3"/>
            <w:rPr>
              <w:rFonts w:asciiTheme="minorHAnsi" w:eastAsiaTheme="minorEastAsia" w:hAnsiTheme="minorHAnsi"/>
              <w:lang w:eastAsia="en-AU"/>
            </w:rPr>
          </w:pPr>
          <w:hyperlink w:anchor="_Toc460417307" w:history="1">
            <w:r w:rsidRPr="00541F28">
              <w:rPr>
                <w:rStyle w:val="Hyperlink"/>
              </w:rPr>
              <w:t>1.2.1</w:t>
            </w:r>
            <w:r>
              <w:rPr>
                <w:rFonts w:asciiTheme="minorHAnsi" w:eastAsiaTheme="minorEastAsia" w:hAnsiTheme="minorHAnsi"/>
                <w:lang w:eastAsia="en-AU"/>
              </w:rPr>
              <w:tab/>
            </w:r>
            <w:r w:rsidRPr="00541F28">
              <w:rPr>
                <w:rStyle w:val="Hyperlink"/>
              </w:rPr>
              <w:t>Recent changes to the east coast gas markets</w:t>
            </w:r>
            <w:r>
              <w:rPr>
                <w:webHidden/>
              </w:rPr>
              <w:tab/>
            </w:r>
            <w:r>
              <w:rPr>
                <w:webHidden/>
              </w:rPr>
              <w:fldChar w:fldCharType="begin"/>
            </w:r>
            <w:r>
              <w:rPr>
                <w:webHidden/>
              </w:rPr>
              <w:instrText xml:space="preserve"> PAGEREF _Toc460417307 \h </w:instrText>
            </w:r>
            <w:r>
              <w:rPr>
                <w:webHidden/>
              </w:rPr>
            </w:r>
            <w:r>
              <w:rPr>
                <w:webHidden/>
              </w:rPr>
              <w:fldChar w:fldCharType="separate"/>
            </w:r>
            <w:r>
              <w:rPr>
                <w:webHidden/>
              </w:rPr>
              <w:t>8</w:t>
            </w:r>
            <w:r>
              <w:rPr>
                <w:webHidden/>
              </w:rPr>
              <w:fldChar w:fldCharType="end"/>
            </w:r>
          </w:hyperlink>
        </w:p>
        <w:p w:rsidR="005B1B75" w:rsidRDefault="005B1B75">
          <w:pPr>
            <w:pStyle w:val="TOC2"/>
            <w:rPr>
              <w:rFonts w:asciiTheme="minorHAnsi" w:eastAsiaTheme="minorEastAsia" w:hAnsiTheme="minorHAnsi"/>
              <w:b w:val="0"/>
              <w:color w:val="auto"/>
              <w:sz w:val="22"/>
              <w:lang w:eastAsia="en-AU"/>
            </w:rPr>
          </w:pPr>
          <w:hyperlink w:anchor="_Toc460417308" w:history="1">
            <w:r w:rsidRPr="00541F28">
              <w:rPr>
                <w:rStyle w:val="Hyperlink"/>
              </w:rPr>
              <w:t>1.3</w:t>
            </w:r>
            <w:r>
              <w:rPr>
                <w:rFonts w:asciiTheme="minorHAnsi" w:eastAsiaTheme="minorEastAsia" w:hAnsiTheme="minorHAnsi"/>
                <w:b w:val="0"/>
                <w:color w:val="auto"/>
                <w:sz w:val="22"/>
                <w:lang w:eastAsia="en-AU"/>
              </w:rPr>
              <w:tab/>
            </w:r>
            <w:r w:rsidRPr="00541F28">
              <w:rPr>
                <w:rStyle w:val="Hyperlink"/>
              </w:rPr>
              <w:t>The gas and electricity markets are linked</w:t>
            </w:r>
            <w:r>
              <w:rPr>
                <w:webHidden/>
              </w:rPr>
              <w:tab/>
            </w:r>
            <w:r>
              <w:rPr>
                <w:webHidden/>
              </w:rPr>
              <w:fldChar w:fldCharType="begin"/>
            </w:r>
            <w:r>
              <w:rPr>
                <w:webHidden/>
              </w:rPr>
              <w:instrText xml:space="preserve"> PAGEREF _Toc460417308 \h </w:instrText>
            </w:r>
            <w:r>
              <w:rPr>
                <w:webHidden/>
              </w:rPr>
            </w:r>
            <w:r>
              <w:rPr>
                <w:webHidden/>
              </w:rPr>
              <w:fldChar w:fldCharType="separate"/>
            </w:r>
            <w:r>
              <w:rPr>
                <w:webHidden/>
              </w:rPr>
              <w:t>9</w:t>
            </w:r>
            <w:r>
              <w:rPr>
                <w:webHidden/>
              </w:rPr>
              <w:fldChar w:fldCharType="end"/>
            </w:r>
          </w:hyperlink>
        </w:p>
        <w:p w:rsidR="005B1B75" w:rsidRDefault="005B1B75">
          <w:pPr>
            <w:pStyle w:val="TOC1"/>
            <w:rPr>
              <w:rFonts w:asciiTheme="minorHAnsi" w:eastAsiaTheme="minorEastAsia" w:hAnsiTheme="minorHAnsi"/>
              <w:b w:val="0"/>
              <w:color w:val="auto"/>
              <w:sz w:val="22"/>
              <w:lang w:val="en-AU" w:eastAsia="en-AU"/>
            </w:rPr>
          </w:pPr>
          <w:hyperlink w:anchor="_Toc460417309" w:history="1">
            <w:r w:rsidRPr="00541F28">
              <w:rPr>
                <w:rStyle w:val="Hyperlink"/>
              </w:rPr>
              <w:t>2</w:t>
            </w:r>
            <w:r>
              <w:rPr>
                <w:rFonts w:asciiTheme="minorHAnsi" w:eastAsiaTheme="minorEastAsia" w:hAnsiTheme="minorHAnsi"/>
                <w:b w:val="0"/>
                <w:color w:val="auto"/>
                <w:sz w:val="22"/>
                <w:lang w:val="en-AU" w:eastAsia="en-AU"/>
              </w:rPr>
              <w:tab/>
            </w:r>
            <w:r w:rsidRPr="00541F28">
              <w:rPr>
                <w:rStyle w:val="Hyperlink"/>
              </w:rPr>
              <w:t>Market conditions across winter 2016</w:t>
            </w:r>
            <w:r>
              <w:rPr>
                <w:webHidden/>
              </w:rPr>
              <w:tab/>
            </w:r>
            <w:r>
              <w:rPr>
                <w:webHidden/>
              </w:rPr>
              <w:fldChar w:fldCharType="begin"/>
            </w:r>
            <w:r>
              <w:rPr>
                <w:webHidden/>
              </w:rPr>
              <w:instrText xml:space="preserve"> PAGEREF _Toc460417309 \h </w:instrText>
            </w:r>
            <w:r>
              <w:rPr>
                <w:webHidden/>
              </w:rPr>
            </w:r>
            <w:r>
              <w:rPr>
                <w:webHidden/>
              </w:rPr>
              <w:fldChar w:fldCharType="separate"/>
            </w:r>
            <w:r>
              <w:rPr>
                <w:webHidden/>
              </w:rPr>
              <w:t>10</w:t>
            </w:r>
            <w:r>
              <w:rPr>
                <w:webHidden/>
              </w:rPr>
              <w:fldChar w:fldCharType="end"/>
            </w:r>
          </w:hyperlink>
        </w:p>
        <w:p w:rsidR="005B1B75" w:rsidRDefault="005B1B75">
          <w:pPr>
            <w:pStyle w:val="TOC2"/>
            <w:rPr>
              <w:rFonts w:asciiTheme="minorHAnsi" w:eastAsiaTheme="minorEastAsia" w:hAnsiTheme="minorHAnsi"/>
              <w:b w:val="0"/>
              <w:color w:val="auto"/>
              <w:sz w:val="22"/>
              <w:lang w:eastAsia="en-AU"/>
            </w:rPr>
          </w:pPr>
          <w:hyperlink w:anchor="_Toc460417310" w:history="1">
            <w:r w:rsidRPr="00541F28">
              <w:rPr>
                <w:rStyle w:val="Hyperlink"/>
              </w:rPr>
              <w:t>2.1</w:t>
            </w:r>
            <w:r>
              <w:rPr>
                <w:rFonts w:asciiTheme="minorHAnsi" w:eastAsiaTheme="minorEastAsia" w:hAnsiTheme="minorHAnsi"/>
                <w:b w:val="0"/>
                <w:color w:val="auto"/>
                <w:sz w:val="22"/>
                <w:lang w:eastAsia="en-AU"/>
              </w:rPr>
              <w:tab/>
            </w:r>
            <w:r w:rsidRPr="00541F28">
              <w:rPr>
                <w:rStyle w:val="Hyperlink"/>
              </w:rPr>
              <w:t>Supply factors</w:t>
            </w:r>
            <w:r>
              <w:rPr>
                <w:webHidden/>
              </w:rPr>
              <w:tab/>
            </w:r>
            <w:r>
              <w:rPr>
                <w:webHidden/>
              </w:rPr>
              <w:fldChar w:fldCharType="begin"/>
            </w:r>
            <w:r>
              <w:rPr>
                <w:webHidden/>
              </w:rPr>
              <w:instrText xml:space="preserve"> PAGEREF _Toc460417310 \h </w:instrText>
            </w:r>
            <w:r>
              <w:rPr>
                <w:webHidden/>
              </w:rPr>
            </w:r>
            <w:r>
              <w:rPr>
                <w:webHidden/>
              </w:rPr>
              <w:fldChar w:fldCharType="separate"/>
            </w:r>
            <w:r>
              <w:rPr>
                <w:webHidden/>
              </w:rPr>
              <w:t>10</w:t>
            </w:r>
            <w:r>
              <w:rPr>
                <w:webHidden/>
              </w:rPr>
              <w:fldChar w:fldCharType="end"/>
            </w:r>
          </w:hyperlink>
        </w:p>
        <w:p w:rsidR="005B1B75" w:rsidRDefault="005B1B75">
          <w:pPr>
            <w:pStyle w:val="TOC2"/>
            <w:rPr>
              <w:rFonts w:asciiTheme="minorHAnsi" w:eastAsiaTheme="minorEastAsia" w:hAnsiTheme="minorHAnsi"/>
              <w:b w:val="0"/>
              <w:color w:val="auto"/>
              <w:sz w:val="22"/>
              <w:lang w:eastAsia="en-AU"/>
            </w:rPr>
          </w:pPr>
          <w:hyperlink w:anchor="_Toc460417311" w:history="1">
            <w:r w:rsidRPr="00541F28">
              <w:rPr>
                <w:rStyle w:val="Hyperlink"/>
              </w:rPr>
              <w:t>2.2</w:t>
            </w:r>
            <w:r>
              <w:rPr>
                <w:rFonts w:asciiTheme="minorHAnsi" w:eastAsiaTheme="minorEastAsia" w:hAnsiTheme="minorHAnsi"/>
                <w:b w:val="0"/>
                <w:color w:val="auto"/>
                <w:sz w:val="22"/>
                <w:lang w:eastAsia="en-AU"/>
              </w:rPr>
              <w:tab/>
            </w:r>
            <w:r w:rsidRPr="00541F28">
              <w:rPr>
                <w:rStyle w:val="Hyperlink"/>
              </w:rPr>
              <w:t>Demand factors</w:t>
            </w:r>
            <w:r>
              <w:rPr>
                <w:webHidden/>
              </w:rPr>
              <w:tab/>
            </w:r>
            <w:r>
              <w:rPr>
                <w:webHidden/>
              </w:rPr>
              <w:fldChar w:fldCharType="begin"/>
            </w:r>
            <w:r>
              <w:rPr>
                <w:webHidden/>
              </w:rPr>
              <w:instrText xml:space="preserve"> PAGEREF _Toc460417311 \h </w:instrText>
            </w:r>
            <w:r>
              <w:rPr>
                <w:webHidden/>
              </w:rPr>
            </w:r>
            <w:r>
              <w:rPr>
                <w:webHidden/>
              </w:rPr>
              <w:fldChar w:fldCharType="separate"/>
            </w:r>
            <w:r>
              <w:rPr>
                <w:webHidden/>
              </w:rPr>
              <w:t>13</w:t>
            </w:r>
            <w:r>
              <w:rPr>
                <w:webHidden/>
              </w:rPr>
              <w:fldChar w:fldCharType="end"/>
            </w:r>
          </w:hyperlink>
        </w:p>
        <w:p w:rsidR="005B1B75" w:rsidRDefault="005B1B75">
          <w:pPr>
            <w:pStyle w:val="TOC2"/>
            <w:rPr>
              <w:rFonts w:asciiTheme="minorHAnsi" w:eastAsiaTheme="minorEastAsia" w:hAnsiTheme="minorHAnsi"/>
              <w:b w:val="0"/>
              <w:color w:val="auto"/>
              <w:sz w:val="22"/>
              <w:lang w:eastAsia="en-AU"/>
            </w:rPr>
          </w:pPr>
          <w:hyperlink w:anchor="_Toc460417312" w:history="1">
            <w:r w:rsidRPr="00541F28">
              <w:rPr>
                <w:rStyle w:val="Hyperlink"/>
              </w:rPr>
              <w:t>2.3</w:t>
            </w:r>
            <w:r>
              <w:rPr>
                <w:rFonts w:asciiTheme="minorHAnsi" w:eastAsiaTheme="minorEastAsia" w:hAnsiTheme="minorHAnsi"/>
                <w:b w:val="0"/>
                <w:color w:val="auto"/>
                <w:sz w:val="22"/>
                <w:lang w:eastAsia="en-AU"/>
              </w:rPr>
              <w:tab/>
            </w:r>
            <w:r w:rsidRPr="00541F28">
              <w:rPr>
                <w:rStyle w:val="Hyperlink"/>
              </w:rPr>
              <w:t>Market participant factors</w:t>
            </w:r>
            <w:r>
              <w:rPr>
                <w:webHidden/>
              </w:rPr>
              <w:tab/>
            </w:r>
            <w:r>
              <w:rPr>
                <w:webHidden/>
              </w:rPr>
              <w:fldChar w:fldCharType="begin"/>
            </w:r>
            <w:r>
              <w:rPr>
                <w:webHidden/>
              </w:rPr>
              <w:instrText xml:space="preserve"> PAGEREF _Toc460417312 \h </w:instrText>
            </w:r>
            <w:r>
              <w:rPr>
                <w:webHidden/>
              </w:rPr>
            </w:r>
            <w:r>
              <w:rPr>
                <w:webHidden/>
              </w:rPr>
              <w:fldChar w:fldCharType="separate"/>
            </w:r>
            <w:r>
              <w:rPr>
                <w:webHidden/>
              </w:rPr>
              <w:t>16</w:t>
            </w:r>
            <w:r>
              <w:rPr>
                <w:webHidden/>
              </w:rPr>
              <w:fldChar w:fldCharType="end"/>
            </w:r>
          </w:hyperlink>
        </w:p>
        <w:p w:rsidR="005B1B75" w:rsidRDefault="005B1B75">
          <w:pPr>
            <w:pStyle w:val="TOC1"/>
            <w:rPr>
              <w:rFonts w:asciiTheme="minorHAnsi" w:eastAsiaTheme="minorEastAsia" w:hAnsiTheme="minorHAnsi"/>
              <w:b w:val="0"/>
              <w:color w:val="auto"/>
              <w:sz w:val="22"/>
              <w:lang w:val="en-AU" w:eastAsia="en-AU"/>
            </w:rPr>
          </w:pPr>
          <w:hyperlink w:anchor="_Toc460417313" w:history="1">
            <w:r w:rsidRPr="00541F28">
              <w:rPr>
                <w:rStyle w:val="Hyperlink"/>
              </w:rPr>
              <w:t>3</w:t>
            </w:r>
            <w:r>
              <w:rPr>
                <w:rFonts w:asciiTheme="minorHAnsi" w:eastAsiaTheme="minorEastAsia" w:hAnsiTheme="minorHAnsi"/>
                <w:b w:val="0"/>
                <w:color w:val="auto"/>
                <w:sz w:val="22"/>
                <w:lang w:val="en-AU" w:eastAsia="en-AU"/>
              </w:rPr>
              <w:tab/>
            </w:r>
            <w:r w:rsidRPr="00541F28">
              <w:rPr>
                <w:rStyle w:val="Hyperlink"/>
              </w:rPr>
              <w:t>Analysis of June’s price events</w:t>
            </w:r>
            <w:r>
              <w:rPr>
                <w:webHidden/>
              </w:rPr>
              <w:tab/>
            </w:r>
            <w:r>
              <w:rPr>
                <w:webHidden/>
              </w:rPr>
              <w:fldChar w:fldCharType="begin"/>
            </w:r>
            <w:r>
              <w:rPr>
                <w:webHidden/>
              </w:rPr>
              <w:instrText xml:space="preserve"> PAGEREF _Toc460417313 \h </w:instrText>
            </w:r>
            <w:r>
              <w:rPr>
                <w:webHidden/>
              </w:rPr>
            </w:r>
            <w:r>
              <w:rPr>
                <w:webHidden/>
              </w:rPr>
              <w:fldChar w:fldCharType="separate"/>
            </w:r>
            <w:r>
              <w:rPr>
                <w:webHidden/>
              </w:rPr>
              <w:t>17</w:t>
            </w:r>
            <w:r>
              <w:rPr>
                <w:webHidden/>
              </w:rPr>
              <w:fldChar w:fldCharType="end"/>
            </w:r>
          </w:hyperlink>
        </w:p>
        <w:p w:rsidR="005B1B75" w:rsidRDefault="005B1B75">
          <w:pPr>
            <w:pStyle w:val="TOC2"/>
            <w:rPr>
              <w:rFonts w:asciiTheme="minorHAnsi" w:eastAsiaTheme="minorEastAsia" w:hAnsiTheme="minorHAnsi"/>
              <w:b w:val="0"/>
              <w:color w:val="auto"/>
              <w:sz w:val="22"/>
              <w:lang w:eastAsia="en-AU"/>
            </w:rPr>
          </w:pPr>
          <w:hyperlink w:anchor="_Toc460417314" w:history="1">
            <w:r w:rsidRPr="00541F28">
              <w:rPr>
                <w:rStyle w:val="Hyperlink"/>
              </w:rPr>
              <w:t>3.1</w:t>
            </w:r>
            <w:r>
              <w:rPr>
                <w:rFonts w:asciiTheme="minorHAnsi" w:eastAsiaTheme="minorEastAsia" w:hAnsiTheme="minorHAnsi"/>
                <w:b w:val="0"/>
                <w:color w:val="auto"/>
                <w:sz w:val="22"/>
                <w:lang w:eastAsia="en-AU"/>
              </w:rPr>
              <w:tab/>
            </w:r>
            <w:r w:rsidRPr="00541F28">
              <w:rPr>
                <w:rStyle w:val="Hyperlink"/>
              </w:rPr>
              <w:t>Friday 24 June 2016</w:t>
            </w:r>
            <w:r>
              <w:rPr>
                <w:webHidden/>
              </w:rPr>
              <w:tab/>
            </w:r>
            <w:r>
              <w:rPr>
                <w:webHidden/>
              </w:rPr>
              <w:fldChar w:fldCharType="begin"/>
            </w:r>
            <w:r>
              <w:rPr>
                <w:webHidden/>
              </w:rPr>
              <w:instrText xml:space="preserve"> PAGEREF _Toc460417314 \h </w:instrText>
            </w:r>
            <w:r>
              <w:rPr>
                <w:webHidden/>
              </w:rPr>
            </w:r>
            <w:r>
              <w:rPr>
                <w:webHidden/>
              </w:rPr>
              <w:fldChar w:fldCharType="separate"/>
            </w:r>
            <w:r>
              <w:rPr>
                <w:webHidden/>
              </w:rPr>
              <w:t>17</w:t>
            </w:r>
            <w:r>
              <w:rPr>
                <w:webHidden/>
              </w:rPr>
              <w:fldChar w:fldCharType="end"/>
            </w:r>
          </w:hyperlink>
        </w:p>
        <w:p w:rsidR="005B1B75" w:rsidRDefault="005B1B75">
          <w:pPr>
            <w:pStyle w:val="TOC2"/>
            <w:rPr>
              <w:rFonts w:asciiTheme="minorHAnsi" w:eastAsiaTheme="minorEastAsia" w:hAnsiTheme="minorHAnsi"/>
              <w:b w:val="0"/>
              <w:color w:val="auto"/>
              <w:sz w:val="22"/>
              <w:lang w:eastAsia="en-AU"/>
            </w:rPr>
          </w:pPr>
          <w:hyperlink w:anchor="_Toc460417315" w:history="1">
            <w:r w:rsidRPr="00541F28">
              <w:rPr>
                <w:rStyle w:val="Hyperlink"/>
              </w:rPr>
              <w:t>3.2</w:t>
            </w:r>
            <w:r>
              <w:rPr>
                <w:rFonts w:asciiTheme="minorHAnsi" w:eastAsiaTheme="minorEastAsia" w:hAnsiTheme="minorHAnsi"/>
                <w:b w:val="0"/>
                <w:color w:val="auto"/>
                <w:sz w:val="22"/>
                <w:lang w:eastAsia="en-AU"/>
              </w:rPr>
              <w:tab/>
            </w:r>
            <w:r w:rsidRPr="00541F28">
              <w:rPr>
                <w:rStyle w:val="Hyperlink"/>
              </w:rPr>
              <w:t>Sunday 26 June 2016</w:t>
            </w:r>
            <w:r>
              <w:rPr>
                <w:webHidden/>
              </w:rPr>
              <w:tab/>
            </w:r>
            <w:r>
              <w:rPr>
                <w:webHidden/>
              </w:rPr>
              <w:fldChar w:fldCharType="begin"/>
            </w:r>
            <w:r>
              <w:rPr>
                <w:webHidden/>
              </w:rPr>
              <w:instrText xml:space="preserve"> PAGEREF _Toc460417315 \h </w:instrText>
            </w:r>
            <w:r>
              <w:rPr>
                <w:webHidden/>
              </w:rPr>
            </w:r>
            <w:r>
              <w:rPr>
                <w:webHidden/>
              </w:rPr>
              <w:fldChar w:fldCharType="separate"/>
            </w:r>
            <w:r>
              <w:rPr>
                <w:webHidden/>
              </w:rPr>
              <w:t>19</w:t>
            </w:r>
            <w:r>
              <w:rPr>
                <w:webHidden/>
              </w:rPr>
              <w:fldChar w:fldCharType="end"/>
            </w:r>
          </w:hyperlink>
        </w:p>
        <w:p w:rsidR="005B1B75" w:rsidRDefault="005B1B75">
          <w:pPr>
            <w:pStyle w:val="TOC2"/>
            <w:rPr>
              <w:rFonts w:asciiTheme="minorHAnsi" w:eastAsiaTheme="minorEastAsia" w:hAnsiTheme="minorHAnsi"/>
              <w:b w:val="0"/>
              <w:color w:val="auto"/>
              <w:sz w:val="22"/>
              <w:lang w:eastAsia="en-AU"/>
            </w:rPr>
          </w:pPr>
          <w:hyperlink w:anchor="_Toc460417316" w:history="1">
            <w:r w:rsidRPr="00541F28">
              <w:rPr>
                <w:rStyle w:val="Hyperlink"/>
              </w:rPr>
              <w:t>3.3</w:t>
            </w:r>
            <w:r>
              <w:rPr>
                <w:rFonts w:asciiTheme="minorHAnsi" w:eastAsiaTheme="minorEastAsia" w:hAnsiTheme="minorHAnsi"/>
                <w:b w:val="0"/>
                <w:color w:val="auto"/>
                <w:sz w:val="22"/>
                <w:lang w:eastAsia="en-AU"/>
              </w:rPr>
              <w:tab/>
            </w:r>
            <w:r w:rsidRPr="00541F28">
              <w:rPr>
                <w:rStyle w:val="Hyperlink"/>
              </w:rPr>
              <w:t>Monday 27 June 2016</w:t>
            </w:r>
            <w:r>
              <w:rPr>
                <w:webHidden/>
              </w:rPr>
              <w:tab/>
            </w:r>
            <w:r>
              <w:rPr>
                <w:webHidden/>
              </w:rPr>
              <w:fldChar w:fldCharType="begin"/>
            </w:r>
            <w:r>
              <w:rPr>
                <w:webHidden/>
              </w:rPr>
              <w:instrText xml:space="preserve"> PAGEREF _Toc460417316 \h </w:instrText>
            </w:r>
            <w:r>
              <w:rPr>
                <w:webHidden/>
              </w:rPr>
            </w:r>
            <w:r>
              <w:rPr>
                <w:webHidden/>
              </w:rPr>
              <w:fldChar w:fldCharType="separate"/>
            </w:r>
            <w:r>
              <w:rPr>
                <w:webHidden/>
              </w:rPr>
              <w:t>21</w:t>
            </w:r>
            <w:r>
              <w:rPr>
                <w:webHidden/>
              </w:rPr>
              <w:fldChar w:fldCharType="end"/>
            </w:r>
          </w:hyperlink>
        </w:p>
        <w:p w:rsidR="005B1B75" w:rsidRDefault="005B1B75">
          <w:pPr>
            <w:pStyle w:val="TOC2"/>
            <w:rPr>
              <w:rFonts w:asciiTheme="minorHAnsi" w:eastAsiaTheme="minorEastAsia" w:hAnsiTheme="minorHAnsi"/>
              <w:b w:val="0"/>
              <w:color w:val="auto"/>
              <w:sz w:val="22"/>
              <w:lang w:eastAsia="en-AU"/>
            </w:rPr>
          </w:pPr>
          <w:hyperlink w:anchor="_Toc460417317" w:history="1">
            <w:r w:rsidRPr="00541F28">
              <w:rPr>
                <w:rStyle w:val="Hyperlink"/>
              </w:rPr>
              <w:t>3.4</w:t>
            </w:r>
            <w:r>
              <w:rPr>
                <w:rFonts w:asciiTheme="minorHAnsi" w:eastAsiaTheme="minorEastAsia" w:hAnsiTheme="minorHAnsi"/>
                <w:b w:val="0"/>
                <w:color w:val="auto"/>
                <w:sz w:val="22"/>
                <w:lang w:eastAsia="en-AU"/>
              </w:rPr>
              <w:tab/>
            </w:r>
            <w:r w:rsidRPr="00541F28">
              <w:rPr>
                <w:rStyle w:val="Hyperlink"/>
              </w:rPr>
              <w:t>Tuesday 28 June 2016</w:t>
            </w:r>
            <w:r>
              <w:rPr>
                <w:webHidden/>
              </w:rPr>
              <w:tab/>
            </w:r>
            <w:r>
              <w:rPr>
                <w:webHidden/>
              </w:rPr>
              <w:fldChar w:fldCharType="begin"/>
            </w:r>
            <w:r>
              <w:rPr>
                <w:webHidden/>
              </w:rPr>
              <w:instrText xml:space="preserve"> PAGEREF _Toc460417317 \h </w:instrText>
            </w:r>
            <w:r>
              <w:rPr>
                <w:webHidden/>
              </w:rPr>
            </w:r>
            <w:r>
              <w:rPr>
                <w:webHidden/>
              </w:rPr>
              <w:fldChar w:fldCharType="separate"/>
            </w:r>
            <w:r>
              <w:rPr>
                <w:webHidden/>
              </w:rPr>
              <w:t>23</w:t>
            </w:r>
            <w:r>
              <w:rPr>
                <w:webHidden/>
              </w:rPr>
              <w:fldChar w:fldCharType="end"/>
            </w:r>
          </w:hyperlink>
        </w:p>
        <w:p w:rsidR="005B1B75" w:rsidRDefault="005B1B75">
          <w:pPr>
            <w:pStyle w:val="TOC2"/>
            <w:rPr>
              <w:rFonts w:asciiTheme="minorHAnsi" w:eastAsiaTheme="minorEastAsia" w:hAnsiTheme="minorHAnsi"/>
              <w:b w:val="0"/>
              <w:color w:val="auto"/>
              <w:sz w:val="22"/>
              <w:lang w:eastAsia="en-AU"/>
            </w:rPr>
          </w:pPr>
          <w:hyperlink w:anchor="_Toc460417318" w:history="1">
            <w:r w:rsidRPr="00541F28">
              <w:rPr>
                <w:rStyle w:val="Hyperlink"/>
              </w:rPr>
              <w:t>3.5</w:t>
            </w:r>
            <w:r>
              <w:rPr>
                <w:rFonts w:asciiTheme="minorHAnsi" w:eastAsiaTheme="minorEastAsia" w:hAnsiTheme="minorHAnsi"/>
                <w:b w:val="0"/>
                <w:color w:val="auto"/>
                <w:sz w:val="22"/>
                <w:lang w:eastAsia="en-AU"/>
              </w:rPr>
              <w:tab/>
            </w:r>
            <w:r w:rsidRPr="00541F28">
              <w:rPr>
                <w:rStyle w:val="Hyperlink"/>
              </w:rPr>
              <w:t>Thursday 30 June 2016</w:t>
            </w:r>
            <w:r>
              <w:rPr>
                <w:webHidden/>
              </w:rPr>
              <w:tab/>
            </w:r>
            <w:r>
              <w:rPr>
                <w:webHidden/>
              </w:rPr>
              <w:fldChar w:fldCharType="begin"/>
            </w:r>
            <w:r>
              <w:rPr>
                <w:webHidden/>
              </w:rPr>
              <w:instrText xml:space="preserve"> PAGEREF _Toc460417318 \h </w:instrText>
            </w:r>
            <w:r>
              <w:rPr>
                <w:webHidden/>
              </w:rPr>
            </w:r>
            <w:r>
              <w:rPr>
                <w:webHidden/>
              </w:rPr>
              <w:fldChar w:fldCharType="separate"/>
            </w:r>
            <w:r>
              <w:rPr>
                <w:webHidden/>
              </w:rPr>
              <w:t>25</w:t>
            </w:r>
            <w:r>
              <w:rPr>
                <w:webHidden/>
              </w:rPr>
              <w:fldChar w:fldCharType="end"/>
            </w:r>
          </w:hyperlink>
        </w:p>
        <w:p w:rsidR="00C7068C" w:rsidRDefault="006007DC" w:rsidP="00C7068C">
          <w:pPr>
            <w:sectPr w:rsidR="00C7068C" w:rsidSect="00581454">
              <w:headerReference w:type="even" r:id="rId12"/>
              <w:headerReference w:type="default" r:id="rId13"/>
              <w:footerReference w:type="even" r:id="rId14"/>
              <w:footerReference w:type="default" r:id="rId15"/>
              <w:headerReference w:type="first" r:id="rId16"/>
              <w:footerReference w:type="first" r:id="rId17"/>
              <w:pgSz w:w="11906" w:h="16838" w:code="9"/>
              <w:pgMar w:top="1440" w:right="1700" w:bottom="1582" w:left="1729" w:header="720" w:footer="1009" w:gutter="0"/>
              <w:pgNumType w:fmt="lowerRoman"/>
              <w:cols w:space="720"/>
              <w:docGrid w:linePitch="326"/>
            </w:sectPr>
          </w:pPr>
          <w:r>
            <w:rPr>
              <w:b/>
              <w:noProof/>
              <w:color w:val="70635A" w:themeColor="text2"/>
              <w:sz w:val="24"/>
              <w:lang w:val="en-US" w:eastAsia="ja-JP"/>
            </w:rPr>
            <w:fldChar w:fldCharType="end"/>
          </w:r>
        </w:p>
        <w:p w:rsidR="00747545" w:rsidRDefault="005535F1" w:rsidP="00747545">
          <w:pPr>
            <w:pStyle w:val="Heading1"/>
          </w:pPr>
          <w:bookmarkStart w:id="1" w:name="_Toc460417304"/>
          <w:bookmarkEnd w:id="0"/>
          <w:r>
            <w:lastRenderedPageBreak/>
            <w:t>Summary</w:t>
          </w:r>
          <w:bookmarkEnd w:id="1"/>
        </w:p>
        <w:p w:rsidR="00493B57" w:rsidRDefault="00493B57" w:rsidP="00493B57">
          <w:r>
            <w:t xml:space="preserve">In June this year there were twelve significant price variations </w:t>
          </w:r>
          <w:r>
            <w:rPr>
              <w:b/>
            </w:rPr>
            <w:t>(SPVs)</w:t>
          </w:r>
          <w:r>
            <w:t xml:space="preserve"> across the Victorian Gas Market and the Adelaide, Brisbane and Sydney short term trading </w:t>
          </w:r>
          <w:r w:rsidRPr="001F44D1">
            <w:t>markets</w:t>
          </w:r>
          <w:r>
            <w:t xml:space="preserve"> </w:t>
          </w:r>
          <w:r>
            <w:rPr>
              <w:b/>
            </w:rPr>
            <w:t>(STTMs)</w:t>
          </w:r>
          <w:r>
            <w:t xml:space="preserve">. </w:t>
          </w:r>
          <w:r w:rsidRPr="001F44D1">
            <w:t xml:space="preserve">This report </w:t>
          </w:r>
          <w:r>
            <w:t xml:space="preserve">collectively </w:t>
          </w:r>
          <w:r w:rsidRPr="001F44D1">
            <w:t>refers to these markets, along with the Wallumbilla and Moomba</w:t>
          </w:r>
          <w:r w:rsidR="0047706C">
            <w:t xml:space="preserve"> </w:t>
          </w:r>
          <w:r w:rsidRPr="001F44D1">
            <w:t>gas supply hubs, as the east coast gas markets.</w:t>
          </w:r>
          <w:r w:rsidR="0047706C">
            <w:t xml:space="preserve"> </w:t>
          </w:r>
        </w:p>
        <w:p w:rsidR="00F92C68" w:rsidRDefault="00F92C68" w:rsidP="00F92C68">
          <w:r>
            <w:t>Two SPVs occurred in Victoria when the trade weighted imbalance price reached $23.34/GJ (on 24 June 2016) and $25.74/GJ (on 27 June 2016).</w:t>
          </w:r>
        </w:p>
        <w:p w:rsidR="00F92C68" w:rsidRDefault="00F92C68" w:rsidP="00F92C68">
          <w:r>
            <w:t>Across the STTMs, SPVs were triggered by:</w:t>
          </w:r>
        </w:p>
        <w:p w:rsidR="00F92C68" w:rsidRDefault="00F92C68" w:rsidP="00F92C68">
          <w:pPr>
            <w:pStyle w:val="ListBullet"/>
          </w:pPr>
          <w:r>
            <w:t>Variations between the D-2 and D-1 prices (on 3 occasions)</w:t>
          </w:r>
        </w:p>
        <w:p w:rsidR="00F92C68" w:rsidRDefault="00F92C68" w:rsidP="00F92C68">
          <w:pPr>
            <w:pStyle w:val="ListBullet"/>
          </w:pPr>
          <w:r>
            <w:t>Variations between the D-1 and D+1 prices (on 4 occasions)</w:t>
          </w:r>
        </w:p>
        <w:p w:rsidR="00F92C68" w:rsidRDefault="00F92C68" w:rsidP="00F92C68">
          <w:pPr>
            <w:pStyle w:val="ListBullet"/>
          </w:pPr>
          <w:r>
            <w:t xml:space="preserve">Prices greater than the 30 day rolling average and above $15/GJ (on </w:t>
          </w:r>
          <w:r w:rsidR="005535F1">
            <w:t>3</w:t>
          </w:r>
          <w:r>
            <w:t xml:space="preserve"> occasions)</w:t>
          </w:r>
          <w:r w:rsidR="00AF2C48">
            <w:t>.</w:t>
          </w:r>
        </w:p>
        <w:p w:rsidR="001F20E4" w:rsidRDefault="001F20E4" w:rsidP="001F20E4">
          <w:r>
            <w:t xml:space="preserve">There were eleven more SPVs in July. While these events will be detailed in a separate report, the overall market conditions across June and July </w:t>
          </w:r>
          <w:r>
            <w:rPr>
              <w:b/>
            </w:rPr>
            <w:t>(winter 2016)</w:t>
          </w:r>
          <w:r>
            <w:t xml:space="preserve"> are set out in section </w:t>
          </w:r>
          <w:r>
            <w:fldChar w:fldCharType="begin"/>
          </w:r>
          <w:r>
            <w:instrText xml:space="preserve"> REF _Ref459647023 \r \h </w:instrText>
          </w:r>
          <w:r>
            <w:fldChar w:fldCharType="separate"/>
          </w:r>
          <w:r w:rsidR="003F58C8">
            <w:t>2</w:t>
          </w:r>
          <w:r>
            <w:fldChar w:fldCharType="end"/>
          </w:r>
          <w:r>
            <w:t xml:space="preserve"> of this report.</w:t>
          </w:r>
        </w:p>
        <w:p w:rsidR="001F20E4" w:rsidRPr="001F20E4" w:rsidRDefault="001F20E4" w:rsidP="00D37413">
          <w:r>
            <w:t xml:space="preserve">Prices this winter were much higher than </w:t>
          </w:r>
          <w:r w:rsidR="00FD4E66">
            <w:t xml:space="preserve">the </w:t>
          </w:r>
          <w:r>
            <w:t xml:space="preserve">previous two years </w:t>
          </w:r>
          <w:r w:rsidR="00FD4E66">
            <w:t>when the domestic market</w:t>
          </w:r>
          <w:r>
            <w:t xml:space="preserve"> benefitted from the supply of </w:t>
          </w:r>
          <w:r w:rsidR="00E44AA7">
            <w:t xml:space="preserve">excess </w:t>
          </w:r>
          <w:r>
            <w:t xml:space="preserve">‘ramp gas’ during the </w:t>
          </w:r>
          <w:r w:rsidR="0093504B">
            <w:t xml:space="preserve">‘build up’ to </w:t>
          </w:r>
          <w:r>
            <w:t xml:space="preserve">Queensland’s liquefied natural gas </w:t>
          </w:r>
          <w:r>
            <w:rPr>
              <w:b/>
            </w:rPr>
            <w:t>(LNG)</w:t>
          </w:r>
          <w:r>
            <w:t xml:space="preserve"> export projects. </w:t>
          </w:r>
          <w:r w:rsidR="00E44AA7">
            <w:t>I</w:t>
          </w:r>
          <w:r w:rsidR="00FD4E66">
            <w:t xml:space="preserve">n </w:t>
          </w:r>
          <w:r w:rsidR="00E44AA7">
            <w:t xml:space="preserve">contrast in </w:t>
          </w:r>
          <w:r w:rsidR="00FD4E66">
            <w:t>winter 2016 five (of six) LNG production trains are operating and primarily focussed on exporting gas rather than supplying the domestic market.</w:t>
          </w:r>
          <w:r w:rsidR="00FD4E66">
            <w:rPr>
              <w:rStyle w:val="FootnoteReference"/>
            </w:rPr>
            <w:footnoteReference w:id="1"/>
          </w:r>
        </w:p>
        <w:p w:rsidR="001F20E4" w:rsidRPr="00FD4E66" w:rsidRDefault="00FD4E66" w:rsidP="00D37413">
          <w:r>
            <w:t xml:space="preserve">The June high prices were largely a result of </w:t>
          </w:r>
          <w:r>
            <w:rPr>
              <w:b/>
            </w:rPr>
            <w:t>reduced supply</w:t>
          </w:r>
          <w:r>
            <w:t xml:space="preserve"> and </w:t>
          </w:r>
          <w:r>
            <w:rPr>
              <w:b/>
            </w:rPr>
            <w:t>high demand</w:t>
          </w:r>
          <w:r>
            <w:t>.</w:t>
          </w:r>
        </w:p>
        <w:p w:rsidR="00FD4E66" w:rsidRDefault="00FD4E66" w:rsidP="00D37413">
          <w:r>
            <w:t xml:space="preserve">Some of the supply side factors </w:t>
          </w:r>
          <w:r w:rsidR="00CB01E6">
            <w:t xml:space="preserve">that contributed to the higher prices </w:t>
          </w:r>
          <w:r>
            <w:t>include:</w:t>
          </w:r>
        </w:p>
        <w:p w:rsidR="00E44AA7" w:rsidRDefault="00E44AA7" w:rsidP="00E44AA7">
          <w:pPr>
            <w:pStyle w:val="ListBullet"/>
          </w:pPr>
          <w:r>
            <w:t>diversion of ‘domestic’ supply to export markets – including gas from South Australia’s Moomba production facility, and likely fr</w:t>
          </w:r>
          <w:r w:rsidR="007D7145">
            <w:t>om Victorian gas fields as well</w:t>
          </w:r>
        </w:p>
        <w:p w:rsidR="001737FF" w:rsidRDefault="00DD4029" w:rsidP="001737FF">
          <w:pPr>
            <w:pStyle w:val="ListBullet"/>
          </w:pPr>
          <w:r>
            <w:t>t</w:t>
          </w:r>
          <w:r w:rsidR="001737FF">
            <w:t xml:space="preserve">he unexpected curtailment of a Queensland-based supply source for AGL. This resulted in AGL </w:t>
          </w:r>
          <w:r w:rsidR="00FD4E66">
            <w:t>buying</w:t>
          </w:r>
          <w:r w:rsidR="001737FF">
            <w:t xml:space="preserve"> more gas from the spot markets</w:t>
          </w:r>
        </w:p>
        <w:p w:rsidR="001F496F" w:rsidRDefault="00DD4029" w:rsidP="001F496F">
          <w:pPr>
            <w:pStyle w:val="ListBullet"/>
          </w:pPr>
          <w:r>
            <w:t>l</w:t>
          </w:r>
          <w:r w:rsidR="001737FF">
            <w:t>ower production</w:t>
          </w:r>
          <w:r w:rsidR="001F496F">
            <w:t xml:space="preserve"> from the Otway </w:t>
          </w:r>
          <w:r w:rsidR="00A67F8B">
            <w:t xml:space="preserve">and Minerva </w:t>
          </w:r>
          <w:r w:rsidR="001F496F">
            <w:t>gas plant</w:t>
          </w:r>
          <w:r w:rsidR="00A67F8B">
            <w:t>s</w:t>
          </w:r>
          <w:r w:rsidR="001F496F">
            <w:t xml:space="preserve"> </w:t>
          </w:r>
          <w:r w:rsidR="00A67F8B">
            <w:t xml:space="preserve">in </w:t>
          </w:r>
          <w:r w:rsidR="001F496F">
            <w:t>Victoria</w:t>
          </w:r>
          <w:r w:rsidR="00AF2C48">
            <w:t>.</w:t>
          </w:r>
        </w:p>
        <w:p w:rsidR="00CB01E6" w:rsidRDefault="00CB01E6" w:rsidP="001F496F">
          <w:pPr>
            <w:pStyle w:val="ListBullet"/>
            <w:numPr>
              <w:ilvl w:val="0"/>
              <w:numId w:val="0"/>
            </w:numPr>
          </w:pPr>
          <w:r>
            <w:t>Some of the demand side factors that contributed to the higher prices include:</w:t>
          </w:r>
        </w:p>
        <w:p w:rsidR="001F496F" w:rsidRDefault="001737FF" w:rsidP="001F496F">
          <w:pPr>
            <w:pStyle w:val="ListBullet"/>
          </w:pPr>
          <w:r>
            <w:t xml:space="preserve">LNG exports – </w:t>
          </w:r>
          <w:r w:rsidR="001F496F">
            <w:t>in particular Santos’ GLNG project</w:t>
          </w:r>
          <w:r w:rsidR="00CB01E6">
            <w:t>. The demand from these projects is forecast to reach three to four times the level of domestic demand once fully operational</w:t>
          </w:r>
        </w:p>
        <w:p w:rsidR="001737FF" w:rsidRDefault="00CB01E6" w:rsidP="001F496F">
          <w:pPr>
            <w:pStyle w:val="ListBullet"/>
          </w:pPr>
          <w:r>
            <w:t>i</w:t>
          </w:r>
          <w:r w:rsidR="00530813">
            <w:t>ncreased output from gas fired electricity gene</w:t>
          </w:r>
          <w:r w:rsidR="001737FF">
            <w:t>rators</w:t>
          </w:r>
          <w:r w:rsidR="0093504B">
            <w:t>, particularly in South Australia</w:t>
          </w:r>
          <w:r w:rsidR="00E44AA7">
            <w:t xml:space="preserve"> </w:t>
          </w:r>
        </w:p>
        <w:p w:rsidR="001F496F" w:rsidRDefault="00CB01E6" w:rsidP="001F496F">
          <w:pPr>
            <w:pStyle w:val="ListBullet"/>
          </w:pPr>
          <w:r>
            <w:t>c</w:t>
          </w:r>
          <w:r w:rsidR="001F496F">
            <w:t>old weather</w:t>
          </w:r>
          <w:r>
            <w:t xml:space="preserve"> – t</w:t>
          </w:r>
          <w:r w:rsidR="00530813">
            <w:t>his led to</w:t>
          </w:r>
          <w:r w:rsidR="00BB6A96">
            <w:t xml:space="preserve"> high</w:t>
          </w:r>
          <w:r w:rsidR="001F496F">
            <w:t xml:space="preserve"> residential </w:t>
          </w:r>
          <w:r w:rsidR="00530813">
            <w:t xml:space="preserve">gas </w:t>
          </w:r>
          <w:r w:rsidR="001F496F">
            <w:t>consumption for heating</w:t>
          </w:r>
          <w:r w:rsidR="00530813">
            <w:t>, particularly in Victoria</w:t>
          </w:r>
          <w:r w:rsidR="00AF2C48">
            <w:t>.</w:t>
          </w:r>
        </w:p>
        <w:p w:rsidR="00DD4029" w:rsidRPr="00493B57" w:rsidRDefault="00517A20" w:rsidP="00293C20">
          <w:r>
            <w:lastRenderedPageBreak/>
            <w:t xml:space="preserve">On most occasions the high prices were forecast. The tight supply and demand conditions were reflected in </w:t>
          </w:r>
          <w:r w:rsidR="00A35427">
            <w:t>participants’</w:t>
          </w:r>
          <w:r>
            <w:t xml:space="preserve"> offers to the mark</w:t>
          </w:r>
          <w:r w:rsidR="004F3440">
            <w:t xml:space="preserve">et. </w:t>
          </w:r>
          <w:r w:rsidR="00530813">
            <w:t>While on most days there were generally enough supply offers priced at or under $10/GJ to meet forecast demand, off</w:t>
          </w:r>
          <w:r w:rsidR="00BE7D58">
            <w:t>ers for gas beyond this point w</w:t>
          </w:r>
          <w:r w:rsidR="00530813">
            <w:t>ere at increasingly higher prices and for lower quantities.</w:t>
          </w:r>
          <w:r w:rsidR="004F3440">
            <w:t xml:space="preserve"> </w:t>
          </w:r>
        </w:p>
        <w:p w:rsidR="00293C20" w:rsidRDefault="005702BD" w:rsidP="00293C20">
          <w:pPr>
            <w:pStyle w:val="Heading2"/>
          </w:pPr>
          <w:bookmarkStart w:id="2" w:name="_Ref457396165"/>
          <w:bookmarkStart w:id="3" w:name="_Toc460417305"/>
          <w:r>
            <w:t>The AER’s r</w:t>
          </w:r>
          <w:r w:rsidR="008D199B">
            <w:t>eporting o</w:t>
          </w:r>
          <w:r w:rsidR="00293C20">
            <w:t>bligation</w:t>
          </w:r>
          <w:bookmarkEnd w:id="2"/>
          <w:bookmarkEnd w:id="3"/>
        </w:p>
        <w:p w:rsidR="00293C20" w:rsidRPr="00293C20" w:rsidRDefault="00D57BF1" w:rsidP="00293C20">
          <w:r>
            <w:t>T</w:t>
          </w:r>
          <w:r w:rsidR="00293C20">
            <w:t xml:space="preserve">he National Gas Rules </w:t>
          </w:r>
          <w:r w:rsidR="00293C20">
            <w:rPr>
              <w:b/>
            </w:rPr>
            <w:t>(NGR)</w:t>
          </w:r>
          <w:r>
            <w:t xml:space="preserve"> require</w:t>
          </w:r>
          <w:r w:rsidR="00293C20">
            <w:t xml:space="preserve"> the AER to publish a report setting out any</w:t>
          </w:r>
          <w:r w:rsidR="00E44AA7">
            <w:t xml:space="preserve"> </w:t>
          </w:r>
          <w:r w:rsidR="00EB7516">
            <w:t xml:space="preserve">Significant Price Variations </w:t>
          </w:r>
          <w:r w:rsidR="00EB7516" w:rsidRPr="00EB7516">
            <w:rPr>
              <w:b/>
            </w:rPr>
            <w:t>(</w:t>
          </w:r>
          <w:r w:rsidR="00E44AA7" w:rsidRPr="00EB7516">
            <w:rPr>
              <w:b/>
            </w:rPr>
            <w:t>SPVs</w:t>
          </w:r>
          <w:r w:rsidR="00EB7516" w:rsidRPr="00EB7516">
            <w:rPr>
              <w:b/>
            </w:rPr>
            <w:t>)</w:t>
          </w:r>
          <w:r w:rsidR="00293C20">
            <w:t>.</w:t>
          </w:r>
          <w:r>
            <w:rPr>
              <w:rStyle w:val="FootnoteReference"/>
            </w:rPr>
            <w:footnoteReference w:id="2"/>
          </w:r>
        </w:p>
        <w:p w:rsidR="00D57BF1" w:rsidRDefault="00D57BF1" w:rsidP="00293C20">
          <w:r>
            <w:t>The AER has published two guidelines which set out what constitutes an SPV in the Victorian market and the</w:t>
          </w:r>
          <w:r w:rsidR="00946018">
            <w:t xml:space="preserve"> short term trading market</w:t>
          </w:r>
          <w:r>
            <w:t xml:space="preserve"> </w:t>
          </w:r>
          <w:r w:rsidR="00946018" w:rsidRPr="00946018">
            <w:rPr>
              <w:b/>
            </w:rPr>
            <w:t>(</w:t>
          </w:r>
          <w:r w:rsidRPr="00946018">
            <w:rPr>
              <w:b/>
            </w:rPr>
            <w:t>STTM</w:t>
          </w:r>
          <w:r w:rsidR="00946018" w:rsidRPr="00946018">
            <w:rPr>
              <w:b/>
            </w:rPr>
            <w:t>)</w:t>
          </w:r>
          <w:r w:rsidR="00010935">
            <w:t xml:space="preserve"> respectively.</w:t>
          </w:r>
        </w:p>
        <w:p w:rsidR="006B2EFD" w:rsidRDefault="006B2EFD" w:rsidP="00293C20">
          <w:r>
            <w:t xml:space="preserve">The reporting </w:t>
          </w:r>
          <w:r w:rsidR="00A0402F">
            <w:t>thresholds</w:t>
          </w:r>
          <w:r>
            <w:t xml:space="preserve"> are set out below.</w:t>
          </w:r>
          <w:r w:rsidR="00A0402F">
            <w:t xml:space="preserve"> The different kinds of prices that feature in the STTM and the Victorian</w:t>
          </w:r>
          <w:r w:rsidR="00EB7516">
            <w:t xml:space="preserve"> gas</w:t>
          </w:r>
          <w:r w:rsidR="00A0402F">
            <w:t xml:space="preserve"> market are explained in further detail when necessary in section </w:t>
          </w:r>
          <w:r w:rsidR="00A0402F">
            <w:fldChar w:fldCharType="begin"/>
          </w:r>
          <w:r w:rsidR="00A0402F">
            <w:instrText xml:space="preserve"> REF _Ref457987483 \r \h </w:instrText>
          </w:r>
          <w:r w:rsidR="00A0402F">
            <w:fldChar w:fldCharType="separate"/>
          </w:r>
          <w:r w:rsidR="003F58C8">
            <w:t>3</w:t>
          </w:r>
          <w:r w:rsidR="00A0402F">
            <w:fldChar w:fldCharType="end"/>
          </w:r>
          <w:r w:rsidR="00A0402F">
            <w:t>.</w:t>
          </w:r>
        </w:p>
        <w:p w:rsidR="00010935" w:rsidRDefault="00010935" w:rsidP="00293C20">
          <w:r>
            <w:t>The</w:t>
          </w:r>
          <w:r w:rsidR="00395B06">
            <w:t xml:space="preserve"> two reporting thresholds set out in the</w:t>
          </w:r>
          <w:r>
            <w:t xml:space="preserve"> </w:t>
          </w:r>
          <w:hyperlink r:id="rId18" w:history="1">
            <w:r w:rsidRPr="00010935">
              <w:rPr>
                <w:rStyle w:val="Hyperlink"/>
              </w:rPr>
              <w:t>Victorian SPV guideline</w:t>
            </w:r>
          </w:hyperlink>
          <w:r>
            <w:t xml:space="preserve"> </w:t>
          </w:r>
          <w:r w:rsidR="00395B06">
            <w:t>are when</w:t>
          </w:r>
          <w:r>
            <w:t>:</w:t>
          </w:r>
        </w:p>
        <w:p w:rsidR="00010935" w:rsidRDefault="00010935" w:rsidP="00010935">
          <w:pPr>
            <w:pStyle w:val="ListBullet"/>
          </w:pPr>
          <w:r>
            <w:t>the trade weighted market price published by AEMO on a gas day is more than three times the average price for the previous 30 days and the trade weighted market price is equal to or greater than $15/GJ</w:t>
          </w:r>
        </w:p>
        <w:p w:rsidR="00010935" w:rsidRDefault="00010935" w:rsidP="00010935">
          <w:pPr>
            <w:pStyle w:val="ListBullet"/>
          </w:pPr>
          <w:r>
            <w:t>the ancillary payment amount published by AEMO on a gas day is an amount payable or re</w:t>
          </w:r>
          <w:r w:rsidR="007D7145">
            <w:t>ceivable which exceeds $250 000</w:t>
          </w:r>
          <w:r w:rsidR="00AF2C48">
            <w:t>.</w:t>
          </w:r>
        </w:p>
        <w:p w:rsidR="00010935" w:rsidRDefault="00395B06" w:rsidP="00293C20">
          <w:r>
            <w:t>The five reporting thresholds set out in t</w:t>
          </w:r>
          <w:r w:rsidR="00010935">
            <w:t xml:space="preserve">he </w:t>
          </w:r>
          <w:hyperlink r:id="rId19" w:history="1">
            <w:r w:rsidR="00010935" w:rsidRPr="00010935">
              <w:rPr>
                <w:rStyle w:val="Hyperlink"/>
              </w:rPr>
              <w:t>STTM SPV guideline</w:t>
            </w:r>
          </w:hyperlink>
          <w:r w:rsidR="00010935">
            <w:t xml:space="preserve"> </w:t>
          </w:r>
          <w:r>
            <w:t>are when</w:t>
          </w:r>
          <w:r w:rsidR="00010935">
            <w:t>:</w:t>
          </w:r>
        </w:p>
        <w:p w:rsidR="00010935" w:rsidRDefault="00010935" w:rsidP="00010935">
          <w:pPr>
            <w:pStyle w:val="ListBullet"/>
          </w:pPr>
          <w:r>
            <w:t xml:space="preserve">there is a </w:t>
          </w:r>
          <w:r w:rsidRPr="00010935">
            <w:t xml:space="preserve">variation of greater than $7/GJ between </w:t>
          </w:r>
          <w:r w:rsidR="00530813">
            <w:t>the D-2 price and ex ante price</w:t>
          </w:r>
        </w:p>
        <w:p w:rsidR="00010935" w:rsidRDefault="00010935" w:rsidP="00010935">
          <w:pPr>
            <w:pStyle w:val="ListBullet"/>
          </w:pPr>
          <w:r w:rsidRPr="00010935">
            <w:t>there is a variation of greater than $7/GJ between the ex</w:t>
          </w:r>
          <w:r w:rsidR="00530813">
            <w:t xml:space="preserve"> ante and the ex post price</w:t>
          </w:r>
        </w:p>
        <w:p w:rsidR="00010935" w:rsidRDefault="00E468C2" w:rsidP="00010935">
          <w:pPr>
            <w:pStyle w:val="ListBullet"/>
          </w:pPr>
          <w:r>
            <w:t>the</w:t>
          </w:r>
          <w:r w:rsidR="00010935" w:rsidRPr="00010935">
            <w:t xml:space="preserve"> ex ante price is greater than three times the 30 day rolling averag</w:t>
          </w:r>
          <w:r w:rsidR="00530813">
            <w:t>e price and greater than $15/GJ</w:t>
          </w:r>
        </w:p>
        <w:p w:rsidR="00010935" w:rsidRDefault="00E468C2" w:rsidP="00010935">
          <w:pPr>
            <w:pStyle w:val="ListBullet"/>
          </w:pPr>
          <w:r>
            <w:t>the</w:t>
          </w:r>
          <w:r w:rsidR="00010935" w:rsidRPr="00010935">
            <w:t xml:space="preserve"> ex post price is greater than three times the 30 day rolling averag</w:t>
          </w:r>
          <w:r w:rsidR="00530813">
            <w:t>e price and greater than $15/GJ</w:t>
          </w:r>
        </w:p>
        <w:p w:rsidR="007D7145" w:rsidRDefault="00010935" w:rsidP="007D7145">
          <w:pPr>
            <w:pStyle w:val="ListBullet"/>
          </w:pPr>
          <w:r w:rsidRPr="00010935">
            <w:t>MOS service payment</w:t>
          </w:r>
          <w:r w:rsidR="00E468C2">
            <w:t>s</w:t>
          </w:r>
          <w:r w:rsidR="007D7145">
            <w:t xml:space="preserve"> exceeds $250 000</w:t>
          </w:r>
          <w:r w:rsidR="00AF2C48">
            <w:t>.</w:t>
          </w:r>
        </w:p>
        <w:p w:rsidR="007D7145" w:rsidRDefault="007D7145">
          <w:pPr>
            <w:spacing w:line="240" w:lineRule="auto"/>
            <w:jc w:val="left"/>
            <w:rPr>
              <w:rFonts w:eastAsiaTheme="majorEastAsia" w:cstheme="majorBidi"/>
              <w:b/>
              <w:bCs/>
              <w:color w:val="70635A" w:themeColor="text2"/>
              <w:sz w:val="32"/>
              <w:szCs w:val="26"/>
            </w:rPr>
          </w:pPr>
          <w:r>
            <w:br w:type="page"/>
          </w:r>
        </w:p>
        <w:p w:rsidR="00581B15" w:rsidRDefault="00560E7A" w:rsidP="00581B15">
          <w:pPr>
            <w:pStyle w:val="Heading2"/>
          </w:pPr>
          <w:bookmarkStart w:id="4" w:name="_Toc460417306"/>
          <w:r>
            <w:lastRenderedPageBreak/>
            <w:t>The east coast gas m</w:t>
          </w:r>
          <w:r w:rsidR="00E5771C">
            <w:t>arkets</w:t>
          </w:r>
          <w:bookmarkEnd w:id="4"/>
        </w:p>
        <w:p w:rsidR="00C55FDC" w:rsidRDefault="00241FE3" w:rsidP="00E5771C">
          <w:r>
            <w:t xml:space="preserve">The Victorian gas market and the </w:t>
          </w:r>
          <w:r w:rsidR="00136AAB">
            <w:t>STTMs</w:t>
          </w:r>
          <w:r>
            <w:t xml:space="preserve"> </w:t>
          </w:r>
          <w:r w:rsidR="00270867">
            <w:t xml:space="preserve">help </w:t>
          </w:r>
          <w:r w:rsidR="00530813">
            <w:t>determine</w:t>
          </w:r>
          <w:r w:rsidR="00270867">
            <w:t xml:space="preserve"> the </w:t>
          </w:r>
          <w:r w:rsidR="00395B06">
            <w:t>sche</w:t>
          </w:r>
          <w:r w:rsidR="00270867">
            <w:t>duling</w:t>
          </w:r>
          <w:r w:rsidR="00395B06">
            <w:t xml:space="preserve"> </w:t>
          </w:r>
          <w:r w:rsidR="00270867">
            <w:t xml:space="preserve">of </w:t>
          </w:r>
          <w:r w:rsidR="00395B06">
            <w:t>gas to meet</w:t>
          </w:r>
          <w:r>
            <w:t xml:space="preserve"> demand from:</w:t>
          </w:r>
        </w:p>
        <w:p w:rsidR="00241FE3" w:rsidRDefault="00241FE3" w:rsidP="00241FE3">
          <w:pPr>
            <w:pStyle w:val="ListBullet"/>
          </w:pPr>
          <w:r>
            <w:t>residential customers</w:t>
          </w:r>
        </w:p>
        <w:p w:rsidR="00C55FDC" w:rsidRDefault="00241FE3" w:rsidP="00E5771C">
          <w:pPr>
            <w:pStyle w:val="ListBullet"/>
          </w:pPr>
          <w:r>
            <w:t xml:space="preserve">industrial users </w:t>
          </w:r>
          <w:r w:rsidR="00530813">
            <w:t>(</w:t>
          </w:r>
          <w:r>
            <w:t xml:space="preserve">who </w:t>
          </w:r>
          <w:r w:rsidR="00946018">
            <w:t>can</w:t>
          </w:r>
          <w:r w:rsidR="002056EB">
            <w:t xml:space="preserve"> either</w:t>
          </w:r>
          <w:r>
            <w:t xml:space="preserve"> partici</w:t>
          </w:r>
          <w:r w:rsidR="002056EB">
            <w:t>pate directly in the markets or have an</w:t>
          </w:r>
          <w:r w:rsidR="00201459">
            <w:t>other party – usually an</w:t>
          </w:r>
          <w:r w:rsidR="002056EB">
            <w:t xml:space="preserve"> energy retailer</w:t>
          </w:r>
          <w:r w:rsidR="00201459">
            <w:t xml:space="preserve"> – </w:t>
          </w:r>
          <w:r w:rsidR="002056EB">
            <w:t>participate on their behalf</w:t>
          </w:r>
          <w:r w:rsidR="0010261D">
            <w:t>)</w:t>
          </w:r>
        </w:p>
        <w:p w:rsidR="00EB7516" w:rsidRDefault="004F1B9E" w:rsidP="004F1B9E">
          <w:pPr>
            <w:pStyle w:val="ListBullet"/>
          </w:pPr>
          <w:r>
            <w:t>some gas fired electricity generators</w:t>
          </w:r>
          <w:r w:rsidR="00AF2C48">
            <w:t>.</w:t>
          </w:r>
          <w:r>
            <w:rPr>
              <w:rStyle w:val="FootnoteReference"/>
            </w:rPr>
            <w:footnoteReference w:id="3"/>
          </w:r>
        </w:p>
        <w:p w:rsidR="00136AAB" w:rsidRDefault="00136AAB" w:rsidP="00E5771C">
          <w:r>
            <w:t xml:space="preserve">These markets are compulsory for all gas users located within the </w:t>
          </w:r>
          <w:r w:rsidR="00201459">
            <w:t xml:space="preserve">defined </w:t>
          </w:r>
          <w:r>
            <w:t xml:space="preserve">physical boundaries of each market. </w:t>
          </w:r>
        </w:p>
        <w:p w:rsidR="00136AAB" w:rsidRDefault="00136AAB" w:rsidP="00E5771C">
          <w:r>
            <w:t>Ther</w:t>
          </w:r>
          <w:r w:rsidR="00270867">
            <w:t xml:space="preserve">e are also two gas supply hubs </w:t>
          </w:r>
          <w:r>
            <w:t>in Wallumbilla</w:t>
          </w:r>
          <w:r w:rsidR="00270867">
            <w:t xml:space="preserve"> (Queensland)</w:t>
          </w:r>
          <w:r>
            <w:t xml:space="preserve"> and Moomba</w:t>
          </w:r>
          <w:r w:rsidR="00270867">
            <w:t xml:space="preserve"> (north east Adelaide)</w:t>
          </w:r>
          <w:r>
            <w:t xml:space="preserve">. </w:t>
          </w:r>
          <w:r w:rsidR="00307951">
            <w:t>Trading in t</w:t>
          </w:r>
          <w:r>
            <w:t xml:space="preserve">hese </w:t>
          </w:r>
          <w:r w:rsidR="00307951">
            <w:t xml:space="preserve">supply hubs is </w:t>
          </w:r>
          <w:r>
            <w:t xml:space="preserve">voluntary and </w:t>
          </w:r>
          <w:r w:rsidR="00270867">
            <w:t>there are no</w:t>
          </w:r>
          <w:r w:rsidR="0092702B">
            <w:t xml:space="preserve"> SPV reporting </w:t>
          </w:r>
          <w:r w:rsidR="00270867">
            <w:t>requirements</w:t>
          </w:r>
          <w:r w:rsidR="0092702B">
            <w:t>.</w:t>
          </w:r>
        </w:p>
        <w:p w:rsidR="007D7145" w:rsidRDefault="007D7145">
          <w:pPr>
            <w:spacing w:line="240" w:lineRule="auto"/>
            <w:jc w:val="left"/>
          </w:pPr>
          <w:r>
            <w:br w:type="page"/>
          </w:r>
        </w:p>
        <w:p w:rsidR="002056EB" w:rsidRDefault="007E52DA" w:rsidP="00E5771C">
          <w:r>
            <w:lastRenderedPageBreak/>
            <w:fldChar w:fldCharType="begin"/>
          </w:r>
          <w:r>
            <w:instrText xml:space="preserve"> REF _Ref450555829 \h </w:instrText>
          </w:r>
          <w:r>
            <w:fldChar w:fldCharType="separate"/>
          </w:r>
          <w:r w:rsidR="003F58C8">
            <w:t>Figure </w:t>
          </w:r>
          <w:r w:rsidR="003F58C8">
            <w:rPr>
              <w:noProof/>
            </w:rPr>
            <w:t>1</w:t>
          </w:r>
          <w:r>
            <w:fldChar w:fldCharType="end"/>
          </w:r>
          <w:r>
            <w:t xml:space="preserve"> </w:t>
          </w:r>
          <w:r w:rsidR="002056EB">
            <w:t xml:space="preserve">illustrates the east coast gas markets. The markets are connected by a network of transmission pipelines which </w:t>
          </w:r>
          <w:r w:rsidR="00201459">
            <w:t>facilitate the transportation of gas across the east coast</w:t>
          </w:r>
          <w:r w:rsidR="002056EB">
            <w:t>.</w:t>
          </w:r>
        </w:p>
        <w:p w:rsidR="00135FF7" w:rsidRDefault="00135FF7" w:rsidP="00135FF7">
          <w:pPr>
            <w:pStyle w:val="Caption"/>
          </w:pPr>
          <w:bookmarkStart w:id="5" w:name="_Ref450555829"/>
          <w:bookmarkStart w:id="6" w:name="_Ref451263972"/>
          <w:r>
            <w:t>Figure</w:t>
          </w:r>
          <w:r w:rsidR="00E145B1">
            <w:t> </w:t>
          </w:r>
          <w:r w:rsidR="00FF3F63">
            <w:fldChar w:fldCharType="begin"/>
          </w:r>
          <w:r w:rsidR="00FF3F63">
            <w:instrText xml:space="preserve"> SEQ Figure \* ARABIC </w:instrText>
          </w:r>
          <w:r w:rsidR="00FF3F63">
            <w:fldChar w:fldCharType="separate"/>
          </w:r>
          <w:r w:rsidR="003F58C8">
            <w:rPr>
              <w:noProof/>
            </w:rPr>
            <w:t>1</w:t>
          </w:r>
          <w:r w:rsidR="00FF3F63">
            <w:rPr>
              <w:noProof/>
            </w:rPr>
            <w:fldChar w:fldCharType="end"/>
          </w:r>
          <w:bookmarkEnd w:id="5"/>
          <w:r>
            <w:t xml:space="preserve">: The </w:t>
          </w:r>
          <w:bookmarkEnd w:id="6"/>
          <w:r w:rsidR="007E52DA">
            <w:t>east coast gas markets</w:t>
          </w:r>
        </w:p>
        <w:p w:rsidR="00200ADD" w:rsidRDefault="00C33BEB" w:rsidP="00200ADD">
          <w:pPr>
            <w:jc w:val="left"/>
          </w:pPr>
          <w:r>
            <w:rPr>
              <w:noProof/>
              <w:lang w:eastAsia="en-AU"/>
            </w:rPr>
            <w:drawing>
              <wp:inline distT="0" distB="0" distL="0" distR="0" wp14:anchorId="55B57544" wp14:editId="2D60A266">
                <wp:extent cx="5365630" cy="7032945"/>
                <wp:effectExtent l="0" t="0" r="6985" b="0"/>
                <wp:docPr id="13" name="Picture 13" descr="Figure 1 illustrates the location of gas markets across eastern Australia, including the main production points, gas supply hubs, major transmission pipelines, and gas basi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stretch>
                          <a:fillRect/>
                        </a:stretch>
                      </pic:blipFill>
                      <pic:spPr>
                        <a:xfrm>
                          <a:off x="0" y="0"/>
                          <a:ext cx="5365630" cy="7032945"/>
                        </a:xfrm>
                        <a:prstGeom prst="rect">
                          <a:avLst/>
                        </a:prstGeom>
                      </pic:spPr>
                    </pic:pic>
                  </a:graphicData>
                </a:graphic>
              </wp:inline>
            </w:drawing>
          </w:r>
        </w:p>
        <w:p w:rsidR="007D7145" w:rsidRDefault="007D7145">
          <w:pPr>
            <w:spacing w:line="240" w:lineRule="auto"/>
            <w:jc w:val="left"/>
          </w:pPr>
          <w:bookmarkStart w:id="7" w:name="_Toc459210468"/>
          <w:bookmarkStart w:id="8" w:name="_Toc459620257"/>
          <w:bookmarkStart w:id="9" w:name="_Toc459650876"/>
          <w:bookmarkStart w:id="10" w:name="_Toc459725371"/>
        </w:p>
        <w:p w:rsidR="007D7145" w:rsidRDefault="007D7145">
          <w:pPr>
            <w:spacing w:line="240" w:lineRule="auto"/>
            <w:jc w:val="left"/>
            <w:rPr>
              <w:rFonts w:eastAsiaTheme="majorEastAsia" w:cstheme="majorBidi"/>
              <w:b/>
              <w:bCs/>
              <w:color w:val="70635A" w:themeColor="text2"/>
              <w:sz w:val="28"/>
            </w:rPr>
          </w:pPr>
          <w:r>
            <w:br w:type="page"/>
          </w:r>
        </w:p>
        <w:p w:rsidR="00200ADD" w:rsidRDefault="00200ADD" w:rsidP="00200ADD">
          <w:pPr>
            <w:pStyle w:val="Heading3"/>
          </w:pPr>
          <w:bookmarkStart w:id="11" w:name="_Toc460417307"/>
          <w:r>
            <w:lastRenderedPageBreak/>
            <w:t>Recent changes</w:t>
          </w:r>
          <w:r w:rsidR="00A27F48">
            <w:t xml:space="preserve"> to the east coast gas markets</w:t>
          </w:r>
          <w:bookmarkEnd w:id="7"/>
          <w:bookmarkEnd w:id="8"/>
          <w:bookmarkEnd w:id="9"/>
          <w:bookmarkEnd w:id="10"/>
          <w:bookmarkEnd w:id="11"/>
        </w:p>
        <w:p w:rsidR="00200ADD" w:rsidRDefault="00200ADD" w:rsidP="00200ADD">
          <w:pPr>
            <w:pStyle w:val="ListBullet"/>
            <w:numPr>
              <w:ilvl w:val="0"/>
              <w:numId w:val="0"/>
            </w:numPr>
          </w:pPr>
          <w:r>
            <w:t xml:space="preserve">In 2014, the first of three liquefied natural gas </w:t>
          </w:r>
          <w:r>
            <w:rPr>
              <w:b/>
            </w:rPr>
            <w:t>(LNG)</w:t>
          </w:r>
          <w:r w:rsidR="00302121">
            <w:t xml:space="preserve"> export projects came on</w:t>
          </w:r>
          <w:r>
            <w:t>line in Gladstone, Queensland. These projects have effectively connected Australia’s east coast gas market to the global LNG market. While outcomes across the east coast gas markets were once determined purely by domestic conditions, international</w:t>
          </w:r>
          <w:r w:rsidR="00201459">
            <w:t xml:space="preserve"> supply and demand dynamics are growing in influence</w:t>
          </w:r>
          <w:r>
            <w:t>.</w:t>
          </w:r>
        </w:p>
        <w:p w:rsidR="00200ADD" w:rsidRDefault="00200ADD" w:rsidP="00200ADD">
          <w:pPr>
            <w:pStyle w:val="ListBullet"/>
            <w:numPr>
              <w:ilvl w:val="0"/>
              <w:numId w:val="0"/>
            </w:numPr>
          </w:pPr>
          <w:r>
            <w:t xml:space="preserve">Once fully operational, the gas demand from the LNG export </w:t>
          </w:r>
          <w:r w:rsidR="00F75BFE">
            <w:t>facilities</w:t>
          </w:r>
          <w:r>
            <w:t xml:space="preserve"> is forecast to reach three to four times the level of domestic demand.</w:t>
          </w:r>
          <w:r>
            <w:rPr>
              <w:rStyle w:val="FootnoteReference"/>
            </w:rPr>
            <w:footnoteReference w:id="4"/>
          </w:r>
          <w:r>
            <w:t xml:space="preserve"> This has fundamentally changed all aspects of the east coast gas market.</w:t>
          </w:r>
        </w:p>
        <w:p w:rsidR="00200ADD" w:rsidRDefault="00302121" w:rsidP="00200ADD">
          <w:pPr>
            <w:pStyle w:val="ListBullet"/>
            <w:numPr>
              <w:ilvl w:val="0"/>
              <w:numId w:val="0"/>
            </w:numPr>
          </w:pPr>
          <w:r>
            <w:t>The following</w:t>
          </w:r>
          <w:r w:rsidR="00200ADD">
            <w:t xml:space="preserve"> investments have been made to help participants transport gas across the network to where they value it highest:</w:t>
          </w:r>
        </w:p>
        <w:p w:rsidR="00200ADD" w:rsidRDefault="00302121" w:rsidP="00200ADD">
          <w:pPr>
            <w:pStyle w:val="ListBullet"/>
          </w:pPr>
          <w:r>
            <w:t>U</w:t>
          </w:r>
          <w:r w:rsidR="00200ADD">
            <w:t>pgrades to pipelines to enable bidirectional flows, including:</w:t>
          </w:r>
        </w:p>
        <w:p w:rsidR="00200ADD" w:rsidRPr="005952B2" w:rsidRDefault="00200ADD" w:rsidP="00200ADD">
          <w:pPr>
            <w:pStyle w:val="ListBullet"/>
            <w:numPr>
              <w:ilvl w:val="1"/>
              <w:numId w:val="13"/>
            </w:numPr>
          </w:pPr>
          <w:r>
            <w:t xml:space="preserve">the Moomba to Adelaide pipeline </w:t>
          </w:r>
          <w:r>
            <w:rPr>
              <w:b/>
            </w:rPr>
            <w:t>(MAP)</w:t>
          </w:r>
        </w:p>
        <w:p w:rsidR="00200ADD" w:rsidRPr="009E15E2" w:rsidRDefault="00200ADD" w:rsidP="00200ADD">
          <w:pPr>
            <w:pStyle w:val="ListBullet"/>
            <w:numPr>
              <w:ilvl w:val="1"/>
              <w:numId w:val="13"/>
            </w:numPr>
          </w:pPr>
          <w:r w:rsidRPr="005952B2">
            <w:t xml:space="preserve">the Moomba </w:t>
          </w:r>
          <w:r>
            <w:t xml:space="preserve">to Sydney pipeline </w:t>
          </w:r>
          <w:r>
            <w:rPr>
              <w:b/>
            </w:rPr>
            <w:t>(MSP)</w:t>
          </w:r>
        </w:p>
        <w:p w:rsidR="009E15E2" w:rsidRDefault="009E15E2" w:rsidP="00200ADD">
          <w:pPr>
            <w:pStyle w:val="ListBullet"/>
            <w:numPr>
              <w:ilvl w:val="1"/>
              <w:numId w:val="13"/>
            </w:numPr>
          </w:pPr>
          <w:r>
            <w:t xml:space="preserve">the South West Queensland pipeline </w:t>
          </w:r>
          <w:r>
            <w:rPr>
              <w:b/>
            </w:rPr>
            <w:t>(SWQP)</w:t>
          </w:r>
          <w:r>
            <w:t xml:space="preserve"> including the Queensland South Australia and New South Wales link </w:t>
          </w:r>
          <w:r>
            <w:rPr>
              <w:b/>
            </w:rPr>
            <w:t>(QSN link)</w:t>
          </w:r>
          <w:r>
            <w:t>.</w:t>
          </w:r>
        </w:p>
        <w:p w:rsidR="00200ADD" w:rsidRDefault="00302121" w:rsidP="00200ADD">
          <w:pPr>
            <w:pStyle w:val="ListBullet"/>
          </w:pPr>
          <w:r>
            <w:t>Transmission pipeline connections</w:t>
          </w:r>
          <w:r w:rsidR="0079014F">
            <w:t xml:space="preserve"> to form new routes north and south</w:t>
          </w:r>
          <w:r w:rsidR="00200ADD">
            <w:t>:</w:t>
          </w:r>
        </w:p>
        <w:p w:rsidR="00200ADD" w:rsidRDefault="00200ADD" w:rsidP="00200ADD">
          <w:pPr>
            <w:pStyle w:val="ListBullet"/>
            <w:numPr>
              <w:ilvl w:val="1"/>
              <w:numId w:val="13"/>
            </w:numPr>
          </w:pPr>
          <w:r>
            <w:t xml:space="preserve">the MAP and SEAGas pipeline </w:t>
          </w:r>
          <w:r>
            <w:rPr>
              <w:b/>
            </w:rPr>
            <w:t>(SEAGas)</w:t>
          </w:r>
          <w:r>
            <w:t xml:space="preserve">. This enables gas to flow </w:t>
          </w:r>
          <w:r w:rsidR="007336BF">
            <w:t>between the two pipelines</w:t>
          </w:r>
          <w:r>
            <w:t xml:space="preserve"> and avoid the Adelaide distribution system.</w:t>
          </w:r>
        </w:p>
        <w:p w:rsidR="00200ADD" w:rsidRDefault="00200ADD" w:rsidP="00200ADD">
          <w:pPr>
            <w:pStyle w:val="ListBullet"/>
            <w:numPr>
              <w:ilvl w:val="1"/>
              <w:numId w:val="13"/>
            </w:numPr>
          </w:pPr>
          <w:r>
            <w:t xml:space="preserve">the MSP and the Eastern Gas pipeline </w:t>
          </w:r>
          <w:r>
            <w:rPr>
              <w:b/>
            </w:rPr>
            <w:t>(EGP)</w:t>
          </w:r>
          <w:r>
            <w:t xml:space="preserve">. This enables gas to flow </w:t>
          </w:r>
          <w:r w:rsidR="007336BF">
            <w:t>between the two pipelines</w:t>
          </w:r>
          <w:r>
            <w:t xml:space="preserve"> and avoid </w:t>
          </w:r>
          <w:r w:rsidR="0079014F">
            <w:t xml:space="preserve">the Sydney </w:t>
          </w:r>
          <w:r>
            <w:t>distribution system.</w:t>
          </w:r>
          <w:r w:rsidR="00270867">
            <w:rPr>
              <w:rStyle w:val="FootnoteReference"/>
            </w:rPr>
            <w:footnoteReference w:id="5"/>
          </w:r>
        </w:p>
        <w:p w:rsidR="009E15E2" w:rsidRDefault="009E15E2" w:rsidP="00200ADD">
          <w:pPr>
            <w:pStyle w:val="ListBullet"/>
            <w:numPr>
              <w:ilvl w:val="0"/>
              <w:numId w:val="0"/>
            </w:numPr>
            <w:tabs>
              <w:tab w:val="clear" w:pos="340"/>
              <w:tab w:val="left" w:pos="0"/>
            </w:tabs>
          </w:pPr>
          <w:r>
            <w:t xml:space="preserve">There has also been ongoing investment in the New South Wales – Victoria interconnect. </w:t>
          </w:r>
        </w:p>
        <w:p w:rsidR="00200ADD" w:rsidRDefault="00200ADD" w:rsidP="00200ADD">
          <w:pPr>
            <w:pStyle w:val="ListBullet"/>
            <w:numPr>
              <w:ilvl w:val="0"/>
              <w:numId w:val="0"/>
            </w:numPr>
            <w:tabs>
              <w:tab w:val="clear" w:pos="340"/>
              <w:tab w:val="left" w:pos="0"/>
            </w:tabs>
          </w:pPr>
          <w:r>
            <w:t>These investments have largely been</w:t>
          </w:r>
          <w:r w:rsidR="00302121">
            <w:t xml:space="preserve"> made</w:t>
          </w:r>
          <w:r>
            <w:t xml:space="preserve"> to enable participants to send gas north, </w:t>
          </w:r>
          <w:r w:rsidR="00270867">
            <w:t>primarily</w:t>
          </w:r>
          <w:r>
            <w:t xml:space="preserve"> to supply LNG exports. However</w:t>
          </w:r>
          <w:r w:rsidR="009E15E2">
            <w:t xml:space="preserve"> </w:t>
          </w:r>
          <w:r>
            <w:t xml:space="preserve">these </w:t>
          </w:r>
          <w:r w:rsidR="009E15E2">
            <w:t xml:space="preserve">investments </w:t>
          </w:r>
          <w:r>
            <w:t xml:space="preserve">also </w:t>
          </w:r>
          <w:r w:rsidR="007336BF">
            <w:t>enable</w:t>
          </w:r>
          <w:r w:rsidR="006D0F6F">
            <w:t xml:space="preserve"> </w:t>
          </w:r>
          <w:r w:rsidR="007336BF">
            <w:t>gas</w:t>
          </w:r>
          <w:r>
            <w:t xml:space="preserve"> to </w:t>
          </w:r>
          <w:r w:rsidR="006D0F6F">
            <w:t>flow south. This may occur, for example,</w:t>
          </w:r>
          <w:r>
            <w:t xml:space="preserve"> </w:t>
          </w:r>
          <w:r w:rsidR="006D0F6F">
            <w:t>w</w:t>
          </w:r>
          <w:r>
            <w:t>hen an LNG export fac</w:t>
          </w:r>
          <w:r w:rsidR="006D0F6F">
            <w:t>ility is undergoing maintenance.</w:t>
          </w:r>
        </w:p>
        <w:p w:rsidR="00200ADD" w:rsidRDefault="006D0F6F" w:rsidP="006D0F6F">
          <w:pPr>
            <w:pStyle w:val="ListBullet"/>
            <w:numPr>
              <w:ilvl w:val="0"/>
              <w:numId w:val="0"/>
            </w:numPr>
          </w:pPr>
          <w:r>
            <w:t xml:space="preserve">This variability in supply and demand from the LNG export facilities has </w:t>
          </w:r>
          <w:r w:rsidR="007336BF">
            <w:t xml:space="preserve">also </w:t>
          </w:r>
          <w:r>
            <w:t>increased the importance of gas storage.</w:t>
          </w:r>
          <w:r w:rsidR="00200ADD">
            <w:t xml:space="preserve"> The ability to store gas allows participants to quickly respond and take advantage of short term supply and demand fluctuations.</w:t>
          </w:r>
        </w:p>
        <w:p w:rsidR="004B7931" w:rsidRPr="004B7931" w:rsidRDefault="004B7931" w:rsidP="00200ADD">
          <w:pPr>
            <w:pStyle w:val="ListBullet"/>
            <w:numPr>
              <w:ilvl w:val="0"/>
              <w:numId w:val="0"/>
            </w:numPr>
          </w:pPr>
          <w:r>
            <w:t xml:space="preserve">In October 2015, Energy Australia sold the Iona gas storage facility, located in Victoria, to </w:t>
          </w:r>
          <w:r w:rsidR="006D0F6F">
            <w:t xml:space="preserve">the </w:t>
          </w:r>
          <w:r>
            <w:t xml:space="preserve">Queensland Investment Corporation </w:t>
          </w:r>
          <w:r>
            <w:rPr>
              <w:b/>
            </w:rPr>
            <w:t>(QIC)</w:t>
          </w:r>
          <w:r>
            <w:t xml:space="preserve"> for nearly $1.8 billion.  </w:t>
          </w:r>
        </w:p>
        <w:p w:rsidR="00223138" w:rsidRDefault="006D0F6F" w:rsidP="00200ADD">
          <w:pPr>
            <w:pStyle w:val="ListBullet"/>
            <w:numPr>
              <w:ilvl w:val="0"/>
              <w:numId w:val="0"/>
            </w:numPr>
          </w:pPr>
          <w:r>
            <w:lastRenderedPageBreak/>
            <w:t xml:space="preserve">Also, </w:t>
          </w:r>
          <w:r w:rsidR="00200ADD">
            <w:t xml:space="preserve">AGL has recently built the Newcastle Gas Storage Facility </w:t>
          </w:r>
          <w:r w:rsidR="00200ADD">
            <w:rPr>
              <w:b/>
            </w:rPr>
            <w:t>(NGSF)</w:t>
          </w:r>
          <w:r w:rsidR="00200ADD">
            <w:t xml:space="preserve">, </w:t>
          </w:r>
          <w:r w:rsidR="00200ADD" w:rsidRPr="002420CB">
            <w:t xml:space="preserve">which has </w:t>
          </w:r>
          <w:r w:rsidR="00200ADD">
            <w:t>been providing gas to</w:t>
          </w:r>
          <w:r w:rsidR="00200ADD" w:rsidRPr="002420CB">
            <w:t xml:space="preserve"> the Sydney STTM regularly this winter.</w:t>
          </w:r>
          <w:r w:rsidR="00200ADD">
            <w:t xml:space="preserve"> </w:t>
          </w:r>
          <w:r>
            <w:t>The NGSF is discussed</w:t>
          </w:r>
          <w:r w:rsidR="00200ADD">
            <w:t xml:space="preserve"> further below in section</w:t>
          </w:r>
          <w:r w:rsidR="007336BF">
            <w:t xml:space="preserve"> </w:t>
          </w:r>
          <w:r w:rsidR="007336BF">
            <w:fldChar w:fldCharType="begin"/>
          </w:r>
          <w:r w:rsidR="007336BF">
            <w:instrText xml:space="preserve"> REF _Ref459648098 \r \h </w:instrText>
          </w:r>
          <w:r w:rsidR="007336BF">
            <w:fldChar w:fldCharType="separate"/>
          </w:r>
          <w:r w:rsidR="003F58C8">
            <w:t>2</w:t>
          </w:r>
          <w:r w:rsidR="007336BF">
            <w:fldChar w:fldCharType="end"/>
          </w:r>
          <w:r w:rsidR="00462149">
            <w:t>.</w:t>
          </w:r>
        </w:p>
        <w:p w:rsidR="00A341C4" w:rsidRDefault="00A341C4" w:rsidP="00A341C4">
          <w:pPr>
            <w:pStyle w:val="Heading2"/>
          </w:pPr>
          <w:bookmarkStart w:id="12" w:name="_Toc460417308"/>
          <w:r>
            <w:t>The gas and electricity markets are linked</w:t>
          </w:r>
          <w:bookmarkEnd w:id="12"/>
        </w:p>
        <w:p w:rsidR="00E211F9" w:rsidRDefault="006D3562" w:rsidP="00F873BA">
          <w:r>
            <w:t xml:space="preserve">The national electricity market </w:t>
          </w:r>
          <w:r>
            <w:rPr>
              <w:b/>
            </w:rPr>
            <w:t>(NEM)</w:t>
          </w:r>
          <w:r>
            <w:t xml:space="preserve"> is an energy-only mandatory </w:t>
          </w:r>
          <w:r w:rsidR="00E90925">
            <w:t>market that schedules g</w:t>
          </w:r>
          <w:r>
            <w:t>enerators in order to meet demand. The Victorian gas market and the STTMs are also mandatory markets, which were designed to schedul</w:t>
          </w:r>
          <w:r w:rsidR="00E90925">
            <w:t xml:space="preserve">e gas flows </w:t>
          </w:r>
          <w:r w:rsidR="00302121">
            <w:t>in</w:t>
          </w:r>
          <w:r w:rsidR="0042166F">
            <w:t>to, and out of, particular gas networks</w:t>
          </w:r>
          <w:r w:rsidR="00E90925">
            <w:t>.</w:t>
          </w:r>
          <w:r w:rsidR="00531FF8" w:rsidRPr="00531FF8">
            <w:t xml:space="preserve"> </w:t>
          </w:r>
        </w:p>
        <w:p w:rsidR="006D3562" w:rsidRDefault="00531FF8" w:rsidP="00F873BA">
          <w:r>
            <w:t xml:space="preserve">The markets </w:t>
          </w:r>
          <w:r w:rsidR="00E211F9">
            <w:t>facilitate the trade of</w:t>
          </w:r>
          <w:r>
            <w:t xml:space="preserve"> </w:t>
          </w:r>
          <w:r w:rsidR="00E211F9">
            <w:t>gas and</w:t>
          </w:r>
          <w:r w:rsidR="00B40AF4">
            <w:t>/or</w:t>
          </w:r>
          <w:r>
            <w:t xml:space="preserve"> electricity</w:t>
          </w:r>
          <w:r w:rsidR="00E211F9">
            <w:t xml:space="preserve"> between market participants, based on their individual portfolio positions.</w:t>
          </w:r>
        </w:p>
        <w:p w:rsidR="0042166F" w:rsidRDefault="007336BF" w:rsidP="00E5771C">
          <w:r>
            <w:t>G</w:t>
          </w:r>
          <w:r w:rsidR="00302121">
            <w:t>as</w:t>
          </w:r>
          <w:r w:rsidR="0010261D">
            <w:t xml:space="preserve"> </w:t>
          </w:r>
          <w:r w:rsidR="0042166F">
            <w:t xml:space="preserve">fired electricity generators </w:t>
          </w:r>
          <w:r>
            <w:t xml:space="preserve">in effect </w:t>
          </w:r>
          <w:r w:rsidR="0042166F">
            <w:t>link the NEM and the east coast gas markets</w:t>
          </w:r>
          <w:r>
            <w:t xml:space="preserve"> and</w:t>
          </w:r>
          <w:r w:rsidR="0042166F">
            <w:t xml:space="preserve"> </w:t>
          </w:r>
          <w:r>
            <w:t>so</w:t>
          </w:r>
          <w:r w:rsidR="0042166F">
            <w:t xml:space="preserve">me organisations participate in both markets. </w:t>
          </w:r>
          <w:r w:rsidR="00531FF8">
            <w:t xml:space="preserve">For example, an energy retailer </w:t>
          </w:r>
          <w:r w:rsidR="00F432BB">
            <w:t>might provide</w:t>
          </w:r>
          <w:r w:rsidR="00531FF8">
            <w:t xml:space="preserve"> gas to residential customers </w:t>
          </w:r>
          <w:r w:rsidR="00F432BB">
            <w:t>and</w:t>
          </w:r>
          <w:r w:rsidR="00531FF8">
            <w:t xml:space="preserve"> also operate a gas fired electricity generator.</w:t>
          </w:r>
        </w:p>
        <w:p w:rsidR="0019621B" w:rsidRDefault="0042166F" w:rsidP="00E5771C">
          <w:r>
            <w:t xml:space="preserve">Across winter 2016, </w:t>
          </w:r>
          <w:r w:rsidR="00302121">
            <w:t>the use of gas</w:t>
          </w:r>
          <w:r w:rsidR="0010261D">
            <w:t xml:space="preserve"> </w:t>
          </w:r>
          <w:r w:rsidR="0019621B">
            <w:t>fired electricity generators increased following a number of</w:t>
          </w:r>
          <w:r w:rsidR="00302121">
            <w:t xml:space="preserve"> outages across the NEM of coal-</w:t>
          </w:r>
          <w:r w:rsidR="0019621B">
            <w:t>fired generators</w:t>
          </w:r>
          <w:r w:rsidR="00223138">
            <w:rPr>
              <w:rStyle w:val="FootnoteReference"/>
            </w:rPr>
            <w:footnoteReference w:id="6"/>
          </w:r>
          <w:r w:rsidR="00223138">
            <w:t xml:space="preserve">. It </w:t>
          </w:r>
          <w:r w:rsidR="0093504B">
            <w:t xml:space="preserve">particularly </w:t>
          </w:r>
          <w:r w:rsidR="00223138">
            <w:t xml:space="preserve">increased </w:t>
          </w:r>
          <w:r w:rsidR="0093504B">
            <w:t>in South Australia</w:t>
          </w:r>
          <w:r w:rsidR="00223138">
            <w:t xml:space="preserve"> in the wake of a coal plant closure, below average wind generation and an interconnector outage.</w:t>
          </w:r>
          <w:r w:rsidR="00223138">
            <w:rPr>
              <w:rStyle w:val="FootnoteReference"/>
            </w:rPr>
            <w:footnoteReference w:id="7"/>
          </w:r>
          <w:r w:rsidR="00223138">
            <w:t xml:space="preserve"> </w:t>
          </w:r>
          <w:r w:rsidR="0019621B">
            <w:t>This further increased the overall demand for gas and, particularly during times of high electricity prices, may have increased the value placed on gas by some participants. These dynamics help ensure gas is allocated to its most economic use.</w:t>
          </w:r>
        </w:p>
        <w:p w:rsidR="007121C4" w:rsidRDefault="00BF7D60" w:rsidP="00E5771C">
          <w:r>
            <w:fldChar w:fldCharType="begin"/>
          </w:r>
          <w:r>
            <w:instrText xml:space="preserve"> REF _Ref458497340 \h </w:instrText>
          </w:r>
          <w:r>
            <w:fldChar w:fldCharType="separate"/>
          </w:r>
          <w:r w:rsidR="003F58C8">
            <w:t>Table </w:t>
          </w:r>
          <w:r w:rsidR="003F58C8">
            <w:rPr>
              <w:noProof/>
            </w:rPr>
            <w:t>1</w:t>
          </w:r>
          <w:r>
            <w:fldChar w:fldCharType="end"/>
          </w:r>
          <w:r>
            <w:t xml:space="preserve"> </w:t>
          </w:r>
          <w:r w:rsidR="007121C4">
            <w:t>below sets out</w:t>
          </w:r>
          <w:r w:rsidR="00FD2780">
            <w:t xml:space="preserve"> examples of some </w:t>
          </w:r>
          <w:r w:rsidR="00B40AF4">
            <w:t xml:space="preserve">of the larger </w:t>
          </w:r>
          <w:r w:rsidR="007121C4">
            <w:t xml:space="preserve">participants </w:t>
          </w:r>
          <w:r w:rsidR="00B40AF4">
            <w:t>with exposure to</w:t>
          </w:r>
          <w:r w:rsidR="00DA495F">
            <w:t xml:space="preserve"> both the NEM and the east </w:t>
          </w:r>
          <w:r w:rsidR="007121C4">
            <w:t>coast gas markets.</w:t>
          </w:r>
          <w:r w:rsidR="00C6053C">
            <w:t xml:space="preserve"> </w:t>
          </w:r>
        </w:p>
        <w:p w:rsidR="00822DA4" w:rsidRPr="004300F1" w:rsidRDefault="00822DA4" w:rsidP="00822DA4">
          <w:pPr>
            <w:pStyle w:val="Caption"/>
          </w:pPr>
          <w:bookmarkStart w:id="13" w:name="_Ref458497340"/>
          <w:r>
            <w:t>Table</w:t>
          </w:r>
          <w:r w:rsidR="00E145B1">
            <w:t> </w:t>
          </w:r>
          <w:r w:rsidR="00FF3F63">
            <w:fldChar w:fldCharType="begin"/>
          </w:r>
          <w:r w:rsidR="00FF3F63">
            <w:instrText xml:space="preserve"> SEQ Table \* ARABIC </w:instrText>
          </w:r>
          <w:r w:rsidR="00FF3F63">
            <w:fldChar w:fldCharType="separate"/>
          </w:r>
          <w:r w:rsidR="003F58C8">
            <w:rPr>
              <w:noProof/>
            </w:rPr>
            <w:t>1</w:t>
          </w:r>
          <w:r w:rsidR="00FF3F63">
            <w:rPr>
              <w:noProof/>
            </w:rPr>
            <w:fldChar w:fldCharType="end"/>
          </w:r>
          <w:bookmarkEnd w:id="13"/>
          <w:r w:rsidR="006B7CAD">
            <w:rPr>
              <w:noProof/>
            </w:rPr>
            <w:t xml:space="preserve">: Inter-linked </w:t>
          </w:r>
          <w:r w:rsidR="00FD2780">
            <w:rPr>
              <w:noProof/>
            </w:rPr>
            <w:t>participation:</w:t>
          </w:r>
          <w:r w:rsidR="00FD2780">
            <w:t xml:space="preserve"> E</w:t>
          </w:r>
          <w:r>
            <w:t>ast coast gas markets and NEM</w:t>
          </w:r>
          <w:r w:rsidR="009F38DC">
            <w:rPr>
              <w:noProof/>
            </w:rPr>
            <w:t>*</w:t>
          </w:r>
        </w:p>
        <w:tbl>
          <w:tblPr>
            <w:tblStyle w:val="AERsummarytable"/>
            <w:tblW w:w="0" w:type="auto"/>
            <w:tblLayout w:type="fixed"/>
            <w:tblLook w:val="04A0" w:firstRow="1" w:lastRow="0" w:firstColumn="1" w:lastColumn="0" w:noHBand="0" w:noVBand="1"/>
          </w:tblPr>
          <w:tblGrid>
            <w:gridCol w:w="1598"/>
            <w:gridCol w:w="1346"/>
            <w:gridCol w:w="1186"/>
            <w:gridCol w:w="1337"/>
            <w:gridCol w:w="1405"/>
            <w:gridCol w:w="1550"/>
          </w:tblGrid>
          <w:tr w:rsidR="00822DA4" w:rsidRPr="002165D0" w:rsidTr="00246631">
            <w:trPr>
              <w:cnfStyle w:val="100000000000" w:firstRow="1" w:lastRow="0" w:firstColumn="0" w:lastColumn="0" w:oddVBand="0" w:evenVBand="0" w:oddHBand="0" w:evenHBand="0" w:firstRowFirstColumn="0" w:firstRowLastColumn="0" w:lastRowFirstColumn="0" w:lastRowLastColumn="0"/>
              <w:trHeight w:val="374"/>
              <w:tblHeader/>
            </w:trPr>
            <w:tc>
              <w:tcPr>
                <w:tcW w:w="1598" w:type="dxa"/>
                <w:vMerge w:val="restart"/>
                <w:tcBorders>
                  <w:top w:val="nil"/>
                  <w:left w:val="nil"/>
                  <w:right w:val="nil"/>
                </w:tcBorders>
                <w:vAlign w:val="center"/>
              </w:tcPr>
              <w:p w:rsidR="00822DA4" w:rsidRPr="002165D0" w:rsidRDefault="00822DA4" w:rsidP="0077626C">
                <w:pPr>
                  <w:spacing w:before="60" w:after="60"/>
                  <w:ind w:left="-31" w:right="-108" w:firstLine="10"/>
                  <w:jc w:val="left"/>
                  <w:rPr>
                    <w:sz w:val="20"/>
                    <w:szCs w:val="18"/>
                  </w:rPr>
                </w:pPr>
                <w:r w:rsidRPr="002165D0">
                  <w:rPr>
                    <w:sz w:val="20"/>
                    <w:szCs w:val="18"/>
                  </w:rPr>
                  <w:t>Participant</w:t>
                </w:r>
                <w:r w:rsidR="008D0458">
                  <w:rPr>
                    <w:sz w:val="20"/>
                    <w:szCs w:val="18"/>
                  </w:rPr>
                  <w:t>*</w:t>
                </w:r>
              </w:p>
            </w:tc>
            <w:tc>
              <w:tcPr>
                <w:tcW w:w="1346" w:type="dxa"/>
                <w:vMerge w:val="restart"/>
                <w:tcBorders>
                  <w:top w:val="nil"/>
                  <w:left w:val="nil"/>
                  <w:right w:val="nil"/>
                </w:tcBorders>
                <w:vAlign w:val="center"/>
              </w:tcPr>
              <w:p w:rsidR="00822DA4" w:rsidRPr="002165D0" w:rsidRDefault="00822DA4" w:rsidP="00822DA4">
                <w:pPr>
                  <w:spacing w:before="60" w:after="60"/>
                  <w:jc w:val="center"/>
                  <w:rPr>
                    <w:sz w:val="20"/>
                    <w:szCs w:val="18"/>
                  </w:rPr>
                </w:pPr>
                <w:r>
                  <w:rPr>
                    <w:sz w:val="20"/>
                    <w:szCs w:val="18"/>
                  </w:rPr>
                  <w:t>Market</w:t>
                </w:r>
              </w:p>
            </w:tc>
            <w:tc>
              <w:tcPr>
                <w:tcW w:w="5478" w:type="dxa"/>
                <w:gridSpan w:val="4"/>
                <w:tcBorders>
                  <w:top w:val="nil"/>
                  <w:left w:val="nil"/>
                  <w:bottom w:val="nil"/>
                  <w:right w:val="nil"/>
                </w:tcBorders>
                <w:vAlign w:val="center"/>
              </w:tcPr>
              <w:p w:rsidR="006B7CAD" w:rsidRDefault="00822DA4" w:rsidP="0077626C">
                <w:pPr>
                  <w:spacing w:before="60" w:after="60"/>
                  <w:jc w:val="center"/>
                  <w:rPr>
                    <w:sz w:val="20"/>
                    <w:szCs w:val="18"/>
                  </w:rPr>
                </w:pPr>
                <w:r w:rsidRPr="002165D0">
                  <w:rPr>
                    <w:sz w:val="20"/>
                    <w:szCs w:val="18"/>
                  </w:rPr>
                  <w:t>National Electricity Market</w:t>
                </w:r>
                <w:r>
                  <w:rPr>
                    <w:sz w:val="20"/>
                    <w:szCs w:val="18"/>
                  </w:rPr>
                  <w:t xml:space="preserve"> </w:t>
                </w:r>
              </w:p>
              <w:p w:rsidR="006B7CAD" w:rsidRDefault="006B7CAD" w:rsidP="0077626C">
                <w:pPr>
                  <w:spacing w:before="60" w:after="60"/>
                  <w:jc w:val="center"/>
                  <w:rPr>
                    <w:sz w:val="20"/>
                    <w:szCs w:val="18"/>
                  </w:rPr>
                </w:pPr>
                <w:r>
                  <w:rPr>
                    <w:b w:val="0"/>
                    <w:sz w:val="20"/>
                    <w:szCs w:val="18"/>
                  </w:rPr>
                  <w:t>(A</w:t>
                </w:r>
                <w:r w:rsidR="007962E7">
                  <w:rPr>
                    <w:b w:val="0"/>
                    <w:sz w:val="20"/>
                    <w:szCs w:val="18"/>
                  </w:rPr>
                  <w:t>mount of gas fired</w:t>
                </w:r>
                <w:r w:rsidR="00822DA4" w:rsidRPr="000B527E">
                  <w:rPr>
                    <w:b w:val="0"/>
                    <w:sz w:val="20"/>
                    <w:szCs w:val="18"/>
                  </w:rPr>
                  <w:t xml:space="preserve"> electricity generation)</w:t>
                </w:r>
              </w:p>
              <w:p w:rsidR="00822DA4" w:rsidRPr="002165D0" w:rsidRDefault="006B7CAD" w:rsidP="0077626C">
                <w:pPr>
                  <w:spacing w:before="60" w:after="60"/>
                  <w:jc w:val="center"/>
                  <w:rPr>
                    <w:sz w:val="20"/>
                    <w:szCs w:val="18"/>
                  </w:rPr>
                </w:pPr>
                <w:r>
                  <w:rPr>
                    <w:sz w:val="20"/>
                    <w:szCs w:val="18"/>
                  </w:rPr>
                  <w:t>G</w:t>
                </w:r>
                <w:r w:rsidR="00822DA4" w:rsidRPr="00822DA4">
                  <w:rPr>
                    <w:sz w:val="20"/>
                    <w:szCs w:val="18"/>
                  </w:rPr>
                  <w:t>as market</w:t>
                </w:r>
                <w:r w:rsidR="00246631">
                  <w:rPr>
                    <w:sz w:val="20"/>
                    <w:szCs w:val="18"/>
                  </w:rPr>
                  <w:t xml:space="preserve"> Retailer</w:t>
                </w:r>
              </w:p>
            </w:tc>
          </w:tr>
          <w:tr w:rsidR="00246631" w:rsidRPr="002165D0" w:rsidTr="00246631">
            <w:trPr>
              <w:cnfStyle w:val="100000000000" w:firstRow="1" w:lastRow="0" w:firstColumn="0" w:lastColumn="0" w:oddVBand="0" w:evenVBand="0" w:oddHBand="0" w:evenHBand="0" w:firstRowFirstColumn="0" w:firstRowLastColumn="0" w:lastRowFirstColumn="0" w:lastRowLastColumn="0"/>
              <w:trHeight w:val="374"/>
              <w:tblHeader/>
            </w:trPr>
            <w:tc>
              <w:tcPr>
                <w:tcW w:w="1598" w:type="dxa"/>
                <w:vMerge/>
                <w:tcBorders>
                  <w:left w:val="nil"/>
                  <w:bottom w:val="nil"/>
                  <w:right w:val="nil"/>
                </w:tcBorders>
              </w:tcPr>
              <w:p w:rsidR="00246631" w:rsidRPr="002165D0" w:rsidRDefault="00246631" w:rsidP="0077626C">
                <w:pPr>
                  <w:spacing w:before="60" w:after="60"/>
                  <w:ind w:left="-31" w:right="-108" w:firstLine="10"/>
                  <w:jc w:val="left"/>
                  <w:rPr>
                    <w:sz w:val="20"/>
                    <w:szCs w:val="18"/>
                  </w:rPr>
                </w:pPr>
              </w:p>
            </w:tc>
            <w:tc>
              <w:tcPr>
                <w:tcW w:w="1346" w:type="dxa"/>
                <w:vMerge/>
                <w:tcBorders>
                  <w:left w:val="nil"/>
                  <w:bottom w:val="nil"/>
                  <w:right w:val="nil"/>
                </w:tcBorders>
              </w:tcPr>
              <w:p w:rsidR="00246631" w:rsidRPr="002165D0" w:rsidRDefault="00246631" w:rsidP="0077626C">
                <w:pPr>
                  <w:spacing w:before="60" w:after="60"/>
                  <w:ind w:left="-31" w:right="-108" w:firstLine="10"/>
                  <w:jc w:val="center"/>
                  <w:rPr>
                    <w:sz w:val="20"/>
                    <w:szCs w:val="18"/>
                  </w:rPr>
                </w:pPr>
              </w:p>
            </w:tc>
            <w:tc>
              <w:tcPr>
                <w:tcW w:w="1186" w:type="dxa"/>
                <w:tcBorders>
                  <w:top w:val="nil"/>
                  <w:left w:val="nil"/>
                  <w:bottom w:val="nil"/>
                  <w:right w:val="nil"/>
                </w:tcBorders>
                <w:tcMar>
                  <w:top w:w="0" w:type="dxa"/>
                  <w:left w:w="85" w:type="dxa"/>
                  <w:bottom w:w="0" w:type="dxa"/>
                  <w:right w:w="85" w:type="dxa"/>
                </w:tcMar>
                <w:vAlign w:val="center"/>
              </w:tcPr>
              <w:p w:rsidR="00246631" w:rsidRPr="002165D0" w:rsidRDefault="00246631" w:rsidP="00822DA4">
                <w:pPr>
                  <w:spacing w:before="60" w:after="60"/>
                  <w:jc w:val="center"/>
                  <w:rPr>
                    <w:sz w:val="20"/>
                    <w:szCs w:val="18"/>
                  </w:rPr>
                </w:pPr>
                <w:r w:rsidRPr="002165D0">
                  <w:rPr>
                    <w:sz w:val="20"/>
                    <w:szCs w:val="18"/>
                  </w:rPr>
                  <w:t>V</w:t>
                </w:r>
                <w:r>
                  <w:rPr>
                    <w:sz w:val="20"/>
                    <w:szCs w:val="18"/>
                  </w:rPr>
                  <w:t>ictoria</w:t>
                </w:r>
              </w:p>
            </w:tc>
            <w:tc>
              <w:tcPr>
                <w:tcW w:w="1337" w:type="dxa"/>
                <w:tcBorders>
                  <w:top w:val="nil"/>
                  <w:left w:val="nil"/>
                  <w:bottom w:val="nil"/>
                  <w:right w:val="nil"/>
                </w:tcBorders>
                <w:tcMar>
                  <w:top w:w="0" w:type="dxa"/>
                  <w:left w:w="85" w:type="dxa"/>
                  <w:bottom w:w="0" w:type="dxa"/>
                  <w:right w:w="85" w:type="dxa"/>
                </w:tcMar>
                <w:vAlign w:val="center"/>
              </w:tcPr>
              <w:p w:rsidR="00246631" w:rsidRPr="002165D0" w:rsidRDefault="00246631" w:rsidP="00822DA4">
                <w:pPr>
                  <w:spacing w:before="60" w:after="60"/>
                  <w:jc w:val="center"/>
                  <w:rPr>
                    <w:sz w:val="20"/>
                    <w:szCs w:val="18"/>
                  </w:rPr>
                </w:pPr>
                <w:r w:rsidRPr="002165D0">
                  <w:rPr>
                    <w:sz w:val="20"/>
                    <w:szCs w:val="18"/>
                  </w:rPr>
                  <w:t>SA</w:t>
                </w:r>
                <w:r>
                  <w:rPr>
                    <w:sz w:val="20"/>
                    <w:szCs w:val="18"/>
                  </w:rPr>
                  <w:t>/Adelaide</w:t>
                </w:r>
              </w:p>
            </w:tc>
            <w:tc>
              <w:tcPr>
                <w:tcW w:w="1405" w:type="dxa"/>
                <w:tcBorders>
                  <w:top w:val="nil"/>
                  <w:left w:val="nil"/>
                  <w:bottom w:val="nil"/>
                  <w:right w:val="nil"/>
                </w:tcBorders>
                <w:tcMar>
                  <w:top w:w="0" w:type="dxa"/>
                  <w:left w:w="85" w:type="dxa"/>
                  <w:bottom w:w="0" w:type="dxa"/>
                  <w:right w:w="85" w:type="dxa"/>
                </w:tcMar>
                <w:vAlign w:val="center"/>
              </w:tcPr>
              <w:p w:rsidR="00246631" w:rsidRPr="002165D0" w:rsidRDefault="00246631" w:rsidP="0077626C">
                <w:pPr>
                  <w:spacing w:before="60" w:after="60"/>
                  <w:jc w:val="center"/>
                  <w:rPr>
                    <w:sz w:val="20"/>
                    <w:szCs w:val="18"/>
                  </w:rPr>
                </w:pPr>
                <w:r w:rsidRPr="002165D0">
                  <w:rPr>
                    <w:sz w:val="20"/>
                    <w:szCs w:val="18"/>
                  </w:rPr>
                  <w:t>NSW</w:t>
                </w:r>
                <w:r>
                  <w:rPr>
                    <w:sz w:val="20"/>
                    <w:szCs w:val="18"/>
                  </w:rPr>
                  <w:t>/Sydney</w:t>
                </w:r>
              </w:p>
            </w:tc>
            <w:tc>
              <w:tcPr>
                <w:tcW w:w="1550" w:type="dxa"/>
                <w:tcBorders>
                  <w:top w:val="nil"/>
                  <w:left w:val="nil"/>
                  <w:bottom w:val="nil"/>
                  <w:right w:val="nil"/>
                </w:tcBorders>
                <w:vAlign w:val="center"/>
              </w:tcPr>
              <w:p w:rsidR="00246631" w:rsidRPr="002165D0" w:rsidRDefault="00246631" w:rsidP="0077626C">
                <w:pPr>
                  <w:spacing w:before="60" w:after="60"/>
                  <w:jc w:val="center"/>
                  <w:rPr>
                    <w:sz w:val="20"/>
                    <w:szCs w:val="18"/>
                  </w:rPr>
                </w:pPr>
                <w:r w:rsidRPr="002165D0">
                  <w:rPr>
                    <w:sz w:val="20"/>
                    <w:szCs w:val="18"/>
                  </w:rPr>
                  <w:t>QLD</w:t>
                </w:r>
                <w:r>
                  <w:rPr>
                    <w:sz w:val="20"/>
                    <w:szCs w:val="18"/>
                  </w:rPr>
                  <w:t>/Brisbane</w:t>
                </w:r>
              </w:p>
            </w:tc>
          </w:tr>
          <w:tr w:rsidR="00246631" w:rsidRPr="002165D0" w:rsidTr="00246631">
            <w:trPr>
              <w:cnfStyle w:val="000000100000" w:firstRow="0" w:lastRow="0" w:firstColumn="0" w:lastColumn="0" w:oddVBand="0" w:evenVBand="0" w:oddHBand="1" w:evenHBand="0" w:firstRowFirstColumn="0" w:firstRowLastColumn="0" w:lastRowFirstColumn="0" w:lastRowLastColumn="0"/>
              <w:trHeight w:val="657"/>
            </w:trPr>
            <w:tc>
              <w:tcPr>
                <w:tcW w:w="1598" w:type="dxa"/>
                <w:tcBorders>
                  <w:top w:val="nil"/>
                  <w:left w:val="nil"/>
                  <w:bottom w:val="nil"/>
                  <w:right w:val="nil"/>
                </w:tcBorders>
                <w:vAlign w:val="center"/>
              </w:tcPr>
              <w:p w:rsidR="00246631" w:rsidRPr="002165D0" w:rsidRDefault="00246631" w:rsidP="0077626C">
                <w:pPr>
                  <w:spacing w:before="60" w:after="60"/>
                  <w:rPr>
                    <w:rFonts w:asciiTheme="minorHAnsi" w:hAnsiTheme="minorHAnsi" w:cstheme="minorHAnsi"/>
                    <w:b/>
                    <w:color w:val="000000"/>
                    <w:szCs w:val="18"/>
                  </w:rPr>
                </w:pPr>
                <w:r w:rsidRPr="002165D0">
                  <w:rPr>
                    <w:rFonts w:asciiTheme="minorHAnsi" w:hAnsiTheme="minorHAnsi" w:cstheme="minorHAnsi"/>
                    <w:b/>
                    <w:color w:val="000000"/>
                    <w:szCs w:val="18"/>
                  </w:rPr>
                  <w:t>AGL</w:t>
                </w:r>
              </w:p>
            </w:tc>
            <w:tc>
              <w:tcPr>
                <w:tcW w:w="1346" w:type="dxa"/>
                <w:tcBorders>
                  <w:top w:val="nil"/>
                  <w:left w:val="nil"/>
                  <w:bottom w:val="nil"/>
                  <w:right w:val="nil"/>
                </w:tcBorders>
              </w:tcPr>
              <w:p w:rsidR="00246631" w:rsidRDefault="00246631" w:rsidP="00246631">
                <w:pPr>
                  <w:spacing w:before="60" w:after="60"/>
                  <w:jc w:val="left"/>
                  <w:rPr>
                    <w:rFonts w:asciiTheme="minorHAnsi" w:hAnsiTheme="minorHAnsi" w:cstheme="minorHAnsi"/>
                    <w:color w:val="000000"/>
                    <w:szCs w:val="18"/>
                  </w:rPr>
                </w:pPr>
                <w:r>
                  <w:rPr>
                    <w:rFonts w:asciiTheme="minorHAnsi" w:hAnsiTheme="minorHAnsi" w:cstheme="minorHAnsi"/>
                    <w:color w:val="000000"/>
                    <w:szCs w:val="18"/>
                  </w:rPr>
                  <w:t>NEM Gas</w:t>
                </w:r>
              </w:p>
              <w:p w:rsidR="00246631" w:rsidRPr="002165D0" w:rsidRDefault="00246631" w:rsidP="00246631">
                <w:pPr>
                  <w:spacing w:before="60" w:after="60"/>
                  <w:jc w:val="left"/>
                  <w:rPr>
                    <w:rFonts w:asciiTheme="minorHAnsi" w:hAnsiTheme="minorHAnsi" w:cstheme="minorHAnsi"/>
                    <w:color w:val="000000"/>
                    <w:szCs w:val="18"/>
                  </w:rPr>
                </w:pPr>
                <w:r>
                  <w:rPr>
                    <w:rFonts w:asciiTheme="minorHAnsi" w:hAnsiTheme="minorHAnsi" w:cstheme="minorHAnsi"/>
                    <w:color w:val="000000"/>
                    <w:szCs w:val="18"/>
                  </w:rPr>
                  <w:t>Gas retail</w:t>
                </w:r>
              </w:p>
            </w:tc>
            <w:tc>
              <w:tcPr>
                <w:tcW w:w="1186" w:type="dxa"/>
                <w:tcBorders>
                  <w:top w:val="nil"/>
                  <w:left w:val="nil"/>
                  <w:bottom w:val="nil"/>
                  <w:right w:val="nil"/>
                </w:tcBorders>
              </w:tcPr>
              <w:p w:rsidR="00246631" w:rsidRDefault="00246631" w:rsidP="00246631">
                <w:pPr>
                  <w:spacing w:before="60" w:after="60"/>
                  <w:jc w:val="left"/>
                  <w:rPr>
                    <w:rFonts w:asciiTheme="minorHAnsi" w:hAnsiTheme="minorHAnsi" w:cstheme="minorHAnsi"/>
                    <w:color w:val="000000"/>
                    <w:szCs w:val="18"/>
                  </w:rPr>
                </w:pPr>
                <w:r>
                  <w:rPr>
                    <w:rFonts w:asciiTheme="minorHAnsi" w:hAnsiTheme="minorHAnsi" w:cstheme="minorHAnsi"/>
                    <w:color w:val="000000"/>
                    <w:szCs w:val="18"/>
                  </w:rPr>
                  <w:t>162 MW</w:t>
                </w:r>
              </w:p>
              <w:p w:rsidR="00246631" w:rsidRPr="002165D0" w:rsidRDefault="00246631" w:rsidP="00246631">
                <w:pPr>
                  <w:spacing w:before="60" w:after="60"/>
                  <w:jc w:val="left"/>
                  <w:rPr>
                    <w:rFonts w:asciiTheme="minorHAnsi" w:hAnsiTheme="minorHAnsi" w:cstheme="minorHAnsi"/>
                    <w:color w:val="000000"/>
                    <w:szCs w:val="18"/>
                  </w:rPr>
                </w:pPr>
                <w:r>
                  <w:rPr>
                    <w:rFonts w:asciiTheme="minorHAnsi" w:hAnsiTheme="minorHAnsi" w:cstheme="minorHAnsi"/>
                    <w:color w:val="000000"/>
                    <w:szCs w:val="18"/>
                  </w:rPr>
                  <w:t>Yes</w:t>
                </w:r>
              </w:p>
            </w:tc>
            <w:tc>
              <w:tcPr>
                <w:tcW w:w="1337" w:type="dxa"/>
                <w:tcBorders>
                  <w:top w:val="nil"/>
                  <w:left w:val="nil"/>
                  <w:bottom w:val="nil"/>
                  <w:right w:val="nil"/>
                </w:tcBorders>
              </w:tcPr>
              <w:p w:rsidR="00246631" w:rsidRDefault="00246631" w:rsidP="00246631">
                <w:pPr>
                  <w:spacing w:before="60" w:after="60"/>
                  <w:jc w:val="left"/>
                  <w:rPr>
                    <w:rFonts w:asciiTheme="minorHAnsi" w:hAnsiTheme="minorHAnsi" w:cstheme="minorHAnsi"/>
                    <w:color w:val="000000"/>
                    <w:szCs w:val="18"/>
                  </w:rPr>
                </w:pPr>
                <w:r w:rsidRPr="002165D0">
                  <w:rPr>
                    <w:rFonts w:asciiTheme="minorHAnsi" w:hAnsiTheme="minorHAnsi" w:cstheme="minorHAnsi"/>
                    <w:color w:val="000000"/>
                    <w:szCs w:val="18"/>
                  </w:rPr>
                  <w:t>1280</w:t>
                </w:r>
                <w:r>
                  <w:rPr>
                    <w:rFonts w:asciiTheme="minorHAnsi" w:hAnsiTheme="minorHAnsi" w:cstheme="minorHAnsi"/>
                    <w:color w:val="000000"/>
                    <w:szCs w:val="18"/>
                  </w:rPr>
                  <w:t> </w:t>
                </w:r>
                <w:r w:rsidRPr="002165D0">
                  <w:rPr>
                    <w:rFonts w:asciiTheme="minorHAnsi" w:hAnsiTheme="minorHAnsi" w:cstheme="minorHAnsi"/>
                    <w:color w:val="000000"/>
                    <w:szCs w:val="18"/>
                  </w:rPr>
                  <w:t>MW</w:t>
                </w:r>
              </w:p>
              <w:p w:rsidR="00246631" w:rsidRPr="002165D0" w:rsidRDefault="00246631" w:rsidP="00246631">
                <w:pPr>
                  <w:spacing w:before="60" w:after="60"/>
                  <w:jc w:val="left"/>
                  <w:rPr>
                    <w:rFonts w:asciiTheme="minorHAnsi" w:hAnsiTheme="minorHAnsi" w:cstheme="minorHAnsi"/>
                    <w:color w:val="000000"/>
                    <w:szCs w:val="18"/>
                  </w:rPr>
                </w:pPr>
                <w:r>
                  <w:rPr>
                    <w:rFonts w:asciiTheme="minorHAnsi" w:hAnsiTheme="minorHAnsi" w:cstheme="minorHAnsi"/>
                    <w:color w:val="000000"/>
                    <w:szCs w:val="18"/>
                  </w:rPr>
                  <w:t>Yes</w:t>
                </w:r>
              </w:p>
            </w:tc>
            <w:tc>
              <w:tcPr>
                <w:tcW w:w="1405" w:type="dxa"/>
                <w:tcBorders>
                  <w:top w:val="nil"/>
                  <w:left w:val="nil"/>
                  <w:bottom w:val="nil"/>
                  <w:right w:val="nil"/>
                </w:tcBorders>
              </w:tcPr>
              <w:p w:rsidR="00246631" w:rsidRDefault="00246631" w:rsidP="00246631">
                <w:pPr>
                  <w:spacing w:before="60" w:after="60"/>
                  <w:jc w:val="left"/>
                  <w:rPr>
                    <w:rFonts w:asciiTheme="minorHAnsi" w:hAnsiTheme="minorHAnsi" w:cstheme="minorHAnsi"/>
                    <w:color w:val="000000"/>
                    <w:szCs w:val="18"/>
                  </w:rPr>
                </w:pPr>
                <w:r>
                  <w:rPr>
                    <w:rFonts w:asciiTheme="minorHAnsi" w:hAnsiTheme="minorHAnsi" w:cstheme="minorHAnsi"/>
                    <w:color w:val="000000"/>
                    <w:szCs w:val="18"/>
                  </w:rPr>
                  <w:t>No</w:t>
                </w:r>
              </w:p>
              <w:p w:rsidR="00246631" w:rsidRPr="002165D0" w:rsidRDefault="00246631" w:rsidP="00246631">
                <w:pPr>
                  <w:spacing w:before="60" w:after="60"/>
                  <w:jc w:val="left"/>
                  <w:rPr>
                    <w:rFonts w:asciiTheme="minorHAnsi" w:hAnsiTheme="minorHAnsi" w:cstheme="minorHAnsi"/>
                    <w:color w:val="000000"/>
                    <w:szCs w:val="18"/>
                  </w:rPr>
                </w:pPr>
                <w:r>
                  <w:rPr>
                    <w:rFonts w:asciiTheme="minorHAnsi" w:hAnsiTheme="minorHAnsi" w:cstheme="minorHAnsi"/>
                    <w:color w:val="000000"/>
                    <w:szCs w:val="18"/>
                  </w:rPr>
                  <w:t>Yes</w:t>
                </w:r>
              </w:p>
            </w:tc>
            <w:tc>
              <w:tcPr>
                <w:tcW w:w="1550" w:type="dxa"/>
                <w:tcBorders>
                  <w:top w:val="nil"/>
                  <w:left w:val="nil"/>
                  <w:bottom w:val="nil"/>
                  <w:right w:val="nil"/>
                </w:tcBorders>
              </w:tcPr>
              <w:p w:rsidR="00246631" w:rsidRDefault="00246631" w:rsidP="00246631">
                <w:pPr>
                  <w:spacing w:before="60" w:after="60"/>
                  <w:jc w:val="left"/>
                  <w:rPr>
                    <w:rFonts w:asciiTheme="minorHAnsi" w:hAnsiTheme="minorHAnsi" w:cstheme="minorHAnsi"/>
                    <w:color w:val="000000"/>
                    <w:szCs w:val="18"/>
                  </w:rPr>
                </w:pPr>
                <w:r w:rsidRPr="002165D0">
                  <w:rPr>
                    <w:rFonts w:asciiTheme="minorHAnsi" w:hAnsiTheme="minorHAnsi" w:cstheme="minorHAnsi"/>
                    <w:color w:val="000000"/>
                    <w:szCs w:val="18"/>
                  </w:rPr>
                  <w:t>243</w:t>
                </w:r>
                <w:r>
                  <w:rPr>
                    <w:rFonts w:asciiTheme="minorHAnsi" w:hAnsiTheme="minorHAnsi" w:cstheme="minorHAnsi"/>
                    <w:color w:val="000000"/>
                    <w:szCs w:val="18"/>
                  </w:rPr>
                  <w:t> </w:t>
                </w:r>
                <w:r w:rsidRPr="002165D0">
                  <w:rPr>
                    <w:rFonts w:asciiTheme="minorHAnsi" w:hAnsiTheme="minorHAnsi" w:cstheme="minorHAnsi"/>
                    <w:color w:val="000000"/>
                    <w:szCs w:val="18"/>
                  </w:rPr>
                  <w:t>MW</w:t>
                </w:r>
              </w:p>
              <w:p w:rsidR="00246631" w:rsidRPr="002165D0" w:rsidRDefault="00246631" w:rsidP="00246631">
                <w:pPr>
                  <w:spacing w:before="60" w:after="60"/>
                  <w:jc w:val="left"/>
                  <w:rPr>
                    <w:rFonts w:asciiTheme="minorHAnsi" w:hAnsiTheme="minorHAnsi" w:cstheme="minorHAnsi"/>
                    <w:color w:val="000000"/>
                    <w:szCs w:val="18"/>
                  </w:rPr>
                </w:pPr>
                <w:r>
                  <w:rPr>
                    <w:rFonts w:asciiTheme="minorHAnsi" w:hAnsiTheme="minorHAnsi" w:cstheme="minorHAnsi"/>
                    <w:color w:val="000000"/>
                    <w:szCs w:val="18"/>
                  </w:rPr>
                  <w:t>Yes</w:t>
                </w:r>
              </w:p>
            </w:tc>
          </w:tr>
          <w:tr w:rsidR="00246631" w:rsidRPr="00414345" w:rsidTr="00246631">
            <w:trPr>
              <w:cnfStyle w:val="000000010000" w:firstRow="0" w:lastRow="0" w:firstColumn="0" w:lastColumn="0" w:oddVBand="0" w:evenVBand="0" w:oddHBand="0" w:evenHBand="1" w:firstRowFirstColumn="0" w:firstRowLastColumn="0" w:lastRowFirstColumn="0" w:lastRowLastColumn="0"/>
              <w:trHeight w:val="711"/>
            </w:trPr>
            <w:tc>
              <w:tcPr>
                <w:tcW w:w="1598" w:type="dxa"/>
                <w:tcBorders>
                  <w:top w:val="nil"/>
                  <w:left w:val="nil"/>
                  <w:bottom w:val="nil"/>
                  <w:right w:val="nil"/>
                </w:tcBorders>
                <w:vAlign w:val="center"/>
              </w:tcPr>
              <w:p w:rsidR="00246631" w:rsidRPr="002165D0" w:rsidRDefault="00246631" w:rsidP="0077626C">
                <w:pPr>
                  <w:spacing w:before="60" w:after="60"/>
                  <w:rPr>
                    <w:rFonts w:asciiTheme="minorHAnsi" w:hAnsiTheme="minorHAnsi" w:cstheme="minorHAnsi"/>
                    <w:b/>
                    <w:color w:val="000000"/>
                    <w:szCs w:val="18"/>
                  </w:rPr>
                </w:pPr>
                <w:r>
                  <w:rPr>
                    <w:rFonts w:asciiTheme="minorHAnsi" w:hAnsiTheme="minorHAnsi" w:cstheme="minorHAnsi"/>
                    <w:b/>
                    <w:color w:val="000000"/>
                    <w:szCs w:val="18"/>
                  </w:rPr>
                  <w:t>EnergyAustralia</w:t>
                </w:r>
              </w:p>
            </w:tc>
            <w:tc>
              <w:tcPr>
                <w:tcW w:w="1346" w:type="dxa"/>
                <w:tcBorders>
                  <w:top w:val="nil"/>
                  <w:left w:val="nil"/>
                  <w:bottom w:val="nil"/>
                  <w:right w:val="nil"/>
                </w:tcBorders>
              </w:tcPr>
              <w:p w:rsidR="00246631" w:rsidRDefault="00246631" w:rsidP="00246631">
                <w:pPr>
                  <w:spacing w:before="60" w:after="60"/>
                  <w:jc w:val="left"/>
                  <w:rPr>
                    <w:rFonts w:asciiTheme="minorHAnsi" w:hAnsiTheme="minorHAnsi" w:cstheme="minorHAnsi"/>
                    <w:color w:val="000000"/>
                    <w:szCs w:val="18"/>
                  </w:rPr>
                </w:pPr>
                <w:r>
                  <w:rPr>
                    <w:rFonts w:asciiTheme="minorHAnsi" w:hAnsiTheme="minorHAnsi" w:cstheme="minorHAnsi"/>
                    <w:color w:val="000000"/>
                    <w:szCs w:val="18"/>
                  </w:rPr>
                  <w:t>NEM Gas</w:t>
                </w:r>
              </w:p>
              <w:p w:rsidR="00246631" w:rsidRPr="00414345" w:rsidRDefault="00246631" w:rsidP="00246631">
                <w:pPr>
                  <w:spacing w:before="60" w:after="60"/>
                  <w:jc w:val="left"/>
                  <w:rPr>
                    <w:rFonts w:asciiTheme="minorHAnsi" w:hAnsiTheme="minorHAnsi" w:cstheme="minorHAnsi"/>
                    <w:color w:val="000000"/>
                    <w:szCs w:val="18"/>
                  </w:rPr>
                </w:pPr>
                <w:r>
                  <w:rPr>
                    <w:rFonts w:asciiTheme="minorHAnsi" w:hAnsiTheme="minorHAnsi" w:cstheme="minorHAnsi"/>
                    <w:color w:val="000000"/>
                    <w:szCs w:val="18"/>
                  </w:rPr>
                  <w:t>Gas retail</w:t>
                </w:r>
              </w:p>
            </w:tc>
            <w:tc>
              <w:tcPr>
                <w:tcW w:w="1186" w:type="dxa"/>
                <w:tcBorders>
                  <w:top w:val="nil"/>
                  <w:left w:val="nil"/>
                  <w:bottom w:val="nil"/>
                  <w:right w:val="nil"/>
                </w:tcBorders>
              </w:tcPr>
              <w:p w:rsidR="00246631" w:rsidRDefault="00246631" w:rsidP="00246631">
                <w:pPr>
                  <w:spacing w:before="60" w:after="60"/>
                  <w:jc w:val="left"/>
                  <w:rPr>
                    <w:rFonts w:asciiTheme="minorHAnsi" w:hAnsiTheme="minorHAnsi" w:cstheme="minorHAnsi"/>
                    <w:color w:val="000000"/>
                    <w:szCs w:val="18"/>
                  </w:rPr>
                </w:pPr>
                <w:r>
                  <w:rPr>
                    <w:rFonts w:asciiTheme="minorHAnsi" w:hAnsiTheme="minorHAnsi" w:cstheme="minorHAnsi"/>
                    <w:color w:val="000000"/>
                    <w:szCs w:val="18"/>
                  </w:rPr>
                  <w:t>No</w:t>
                </w:r>
              </w:p>
              <w:p w:rsidR="00246631" w:rsidRPr="00414345" w:rsidRDefault="00246631" w:rsidP="00246631">
                <w:pPr>
                  <w:spacing w:before="60" w:after="60"/>
                  <w:jc w:val="left"/>
                  <w:rPr>
                    <w:rFonts w:asciiTheme="minorHAnsi" w:hAnsiTheme="minorHAnsi" w:cstheme="minorHAnsi"/>
                    <w:color w:val="000000"/>
                    <w:szCs w:val="18"/>
                  </w:rPr>
                </w:pPr>
                <w:r>
                  <w:rPr>
                    <w:rFonts w:asciiTheme="minorHAnsi" w:hAnsiTheme="minorHAnsi" w:cstheme="minorHAnsi"/>
                    <w:color w:val="000000"/>
                    <w:szCs w:val="18"/>
                  </w:rPr>
                  <w:t>Yes</w:t>
                </w:r>
              </w:p>
            </w:tc>
            <w:tc>
              <w:tcPr>
                <w:tcW w:w="1337" w:type="dxa"/>
                <w:tcBorders>
                  <w:top w:val="nil"/>
                  <w:left w:val="nil"/>
                  <w:bottom w:val="nil"/>
                  <w:right w:val="nil"/>
                </w:tcBorders>
              </w:tcPr>
              <w:p w:rsidR="00246631" w:rsidRDefault="00246631" w:rsidP="00246631">
                <w:pPr>
                  <w:spacing w:before="60" w:after="60"/>
                  <w:jc w:val="left"/>
                  <w:rPr>
                    <w:rFonts w:asciiTheme="minorHAnsi" w:hAnsiTheme="minorHAnsi" w:cstheme="minorHAnsi"/>
                    <w:color w:val="000000"/>
                    <w:szCs w:val="18"/>
                  </w:rPr>
                </w:pPr>
                <w:r>
                  <w:rPr>
                    <w:rFonts w:asciiTheme="minorHAnsi" w:hAnsiTheme="minorHAnsi" w:cstheme="minorHAnsi"/>
                    <w:color w:val="000000"/>
                    <w:szCs w:val="18"/>
                  </w:rPr>
                  <w:t>206 MW</w:t>
                </w:r>
              </w:p>
              <w:p w:rsidR="00246631" w:rsidRPr="00414345" w:rsidRDefault="00246631" w:rsidP="00246631">
                <w:pPr>
                  <w:spacing w:before="60" w:after="60"/>
                  <w:jc w:val="left"/>
                  <w:rPr>
                    <w:rFonts w:asciiTheme="minorHAnsi" w:hAnsiTheme="minorHAnsi" w:cstheme="minorHAnsi"/>
                    <w:color w:val="000000"/>
                    <w:szCs w:val="18"/>
                  </w:rPr>
                </w:pPr>
                <w:r>
                  <w:rPr>
                    <w:rFonts w:asciiTheme="minorHAnsi" w:hAnsiTheme="minorHAnsi" w:cstheme="minorHAnsi"/>
                    <w:color w:val="000000"/>
                    <w:szCs w:val="18"/>
                  </w:rPr>
                  <w:t>Yes</w:t>
                </w:r>
              </w:p>
            </w:tc>
            <w:tc>
              <w:tcPr>
                <w:tcW w:w="1405" w:type="dxa"/>
                <w:tcBorders>
                  <w:top w:val="nil"/>
                  <w:left w:val="nil"/>
                  <w:bottom w:val="nil"/>
                  <w:right w:val="nil"/>
                </w:tcBorders>
              </w:tcPr>
              <w:p w:rsidR="00246631" w:rsidRDefault="00246631" w:rsidP="00246631">
                <w:pPr>
                  <w:spacing w:before="60" w:after="60"/>
                  <w:jc w:val="left"/>
                  <w:rPr>
                    <w:rFonts w:asciiTheme="minorHAnsi" w:hAnsiTheme="minorHAnsi" w:cstheme="minorHAnsi"/>
                    <w:color w:val="000000"/>
                    <w:szCs w:val="18"/>
                  </w:rPr>
                </w:pPr>
                <w:r>
                  <w:rPr>
                    <w:rFonts w:asciiTheme="minorHAnsi" w:hAnsiTheme="minorHAnsi" w:cstheme="minorHAnsi"/>
                    <w:color w:val="000000"/>
                    <w:szCs w:val="18"/>
                  </w:rPr>
                  <w:t>460 MW</w:t>
                </w:r>
              </w:p>
              <w:p w:rsidR="00246631" w:rsidRPr="00414345" w:rsidRDefault="00246631" w:rsidP="00246631">
                <w:pPr>
                  <w:spacing w:before="60" w:after="60"/>
                  <w:jc w:val="left"/>
                  <w:rPr>
                    <w:rFonts w:asciiTheme="minorHAnsi" w:hAnsiTheme="minorHAnsi" w:cstheme="minorHAnsi"/>
                    <w:color w:val="000000"/>
                    <w:szCs w:val="18"/>
                  </w:rPr>
                </w:pPr>
                <w:r>
                  <w:rPr>
                    <w:rFonts w:asciiTheme="minorHAnsi" w:hAnsiTheme="minorHAnsi" w:cstheme="minorHAnsi"/>
                    <w:color w:val="000000"/>
                    <w:szCs w:val="18"/>
                  </w:rPr>
                  <w:t>Yes</w:t>
                </w:r>
              </w:p>
            </w:tc>
            <w:tc>
              <w:tcPr>
                <w:tcW w:w="1550" w:type="dxa"/>
                <w:tcBorders>
                  <w:top w:val="nil"/>
                  <w:left w:val="nil"/>
                  <w:bottom w:val="nil"/>
                  <w:right w:val="nil"/>
                </w:tcBorders>
              </w:tcPr>
              <w:p w:rsidR="00246631" w:rsidRDefault="00246631" w:rsidP="00246631">
                <w:pPr>
                  <w:spacing w:before="60" w:after="60"/>
                  <w:jc w:val="left"/>
                  <w:rPr>
                    <w:rFonts w:asciiTheme="minorHAnsi" w:hAnsiTheme="minorHAnsi" w:cstheme="minorHAnsi"/>
                    <w:color w:val="000000"/>
                    <w:szCs w:val="18"/>
                  </w:rPr>
                </w:pPr>
                <w:r>
                  <w:rPr>
                    <w:rFonts w:asciiTheme="minorHAnsi" w:hAnsiTheme="minorHAnsi" w:cstheme="minorHAnsi"/>
                    <w:color w:val="000000"/>
                    <w:szCs w:val="18"/>
                  </w:rPr>
                  <w:t>N/A</w:t>
                </w:r>
              </w:p>
              <w:p w:rsidR="00246631" w:rsidRPr="00414345" w:rsidRDefault="00246631" w:rsidP="00246631">
                <w:pPr>
                  <w:spacing w:before="60" w:after="60"/>
                  <w:jc w:val="left"/>
                  <w:rPr>
                    <w:rFonts w:asciiTheme="minorHAnsi" w:hAnsiTheme="minorHAnsi" w:cstheme="minorHAnsi"/>
                    <w:color w:val="000000"/>
                    <w:szCs w:val="18"/>
                  </w:rPr>
                </w:pPr>
                <w:r>
                  <w:rPr>
                    <w:rFonts w:asciiTheme="minorHAnsi" w:hAnsiTheme="minorHAnsi" w:cstheme="minorHAnsi"/>
                    <w:color w:val="000000"/>
                    <w:szCs w:val="18"/>
                  </w:rPr>
                  <w:t>No</w:t>
                </w:r>
              </w:p>
            </w:tc>
          </w:tr>
          <w:tr w:rsidR="00246631" w:rsidRPr="00414345" w:rsidTr="007D7145">
            <w:trPr>
              <w:cnfStyle w:val="000000100000" w:firstRow="0" w:lastRow="0" w:firstColumn="0" w:lastColumn="0" w:oddVBand="0" w:evenVBand="0" w:oddHBand="1" w:evenHBand="0" w:firstRowFirstColumn="0" w:firstRowLastColumn="0" w:lastRowFirstColumn="0" w:lastRowLastColumn="0"/>
              <w:trHeight w:val="705"/>
            </w:trPr>
            <w:tc>
              <w:tcPr>
                <w:tcW w:w="1598" w:type="dxa"/>
                <w:tcBorders>
                  <w:top w:val="nil"/>
                  <w:left w:val="nil"/>
                  <w:bottom w:val="nil"/>
                  <w:right w:val="nil"/>
                </w:tcBorders>
                <w:vAlign w:val="center"/>
              </w:tcPr>
              <w:p w:rsidR="00246631" w:rsidRPr="002165D0" w:rsidRDefault="00246631" w:rsidP="0077626C">
                <w:pPr>
                  <w:spacing w:before="60" w:after="60"/>
                  <w:rPr>
                    <w:rFonts w:asciiTheme="minorHAnsi" w:hAnsiTheme="minorHAnsi" w:cstheme="minorHAnsi"/>
                    <w:b/>
                    <w:color w:val="000000"/>
                    <w:szCs w:val="18"/>
                  </w:rPr>
                </w:pPr>
                <w:r>
                  <w:rPr>
                    <w:rFonts w:asciiTheme="minorHAnsi" w:hAnsiTheme="minorHAnsi" w:cstheme="minorHAnsi"/>
                    <w:b/>
                    <w:color w:val="000000"/>
                    <w:szCs w:val="18"/>
                  </w:rPr>
                  <w:t>Engie</w:t>
                </w:r>
              </w:p>
            </w:tc>
            <w:tc>
              <w:tcPr>
                <w:tcW w:w="1346" w:type="dxa"/>
                <w:tcBorders>
                  <w:top w:val="nil"/>
                  <w:left w:val="nil"/>
                  <w:bottom w:val="nil"/>
                  <w:right w:val="nil"/>
                </w:tcBorders>
              </w:tcPr>
              <w:p w:rsidR="00246631" w:rsidRDefault="00246631" w:rsidP="00246631">
                <w:pPr>
                  <w:spacing w:before="60" w:after="60"/>
                  <w:jc w:val="left"/>
                  <w:rPr>
                    <w:rFonts w:asciiTheme="minorHAnsi" w:hAnsiTheme="minorHAnsi" w:cstheme="minorHAnsi"/>
                    <w:color w:val="000000"/>
                    <w:szCs w:val="18"/>
                  </w:rPr>
                </w:pPr>
                <w:r>
                  <w:rPr>
                    <w:rFonts w:asciiTheme="minorHAnsi" w:hAnsiTheme="minorHAnsi" w:cstheme="minorHAnsi"/>
                    <w:color w:val="000000"/>
                    <w:szCs w:val="18"/>
                  </w:rPr>
                  <w:t>NEM Gas</w:t>
                </w:r>
              </w:p>
              <w:p w:rsidR="00246631" w:rsidRPr="00414345" w:rsidRDefault="00246631" w:rsidP="00246631">
                <w:pPr>
                  <w:spacing w:before="60" w:after="60"/>
                  <w:jc w:val="left"/>
                  <w:rPr>
                    <w:rFonts w:asciiTheme="minorHAnsi" w:hAnsiTheme="minorHAnsi" w:cstheme="minorHAnsi"/>
                    <w:color w:val="000000"/>
                    <w:szCs w:val="18"/>
                  </w:rPr>
                </w:pPr>
                <w:r>
                  <w:rPr>
                    <w:rFonts w:asciiTheme="minorHAnsi" w:hAnsiTheme="minorHAnsi" w:cstheme="minorHAnsi"/>
                    <w:color w:val="000000"/>
                    <w:szCs w:val="18"/>
                  </w:rPr>
                  <w:t>Gas retail</w:t>
                </w:r>
              </w:p>
            </w:tc>
            <w:tc>
              <w:tcPr>
                <w:tcW w:w="1186" w:type="dxa"/>
                <w:tcBorders>
                  <w:top w:val="nil"/>
                  <w:left w:val="nil"/>
                  <w:bottom w:val="nil"/>
                  <w:right w:val="nil"/>
                </w:tcBorders>
              </w:tcPr>
              <w:p w:rsidR="00246631" w:rsidRDefault="00246631" w:rsidP="00246631">
                <w:pPr>
                  <w:spacing w:before="60" w:after="60"/>
                  <w:jc w:val="left"/>
                  <w:rPr>
                    <w:rFonts w:asciiTheme="minorHAnsi" w:hAnsiTheme="minorHAnsi" w:cstheme="minorHAnsi"/>
                    <w:color w:val="000000"/>
                    <w:szCs w:val="18"/>
                  </w:rPr>
                </w:pPr>
                <w:r>
                  <w:rPr>
                    <w:rFonts w:asciiTheme="minorHAnsi" w:hAnsiTheme="minorHAnsi" w:cstheme="minorHAnsi"/>
                    <w:color w:val="000000"/>
                    <w:szCs w:val="18"/>
                  </w:rPr>
                  <w:t>No</w:t>
                </w:r>
              </w:p>
              <w:p w:rsidR="00246631" w:rsidRPr="00414345" w:rsidRDefault="00246631" w:rsidP="00246631">
                <w:pPr>
                  <w:spacing w:before="60" w:after="60"/>
                  <w:jc w:val="left"/>
                  <w:rPr>
                    <w:rFonts w:asciiTheme="minorHAnsi" w:hAnsiTheme="minorHAnsi" w:cstheme="minorHAnsi"/>
                    <w:color w:val="000000"/>
                    <w:szCs w:val="18"/>
                  </w:rPr>
                </w:pPr>
                <w:r>
                  <w:rPr>
                    <w:rFonts w:asciiTheme="minorHAnsi" w:hAnsiTheme="minorHAnsi" w:cstheme="minorHAnsi"/>
                    <w:color w:val="000000"/>
                    <w:szCs w:val="18"/>
                  </w:rPr>
                  <w:t>Yes</w:t>
                </w:r>
              </w:p>
            </w:tc>
            <w:tc>
              <w:tcPr>
                <w:tcW w:w="1337" w:type="dxa"/>
                <w:tcBorders>
                  <w:top w:val="nil"/>
                  <w:left w:val="nil"/>
                  <w:bottom w:val="nil"/>
                  <w:right w:val="nil"/>
                </w:tcBorders>
              </w:tcPr>
              <w:p w:rsidR="00246631" w:rsidRDefault="00246631" w:rsidP="00246631">
                <w:pPr>
                  <w:spacing w:before="60" w:after="60"/>
                  <w:jc w:val="left"/>
                  <w:rPr>
                    <w:rFonts w:asciiTheme="minorHAnsi" w:hAnsiTheme="minorHAnsi" w:cstheme="minorHAnsi"/>
                    <w:color w:val="000000"/>
                    <w:szCs w:val="18"/>
                  </w:rPr>
                </w:pPr>
                <w:r>
                  <w:rPr>
                    <w:rFonts w:asciiTheme="minorHAnsi" w:hAnsiTheme="minorHAnsi" w:cstheme="minorHAnsi"/>
                    <w:color w:val="000000"/>
                    <w:szCs w:val="18"/>
                  </w:rPr>
                  <w:t>465 MW</w:t>
                </w:r>
              </w:p>
              <w:p w:rsidR="00246631" w:rsidRPr="00414345" w:rsidRDefault="00246631" w:rsidP="00246631">
                <w:pPr>
                  <w:spacing w:before="60" w:after="60"/>
                  <w:jc w:val="left"/>
                  <w:rPr>
                    <w:rFonts w:asciiTheme="minorHAnsi" w:hAnsiTheme="minorHAnsi" w:cstheme="minorHAnsi"/>
                    <w:color w:val="000000"/>
                    <w:szCs w:val="18"/>
                  </w:rPr>
                </w:pPr>
                <w:r>
                  <w:rPr>
                    <w:rFonts w:asciiTheme="minorHAnsi" w:hAnsiTheme="minorHAnsi" w:cstheme="minorHAnsi"/>
                    <w:color w:val="000000"/>
                    <w:szCs w:val="18"/>
                  </w:rPr>
                  <w:t>Yes</w:t>
                </w:r>
              </w:p>
            </w:tc>
            <w:tc>
              <w:tcPr>
                <w:tcW w:w="1405" w:type="dxa"/>
                <w:tcBorders>
                  <w:top w:val="nil"/>
                  <w:left w:val="nil"/>
                  <w:bottom w:val="nil"/>
                  <w:right w:val="nil"/>
                </w:tcBorders>
                <w:vAlign w:val="center"/>
              </w:tcPr>
              <w:p w:rsidR="00246631" w:rsidRPr="00414345" w:rsidRDefault="00246631" w:rsidP="00246631">
                <w:pPr>
                  <w:spacing w:before="60" w:after="60"/>
                  <w:jc w:val="left"/>
                  <w:rPr>
                    <w:rFonts w:asciiTheme="minorHAnsi" w:hAnsiTheme="minorHAnsi" w:cstheme="minorHAnsi"/>
                    <w:color w:val="000000"/>
                    <w:szCs w:val="18"/>
                  </w:rPr>
                </w:pPr>
                <w:r w:rsidRPr="009377F6">
                  <w:rPr>
                    <w:rFonts w:asciiTheme="minorHAnsi" w:hAnsiTheme="minorHAnsi" w:cstheme="minorHAnsi"/>
                    <w:color w:val="000000"/>
                    <w:szCs w:val="18"/>
                  </w:rPr>
                  <w:t>N</w:t>
                </w:r>
                <w:r>
                  <w:rPr>
                    <w:rFonts w:asciiTheme="minorHAnsi" w:hAnsiTheme="minorHAnsi" w:cstheme="minorHAnsi"/>
                    <w:color w:val="000000"/>
                    <w:szCs w:val="18"/>
                  </w:rPr>
                  <w:t>o</w:t>
                </w:r>
              </w:p>
            </w:tc>
            <w:tc>
              <w:tcPr>
                <w:tcW w:w="1550" w:type="dxa"/>
                <w:tcBorders>
                  <w:top w:val="nil"/>
                  <w:left w:val="nil"/>
                  <w:bottom w:val="nil"/>
                  <w:right w:val="nil"/>
                </w:tcBorders>
                <w:vAlign w:val="center"/>
              </w:tcPr>
              <w:p w:rsidR="00246631" w:rsidRPr="00414345" w:rsidRDefault="00246631" w:rsidP="00246631">
                <w:pPr>
                  <w:spacing w:before="60" w:after="60"/>
                  <w:jc w:val="left"/>
                  <w:rPr>
                    <w:rFonts w:asciiTheme="minorHAnsi" w:hAnsiTheme="minorHAnsi" w:cstheme="minorHAnsi"/>
                    <w:color w:val="000000"/>
                    <w:szCs w:val="18"/>
                  </w:rPr>
                </w:pPr>
                <w:r>
                  <w:rPr>
                    <w:rFonts w:asciiTheme="minorHAnsi" w:hAnsiTheme="minorHAnsi" w:cstheme="minorHAnsi"/>
                    <w:color w:val="000000"/>
                    <w:szCs w:val="18"/>
                  </w:rPr>
                  <w:t>No</w:t>
                </w:r>
              </w:p>
            </w:tc>
          </w:tr>
          <w:tr w:rsidR="00246631" w:rsidRPr="00414345" w:rsidTr="007D7145">
            <w:trPr>
              <w:cnfStyle w:val="000000010000" w:firstRow="0" w:lastRow="0" w:firstColumn="0" w:lastColumn="0" w:oddVBand="0" w:evenVBand="0" w:oddHBand="0" w:evenHBand="1" w:firstRowFirstColumn="0" w:firstRowLastColumn="0" w:lastRowFirstColumn="0" w:lastRowLastColumn="0"/>
              <w:trHeight w:val="374"/>
            </w:trPr>
            <w:tc>
              <w:tcPr>
                <w:tcW w:w="1598" w:type="dxa"/>
                <w:tcBorders>
                  <w:top w:val="nil"/>
                  <w:left w:val="nil"/>
                  <w:bottom w:val="single" w:sz="4" w:space="0" w:color="auto"/>
                  <w:right w:val="nil"/>
                </w:tcBorders>
                <w:vAlign w:val="center"/>
              </w:tcPr>
              <w:p w:rsidR="00246631" w:rsidRPr="002165D0" w:rsidRDefault="00246631" w:rsidP="0077626C">
                <w:pPr>
                  <w:spacing w:before="60" w:after="60"/>
                  <w:rPr>
                    <w:rFonts w:asciiTheme="minorHAnsi" w:hAnsiTheme="minorHAnsi" w:cstheme="minorHAnsi"/>
                    <w:b/>
                    <w:color w:val="000000"/>
                    <w:szCs w:val="18"/>
                  </w:rPr>
                </w:pPr>
                <w:r>
                  <w:rPr>
                    <w:rFonts w:asciiTheme="minorHAnsi" w:hAnsiTheme="minorHAnsi" w:cstheme="minorHAnsi"/>
                    <w:b/>
                    <w:color w:val="000000"/>
                    <w:szCs w:val="18"/>
                  </w:rPr>
                  <w:lastRenderedPageBreak/>
                  <w:t>Origin</w:t>
                </w:r>
              </w:p>
            </w:tc>
            <w:tc>
              <w:tcPr>
                <w:tcW w:w="1346" w:type="dxa"/>
                <w:tcBorders>
                  <w:top w:val="nil"/>
                  <w:left w:val="nil"/>
                  <w:bottom w:val="single" w:sz="4" w:space="0" w:color="auto"/>
                  <w:right w:val="nil"/>
                </w:tcBorders>
              </w:tcPr>
              <w:p w:rsidR="00246631" w:rsidRDefault="00246631" w:rsidP="00246631">
                <w:pPr>
                  <w:spacing w:before="60" w:after="60"/>
                  <w:jc w:val="left"/>
                  <w:rPr>
                    <w:rFonts w:asciiTheme="minorHAnsi" w:hAnsiTheme="minorHAnsi" w:cstheme="minorHAnsi"/>
                    <w:color w:val="000000"/>
                    <w:szCs w:val="18"/>
                  </w:rPr>
                </w:pPr>
                <w:r>
                  <w:rPr>
                    <w:rFonts w:asciiTheme="minorHAnsi" w:hAnsiTheme="minorHAnsi" w:cstheme="minorHAnsi"/>
                    <w:color w:val="000000"/>
                    <w:szCs w:val="18"/>
                  </w:rPr>
                  <w:t>NEM Gas</w:t>
                </w:r>
              </w:p>
              <w:p w:rsidR="00246631" w:rsidRPr="00414345" w:rsidRDefault="00246631" w:rsidP="00246631">
                <w:pPr>
                  <w:spacing w:before="60" w:after="60"/>
                  <w:jc w:val="left"/>
                  <w:rPr>
                    <w:rFonts w:asciiTheme="minorHAnsi" w:hAnsiTheme="minorHAnsi" w:cstheme="minorHAnsi"/>
                    <w:color w:val="000000"/>
                    <w:szCs w:val="18"/>
                  </w:rPr>
                </w:pPr>
                <w:r>
                  <w:rPr>
                    <w:rFonts w:asciiTheme="minorHAnsi" w:hAnsiTheme="minorHAnsi" w:cstheme="minorHAnsi"/>
                    <w:color w:val="000000"/>
                    <w:szCs w:val="18"/>
                  </w:rPr>
                  <w:t>Gas retail</w:t>
                </w:r>
              </w:p>
            </w:tc>
            <w:tc>
              <w:tcPr>
                <w:tcW w:w="1186" w:type="dxa"/>
                <w:tcBorders>
                  <w:top w:val="nil"/>
                  <w:left w:val="nil"/>
                  <w:bottom w:val="single" w:sz="4" w:space="0" w:color="auto"/>
                  <w:right w:val="nil"/>
                </w:tcBorders>
              </w:tcPr>
              <w:p w:rsidR="00246631" w:rsidRDefault="00246631" w:rsidP="00246631">
                <w:pPr>
                  <w:spacing w:before="60" w:after="60"/>
                  <w:jc w:val="left"/>
                  <w:rPr>
                    <w:rFonts w:asciiTheme="minorHAnsi" w:hAnsiTheme="minorHAnsi" w:cstheme="minorHAnsi"/>
                    <w:color w:val="000000"/>
                    <w:szCs w:val="18"/>
                  </w:rPr>
                </w:pPr>
                <w:r>
                  <w:rPr>
                    <w:rFonts w:asciiTheme="minorHAnsi" w:hAnsiTheme="minorHAnsi" w:cstheme="minorHAnsi"/>
                    <w:color w:val="000000"/>
                    <w:szCs w:val="18"/>
                  </w:rPr>
                  <w:t>584 MW</w:t>
                </w:r>
              </w:p>
              <w:p w:rsidR="00246631" w:rsidRPr="00414345" w:rsidRDefault="00246631" w:rsidP="00246631">
                <w:pPr>
                  <w:spacing w:before="60" w:after="60"/>
                  <w:jc w:val="left"/>
                  <w:rPr>
                    <w:rFonts w:asciiTheme="minorHAnsi" w:hAnsiTheme="minorHAnsi" w:cstheme="minorHAnsi"/>
                    <w:color w:val="000000"/>
                    <w:szCs w:val="18"/>
                  </w:rPr>
                </w:pPr>
                <w:r>
                  <w:rPr>
                    <w:rFonts w:asciiTheme="minorHAnsi" w:hAnsiTheme="minorHAnsi" w:cstheme="minorHAnsi"/>
                    <w:color w:val="000000"/>
                    <w:szCs w:val="18"/>
                  </w:rPr>
                  <w:t>Yes</w:t>
                </w:r>
              </w:p>
            </w:tc>
            <w:tc>
              <w:tcPr>
                <w:tcW w:w="1337" w:type="dxa"/>
                <w:tcBorders>
                  <w:top w:val="nil"/>
                  <w:left w:val="nil"/>
                  <w:bottom w:val="single" w:sz="4" w:space="0" w:color="auto"/>
                  <w:right w:val="nil"/>
                </w:tcBorders>
              </w:tcPr>
              <w:p w:rsidR="00246631" w:rsidRDefault="00246631" w:rsidP="00246631">
                <w:pPr>
                  <w:spacing w:before="60" w:after="60"/>
                  <w:jc w:val="left"/>
                  <w:rPr>
                    <w:rFonts w:asciiTheme="minorHAnsi" w:hAnsiTheme="minorHAnsi" w:cstheme="minorHAnsi"/>
                    <w:color w:val="000000"/>
                    <w:szCs w:val="18"/>
                  </w:rPr>
                </w:pPr>
                <w:r>
                  <w:rPr>
                    <w:rFonts w:asciiTheme="minorHAnsi" w:hAnsiTheme="minorHAnsi" w:cstheme="minorHAnsi"/>
                    <w:color w:val="000000"/>
                    <w:szCs w:val="18"/>
                  </w:rPr>
                  <w:t>484 MW</w:t>
                </w:r>
              </w:p>
              <w:p w:rsidR="00246631" w:rsidRPr="00414345" w:rsidRDefault="00246631" w:rsidP="00246631">
                <w:pPr>
                  <w:spacing w:before="60" w:after="60"/>
                  <w:jc w:val="left"/>
                  <w:rPr>
                    <w:rFonts w:asciiTheme="minorHAnsi" w:hAnsiTheme="minorHAnsi" w:cstheme="minorHAnsi"/>
                    <w:color w:val="000000"/>
                    <w:szCs w:val="18"/>
                  </w:rPr>
                </w:pPr>
                <w:r>
                  <w:rPr>
                    <w:rFonts w:asciiTheme="minorHAnsi" w:hAnsiTheme="minorHAnsi" w:cstheme="minorHAnsi"/>
                    <w:color w:val="000000"/>
                    <w:szCs w:val="18"/>
                  </w:rPr>
                  <w:t>Yes</w:t>
                </w:r>
              </w:p>
            </w:tc>
            <w:tc>
              <w:tcPr>
                <w:tcW w:w="1405" w:type="dxa"/>
                <w:tcBorders>
                  <w:top w:val="nil"/>
                  <w:left w:val="nil"/>
                  <w:bottom w:val="single" w:sz="4" w:space="0" w:color="auto"/>
                  <w:right w:val="nil"/>
                </w:tcBorders>
              </w:tcPr>
              <w:p w:rsidR="00246631" w:rsidRDefault="00246631" w:rsidP="00246631">
                <w:pPr>
                  <w:spacing w:before="60" w:after="60"/>
                  <w:jc w:val="left"/>
                  <w:rPr>
                    <w:rFonts w:asciiTheme="minorHAnsi" w:hAnsiTheme="minorHAnsi" w:cstheme="minorHAnsi"/>
                    <w:color w:val="000000"/>
                    <w:szCs w:val="18"/>
                  </w:rPr>
                </w:pPr>
                <w:r>
                  <w:rPr>
                    <w:rFonts w:asciiTheme="minorHAnsi" w:hAnsiTheme="minorHAnsi" w:cstheme="minorHAnsi"/>
                    <w:color w:val="000000"/>
                    <w:szCs w:val="18"/>
                  </w:rPr>
                  <w:t>664 MW</w:t>
                </w:r>
              </w:p>
              <w:p w:rsidR="00102E11" w:rsidRPr="00414345" w:rsidRDefault="00102E11" w:rsidP="00246631">
                <w:pPr>
                  <w:spacing w:before="60" w:after="60"/>
                  <w:jc w:val="left"/>
                  <w:rPr>
                    <w:rFonts w:asciiTheme="minorHAnsi" w:hAnsiTheme="minorHAnsi" w:cstheme="minorHAnsi"/>
                    <w:color w:val="000000"/>
                    <w:szCs w:val="18"/>
                  </w:rPr>
                </w:pPr>
                <w:r>
                  <w:rPr>
                    <w:rFonts w:asciiTheme="minorHAnsi" w:hAnsiTheme="minorHAnsi" w:cstheme="minorHAnsi"/>
                    <w:color w:val="000000"/>
                    <w:szCs w:val="18"/>
                  </w:rPr>
                  <w:t>Yes</w:t>
                </w:r>
              </w:p>
            </w:tc>
            <w:tc>
              <w:tcPr>
                <w:tcW w:w="1550" w:type="dxa"/>
                <w:tcBorders>
                  <w:top w:val="nil"/>
                  <w:left w:val="nil"/>
                  <w:bottom w:val="single" w:sz="4" w:space="0" w:color="auto"/>
                  <w:right w:val="nil"/>
                </w:tcBorders>
              </w:tcPr>
              <w:p w:rsidR="00246631" w:rsidRDefault="00246631" w:rsidP="00246631">
                <w:pPr>
                  <w:spacing w:before="60" w:after="60"/>
                  <w:jc w:val="left"/>
                  <w:rPr>
                    <w:rFonts w:asciiTheme="minorHAnsi" w:hAnsiTheme="minorHAnsi" w:cstheme="minorHAnsi"/>
                    <w:color w:val="000000"/>
                    <w:szCs w:val="18"/>
                  </w:rPr>
                </w:pPr>
                <w:r>
                  <w:rPr>
                    <w:rFonts w:asciiTheme="minorHAnsi" w:hAnsiTheme="minorHAnsi" w:cstheme="minorHAnsi"/>
                    <w:color w:val="000000"/>
                    <w:szCs w:val="18"/>
                  </w:rPr>
                  <w:t>724 MW</w:t>
                </w:r>
              </w:p>
              <w:p w:rsidR="00102E11" w:rsidRPr="00414345" w:rsidRDefault="00102E11" w:rsidP="00246631">
                <w:pPr>
                  <w:spacing w:before="60" w:after="60"/>
                  <w:jc w:val="left"/>
                  <w:rPr>
                    <w:rFonts w:asciiTheme="minorHAnsi" w:hAnsiTheme="minorHAnsi" w:cstheme="minorHAnsi"/>
                    <w:color w:val="000000"/>
                    <w:szCs w:val="18"/>
                  </w:rPr>
                </w:pPr>
                <w:r>
                  <w:rPr>
                    <w:rFonts w:asciiTheme="minorHAnsi" w:hAnsiTheme="minorHAnsi" w:cstheme="minorHAnsi"/>
                    <w:color w:val="000000"/>
                    <w:szCs w:val="18"/>
                  </w:rPr>
                  <w:t>Yes</w:t>
                </w:r>
              </w:p>
            </w:tc>
          </w:tr>
        </w:tbl>
        <w:p w:rsidR="002E031B" w:rsidRPr="002E031B" w:rsidRDefault="00246631" w:rsidP="009F38DC">
          <w:r w:rsidRPr="003A42A4">
            <w:rPr>
              <w:sz w:val="18"/>
              <w:szCs w:val="18"/>
            </w:rPr>
            <w:t xml:space="preserve">* Not showing all participants. Engie’s value </w:t>
          </w:r>
          <w:r>
            <w:rPr>
              <w:sz w:val="18"/>
              <w:szCs w:val="18"/>
            </w:rPr>
            <w:t>reflects that it only has 1 of 2 units</w:t>
          </w:r>
          <w:r w:rsidR="00B40AF4">
            <w:rPr>
              <w:sz w:val="18"/>
              <w:szCs w:val="18"/>
            </w:rPr>
            <w:t xml:space="preserve"> at Pelican Point Power Station</w:t>
          </w:r>
          <w:r>
            <w:rPr>
              <w:sz w:val="18"/>
              <w:szCs w:val="18"/>
            </w:rPr>
            <w:t xml:space="preserve"> in operation as per availability information provided to the market operator.</w:t>
          </w:r>
          <w:r w:rsidR="006806A4">
            <w:rPr>
              <w:sz w:val="18"/>
              <w:szCs w:val="18"/>
            </w:rPr>
            <w:t xml:space="preserve"> Information provided by industry participants confirmed that although some generators can run on alternative fuels, the vast majority of energy generated by gas</w:t>
          </w:r>
          <w:r w:rsidR="0010261D">
            <w:rPr>
              <w:sz w:val="18"/>
              <w:szCs w:val="18"/>
            </w:rPr>
            <w:t xml:space="preserve"> </w:t>
          </w:r>
          <w:r w:rsidR="006806A4">
            <w:rPr>
              <w:sz w:val="18"/>
              <w:szCs w:val="18"/>
            </w:rPr>
            <w:t>fired generators this winter used gas as a fuel source.</w:t>
          </w:r>
        </w:p>
        <w:p w:rsidR="00C55FDC" w:rsidRDefault="00D24776" w:rsidP="008D06FE">
          <w:pPr>
            <w:pStyle w:val="Heading1"/>
            <w:spacing w:before="0" w:line="240" w:lineRule="auto"/>
            <w:ind w:left="431" w:hanging="431"/>
          </w:pPr>
          <w:bookmarkStart w:id="14" w:name="_Ref459647023"/>
          <w:bookmarkStart w:id="15" w:name="_Ref459648098"/>
          <w:bookmarkStart w:id="16" w:name="_Ref459648105"/>
          <w:bookmarkStart w:id="17" w:name="_Toc460417309"/>
          <w:r>
            <w:lastRenderedPageBreak/>
            <w:t>Marke</w:t>
          </w:r>
          <w:r w:rsidR="0006378A">
            <w:t>t conditions across winter 2016</w:t>
          </w:r>
          <w:bookmarkEnd w:id="14"/>
          <w:bookmarkEnd w:id="15"/>
          <w:bookmarkEnd w:id="16"/>
          <w:bookmarkEnd w:id="17"/>
        </w:p>
        <w:p w:rsidR="00A67F8B" w:rsidRPr="00A67F8B" w:rsidRDefault="00D24776" w:rsidP="00A67F8B">
          <w:r>
            <w:t xml:space="preserve">This section sets out the overall market conditions across </w:t>
          </w:r>
          <w:r w:rsidR="00462149">
            <w:t>winter 2016</w:t>
          </w:r>
          <w:r w:rsidR="00777EE9">
            <w:t xml:space="preserve"> </w:t>
          </w:r>
          <w:r w:rsidR="00223138">
            <w:t>with a particular</w:t>
          </w:r>
          <w:r w:rsidR="00612CDA">
            <w:t xml:space="preserve"> focus on the </w:t>
          </w:r>
          <w:r w:rsidR="00777EE9">
            <w:t>supply and demand factors that collectively contributed to the high prices</w:t>
          </w:r>
          <w:r w:rsidR="00E525DD">
            <w:t xml:space="preserve"> in June</w:t>
          </w:r>
          <w:r w:rsidR="00462149">
            <w:t>.</w:t>
          </w:r>
          <w:r>
            <w:t xml:space="preserve"> </w:t>
          </w:r>
          <w:r w:rsidR="00E525DD">
            <w:t>F</w:t>
          </w:r>
          <w:r>
            <w:t>urther analysi</w:t>
          </w:r>
          <w:r w:rsidR="00E3445C">
            <w:t xml:space="preserve">s regarding </w:t>
          </w:r>
          <w:r w:rsidR="00E525DD">
            <w:t xml:space="preserve">how </w:t>
          </w:r>
          <w:r w:rsidR="00E3445C">
            <w:t xml:space="preserve">these factors </w:t>
          </w:r>
          <w:r w:rsidR="00E525DD">
            <w:t xml:space="preserve">influenced prices </w:t>
          </w:r>
          <w:r w:rsidR="00E3445C">
            <w:t xml:space="preserve">in </w:t>
          </w:r>
          <w:r>
            <w:t xml:space="preserve">July </w:t>
          </w:r>
          <w:r w:rsidR="00E525DD">
            <w:t xml:space="preserve">will be published in a subsequent </w:t>
          </w:r>
          <w:r>
            <w:t>report.</w:t>
          </w:r>
          <w:r w:rsidR="00A67F8B">
            <w:t xml:space="preserve"> </w:t>
          </w:r>
          <w:r w:rsidR="00531686" w:rsidRPr="00A67F8B">
            <w:t xml:space="preserve">Analysis of </w:t>
          </w:r>
          <w:r w:rsidR="00462149" w:rsidRPr="00A67F8B">
            <w:t>the individual</w:t>
          </w:r>
          <w:r w:rsidR="00531686" w:rsidRPr="00A67F8B">
            <w:t xml:space="preserve"> June SPV</w:t>
          </w:r>
          <w:r w:rsidR="00462149" w:rsidRPr="00A67F8B">
            <w:t>s</w:t>
          </w:r>
          <w:r w:rsidR="00531686" w:rsidRPr="00A67F8B">
            <w:t xml:space="preserve"> is set out in section </w:t>
          </w:r>
          <w:r w:rsidR="00531686" w:rsidRPr="00A67F8B">
            <w:fldChar w:fldCharType="begin"/>
          </w:r>
          <w:r w:rsidR="00531686" w:rsidRPr="00A67F8B">
            <w:instrText xml:space="preserve"> REF _Ref457987483 \r \h </w:instrText>
          </w:r>
          <w:r w:rsidR="00462149" w:rsidRPr="00A67F8B">
            <w:instrText xml:space="preserve"> \* MERGEFORMAT </w:instrText>
          </w:r>
          <w:r w:rsidR="00531686" w:rsidRPr="00A67F8B">
            <w:fldChar w:fldCharType="separate"/>
          </w:r>
          <w:r w:rsidR="003F58C8">
            <w:t>3</w:t>
          </w:r>
          <w:r w:rsidR="00531686" w:rsidRPr="00A67F8B">
            <w:fldChar w:fldCharType="end"/>
          </w:r>
          <w:r w:rsidR="00531686" w:rsidRPr="00A67F8B">
            <w:t>.</w:t>
          </w:r>
          <w:bookmarkStart w:id="18" w:name="_Ref459032640"/>
        </w:p>
        <w:p w:rsidR="00905BED" w:rsidRDefault="00905BED" w:rsidP="00AE577E">
          <w:pPr>
            <w:pStyle w:val="Heading2"/>
          </w:pPr>
          <w:bookmarkStart w:id="19" w:name="_Toc460417310"/>
          <w:r>
            <w:t>Supply factors</w:t>
          </w:r>
          <w:bookmarkEnd w:id="18"/>
          <w:bookmarkEnd w:id="19"/>
        </w:p>
        <w:p w:rsidR="00147796" w:rsidRDefault="00147796" w:rsidP="00147796">
          <w:r>
            <w:t>Historically, gas from the Moomba production facility (in the Cooper basin), the Victorian gas fields (the Otway, Bass, and Gippsland basins) and storage facilities has supplied demand located south of Moomba.</w:t>
          </w:r>
          <w:r>
            <w:rPr>
              <w:rStyle w:val="FootnoteReference"/>
            </w:rPr>
            <w:footnoteReference w:id="8"/>
          </w:r>
        </w:p>
        <w:p w:rsidR="00147796" w:rsidRDefault="00147796" w:rsidP="00147796">
          <w:r>
            <w:t>Gas from the Roma production fields (the Surat and Bowen basins, north of Moomba) has predominately supplied demand in Queensland, in particular Mt Isa, Gladstone and Brisbane.</w:t>
          </w:r>
        </w:p>
        <w:p w:rsidR="00147796" w:rsidRDefault="00147796" w:rsidP="00147796">
          <w:r>
            <w:t xml:space="preserve">The gas basins across the east coast are illustrated in </w:t>
          </w:r>
          <w:r w:rsidRPr="00192B8F">
            <w:rPr>
              <w:b/>
              <w:bCs/>
              <w:i/>
              <w:iCs/>
            </w:rPr>
            <w:fldChar w:fldCharType="begin"/>
          </w:r>
          <w:r w:rsidRPr="00192B8F">
            <w:instrText xml:space="preserve"> REF _Ref450555829 \h </w:instrText>
          </w:r>
          <w:r>
            <w:instrText xml:space="preserve"> \* MERGEFORMAT </w:instrText>
          </w:r>
          <w:r w:rsidRPr="00192B8F">
            <w:rPr>
              <w:b/>
              <w:bCs/>
              <w:i/>
              <w:iCs/>
            </w:rPr>
          </w:r>
          <w:r w:rsidRPr="00192B8F">
            <w:rPr>
              <w:b/>
              <w:bCs/>
              <w:i/>
              <w:iCs/>
            </w:rPr>
            <w:fldChar w:fldCharType="separate"/>
          </w:r>
          <w:r w:rsidR="003F58C8">
            <w:t>Figure 1</w:t>
          </w:r>
          <w:r w:rsidRPr="00192B8F">
            <w:rPr>
              <w:b/>
              <w:bCs/>
              <w:i/>
              <w:iCs/>
            </w:rPr>
            <w:fldChar w:fldCharType="end"/>
          </w:r>
          <w:r>
            <w:t>.</w:t>
          </w:r>
        </w:p>
        <w:p w:rsidR="00147796" w:rsidRPr="00E34601" w:rsidRDefault="00147796" w:rsidP="00147796">
          <w:pPr>
            <w:pStyle w:val="Heading6notnumbered"/>
          </w:pPr>
          <w:r>
            <w:t xml:space="preserve">Victorian gas fields </w:t>
          </w:r>
        </w:p>
        <w:p w:rsidR="00147796" w:rsidRDefault="00147796" w:rsidP="00147796">
          <w:r>
            <w:t>There are a number of important sources of supply located in Victori</w:t>
          </w:r>
          <w:r w:rsidRPr="009453D8">
            <w:t xml:space="preserve">a. </w:t>
          </w:r>
          <w:r w:rsidRPr="009453D8">
            <w:rPr>
              <w:b/>
            </w:rPr>
            <w:fldChar w:fldCharType="begin"/>
          </w:r>
          <w:r w:rsidRPr="009453D8">
            <w:instrText xml:space="preserve"> REF _Ref459190600 \h  \* MERGEFORMAT </w:instrText>
          </w:r>
          <w:r w:rsidRPr="009453D8">
            <w:rPr>
              <w:b/>
            </w:rPr>
          </w:r>
          <w:r w:rsidRPr="009453D8">
            <w:rPr>
              <w:b/>
            </w:rPr>
            <w:fldChar w:fldCharType="separate"/>
          </w:r>
          <w:r w:rsidR="003F58C8">
            <w:t>Table 2</w:t>
          </w:r>
          <w:r w:rsidRPr="009453D8">
            <w:rPr>
              <w:b/>
            </w:rPr>
            <w:fldChar w:fldCharType="end"/>
          </w:r>
          <w:r>
            <w:t xml:space="preserve"> sets out some of the key Victorian supply sources and the quantities of gas delivered across winter 2016 and 2015.</w:t>
          </w:r>
        </w:p>
        <w:p w:rsidR="00147796" w:rsidRDefault="00147796" w:rsidP="00147796">
          <w:r w:rsidRPr="007976ED">
            <w:t>Longford</w:t>
          </w:r>
          <w:r>
            <w:t xml:space="preserve"> is the largest supplier of gas in Victoria. Longford has been operating at nearly 100 per cent of its capacity for most of winter 2016. For the same period in 2015 Longford was operating at over 96 per cent.</w:t>
          </w:r>
          <w:r>
            <w:rPr>
              <w:rStyle w:val="FootnoteReference"/>
            </w:rPr>
            <w:footnoteReference w:id="9"/>
          </w:r>
        </w:p>
        <w:p w:rsidR="00147796" w:rsidRDefault="00147796" w:rsidP="00147796">
          <w:r>
            <w:t>Participants used the Iona underground storage facility to provide supply throughout June resulting in average deliveries about 60 per cent higher than the previous year.</w:t>
          </w:r>
          <w:r>
            <w:rPr>
              <w:rStyle w:val="FootnoteReference"/>
            </w:rPr>
            <w:footnoteReference w:id="10"/>
          </w:r>
        </w:p>
        <w:p w:rsidR="00147796" w:rsidRDefault="00147796" w:rsidP="00147796">
          <w:r>
            <w:t>The high use of Iona throughout June limited its ability to sustain the same levels of supply throughout July. This may have contributed to the higher prices in July. Our July report will examine this in more detail.</w:t>
          </w:r>
        </w:p>
        <w:p w:rsidR="00147796" w:rsidRDefault="00147796" w:rsidP="00147796">
          <w:r>
            <w:t>Other important sources of supply in Victoria include the Otway and Minerva gas plants.</w:t>
          </w:r>
        </w:p>
        <w:p w:rsidR="008D06FE" w:rsidRDefault="00147796" w:rsidP="00147796">
          <w:r>
            <w:t>The Otway gas plant was operating at reduced capacity. It provided an average of around 93 TJ a day this winter, compared to an average of 105 TJ for the same period in 2015.</w:t>
          </w:r>
        </w:p>
        <w:p w:rsidR="00147796" w:rsidRPr="00147796" w:rsidRDefault="00147796" w:rsidP="00147796">
          <w:r>
            <w:lastRenderedPageBreak/>
            <w:t>The Minerva gas plant also supplied less gas this winter, with an average daily delivery of around 54 TJ, compared to an average of around 70 TJ for the same period last year.</w:t>
          </w:r>
        </w:p>
        <w:p w:rsidR="00147796" w:rsidRDefault="00147796" w:rsidP="00147796">
          <w:pPr>
            <w:pStyle w:val="Heading6notnumbered"/>
          </w:pPr>
          <w:r>
            <w:t>Victorian gas transmission</w:t>
          </w:r>
        </w:p>
        <w:p w:rsidR="00147796" w:rsidRPr="00A67F8B" w:rsidRDefault="00147796" w:rsidP="00147796">
          <w:pPr>
            <w:pStyle w:val="Heading6notnumbered"/>
            <w:rPr>
              <w:b w:val="0"/>
              <w:i w:val="0"/>
              <w:iCs w:val="0"/>
              <w:color w:val="170017" w:themeColor="accent1" w:themeShade="7F"/>
            </w:rPr>
          </w:pPr>
          <w:r>
            <w:rPr>
              <w:b w:val="0"/>
              <w:i w:val="0"/>
              <w:iCs w:val="0"/>
              <w:color w:val="170017" w:themeColor="accent1" w:themeShade="7F"/>
            </w:rPr>
            <w:t xml:space="preserve">Through its planning and reporting role, </w:t>
          </w:r>
          <w:r w:rsidRPr="00A67F8B">
            <w:rPr>
              <w:b w:val="0"/>
              <w:i w:val="0"/>
              <w:iCs w:val="0"/>
              <w:color w:val="170017" w:themeColor="accent1" w:themeShade="7F"/>
            </w:rPr>
            <w:t>AEMO</w:t>
          </w:r>
          <w:r>
            <w:rPr>
              <w:b w:val="0"/>
              <w:i w:val="0"/>
              <w:iCs w:val="0"/>
              <w:color w:val="170017" w:themeColor="accent1" w:themeShade="7F"/>
            </w:rPr>
            <w:t xml:space="preserve"> noted that a</w:t>
          </w:r>
          <w:r w:rsidRPr="00A67F8B">
            <w:rPr>
              <w:b w:val="0"/>
              <w:i w:val="0"/>
              <w:iCs w:val="0"/>
              <w:color w:val="170017" w:themeColor="accent1" w:themeShade="7F"/>
            </w:rPr>
            <w:t xml:space="preserve"> limitation in the South West Pipeline</w:t>
          </w:r>
          <w:r>
            <w:rPr>
              <w:b w:val="0"/>
              <w:i w:val="0"/>
              <w:iCs w:val="0"/>
              <w:color w:val="170017" w:themeColor="accent1" w:themeShade="7F"/>
            </w:rPr>
            <w:t xml:space="preserve">’s </w:t>
          </w:r>
          <w:r>
            <w:rPr>
              <w:i w:val="0"/>
              <w:iCs w:val="0"/>
              <w:color w:val="170017" w:themeColor="accent1" w:themeShade="7F"/>
            </w:rPr>
            <w:t>(SWP)</w:t>
          </w:r>
          <w:r w:rsidRPr="00A67F8B">
            <w:rPr>
              <w:b w:val="0"/>
              <w:i w:val="0"/>
              <w:iCs w:val="0"/>
              <w:color w:val="170017" w:themeColor="accent1" w:themeShade="7F"/>
            </w:rPr>
            <w:t xml:space="preserve"> capacity from Melbourne to Port Campbell </w:t>
          </w:r>
          <w:r>
            <w:rPr>
              <w:b w:val="0"/>
              <w:i w:val="0"/>
              <w:iCs w:val="0"/>
              <w:color w:val="170017" w:themeColor="accent1" w:themeShade="7F"/>
            </w:rPr>
            <w:t>may</w:t>
          </w:r>
          <w:r w:rsidRPr="00A67F8B">
            <w:rPr>
              <w:b w:val="0"/>
              <w:i w:val="0"/>
              <w:iCs w:val="0"/>
              <w:color w:val="170017" w:themeColor="accent1" w:themeShade="7F"/>
            </w:rPr>
            <w:t xml:space="preserve"> lim</w:t>
          </w:r>
          <w:r>
            <w:rPr>
              <w:b w:val="0"/>
              <w:i w:val="0"/>
              <w:iCs w:val="0"/>
              <w:color w:val="170017" w:themeColor="accent1" w:themeShade="7F"/>
            </w:rPr>
            <w:t xml:space="preserve">it flows to South Australia via SEAGas </w:t>
          </w:r>
          <w:r w:rsidRPr="00A67F8B">
            <w:rPr>
              <w:b w:val="0"/>
              <w:i w:val="0"/>
              <w:iCs w:val="0"/>
              <w:color w:val="170017" w:themeColor="accent1" w:themeShade="7F"/>
            </w:rPr>
            <w:t>and</w:t>
          </w:r>
          <w:r>
            <w:rPr>
              <w:b w:val="0"/>
              <w:i w:val="0"/>
              <w:iCs w:val="0"/>
              <w:color w:val="170017" w:themeColor="accent1" w:themeShade="7F"/>
            </w:rPr>
            <w:t xml:space="preserve"> could also</w:t>
          </w:r>
          <w:r w:rsidRPr="00A67F8B">
            <w:rPr>
              <w:b w:val="0"/>
              <w:i w:val="0"/>
              <w:iCs w:val="0"/>
              <w:color w:val="170017" w:themeColor="accent1" w:themeShade="7F"/>
            </w:rPr>
            <w:t xml:space="preserve"> impact refilling </w:t>
          </w:r>
          <w:r>
            <w:rPr>
              <w:b w:val="0"/>
              <w:i w:val="0"/>
              <w:iCs w:val="0"/>
              <w:color w:val="170017" w:themeColor="accent1" w:themeShade="7F"/>
            </w:rPr>
            <w:t>Iona</w:t>
          </w:r>
          <w:r w:rsidRPr="00A67F8B">
            <w:rPr>
              <w:b w:val="0"/>
              <w:i w:val="0"/>
              <w:iCs w:val="0"/>
              <w:color w:val="170017" w:themeColor="accent1" w:themeShade="7F"/>
            </w:rPr>
            <w:t>.</w:t>
          </w:r>
          <w:r>
            <w:rPr>
              <w:rStyle w:val="FootnoteReference"/>
              <w:b w:val="0"/>
              <w:i w:val="0"/>
              <w:iCs w:val="0"/>
              <w:color w:val="170017" w:themeColor="accent1" w:themeShade="7F"/>
            </w:rPr>
            <w:footnoteReference w:id="11"/>
          </w:r>
          <w:r>
            <w:rPr>
              <w:b w:val="0"/>
              <w:i w:val="0"/>
              <w:iCs w:val="0"/>
              <w:color w:val="170017" w:themeColor="accent1" w:themeShade="7F"/>
            </w:rPr>
            <w:t xml:space="preserve"> We are clarifying if, and to what extent, transport capacity on the SWP impacted the amount of gas available at Iona over this winter compared to individual participants’ decision making.</w:t>
          </w:r>
        </w:p>
        <w:p w:rsidR="00147796" w:rsidRPr="00192B8F" w:rsidRDefault="00147796" w:rsidP="00147796">
          <w:pPr>
            <w:pStyle w:val="Caption"/>
          </w:pPr>
          <w:bookmarkStart w:id="20" w:name="_Ref459190600"/>
          <w:r>
            <w:t>Table </w:t>
          </w:r>
          <w:r w:rsidR="00FF3F63">
            <w:fldChar w:fldCharType="begin"/>
          </w:r>
          <w:r w:rsidR="00FF3F63">
            <w:instrText xml:space="preserve"> SEQ Table \* ARABIC </w:instrText>
          </w:r>
          <w:r w:rsidR="00FF3F63">
            <w:fldChar w:fldCharType="separate"/>
          </w:r>
          <w:r w:rsidR="003F58C8">
            <w:rPr>
              <w:noProof/>
            </w:rPr>
            <w:t>2</w:t>
          </w:r>
          <w:r w:rsidR="00FF3F63">
            <w:rPr>
              <w:noProof/>
            </w:rPr>
            <w:fldChar w:fldCharType="end"/>
          </w:r>
          <w:bookmarkEnd w:id="20"/>
          <w:r>
            <w:rPr>
              <w:noProof/>
            </w:rPr>
            <w:t xml:space="preserve">: Key Victorian supply sources–winter 2015 vs 2016* </w:t>
          </w:r>
        </w:p>
        <w:tbl>
          <w:tblPr>
            <w:tblStyle w:val="AERsummarytable"/>
            <w:tblW w:w="5000" w:type="pct"/>
            <w:tblLook w:val="04A0" w:firstRow="1" w:lastRow="0" w:firstColumn="1" w:lastColumn="0" w:noHBand="0" w:noVBand="1"/>
          </w:tblPr>
          <w:tblGrid>
            <w:gridCol w:w="1449"/>
            <w:gridCol w:w="1448"/>
            <w:gridCol w:w="1448"/>
            <w:gridCol w:w="1450"/>
            <w:gridCol w:w="1450"/>
            <w:gridCol w:w="1448"/>
          </w:tblGrid>
          <w:tr w:rsidR="00147796" w:rsidTr="00BC5516">
            <w:trPr>
              <w:cnfStyle w:val="100000000000" w:firstRow="1" w:lastRow="0" w:firstColumn="0" w:lastColumn="0" w:oddVBand="0" w:evenVBand="0" w:oddHBand="0" w:evenHBand="0" w:firstRowFirstColumn="0" w:firstRowLastColumn="0" w:lastRowFirstColumn="0" w:lastRowLastColumn="0"/>
            </w:trPr>
            <w:tc>
              <w:tcPr>
                <w:tcW w:w="833" w:type="pct"/>
                <w:vMerge w:val="restart"/>
                <w:vAlign w:val="center"/>
              </w:tcPr>
              <w:p w:rsidR="00147796" w:rsidRDefault="00147796" w:rsidP="00BC5516">
                <w:pPr>
                  <w:pStyle w:val="tabletext0"/>
                </w:pPr>
                <w:r>
                  <w:t>Source</w:t>
                </w:r>
              </w:p>
            </w:tc>
            <w:tc>
              <w:tcPr>
                <w:tcW w:w="833" w:type="pct"/>
                <w:vMerge w:val="restart"/>
                <w:vAlign w:val="center"/>
              </w:tcPr>
              <w:p w:rsidR="00147796" w:rsidRDefault="00147796" w:rsidP="00BC5516">
                <w:pPr>
                  <w:pStyle w:val="tabletext0"/>
                </w:pPr>
                <w:r>
                  <w:t>Measure</w:t>
                </w:r>
              </w:p>
            </w:tc>
            <w:tc>
              <w:tcPr>
                <w:tcW w:w="1667" w:type="pct"/>
                <w:gridSpan w:val="2"/>
                <w:vAlign w:val="center"/>
              </w:tcPr>
              <w:p w:rsidR="00147796" w:rsidRDefault="00147796" w:rsidP="00BC5516">
                <w:pPr>
                  <w:pStyle w:val="tabletext0"/>
                  <w:jc w:val="center"/>
                  <w:rPr>
                    <w:b w:val="0"/>
                  </w:rPr>
                </w:pPr>
                <w:r>
                  <w:t>2016</w:t>
                </w:r>
              </w:p>
            </w:tc>
            <w:tc>
              <w:tcPr>
                <w:tcW w:w="1667" w:type="pct"/>
                <w:gridSpan w:val="2"/>
                <w:vAlign w:val="center"/>
              </w:tcPr>
              <w:p w:rsidR="00147796" w:rsidRDefault="00147796" w:rsidP="00BC5516">
                <w:pPr>
                  <w:pStyle w:val="tabletext0"/>
                  <w:jc w:val="center"/>
                  <w:rPr>
                    <w:b w:val="0"/>
                  </w:rPr>
                </w:pPr>
                <w:r>
                  <w:t>2015</w:t>
                </w:r>
              </w:p>
            </w:tc>
          </w:tr>
          <w:tr w:rsidR="00147796" w:rsidTr="00BC5516">
            <w:trPr>
              <w:cnfStyle w:val="000000100000" w:firstRow="0" w:lastRow="0" w:firstColumn="0" w:lastColumn="0" w:oddVBand="0" w:evenVBand="0" w:oddHBand="1" w:evenHBand="0" w:firstRowFirstColumn="0" w:firstRowLastColumn="0" w:lastRowFirstColumn="0" w:lastRowLastColumn="0"/>
            </w:trPr>
            <w:tc>
              <w:tcPr>
                <w:tcW w:w="833" w:type="pct"/>
                <w:vMerge/>
                <w:vAlign w:val="center"/>
              </w:tcPr>
              <w:p w:rsidR="00147796" w:rsidRDefault="00147796" w:rsidP="00BC5516">
                <w:pPr>
                  <w:pStyle w:val="tabletext0"/>
                  <w:rPr>
                    <w:b/>
                  </w:rPr>
                </w:pPr>
              </w:p>
            </w:tc>
            <w:tc>
              <w:tcPr>
                <w:tcW w:w="833" w:type="pct"/>
                <w:vMerge/>
                <w:vAlign w:val="center"/>
              </w:tcPr>
              <w:p w:rsidR="00147796" w:rsidRDefault="00147796" w:rsidP="00BC5516">
                <w:pPr>
                  <w:pStyle w:val="tabletext0"/>
                  <w:rPr>
                    <w:b/>
                  </w:rPr>
                </w:pPr>
              </w:p>
            </w:tc>
            <w:tc>
              <w:tcPr>
                <w:tcW w:w="833" w:type="pct"/>
                <w:shd w:val="clear" w:color="auto" w:fill="076A92" w:themeFill="text1"/>
                <w:vAlign w:val="center"/>
              </w:tcPr>
              <w:p w:rsidR="00147796" w:rsidRPr="00192B8F" w:rsidRDefault="00147796" w:rsidP="00BC5516">
                <w:pPr>
                  <w:pStyle w:val="tabletext0"/>
                  <w:jc w:val="center"/>
                  <w:rPr>
                    <w:b/>
                    <w:color w:val="FFFFFF" w:themeColor="background1"/>
                  </w:rPr>
                </w:pPr>
                <w:r w:rsidRPr="00192B8F">
                  <w:rPr>
                    <w:b/>
                    <w:color w:val="FFFFFF" w:themeColor="background1"/>
                  </w:rPr>
                  <w:t>June</w:t>
                </w:r>
              </w:p>
            </w:tc>
            <w:tc>
              <w:tcPr>
                <w:tcW w:w="834" w:type="pct"/>
                <w:shd w:val="clear" w:color="auto" w:fill="076A92" w:themeFill="text1"/>
                <w:vAlign w:val="center"/>
              </w:tcPr>
              <w:p w:rsidR="00147796" w:rsidRPr="00192B8F" w:rsidRDefault="00147796" w:rsidP="00BC5516">
                <w:pPr>
                  <w:pStyle w:val="tabletext0"/>
                  <w:jc w:val="center"/>
                  <w:rPr>
                    <w:b/>
                    <w:color w:val="FFFFFF" w:themeColor="background1"/>
                  </w:rPr>
                </w:pPr>
                <w:r w:rsidRPr="00192B8F">
                  <w:rPr>
                    <w:b/>
                    <w:color w:val="FFFFFF" w:themeColor="background1"/>
                  </w:rPr>
                  <w:t>July</w:t>
                </w:r>
              </w:p>
            </w:tc>
            <w:tc>
              <w:tcPr>
                <w:tcW w:w="834" w:type="pct"/>
                <w:shd w:val="clear" w:color="auto" w:fill="076A92" w:themeFill="text1"/>
                <w:vAlign w:val="center"/>
              </w:tcPr>
              <w:p w:rsidR="00147796" w:rsidRPr="00192B8F" w:rsidRDefault="00147796" w:rsidP="00BC5516">
                <w:pPr>
                  <w:pStyle w:val="tabletext0"/>
                  <w:jc w:val="center"/>
                  <w:rPr>
                    <w:b/>
                    <w:color w:val="FFFFFF" w:themeColor="background1"/>
                  </w:rPr>
                </w:pPr>
                <w:r w:rsidRPr="00192B8F">
                  <w:rPr>
                    <w:b/>
                    <w:color w:val="FFFFFF" w:themeColor="background1"/>
                  </w:rPr>
                  <w:t>June</w:t>
                </w:r>
              </w:p>
            </w:tc>
            <w:tc>
              <w:tcPr>
                <w:tcW w:w="833" w:type="pct"/>
                <w:shd w:val="clear" w:color="auto" w:fill="076A92" w:themeFill="text1"/>
                <w:vAlign w:val="center"/>
              </w:tcPr>
              <w:p w:rsidR="00147796" w:rsidRPr="00192B8F" w:rsidRDefault="00147796" w:rsidP="00BC5516">
                <w:pPr>
                  <w:pStyle w:val="tabletext0"/>
                  <w:jc w:val="center"/>
                  <w:rPr>
                    <w:b/>
                    <w:color w:val="FFFFFF" w:themeColor="background1"/>
                  </w:rPr>
                </w:pPr>
                <w:r w:rsidRPr="00192B8F">
                  <w:rPr>
                    <w:b/>
                    <w:color w:val="FFFFFF" w:themeColor="background1"/>
                  </w:rPr>
                  <w:t>July</w:t>
                </w:r>
              </w:p>
            </w:tc>
          </w:tr>
          <w:tr w:rsidR="00147796" w:rsidTr="00BC5516">
            <w:trPr>
              <w:cnfStyle w:val="000000010000" w:firstRow="0" w:lastRow="0" w:firstColumn="0" w:lastColumn="0" w:oddVBand="0" w:evenVBand="0" w:oddHBand="0" w:evenHBand="1" w:firstRowFirstColumn="0" w:firstRowLastColumn="0" w:lastRowFirstColumn="0" w:lastRowLastColumn="0"/>
            </w:trPr>
            <w:tc>
              <w:tcPr>
                <w:tcW w:w="833" w:type="pct"/>
              </w:tcPr>
              <w:p w:rsidR="00147796" w:rsidRPr="001943A5" w:rsidRDefault="00147796" w:rsidP="00BC5516">
                <w:pPr>
                  <w:pStyle w:val="tabletext0"/>
                  <w:rPr>
                    <w:b/>
                  </w:rPr>
                </w:pPr>
                <w:r w:rsidRPr="001943A5">
                  <w:rPr>
                    <w:b/>
                  </w:rPr>
                  <w:t>Longford</w:t>
                </w:r>
              </w:p>
            </w:tc>
            <w:tc>
              <w:tcPr>
                <w:tcW w:w="833" w:type="pct"/>
              </w:tcPr>
              <w:p w:rsidR="00147796" w:rsidRPr="001943A5" w:rsidRDefault="00147796" w:rsidP="00BC5516">
                <w:pPr>
                  <w:pStyle w:val="tabletext0"/>
                </w:pPr>
                <w:r w:rsidRPr="001943A5">
                  <w:t>Daily average</w:t>
                </w:r>
              </w:p>
            </w:tc>
            <w:tc>
              <w:tcPr>
                <w:tcW w:w="833" w:type="pct"/>
              </w:tcPr>
              <w:p w:rsidR="00147796" w:rsidRPr="00C7298B" w:rsidRDefault="00147796" w:rsidP="00BC5516">
                <w:pPr>
                  <w:pStyle w:val="tabletext0"/>
                  <w:jc w:val="right"/>
                </w:pPr>
                <w:r>
                  <w:t>1,024</w:t>
                </w:r>
              </w:p>
            </w:tc>
            <w:tc>
              <w:tcPr>
                <w:tcW w:w="834" w:type="pct"/>
              </w:tcPr>
              <w:p w:rsidR="00147796" w:rsidRPr="00C7298B" w:rsidRDefault="00147796" w:rsidP="00BC5516">
                <w:pPr>
                  <w:pStyle w:val="tabletext0"/>
                  <w:jc w:val="right"/>
                </w:pPr>
                <w:r w:rsidRPr="00C7298B">
                  <w:t>1</w:t>
                </w:r>
                <w:r>
                  <w:t>,</w:t>
                </w:r>
                <w:r w:rsidRPr="00C7298B">
                  <w:t>02</w:t>
                </w:r>
                <w:r>
                  <w:t>2</w:t>
                </w:r>
              </w:p>
            </w:tc>
            <w:tc>
              <w:tcPr>
                <w:tcW w:w="834" w:type="pct"/>
              </w:tcPr>
              <w:p w:rsidR="00147796" w:rsidRPr="00C7298B" w:rsidRDefault="00147796" w:rsidP="00BC5516">
                <w:pPr>
                  <w:pStyle w:val="tabletext0"/>
                  <w:jc w:val="right"/>
                </w:pPr>
                <w:r>
                  <w:t>957</w:t>
                </w:r>
              </w:p>
            </w:tc>
            <w:tc>
              <w:tcPr>
                <w:tcW w:w="833" w:type="pct"/>
              </w:tcPr>
              <w:p w:rsidR="00147796" w:rsidRPr="00C7298B" w:rsidRDefault="00147796" w:rsidP="00BC5516">
                <w:pPr>
                  <w:pStyle w:val="tabletext0"/>
                  <w:jc w:val="right"/>
                </w:pPr>
                <w:r>
                  <w:t>993</w:t>
                </w:r>
              </w:p>
            </w:tc>
          </w:tr>
          <w:tr w:rsidR="00147796" w:rsidTr="00BC5516">
            <w:trPr>
              <w:cnfStyle w:val="000000100000" w:firstRow="0" w:lastRow="0" w:firstColumn="0" w:lastColumn="0" w:oddVBand="0" w:evenVBand="0" w:oddHBand="1" w:evenHBand="0" w:firstRowFirstColumn="0" w:firstRowLastColumn="0" w:lastRowFirstColumn="0" w:lastRowLastColumn="0"/>
            </w:trPr>
            <w:tc>
              <w:tcPr>
                <w:tcW w:w="833" w:type="pct"/>
              </w:tcPr>
              <w:p w:rsidR="00147796" w:rsidRPr="001943A5" w:rsidRDefault="00147796" w:rsidP="00BC5516">
                <w:pPr>
                  <w:pStyle w:val="tabletext0"/>
                  <w:rPr>
                    <w:b/>
                  </w:rPr>
                </w:pPr>
              </w:p>
            </w:tc>
            <w:tc>
              <w:tcPr>
                <w:tcW w:w="833" w:type="pct"/>
              </w:tcPr>
              <w:p w:rsidR="00147796" w:rsidRPr="001943A5" w:rsidRDefault="00147796" w:rsidP="00BC5516">
                <w:pPr>
                  <w:pStyle w:val="tabletext0"/>
                </w:pPr>
                <w:r w:rsidRPr="001943A5">
                  <w:t>Maximum</w:t>
                </w:r>
              </w:p>
            </w:tc>
            <w:tc>
              <w:tcPr>
                <w:tcW w:w="833" w:type="pct"/>
              </w:tcPr>
              <w:p w:rsidR="00147796" w:rsidRPr="00C7298B" w:rsidRDefault="00147796" w:rsidP="00BC5516">
                <w:pPr>
                  <w:pStyle w:val="tabletext0"/>
                  <w:jc w:val="right"/>
                </w:pPr>
                <w:r w:rsidRPr="00C7298B">
                  <w:t>1</w:t>
                </w:r>
                <w:r>
                  <w:t>,</w:t>
                </w:r>
                <w:r w:rsidRPr="00C7298B">
                  <w:t>059</w:t>
                </w:r>
              </w:p>
            </w:tc>
            <w:tc>
              <w:tcPr>
                <w:tcW w:w="834" w:type="pct"/>
              </w:tcPr>
              <w:p w:rsidR="00147796" w:rsidRPr="00C7298B" w:rsidRDefault="00147796" w:rsidP="00BC5516">
                <w:pPr>
                  <w:pStyle w:val="tabletext0"/>
                  <w:jc w:val="right"/>
                </w:pPr>
                <w:r w:rsidRPr="00C7298B">
                  <w:t>1</w:t>
                </w:r>
                <w:r>
                  <w:t>,</w:t>
                </w:r>
                <w:r w:rsidRPr="00C7298B">
                  <w:t>056</w:t>
                </w:r>
              </w:p>
            </w:tc>
            <w:tc>
              <w:tcPr>
                <w:tcW w:w="834" w:type="pct"/>
              </w:tcPr>
              <w:p w:rsidR="00147796" w:rsidRPr="00C7298B" w:rsidRDefault="00147796" w:rsidP="00BC5516">
                <w:pPr>
                  <w:pStyle w:val="tabletext0"/>
                  <w:jc w:val="right"/>
                </w:pPr>
                <w:r>
                  <w:t>1,036</w:t>
                </w:r>
              </w:p>
            </w:tc>
            <w:tc>
              <w:tcPr>
                <w:tcW w:w="833" w:type="pct"/>
              </w:tcPr>
              <w:p w:rsidR="00147796" w:rsidRPr="00C7298B" w:rsidRDefault="00147796" w:rsidP="00BC5516">
                <w:pPr>
                  <w:pStyle w:val="tabletext0"/>
                  <w:jc w:val="right"/>
                </w:pPr>
                <w:r>
                  <w:t>1,043</w:t>
                </w:r>
              </w:p>
            </w:tc>
          </w:tr>
          <w:tr w:rsidR="00147796" w:rsidTr="00BC5516">
            <w:trPr>
              <w:cnfStyle w:val="000000010000" w:firstRow="0" w:lastRow="0" w:firstColumn="0" w:lastColumn="0" w:oddVBand="0" w:evenVBand="0" w:oddHBand="0" w:evenHBand="1" w:firstRowFirstColumn="0" w:firstRowLastColumn="0" w:lastRowFirstColumn="0" w:lastRowLastColumn="0"/>
            </w:trPr>
            <w:tc>
              <w:tcPr>
                <w:tcW w:w="833" w:type="pct"/>
              </w:tcPr>
              <w:p w:rsidR="00147796" w:rsidRPr="001943A5" w:rsidRDefault="00147796" w:rsidP="00BC5516">
                <w:pPr>
                  <w:pStyle w:val="tabletext0"/>
                  <w:rPr>
                    <w:b/>
                  </w:rPr>
                </w:pPr>
              </w:p>
            </w:tc>
            <w:tc>
              <w:tcPr>
                <w:tcW w:w="833" w:type="pct"/>
              </w:tcPr>
              <w:p w:rsidR="00147796" w:rsidRPr="001943A5" w:rsidRDefault="00147796" w:rsidP="00BC5516">
                <w:pPr>
                  <w:pStyle w:val="tabletext0"/>
                </w:pPr>
                <w:r w:rsidRPr="001943A5">
                  <w:t>Minimum</w:t>
                </w:r>
              </w:p>
            </w:tc>
            <w:tc>
              <w:tcPr>
                <w:tcW w:w="833" w:type="pct"/>
              </w:tcPr>
              <w:p w:rsidR="00147796" w:rsidRPr="00C7298B" w:rsidRDefault="00147796" w:rsidP="00BC5516">
                <w:pPr>
                  <w:pStyle w:val="tabletext0"/>
                  <w:jc w:val="right"/>
                </w:pPr>
                <w:r w:rsidRPr="00C7298B">
                  <w:t>968</w:t>
                </w:r>
              </w:p>
            </w:tc>
            <w:tc>
              <w:tcPr>
                <w:tcW w:w="834" w:type="pct"/>
              </w:tcPr>
              <w:p w:rsidR="00147796" w:rsidRPr="00C7298B" w:rsidRDefault="00147796" w:rsidP="00BC5516">
                <w:pPr>
                  <w:pStyle w:val="tabletext0"/>
                  <w:jc w:val="right"/>
                </w:pPr>
                <w:r w:rsidRPr="00C7298B">
                  <w:t>984</w:t>
                </w:r>
              </w:p>
            </w:tc>
            <w:tc>
              <w:tcPr>
                <w:tcW w:w="834" w:type="pct"/>
              </w:tcPr>
              <w:p w:rsidR="00147796" w:rsidRPr="00C7298B" w:rsidRDefault="00147796" w:rsidP="00BC5516">
                <w:pPr>
                  <w:pStyle w:val="tabletext0"/>
                  <w:jc w:val="right"/>
                </w:pPr>
                <w:r>
                  <w:t>775</w:t>
                </w:r>
              </w:p>
            </w:tc>
            <w:tc>
              <w:tcPr>
                <w:tcW w:w="833" w:type="pct"/>
              </w:tcPr>
              <w:p w:rsidR="00147796" w:rsidRPr="00C7298B" w:rsidRDefault="00147796" w:rsidP="00BC5516">
                <w:pPr>
                  <w:pStyle w:val="tabletext0"/>
                  <w:jc w:val="right"/>
                </w:pPr>
                <w:r>
                  <w:t>882</w:t>
                </w:r>
              </w:p>
            </w:tc>
          </w:tr>
          <w:tr w:rsidR="00147796" w:rsidTr="00BC5516">
            <w:trPr>
              <w:cnfStyle w:val="000000100000" w:firstRow="0" w:lastRow="0" w:firstColumn="0" w:lastColumn="0" w:oddVBand="0" w:evenVBand="0" w:oddHBand="1" w:evenHBand="0" w:firstRowFirstColumn="0" w:firstRowLastColumn="0" w:lastRowFirstColumn="0" w:lastRowLastColumn="0"/>
            </w:trPr>
            <w:tc>
              <w:tcPr>
                <w:tcW w:w="833" w:type="pct"/>
              </w:tcPr>
              <w:p w:rsidR="00147796" w:rsidRPr="001943A5" w:rsidRDefault="00147796" w:rsidP="00BC5516">
                <w:pPr>
                  <w:pStyle w:val="tabletext0"/>
                  <w:rPr>
                    <w:b/>
                  </w:rPr>
                </w:pPr>
              </w:p>
            </w:tc>
            <w:tc>
              <w:tcPr>
                <w:tcW w:w="833" w:type="pct"/>
              </w:tcPr>
              <w:p w:rsidR="00147796" w:rsidRPr="001943A5" w:rsidRDefault="00147796" w:rsidP="00BC5516">
                <w:pPr>
                  <w:pStyle w:val="tabletext0"/>
                </w:pPr>
                <w:r w:rsidRPr="001943A5">
                  <w:t>Total</w:t>
                </w:r>
              </w:p>
            </w:tc>
            <w:tc>
              <w:tcPr>
                <w:tcW w:w="833" w:type="pct"/>
              </w:tcPr>
              <w:p w:rsidR="00147796" w:rsidRPr="00C7298B" w:rsidRDefault="00147796" w:rsidP="00BC5516">
                <w:pPr>
                  <w:pStyle w:val="tabletext0"/>
                  <w:jc w:val="right"/>
                </w:pPr>
                <w:r w:rsidRPr="00C7298B">
                  <w:t>30</w:t>
                </w:r>
                <w:r>
                  <w:t>,</w:t>
                </w:r>
                <w:r w:rsidRPr="00C7298B">
                  <w:t>732</w:t>
                </w:r>
              </w:p>
            </w:tc>
            <w:tc>
              <w:tcPr>
                <w:tcW w:w="834" w:type="pct"/>
              </w:tcPr>
              <w:p w:rsidR="00147796" w:rsidRPr="00C7298B" w:rsidRDefault="00147796" w:rsidP="00BC5516">
                <w:pPr>
                  <w:pStyle w:val="tabletext0"/>
                  <w:jc w:val="right"/>
                </w:pPr>
                <w:r w:rsidRPr="00C7298B">
                  <w:t>31</w:t>
                </w:r>
                <w:r>
                  <w:t>,</w:t>
                </w:r>
                <w:r w:rsidRPr="00C7298B">
                  <w:t>673</w:t>
                </w:r>
              </w:p>
            </w:tc>
            <w:tc>
              <w:tcPr>
                <w:tcW w:w="834" w:type="pct"/>
              </w:tcPr>
              <w:p w:rsidR="00147796" w:rsidRPr="00C7298B" w:rsidRDefault="00147796" w:rsidP="00BC5516">
                <w:pPr>
                  <w:pStyle w:val="tabletext0"/>
                  <w:jc w:val="right"/>
                </w:pPr>
                <w:r>
                  <w:t>28,697</w:t>
                </w:r>
              </w:p>
            </w:tc>
            <w:tc>
              <w:tcPr>
                <w:tcW w:w="833" w:type="pct"/>
              </w:tcPr>
              <w:p w:rsidR="00147796" w:rsidRPr="00C7298B" w:rsidRDefault="00147796" w:rsidP="00BC5516">
                <w:pPr>
                  <w:pStyle w:val="tabletext0"/>
                  <w:jc w:val="right"/>
                </w:pPr>
                <w:r>
                  <w:t>30,785</w:t>
                </w:r>
              </w:p>
            </w:tc>
          </w:tr>
          <w:tr w:rsidR="00147796" w:rsidTr="00BC5516">
            <w:trPr>
              <w:cnfStyle w:val="000000010000" w:firstRow="0" w:lastRow="0" w:firstColumn="0" w:lastColumn="0" w:oddVBand="0" w:evenVBand="0" w:oddHBand="0" w:evenHBand="1" w:firstRowFirstColumn="0" w:firstRowLastColumn="0" w:lastRowFirstColumn="0" w:lastRowLastColumn="0"/>
            </w:trPr>
            <w:tc>
              <w:tcPr>
                <w:tcW w:w="833" w:type="pct"/>
              </w:tcPr>
              <w:p w:rsidR="00147796" w:rsidRPr="001943A5" w:rsidRDefault="00147796" w:rsidP="00BC5516">
                <w:pPr>
                  <w:pStyle w:val="tabletext0"/>
                  <w:rPr>
                    <w:b/>
                  </w:rPr>
                </w:pPr>
                <w:r w:rsidRPr="001943A5">
                  <w:rPr>
                    <w:b/>
                  </w:rPr>
                  <w:t>Iona</w:t>
                </w:r>
              </w:p>
            </w:tc>
            <w:tc>
              <w:tcPr>
                <w:tcW w:w="833" w:type="pct"/>
              </w:tcPr>
              <w:p w:rsidR="00147796" w:rsidRPr="001943A5" w:rsidRDefault="00147796" w:rsidP="00BC5516">
                <w:pPr>
                  <w:pStyle w:val="tabletext0"/>
                </w:pPr>
                <w:r w:rsidRPr="001943A5">
                  <w:t>Daily average</w:t>
                </w:r>
              </w:p>
            </w:tc>
            <w:tc>
              <w:tcPr>
                <w:tcW w:w="833" w:type="pct"/>
              </w:tcPr>
              <w:p w:rsidR="00147796" w:rsidRPr="00C7298B" w:rsidRDefault="00147796" w:rsidP="00BC5516">
                <w:pPr>
                  <w:pStyle w:val="tabletext0"/>
                  <w:jc w:val="right"/>
                </w:pPr>
                <w:r>
                  <w:t>221</w:t>
                </w:r>
              </w:p>
            </w:tc>
            <w:tc>
              <w:tcPr>
                <w:tcW w:w="834" w:type="pct"/>
              </w:tcPr>
              <w:p w:rsidR="00147796" w:rsidRPr="00C7298B" w:rsidRDefault="00147796" w:rsidP="00BC5516">
                <w:pPr>
                  <w:pStyle w:val="tabletext0"/>
                  <w:jc w:val="right"/>
                </w:pPr>
                <w:r>
                  <w:t>143</w:t>
                </w:r>
              </w:p>
            </w:tc>
            <w:tc>
              <w:tcPr>
                <w:tcW w:w="834" w:type="pct"/>
              </w:tcPr>
              <w:p w:rsidR="00147796" w:rsidRPr="00C7298B" w:rsidRDefault="00147796" w:rsidP="00BC5516">
                <w:pPr>
                  <w:pStyle w:val="tabletext0"/>
                  <w:jc w:val="right"/>
                </w:pPr>
                <w:r>
                  <w:t>134</w:t>
                </w:r>
              </w:p>
            </w:tc>
            <w:tc>
              <w:tcPr>
                <w:tcW w:w="833" w:type="pct"/>
              </w:tcPr>
              <w:p w:rsidR="00147796" w:rsidRPr="00C7298B" w:rsidRDefault="00147796" w:rsidP="00BC5516">
                <w:pPr>
                  <w:pStyle w:val="tabletext0"/>
                  <w:jc w:val="right"/>
                </w:pPr>
                <w:r>
                  <w:t>288</w:t>
                </w:r>
              </w:p>
            </w:tc>
          </w:tr>
          <w:tr w:rsidR="00147796" w:rsidTr="00BC5516">
            <w:trPr>
              <w:cnfStyle w:val="000000100000" w:firstRow="0" w:lastRow="0" w:firstColumn="0" w:lastColumn="0" w:oddVBand="0" w:evenVBand="0" w:oddHBand="1" w:evenHBand="0" w:firstRowFirstColumn="0" w:firstRowLastColumn="0" w:lastRowFirstColumn="0" w:lastRowLastColumn="0"/>
            </w:trPr>
            <w:tc>
              <w:tcPr>
                <w:tcW w:w="833" w:type="pct"/>
              </w:tcPr>
              <w:p w:rsidR="00147796" w:rsidRPr="001943A5" w:rsidRDefault="00147796" w:rsidP="00BC5516">
                <w:pPr>
                  <w:pStyle w:val="tabletext0"/>
                  <w:rPr>
                    <w:b/>
                  </w:rPr>
                </w:pPr>
              </w:p>
            </w:tc>
            <w:tc>
              <w:tcPr>
                <w:tcW w:w="833" w:type="pct"/>
              </w:tcPr>
              <w:p w:rsidR="00147796" w:rsidRPr="001943A5" w:rsidRDefault="00147796" w:rsidP="00BC5516">
                <w:pPr>
                  <w:pStyle w:val="tabletext0"/>
                </w:pPr>
                <w:r w:rsidRPr="001943A5">
                  <w:t>Maximum</w:t>
                </w:r>
              </w:p>
            </w:tc>
            <w:tc>
              <w:tcPr>
                <w:tcW w:w="833" w:type="pct"/>
              </w:tcPr>
              <w:p w:rsidR="00147796" w:rsidRPr="00C7298B" w:rsidRDefault="00147796" w:rsidP="00BC5516">
                <w:pPr>
                  <w:pStyle w:val="tabletext0"/>
                  <w:jc w:val="right"/>
                </w:pPr>
                <w:r>
                  <w:t>333</w:t>
                </w:r>
              </w:p>
            </w:tc>
            <w:tc>
              <w:tcPr>
                <w:tcW w:w="834" w:type="pct"/>
              </w:tcPr>
              <w:p w:rsidR="00147796" w:rsidRPr="00C7298B" w:rsidRDefault="00147796" w:rsidP="00BC5516">
                <w:pPr>
                  <w:pStyle w:val="tabletext0"/>
                  <w:jc w:val="right"/>
                </w:pPr>
                <w:r>
                  <w:t>329</w:t>
                </w:r>
              </w:p>
            </w:tc>
            <w:tc>
              <w:tcPr>
                <w:tcW w:w="834" w:type="pct"/>
              </w:tcPr>
              <w:p w:rsidR="00147796" w:rsidRPr="00C7298B" w:rsidRDefault="00147796" w:rsidP="00BC5516">
                <w:pPr>
                  <w:pStyle w:val="tabletext0"/>
                  <w:jc w:val="right"/>
                </w:pPr>
                <w:r>
                  <w:t>355</w:t>
                </w:r>
              </w:p>
            </w:tc>
            <w:tc>
              <w:tcPr>
                <w:tcW w:w="833" w:type="pct"/>
              </w:tcPr>
              <w:p w:rsidR="00147796" w:rsidRPr="00C7298B" w:rsidRDefault="00147796" w:rsidP="00BC5516">
                <w:pPr>
                  <w:pStyle w:val="tabletext0"/>
                  <w:jc w:val="right"/>
                </w:pPr>
                <w:r>
                  <w:t>370</w:t>
                </w:r>
              </w:p>
            </w:tc>
          </w:tr>
          <w:tr w:rsidR="00147796" w:rsidTr="00BC5516">
            <w:trPr>
              <w:cnfStyle w:val="000000010000" w:firstRow="0" w:lastRow="0" w:firstColumn="0" w:lastColumn="0" w:oddVBand="0" w:evenVBand="0" w:oddHBand="0" w:evenHBand="1" w:firstRowFirstColumn="0" w:firstRowLastColumn="0" w:lastRowFirstColumn="0" w:lastRowLastColumn="0"/>
            </w:trPr>
            <w:tc>
              <w:tcPr>
                <w:tcW w:w="833" w:type="pct"/>
              </w:tcPr>
              <w:p w:rsidR="00147796" w:rsidRPr="001943A5" w:rsidRDefault="00147796" w:rsidP="00BC5516">
                <w:pPr>
                  <w:pStyle w:val="tabletext0"/>
                  <w:rPr>
                    <w:b/>
                  </w:rPr>
                </w:pPr>
              </w:p>
            </w:tc>
            <w:tc>
              <w:tcPr>
                <w:tcW w:w="833" w:type="pct"/>
              </w:tcPr>
              <w:p w:rsidR="00147796" w:rsidRPr="001943A5" w:rsidRDefault="00147796" w:rsidP="00BC5516">
                <w:pPr>
                  <w:pStyle w:val="tabletext0"/>
                </w:pPr>
                <w:r w:rsidRPr="001943A5">
                  <w:t>Minimum</w:t>
                </w:r>
              </w:p>
            </w:tc>
            <w:tc>
              <w:tcPr>
                <w:tcW w:w="833" w:type="pct"/>
              </w:tcPr>
              <w:p w:rsidR="00147796" w:rsidRPr="00C7298B" w:rsidRDefault="00147796" w:rsidP="00BC5516">
                <w:pPr>
                  <w:pStyle w:val="tabletext0"/>
                  <w:jc w:val="right"/>
                </w:pPr>
                <w:r>
                  <w:t>36</w:t>
                </w:r>
              </w:p>
            </w:tc>
            <w:tc>
              <w:tcPr>
                <w:tcW w:w="834" w:type="pct"/>
              </w:tcPr>
              <w:p w:rsidR="00147796" w:rsidRPr="00C7298B" w:rsidRDefault="00147796" w:rsidP="00BC5516">
                <w:pPr>
                  <w:pStyle w:val="tabletext0"/>
                  <w:jc w:val="right"/>
                </w:pPr>
                <w:r>
                  <w:t>-54.2</w:t>
                </w:r>
              </w:p>
            </w:tc>
            <w:tc>
              <w:tcPr>
                <w:tcW w:w="834" w:type="pct"/>
              </w:tcPr>
              <w:p w:rsidR="00147796" w:rsidRPr="00C7298B" w:rsidRDefault="00147796" w:rsidP="00BC5516">
                <w:pPr>
                  <w:pStyle w:val="tabletext0"/>
                  <w:jc w:val="right"/>
                </w:pPr>
                <w:r>
                  <w:t>24</w:t>
                </w:r>
              </w:p>
            </w:tc>
            <w:tc>
              <w:tcPr>
                <w:tcW w:w="833" w:type="pct"/>
              </w:tcPr>
              <w:p w:rsidR="00147796" w:rsidRPr="00C7298B" w:rsidRDefault="00147796" w:rsidP="00BC5516">
                <w:pPr>
                  <w:pStyle w:val="tabletext0"/>
                  <w:jc w:val="right"/>
                </w:pPr>
                <w:r>
                  <w:t>137</w:t>
                </w:r>
              </w:p>
            </w:tc>
          </w:tr>
          <w:tr w:rsidR="00147796" w:rsidTr="00BC5516">
            <w:trPr>
              <w:cnfStyle w:val="000000100000" w:firstRow="0" w:lastRow="0" w:firstColumn="0" w:lastColumn="0" w:oddVBand="0" w:evenVBand="0" w:oddHBand="1" w:evenHBand="0" w:firstRowFirstColumn="0" w:firstRowLastColumn="0" w:lastRowFirstColumn="0" w:lastRowLastColumn="0"/>
            </w:trPr>
            <w:tc>
              <w:tcPr>
                <w:tcW w:w="833" w:type="pct"/>
              </w:tcPr>
              <w:p w:rsidR="00147796" w:rsidRPr="001943A5" w:rsidRDefault="00147796" w:rsidP="00BC5516">
                <w:pPr>
                  <w:pStyle w:val="tabletext0"/>
                  <w:rPr>
                    <w:b/>
                  </w:rPr>
                </w:pPr>
              </w:p>
            </w:tc>
            <w:tc>
              <w:tcPr>
                <w:tcW w:w="833" w:type="pct"/>
              </w:tcPr>
              <w:p w:rsidR="00147796" w:rsidRPr="001943A5" w:rsidRDefault="00147796" w:rsidP="00BC5516">
                <w:pPr>
                  <w:pStyle w:val="tabletext0"/>
                </w:pPr>
                <w:r w:rsidRPr="001943A5">
                  <w:t>Total</w:t>
                </w:r>
              </w:p>
            </w:tc>
            <w:tc>
              <w:tcPr>
                <w:tcW w:w="833" w:type="pct"/>
              </w:tcPr>
              <w:p w:rsidR="00147796" w:rsidRPr="00C7298B" w:rsidRDefault="00147796" w:rsidP="00BC5516">
                <w:pPr>
                  <w:pStyle w:val="tabletext0"/>
                  <w:jc w:val="right"/>
                </w:pPr>
                <w:r>
                  <w:t>6,636</w:t>
                </w:r>
              </w:p>
            </w:tc>
            <w:tc>
              <w:tcPr>
                <w:tcW w:w="834" w:type="pct"/>
              </w:tcPr>
              <w:p w:rsidR="00147796" w:rsidRPr="00C7298B" w:rsidRDefault="00147796" w:rsidP="00BC5516">
                <w:pPr>
                  <w:pStyle w:val="tabletext0"/>
                  <w:jc w:val="right"/>
                </w:pPr>
                <w:r>
                  <w:t>4,476</w:t>
                </w:r>
              </w:p>
            </w:tc>
            <w:tc>
              <w:tcPr>
                <w:tcW w:w="834" w:type="pct"/>
              </w:tcPr>
              <w:p w:rsidR="00147796" w:rsidRPr="00C7298B" w:rsidRDefault="00147796" w:rsidP="00BC5516">
                <w:pPr>
                  <w:pStyle w:val="tabletext0"/>
                  <w:jc w:val="right"/>
                </w:pPr>
                <w:r>
                  <w:t>4,032</w:t>
                </w:r>
              </w:p>
            </w:tc>
            <w:tc>
              <w:tcPr>
                <w:tcW w:w="833" w:type="pct"/>
              </w:tcPr>
              <w:p w:rsidR="00147796" w:rsidRPr="00C7298B" w:rsidRDefault="00147796" w:rsidP="00BC5516">
                <w:pPr>
                  <w:pStyle w:val="tabletext0"/>
                  <w:jc w:val="right"/>
                </w:pPr>
                <w:r>
                  <w:t>8,913</w:t>
                </w:r>
              </w:p>
            </w:tc>
          </w:tr>
          <w:tr w:rsidR="00147796" w:rsidTr="00BC5516">
            <w:trPr>
              <w:cnfStyle w:val="000000010000" w:firstRow="0" w:lastRow="0" w:firstColumn="0" w:lastColumn="0" w:oddVBand="0" w:evenVBand="0" w:oddHBand="0" w:evenHBand="1" w:firstRowFirstColumn="0" w:firstRowLastColumn="0" w:lastRowFirstColumn="0" w:lastRowLastColumn="0"/>
            </w:trPr>
            <w:tc>
              <w:tcPr>
                <w:tcW w:w="833" w:type="pct"/>
              </w:tcPr>
              <w:p w:rsidR="00147796" w:rsidRPr="001943A5" w:rsidRDefault="00147796" w:rsidP="00BC5516">
                <w:pPr>
                  <w:pStyle w:val="tabletext0"/>
                  <w:rPr>
                    <w:b/>
                  </w:rPr>
                </w:pPr>
                <w:r w:rsidRPr="001943A5">
                  <w:rPr>
                    <w:b/>
                  </w:rPr>
                  <w:t>Otway</w:t>
                </w:r>
              </w:p>
            </w:tc>
            <w:tc>
              <w:tcPr>
                <w:tcW w:w="833" w:type="pct"/>
              </w:tcPr>
              <w:p w:rsidR="00147796" w:rsidRPr="001943A5" w:rsidRDefault="00147796" w:rsidP="00BC5516">
                <w:pPr>
                  <w:pStyle w:val="tabletext0"/>
                </w:pPr>
                <w:r w:rsidRPr="001943A5">
                  <w:t>Daily average</w:t>
                </w:r>
              </w:p>
            </w:tc>
            <w:tc>
              <w:tcPr>
                <w:tcW w:w="833" w:type="pct"/>
              </w:tcPr>
              <w:p w:rsidR="00147796" w:rsidRPr="00C7298B" w:rsidRDefault="00147796" w:rsidP="00BC5516">
                <w:pPr>
                  <w:pStyle w:val="tabletext0"/>
                  <w:jc w:val="right"/>
                </w:pPr>
                <w:r>
                  <w:t>99</w:t>
                </w:r>
              </w:p>
            </w:tc>
            <w:tc>
              <w:tcPr>
                <w:tcW w:w="834" w:type="pct"/>
              </w:tcPr>
              <w:p w:rsidR="00147796" w:rsidRPr="00C7298B" w:rsidRDefault="00147796" w:rsidP="00BC5516">
                <w:pPr>
                  <w:pStyle w:val="tabletext0"/>
                  <w:jc w:val="right"/>
                </w:pPr>
                <w:r>
                  <w:t>88</w:t>
                </w:r>
              </w:p>
            </w:tc>
            <w:tc>
              <w:tcPr>
                <w:tcW w:w="834" w:type="pct"/>
              </w:tcPr>
              <w:p w:rsidR="00147796" w:rsidRPr="00C7298B" w:rsidRDefault="00147796" w:rsidP="00BC5516">
                <w:pPr>
                  <w:pStyle w:val="tabletext0"/>
                  <w:jc w:val="right"/>
                </w:pPr>
                <w:r>
                  <w:t>110</w:t>
                </w:r>
              </w:p>
            </w:tc>
            <w:tc>
              <w:tcPr>
                <w:tcW w:w="833" w:type="pct"/>
              </w:tcPr>
              <w:p w:rsidR="00147796" w:rsidRPr="00C7298B" w:rsidRDefault="00147796" w:rsidP="00BC5516">
                <w:pPr>
                  <w:pStyle w:val="tabletext0"/>
                  <w:jc w:val="right"/>
                </w:pPr>
                <w:r>
                  <w:t>99</w:t>
                </w:r>
              </w:p>
            </w:tc>
          </w:tr>
          <w:tr w:rsidR="00147796" w:rsidTr="00BC5516">
            <w:trPr>
              <w:cnfStyle w:val="000000100000" w:firstRow="0" w:lastRow="0" w:firstColumn="0" w:lastColumn="0" w:oddVBand="0" w:evenVBand="0" w:oddHBand="1" w:evenHBand="0" w:firstRowFirstColumn="0" w:firstRowLastColumn="0" w:lastRowFirstColumn="0" w:lastRowLastColumn="0"/>
            </w:trPr>
            <w:tc>
              <w:tcPr>
                <w:tcW w:w="833" w:type="pct"/>
              </w:tcPr>
              <w:p w:rsidR="00147796" w:rsidRPr="001943A5" w:rsidRDefault="00147796" w:rsidP="00BC5516">
                <w:pPr>
                  <w:pStyle w:val="tabletext0"/>
                  <w:rPr>
                    <w:b/>
                  </w:rPr>
                </w:pPr>
              </w:p>
            </w:tc>
            <w:tc>
              <w:tcPr>
                <w:tcW w:w="833" w:type="pct"/>
              </w:tcPr>
              <w:p w:rsidR="00147796" w:rsidRPr="001943A5" w:rsidRDefault="00147796" w:rsidP="00BC5516">
                <w:pPr>
                  <w:pStyle w:val="tabletext0"/>
                </w:pPr>
                <w:r w:rsidRPr="001943A5">
                  <w:t>Maximum</w:t>
                </w:r>
              </w:p>
            </w:tc>
            <w:tc>
              <w:tcPr>
                <w:tcW w:w="833" w:type="pct"/>
              </w:tcPr>
              <w:p w:rsidR="00147796" w:rsidRPr="00C7298B" w:rsidRDefault="00147796" w:rsidP="00BC5516">
                <w:pPr>
                  <w:pStyle w:val="tabletext0"/>
                  <w:jc w:val="right"/>
                </w:pPr>
                <w:r>
                  <w:t>103</w:t>
                </w:r>
              </w:p>
            </w:tc>
            <w:tc>
              <w:tcPr>
                <w:tcW w:w="834" w:type="pct"/>
              </w:tcPr>
              <w:p w:rsidR="00147796" w:rsidRPr="00C7298B" w:rsidRDefault="00147796" w:rsidP="00BC5516">
                <w:pPr>
                  <w:pStyle w:val="tabletext0"/>
                  <w:jc w:val="right"/>
                </w:pPr>
                <w:r>
                  <w:t>106</w:t>
                </w:r>
              </w:p>
            </w:tc>
            <w:tc>
              <w:tcPr>
                <w:tcW w:w="834" w:type="pct"/>
              </w:tcPr>
              <w:p w:rsidR="00147796" w:rsidRPr="00C7298B" w:rsidRDefault="00147796" w:rsidP="00BC5516">
                <w:pPr>
                  <w:pStyle w:val="tabletext0"/>
                  <w:jc w:val="right"/>
                </w:pPr>
                <w:r>
                  <w:t>134</w:t>
                </w:r>
              </w:p>
            </w:tc>
            <w:tc>
              <w:tcPr>
                <w:tcW w:w="833" w:type="pct"/>
              </w:tcPr>
              <w:p w:rsidR="00147796" w:rsidRPr="00C7298B" w:rsidRDefault="00147796" w:rsidP="00BC5516">
                <w:pPr>
                  <w:pStyle w:val="tabletext0"/>
                  <w:jc w:val="right"/>
                </w:pPr>
                <w:r>
                  <w:t>130</w:t>
                </w:r>
              </w:p>
            </w:tc>
          </w:tr>
          <w:tr w:rsidR="00147796" w:rsidTr="00BC5516">
            <w:trPr>
              <w:cnfStyle w:val="000000010000" w:firstRow="0" w:lastRow="0" w:firstColumn="0" w:lastColumn="0" w:oddVBand="0" w:evenVBand="0" w:oddHBand="0" w:evenHBand="1" w:firstRowFirstColumn="0" w:firstRowLastColumn="0" w:lastRowFirstColumn="0" w:lastRowLastColumn="0"/>
            </w:trPr>
            <w:tc>
              <w:tcPr>
                <w:tcW w:w="833" w:type="pct"/>
              </w:tcPr>
              <w:p w:rsidR="00147796" w:rsidRPr="001943A5" w:rsidRDefault="00147796" w:rsidP="00BC5516">
                <w:pPr>
                  <w:pStyle w:val="tabletext0"/>
                  <w:rPr>
                    <w:b/>
                  </w:rPr>
                </w:pPr>
              </w:p>
            </w:tc>
            <w:tc>
              <w:tcPr>
                <w:tcW w:w="833" w:type="pct"/>
              </w:tcPr>
              <w:p w:rsidR="00147796" w:rsidRPr="001943A5" w:rsidRDefault="00147796" w:rsidP="00BC5516">
                <w:pPr>
                  <w:pStyle w:val="tabletext0"/>
                </w:pPr>
                <w:r w:rsidRPr="001943A5">
                  <w:t>Minimum</w:t>
                </w:r>
              </w:p>
            </w:tc>
            <w:tc>
              <w:tcPr>
                <w:tcW w:w="833" w:type="pct"/>
              </w:tcPr>
              <w:p w:rsidR="00147796" w:rsidRPr="00C7298B" w:rsidRDefault="00147796" w:rsidP="00BC5516">
                <w:pPr>
                  <w:pStyle w:val="tabletext0"/>
                  <w:jc w:val="right"/>
                </w:pPr>
                <w:r>
                  <w:t>72</w:t>
                </w:r>
              </w:p>
            </w:tc>
            <w:tc>
              <w:tcPr>
                <w:tcW w:w="834" w:type="pct"/>
              </w:tcPr>
              <w:p w:rsidR="00147796" w:rsidRPr="00C7298B" w:rsidRDefault="00147796" w:rsidP="00BC5516">
                <w:pPr>
                  <w:pStyle w:val="tabletext0"/>
                  <w:jc w:val="right"/>
                </w:pPr>
                <w:r>
                  <w:t>0</w:t>
                </w:r>
              </w:p>
            </w:tc>
            <w:tc>
              <w:tcPr>
                <w:tcW w:w="834" w:type="pct"/>
              </w:tcPr>
              <w:p w:rsidR="00147796" w:rsidRPr="00C7298B" w:rsidRDefault="00147796" w:rsidP="00BC5516">
                <w:pPr>
                  <w:pStyle w:val="tabletext0"/>
                  <w:jc w:val="right"/>
                </w:pPr>
                <w:r>
                  <w:t>5</w:t>
                </w:r>
              </w:p>
            </w:tc>
            <w:tc>
              <w:tcPr>
                <w:tcW w:w="833" w:type="pct"/>
              </w:tcPr>
              <w:p w:rsidR="00147796" w:rsidRPr="00C7298B" w:rsidRDefault="00147796" w:rsidP="00BC5516">
                <w:pPr>
                  <w:pStyle w:val="tabletext0"/>
                  <w:jc w:val="right"/>
                </w:pPr>
                <w:r>
                  <w:t>0</w:t>
                </w:r>
              </w:p>
            </w:tc>
          </w:tr>
          <w:tr w:rsidR="00147796" w:rsidTr="00BC5516">
            <w:trPr>
              <w:cnfStyle w:val="000000100000" w:firstRow="0" w:lastRow="0" w:firstColumn="0" w:lastColumn="0" w:oddVBand="0" w:evenVBand="0" w:oddHBand="1" w:evenHBand="0" w:firstRowFirstColumn="0" w:firstRowLastColumn="0" w:lastRowFirstColumn="0" w:lastRowLastColumn="0"/>
            </w:trPr>
            <w:tc>
              <w:tcPr>
                <w:tcW w:w="833" w:type="pct"/>
              </w:tcPr>
              <w:p w:rsidR="00147796" w:rsidRPr="001943A5" w:rsidRDefault="00147796" w:rsidP="00BC5516">
                <w:pPr>
                  <w:pStyle w:val="tabletext0"/>
                  <w:rPr>
                    <w:b/>
                  </w:rPr>
                </w:pPr>
              </w:p>
            </w:tc>
            <w:tc>
              <w:tcPr>
                <w:tcW w:w="833" w:type="pct"/>
              </w:tcPr>
              <w:p w:rsidR="00147796" w:rsidRPr="001943A5" w:rsidRDefault="00147796" w:rsidP="00BC5516">
                <w:pPr>
                  <w:pStyle w:val="tabletext0"/>
                </w:pPr>
                <w:r w:rsidRPr="001943A5">
                  <w:t>Total</w:t>
                </w:r>
              </w:p>
            </w:tc>
            <w:tc>
              <w:tcPr>
                <w:tcW w:w="833" w:type="pct"/>
              </w:tcPr>
              <w:p w:rsidR="00147796" w:rsidRPr="00C7298B" w:rsidRDefault="00147796" w:rsidP="00BC5516">
                <w:pPr>
                  <w:pStyle w:val="tabletext0"/>
                  <w:jc w:val="right"/>
                </w:pPr>
                <w:r>
                  <w:t>2,974</w:t>
                </w:r>
              </w:p>
            </w:tc>
            <w:tc>
              <w:tcPr>
                <w:tcW w:w="834" w:type="pct"/>
              </w:tcPr>
              <w:p w:rsidR="00147796" w:rsidRPr="00C7298B" w:rsidRDefault="00147796" w:rsidP="00BC5516">
                <w:pPr>
                  <w:pStyle w:val="tabletext0"/>
                  <w:jc w:val="right"/>
                </w:pPr>
                <w:r>
                  <w:t>2,725</w:t>
                </w:r>
              </w:p>
            </w:tc>
            <w:tc>
              <w:tcPr>
                <w:tcW w:w="834" w:type="pct"/>
              </w:tcPr>
              <w:p w:rsidR="00147796" w:rsidRPr="00C7298B" w:rsidRDefault="00147796" w:rsidP="00BC5516">
                <w:pPr>
                  <w:pStyle w:val="tabletext0"/>
                  <w:jc w:val="right"/>
                </w:pPr>
                <w:r>
                  <w:t>3,311</w:t>
                </w:r>
              </w:p>
            </w:tc>
            <w:tc>
              <w:tcPr>
                <w:tcW w:w="833" w:type="pct"/>
              </w:tcPr>
              <w:p w:rsidR="00147796" w:rsidRPr="00C7298B" w:rsidRDefault="00147796" w:rsidP="00BC5516">
                <w:pPr>
                  <w:pStyle w:val="tabletext0"/>
                  <w:jc w:val="right"/>
                </w:pPr>
                <w:r>
                  <w:t>3,079</w:t>
                </w:r>
              </w:p>
            </w:tc>
          </w:tr>
          <w:tr w:rsidR="00147796" w:rsidTr="00BC5516">
            <w:trPr>
              <w:cnfStyle w:val="000000010000" w:firstRow="0" w:lastRow="0" w:firstColumn="0" w:lastColumn="0" w:oddVBand="0" w:evenVBand="0" w:oddHBand="0" w:evenHBand="1" w:firstRowFirstColumn="0" w:firstRowLastColumn="0" w:lastRowFirstColumn="0" w:lastRowLastColumn="0"/>
            </w:trPr>
            <w:tc>
              <w:tcPr>
                <w:tcW w:w="833" w:type="pct"/>
              </w:tcPr>
              <w:p w:rsidR="00147796" w:rsidRPr="001943A5" w:rsidRDefault="00147796" w:rsidP="00BC5516">
                <w:pPr>
                  <w:pStyle w:val="tabletext0"/>
                  <w:rPr>
                    <w:b/>
                  </w:rPr>
                </w:pPr>
                <w:r w:rsidRPr="001943A5">
                  <w:rPr>
                    <w:b/>
                  </w:rPr>
                  <w:t>Minerva</w:t>
                </w:r>
              </w:p>
            </w:tc>
            <w:tc>
              <w:tcPr>
                <w:tcW w:w="833" w:type="pct"/>
              </w:tcPr>
              <w:p w:rsidR="00147796" w:rsidRPr="001943A5" w:rsidRDefault="00147796" w:rsidP="00BC5516">
                <w:pPr>
                  <w:pStyle w:val="tabletext0"/>
                </w:pPr>
                <w:r w:rsidRPr="001943A5">
                  <w:t>Daily average</w:t>
                </w:r>
              </w:p>
            </w:tc>
            <w:tc>
              <w:tcPr>
                <w:tcW w:w="833" w:type="pct"/>
              </w:tcPr>
              <w:p w:rsidR="00147796" w:rsidRPr="00C7298B" w:rsidRDefault="00147796" w:rsidP="00BC5516">
                <w:pPr>
                  <w:pStyle w:val="tabletext0"/>
                  <w:jc w:val="right"/>
                </w:pPr>
                <w:r>
                  <w:t>54</w:t>
                </w:r>
              </w:p>
            </w:tc>
            <w:tc>
              <w:tcPr>
                <w:tcW w:w="834" w:type="pct"/>
              </w:tcPr>
              <w:p w:rsidR="00147796" w:rsidRPr="00C7298B" w:rsidRDefault="00147796" w:rsidP="00BC5516">
                <w:pPr>
                  <w:pStyle w:val="tabletext0"/>
                  <w:jc w:val="right"/>
                </w:pPr>
                <w:r>
                  <w:t>55</w:t>
                </w:r>
              </w:p>
            </w:tc>
            <w:tc>
              <w:tcPr>
                <w:tcW w:w="834" w:type="pct"/>
              </w:tcPr>
              <w:p w:rsidR="00147796" w:rsidRPr="00C7298B" w:rsidRDefault="00147796" w:rsidP="00BC5516">
                <w:pPr>
                  <w:pStyle w:val="tabletext0"/>
                  <w:jc w:val="right"/>
                </w:pPr>
                <w:r>
                  <w:t>67</w:t>
                </w:r>
              </w:p>
            </w:tc>
            <w:tc>
              <w:tcPr>
                <w:tcW w:w="833" w:type="pct"/>
              </w:tcPr>
              <w:p w:rsidR="00147796" w:rsidRPr="00C7298B" w:rsidRDefault="00147796" w:rsidP="00BC5516">
                <w:pPr>
                  <w:pStyle w:val="tabletext0"/>
                  <w:jc w:val="right"/>
                </w:pPr>
                <w:r>
                  <w:t>72</w:t>
                </w:r>
              </w:p>
            </w:tc>
          </w:tr>
          <w:tr w:rsidR="00147796" w:rsidTr="00BC5516">
            <w:trPr>
              <w:cnfStyle w:val="000000100000" w:firstRow="0" w:lastRow="0" w:firstColumn="0" w:lastColumn="0" w:oddVBand="0" w:evenVBand="0" w:oddHBand="1" w:evenHBand="0" w:firstRowFirstColumn="0" w:firstRowLastColumn="0" w:lastRowFirstColumn="0" w:lastRowLastColumn="0"/>
            </w:trPr>
            <w:tc>
              <w:tcPr>
                <w:tcW w:w="833" w:type="pct"/>
              </w:tcPr>
              <w:p w:rsidR="00147796" w:rsidRDefault="00147796" w:rsidP="00BC5516">
                <w:pPr>
                  <w:pStyle w:val="tabletext0"/>
                  <w:rPr>
                    <w:b/>
                  </w:rPr>
                </w:pPr>
              </w:p>
            </w:tc>
            <w:tc>
              <w:tcPr>
                <w:tcW w:w="833" w:type="pct"/>
              </w:tcPr>
              <w:p w:rsidR="00147796" w:rsidRPr="001943A5" w:rsidRDefault="00147796" w:rsidP="00BC5516">
                <w:pPr>
                  <w:pStyle w:val="tabletext0"/>
                </w:pPr>
                <w:r w:rsidRPr="001943A5">
                  <w:t>Maximum</w:t>
                </w:r>
              </w:p>
            </w:tc>
            <w:tc>
              <w:tcPr>
                <w:tcW w:w="833" w:type="pct"/>
              </w:tcPr>
              <w:p w:rsidR="00147796" w:rsidRPr="00C7298B" w:rsidRDefault="00147796" w:rsidP="00BC5516">
                <w:pPr>
                  <w:pStyle w:val="tabletext0"/>
                  <w:jc w:val="right"/>
                </w:pPr>
                <w:r>
                  <w:t>55</w:t>
                </w:r>
              </w:p>
            </w:tc>
            <w:tc>
              <w:tcPr>
                <w:tcW w:w="834" w:type="pct"/>
              </w:tcPr>
              <w:p w:rsidR="00147796" w:rsidRPr="00C7298B" w:rsidRDefault="00147796" w:rsidP="00BC5516">
                <w:pPr>
                  <w:pStyle w:val="tabletext0"/>
                  <w:jc w:val="right"/>
                </w:pPr>
                <w:r>
                  <w:t>55</w:t>
                </w:r>
              </w:p>
            </w:tc>
            <w:tc>
              <w:tcPr>
                <w:tcW w:w="834" w:type="pct"/>
              </w:tcPr>
              <w:p w:rsidR="00147796" w:rsidRPr="00C7298B" w:rsidRDefault="00147796" w:rsidP="00BC5516">
                <w:pPr>
                  <w:pStyle w:val="tabletext0"/>
                  <w:jc w:val="right"/>
                </w:pPr>
                <w:r>
                  <w:t>74</w:t>
                </w:r>
              </w:p>
            </w:tc>
            <w:tc>
              <w:tcPr>
                <w:tcW w:w="833" w:type="pct"/>
              </w:tcPr>
              <w:p w:rsidR="00147796" w:rsidRPr="00C7298B" w:rsidRDefault="00147796" w:rsidP="00BC5516">
                <w:pPr>
                  <w:pStyle w:val="tabletext0"/>
                  <w:jc w:val="right"/>
                </w:pPr>
                <w:r>
                  <w:t>74</w:t>
                </w:r>
              </w:p>
            </w:tc>
          </w:tr>
          <w:tr w:rsidR="00147796" w:rsidTr="00BC5516">
            <w:trPr>
              <w:cnfStyle w:val="000000010000" w:firstRow="0" w:lastRow="0" w:firstColumn="0" w:lastColumn="0" w:oddVBand="0" w:evenVBand="0" w:oddHBand="0" w:evenHBand="1" w:firstRowFirstColumn="0" w:firstRowLastColumn="0" w:lastRowFirstColumn="0" w:lastRowLastColumn="0"/>
            </w:trPr>
            <w:tc>
              <w:tcPr>
                <w:tcW w:w="833" w:type="pct"/>
              </w:tcPr>
              <w:p w:rsidR="00147796" w:rsidRDefault="00147796" w:rsidP="00BC5516">
                <w:pPr>
                  <w:pStyle w:val="tabletext0"/>
                  <w:rPr>
                    <w:b/>
                  </w:rPr>
                </w:pPr>
              </w:p>
            </w:tc>
            <w:tc>
              <w:tcPr>
                <w:tcW w:w="833" w:type="pct"/>
              </w:tcPr>
              <w:p w:rsidR="00147796" w:rsidRPr="001943A5" w:rsidRDefault="00147796" w:rsidP="00BC5516">
                <w:pPr>
                  <w:pStyle w:val="tabletext0"/>
                </w:pPr>
                <w:r w:rsidRPr="001943A5">
                  <w:t>Minimum</w:t>
                </w:r>
              </w:p>
            </w:tc>
            <w:tc>
              <w:tcPr>
                <w:tcW w:w="833" w:type="pct"/>
              </w:tcPr>
              <w:p w:rsidR="00147796" w:rsidRPr="00C7298B" w:rsidRDefault="00147796" w:rsidP="00BC5516">
                <w:pPr>
                  <w:pStyle w:val="tabletext0"/>
                  <w:jc w:val="right"/>
                </w:pPr>
                <w:r>
                  <w:t>51</w:t>
                </w:r>
              </w:p>
            </w:tc>
            <w:tc>
              <w:tcPr>
                <w:tcW w:w="834" w:type="pct"/>
              </w:tcPr>
              <w:p w:rsidR="00147796" w:rsidRPr="00C7298B" w:rsidRDefault="00147796" w:rsidP="00BC5516">
                <w:pPr>
                  <w:pStyle w:val="tabletext0"/>
                  <w:jc w:val="right"/>
                </w:pPr>
                <w:r>
                  <w:t>52</w:t>
                </w:r>
              </w:p>
            </w:tc>
            <w:tc>
              <w:tcPr>
                <w:tcW w:w="834" w:type="pct"/>
              </w:tcPr>
              <w:p w:rsidR="00147796" w:rsidRPr="00C7298B" w:rsidRDefault="00147796" w:rsidP="00BC5516">
                <w:pPr>
                  <w:pStyle w:val="tabletext0"/>
                  <w:jc w:val="right"/>
                </w:pPr>
                <w:r>
                  <w:t>46</w:t>
                </w:r>
              </w:p>
            </w:tc>
            <w:tc>
              <w:tcPr>
                <w:tcW w:w="833" w:type="pct"/>
              </w:tcPr>
              <w:p w:rsidR="00147796" w:rsidRPr="00C7298B" w:rsidRDefault="00147796" w:rsidP="00BC5516">
                <w:pPr>
                  <w:pStyle w:val="tabletext0"/>
                  <w:jc w:val="right"/>
                </w:pPr>
                <w:r>
                  <w:t>61</w:t>
                </w:r>
              </w:p>
            </w:tc>
          </w:tr>
          <w:tr w:rsidR="00147796" w:rsidTr="00BC5516">
            <w:trPr>
              <w:cnfStyle w:val="000000100000" w:firstRow="0" w:lastRow="0" w:firstColumn="0" w:lastColumn="0" w:oddVBand="0" w:evenVBand="0" w:oddHBand="1" w:evenHBand="0" w:firstRowFirstColumn="0" w:firstRowLastColumn="0" w:lastRowFirstColumn="0" w:lastRowLastColumn="0"/>
            </w:trPr>
            <w:tc>
              <w:tcPr>
                <w:tcW w:w="833" w:type="pct"/>
              </w:tcPr>
              <w:p w:rsidR="00147796" w:rsidRDefault="00147796" w:rsidP="00BC5516">
                <w:pPr>
                  <w:pStyle w:val="tabletext0"/>
                  <w:rPr>
                    <w:b/>
                  </w:rPr>
                </w:pPr>
              </w:p>
            </w:tc>
            <w:tc>
              <w:tcPr>
                <w:tcW w:w="833" w:type="pct"/>
              </w:tcPr>
              <w:p w:rsidR="00147796" w:rsidRPr="001943A5" w:rsidRDefault="00147796" w:rsidP="00BC5516">
                <w:pPr>
                  <w:pStyle w:val="tabletext0"/>
                </w:pPr>
                <w:r w:rsidRPr="001943A5">
                  <w:t>Total</w:t>
                </w:r>
              </w:p>
            </w:tc>
            <w:tc>
              <w:tcPr>
                <w:tcW w:w="833" w:type="pct"/>
              </w:tcPr>
              <w:p w:rsidR="00147796" w:rsidRPr="00C7298B" w:rsidRDefault="00147796" w:rsidP="00BC5516">
                <w:pPr>
                  <w:pStyle w:val="tabletext0"/>
                  <w:jc w:val="right"/>
                </w:pPr>
                <w:r>
                  <w:t>1,624</w:t>
                </w:r>
              </w:p>
            </w:tc>
            <w:tc>
              <w:tcPr>
                <w:tcW w:w="834" w:type="pct"/>
              </w:tcPr>
              <w:p w:rsidR="00147796" w:rsidRPr="00C7298B" w:rsidRDefault="00147796" w:rsidP="00BC5516">
                <w:pPr>
                  <w:pStyle w:val="tabletext0"/>
                  <w:jc w:val="right"/>
                </w:pPr>
                <w:r>
                  <w:t>1,695</w:t>
                </w:r>
              </w:p>
            </w:tc>
            <w:tc>
              <w:tcPr>
                <w:tcW w:w="834" w:type="pct"/>
              </w:tcPr>
              <w:p w:rsidR="00147796" w:rsidRPr="00C7298B" w:rsidRDefault="00147796" w:rsidP="00BC5516">
                <w:pPr>
                  <w:pStyle w:val="tabletext0"/>
                  <w:jc w:val="right"/>
                </w:pPr>
                <w:r>
                  <w:t>2,020</w:t>
                </w:r>
              </w:p>
            </w:tc>
            <w:tc>
              <w:tcPr>
                <w:tcW w:w="833" w:type="pct"/>
              </w:tcPr>
              <w:p w:rsidR="00147796" w:rsidRPr="00C7298B" w:rsidRDefault="00147796" w:rsidP="00BC5516">
                <w:pPr>
                  <w:pStyle w:val="tabletext0"/>
                  <w:jc w:val="right"/>
                </w:pPr>
                <w:r>
                  <w:t>2,242</w:t>
                </w:r>
              </w:p>
            </w:tc>
          </w:tr>
        </w:tbl>
        <w:p w:rsidR="00147796" w:rsidRDefault="00147796" w:rsidP="00147796">
          <w:pPr>
            <w:pStyle w:val="ListBullet"/>
            <w:numPr>
              <w:ilvl w:val="0"/>
              <w:numId w:val="0"/>
            </w:numPr>
            <w:ind w:left="340" w:hanging="340"/>
            <w:rPr>
              <w:sz w:val="18"/>
              <w:szCs w:val="18"/>
            </w:rPr>
          </w:pPr>
          <w:r w:rsidRPr="000E7C94">
            <w:rPr>
              <w:sz w:val="18"/>
              <w:szCs w:val="18"/>
            </w:rPr>
            <w:t>*</w:t>
          </w:r>
          <w:r>
            <w:rPr>
              <w:sz w:val="18"/>
              <w:szCs w:val="18"/>
            </w:rPr>
            <w:t xml:space="preserve"> </w:t>
          </w:r>
          <w:r w:rsidRPr="000E7C94">
            <w:rPr>
              <w:sz w:val="18"/>
              <w:szCs w:val="18"/>
            </w:rPr>
            <w:t xml:space="preserve">Also, Lang Lang </w:t>
          </w:r>
          <w:r>
            <w:rPr>
              <w:sz w:val="18"/>
              <w:szCs w:val="18"/>
            </w:rPr>
            <w:t xml:space="preserve">production at </w:t>
          </w:r>
          <w:r w:rsidRPr="000E7C94">
            <w:rPr>
              <w:sz w:val="18"/>
              <w:szCs w:val="18"/>
            </w:rPr>
            <w:t xml:space="preserve">the </w:t>
          </w:r>
          <w:r>
            <w:rPr>
              <w:sz w:val="18"/>
              <w:szCs w:val="18"/>
            </w:rPr>
            <w:t xml:space="preserve">Bass </w:t>
          </w:r>
          <w:r w:rsidRPr="000E7C94">
            <w:rPr>
              <w:sz w:val="18"/>
              <w:szCs w:val="18"/>
            </w:rPr>
            <w:t xml:space="preserve">Basin is slightly up this winter </w:t>
          </w:r>
          <w:r>
            <w:rPr>
              <w:sz w:val="18"/>
              <w:szCs w:val="18"/>
            </w:rPr>
            <w:t xml:space="preserve">(about </w:t>
          </w:r>
          <w:r w:rsidRPr="000E7C94">
            <w:rPr>
              <w:sz w:val="18"/>
              <w:szCs w:val="18"/>
            </w:rPr>
            <w:t>43 TJ per day</w:t>
          </w:r>
          <w:r>
            <w:rPr>
              <w:sz w:val="18"/>
              <w:szCs w:val="18"/>
            </w:rPr>
            <w:t>)</w:t>
          </w:r>
          <w:r w:rsidRPr="000E7C94">
            <w:rPr>
              <w:sz w:val="18"/>
              <w:szCs w:val="18"/>
            </w:rPr>
            <w:t>.</w:t>
          </w:r>
        </w:p>
        <w:p w:rsidR="00147796" w:rsidRDefault="00147796" w:rsidP="00147796">
          <w:pPr>
            <w:pStyle w:val="ListBullet"/>
            <w:numPr>
              <w:ilvl w:val="0"/>
              <w:numId w:val="0"/>
            </w:numPr>
            <w:spacing w:before="0"/>
            <w:ind w:left="340" w:hanging="340"/>
            <w:rPr>
              <w:sz w:val="18"/>
              <w:szCs w:val="18"/>
            </w:rPr>
          </w:pPr>
          <w:r>
            <w:rPr>
              <w:sz w:val="18"/>
              <w:szCs w:val="18"/>
            </w:rPr>
            <w:t xml:space="preserve">Source: Bulletin Board data, </w:t>
          </w:r>
          <w:hyperlink r:id="rId21" w:history="1">
            <w:r w:rsidRPr="00AB1E36">
              <w:rPr>
                <w:rStyle w:val="Hyperlink"/>
                <w:sz w:val="18"/>
                <w:szCs w:val="18"/>
              </w:rPr>
              <w:t>www.gasbb.com.au</w:t>
            </w:r>
          </w:hyperlink>
          <w:r>
            <w:rPr>
              <w:sz w:val="18"/>
              <w:szCs w:val="18"/>
            </w:rPr>
            <w:t xml:space="preserve"> </w:t>
          </w:r>
        </w:p>
        <w:p w:rsidR="00147796" w:rsidRDefault="00147796" w:rsidP="00147796">
          <w:pPr>
            <w:pStyle w:val="Heading6notnumbered"/>
          </w:pPr>
          <w:r>
            <w:t>South Australian gas fields</w:t>
          </w:r>
        </w:p>
        <w:p w:rsidR="00147796" w:rsidRDefault="00CE7E37" w:rsidP="00147796">
          <w:pPr>
            <w:pStyle w:val="ListBullet"/>
            <w:numPr>
              <w:ilvl w:val="0"/>
              <w:numId w:val="0"/>
            </w:numPr>
            <w:tabs>
              <w:tab w:val="clear" w:pos="340"/>
              <w:tab w:val="left" w:pos="0"/>
            </w:tabs>
            <w:spacing w:before="240"/>
            <w:rPr>
              <w:rFonts w:eastAsia="Times New Roman" w:cs="Times New Roman"/>
              <w:bCs/>
              <w:color w:val="170017" w:themeColor="accent1" w:themeShade="7F"/>
              <w:szCs w:val="20"/>
            </w:rPr>
          </w:pPr>
          <w:r>
            <w:rPr>
              <w:rFonts w:eastAsia="Times New Roman" w:cs="Times New Roman"/>
              <w:bCs/>
              <w:color w:val="170017" w:themeColor="accent1" w:themeShade="7F"/>
              <w:szCs w:val="20"/>
            </w:rPr>
            <w:fldChar w:fldCharType="begin"/>
          </w:r>
          <w:r>
            <w:rPr>
              <w:rFonts w:eastAsia="Times New Roman" w:cs="Times New Roman"/>
              <w:bCs/>
              <w:color w:val="170017" w:themeColor="accent1" w:themeShade="7F"/>
              <w:szCs w:val="20"/>
            </w:rPr>
            <w:instrText xml:space="preserve"> REF _Ref459993063 \h </w:instrText>
          </w:r>
          <w:r>
            <w:rPr>
              <w:rFonts w:eastAsia="Times New Roman" w:cs="Times New Roman"/>
              <w:bCs/>
              <w:color w:val="170017" w:themeColor="accent1" w:themeShade="7F"/>
              <w:szCs w:val="20"/>
            </w:rPr>
          </w:r>
          <w:r>
            <w:rPr>
              <w:rFonts w:eastAsia="Times New Roman" w:cs="Times New Roman"/>
              <w:bCs/>
              <w:color w:val="170017" w:themeColor="accent1" w:themeShade="7F"/>
              <w:szCs w:val="20"/>
            </w:rPr>
            <w:fldChar w:fldCharType="separate"/>
          </w:r>
          <w:r w:rsidR="003F58C8">
            <w:t>Figure </w:t>
          </w:r>
          <w:r w:rsidR="003F58C8">
            <w:rPr>
              <w:noProof/>
            </w:rPr>
            <w:t>2</w:t>
          </w:r>
          <w:r>
            <w:rPr>
              <w:rFonts w:eastAsia="Times New Roman" w:cs="Times New Roman"/>
              <w:bCs/>
              <w:color w:val="170017" w:themeColor="accent1" w:themeShade="7F"/>
              <w:szCs w:val="20"/>
            </w:rPr>
            <w:fldChar w:fldCharType="end"/>
          </w:r>
          <w:r w:rsidR="00147796" w:rsidRPr="00147796">
            <w:rPr>
              <w:rFonts w:eastAsia="Times New Roman" w:cs="Times New Roman"/>
              <w:bCs/>
              <w:color w:val="170017" w:themeColor="accent1" w:themeShade="7F"/>
              <w:szCs w:val="20"/>
            </w:rPr>
            <w:t xml:space="preserve"> illustrates that in winter 2016, Moomba was operating at higher production levels than in 2015. Despite this, pipeline flow data suggests the extra gas may have been flowing into Queensland to supply demand from LNG exports, instead of domestic demand.</w:t>
          </w:r>
        </w:p>
        <w:p w:rsidR="00147796" w:rsidRDefault="00147796" w:rsidP="00147796">
          <w:pPr>
            <w:pStyle w:val="ListBullet"/>
            <w:numPr>
              <w:ilvl w:val="0"/>
              <w:numId w:val="0"/>
            </w:numPr>
            <w:tabs>
              <w:tab w:val="clear" w:pos="340"/>
              <w:tab w:val="left" w:pos="0"/>
            </w:tabs>
            <w:spacing w:before="240"/>
          </w:pPr>
          <w:r>
            <w:lastRenderedPageBreak/>
            <w:t>The diversion of supply to the LNG export market may be being coordinated by Santos, which is involved in both production at Moomba and the Gladstone LNG (GLNG) export project.</w:t>
          </w:r>
        </w:p>
        <w:p w:rsidR="00147796" w:rsidRPr="00147796" w:rsidRDefault="00147796" w:rsidP="00147796">
          <w:pPr>
            <w:pStyle w:val="ListBullet"/>
            <w:numPr>
              <w:ilvl w:val="0"/>
              <w:numId w:val="0"/>
            </w:numPr>
            <w:tabs>
              <w:tab w:val="clear" w:pos="340"/>
              <w:tab w:val="left" w:pos="0"/>
            </w:tabs>
            <w:spacing w:before="240"/>
            <w:rPr>
              <w:rFonts w:eastAsia="Times New Roman" w:cs="Times New Roman"/>
              <w:bCs/>
              <w:color w:val="170017" w:themeColor="accent1" w:themeShade="7F"/>
              <w:szCs w:val="20"/>
            </w:rPr>
          </w:pPr>
          <w:r>
            <w:t xml:space="preserve">This is discussed further in section </w:t>
          </w:r>
          <w:r w:rsidR="0068178C">
            <w:rPr>
              <w:b/>
            </w:rPr>
            <w:fldChar w:fldCharType="begin"/>
          </w:r>
          <w:r w:rsidR="0068178C">
            <w:instrText xml:space="preserve"> REF _Ref460340184 \r \h </w:instrText>
          </w:r>
          <w:r w:rsidR="0068178C">
            <w:rPr>
              <w:b/>
            </w:rPr>
          </w:r>
          <w:r w:rsidR="0068178C">
            <w:rPr>
              <w:b/>
            </w:rPr>
            <w:fldChar w:fldCharType="separate"/>
          </w:r>
          <w:r w:rsidR="003F58C8">
            <w:t>2.2</w:t>
          </w:r>
          <w:r w:rsidR="0068178C">
            <w:rPr>
              <w:b/>
            </w:rPr>
            <w:fldChar w:fldCharType="end"/>
          </w:r>
          <w:r>
            <w:t xml:space="preserve"> below.</w:t>
          </w:r>
        </w:p>
        <w:p w:rsidR="00BC5516" w:rsidRDefault="00BC5516" w:rsidP="00BC5516">
          <w:pPr>
            <w:pStyle w:val="Caption"/>
          </w:pPr>
          <w:bookmarkStart w:id="21" w:name="_Ref459993063"/>
          <w:r>
            <w:t>Figure </w:t>
          </w:r>
          <w:r w:rsidR="00FF3F63">
            <w:fldChar w:fldCharType="begin"/>
          </w:r>
          <w:r w:rsidR="00FF3F63">
            <w:instrText xml:space="preserve"> SEQ Figure \* ARABIC </w:instrText>
          </w:r>
          <w:r w:rsidR="00FF3F63">
            <w:fldChar w:fldCharType="separate"/>
          </w:r>
          <w:r w:rsidR="003F58C8">
            <w:rPr>
              <w:noProof/>
            </w:rPr>
            <w:t>2</w:t>
          </w:r>
          <w:r w:rsidR="00FF3F63">
            <w:rPr>
              <w:noProof/>
            </w:rPr>
            <w:fldChar w:fldCharType="end"/>
          </w:r>
          <w:bookmarkEnd w:id="21"/>
          <w:r>
            <w:t>: Moomba Production</w:t>
          </w:r>
        </w:p>
        <w:p w:rsidR="00CE7E37" w:rsidRPr="007F1CF0" w:rsidRDefault="00E82107" w:rsidP="00CE7E37">
          <w:pPr>
            <w:pStyle w:val="ListBullet"/>
            <w:numPr>
              <w:ilvl w:val="0"/>
              <w:numId w:val="0"/>
            </w:numPr>
            <w:tabs>
              <w:tab w:val="clear" w:pos="340"/>
              <w:tab w:val="left" w:pos="0"/>
            </w:tabs>
            <w:rPr>
              <w:sz w:val="18"/>
              <w:szCs w:val="18"/>
            </w:rPr>
          </w:pPr>
          <w:r w:rsidRPr="00E82107">
            <w:rPr>
              <w:noProof/>
              <w:lang w:eastAsia="en-AU"/>
            </w:rPr>
            <w:drawing>
              <wp:inline distT="0" distB="0" distL="0" distR="0" wp14:anchorId="6F42E92F" wp14:editId="74F8B0E0">
                <wp:extent cx="5382895" cy="2775739"/>
                <wp:effectExtent l="0" t="0" r="8255" b="5715"/>
                <wp:docPr id="1" name="Picture 1" descr="Figure 2 shows daily gas quantities supplied by the Moomba production facility over winter for 2015 (faded red bars) and 2016 to-da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382895" cy="2775739"/>
                        </a:xfrm>
                        <a:prstGeom prst="rect">
                          <a:avLst/>
                        </a:prstGeom>
                        <a:noFill/>
                        <a:ln>
                          <a:noFill/>
                        </a:ln>
                      </pic:spPr>
                    </pic:pic>
                  </a:graphicData>
                </a:graphic>
              </wp:inline>
            </w:drawing>
          </w:r>
          <w:r w:rsidR="00CE7E37">
            <w:rPr>
              <w:sz w:val="18"/>
              <w:szCs w:val="18"/>
            </w:rPr>
            <w:t xml:space="preserve">Source: Bulletin Board data, </w:t>
          </w:r>
          <w:hyperlink r:id="rId23" w:history="1">
            <w:r w:rsidR="00CE7E37" w:rsidRPr="00AB1E36">
              <w:rPr>
                <w:rStyle w:val="Hyperlink"/>
                <w:sz w:val="18"/>
                <w:szCs w:val="18"/>
              </w:rPr>
              <w:t>www.gasbb.com.au</w:t>
            </w:r>
          </w:hyperlink>
          <w:r w:rsidR="00CE7E37">
            <w:rPr>
              <w:sz w:val="18"/>
              <w:szCs w:val="18"/>
            </w:rPr>
            <w:t xml:space="preserve"> </w:t>
          </w:r>
        </w:p>
        <w:p w:rsidR="00147796" w:rsidRPr="00166763" w:rsidRDefault="00147796" w:rsidP="00BC5516">
          <w:pPr>
            <w:pStyle w:val="Heading6notnumbered"/>
          </w:pPr>
          <w:r>
            <w:t>New South Wales gas</w:t>
          </w:r>
        </w:p>
        <w:p w:rsidR="00147796" w:rsidRDefault="00147796" w:rsidP="00147796">
          <w:pPr>
            <w:pStyle w:val="ListBullet"/>
            <w:numPr>
              <w:ilvl w:val="0"/>
              <w:numId w:val="0"/>
            </w:numPr>
          </w:pPr>
          <w:r>
            <w:t xml:space="preserve">From the second week of June to the end of July, AGL used its Newcastle gas storage facility </w:t>
          </w:r>
          <w:r>
            <w:rPr>
              <w:b/>
            </w:rPr>
            <w:t>(NGSF)</w:t>
          </w:r>
          <w:r>
            <w:t xml:space="preserve"> regularly to supply gas to the Sydney STTM. Over the period, the NGSF was scheduled on 20 gas days. Its quantities averaged nearly 25 TJ a day, with a maximum of 50 TJ and a minimum of 10 TJ.</w:t>
          </w:r>
          <w:r>
            <w:rPr>
              <w:rStyle w:val="FootnoteReference"/>
            </w:rPr>
            <w:footnoteReference w:id="12"/>
          </w:r>
          <w:r>
            <w:t xml:space="preserve"> This is the first winter that the NGSF has been a major source of supply for the Sydney STTM. In winter 2015 the NGSF was being commissioned, and first supplied gas on 23 July 2015. </w:t>
          </w:r>
        </w:p>
        <w:p w:rsidR="00147796" w:rsidRDefault="00147796" w:rsidP="00147796">
          <w:pPr>
            <w:pStyle w:val="ListBullet"/>
            <w:numPr>
              <w:ilvl w:val="0"/>
              <w:numId w:val="0"/>
            </w:numPr>
          </w:pPr>
          <w:r>
            <w:t xml:space="preserve">AGL also supplies the Sydney STTM with gas from its Camden coal seam gas facility </w:t>
          </w:r>
          <w:r>
            <w:rPr>
              <w:b/>
            </w:rPr>
            <w:t>(Camden)</w:t>
          </w:r>
          <w:r>
            <w:t>. Camden supplied gas on every day across the same period, at over 12 TJ a day. This was similar to the quantities scheduled the year before. With the exception of Camden, New South Wales sources all its gas supplies from other states.</w:t>
          </w:r>
          <w:r>
            <w:rPr>
              <w:rStyle w:val="FootnoteReference"/>
            </w:rPr>
            <w:footnoteReference w:id="13"/>
          </w:r>
        </w:p>
        <w:p w:rsidR="00147796" w:rsidRDefault="00147796" w:rsidP="00147796">
          <w:r>
            <w:t xml:space="preserve">On 7 July, AGL provided an update on its gas portfolio margins to the Australian Stock Exchange (ASX). AGL noted it had acquired a higher than anticipated proportion of wholesale gas from the spot market and other short-term sources for the first quarter of the 2017 financial year. The announcement notes this was driven by the recent curtailment of Queensland gas supply arising from safety issues at a key supplier’s project, other supply constraints in the gas market, and increased demand at its Torrens Island power station. AGL anticipated a negative impact on its pre-tax </w:t>
          </w:r>
          <w:r>
            <w:lastRenderedPageBreak/>
            <w:t>wholesale gas margin in the first quarter of the 2017 financial year of approximately $35 million.</w:t>
          </w:r>
          <w:r>
            <w:rPr>
              <w:rStyle w:val="FootnoteReference"/>
            </w:rPr>
            <w:footnoteReference w:id="14"/>
          </w:r>
        </w:p>
        <w:p w:rsidR="00922A09" w:rsidRDefault="00922A09">
          <w:pPr>
            <w:spacing w:line="240" w:lineRule="auto"/>
            <w:jc w:val="left"/>
            <w:rPr>
              <w:rFonts w:eastAsiaTheme="majorEastAsia" w:cstheme="majorBidi"/>
              <w:b/>
              <w:bCs/>
              <w:color w:val="70635A" w:themeColor="text2"/>
              <w:sz w:val="32"/>
              <w:szCs w:val="26"/>
            </w:rPr>
          </w:pPr>
          <w:bookmarkStart w:id="22" w:name="_Ref459036857"/>
          <w:bookmarkStart w:id="23" w:name="_Ref459990728"/>
        </w:p>
        <w:p w:rsidR="00905BED" w:rsidRDefault="00905BED" w:rsidP="00204154">
          <w:pPr>
            <w:pStyle w:val="Heading2"/>
          </w:pPr>
          <w:bookmarkStart w:id="24" w:name="_Ref460340184"/>
          <w:bookmarkStart w:id="25" w:name="_Toc460417311"/>
          <w:r>
            <w:t>Demand factors</w:t>
          </w:r>
          <w:bookmarkEnd w:id="22"/>
          <w:bookmarkEnd w:id="23"/>
          <w:bookmarkEnd w:id="24"/>
          <w:bookmarkEnd w:id="25"/>
        </w:p>
        <w:p w:rsidR="00147796" w:rsidRDefault="00147796" w:rsidP="00147796">
          <w:pPr>
            <w:pStyle w:val="Heading6notnumbered"/>
          </w:pPr>
          <w:r>
            <w:t>LNG export demand</w:t>
          </w:r>
        </w:p>
        <w:p w:rsidR="00147796" w:rsidRDefault="00147796" w:rsidP="00147796">
          <w:r>
            <w:t xml:space="preserve">Santos produces gas at Moomba and is a 30 per cent equity holder in and the operator of the </w:t>
          </w:r>
          <w:r w:rsidRPr="004677C7">
            <w:t>GLNG</w:t>
          </w:r>
          <w:r>
            <w:t xml:space="preserve"> export facility in Queensland. As noted above, Moomba has been operating at higher production levels compared to winter last year. However pipeline flow data suggests most of the additional gas may be flowing into Queensland to supply demand from LNG exports instead of domestic demand.</w:t>
          </w:r>
        </w:p>
        <w:p w:rsidR="00147796" w:rsidRDefault="00147796" w:rsidP="00147796">
          <w:r>
            <w:t xml:space="preserve">Gas can be transported from Moomba into Queensland using the Queensland South Australia New South Wales (QSN) link. The QSN link is bidirectional. </w:t>
          </w:r>
          <w:r w:rsidR="00175815">
            <w:rPr>
              <w:b/>
            </w:rPr>
            <w:fldChar w:fldCharType="begin"/>
          </w:r>
          <w:r w:rsidR="00175815">
            <w:instrText xml:space="preserve"> REF _Ref459993344 \h </w:instrText>
          </w:r>
          <w:r w:rsidR="00175815">
            <w:rPr>
              <w:b/>
            </w:rPr>
          </w:r>
          <w:r w:rsidR="00175815">
            <w:rPr>
              <w:b/>
            </w:rPr>
            <w:fldChar w:fldCharType="separate"/>
          </w:r>
          <w:r w:rsidR="003F58C8">
            <w:t>Figure </w:t>
          </w:r>
          <w:r w:rsidR="003F58C8">
            <w:rPr>
              <w:noProof/>
            </w:rPr>
            <w:t>3</w:t>
          </w:r>
          <w:r w:rsidR="00175815">
            <w:rPr>
              <w:b/>
            </w:rPr>
            <w:fldChar w:fldCharType="end"/>
          </w:r>
          <w:r>
            <w:t xml:space="preserve"> below shows that, f</w:t>
          </w:r>
          <w:r w:rsidRPr="00073C34">
            <w:t>rom</w:t>
          </w:r>
          <w:r>
            <w:t xml:space="preserve"> June to August this year, flows on the QSN link were usually from Moomba towards Queensland. This contrasts with the same period in 2015, where most flows were towards Moomba.</w:t>
          </w:r>
        </w:p>
        <w:p w:rsidR="00147796" w:rsidRDefault="00147796" w:rsidP="00147796">
          <w:pPr>
            <w:pStyle w:val="Caption"/>
          </w:pPr>
          <w:bookmarkStart w:id="26" w:name="_Ref459993344"/>
          <w:r>
            <w:t>Figure </w:t>
          </w:r>
          <w:r w:rsidR="00FF3F63">
            <w:fldChar w:fldCharType="begin"/>
          </w:r>
          <w:r w:rsidR="00FF3F63">
            <w:instrText xml:space="preserve"> SEQ Figure \* ARABIC </w:instrText>
          </w:r>
          <w:r w:rsidR="00FF3F63">
            <w:fldChar w:fldCharType="separate"/>
          </w:r>
          <w:r w:rsidR="003F58C8">
            <w:rPr>
              <w:noProof/>
            </w:rPr>
            <w:t>3</w:t>
          </w:r>
          <w:r w:rsidR="00FF3F63">
            <w:rPr>
              <w:noProof/>
            </w:rPr>
            <w:fldChar w:fldCharType="end"/>
          </w:r>
          <w:bookmarkEnd w:id="26"/>
          <w:r>
            <w:t>: QSN link flows*</w:t>
          </w:r>
        </w:p>
        <w:p w:rsidR="00147796" w:rsidRDefault="00BC5516" w:rsidP="00147796">
          <w:pPr>
            <w:rPr>
              <w:sz w:val="16"/>
            </w:rPr>
          </w:pPr>
          <w:r w:rsidRPr="006C3A7D">
            <w:rPr>
              <w:noProof/>
              <w:lang w:eastAsia="en-AU"/>
            </w:rPr>
            <w:drawing>
              <wp:inline distT="0" distB="0" distL="0" distR="0" wp14:anchorId="03A66482" wp14:editId="216A8EB1">
                <wp:extent cx="5382895" cy="2829560"/>
                <wp:effectExtent l="0" t="0" r="8255" b="8890"/>
                <wp:docPr id="18" name="Picture 18" descr="Figure 3 shows the change in flow direction of gas shipped through the QSN link (South West Queensland Pipeline) connecting Moomba (in South Australia) to Ballera (in Queensl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382895" cy="2829560"/>
                        </a:xfrm>
                        <a:prstGeom prst="rect">
                          <a:avLst/>
                        </a:prstGeom>
                        <a:noFill/>
                        <a:ln>
                          <a:noFill/>
                        </a:ln>
                      </pic:spPr>
                    </pic:pic>
                  </a:graphicData>
                </a:graphic>
              </wp:inline>
            </w:drawing>
          </w:r>
          <w:r w:rsidRPr="00BC5516">
            <w:rPr>
              <w:sz w:val="16"/>
            </w:rPr>
            <w:t xml:space="preserve"> </w:t>
          </w:r>
          <w:r>
            <w:rPr>
              <w:sz w:val="16"/>
            </w:rPr>
            <w:t xml:space="preserve">Source:  Bulletin Board data, </w:t>
          </w:r>
          <w:hyperlink r:id="rId25" w:history="1">
            <w:r w:rsidRPr="00AB1E36">
              <w:rPr>
                <w:rStyle w:val="Hyperlink"/>
                <w:sz w:val="16"/>
              </w:rPr>
              <w:t>www.gasbb.com.au</w:t>
            </w:r>
          </w:hyperlink>
          <w:r>
            <w:rPr>
              <w:sz w:val="16"/>
            </w:rPr>
            <w:t>;</w:t>
          </w:r>
        </w:p>
        <w:p w:rsidR="00147796" w:rsidRDefault="00BC5516" w:rsidP="00BC5516">
          <w:pPr>
            <w:spacing w:before="0"/>
            <w:rPr>
              <w:sz w:val="16"/>
            </w:rPr>
          </w:pPr>
          <w:r>
            <w:rPr>
              <w:sz w:val="16"/>
            </w:rPr>
            <w:t>* f</w:t>
          </w:r>
          <w:r w:rsidRPr="00D77458">
            <w:rPr>
              <w:sz w:val="16"/>
            </w:rPr>
            <w:t>low quantity has been adjusted to show northerly flows above the x</w:t>
          </w:r>
          <w:r>
            <w:rPr>
              <w:sz w:val="16"/>
            </w:rPr>
            <w:noBreakHyphen/>
          </w:r>
          <w:r w:rsidRPr="00D77458">
            <w:rPr>
              <w:sz w:val="16"/>
            </w:rPr>
            <w:t>axis</w:t>
          </w:r>
          <w:r>
            <w:rPr>
              <w:sz w:val="16"/>
            </w:rPr>
            <w:t>.</w:t>
          </w:r>
        </w:p>
        <w:p w:rsidR="00BC5516" w:rsidRDefault="00BC5516" w:rsidP="00BC5516">
          <w:pPr>
            <w:spacing w:before="240"/>
          </w:pPr>
          <w:r>
            <w:t xml:space="preserve">The ACCC Gas Inquiry Report noted that </w:t>
          </w:r>
          <w:r w:rsidRPr="007F0500">
            <w:t>GLNG has entered into a number of agreements to purchase gas for export from third parties</w:t>
          </w:r>
          <w:r>
            <w:t xml:space="preserve"> including from Cooper Basin or Moomba production</w:t>
          </w:r>
          <w:r w:rsidRPr="007F0500">
            <w:t>.</w:t>
          </w:r>
          <w:r w:rsidRPr="007F0500">
            <w:rPr>
              <w:rStyle w:val="FootnoteReference"/>
            </w:rPr>
            <w:footnoteReference w:id="15"/>
          </w:r>
          <w:r>
            <w:t xml:space="preserve"> It is very likely increased Moomba production may be for this purpose.</w:t>
          </w:r>
        </w:p>
        <w:p w:rsidR="00BC5516" w:rsidRDefault="00BC5516" w:rsidP="00BC5516">
          <w:pPr>
            <w:spacing w:before="240"/>
          </w:pPr>
          <w:r>
            <w:lastRenderedPageBreak/>
            <w:t>Overall demand from the LNG export facilities is significantly higher than winter 2015. Each of the three facilities consists of two production trains (a total of six trains). With variations, one train is capable of producing around 700 TJ of LNG a day. In winter 2015 there was only one train operating. In winter 2016 there were five trains operating.</w:t>
          </w:r>
          <w:r>
            <w:rPr>
              <w:rStyle w:val="FootnoteReference"/>
            </w:rPr>
            <w:footnoteReference w:id="16"/>
          </w:r>
        </w:p>
        <w:p w:rsidR="00BC5516" w:rsidRDefault="00BC5516" w:rsidP="00BC5516">
          <w:pPr>
            <w:spacing w:before="240"/>
          </w:pPr>
          <w:r>
            <w:fldChar w:fldCharType="begin"/>
          </w:r>
          <w:r>
            <w:instrText xml:space="preserve"> REF _Ref459200571 \h </w:instrText>
          </w:r>
          <w:r>
            <w:fldChar w:fldCharType="separate"/>
          </w:r>
          <w:r w:rsidR="003F58C8">
            <w:t>Figure </w:t>
          </w:r>
          <w:r w:rsidR="003F58C8">
            <w:rPr>
              <w:noProof/>
            </w:rPr>
            <w:t>4</w:t>
          </w:r>
          <w:r>
            <w:fldChar w:fldCharType="end"/>
          </w:r>
          <w:r>
            <w:t xml:space="preserve"> below illustrates the level of gas production from the LNG facilities’ gas fields and the flows on their respective pipelines. We understand the Queensland Curtis LNG </w:t>
          </w:r>
          <w:r>
            <w:rPr>
              <w:b/>
            </w:rPr>
            <w:t>(QCLNG)</w:t>
          </w:r>
          <w:r>
            <w:t xml:space="preserve"> and Australia Pacific LNG </w:t>
          </w:r>
          <w:r>
            <w:rPr>
              <w:b/>
            </w:rPr>
            <w:t>(APLNG)</w:t>
          </w:r>
          <w:r>
            <w:t xml:space="preserve"> facilities are able to supply a large proportion of their export obligations from these production facilities. However it is difficult to comment with certainty given limited transparency. On the other hand, GLNG is supplying some of its export contracts from gas sourced from the broader domestic market. Overall, we understand that the quantity of gas produced at Roma, to supply the domestic market has to date been small.</w:t>
          </w:r>
        </w:p>
        <w:p w:rsidR="00BC5516" w:rsidRDefault="00BC5516" w:rsidP="00BC5516">
          <w:pPr>
            <w:spacing w:before="240"/>
          </w:pPr>
          <w:r>
            <w:t>Despite this, the performance of all three facilities impact gas supply and demand across the east coast. As an example, early August 2016, flows on the QSN link trended more south at the same time QCLNG had advised maintenance on its export trains would be occurring. It is likely this resulted in extra supply becoming available for the east coast gas markets.</w:t>
          </w:r>
        </w:p>
        <w:p w:rsidR="00BC5516" w:rsidRDefault="00BC5516" w:rsidP="00BC5516">
          <w:pPr>
            <w:pStyle w:val="Caption"/>
          </w:pPr>
          <w:bookmarkStart w:id="27" w:name="_Ref459200571"/>
          <w:r>
            <w:t>Figure </w:t>
          </w:r>
          <w:r w:rsidR="00FF3F63">
            <w:fldChar w:fldCharType="begin"/>
          </w:r>
          <w:r w:rsidR="00FF3F63">
            <w:instrText xml:space="preserve"> SEQ Figure \* ARABIC </w:instrText>
          </w:r>
          <w:r w:rsidR="00FF3F63">
            <w:fldChar w:fldCharType="separate"/>
          </w:r>
          <w:r w:rsidR="003F58C8">
            <w:rPr>
              <w:noProof/>
            </w:rPr>
            <w:t>4</w:t>
          </w:r>
          <w:r w:rsidR="00FF3F63">
            <w:rPr>
              <w:noProof/>
            </w:rPr>
            <w:fldChar w:fldCharType="end"/>
          </w:r>
          <w:bookmarkEnd w:id="27"/>
          <w:r>
            <w:t>: Roma Production and LNG export pipeline flows</w:t>
          </w:r>
        </w:p>
        <w:p w:rsidR="00BC5516" w:rsidRDefault="00BC5516" w:rsidP="00BC5516">
          <w:pPr>
            <w:spacing w:before="240"/>
          </w:pPr>
          <w:r w:rsidRPr="009F38DC">
            <w:rPr>
              <w:noProof/>
              <w:lang w:eastAsia="en-AU"/>
            </w:rPr>
            <w:drawing>
              <wp:inline distT="0" distB="0" distL="0" distR="0" wp14:anchorId="0FF0F060" wp14:editId="29423EB6">
                <wp:extent cx="5382895" cy="3536495"/>
                <wp:effectExtent l="0" t="0" r="8255" b="6985"/>
                <wp:docPr id="9" name="Picture 9" descr="Figure 4 shows average daily gas production quantities (TJ/day) from Bulletin Board production facilities in the Roma region, and LNG pipeline flows on the three LNG export pipelines delivering gas to Curtis Island (including the cumulative LNG pipeline shipments &quot;Total LNG shipments&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5382895" cy="3536495"/>
                        </a:xfrm>
                        <a:prstGeom prst="rect">
                          <a:avLst/>
                        </a:prstGeom>
                        <a:noFill/>
                        <a:ln>
                          <a:noFill/>
                        </a:ln>
                      </pic:spPr>
                    </pic:pic>
                  </a:graphicData>
                </a:graphic>
              </wp:inline>
            </w:drawing>
          </w:r>
          <w:r>
            <w:rPr>
              <w:sz w:val="16"/>
            </w:rPr>
            <w:t>* Bulletin Board reporting obligations for the three LNG pipelines commenced on 26 October 2015.</w:t>
          </w:r>
        </w:p>
        <w:p w:rsidR="00BC5516" w:rsidRPr="00147796" w:rsidRDefault="00BC5516" w:rsidP="00BC5516">
          <w:pPr>
            <w:spacing w:before="240"/>
          </w:pPr>
        </w:p>
        <w:p w:rsidR="00F05E1A" w:rsidRDefault="00F05E1A">
          <w:pPr>
            <w:spacing w:line="240" w:lineRule="auto"/>
            <w:jc w:val="left"/>
            <w:rPr>
              <w:rFonts w:eastAsia="Times New Roman" w:cs="Times New Roman"/>
              <w:b/>
              <w:bCs/>
              <w:i/>
              <w:iCs/>
              <w:color w:val="076A92" w:themeColor="text1"/>
              <w:szCs w:val="20"/>
            </w:rPr>
          </w:pPr>
          <w:r>
            <w:lastRenderedPageBreak/>
            <w:br w:type="page"/>
          </w:r>
        </w:p>
        <w:p w:rsidR="00BC5516" w:rsidRPr="00C55BB0" w:rsidRDefault="00BC5516" w:rsidP="00BC5516">
          <w:pPr>
            <w:pStyle w:val="Heading6notnumbered"/>
          </w:pPr>
          <w:r>
            <w:lastRenderedPageBreak/>
            <w:t>Cold weather has driven residential demand in South Australia and Victoria</w:t>
          </w:r>
        </w:p>
        <w:p w:rsidR="00BC5516" w:rsidRDefault="00BC5516" w:rsidP="00BC5516">
          <w:pPr>
            <w:pStyle w:val="ListBullet"/>
            <w:numPr>
              <w:ilvl w:val="0"/>
              <w:numId w:val="0"/>
            </w:numPr>
          </w:pPr>
          <w:r>
            <w:t>There are significant number of households, particularly in Victoria, which rely on gas for heating. Cold weather during late June and throughout July resulted in Victoria’s demand regularly exceeding 1 PJ. While demand has reached these levels previously, the overall average daily demand was higher than other years.</w:t>
          </w:r>
        </w:p>
        <w:p w:rsidR="00BC5516" w:rsidRDefault="00BC5516" w:rsidP="00BC5516">
          <w:pPr>
            <w:pStyle w:val="Heading6notnumbered"/>
          </w:pPr>
          <w:r>
            <w:t>High demand from gas</w:t>
          </w:r>
          <w:r w:rsidR="0010261D">
            <w:t xml:space="preserve"> </w:t>
          </w:r>
          <w:r>
            <w:t>fired electricity generation in South Australia &amp; Victoria</w:t>
          </w:r>
        </w:p>
        <w:p w:rsidR="00BC5516" w:rsidRDefault="00BC5516" w:rsidP="00BC5516">
          <w:pPr>
            <w:pStyle w:val="ListBullet"/>
            <w:numPr>
              <w:ilvl w:val="0"/>
              <w:numId w:val="0"/>
            </w:numPr>
            <w:tabs>
              <w:tab w:val="clear" w:pos="340"/>
              <w:tab w:val="left" w:pos="0"/>
            </w:tabs>
          </w:pPr>
          <w:r>
            <w:t>Demand from gas</w:t>
          </w:r>
          <w:r w:rsidR="0010261D">
            <w:t xml:space="preserve"> </w:t>
          </w:r>
          <w:r>
            <w:t>fired electricity generators in Victoria and South Australia was much higher during June and July 2016 than the previous year. This was driven by a number of factors.</w:t>
          </w:r>
        </w:p>
        <w:p w:rsidR="00BC5516" w:rsidRDefault="00BC5516" w:rsidP="00BC5516">
          <w:pPr>
            <w:pStyle w:val="ListBullet"/>
            <w:numPr>
              <w:ilvl w:val="0"/>
              <w:numId w:val="0"/>
            </w:numPr>
            <w:tabs>
              <w:tab w:val="clear" w:pos="340"/>
              <w:tab w:val="left" w:pos="0"/>
            </w:tabs>
          </w:pPr>
          <w:r>
            <w:t xml:space="preserve">In June, there was a reduced availability of electricity generators across all regions. Total capacity from coal-fired generators was around 2,200 MW less than winter 2015. The closure of South Australia’s Northern power station (in April 2016) accounted for 400 MW of this reduction, with the remainder due to planned maintenance. </w:t>
          </w:r>
        </w:p>
        <w:p w:rsidR="00BC5516" w:rsidRDefault="00BC5516" w:rsidP="00BC5516">
          <w:pPr>
            <w:pStyle w:val="ListBullet"/>
            <w:numPr>
              <w:ilvl w:val="0"/>
              <w:numId w:val="0"/>
            </w:numPr>
            <w:tabs>
              <w:tab w:val="clear" w:pos="340"/>
              <w:tab w:val="left" w:pos="0"/>
            </w:tabs>
          </w:pPr>
          <w:r>
            <w:t xml:space="preserve">Towards the end of June, the coal-fired generators that were off for maintenance began to return to service, reducing the need for gas fired generation across the NEM. </w:t>
          </w:r>
        </w:p>
        <w:p w:rsidR="00BC5516" w:rsidRDefault="00BC5516" w:rsidP="00BC5516">
          <w:pPr>
            <w:pStyle w:val="ListBullet"/>
            <w:numPr>
              <w:ilvl w:val="0"/>
              <w:numId w:val="0"/>
            </w:numPr>
            <w:tabs>
              <w:tab w:val="clear" w:pos="340"/>
              <w:tab w:val="left" w:pos="0"/>
            </w:tabs>
          </w:pPr>
          <w:r>
            <w:t>In South Australia, however, high demand from gas fired electricity generators continued into July for a number of reasons including:</w:t>
          </w:r>
        </w:p>
        <w:p w:rsidR="00BC5516" w:rsidRDefault="00BC5516" w:rsidP="00BC5516">
          <w:pPr>
            <w:pStyle w:val="ListBullet"/>
          </w:pPr>
          <w:r>
            <w:t xml:space="preserve">No coal fired generation following the closure of Northern Power station. The primary fuel sources in South Australia are now gas and wind (see </w:t>
          </w:r>
          <w:r>
            <w:fldChar w:fldCharType="begin"/>
          </w:r>
          <w:r>
            <w:instrText xml:space="preserve"> REF _Ref459207242 \h </w:instrText>
          </w:r>
          <w:r>
            <w:fldChar w:fldCharType="separate"/>
          </w:r>
          <w:r w:rsidR="003F58C8">
            <w:t>Figure </w:t>
          </w:r>
          <w:r w:rsidR="003F58C8">
            <w:rPr>
              <w:noProof/>
            </w:rPr>
            <w:t>5</w:t>
          </w:r>
          <w:r>
            <w:fldChar w:fldCharType="end"/>
          </w:r>
          <w:r>
            <w:t xml:space="preserve"> below)</w:t>
          </w:r>
        </w:p>
        <w:p w:rsidR="00BC5516" w:rsidRDefault="00BC5516" w:rsidP="00BC5516">
          <w:pPr>
            <w:pStyle w:val="ListBullet"/>
          </w:pPr>
          <w:r>
            <w:t>Low wind generation output at peak demand times (average wind output was 270 MW for July – 57 per cent below the average for July over recent years)</w:t>
          </w:r>
        </w:p>
        <w:p w:rsidR="00BC5516" w:rsidRDefault="00BC5516" w:rsidP="00BC5516">
          <w:pPr>
            <w:pStyle w:val="ListBullet"/>
          </w:pPr>
          <w:r>
            <w:t>Limited capacity from interstate due to the network upgrades.</w:t>
          </w:r>
        </w:p>
        <w:p w:rsidR="00BC5516" w:rsidRDefault="00BC5516" w:rsidP="00BC5516">
          <w:pPr>
            <w:pStyle w:val="Caption"/>
          </w:pPr>
          <w:bookmarkStart w:id="28" w:name="_Ref459207242"/>
          <w:r>
            <w:t>Figure </w:t>
          </w:r>
          <w:r w:rsidR="00FF3F63">
            <w:fldChar w:fldCharType="begin"/>
          </w:r>
          <w:r w:rsidR="00FF3F63">
            <w:instrText xml:space="preserve"> SEQ Figure \* ARABIC </w:instrText>
          </w:r>
          <w:r w:rsidR="00FF3F63">
            <w:fldChar w:fldCharType="separate"/>
          </w:r>
          <w:r w:rsidR="003F58C8">
            <w:rPr>
              <w:noProof/>
            </w:rPr>
            <w:t>5</w:t>
          </w:r>
          <w:r w:rsidR="00FF3F63">
            <w:rPr>
              <w:noProof/>
            </w:rPr>
            <w:fldChar w:fldCharType="end"/>
          </w:r>
          <w:bookmarkEnd w:id="28"/>
          <w:r>
            <w:t>: South Australia’s generation mix – 2015 (left) and 2016 (right)</w:t>
          </w:r>
          <w:r>
            <w:rPr>
              <w:rStyle w:val="FootnoteReference"/>
            </w:rPr>
            <w:footnoteReference w:id="17"/>
          </w:r>
        </w:p>
        <w:p w:rsidR="00BC5516" w:rsidRPr="008D06FE" w:rsidRDefault="00BC5516" w:rsidP="008D06FE">
          <w:pPr>
            <w:pStyle w:val="ListBullet"/>
            <w:numPr>
              <w:ilvl w:val="0"/>
              <w:numId w:val="0"/>
            </w:numPr>
          </w:pPr>
          <w:r w:rsidRPr="0073630C">
            <w:rPr>
              <w:noProof/>
              <w:lang w:eastAsia="en-AU"/>
            </w:rPr>
            <w:drawing>
              <wp:inline distT="0" distB="0" distL="0" distR="0" wp14:anchorId="6EB1D939" wp14:editId="37E747EF">
                <wp:extent cx="5382895" cy="2496579"/>
                <wp:effectExtent l="0" t="0" r="8255" b="0"/>
                <wp:docPr id="22" name="Picture 22" descr="Figure 5 shows the energy output (GWh) of gas-fired generators in South Australia by fuel type for June/July 2015 (left) and 2016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5382895" cy="2496579"/>
                        </a:xfrm>
                        <a:prstGeom prst="rect">
                          <a:avLst/>
                        </a:prstGeom>
                        <a:noFill/>
                        <a:ln>
                          <a:noFill/>
                        </a:ln>
                      </pic:spPr>
                    </pic:pic>
                  </a:graphicData>
                </a:graphic>
              </wp:inline>
            </w:drawing>
          </w:r>
        </w:p>
        <w:p w:rsidR="00905BED" w:rsidRDefault="00E93A1C" w:rsidP="00DB4D47">
          <w:pPr>
            <w:pStyle w:val="Heading2"/>
          </w:pPr>
          <w:bookmarkStart w:id="29" w:name="_Toc459210474"/>
          <w:bookmarkStart w:id="30" w:name="_Toc460417312"/>
          <w:r>
            <w:lastRenderedPageBreak/>
            <w:t>M</w:t>
          </w:r>
          <w:r w:rsidR="00CB0D5B">
            <w:t xml:space="preserve">arket </w:t>
          </w:r>
          <w:r w:rsidR="00DB4D47">
            <w:t>p</w:t>
          </w:r>
          <w:r w:rsidR="00CB0D5B">
            <w:t>articipant</w:t>
          </w:r>
          <w:r w:rsidR="00DB4D47">
            <w:t xml:space="preserve"> f</w:t>
          </w:r>
          <w:r>
            <w:t>actors</w:t>
          </w:r>
          <w:bookmarkEnd w:id="29"/>
          <w:bookmarkEnd w:id="30"/>
        </w:p>
        <w:p w:rsidR="00E93A1C" w:rsidRDefault="00402667" w:rsidP="00DB4D47">
          <w:pPr>
            <w:pStyle w:val="ListBullet"/>
            <w:numPr>
              <w:ilvl w:val="0"/>
              <w:numId w:val="0"/>
            </w:numPr>
            <w:tabs>
              <w:tab w:val="clear" w:pos="340"/>
            </w:tabs>
          </w:pPr>
          <w:r>
            <w:t xml:space="preserve">Part 19 and 20 of the NGR </w:t>
          </w:r>
          <w:r w:rsidR="00E93A1C">
            <w:t xml:space="preserve">requires the AER to monitor trading activity in the </w:t>
          </w:r>
          <w:r w:rsidR="00DB4D47">
            <w:t>Victorian market</w:t>
          </w:r>
          <w:r w:rsidR="00E93A1C">
            <w:t xml:space="preserve"> and </w:t>
          </w:r>
          <w:r w:rsidR="00DB4D47">
            <w:t xml:space="preserve">the </w:t>
          </w:r>
          <w:r w:rsidR="00E93A1C">
            <w:t xml:space="preserve">STTMs </w:t>
          </w:r>
          <w:r>
            <w:t>for compliance with trading rules</w:t>
          </w:r>
          <w:r w:rsidR="00E93A1C">
            <w:t>.</w:t>
          </w:r>
          <w:r w:rsidR="00E93A1C">
            <w:rPr>
              <w:rStyle w:val="FootnoteReference"/>
            </w:rPr>
            <w:footnoteReference w:id="18"/>
          </w:r>
          <w:r w:rsidR="00B73625">
            <w:t xml:space="preserve"> In following this requirement, the</w:t>
          </w:r>
          <w:r w:rsidR="002451D2">
            <w:t xml:space="preserve"> AER analyses</w:t>
          </w:r>
          <w:r w:rsidR="005C2FBB">
            <w:t xml:space="preserve"> the demand forecasting and bidding behaviour of market participants. </w:t>
          </w:r>
          <w:r w:rsidR="00B73625">
            <w:t>Analysis of winter 2016</w:t>
          </w:r>
          <w:r w:rsidR="005C2FBB">
            <w:t xml:space="preserve"> and the volatile pricing period between 23 June and 20 July </w:t>
          </w:r>
          <w:r w:rsidR="00B73625">
            <w:t>has</w:t>
          </w:r>
          <w:r w:rsidR="005C2FBB">
            <w:t xml:space="preserve"> identified:</w:t>
          </w:r>
        </w:p>
        <w:p w:rsidR="005C2FBB" w:rsidRDefault="005C2FBB" w:rsidP="00DB4D47">
          <w:pPr>
            <w:pStyle w:val="ListBullet"/>
            <w:numPr>
              <w:ilvl w:val="0"/>
              <w:numId w:val="42"/>
            </w:numPr>
            <w:tabs>
              <w:tab w:val="clear" w:pos="340"/>
            </w:tabs>
          </w:pPr>
          <w:r>
            <w:t xml:space="preserve">over-forecasting </w:t>
          </w:r>
          <w:r w:rsidR="00DB4D47">
            <w:t xml:space="preserve">of </w:t>
          </w:r>
          <w:r>
            <w:t xml:space="preserve">customer demand in Sydney in contrast to the Adelaide, Brisbane, Victorian markets </w:t>
          </w:r>
          <w:r w:rsidR="002451D2">
            <w:t>(</w:t>
          </w:r>
          <w:r>
            <w:t xml:space="preserve">where demand forecasting </w:t>
          </w:r>
          <w:r w:rsidR="00D61D57">
            <w:t>errors</w:t>
          </w:r>
          <w:r>
            <w:t xml:space="preserve"> appear </w:t>
          </w:r>
          <w:r w:rsidRPr="00DB4D47">
            <w:t>more</w:t>
          </w:r>
          <w:r w:rsidR="00DB4D47" w:rsidRPr="00DB4D47">
            <w:t xml:space="preserve"> evenly</w:t>
          </w:r>
          <w:r w:rsidRPr="00DB4D47">
            <w:t xml:space="preserve"> distributed</w:t>
          </w:r>
          <w:r w:rsidR="002451D2">
            <w:t>)</w:t>
          </w:r>
          <w:r w:rsidR="002403A5" w:rsidRPr="00DB4D47">
            <w:rPr>
              <w:rStyle w:val="FootnoteReference"/>
            </w:rPr>
            <w:footnoteReference w:id="19"/>
          </w:r>
          <w:r>
            <w:t xml:space="preserve"> </w:t>
          </w:r>
        </w:p>
        <w:p w:rsidR="005C2FBB" w:rsidRDefault="005C2FBB" w:rsidP="00DB4D47">
          <w:pPr>
            <w:pStyle w:val="ListBullet"/>
            <w:numPr>
              <w:ilvl w:val="0"/>
              <w:numId w:val="42"/>
            </w:numPr>
            <w:tabs>
              <w:tab w:val="clear" w:pos="340"/>
            </w:tabs>
          </w:pPr>
          <w:r>
            <w:t>apparent biases within specific participants</w:t>
          </w:r>
          <w:r w:rsidR="003471A7">
            <w:t>’</w:t>
          </w:r>
          <w:r>
            <w:t xml:space="preserve"> demand forecasting</w:t>
          </w:r>
          <w:r w:rsidR="003471A7">
            <w:t xml:space="preserve"> for Victoria</w:t>
          </w:r>
          <w:r w:rsidR="00B84D0F">
            <w:t>.</w:t>
          </w:r>
          <w:r w:rsidR="003471A7">
            <w:t xml:space="preserve"> </w:t>
          </w:r>
          <w:r>
            <w:t xml:space="preserve"> </w:t>
          </w:r>
        </w:p>
        <w:p w:rsidR="00402667" w:rsidRDefault="002451D2" w:rsidP="00DB4D47">
          <w:pPr>
            <w:pStyle w:val="ListBullet"/>
            <w:numPr>
              <w:ilvl w:val="0"/>
              <w:numId w:val="0"/>
            </w:numPr>
            <w:tabs>
              <w:tab w:val="clear" w:pos="340"/>
            </w:tabs>
          </w:pPr>
          <w:r>
            <w:t>Our subsequent July report will investigate these issues further, as well as explore</w:t>
          </w:r>
          <w:r w:rsidR="00BA6591">
            <w:t xml:space="preserve"> the behaviour of participants in making or changing </w:t>
          </w:r>
          <w:r>
            <w:t>gas supply offers.</w:t>
          </w:r>
          <w:r w:rsidR="00402667">
            <w:t xml:space="preserve"> </w:t>
          </w:r>
        </w:p>
        <w:p w:rsidR="00B73625" w:rsidRDefault="00B73625" w:rsidP="00DB4D47">
          <w:pPr>
            <w:pStyle w:val="ListBullet"/>
            <w:numPr>
              <w:ilvl w:val="0"/>
              <w:numId w:val="0"/>
            </w:numPr>
            <w:tabs>
              <w:tab w:val="clear" w:pos="340"/>
            </w:tabs>
          </w:pPr>
          <w:r>
            <w:t xml:space="preserve">The AER’s monitoring obligations extend beyond </w:t>
          </w:r>
          <w:r w:rsidR="00BA6591">
            <w:t>Part 19 and 20 of the NGR</w:t>
          </w:r>
          <w:r w:rsidR="00531C8A">
            <w:t xml:space="preserve"> to</w:t>
          </w:r>
          <w:r>
            <w:t>:</w:t>
          </w:r>
        </w:p>
        <w:p w:rsidR="00402667" w:rsidRDefault="00402667" w:rsidP="00B73625">
          <w:pPr>
            <w:pStyle w:val="ListBullet"/>
            <w:numPr>
              <w:ilvl w:val="0"/>
              <w:numId w:val="45"/>
            </w:numPr>
            <w:tabs>
              <w:tab w:val="clear" w:pos="340"/>
            </w:tabs>
          </w:pPr>
          <w:r>
            <w:t xml:space="preserve">part 18 of the NGR covering the Natural Gas Services Bulletin Board </w:t>
          </w:r>
          <w:r w:rsidRPr="008F504D">
            <w:rPr>
              <w:b/>
            </w:rPr>
            <w:t>(Bulletin Board)</w:t>
          </w:r>
          <w:r>
            <w:t>. Transparent, accurate information</w:t>
          </w:r>
          <w:r w:rsidR="00BA6591">
            <w:t xml:space="preserve"> through the bulletin board —</w:t>
          </w:r>
          <w:r>
            <w:t xml:space="preserve"> such as via medium and short term capacity outlooks is important for participants to be able to trad</w:t>
          </w:r>
          <w:r w:rsidR="00531C8A">
            <w:t>e on the east coast gas market</w:t>
          </w:r>
        </w:p>
        <w:p w:rsidR="002403A5" w:rsidRDefault="00BA6591" w:rsidP="00B73625">
          <w:pPr>
            <w:pStyle w:val="ListBullet"/>
            <w:numPr>
              <w:ilvl w:val="0"/>
              <w:numId w:val="45"/>
            </w:numPr>
            <w:tabs>
              <w:tab w:val="clear" w:pos="340"/>
            </w:tabs>
          </w:pPr>
          <w:r>
            <w:t xml:space="preserve">part 21 of the NGR </w:t>
          </w:r>
          <w:r w:rsidR="00531C8A">
            <w:t xml:space="preserve">which </w:t>
          </w:r>
          <w:r>
            <w:t>relates</w:t>
          </w:r>
          <w:r w:rsidR="00402667">
            <w:t xml:space="preserve"> to trade in the upstream gas supply hubs where the obligations focus on participants not engaging in price manipulation</w:t>
          </w:r>
          <w:r w:rsidR="00531C8A">
            <w:t>.</w:t>
          </w:r>
        </w:p>
        <w:p w:rsidR="00402667" w:rsidRPr="00DB4D47" w:rsidRDefault="00531C8A" w:rsidP="00DB4D47">
          <w:pPr>
            <w:pStyle w:val="ListBullet"/>
            <w:numPr>
              <w:ilvl w:val="0"/>
              <w:numId w:val="0"/>
            </w:numPr>
            <w:tabs>
              <w:tab w:val="clear" w:pos="340"/>
            </w:tabs>
          </w:pPr>
          <w:r>
            <w:t xml:space="preserve">For example, to </w:t>
          </w:r>
          <w:r w:rsidR="008F504D">
            <w:t>determine</w:t>
          </w:r>
          <w:r w:rsidR="001C10F8">
            <w:t xml:space="preserve"> whether all r</w:t>
          </w:r>
          <w:r w:rsidR="003335CE">
            <w:t xml:space="preserve">eportable </w:t>
          </w:r>
          <w:r w:rsidR="001C10F8">
            <w:t>information</w:t>
          </w:r>
          <w:r>
            <w:t xml:space="preserve"> e.g., on outages </w:t>
          </w:r>
          <w:r w:rsidR="001C10F8">
            <w:t>was provided to the market</w:t>
          </w:r>
          <w:r w:rsidR="008F504D">
            <w:t xml:space="preserve"> when required and accurate</w:t>
          </w:r>
          <w:r w:rsidR="00BA6591">
            <w:t>ly</w:t>
          </w:r>
          <w:r w:rsidR="001C10F8">
            <w:t>.</w:t>
          </w:r>
        </w:p>
        <w:p w:rsidR="00C55FDC" w:rsidRDefault="00C55FDC" w:rsidP="00DB4D47">
          <w:pPr>
            <w:pStyle w:val="Heading1"/>
          </w:pPr>
          <w:bookmarkStart w:id="31" w:name="_Toc456262776"/>
          <w:bookmarkStart w:id="32" w:name="_Ref457987483"/>
          <w:bookmarkStart w:id="33" w:name="_Ref457987484"/>
          <w:bookmarkStart w:id="34" w:name="_Toc460417313"/>
          <w:r>
            <w:lastRenderedPageBreak/>
            <w:t>Analysis</w:t>
          </w:r>
          <w:bookmarkEnd w:id="31"/>
          <w:r>
            <w:t xml:space="preserve"> of </w:t>
          </w:r>
          <w:r w:rsidR="00FA440E">
            <w:t>June’s</w:t>
          </w:r>
          <w:r>
            <w:t xml:space="preserve"> price events</w:t>
          </w:r>
          <w:bookmarkEnd w:id="32"/>
          <w:bookmarkEnd w:id="33"/>
          <w:bookmarkEnd w:id="34"/>
        </w:p>
        <w:p w:rsidR="007501F5" w:rsidRDefault="007E11C7" w:rsidP="007E11C7">
          <w:r>
            <w:t xml:space="preserve">This section analyses each of the June </w:t>
          </w:r>
          <w:r w:rsidR="002451D2">
            <w:t>SPVs</w:t>
          </w:r>
          <w:r>
            <w:t xml:space="preserve"> and details the specific factors that contributed to each event.</w:t>
          </w:r>
        </w:p>
        <w:p w:rsidR="00C55FDC" w:rsidRDefault="007E11C7" w:rsidP="00C55FDC">
          <w:pPr>
            <w:pStyle w:val="Heading2"/>
          </w:pPr>
          <w:bookmarkStart w:id="35" w:name="_Toc460417314"/>
          <w:r>
            <w:t>Friday 24 June 2016</w:t>
          </w:r>
          <w:bookmarkEnd w:id="35"/>
        </w:p>
        <w:p w:rsidR="007E11C7" w:rsidRDefault="007501F5" w:rsidP="00C55FDC">
          <w:r>
            <w:rPr>
              <w:noProof/>
              <w:lang w:eastAsia="en-AU"/>
            </w:rPr>
            <mc:AlternateContent>
              <mc:Choice Requires="wps">
                <w:drawing>
                  <wp:anchor distT="0" distB="0" distL="114300" distR="114300" simplePos="0" relativeHeight="251661312" behindDoc="0" locked="0" layoutInCell="1" allowOverlap="1" wp14:anchorId="4F34F6C0" wp14:editId="3DEB047C">
                    <wp:simplePos x="0" y="0"/>
                    <wp:positionH relativeFrom="column">
                      <wp:posOffset>6680</wp:posOffset>
                    </wp:positionH>
                    <wp:positionV relativeFrom="paragraph">
                      <wp:posOffset>207315</wp:posOffset>
                    </wp:positionV>
                    <wp:extent cx="5399549" cy="1016813"/>
                    <wp:effectExtent l="0" t="0" r="10795" b="1206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99549" cy="1016813"/>
                            </a:xfrm>
                            <a:prstGeom prst="rect">
                              <a:avLst/>
                            </a:prstGeom>
                            <a:solidFill>
                              <a:srgbClr val="DBE5F1"/>
                            </a:solidFill>
                            <a:ln w="9525">
                              <a:solidFill>
                                <a:srgbClr val="000000"/>
                              </a:solidFill>
                              <a:miter lim="800000"/>
                              <a:headEnd/>
                              <a:tailEnd/>
                            </a:ln>
                          </wps:spPr>
                          <wps:txbx>
                            <w:txbxContent>
                              <w:p w:rsidR="00DA1078" w:rsidRPr="00973418" w:rsidRDefault="00DA1078" w:rsidP="007501F5">
                                <w:pPr>
                                  <w:ind w:left="2160" w:hanging="2160"/>
                                </w:pPr>
                                <w:r w:rsidRPr="0051165D">
                                  <w:rPr>
                                    <w:b/>
                                  </w:rPr>
                                  <w:t>Adelaide STTM:</w:t>
                                </w:r>
                                <w:r>
                                  <w:tab/>
                                  <w:t xml:space="preserve">There was a </w:t>
                                </w:r>
                                <w:r w:rsidRPr="00973418">
                                  <w:t>$10.40/GJ variation between the D-2 schedule price ($8.59/GJ) and D-1 schedule price ($18.99/GJ).</w:t>
                                </w:r>
                              </w:p>
                              <w:p w:rsidR="00DA1078" w:rsidRDefault="00DA1078">
                                <w:r w:rsidRPr="0051165D">
                                  <w:rPr>
                                    <w:b/>
                                  </w:rPr>
                                  <w:t>Victorian market:</w:t>
                                </w:r>
                                <w:r w:rsidRPr="00893889">
                                  <w:t xml:space="preserve"> </w:t>
                                </w:r>
                                <w:r>
                                  <w:tab/>
                                  <w:t>T</w:t>
                                </w:r>
                                <w:r w:rsidRPr="00893889">
                                  <w:t>he imbalance price reached $23.34/GJ.</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55pt;margin-top:16.3pt;width:425.15pt;height:80.0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" fillcolor="#dbe5f1">
                    <v:textbox>
                      <w:txbxContent>
                        <w:p w:rsidR="00DA1078" w:rsidRPr="00973418" w:rsidRDefault="00DA1078" w:rsidP="007501F5">
                          <w:pPr>
                            <w:ind w:left="2160" w:hanging="2160"/>
                          </w:pPr>
                          <w:r w:rsidRPr="0051165D">
                            <w:rPr>
                              <w:b/>
                            </w:rPr>
                            <w:t>Adelaide STTM:</w:t>
                          </w:r>
                          <w:r>
                            <w:tab/>
                            <w:t xml:space="preserve">There was a </w:t>
                          </w:r>
                          <w:r w:rsidRPr="00973418">
                            <w:t>$10.40/GJ variation between the D-2 schedule price ($8.59/GJ) and D-1 schedule price ($18.99/GJ).</w:t>
                          </w:r>
                        </w:p>
                        <w:p w:rsidR="00DA1078" w:rsidRDefault="00DA1078">
                          <w:r w:rsidRPr="0051165D">
                            <w:rPr>
                              <w:b/>
                            </w:rPr>
                            <w:t>Victorian market:</w:t>
                          </w:r>
                          <w:r w:rsidRPr="00893889">
                            <w:t xml:space="preserve"> </w:t>
                          </w:r>
                          <w:r>
                            <w:tab/>
                            <w:t>T</w:t>
                          </w:r>
                          <w:r w:rsidRPr="00893889">
                            <w:t>he imbalance price reached $23.34/GJ.</w:t>
                          </w:r>
                        </w:p>
                      </w:txbxContent>
                    </v:textbox>
                  </v:shape>
                </w:pict>
              </mc:Fallback>
            </mc:AlternateContent>
          </w:r>
        </w:p>
        <w:p w:rsidR="007501F5" w:rsidRDefault="007501F5" w:rsidP="00C55FDC"/>
        <w:p w:rsidR="007501F5" w:rsidRDefault="007501F5" w:rsidP="00C55FDC"/>
        <w:p w:rsidR="007501F5" w:rsidRDefault="007501F5" w:rsidP="00C55FDC"/>
        <w:p w:rsidR="006F692A" w:rsidRDefault="006F692A" w:rsidP="006F692A">
          <w:pPr>
            <w:pStyle w:val="Heading4notnumbered"/>
          </w:pPr>
          <w:r>
            <w:t>Victoria</w:t>
          </w:r>
        </w:p>
        <w:p w:rsidR="002A582A" w:rsidRDefault="00B847D9" w:rsidP="00C55FDC">
          <w:r>
            <w:t>High prices</w:t>
          </w:r>
          <w:r w:rsidR="00675176">
            <w:t xml:space="preserve"> </w:t>
          </w:r>
          <w:r w:rsidR="00560CCF">
            <w:t>were forecast</w:t>
          </w:r>
          <w:r>
            <w:t xml:space="preserve"> in</w:t>
          </w:r>
          <w:r w:rsidR="00675176">
            <w:t xml:space="preserve"> Victoria</w:t>
          </w:r>
          <w:r>
            <w:t xml:space="preserve"> </w:t>
          </w:r>
          <w:r w:rsidR="000958D9">
            <w:t>in the lead</w:t>
          </w:r>
          <w:r>
            <w:t xml:space="preserve"> up to the gas day</w:t>
          </w:r>
          <w:r w:rsidR="00675176">
            <w:t>.</w:t>
          </w:r>
          <w:r w:rsidR="000958D9">
            <w:t xml:space="preserve"> </w:t>
          </w:r>
        </w:p>
        <w:p w:rsidR="000958D9" w:rsidRDefault="000958D9" w:rsidP="00C55FDC">
          <w:r>
            <w:t xml:space="preserve">Two days before </w:t>
          </w:r>
          <w:r w:rsidR="002A582A">
            <w:t xml:space="preserve">the gas day, AEMO forecast the </w:t>
          </w:r>
          <w:r>
            <w:t xml:space="preserve">price </w:t>
          </w:r>
          <w:r w:rsidR="00B21064">
            <w:t xml:space="preserve">could reach </w:t>
          </w:r>
          <w:r>
            <w:t>$42/GJ based on demand of around 1.09 PJ.</w:t>
          </w:r>
          <w:r w:rsidR="0055219F">
            <w:rPr>
              <w:rStyle w:val="FootnoteReference"/>
            </w:rPr>
            <w:footnoteReference w:id="20"/>
          </w:r>
        </w:p>
        <w:p w:rsidR="00506034" w:rsidRDefault="00506034" w:rsidP="00C55FDC">
          <w:r>
            <w:t>While the actual prices on the</w:t>
          </w:r>
          <w:r w:rsidR="002451D2">
            <w:t xml:space="preserve"> day did not reach these levels,</w:t>
          </w:r>
          <w:r>
            <w:t xml:space="preserve"> </w:t>
          </w:r>
          <w:r w:rsidR="00DB4D47">
            <w:t>the price</w:t>
          </w:r>
          <w:r w:rsidR="00D61D57">
            <w:t xml:space="preserve"> was</w:t>
          </w:r>
          <w:r>
            <w:t xml:space="preserve"> still high enough to trigger the imbalance price reporting threshold</w:t>
          </w:r>
          <w:r w:rsidR="00EA1853">
            <w:t>.</w:t>
          </w:r>
        </w:p>
        <w:p w:rsidR="006D0401" w:rsidRDefault="00506034" w:rsidP="006D0401">
          <w:r>
            <w:t xml:space="preserve">On the day, demand exceeded 1.1 PJ. This </w:t>
          </w:r>
          <w:r w:rsidR="00675176">
            <w:t>was m</w:t>
          </w:r>
          <w:r>
            <w:t>ainly driven by low temperature</w:t>
          </w:r>
          <w:r w:rsidR="00312374">
            <w:t xml:space="preserve">s (the minimum temperature </w:t>
          </w:r>
          <w:r w:rsidR="00BE7342">
            <w:t xml:space="preserve">in Melbourne </w:t>
          </w:r>
          <w:r w:rsidR="00312374">
            <w:t xml:space="preserve">was </w:t>
          </w:r>
          <w:r w:rsidR="00560CCF">
            <w:t>less than</w:t>
          </w:r>
          <w:r w:rsidR="00312374">
            <w:t xml:space="preserve"> 7 degrees Celsius) </w:t>
          </w:r>
          <w:r w:rsidR="00675176">
            <w:t>and the resulting high demand from hous</w:t>
          </w:r>
          <w:r w:rsidR="006F692A">
            <w:t xml:space="preserve">eholds </w:t>
          </w:r>
          <w:r w:rsidR="00560CCF">
            <w:t xml:space="preserve">using </w:t>
          </w:r>
          <w:r w:rsidR="006F692A">
            <w:t>gas for heating.</w:t>
          </w:r>
          <w:r w:rsidR="006D0401" w:rsidRPr="006D0401">
            <w:t xml:space="preserve"> </w:t>
          </w:r>
          <w:r w:rsidR="006D0401" w:rsidRPr="00D840A6">
            <w:t>This triggered profiled injections at Longford, where higher hourly quantities were scheduled towards the start of the day (rather than the usual flat injection profile across the gas day) ahead of the evening peak period.</w:t>
          </w:r>
          <w:r w:rsidR="006D0401" w:rsidRPr="00D840A6">
            <w:rPr>
              <w:rStyle w:val="FootnoteReference"/>
            </w:rPr>
            <w:footnoteReference w:id="21"/>
          </w:r>
        </w:p>
        <w:p w:rsidR="00370EE8" w:rsidRDefault="00312374" w:rsidP="00312374">
          <w:r>
            <w:t xml:space="preserve">The highest price on the day was $23.83/GJ at the 6 am schedule (the first schedule of the day). The price </w:t>
          </w:r>
          <w:r w:rsidR="00560CCF">
            <w:t>declined</w:t>
          </w:r>
          <w:r>
            <w:t xml:space="preserve"> at each schedule for the remainder of the day</w:t>
          </w:r>
          <w:r w:rsidR="00DB4D47">
            <w:t xml:space="preserve"> with</w:t>
          </w:r>
          <w:r w:rsidR="0091301E">
            <w:t xml:space="preserve"> </w:t>
          </w:r>
          <w:r>
            <w:t>price</w:t>
          </w:r>
          <w:r w:rsidR="004C3151">
            <w:t>s</w:t>
          </w:r>
          <w:r>
            <w:t xml:space="preserve"> </w:t>
          </w:r>
          <w:r w:rsidR="004C3151">
            <w:t>of</w:t>
          </w:r>
          <w:r>
            <w:t xml:space="preserve"> $18.88/GJ</w:t>
          </w:r>
          <w:r w:rsidR="0091301E">
            <w:t xml:space="preserve"> at 10 am</w:t>
          </w:r>
          <w:r w:rsidR="00370EE8">
            <w:t>, $10.90/GJ</w:t>
          </w:r>
          <w:r>
            <w:t xml:space="preserve"> at 2 pm</w:t>
          </w:r>
          <w:r w:rsidR="00370EE8">
            <w:t xml:space="preserve">, $10.04/GJ at 6 pm and $9.10/GJ at 10 pm. </w:t>
          </w:r>
        </w:p>
        <w:p w:rsidR="006F692A" w:rsidRDefault="00061314" w:rsidP="00C55FDC">
          <w:r>
            <w:t>The incremental reductions in price throughout the day were a r</w:t>
          </w:r>
          <w:r w:rsidR="0091301E">
            <w:t>esult of participant rebidding</w:t>
          </w:r>
          <w:r w:rsidR="005635FC">
            <w:t xml:space="preserve"> and reductions to </w:t>
          </w:r>
          <w:r w:rsidR="002451D2">
            <w:t>demand forecasts</w:t>
          </w:r>
          <w:r w:rsidR="0091301E">
            <w:t>.</w:t>
          </w:r>
          <w:r w:rsidR="005635FC">
            <w:t xml:space="preserve"> </w:t>
          </w:r>
          <w:r w:rsidR="00996508">
            <w:fldChar w:fldCharType="begin"/>
          </w:r>
          <w:r w:rsidR="00996508">
            <w:instrText xml:space="preserve"> REF _Ref459212124 \h </w:instrText>
          </w:r>
          <w:r w:rsidR="00996508">
            <w:fldChar w:fldCharType="separate"/>
          </w:r>
          <w:r w:rsidR="003F58C8">
            <w:t>Figure </w:t>
          </w:r>
          <w:r w:rsidR="003F58C8">
            <w:rPr>
              <w:noProof/>
            </w:rPr>
            <w:t>6</w:t>
          </w:r>
          <w:r w:rsidR="00996508">
            <w:fldChar w:fldCharType="end"/>
          </w:r>
          <w:r w:rsidR="00996508">
            <w:t xml:space="preserve"> illustrates the change in offers across schedules leading up to and during the 24 June gas day</w:t>
          </w:r>
          <w:r w:rsidR="00B30632">
            <w:t>.</w:t>
          </w:r>
        </w:p>
        <w:p w:rsidR="00BC5516" w:rsidRDefault="00BC5516" w:rsidP="008D06FE">
          <w:pPr>
            <w:pStyle w:val="Caption"/>
            <w:spacing w:line="240" w:lineRule="auto"/>
          </w:pPr>
          <w:bookmarkStart w:id="36" w:name="_Ref459212124"/>
          <w:r>
            <w:lastRenderedPageBreak/>
            <w:t>Figure </w:t>
          </w:r>
          <w:r w:rsidR="00FF3F63">
            <w:fldChar w:fldCharType="begin"/>
          </w:r>
          <w:r w:rsidR="00FF3F63">
            <w:instrText xml:space="preserve"> SEQ Figure \* ARABIC </w:instrText>
          </w:r>
          <w:r w:rsidR="00FF3F63">
            <w:fldChar w:fldCharType="separate"/>
          </w:r>
          <w:r w:rsidR="003F58C8">
            <w:rPr>
              <w:noProof/>
            </w:rPr>
            <w:t>6</w:t>
          </w:r>
          <w:r w:rsidR="00FF3F63">
            <w:rPr>
              <w:noProof/>
            </w:rPr>
            <w:fldChar w:fldCharType="end"/>
          </w:r>
          <w:bookmarkEnd w:id="36"/>
          <w:r>
            <w:t>: Injection bids by cut-off time for 24 June</w:t>
          </w:r>
          <w:r>
            <w:rPr>
              <w:rStyle w:val="FootnoteReference"/>
            </w:rPr>
            <w:footnoteReference w:id="22"/>
          </w:r>
        </w:p>
        <w:p w:rsidR="00BC5516" w:rsidRDefault="00BC5516" w:rsidP="00BC5516">
          <w:r w:rsidRPr="00A9473F">
            <w:rPr>
              <w:noProof/>
              <w:lang w:eastAsia="en-AU"/>
            </w:rPr>
            <w:drawing>
              <wp:inline distT="0" distB="0" distL="0" distR="0" wp14:anchorId="7C17CFA0" wp14:editId="38853160">
                <wp:extent cx="5382895" cy="3191911"/>
                <wp:effectExtent l="0" t="0" r="8255" b="8890"/>
                <wp:docPr id="27" name="Picture 27" descr="Figure 6 shows forecast demand, and injection bids within certain price bands, across forecast and intra-day schedules for the 24 June gas day in Victoria. Bid cut-off times identified on the horizontal axis occur one hour prior to the relevant scheduling horizon for intra-day (D+0) d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5382895" cy="3191911"/>
                        </a:xfrm>
                        <a:prstGeom prst="rect">
                          <a:avLst/>
                        </a:prstGeom>
                        <a:noFill/>
                        <a:ln>
                          <a:noFill/>
                        </a:ln>
                      </pic:spPr>
                    </pic:pic>
                  </a:graphicData>
                </a:graphic>
              </wp:inline>
            </w:drawing>
          </w:r>
        </w:p>
        <w:p w:rsidR="00BC5516" w:rsidRDefault="00BC5516" w:rsidP="00BC5516">
          <w:r>
            <w:t>For the first time this winter, the NSW-Victoria gas interconnect reversed and supplied 9 TJ into Victoria. This</w:t>
          </w:r>
          <w:r w:rsidRPr="00E54C59">
            <w:t xml:space="preserve"> </w:t>
          </w:r>
          <w:r>
            <w:t xml:space="preserve">was driven by </w:t>
          </w:r>
          <w:r w:rsidRPr="00E54C59">
            <w:t xml:space="preserve">the increase </w:t>
          </w:r>
          <w:r>
            <w:t>in</w:t>
          </w:r>
          <w:r w:rsidRPr="00E54C59">
            <w:t xml:space="preserve"> low priced injection bids at Culcairn from </w:t>
          </w:r>
          <w:r>
            <w:t xml:space="preserve">10 am (and reductions to high priced withdrawal bid quantities from </w:t>
          </w:r>
          <w:r w:rsidRPr="00E54C59">
            <w:t>2 pm</w:t>
          </w:r>
          <w:r>
            <w:t>).</w:t>
          </w:r>
        </w:p>
        <w:p w:rsidR="006F692A" w:rsidRDefault="006F692A" w:rsidP="008D06FE">
          <w:pPr>
            <w:pStyle w:val="Heading4notnumbered"/>
            <w:keepNext/>
            <w:spacing w:after="120" w:line="240" w:lineRule="auto"/>
            <w:jc w:val="left"/>
            <w:outlineLvl w:val="9"/>
          </w:pPr>
          <w:r>
            <w:t>Adelaide</w:t>
          </w:r>
        </w:p>
        <w:p w:rsidR="001A1CA9" w:rsidRDefault="004C3151" w:rsidP="00C55FDC">
          <w:r>
            <w:t xml:space="preserve">The Adelaide market has two main supply sources; the Moomba to Adelaide pipeline </w:t>
          </w:r>
          <w:r>
            <w:rPr>
              <w:b/>
            </w:rPr>
            <w:t>(MAP)</w:t>
          </w:r>
          <w:r>
            <w:t xml:space="preserve"> and the SEAGas pipeline </w:t>
          </w:r>
          <w:r>
            <w:rPr>
              <w:b/>
            </w:rPr>
            <w:t>(SEAGas)</w:t>
          </w:r>
          <w:r>
            <w:t>. The MAP brings gas from the north of South Australia into Adelaide. SEAGas brings in gas from Victoria.</w:t>
          </w:r>
        </w:p>
        <w:p w:rsidR="00677119" w:rsidRDefault="004E7E65" w:rsidP="0077626C">
          <w:r>
            <w:t xml:space="preserve">The schedule used for the gas day is produced the day before the gas day </w:t>
          </w:r>
          <w:r>
            <w:rPr>
              <w:b/>
            </w:rPr>
            <w:t xml:space="preserve">(the D-1 </w:t>
          </w:r>
          <w:r w:rsidRPr="009D359E">
            <w:t>or</w:t>
          </w:r>
          <w:r>
            <w:rPr>
              <w:b/>
            </w:rPr>
            <w:t xml:space="preserve"> ‘ex ante’ schedule)</w:t>
          </w:r>
          <w:r w:rsidR="00F774BB">
            <w:t xml:space="preserve">. For the D-1 schedule, participants </w:t>
          </w:r>
          <w:r w:rsidR="00FD3014">
            <w:t xml:space="preserve">responded to the high Victorian prices by increasing </w:t>
          </w:r>
          <w:r w:rsidR="001C7779">
            <w:t xml:space="preserve">lower priced </w:t>
          </w:r>
          <w:r w:rsidR="00FD3014">
            <w:t xml:space="preserve">supply from the MAP and decreasing </w:t>
          </w:r>
          <w:r w:rsidR="001C7779">
            <w:t xml:space="preserve">low priced </w:t>
          </w:r>
          <w:r w:rsidR="00FD3014">
            <w:t>supply from SEAGas.</w:t>
          </w:r>
          <w:r w:rsidR="001C7779">
            <w:t xml:space="preserve"> Specifically, for gas offered </w:t>
          </w:r>
          <w:r w:rsidR="00CA1616">
            <w:t xml:space="preserve">at prices </w:t>
          </w:r>
          <w:r w:rsidR="004C32B0">
            <w:t>between $0–8/GJ</w:t>
          </w:r>
          <w:r w:rsidR="001C7779">
            <w:t>,</w:t>
          </w:r>
          <w:r w:rsidR="004C32B0">
            <w:t xml:space="preserve"> supply </w:t>
          </w:r>
          <w:r w:rsidR="002C5674">
            <w:t>from</w:t>
          </w:r>
          <w:r w:rsidR="004C32B0">
            <w:t xml:space="preserve"> the</w:t>
          </w:r>
          <w:r w:rsidR="001C7779">
            <w:t xml:space="preserve"> MAP increased by 14 TJ </w:t>
          </w:r>
          <w:r w:rsidR="004C32B0">
            <w:t>while</w:t>
          </w:r>
          <w:r w:rsidR="001C7779">
            <w:t xml:space="preserve"> </w:t>
          </w:r>
          <w:r w:rsidR="00CA1616">
            <w:t xml:space="preserve">supply </w:t>
          </w:r>
          <w:r w:rsidR="002C5674">
            <w:t>from</w:t>
          </w:r>
          <w:r w:rsidR="00CA1616">
            <w:t xml:space="preserve"> </w:t>
          </w:r>
          <w:r w:rsidR="001C7779">
            <w:t>SEAGas decreased by 19 TJ.</w:t>
          </w:r>
        </w:p>
        <w:p w:rsidR="009B500E" w:rsidRDefault="00B20697" w:rsidP="0077626C">
          <w:r>
            <w:t>At the same time participants also increased price taker bids (which reflect uninterruptable demand, such as residential gas consumption) by nearly 3 TJ</w:t>
          </w:r>
          <w:r w:rsidR="00B621D6">
            <w:t>.</w:t>
          </w:r>
        </w:p>
        <w:p w:rsidR="00A44E42" w:rsidRDefault="00F500F4" w:rsidP="0077626C">
          <w:r>
            <w:lastRenderedPageBreak/>
            <w:t>On the day, however,</w:t>
          </w:r>
          <w:r w:rsidR="00A44E42">
            <w:t xml:space="preserve"> the MAP was operating at reduced capacity and was unable to </w:t>
          </w:r>
          <w:r w:rsidR="00D15E02">
            <w:t>deliver the</w:t>
          </w:r>
          <w:r w:rsidR="00A44E42">
            <w:t xml:space="preserve"> full </w:t>
          </w:r>
          <w:r w:rsidR="00D15E02">
            <w:t xml:space="preserve">quantity of gas </w:t>
          </w:r>
          <w:r w:rsidR="00B621D6">
            <w:t>participants wanted</w:t>
          </w:r>
          <w:r w:rsidR="00A44E42">
            <w:t>.</w:t>
          </w:r>
          <w:r>
            <w:t xml:space="preserve"> This reduced the impact of participants shifting low price</w:t>
          </w:r>
          <w:r w:rsidR="000C2B33">
            <w:t>d</w:t>
          </w:r>
          <w:r>
            <w:t xml:space="preserve"> gas offers from SEAGas to the MAP.</w:t>
          </w:r>
        </w:p>
        <w:p w:rsidR="001A4D36" w:rsidRDefault="0077626C" w:rsidP="00C55FDC">
          <w:r w:rsidRPr="001C28FD">
            <w:t>While the default capacity on the MAP is around 160 TJ, on the day its capacity was</w:t>
          </w:r>
          <w:r>
            <w:t xml:space="preserve"> much less.</w:t>
          </w:r>
          <w:r>
            <w:rPr>
              <w:rStyle w:val="FootnoteReference"/>
            </w:rPr>
            <w:footnoteReference w:id="23"/>
          </w:r>
          <w:r w:rsidR="000C2B33">
            <w:t xml:space="preserve"> </w:t>
          </w:r>
          <w:r w:rsidR="00604189">
            <w:t>In the provisional schedule</w:t>
          </w:r>
          <w:r w:rsidR="003A7C97">
            <w:t xml:space="preserve"> issued</w:t>
          </w:r>
          <w:r w:rsidR="00604189">
            <w:t xml:space="preserve"> 3 days before the gas day </w:t>
          </w:r>
          <w:r w:rsidR="00604189" w:rsidRPr="00604189">
            <w:rPr>
              <w:b/>
            </w:rPr>
            <w:t>(D-3)</w:t>
          </w:r>
          <w:r w:rsidR="00604189">
            <w:t xml:space="preserve">, the MAP was expected to </w:t>
          </w:r>
          <w:r>
            <w:t>have the capacity</w:t>
          </w:r>
          <w:r w:rsidR="00604189">
            <w:t xml:space="preserve"> to deliver around </w:t>
          </w:r>
          <w:r w:rsidR="001A4D36">
            <w:t>106</w:t>
          </w:r>
          <w:r w:rsidR="00604189">
            <w:t xml:space="preserve"> TJ into Adelaide. This was </w:t>
          </w:r>
          <w:r w:rsidR="00B621D6">
            <w:t>reduced to 56 TJ</w:t>
          </w:r>
          <w:r w:rsidR="00604189">
            <w:t xml:space="preserve"> in the</w:t>
          </w:r>
          <w:r w:rsidR="001A4D36">
            <w:t xml:space="preserve"> </w:t>
          </w:r>
          <w:r>
            <w:t xml:space="preserve">next </w:t>
          </w:r>
          <w:r w:rsidR="00604189">
            <w:t xml:space="preserve">provisional schedule </w:t>
          </w:r>
          <w:r w:rsidR="001A4D36">
            <w:t>(</w:t>
          </w:r>
          <w:r w:rsidR="00BC7843">
            <w:t xml:space="preserve">issued </w:t>
          </w:r>
          <w:r w:rsidR="00604189">
            <w:t>2 days before the gas day</w:t>
          </w:r>
          <w:r w:rsidR="001A4D36">
            <w:t>, or “</w:t>
          </w:r>
          <w:r w:rsidR="001A4D36">
            <w:rPr>
              <w:b/>
            </w:rPr>
            <w:t>D-2</w:t>
          </w:r>
          <w:r w:rsidR="001A4D36">
            <w:t xml:space="preserve">”). </w:t>
          </w:r>
        </w:p>
        <w:p w:rsidR="00BA6591" w:rsidRDefault="009D359E" w:rsidP="009D359E">
          <w:r>
            <w:t>The D-1 schedule</w:t>
          </w:r>
          <w:r w:rsidR="001A4D36">
            <w:t xml:space="preserve"> could only </w:t>
          </w:r>
          <w:r>
            <w:t>allocate</w:t>
          </w:r>
          <w:r w:rsidR="00CE3E98">
            <w:t xml:space="preserve"> </w:t>
          </w:r>
          <w:r w:rsidR="001A4D36">
            <w:t>41 TJ</w:t>
          </w:r>
          <w:r w:rsidR="00CE3E98">
            <w:t xml:space="preserve"> to be supplied into Adelaide from the MAP.</w:t>
          </w:r>
          <w:r w:rsidR="0077626C">
            <w:t xml:space="preserve"> This was despite</w:t>
          </w:r>
          <w:r>
            <w:t xml:space="preserve"> participants submitting</w:t>
          </w:r>
          <w:r w:rsidR="0077626C">
            <w:t xml:space="preserve"> over 52 TJ of gas offers priced below </w:t>
          </w:r>
          <w:r w:rsidR="004E7E65">
            <w:t>the ex </w:t>
          </w:r>
          <w:r w:rsidR="004E7CCD">
            <w:t>ante price of $18.99/GJ.</w:t>
          </w:r>
          <w:r w:rsidR="00BA6591">
            <w:t xml:space="preserve"> We will comment further on the cause of fluctuations in capacity available to the Adelaide STTM on the MAP in our July report.</w:t>
          </w:r>
        </w:p>
        <w:p w:rsidR="00BA2DC8" w:rsidRDefault="00BA2DC8" w:rsidP="00BA2DC8">
          <w:r>
            <w:fldChar w:fldCharType="begin"/>
          </w:r>
          <w:r>
            <w:instrText xml:space="preserve"> REF _Ref459210196 \h </w:instrText>
          </w:r>
          <w:r>
            <w:fldChar w:fldCharType="separate"/>
          </w:r>
          <w:r w:rsidR="003F58C8">
            <w:t>Figure </w:t>
          </w:r>
          <w:r w:rsidR="003F58C8">
            <w:rPr>
              <w:noProof/>
            </w:rPr>
            <w:t>7</w:t>
          </w:r>
          <w:r>
            <w:fldChar w:fldCharType="end"/>
          </w:r>
          <w:r>
            <w:t xml:space="preserve"> below illustrates the changes to offers made by participants for both the MAP and SEAGas across the provisional and ex ante schedules.</w:t>
          </w:r>
        </w:p>
        <w:p w:rsidR="00BA2DC8" w:rsidRDefault="00BA2DC8" w:rsidP="00BA2DC8">
          <w:pPr>
            <w:pStyle w:val="Caption"/>
          </w:pPr>
          <w:bookmarkStart w:id="37" w:name="_Ref459210196"/>
          <w:r>
            <w:t>Figure</w:t>
          </w:r>
          <w:r w:rsidR="00E145B1">
            <w:t> </w:t>
          </w:r>
          <w:r w:rsidR="00FF3F63">
            <w:fldChar w:fldCharType="begin"/>
          </w:r>
          <w:r w:rsidR="00FF3F63">
            <w:instrText xml:space="preserve"> SEQ Figure \* ARABIC </w:instrText>
          </w:r>
          <w:r w:rsidR="00FF3F63">
            <w:fldChar w:fldCharType="separate"/>
          </w:r>
          <w:r w:rsidR="003F58C8">
            <w:rPr>
              <w:noProof/>
            </w:rPr>
            <w:t>7</w:t>
          </w:r>
          <w:r w:rsidR="00FF3F63">
            <w:rPr>
              <w:noProof/>
            </w:rPr>
            <w:fldChar w:fldCharType="end"/>
          </w:r>
          <w:bookmarkEnd w:id="37"/>
          <w:r>
            <w:t>: Adelaide STTM, 24 June 2016, supply offers for provisional and ex ante schedules for the MAP (left) and SEAGas (right)</w:t>
          </w:r>
        </w:p>
        <w:p w:rsidR="00BA2DC8" w:rsidRDefault="00F95DD3" w:rsidP="009D359E">
          <w:r w:rsidRPr="00F95DD3">
            <w:rPr>
              <w:noProof/>
              <w:lang w:eastAsia="en-AU"/>
            </w:rPr>
            <w:drawing>
              <wp:inline distT="0" distB="0" distL="0" distR="0" wp14:anchorId="68C3FA47" wp14:editId="41655DCB">
                <wp:extent cx="5382895" cy="2516888"/>
                <wp:effectExtent l="0" t="0" r="8255" b="0"/>
                <wp:docPr id="24" name="Picture 24" descr="Figure 7 shows the daily hub offers (to sell gas) within certain price bands for the 24 June gas day in Adelaide. Offers are split across the two pipelines supplying the Adelaide hub, the Moomba to Adelaide Pipeline on the left and the SEA Gas Pipeline on the right. The line indicates the provisional and ex ante schedule prices based on the marginal offer/bid, while the quantity of gas scheduled is also split by pipe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5382895" cy="2516888"/>
                        </a:xfrm>
                        <a:prstGeom prst="rect">
                          <a:avLst/>
                        </a:prstGeom>
                        <a:noFill/>
                        <a:ln>
                          <a:noFill/>
                        </a:ln>
                      </pic:spPr>
                    </pic:pic>
                  </a:graphicData>
                </a:graphic>
              </wp:inline>
            </w:drawing>
          </w:r>
        </w:p>
        <w:p w:rsidR="00D15E02" w:rsidRDefault="000C2B33" w:rsidP="00C55FDC">
          <w:r>
            <w:t xml:space="preserve">To cover the shortfall, more </w:t>
          </w:r>
          <w:r w:rsidR="00B621D6">
            <w:t>gas</w:t>
          </w:r>
          <w:r>
            <w:t xml:space="preserve"> was needed to be sourced from SEAGas. This additional gas came at a higher price following the reduction of lo</w:t>
          </w:r>
          <w:r w:rsidR="00677119">
            <w:t xml:space="preserve">w priced gas offers on SEAGas. </w:t>
          </w:r>
          <w:r>
            <w:t xml:space="preserve">This was a key contributor to the </w:t>
          </w:r>
          <w:r w:rsidR="00A44E42">
            <w:t>Adelaide price incre</w:t>
          </w:r>
          <w:r>
            <w:t>asing</w:t>
          </w:r>
          <w:r w:rsidR="00A44E42">
            <w:t xml:space="preserve"> from $8.59/GJ to $18.99/GJ between the D-2 and the </w:t>
          </w:r>
          <w:r w:rsidR="009D359E">
            <w:t>D-1</w:t>
          </w:r>
          <w:r w:rsidR="00A44E42">
            <w:t xml:space="preserve"> schedules (a</w:t>
          </w:r>
          <w:r w:rsidR="00B20697">
            <w:t xml:space="preserve"> variation </w:t>
          </w:r>
          <w:r w:rsidR="00A44E42">
            <w:t>of $10.40/GJ).</w:t>
          </w:r>
          <w:r w:rsidR="006B3F3F">
            <w:rPr>
              <w:rStyle w:val="FootnoteReference"/>
            </w:rPr>
            <w:footnoteReference w:id="24"/>
          </w:r>
        </w:p>
        <w:p w:rsidR="007E11C7" w:rsidRDefault="007501F5" w:rsidP="007E11C7">
          <w:pPr>
            <w:pStyle w:val="Heading2"/>
          </w:pPr>
          <w:bookmarkStart w:id="38" w:name="_Toc460417315"/>
          <w:r>
            <w:t xml:space="preserve">Sunday 26 </w:t>
          </w:r>
          <w:r w:rsidR="007E11C7">
            <w:t>June 2016</w:t>
          </w:r>
          <w:bookmarkEnd w:id="38"/>
        </w:p>
        <w:p w:rsidR="007E11C7" w:rsidRDefault="00C62D8B" w:rsidP="007E11C7">
          <w:r>
            <w:rPr>
              <w:noProof/>
              <w:lang w:eastAsia="en-AU"/>
            </w:rPr>
            <mc:AlternateContent>
              <mc:Choice Requires="wps">
                <w:drawing>
                  <wp:anchor distT="0" distB="0" distL="114300" distR="114300" simplePos="0" relativeHeight="251663360" behindDoc="0" locked="0" layoutInCell="1" allowOverlap="1" wp14:anchorId="68CC1314" wp14:editId="7804DA67">
                    <wp:simplePos x="0" y="0"/>
                    <wp:positionH relativeFrom="column">
                      <wp:posOffset>14893</wp:posOffset>
                    </wp:positionH>
                    <wp:positionV relativeFrom="paragraph">
                      <wp:posOffset>166478</wp:posOffset>
                    </wp:positionV>
                    <wp:extent cx="5399549" cy="681487"/>
                    <wp:effectExtent l="0" t="0" r="10795" b="23495"/>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99549" cy="681487"/>
                            </a:xfrm>
                            <a:prstGeom prst="rect">
                              <a:avLst/>
                            </a:prstGeom>
                            <a:solidFill>
                              <a:srgbClr val="DBE5F1"/>
                            </a:solidFill>
                            <a:ln w="9525">
                              <a:solidFill>
                                <a:srgbClr val="000000"/>
                              </a:solidFill>
                              <a:miter lim="800000"/>
                              <a:headEnd/>
                              <a:tailEnd/>
                            </a:ln>
                          </wps:spPr>
                          <wps:txbx>
                            <w:txbxContent>
                              <w:p w:rsidR="00DA1078" w:rsidRDefault="00DA1078" w:rsidP="00C62D8B">
                                <w:pPr>
                                  <w:ind w:left="2160" w:hanging="2160"/>
                                </w:pPr>
                                <w:r>
                                  <w:rPr>
                                    <w:b/>
                                  </w:rPr>
                                  <w:t>Sydney</w:t>
                                </w:r>
                                <w:r w:rsidRPr="0051165D">
                                  <w:rPr>
                                    <w:b/>
                                  </w:rPr>
                                  <w:t xml:space="preserve"> STTM:</w:t>
                                </w:r>
                                <w:r>
                                  <w:tab/>
                                  <w:t xml:space="preserve">There </w:t>
                                </w:r>
                                <w:r w:rsidRPr="00973418">
                                  <w:t xml:space="preserve">was a $7.78/GJ variation between the D-1 schedule price ($10.11/GJ) and </w:t>
                                </w:r>
                                <w:r>
                                  <w:t xml:space="preserve">the </w:t>
                                </w:r>
                                <w:r w:rsidRPr="00973418">
                                  <w:t>D+1 schedule price ($17.89/GJ).</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left:0;text-align:left;margin-left:1.15pt;margin-top:13.1pt;width:425.15pt;height:53.6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" fillcolor="#dbe5f1">
                    <v:textbox>
                      <w:txbxContent>
                        <w:p w:rsidR="00DA1078" w:rsidRDefault="00DA1078" w:rsidP="00C62D8B">
                          <w:pPr>
                            <w:ind w:left="2160" w:hanging="2160"/>
                          </w:pPr>
                          <w:r>
                            <w:rPr>
                              <w:b/>
                            </w:rPr>
                            <w:t>Sydney</w:t>
                          </w:r>
                          <w:r w:rsidRPr="0051165D">
                            <w:rPr>
                              <w:b/>
                            </w:rPr>
                            <w:t xml:space="preserve"> STTM:</w:t>
                          </w:r>
                          <w:r>
                            <w:tab/>
                            <w:t xml:space="preserve">There </w:t>
                          </w:r>
                          <w:r w:rsidRPr="00973418">
                            <w:t xml:space="preserve">was a $7.78/GJ variation between the D-1 schedule price ($10.11/GJ) and </w:t>
                          </w:r>
                          <w:r>
                            <w:t xml:space="preserve">the </w:t>
                          </w:r>
                          <w:r w:rsidRPr="00973418">
                            <w:t>D+1 schedule price ($17.89/GJ).</w:t>
                          </w:r>
                        </w:p>
                      </w:txbxContent>
                    </v:textbox>
                  </v:shape>
                </w:pict>
              </mc:Fallback>
            </mc:AlternateContent>
          </w:r>
        </w:p>
        <w:p w:rsidR="006F692A" w:rsidRDefault="006F692A" w:rsidP="007E11C7"/>
        <w:p w:rsidR="00B621D6" w:rsidRDefault="00B621D6" w:rsidP="007E11C7"/>
        <w:p w:rsidR="00B41FF7" w:rsidRDefault="00B41FF7" w:rsidP="007E11C7">
          <w:r>
            <w:t xml:space="preserve">A schedule is produced the day after the gas day </w:t>
          </w:r>
          <w:r>
            <w:rPr>
              <w:b/>
            </w:rPr>
            <w:t>(the D+1</w:t>
          </w:r>
          <w:r>
            <w:t xml:space="preserve"> or </w:t>
          </w:r>
          <w:r>
            <w:rPr>
              <w:b/>
            </w:rPr>
            <w:t>‘ex post schedule’)</w:t>
          </w:r>
          <w:r w:rsidR="00B621D6">
            <w:t xml:space="preserve"> to take into account </w:t>
          </w:r>
          <w:r>
            <w:t>actual demand and pipeline flows on the day.</w:t>
          </w:r>
        </w:p>
        <w:p w:rsidR="00FB11D2" w:rsidRDefault="00EB4703" w:rsidP="008D06FE">
          <w:pPr>
            <w:spacing w:line="264" w:lineRule="auto"/>
          </w:pPr>
          <w:r>
            <w:t xml:space="preserve">When the price changes from the D-1 to the D+1 </w:t>
          </w:r>
          <w:r>
            <w:rPr>
              <w:b/>
            </w:rPr>
            <w:t>(ex post)</w:t>
          </w:r>
          <w:r>
            <w:t xml:space="preserve"> schedules, it reflects a physical imbalance at the hub</w:t>
          </w:r>
          <w:r w:rsidR="00917EC0">
            <w:t xml:space="preserve">. If there was a straight line supply curve (see below), it would follow that </w:t>
          </w:r>
          <w:r w:rsidR="00FB11D2">
            <w:t xml:space="preserve">the larger the difference in </w:t>
          </w:r>
          <w:r w:rsidR="00917EC0">
            <w:t>price, the larger the imbalance. However with stepped supply curves the effect of an imbalance on price depends – a small imbalance could cause a large price change or a large imbalance, only a small price change.</w:t>
          </w:r>
        </w:p>
        <w:p w:rsidR="00FB11D2" w:rsidRDefault="00FB11D2" w:rsidP="008D06FE">
          <w:pPr>
            <w:spacing w:line="264" w:lineRule="auto"/>
          </w:pPr>
          <w:r>
            <w:t xml:space="preserve">The $7.78/GJ increase from the D-1 to the D+1 schedules occurred because actual demand on the day was </w:t>
          </w:r>
          <w:r w:rsidR="00047668">
            <w:t>around 9.5 </w:t>
          </w:r>
          <w:r>
            <w:t>TJ higher than forecast in the D-1 schedule.</w:t>
          </w:r>
        </w:p>
        <w:p w:rsidR="00FB11D2" w:rsidRPr="006B3F3F" w:rsidRDefault="00670B02" w:rsidP="008D06FE">
          <w:pPr>
            <w:spacing w:line="264" w:lineRule="auto"/>
          </w:pPr>
          <w:r>
            <w:t>While this indicates</w:t>
          </w:r>
          <w:r w:rsidR="00047668">
            <w:t xml:space="preserve"> that overall hub demand was under forecast in the D-1 schedule, analysis </w:t>
          </w:r>
          <w:r>
            <w:t>suggests</w:t>
          </w:r>
          <w:r w:rsidR="00047668">
            <w:t xml:space="preserve"> it </w:t>
          </w:r>
          <w:r w:rsidR="006B3F3F">
            <w:t xml:space="preserve">did not cause significant market operator service </w:t>
          </w:r>
          <w:r w:rsidR="006B3F3F">
            <w:rPr>
              <w:b/>
            </w:rPr>
            <w:t xml:space="preserve">(MOS </w:t>
          </w:r>
          <w:r w:rsidR="006B3F3F">
            <w:t>– or ‘</w:t>
          </w:r>
          <w:r w:rsidR="006B3F3F" w:rsidRPr="006B3F3F">
            <w:rPr>
              <w:b/>
            </w:rPr>
            <w:t>balancing gas’</w:t>
          </w:r>
          <w:r w:rsidR="006B3F3F">
            <w:rPr>
              <w:b/>
            </w:rPr>
            <w:t>)</w:t>
          </w:r>
          <w:r w:rsidR="006B3F3F">
            <w:t xml:space="preserve"> outcomes.</w:t>
          </w:r>
          <w:r w:rsidR="001C1E43">
            <w:rPr>
              <w:rStyle w:val="FootnoteReference"/>
            </w:rPr>
            <w:footnoteReference w:id="25"/>
          </w:r>
        </w:p>
        <w:p w:rsidR="00C769C9" w:rsidRDefault="00C769C9" w:rsidP="008D06FE">
          <w:pPr>
            <w:spacing w:line="264" w:lineRule="auto"/>
          </w:pPr>
          <w:r>
            <w:fldChar w:fldCharType="begin"/>
          </w:r>
          <w:r>
            <w:instrText xml:space="preserve"> REF _Ref457472758 \h </w:instrText>
          </w:r>
          <w:r>
            <w:fldChar w:fldCharType="separate"/>
          </w:r>
          <w:r w:rsidR="003F58C8">
            <w:t>Figure </w:t>
          </w:r>
          <w:r w:rsidR="003F58C8">
            <w:rPr>
              <w:noProof/>
            </w:rPr>
            <w:t>8</w:t>
          </w:r>
          <w:r>
            <w:fldChar w:fldCharType="end"/>
          </w:r>
          <w:r>
            <w:t xml:space="preserve"> below illustrates participants’ bids (the red line) and offers (the blue line) for the D-1 schedule</w:t>
          </w:r>
          <w:r w:rsidR="00B621D6">
            <w:t>,</w:t>
          </w:r>
          <w:r>
            <w:t xml:space="preserve"> and the D+1 ex post bids curve (the green dotted line) which takes into account actual demand on the day. </w:t>
          </w:r>
        </w:p>
        <w:p w:rsidR="00AC482C" w:rsidRDefault="00C769C9" w:rsidP="008D06FE">
          <w:pPr>
            <w:spacing w:line="264" w:lineRule="auto"/>
          </w:pPr>
          <w:r>
            <w:t xml:space="preserve">The intersection of the red and blue lines </w:t>
          </w:r>
          <w:r w:rsidR="00B621D6">
            <w:t>shows</w:t>
          </w:r>
          <w:r>
            <w:t xml:space="preserve"> the price and quantity of the D-1 schedule, being $10.11/GJ and 278 TJ respectively. To the right of this point, the blue line s</w:t>
          </w:r>
          <w:r w:rsidR="00FC19D4">
            <w:t>teepens (or becomes more inelastic)</w:t>
          </w:r>
          <w:r w:rsidR="00B621D6">
            <w:t>,</w:t>
          </w:r>
          <w:r w:rsidR="00FC19D4">
            <w:t xml:space="preserve"> meaning that </w:t>
          </w:r>
          <w:r w:rsidR="00D632D6">
            <w:t xml:space="preserve">while </w:t>
          </w:r>
          <w:r w:rsidR="00FC19D4">
            <w:t>gas offers</w:t>
          </w:r>
          <w:r w:rsidR="00D632D6">
            <w:t xml:space="preserve"> are available</w:t>
          </w:r>
          <w:r w:rsidR="00FC19D4">
            <w:t xml:space="preserve"> beyond this point</w:t>
          </w:r>
          <w:r w:rsidR="00D632D6">
            <w:t>, they</w:t>
          </w:r>
          <w:r w:rsidR="00FC19D4">
            <w:t xml:space="preserve"> are at increasingly higher prices</w:t>
          </w:r>
          <w:r w:rsidR="007F09C9">
            <w:t xml:space="preserve"> and lower quantities</w:t>
          </w:r>
          <w:r w:rsidR="00FC19D4">
            <w:t>.</w:t>
          </w:r>
          <w:r w:rsidR="00B621D6">
            <w:rPr>
              <w:rStyle w:val="FootnoteReference"/>
            </w:rPr>
            <w:footnoteReference w:id="26"/>
          </w:r>
        </w:p>
        <w:p w:rsidR="00726715" w:rsidRDefault="00AC482C" w:rsidP="008D06FE">
          <w:pPr>
            <w:spacing w:line="264" w:lineRule="auto"/>
          </w:pPr>
          <w:r>
            <w:t>While t</w:t>
          </w:r>
          <w:r w:rsidR="00FC19D4">
            <w:t xml:space="preserve">he </w:t>
          </w:r>
          <w:r w:rsidR="00726715">
            <w:t>under forecasting of demand</w:t>
          </w:r>
          <w:r w:rsidR="00FC19D4">
            <w:t xml:space="preserve"> in the D-1</w:t>
          </w:r>
          <w:r w:rsidR="00726715">
            <w:t xml:space="preserve"> schedule</w:t>
          </w:r>
          <w:r w:rsidR="00FC19D4">
            <w:t xml:space="preserve"> was relatively small (9.5 TJ, or around 3.</w:t>
          </w:r>
          <w:r>
            <w:t>5 per cent of forecast demand), due to the inelasticity of offers</w:t>
          </w:r>
          <w:r w:rsidR="00726715">
            <w:t xml:space="preserve"> the </w:t>
          </w:r>
          <w:r w:rsidR="009C758F">
            <w:t>D+1</w:t>
          </w:r>
          <w:r w:rsidR="00726715">
            <w:t xml:space="preserve"> price increased by $7.78/GJ in order to satisfy the additional demand (where the blue and green dotted lines intersect).</w:t>
          </w:r>
        </w:p>
        <w:p w:rsidR="00C769C9" w:rsidRDefault="00C769C9" w:rsidP="008D06FE">
          <w:pPr>
            <w:pStyle w:val="Caption"/>
            <w:spacing w:line="240" w:lineRule="auto"/>
          </w:pPr>
          <w:bookmarkStart w:id="39" w:name="_Ref457472758"/>
          <w:r>
            <w:lastRenderedPageBreak/>
            <w:t>Figure</w:t>
          </w:r>
          <w:r w:rsidR="00E145B1">
            <w:t> </w:t>
          </w:r>
          <w:r w:rsidR="00FF3F63">
            <w:fldChar w:fldCharType="begin"/>
          </w:r>
          <w:r w:rsidR="00FF3F63">
            <w:instrText xml:space="preserve"> SEQ Figure \* ARABIC </w:instrText>
          </w:r>
          <w:r w:rsidR="00FF3F63">
            <w:fldChar w:fldCharType="separate"/>
          </w:r>
          <w:r w:rsidR="003F58C8">
            <w:rPr>
              <w:noProof/>
            </w:rPr>
            <w:t>8</w:t>
          </w:r>
          <w:r w:rsidR="00FF3F63">
            <w:rPr>
              <w:noProof/>
            </w:rPr>
            <w:fldChar w:fldCharType="end"/>
          </w:r>
          <w:bookmarkEnd w:id="39"/>
          <w:r>
            <w:t xml:space="preserve">: </w:t>
          </w:r>
          <w:r w:rsidR="006A3B1C">
            <w:t>Sydney STTM, 26 June 2016</w:t>
          </w:r>
          <w:r w:rsidR="001F3290">
            <w:t>, D-1 and D+1 schedules</w:t>
          </w:r>
        </w:p>
        <w:p w:rsidR="00C62D8B" w:rsidRDefault="00C769C9" w:rsidP="007E11C7">
          <w:r>
            <w:rPr>
              <w:rFonts w:asciiTheme="minorHAnsi" w:eastAsia="Times New Roman" w:hAnsiTheme="minorHAnsi" w:cs="Arial"/>
              <w:noProof/>
              <w:lang w:eastAsia="en-AU"/>
            </w:rPr>
            <w:drawing>
              <wp:inline distT="0" distB="0" distL="0" distR="0" wp14:anchorId="6D3B9016" wp14:editId="211380C6">
                <wp:extent cx="5367130" cy="3089895"/>
                <wp:effectExtent l="0" t="0" r="5080" b="0"/>
                <wp:docPr id="2" name="Picture 2" descr="Figure 8 illustrates the ex ante and ex post schedules for 26 June 2016 in Sydney. Prices ($/GJ) are shown on the vertical axis and quantities (TJ) are shown on the horizontal ax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5366780" cy="3089693"/>
                        </a:xfrm>
                        <a:prstGeom prst="rect">
                          <a:avLst/>
                        </a:prstGeom>
                        <a:noFill/>
                        <a:ln>
                          <a:noFill/>
                        </a:ln>
                      </pic:spPr>
                    </pic:pic>
                  </a:graphicData>
                </a:graphic>
              </wp:inline>
            </w:drawing>
          </w:r>
        </w:p>
        <w:p w:rsidR="007E11C7" w:rsidRDefault="007501F5" w:rsidP="007E11C7">
          <w:pPr>
            <w:pStyle w:val="Heading2"/>
          </w:pPr>
          <w:bookmarkStart w:id="40" w:name="_Toc460417316"/>
          <w:r>
            <w:t>Monday 27</w:t>
          </w:r>
          <w:r w:rsidR="007E11C7">
            <w:t xml:space="preserve"> June 2016</w:t>
          </w:r>
          <w:bookmarkEnd w:id="40"/>
        </w:p>
        <w:p w:rsidR="007E11C7" w:rsidRDefault="00096EFD" w:rsidP="007E11C7">
          <w:r>
            <w:rPr>
              <w:noProof/>
              <w:lang w:eastAsia="en-AU"/>
            </w:rPr>
            <mc:AlternateContent>
              <mc:Choice Requires="wps">
                <w:drawing>
                  <wp:anchor distT="0" distB="0" distL="114300" distR="114300" simplePos="0" relativeHeight="251665408" behindDoc="0" locked="0" layoutInCell="1" allowOverlap="1" wp14:anchorId="043FEB40" wp14:editId="23309606">
                    <wp:simplePos x="0" y="0"/>
                    <wp:positionH relativeFrom="column">
                      <wp:posOffset>-635</wp:posOffset>
                    </wp:positionH>
                    <wp:positionV relativeFrom="paragraph">
                      <wp:posOffset>163968</wp:posOffset>
                    </wp:positionV>
                    <wp:extent cx="5399405" cy="1033670"/>
                    <wp:effectExtent l="0" t="0" r="10795" b="14605"/>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99405" cy="1033670"/>
                            </a:xfrm>
                            <a:prstGeom prst="rect">
                              <a:avLst/>
                            </a:prstGeom>
                            <a:solidFill>
                              <a:srgbClr val="DBE5F1"/>
                            </a:solidFill>
                            <a:ln w="9525">
                              <a:solidFill>
                                <a:srgbClr val="000000"/>
                              </a:solidFill>
                              <a:miter lim="800000"/>
                              <a:headEnd/>
                              <a:tailEnd/>
                            </a:ln>
                          </wps:spPr>
                          <wps:txbx>
                            <w:txbxContent>
                              <w:p w:rsidR="00DA1078" w:rsidRDefault="00DA1078" w:rsidP="00096EFD">
                                <w:pPr>
                                  <w:ind w:left="2160" w:hanging="2160"/>
                                </w:pPr>
                                <w:r>
                                  <w:rPr>
                                    <w:b/>
                                  </w:rPr>
                                  <w:t>Sydney</w:t>
                                </w:r>
                                <w:r w:rsidRPr="0051165D">
                                  <w:rPr>
                                    <w:b/>
                                  </w:rPr>
                                  <w:t xml:space="preserve"> STTM:</w:t>
                                </w:r>
                                <w:r>
                                  <w:tab/>
                                  <w:t xml:space="preserve">There </w:t>
                                </w:r>
                                <w:r w:rsidRPr="00973418">
                                  <w:t xml:space="preserve">was a </w:t>
                                </w:r>
                                <w:r w:rsidRPr="00893889">
                                  <w:t>$12.40/GJ variation between the D-1 schedule price ($12.10/GJ) and the D+1 schedule price ($24.50</w:t>
                                </w:r>
                                <w:r>
                                  <w:t>).</w:t>
                                </w:r>
                              </w:p>
                              <w:p w:rsidR="00DA1078" w:rsidRPr="00096EFD" w:rsidRDefault="00DA1078" w:rsidP="00096EFD">
                                <w:pPr>
                                  <w:ind w:left="2160" w:hanging="2160"/>
                                </w:pPr>
                                <w:r>
                                  <w:rPr>
                                    <w:b/>
                                  </w:rPr>
                                  <w:t>Victorian market:</w:t>
                                </w:r>
                                <w:r>
                                  <w:tab/>
                                  <w:t>The imbalance price reached $25.7</w:t>
                                </w:r>
                                <w:r w:rsidRPr="00893889">
                                  <w:t>4/GJ.</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left:0;text-align:left;margin-left:-.05pt;margin-top:12.9pt;width:425.15pt;height:81.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" fillcolor="#dbe5f1">
                    <v:textbox>
                      <w:txbxContent>
                        <w:p w:rsidR="00DA1078" w:rsidRDefault="00DA1078" w:rsidP="00096EFD">
                          <w:pPr>
                            <w:ind w:left="2160" w:hanging="2160"/>
                          </w:pPr>
                          <w:r>
                            <w:rPr>
                              <w:b/>
                            </w:rPr>
                            <w:t>Sydney</w:t>
                          </w:r>
                          <w:r w:rsidRPr="0051165D">
                            <w:rPr>
                              <w:b/>
                            </w:rPr>
                            <w:t xml:space="preserve"> STTM:</w:t>
                          </w:r>
                          <w:r>
                            <w:tab/>
                            <w:t xml:space="preserve">There </w:t>
                          </w:r>
                          <w:r w:rsidRPr="00973418">
                            <w:t xml:space="preserve">was a </w:t>
                          </w:r>
                          <w:r w:rsidRPr="00893889">
                            <w:t>$12.40/GJ variation between the D-1 schedule price ($12.10/GJ) and the D+1 schedule price ($24.50</w:t>
                          </w:r>
                          <w:r>
                            <w:t>).</w:t>
                          </w:r>
                        </w:p>
                        <w:p w:rsidR="00DA1078" w:rsidRPr="00096EFD" w:rsidRDefault="00DA1078" w:rsidP="00096EFD">
                          <w:pPr>
                            <w:ind w:left="2160" w:hanging="2160"/>
                          </w:pPr>
                          <w:r>
                            <w:rPr>
                              <w:b/>
                            </w:rPr>
                            <w:t>Victorian market:</w:t>
                          </w:r>
                          <w:r>
                            <w:tab/>
                            <w:t>The imbalance price reached $25.7</w:t>
                          </w:r>
                          <w:r w:rsidRPr="00893889">
                            <w:t>4/GJ.</w:t>
                          </w:r>
                        </w:p>
                      </w:txbxContent>
                    </v:textbox>
                  </v:shape>
                </w:pict>
              </mc:Fallback>
            </mc:AlternateContent>
          </w:r>
        </w:p>
        <w:p w:rsidR="00096EFD" w:rsidRDefault="00096EFD" w:rsidP="007E11C7"/>
        <w:p w:rsidR="00096EFD" w:rsidRDefault="00096EFD" w:rsidP="007E11C7"/>
        <w:p w:rsidR="00096EFD" w:rsidRDefault="00096EFD" w:rsidP="007E11C7"/>
        <w:p w:rsidR="001F3290" w:rsidRDefault="001F3290" w:rsidP="001F3290">
          <w:pPr>
            <w:pStyle w:val="Heading4notnumbered"/>
          </w:pPr>
          <w:r>
            <w:t>Sydney</w:t>
          </w:r>
        </w:p>
        <w:p w:rsidR="009C758F" w:rsidRDefault="009C758F" w:rsidP="008D06FE">
          <w:pPr>
            <w:spacing w:line="264" w:lineRule="auto"/>
          </w:pPr>
          <w:r>
            <w:t>The $12.40/GJ increase from the D-1 to the D+1 schedules occurred because actual demand on the day was around 13 TJ higher than forecast in the D-1 schedule.</w:t>
          </w:r>
        </w:p>
        <w:p w:rsidR="009C758F" w:rsidRDefault="00670B02" w:rsidP="008D06FE">
          <w:pPr>
            <w:spacing w:line="264" w:lineRule="auto"/>
          </w:pPr>
          <w:r>
            <w:t>While this indicates</w:t>
          </w:r>
          <w:r w:rsidR="009C758F">
            <w:t xml:space="preserve"> that overall hub demand was under forecast in the D-1 schedule, </w:t>
          </w:r>
          <w:r>
            <w:t xml:space="preserve">analysis suggests </w:t>
          </w:r>
          <w:r w:rsidR="009C758F">
            <w:t xml:space="preserve">it </w:t>
          </w:r>
          <w:r w:rsidR="001C1E43">
            <w:t>did not cause significant MOS outcomes.</w:t>
          </w:r>
          <w:r w:rsidR="001C1E43">
            <w:rPr>
              <w:rStyle w:val="FootnoteReference"/>
            </w:rPr>
            <w:footnoteReference w:id="27"/>
          </w:r>
        </w:p>
        <w:p w:rsidR="00442C9C" w:rsidRPr="001478ED" w:rsidRDefault="009B500E" w:rsidP="008D06FE">
          <w:pPr>
            <w:spacing w:line="264" w:lineRule="auto"/>
          </w:pPr>
          <w:r>
            <w:fldChar w:fldCharType="begin"/>
          </w:r>
          <w:r>
            <w:instrText xml:space="preserve"> REF _Ref458431597 \h </w:instrText>
          </w:r>
          <w:r>
            <w:fldChar w:fldCharType="separate"/>
          </w:r>
          <w:r w:rsidR="003F58C8">
            <w:t>Figure </w:t>
          </w:r>
          <w:r w:rsidR="003F58C8">
            <w:rPr>
              <w:noProof/>
            </w:rPr>
            <w:t>9</w:t>
          </w:r>
          <w:r>
            <w:fldChar w:fldCharType="end"/>
          </w:r>
          <w:r>
            <w:t xml:space="preserve"> </w:t>
          </w:r>
          <w:r w:rsidR="00442C9C" w:rsidRPr="001478ED">
            <w:t xml:space="preserve">below illustrates participants’ bids (the red line) and offers (the blue line) for the D-1 schedule and the D+1 ex post bids curve (the green dotted line). </w:t>
          </w:r>
        </w:p>
        <w:p w:rsidR="00442C9C" w:rsidRPr="001478ED" w:rsidRDefault="00442C9C" w:rsidP="008D06FE">
          <w:pPr>
            <w:spacing w:line="264" w:lineRule="auto"/>
          </w:pPr>
          <w:r w:rsidRPr="001478ED">
            <w:t>The intersection of the red and blue lines identifies the price and quantity of the D-1 schedule, being $</w:t>
          </w:r>
          <w:r>
            <w:t>12</w:t>
          </w:r>
          <w:r w:rsidRPr="001478ED">
            <w:t>.</w:t>
          </w:r>
          <w:r>
            <w:t>10/GJ and 314</w:t>
          </w:r>
          <w:r w:rsidRPr="001478ED">
            <w:t xml:space="preserve"> TJ respectively. </w:t>
          </w:r>
        </w:p>
        <w:p w:rsidR="00442C9C" w:rsidRDefault="00442C9C" w:rsidP="008D06FE">
          <w:pPr>
            <w:spacing w:line="264" w:lineRule="auto"/>
          </w:pPr>
          <w:r>
            <w:t>The figure also highlights the increasingly higher prices and lower quantities of supply offers beyond around $12–13/GJ.</w:t>
          </w:r>
        </w:p>
        <w:p w:rsidR="00155614" w:rsidRDefault="00442C9C" w:rsidP="008D06FE">
          <w:pPr>
            <w:spacing w:line="264" w:lineRule="auto"/>
          </w:pPr>
          <w:r>
            <w:lastRenderedPageBreak/>
            <w:t xml:space="preserve">Due to the inelasticity of offers, </w:t>
          </w:r>
          <w:r w:rsidR="009C758F">
            <w:t>the D</w:t>
          </w:r>
          <w:r w:rsidR="003B2190">
            <w:t>+1 price increased by $12.40/GJ (to</w:t>
          </w:r>
          <w:r w:rsidR="009C758F">
            <w:t xml:space="preserve"> $24.50/GJ) in order to satisfy the additional demand (where the blue and green dotted lines intersect).</w:t>
          </w:r>
        </w:p>
        <w:p w:rsidR="00155614" w:rsidRDefault="00155614" w:rsidP="00155614">
          <w:pPr>
            <w:pStyle w:val="Caption"/>
          </w:pPr>
          <w:bookmarkStart w:id="41" w:name="_Ref458431597"/>
          <w:r>
            <w:t>Figure</w:t>
          </w:r>
          <w:r w:rsidR="00E145B1">
            <w:t> </w:t>
          </w:r>
          <w:r w:rsidR="00FF3F63">
            <w:fldChar w:fldCharType="begin"/>
          </w:r>
          <w:r w:rsidR="00FF3F63">
            <w:instrText xml:space="preserve"> SEQ Figure \* ARABIC </w:instrText>
          </w:r>
          <w:r w:rsidR="00FF3F63">
            <w:fldChar w:fldCharType="separate"/>
          </w:r>
          <w:r w:rsidR="003F58C8">
            <w:rPr>
              <w:noProof/>
            </w:rPr>
            <w:t>9</w:t>
          </w:r>
          <w:r w:rsidR="00FF3F63">
            <w:rPr>
              <w:noProof/>
            </w:rPr>
            <w:fldChar w:fldCharType="end"/>
          </w:r>
          <w:bookmarkEnd w:id="41"/>
          <w:r>
            <w:t>: Sydney STTM, 27 June 201</w:t>
          </w:r>
          <w:r w:rsidR="006A3B1C">
            <w:t>6</w:t>
          </w:r>
          <w:r>
            <w:t>, D-1 and D+1 schedules</w:t>
          </w:r>
        </w:p>
        <w:p w:rsidR="00155614" w:rsidRDefault="00155614" w:rsidP="00155614">
          <w:r>
            <w:rPr>
              <w:rFonts w:asciiTheme="minorHAnsi" w:eastAsia="Times New Roman" w:hAnsiTheme="minorHAnsi" w:cs="Arial"/>
              <w:noProof/>
              <w:lang w:eastAsia="en-AU"/>
            </w:rPr>
            <w:drawing>
              <wp:inline distT="0" distB="0" distL="0" distR="0" wp14:anchorId="19F81842" wp14:editId="5DC758AB">
                <wp:extent cx="5372620" cy="3093057"/>
                <wp:effectExtent l="0" t="0" r="0" b="0"/>
                <wp:docPr id="8" name="Picture 8" descr="Figure 9 illustrates the ex ante and ex post schedules for 27 June 2016 in Sydney. Prices ($/GJ) are shown on the vertical axis and quantities (TJ) are shown on the horizontal ax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5377709" cy="3095987"/>
                        </a:xfrm>
                        <a:prstGeom prst="rect">
                          <a:avLst/>
                        </a:prstGeom>
                        <a:noFill/>
                        <a:ln>
                          <a:noFill/>
                        </a:ln>
                      </pic:spPr>
                    </pic:pic>
                  </a:graphicData>
                </a:graphic>
              </wp:inline>
            </w:drawing>
          </w:r>
        </w:p>
        <w:p w:rsidR="006402E4" w:rsidRDefault="006402E4" w:rsidP="006402E4">
          <w:pPr>
            <w:pStyle w:val="Heading4notnumbered"/>
          </w:pPr>
          <w:r>
            <w:t>Victoria</w:t>
          </w:r>
        </w:p>
        <w:p w:rsidR="00560CCF" w:rsidRDefault="001D0365" w:rsidP="001D0365">
          <w:r>
            <w:t xml:space="preserve">High prices were </w:t>
          </w:r>
          <w:r w:rsidR="00560CCF">
            <w:t>forecast</w:t>
          </w:r>
          <w:r>
            <w:t xml:space="preserve"> in Victoria in the lead up to the gas day. </w:t>
          </w:r>
        </w:p>
        <w:p w:rsidR="001D0365" w:rsidRDefault="00321AB7" w:rsidP="001D0365">
          <w:r>
            <w:t>One</w:t>
          </w:r>
          <w:r w:rsidR="004339C9">
            <w:t xml:space="preserve"> day</w:t>
          </w:r>
          <w:r w:rsidR="0023016C">
            <w:t xml:space="preserve"> before the gas day</w:t>
          </w:r>
          <w:r w:rsidR="001D0365">
            <w:t xml:space="preserve"> AEM</w:t>
          </w:r>
          <w:r w:rsidR="00560CCF">
            <w:t>O forecast the Victorian price c</w:t>
          </w:r>
          <w:r w:rsidR="001D0365">
            <w:t xml:space="preserve">ould reach $37/GJ based on demand of </w:t>
          </w:r>
          <w:r w:rsidR="001D0365" w:rsidRPr="006D0401">
            <w:t xml:space="preserve">around </w:t>
          </w:r>
          <w:r w:rsidR="006D0401">
            <w:t>1.11 </w:t>
          </w:r>
          <w:r w:rsidR="001D0365" w:rsidRPr="006D0401">
            <w:t>PJ.</w:t>
          </w:r>
          <w:r w:rsidR="00E73046">
            <w:rPr>
              <w:rStyle w:val="FootnoteReference"/>
            </w:rPr>
            <w:footnoteReference w:id="28"/>
          </w:r>
        </w:p>
        <w:p w:rsidR="00560CCF" w:rsidRDefault="00560CCF" w:rsidP="00560CCF">
          <w:r>
            <w:t>On the day, demand was 1.</w:t>
          </w:r>
          <w:r w:rsidRPr="00043A64">
            <w:t xml:space="preserve">1 PJ. </w:t>
          </w:r>
          <w:r w:rsidR="00043A64" w:rsidRPr="00043A64">
            <w:t>This was mainly driven by low temperatures (the minimum temperature was less than 5 degrees Celsius) and the resulting high demand from households using gas for heating.</w:t>
          </w:r>
          <w:r w:rsidR="005F495A">
            <w:t xml:space="preserve"> </w:t>
          </w:r>
        </w:p>
        <w:p w:rsidR="00560CCF" w:rsidRDefault="00043A64" w:rsidP="00EA1853">
          <w:r>
            <w:t>The gas price was</w:t>
          </w:r>
          <w:r w:rsidR="00560CCF">
            <w:t xml:space="preserve"> $25.90/GJ at 6 am</w:t>
          </w:r>
          <w:r>
            <w:t xml:space="preserve"> schedule</w:t>
          </w:r>
          <w:r w:rsidR="00560CCF">
            <w:t>. The prices for the remaining schedules of the day were $15.80/GJ at 10 am, $34.81/GJ at 2 pm, $25.45/GJ at 6 pm, and $9.80/GJ at 10 pm.</w:t>
          </w:r>
        </w:p>
        <w:p w:rsidR="00096EFD" w:rsidRDefault="00A037DB" w:rsidP="007E11C7">
          <w:r>
            <w:t xml:space="preserve">The high </w:t>
          </w:r>
          <w:r w:rsidR="00DC1C11">
            <w:t xml:space="preserve">6 am </w:t>
          </w:r>
          <w:r>
            <w:t>price reduced to $15.80/GJ at 10 am following an increase in low priced offers at Iona a</w:t>
          </w:r>
          <w:r w:rsidR="00084EC0">
            <w:t>n</w:t>
          </w:r>
          <w:r>
            <w:t xml:space="preserve">d a reduction </w:t>
          </w:r>
          <w:r w:rsidR="00DC1C11">
            <w:t>in demand forecasts</w:t>
          </w:r>
          <w:r>
            <w:t xml:space="preserve">. However </w:t>
          </w:r>
          <w:r w:rsidR="006E1B99">
            <w:fldChar w:fldCharType="begin"/>
          </w:r>
          <w:r w:rsidR="006E1B99">
            <w:instrText xml:space="preserve"> REF _Ref459993398 \h </w:instrText>
          </w:r>
          <w:r w:rsidR="006E1B99">
            <w:fldChar w:fldCharType="separate"/>
          </w:r>
          <w:r w:rsidR="003F58C8">
            <w:t>Figure </w:t>
          </w:r>
          <w:r w:rsidR="003F58C8">
            <w:rPr>
              <w:noProof/>
            </w:rPr>
            <w:t>10</w:t>
          </w:r>
          <w:r w:rsidR="006E1B99">
            <w:fldChar w:fldCharType="end"/>
          </w:r>
          <w:r w:rsidR="006E1B99">
            <w:t xml:space="preserve"> shows </w:t>
          </w:r>
          <w:r>
            <w:t>the price increased sharply during the 2 pm</w:t>
          </w:r>
          <w:r w:rsidR="00DC1C11">
            <w:t xml:space="preserve"> schedule</w:t>
          </w:r>
          <w:r>
            <w:t xml:space="preserve"> as </w:t>
          </w:r>
          <w:r w:rsidR="00DC1C11">
            <w:t>demand forecasts</w:t>
          </w:r>
          <w:r>
            <w:t xml:space="preserve"> increased by 7.6 TJ to 1120 TJ</w:t>
          </w:r>
          <w:r w:rsidR="00DC1C11">
            <w:t xml:space="preserve">. At </w:t>
          </w:r>
          <w:r>
            <w:t>the same time</w:t>
          </w:r>
          <w:r w:rsidR="00DC1C11">
            <w:t>,</w:t>
          </w:r>
          <w:r>
            <w:t xml:space="preserve"> BassGas</w:t>
          </w:r>
          <w:r w:rsidR="00DC1C11">
            <w:t xml:space="preserve"> tripped and</w:t>
          </w:r>
          <w:r>
            <w:t xml:space="preserve"> </w:t>
          </w:r>
          <w:r w:rsidR="00DC1C11">
            <w:t xml:space="preserve">its </w:t>
          </w:r>
          <w:r>
            <w:t>injections</w:t>
          </w:r>
          <w:r w:rsidR="00DC1C11">
            <w:t xml:space="preserve"> reduced</w:t>
          </w:r>
          <w:r>
            <w:t xml:space="preserve"> to 0 GJ/hour</w:t>
          </w:r>
          <w:r w:rsidR="00DC1C11">
            <w:t>.</w:t>
          </w:r>
          <w:r>
            <w:rPr>
              <w:rStyle w:val="FootnoteReference"/>
            </w:rPr>
            <w:footnoteReference w:id="29"/>
          </w:r>
          <w:r w:rsidR="00B974C2">
            <w:t xml:space="preserve"> This led to the price spiking to $34.81/GJ.</w:t>
          </w:r>
        </w:p>
        <w:p w:rsidR="00BC5516" w:rsidRDefault="00BC5516" w:rsidP="007E11C7">
          <w:r>
            <w:lastRenderedPageBreak/>
            <w:t>For the second time this winter, the NSW-Victoria gas interconnect reversed and supplied 13.4 TJ into Victoria. Again, this</w:t>
          </w:r>
          <w:r w:rsidRPr="00E54C59">
            <w:t xml:space="preserve"> </w:t>
          </w:r>
          <w:r>
            <w:t xml:space="preserve">was driven by </w:t>
          </w:r>
          <w:r w:rsidRPr="00E54C59">
            <w:t xml:space="preserve">the increase </w:t>
          </w:r>
          <w:r>
            <w:t>in</w:t>
          </w:r>
          <w:r w:rsidRPr="00E54C59">
            <w:t xml:space="preserve"> low pr</w:t>
          </w:r>
          <w:r>
            <w:t>iced injection bids at Culcairn.</w:t>
          </w:r>
        </w:p>
        <w:p w:rsidR="00BC5516" w:rsidRDefault="00BC5516" w:rsidP="00BC5516">
          <w:pPr>
            <w:pStyle w:val="Caption"/>
          </w:pPr>
          <w:bookmarkStart w:id="42" w:name="_Ref459993398"/>
          <w:r>
            <w:t>Figure </w:t>
          </w:r>
          <w:r w:rsidR="00FF3F63">
            <w:fldChar w:fldCharType="begin"/>
          </w:r>
          <w:r w:rsidR="00FF3F63">
            <w:instrText xml:space="preserve"> SEQ Figure \* ARABIC </w:instrText>
          </w:r>
          <w:r w:rsidR="00FF3F63">
            <w:fldChar w:fldCharType="separate"/>
          </w:r>
          <w:r w:rsidR="003F58C8">
            <w:rPr>
              <w:noProof/>
            </w:rPr>
            <w:t>10</w:t>
          </w:r>
          <w:r w:rsidR="00FF3F63">
            <w:rPr>
              <w:noProof/>
            </w:rPr>
            <w:fldChar w:fldCharType="end"/>
          </w:r>
          <w:bookmarkEnd w:id="42"/>
          <w:r>
            <w:t>: Injection bids and prices by schedule horizon for 27 June</w:t>
          </w:r>
        </w:p>
        <w:p w:rsidR="00BC5516" w:rsidRPr="008D06FE" w:rsidRDefault="00BC5516" w:rsidP="008D06FE">
          <w:r w:rsidRPr="00982427">
            <w:rPr>
              <w:noProof/>
              <w:lang w:eastAsia="en-AU"/>
            </w:rPr>
            <w:drawing>
              <wp:inline distT="0" distB="0" distL="0" distR="0" wp14:anchorId="2A47688B" wp14:editId="10825FB6">
                <wp:extent cx="5382895" cy="3191911"/>
                <wp:effectExtent l="0" t="0" r="8255" b="8890"/>
                <wp:docPr id="29" name="Picture 29" descr="Figure 10 shows forecast demand, injection bids within certain price bands, and schedule prices for the five scheduling horizons of the 27 June gas day in Victor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5382895" cy="3191911"/>
                        </a:xfrm>
                        <a:prstGeom prst="rect">
                          <a:avLst/>
                        </a:prstGeom>
                        <a:noFill/>
                        <a:ln>
                          <a:noFill/>
                        </a:ln>
                      </pic:spPr>
                    </pic:pic>
                  </a:graphicData>
                </a:graphic>
              </wp:inline>
            </w:drawing>
          </w:r>
        </w:p>
        <w:p w:rsidR="007E11C7" w:rsidRDefault="007501F5" w:rsidP="007E11C7">
          <w:pPr>
            <w:pStyle w:val="Heading2"/>
          </w:pPr>
          <w:bookmarkStart w:id="43" w:name="_Toc460417317"/>
          <w:r>
            <w:t>Tuesday 28</w:t>
          </w:r>
          <w:r w:rsidR="007E11C7">
            <w:t xml:space="preserve"> June 2016</w:t>
          </w:r>
          <w:bookmarkEnd w:id="43"/>
        </w:p>
        <w:p w:rsidR="007E11C7" w:rsidRDefault="00B368DC" w:rsidP="007E11C7">
          <w:r>
            <w:rPr>
              <w:noProof/>
              <w:lang w:eastAsia="en-AU"/>
            </w:rPr>
            <mc:AlternateContent>
              <mc:Choice Requires="wps">
                <w:drawing>
                  <wp:anchor distT="0" distB="0" distL="114300" distR="114300" simplePos="0" relativeHeight="251667456" behindDoc="0" locked="0" layoutInCell="1" allowOverlap="1" wp14:anchorId="636AF1CE" wp14:editId="18CB52CA">
                    <wp:simplePos x="0" y="0"/>
                    <wp:positionH relativeFrom="column">
                      <wp:posOffset>6985</wp:posOffset>
                    </wp:positionH>
                    <wp:positionV relativeFrom="paragraph">
                      <wp:posOffset>149142</wp:posOffset>
                    </wp:positionV>
                    <wp:extent cx="5399405" cy="1200647"/>
                    <wp:effectExtent l="0" t="0" r="10795" b="19050"/>
                    <wp:wrapNone/>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99405" cy="1200647"/>
                            </a:xfrm>
                            <a:prstGeom prst="rect">
                              <a:avLst/>
                            </a:prstGeom>
                            <a:solidFill>
                              <a:srgbClr val="DBE5F1"/>
                            </a:solidFill>
                            <a:ln w="9525">
                              <a:solidFill>
                                <a:srgbClr val="000000"/>
                              </a:solidFill>
                              <a:miter lim="800000"/>
                              <a:headEnd/>
                              <a:tailEnd/>
                            </a:ln>
                          </wps:spPr>
                          <wps:txbx>
                            <w:txbxContent>
                              <w:p w:rsidR="00DA1078" w:rsidRDefault="00DA1078" w:rsidP="004339C9">
                                <w:pPr>
                                  <w:ind w:left="2160" w:hanging="2160"/>
                                </w:pPr>
                                <w:r>
                                  <w:rPr>
                                    <w:b/>
                                  </w:rPr>
                                  <w:t>Sydney</w:t>
                                </w:r>
                                <w:r w:rsidRPr="0051165D">
                                  <w:rPr>
                                    <w:b/>
                                  </w:rPr>
                                  <w:t xml:space="preserve"> STTM:</w:t>
                                </w:r>
                                <w:r>
                                  <w:tab/>
                                  <w:t>There</w:t>
                                </w:r>
                                <w:r w:rsidRPr="00973418">
                                  <w:t xml:space="preserve"> was a $7.68/GJ variation between the D-2 schedule price ($10/GJ) and the</w:t>
                                </w:r>
                                <w:r>
                                  <w:t xml:space="preserve"> D-1 schedule price ($17.68/GJ). </w:t>
                                </w:r>
                              </w:p>
                              <w:p w:rsidR="00DA1078" w:rsidRDefault="00DA1078" w:rsidP="004339C9">
                                <w:pPr>
                                  <w:ind w:left="2160"/>
                                </w:pPr>
                                <w:r>
                                  <w:t>There was also an</w:t>
                                </w:r>
                                <w:r w:rsidRPr="00973418">
                                  <w:t xml:space="preserve"> $11.32/GJ variation between the D-1 schedule price and the D+1 schedule price ($29/GJ).</w:t>
                                </w:r>
                              </w:p>
                              <w:p w:rsidR="00DA1078" w:rsidRDefault="00DA1078" w:rsidP="00B368DC">
                                <w:pPr>
                                  <w:ind w:left="2160" w:hanging="2160"/>
                                </w:pPr>
                              </w:p>
                              <w:p w:rsidR="00DA1078" w:rsidRPr="00096EFD" w:rsidRDefault="00DA1078" w:rsidP="00B368DC">
                                <w:pPr>
                                  <w:ind w:left="2160" w:hanging="2160"/>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9" type="#_x0000_t202" style="position:absolute;left:0;text-align:left;margin-left:.55pt;margin-top:11.75pt;width:425.15pt;height:94.5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" fillcolor="#dbe5f1">
                    <v:textbox>
                      <w:txbxContent>
                        <w:p w:rsidR="00DA1078" w:rsidRDefault="00DA1078" w:rsidP="004339C9">
                          <w:pPr>
                            <w:ind w:left="2160" w:hanging="2160"/>
                          </w:pPr>
                          <w:r>
                            <w:rPr>
                              <w:b/>
                            </w:rPr>
                            <w:t>Sydney</w:t>
                          </w:r>
                          <w:r w:rsidRPr="0051165D">
                            <w:rPr>
                              <w:b/>
                            </w:rPr>
                            <w:t xml:space="preserve"> STTM:</w:t>
                          </w:r>
                          <w:r>
                            <w:tab/>
                            <w:t>There</w:t>
                          </w:r>
                          <w:r w:rsidRPr="00973418">
                            <w:t xml:space="preserve"> was a $7.68/GJ variation between the D-2 schedule price ($10/GJ) and the</w:t>
                          </w:r>
                          <w:r>
                            <w:t xml:space="preserve"> D-1 schedule price ($17.68/GJ). </w:t>
                          </w:r>
                        </w:p>
                        <w:p w:rsidR="00DA1078" w:rsidRDefault="00DA1078" w:rsidP="004339C9">
                          <w:pPr>
                            <w:ind w:left="2160"/>
                          </w:pPr>
                          <w:r>
                            <w:t>There was also an</w:t>
                          </w:r>
                          <w:r w:rsidRPr="00973418">
                            <w:t xml:space="preserve"> $11.32/GJ variation between the D-1 schedule price and the D+1 schedule price ($29/GJ).</w:t>
                          </w:r>
                        </w:p>
                        <w:p w:rsidR="00DA1078" w:rsidRDefault="00DA1078" w:rsidP="00B368DC">
                          <w:pPr>
                            <w:ind w:left="2160" w:hanging="2160"/>
                          </w:pPr>
                        </w:p>
                        <w:p w:rsidR="00DA1078" w:rsidRPr="00096EFD" w:rsidRDefault="00DA1078" w:rsidP="00B368DC">
                          <w:pPr>
                            <w:ind w:left="2160" w:hanging="2160"/>
                          </w:pPr>
                        </w:p>
                      </w:txbxContent>
                    </v:textbox>
                  </v:shape>
                </w:pict>
              </mc:Fallback>
            </mc:AlternateContent>
          </w:r>
        </w:p>
        <w:p w:rsidR="00B368DC" w:rsidRDefault="00B368DC" w:rsidP="007E11C7"/>
        <w:p w:rsidR="00B368DC" w:rsidRDefault="00B368DC" w:rsidP="007E11C7"/>
        <w:p w:rsidR="00321AB7" w:rsidRDefault="00321AB7" w:rsidP="00A06420">
          <w:pPr>
            <w:spacing w:before="0"/>
          </w:pPr>
        </w:p>
        <w:p w:rsidR="00A06420" w:rsidRDefault="00A06420" w:rsidP="00A06420">
          <w:pPr>
            <w:spacing w:before="0" w:line="240" w:lineRule="auto"/>
          </w:pPr>
        </w:p>
        <w:p w:rsidR="00A06420" w:rsidRDefault="00A06420" w:rsidP="00A06420">
          <w:pPr>
            <w:spacing w:before="0" w:line="240" w:lineRule="auto"/>
          </w:pPr>
        </w:p>
        <w:p w:rsidR="001D4C98" w:rsidRDefault="001D4C98" w:rsidP="008D06FE">
          <w:pPr>
            <w:pStyle w:val="Heading4notnumbered"/>
            <w:spacing w:before="120"/>
          </w:pPr>
          <w:r>
            <w:t>The price variation between the D-2 and D-1 schedules</w:t>
          </w:r>
        </w:p>
        <w:p w:rsidR="003F151F" w:rsidRDefault="003F151F" w:rsidP="003A7C97">
          <w:r>
            <w:t>Participants</w:t>
          </w:r>
          <w:r w:rsidR="00BF6D3A">
            <w:t xml:space="preserve">’ bids (to buy) and offers (to sell) </w:t>
          </w:r>
          <w:r>
            <w:t>for the D-3 and the D-2 schedules</w:t>
          </w:r>
          <w:r w:rsidR="0023686D">
            <w:t xml:space="preserve"> </w:t>
          </w:r>
          <w:r w:rsidR="00BF6D3A">
            <w:t>were similar in terms of price and quantity</w:t>
          </w:r>
          <w:r>
            <w:t>.</w:t>
          </w:r>
          <w:r w:rsidR="00BF6D3A">
            <w:t xml:space="preserve"> This was reflected in the D-3 and D-2 prices, which were $9/GJ and $10/GJ respectively.</w:t>
          </w:r>
        </w:p>
        <w:p w:rsidR="000C027D" w:rsidRDefault="00BF6D3A" w:rsidP="003A7C97">
          <w:r>
            <w:t>However for the D-1 schedule, participants rebid supply offers from low prices to high prices, and left t</w:t>
          </w:r>
          <w:r w:rsidR="000F2E53">
            <w:t>heir bids relatively unchanged.</w:t>
          </w:r>
          <w:r w:rsidR="000C027D">
            <w:t xml:space="preserve"> These changes contributed to the D-1 price reaching $17.68/GJ, $10/GJ higher than the D-2 price.</w:t>
          </w:r>
        </w:p>
        <w:p w:rsidR="001D4C98" w:rsidRDefault="000F2E53" w:rsidP="003A7C97">
          <w:r>
            <w:fldChar w:fldCharType="begin"/>
          </w:r>
          <w:r>
            <w:instrText xml:space="preserve"> REF _Ref457893682 \h </w:instrText>
          </w:r>
          <w:r>
            <w:fldChar w:fldCharType="separate"/>
          </w:r>
          <w:r w:rsidR="003F58C8">
            <w:t>Figure </w:t>
          </w:r>
          <w:r w:rsidR="003F58C8">
            <w:rPr>
              <w:noProof/>
            </w:rPr>
            <w:t>11</w:t>
          </w:r>
          <w:r>
            <w:fldChar w:fldCharType="end"/>
          </w:r>
          <w:r>
            <w:t xml:space="preserve"> below sets out the supply offers across the pr</w:t>
          </w:r>
          <w:r w:rsidR="00934D8F">
            <w:t>ovisional (D</w:t>
          </w:r>
          <w:r w:rsidR="00934D8F" w:rsidRPr="00D37413">
            <w:t>-3 and D-2</w:t>
          </w:r>
          <w:r w:rsidRPr="00D37413">
            <w:t>) and ex ante (D-1) sch</w:t>
          </w:r>
          <w:r w:rsidR="0050246B" w:rsidRPr="00D37413">
            <w:t>edules, and shows each schedule</w:t>
          </w:r>
          <w:r w:rsidRPr="00D37413">
            <w:t>s</w:t>
          </w:r>
          <w:r w:rsidR="0050246B" w:rsidRPr="00D37413">
            <w:t>’</w:t>
          </w:r>
          <w:r w:rsidRPr="00D37413">
            <w:t xml:space="preserve"> price and quantity.</w:t>
          </w:r>
          <w:r w:rsidR="001D4C98" w:rsidRPr="00D37413">
            <w:t xml:space="preserve"> </w:t>
          </w:r>
          <w:r w:rsidR="00934D8F" w:rsidRPr="00D37413">
            <w:t>For the D-1 schedule, a</w:t>
          </w:r>
          <w:r w:rsidR="001D4C98" w:rsidRPr="00D37413">
            <w:t xml:space="preserve">round 27 TJ of $0/GJ priced offers were removed and </w:t>
          </w:r>
          <w:r w:rsidR="005E7666">
            <w:t xml:space="preserve">17.9 TJ </w:t>
          </w:r>
          <w:r w:rsidR="005E7666">
            <w:lastRenderedPageBreak/>
            <w:t>of offers were added into price bands between $6–15/GJ (with the remainder added into bands above $18/GJ)</w:t>
          </w:r>
          <w:r w:rsidR="001D4C98" w:rsidRPr="00D37413">
            <w:t>.</w:t>
          </w:r>
          <w:r w:rsidR="005C4FDF" w:rsidRPr="00D37413">
            <w:rPr>
              <w:rStyle w:val="FootnoteReference"/>
            </w:rPr>
            <w:footnoteReference w:id="30"/>
          </w:r>
        </w:p>
        <w:p w:rsidR="003F151F" w:rsidRDefault="00BF6D3A" w:rsidP="000F2E53">
          <w:pPr>
            <w:pStyle w:val="Caption"/>
          </w:pPr>
          <w:bookmarkStart w:id="44" w:name="_Ref457893682"/>
          <w:bookmarkStart w:id="45" w:name="_Ref457893677"/>
          <w:r>
            <w:t>Figure</w:t>
          </w:r>
          <w:r w:rsidR="00E145B1">
            <w:t> </w:t>
          </w:r>
          <w:r w:rsidR="00FF3F63">
            <w:fldChar w:fldCharType="begin"/>
          </w:r>
          <w:r w:rsidR="00FF3F63">
            <w:instrText xml:space="preserve"> SEQ Figure \* ARABIC </w:instrText>
          </w:r>
          <w:r w:rsidR="00FF3F63">
            <w:fldChar w:fldCharType="separate"/>
          </w:r>
          <w:r w:rsidR="003F58C8">
            <w:rPr>
              <w:noProof/>
            </w:rPr>
            <w:t>11</w:t>
          </w:r>
          <w:r w:rsidR="00FF3F63">
            <w:rPr>
              <w:noProof/>
            </w:rPr>
            <w:fldChar w:fldCharType="end"/>
          </w:r>
          <w:bookmarkEnd w:id="44"/>
          <w:r>
            <w:t>: Sydney STTM, 28</w:t>
          </w:r>
          <w:r w:rsidR="006A3B1C">
            <w:t xml:space="preserve"> June 2016</w:t>
          </w:r>
          <w:r w:rsidR="000F2E53">
            <w:t xml:space="preserve">, </w:t>
          </w:r>
          <w:bookmarkEnd w:id="45"/>
          <w:r w:rsidR="000F2E53">
            <w:t>supply offers for provisional and ex ante schedules</w:t>
          </w:r>
        </w:p>
        <w:p w:rsidR="00A06A41" w:rsidRPr="00A06A41" w:rsidRDefault="003F151F" w:rsidP="003A7C97">
          <w:bookmarkStart w:id="46" w:name="_GoBack"/>
          <w:r>
            <w:rPr>
              <w:noProof/>
              <w:lang w:eastAsia="en-AU"/>
            </w:rPr>
            <w:drawing>
              <wp:inline distT="0" distB="0" distL="0" distR="0" wp14:anchorId="4B33D8E3" wp14:editId="1F145D93">
                <wp:extent cx="5369118" cy="3317358"/>
                <wp:effectExtent l="0" t="0" r="3175" b="0"/>
                <wp:docPr id="7" name="Picture 7" descr="Figure 11 shows the daily hub offers (to sell gas) within certain price bands for the 28 June gas day in Sydney. The line indicates the provisional and ex ante schedule prices based on the quantity of gas scheduled."/>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5375345" cy="3321206"/>
                        </a:xfrm>
                        <a:prstGeom prst="rect">
                          <a:avLst/>
                        </a:prstGeom>
                        <a:noFill/>
                        <a:ln>
                          <a:noFill/>
                        </a:ln>
                      </pic:spPr>
                    </pic:pic>
                  </a:graphicData>
                </a:graphic>
              </wp:inline>
            </w:drawing>
          </w:r>
          <w:r w:rsidR="00A06A41">
            <w:t xml:space="preserve"> </w:t>
          </w:r>
        </w:p>
        <w:bookmarkEnd w:id="46"/>
        <w:p w:rsidR="001D4C98" w:rsidRDefault="001D4C98" w:rsidP="001D4C98">
          <w:pPr>
            <w:pStyle w:val="Heading4notnumbered"/>
          </w:pPr>
          <w:r>
            <w:t>The price variation between the D-1 and D+1 schedules</w:t>
          </w:r>
        </w:p>
        <w:p w:rsidR="001D4C98" w:rsidRPr="001D4C98" w:rsidRDefault="001D4C98" w:rsidP="001D4C98">
          <w:r>
            <w:t xml:space="preserve">The $11.32/GJ increase from the D-1 to the D+1 schedules </w:t>
          </w:r>
          <w:r w:rsidR="00670B02">
            <w:t xml:space="preserve">occurred because actual demand on the day was around 16.6 TJ higher than forecast in the D-1 schedule. </w:t>
          </w:r>
        </w:p>
        <w:p w:rsidR="001478ED" w:rsidRPr="001478ED" w:rsidRDefault="001478ED" w:rsidP="001478ED">
          <w:r w:rsidRPr="001478ED">
            <w:fldChar w:fldCharType="begin"/>
          </w:r>
          <w:r w:rsidRPr="001478ED">
            <w:instrText xml:space="preserve"> REF _Ref457897565 \h </w:instrText>
          </w:r>
          <w:r>
            <w:instrText xml:space="preserve"> \* MERGEFORMAT </w:instrText>
          </w:r>
          <w:r w:rsidRPr="001478ED">
            <w:fldChar w:fldCharType="separate"/>
          </w:r>
          <w:r w:rsidR="003F58C8">
            <w:t>Figure 12</w:t>
          </w:r>
          <w:r w:rsidRPr="001478ED">
            <w:fldChar w:fldCharType="end"/>
          </w:r>
          <w:r w:rsidRPr="001478ED">
            <w:t xml:space="preserve"> below illustrates participants’ bids (the red line) and offers (the blue line) for the D-1 schedule and the D+1 ex post bid</w:t>
          </w:r>
          <w:r w:rsidR="00442C9C">
            <w:t>s curve (the green dotted line)</w:t>
          </w:r>
          <w:r w:rsidRPr="001478ED">
            <w:t xml:space="preserve">. </w:t>
          </w:r>
        </w:p>
        <w:p w:rsidR="001478ED" w:rsidRPr="001478ED" w:rsidRDefault="001478ED" w:rsidP="001478ED">
          <w:r w:rsidRPr="001478ED">
            <w:t xml:space="preserve">The intersection of the red and blue lines identifies the price and quantity of the D-1 schedule, being $17.68/GJ and 305 TJ respectively. </w:t>
          </w:r>
        </w:p>
        <w:p w:rsidR="005C4FDF" w:rsidRDefault="007F09C9" w:rsidP="001478ED">
          <w:r>
            <w:t xml:space="preserve">The figure also highlights the </w:t>
          </w:r>
          <w:r w:rsidR="00BD5827">
            <w:t>increasingly higher prices and lower quantities</w:t>
          </w:r>
          <w:r>
            <w:t xml:space="preserve"> of supply offers beyond $10/GJ.</w:t>
          </w:r>
        </w:p>
        <w:p w:rsidR="001478ED" w:rsidRDefault="003B2190" w:rsidP="00670B02">
          <w:r>
            <w:t>Due to the inelasticity of offers, the D+1 price increased by $11.32/GJ (to $29/GJ) in order to satisfy the additional demand (where the blue and green dotted lines intersect).</w:t>
          </w:r>
        </w:p>
        <w:p w:rsidR="006A3B1C" w:rsidRDefault="006A3B1C" w:rsidP="006A3B1C">
          <w:pPr>
            <w:pStyle w:val="Caption"/>
          </w:pPr>
          <w:bookmarkStart w:id="47" w:name="_Ref457897565"/>
          <w:r>
            <w:lastRenderedPageBreak/>
            <w:t>Figure</w:t>
          </w:r>
          <w:r w:rsidR="00E145B1">
            <w:t> </w:t>
          </w:r>
          <w:r w:rsidR="00FF3F63">
            <w:fldChar w:fldCharType="begin"/>
          </w:r>
          <w:r w:rsidR="00FF3F63">
            <w:instrText xml:space="preserve"> SEQ Figure \* ARABIC </w:instrText>
          </w:r>
          <w:r w:rsidR="00FF3F63">
            <w:fldChar w:fldCharType="separate"/>
          </w:r>
          <w:r w:rsidR="003F58C8">
            <w:rPr>
              <w:noProof/>
            </w:rPr>
            <w:t>12</w:t>
          </w:r>
          <w:r w:rsidR="00FF3F63">
            <w:rPr>
              <w:noProof/>
            </w:rPr>
            <w:fldChar w:fldCharType="end"/>
          </w:r>
          <w:bookmarkEnd w:id="47"/>
          <w:r>
            <w:t>: Sydney STTM, 28 June 2016, D-1 and D+1 schedules</w:t>
          </w:r>
        </w:p>
        <w:p w:rsidR="00670B02" w:rsidRDefault="006A3B1C" w:rsidP="00670B02">
          <w:r>
            <w:rPr>
              <w:rFonts w:asciiTheme="minorHAnsi" w:eastAsia="Times New Roman" w:hAnsiTheme="minorHAnsi" w:cs="Arial"/>
              <w:noProof/>
              <w:lang w:eastAsia="en-AU"/>
            </w:rPr>
            <w:drawing>
              <wp:inline distT="0" distB="0" distL="0" distR="0" wp14:anchorId="6B569376" wp14:editId="73640582">
                <wp:extent cx="5371567" cy="3092450"/>
                <wp:effectExtent l="0" t="0" r="635" b="0"/>
                <wp:docPr id="14" name="Picture 14" descr="Figure 12 illustrates the ex ante and ex post schedules for 28 June 2016 in Sydney. Prices ($/GJ) are shown on the vertical axis and quantities (TJ) are shown on the horizontal ax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5374555" cy="3094170"/>
                        </a:xfrm>
                        <a:prstGeom prst="rect">
                          <a:avLst/>
                        </a:prstGeom>
                        <a:noFill/>
                        <a:ln>
                          <a:noFill/>
                        </a:ln>
                      </pic:spPr>
                    </pic:pic>
                  </a:graphicData>
                </a:graphic>
              </wp:inline>
            </w:drawing>
          </w:r>
        </w:p>
        <w:p w:rsidR="009D4CBE" w:rsidRDefault="009D4CBE">
          <w:pPr>
            <w:spacing w:line="240" w:lineRule="auto"/>
            <w:jc w:val="left"/>
            <w:rPr>
              <w:rFonts w:eastAsiaTheme="majorEastAsia" w:cstheme="majorBidi"/>
              <w:b/>
              <w:bCs/>
              <w:color w:val="70635A" w:themeColor="text2"/>
              <w:sz w:val="32"/>
              <w:szCs w:val="26"/>
            </w:rPr>
          </w:pPr>
          <w:r>
            <w:br w:type="page"/>
          </w:r>
        </w:p>
        <w:p w:rsidR="007E11C7" w:rsidRDefault="007501F5" w:rsidP="007E11C7">
          <w:pPr>
            <w:pStyle w:val="Heading2"/>
          </w:pPr>
          <w:bookmarkStart w:id="48" w:name="_Toc460417318"/>
          <w:r>
            <w:t>Thursday 30</w:t>
          </w:r>
          <w:r w:rsidR="007E11C7">
            <w:t xml:space="preserve"> June 2016</w:t>
          </w:r>
          <w:bookmarkEnd w:id="48"/>
        </w:p>
        <w:p w:rsidR="007E11C7" w:rsidRDefault="00B368DC" w:rsidP="007E11C7">
          <w:r>
            <w:rPr>
              <w:noProof/>
              <w:lang w:eastAsia="en-AU"/>
            </w:rPr>
            <mc:AlternateContent>
              <mc:Choice Requires="wps">
                <w:drawing>
                  <wp:anchor distT="0" distB="0" distL="114300" distR="114300" simplePos="0" relativeHeight="251669504" behindDoc="0" locked="0" layoutInCell="1" allowOverlap="1" wp14:anchorId="5F343ECA" wp14:editId="7259C13E">
                    <wp:simplePos x="0" y="0"/>
                    <wp:positionH relativeFrom="column">
                      <wp:posOffset>6985</wp:posOffset>
                    </wp:positionH>
                    <wp:positionV relativeFrom="paragraph">
                      <wp:posOffset>107895</wp:posOffset>
                    </wp:positionV>
                    <wp:extent cx="5399405" cy="1176793"/>
                    <wp:effectExtent l="0" t="0" r="10795" b="23495"/>
                    <wp:wrapNone/>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99405" cy="1176793"/>
                            </a:xfrm>
                            <a:prstGeom prst="rect">
                              <a:avLst/>
                            </a:prstGeom>
                            <a:solidFill>
                              <a:srgbClr val="DBE5F1"/>
                            </a:solidFill>
                            <a:ln w="9525">
                              <a:solidFill>
                                <a:srgbClr val="000000"/>
                              </a:solidFill>
                              <a:miter lim="800000"/>
                              <a:headEnd/>
                              <a:tailEnd/>
                            </a:ln>
                          </wps:spPr>
                          <wps:txbx>
                            <w:txbxContent>
                              <w:p w:rsidR="00DA1078" w:rsidRDefault="00DA1078" w:rsidP="00B368DC">
                                <w:pPr>
                                  <w:ind w:left="2160" w:hanging="2160"/>
                                </w:pPr>
                                <w:r>
                                  <w:rPr>
                                    <w:b/>
                                  </w:rPr>
                                  <w:t>Sydney</w:t>
                                </w:r>
                                <w:r w:rsidRPr="0051165D">
                                  <w:rPr>
                                    <w:b/>
                                  </w:rPr>
                                  <w:t xml:space="preserve"> STTM:</w:t>
                                </w:r>
                                <w:r>
                                  <w:tab/>
                                  <w:t xml:space="preserve">There </w:t>
                                </w:r>
                                <w:r w:rsidRPr="00973418">
                                  <w:t xml:space="preserve">was </w:t>
                                </w:r>
                                <w:r w:rsidRPr="00893889">
                                  <w:t>a $16.66/GJ variation between the D-2 schedule price ($12.15/GJ) and the D-1 schedule price ($28.81/GJ).</w:t>
                                </w:r>
                              </w:p>
                              <w:p w:rsidR="00DA1078" w:rsidRPr="00096EFD" w:rsidRDefault="00DA1078" w:rsidP="00B368DC">
                                <w:pPr>
                                  <w:ind w:left="2160" w:hanging="2160"/>
                                </w:pPr>
                                <w:r>
                                  <w:rPr>
                                    <w:b/>
                                  </w:rPr>
                                  <w:t>Brisbane STTM:</w:t>
                                </w:r>
                                <w:r>
                                  <w:tab/>
                                  <w:t xml:space="preserve">There was an </w:t>
                                </w:r>
                                <w:r w:rsidRPr="00893889">
                                  <w:t>$8.84/GJ variation between the D-1 schedule price ($10.06/GJ) and the D+1 schedule price ($18.90/GJ).</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0" type="#_x0000_t202" style="position:absolute;left:0;text-align:left;margin-left:.55pt;margin-top:8.5pt;width:425.15pt;height:92.6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" fillcolor="#dbe5f1">
                    <v:textbox>
                      <w:txbxContent>
                        <w:p w:rsidR="00DA1078" w:rsidRDefault="00DA1078" w:rsidP="00B368DC">
                          <w:pPr>
                            <w:ind w:left="2160" w:hanging="2160"/>
                          </w:pPr>
                          <w:r>
                            <w:rPr>
                              <w:b/>
                            </w:rPr>
                            <w:t>Sydney</w:t>
                          </w:r>
                          <w:r w:rsidRPr="0051165D">
                            <w:rPr>
                              <w:b/>
                            </w:rPr>
                            <w:t xml:space="preserve"> STTM:</w:t>
                          </w:r>
                          <w:r>
                            <w:tab/>
                            <w:t xml:space="preserve">There </w:t>
                          </w:r>
                          <w:r w:rsidRPr="00973418">
                            <w:t xml:space="preserve">was </w:t>
                          </w:r>
                          <w:r w:rsidRPr="00893889">
                            <w:t>a $16.66/GJ variation between the D-2 schedule price ($12.15/GJ) and the D-1 schedule price ($28.81/GJ).</w:t>
                          </w:r>
                        </w:p>
                        <w:p w:rsidR="00DA1078" w:rsidRPr="00096EFD" w:rsidRDefault="00DA1078" w:rsidP="00B368DC">
                          <w:pPr>
                            <w:ind w:left="2160" w:hanging="2160"/>
                          </w:pPr>
                          <w:r>
                            <w:rPr>
                              <w:b/>
                            </w:rPr>
                            <w:t>Brisbane STTM:</w:t>
                          </w:r>
                          <w:r>
                            <w:tab/>
                            <w:t xml:space="preserve">There was an </w:t>
                          </w:r>
                          <w:r w:rsidRPr="00893889">
                            <w:t>$8.84/GJ variation between the D-1 schedule price ($10.06/GJ) and the D+1 schedule price ($18.90/GJ).</w:t>
                          </w:r>
                        </w:p>
                      </w:txbxContent>
                    </v:textbox>
                  </v:shape>
                </w:pict>
              </mc:Fallback>
            </mc:AlternateContent>
          </w:r>
        </w:p>
        <w:p w:rsidR="00B368DC" w:rsidRDefault="00B368DC" w:rsidP="007E11C7"/>
        <w:p w:rsidR="00B368DC" w:rsidRDefault="00B368DC" w:rsidP="007E11C7"/>
        <w:p w:rsidR="00B368DC" w:rsidRDefault="00B368DC" w:rsidP="007E11C7"/>
        <w:p w:rsidR="0041007E" w:rsidRDefault="0041007E" w:rsidP="00C26AE5">
          <w:pPr>
            <w:pStyle w:val="Heading4notnumbered"/>
          </w:pPr>
          <w:r>
            <w:t>Sydney</w:t>
          </w:r>
        </w:p>
        <w:p w:rsidR="00413F1C" w:rsidRDefault="003669C2" w:rsidP="00447F78">
          <w:r>
            <w:t>For the D-2 schedule,</w:t>
          </w:r>
          <w:r w:rsidR="006E6CB7">
            <w:t xml:space="preserve"> participants reduced</w:t>
          </w:r>
          <w:r>
            <w:t xml:space="preserve"> </w:t>
          </w:r>
          <w:r w:rsidR="0050656A">
            <w:t>the amount of gas offered at</w:t>
          </w:r>
          <w:r w:rsidR="006E6CB7">
            <w:t xml:space="preserve"> lower prices (at </w:t>
          </w:r>
          <w:r w:rsidR="0050656A">
            <w:t>or below $6/GJ</w:t>
          </w:r>
          <w:r w:rsidR="006E6CB7">
            <w:t>)</w:t>
          </w:r>
          <w:r w:rsidR="0050656A">
            <w:t xml:space="preserve"> by over 23 TJ</w:t>
          </w:r>
          <w:r w:rsidR="006E6CB7">
            <w:t xml:space="preserve"> and increased o</w:t>
          </w:r>
          <w:r w:rsidR="0050656A">
            <w:t>ffers</w:t>
          </w:r>
          <w:r w:rsidR="00644AF3">
            <w:t xml:space="preserve"> at higher prices</w:t>
          </w:r>
          <w:r w:rsidR="0050656A">
            <w:t xml:space="preserve"> </w:t>
          </w:r>
          <w:r w:rsidR="00644AF3">
            <w:t>(</w:t>
          </w:r>
          <w:r w:rsidR="0050656A">
            <w:t>between $20–30/GJ</w:t>
          </w:r>
          <w:r w:rsidR="00644AF3">
            <w:t>)</w:t>
          </w:r>
          <w:r w:rsidR="0050656A">
            <w:t xml:space="preserve"> by </w:t>
          </w:r>
          <w:r w:rsidR="00413F1C">
            <w:t>nearly 8 TJ.</w:t>
          </w:r>
          <w:r w:rsidR="007948BC" w:rsidRPr="007948BC">
            <w:t xml:space="preserve"> </w:t>
          </w:r>
          <w:r w:rsidR="00B20697">
            <w:t>The</w:t>
          </w:r>
          <w:r w:rsidR="007948BC">
            <w:t xml:space="preserve"> </w:t>
          </w:r>
          <w:r w:rsidR="00B20697">
            <w:t>quantity of price taker bids also</w:t>
          </w:r>
          <w:r w:rsidR="007948BC">
            <w:t xml:space="preserve"> increased by around 17 TJ to 309 TJ.</w:t>
          </w:r>
        </w:p>
        <w:p w:rsidR="006E6CB7" w:rsidRDefault="006E6CB7" w:rsidP="003373C4">
          <w:r>
            <w:t xml:space="preserve">These </w:t>
          </w:r>
          <w:r w:rsidR="00837B78">
            <w:t>rebids</w:t>
          </w:r>
          <w:r>
            <w:t>, however, only had a minimal impact on the price which increased from $12.10/GJ to $12.15/GJ from the D-3 to the D-2 schedules.</w:t>
          </w:r>
        </w:p>
        <w:p w:rsidR="004F607F" w:rsidRDefault="003373C4" w:rsidP="004F607F">
          <w:r>
            <w:t>For the D-1 schedule</w:t>
          </w:r>
          <w:r w:rsidR="006E6CB7">
            <w:t>, participants</w:t>
          </w:r>
          <w:r w:rsidR="00644AF3">
            <w:t xml:space="preserve"> further</w:t>
          </w:r>
          <w:r w:rsidR="007948BC">
            <w:t xml:space="preserve"> reduced the amount of low priced gas offers </w:t>
          </w:r>
          <w:r w:rsidR="006E6CB7">
            <w:t>(at or below $4/GJ</w:t>
          </w:r>
          <w:r w:rsidR="00644AF3">
            <w:t>) by 16 TJ</w:t>
          </w:r>
          <w:r w:rsidR="004F607F">
            <w:t>,</w:t>
          </w:r>
          <w:r w:rsidR="006E6CB7">
            <w:t xml:space="preserve"> </w:t>
          </w:r>
          <w:r w:rsidR="007948BC">
            <w:t xml:space="preserve">and increased </w:t>
          </w:r>
          <w:r w:rsidR="006E6CB7">
            <w:t>the amount of price taker bids by 4 TJ.</w:t>
          </w:r>
        </w:p>
        <w:p w:rsidR="004F607F" w:rsidRDefault="004F607F" w:rsidP="004F607F">
          <w:r>
            <w:t xml:space="preserve">These </w:t>
          </w:r>
          <w:r w:rsidR="00837B78">
            <w:t>rebids</w:t>
          </w:r>
          <w:r>
            <w:t xml:space="preserve"> contributed to the price increasing by $16.66/GJ to $28.81/GJ for the D-1 schedule</w:t>
          </w:r>
          <w:r w:rsidR="00837B78">
            <w:t>.</w:t>
          </w:r>
        </w:p>
        <w:p w:rsidR="007D6F45" w:rsidRDefault="007D6F45" w:rsidP="004F607F">
          <w:r>
            <w:t xml:space="preserve">The supply offers across the schedules are set out in </w:t>
          </w:r>
          <w:r>
            <w:fldChar w:fldCharType="begin"/>
          </w:r>
          <w:r>
            <w:instrText xml:space="preserve"> REF _Ref457916157 \h </w:instrText>
          </w:r>
          <w:r>
            <w:fldChar w:fldCharType="separate"/>
          </w:r>
          <w:r w:rsidR="003F58C8">
            <w:t>Figure </w:t>
          </w:r>
          <w:r w:rsidR="003F58C8">
            <w:rPr>
              <w:noProof/>
            </w:rPr>
            <w:t>13</w:t>
          </w:r>
          <w:r>
            <w:fldChar w:fldCharType="end"/>
          </w:r>
          <w:r>
            <w:t xml:space="preserve"> below. The bids (including pricetaker bids) to purchase gas across the schedules are set out in </w:t>
          </w:r>
          <w:r>
            <w:fldChar w:fldCharType="begin"/>
          </w:r>
          <w:r>
            <w:instrText xml:space="preserve"> REF _Ref460235441 \h </w:instrText>
          </w:r>
          <w:r>
            <w:fldChar w:fldCharType="separate"/>
          </w:r>
          <w:r w:rsidR="003F58C8">
            <w:t>Figure </w:t>
          </w:r>
          <w:r w:rsidR="003F58C8">
            <w:rPr>
              <w:noProof/>
            </w:rPr>
            <w:t>14</w:t>
          </w:r>
          <w:r>
            <w:fldChar w:fldCharType="end"/>
          </w:r>
          <w:r>
            <w:t>.</w:t>
          </w:r>
        </w:p>
        <w:p w:rsidR="00447F78" w:rsidRDefault="00447F78" w:rsidP="00447F78">
          <w:pPr>
            <w:pStyle w:val="Caption"/>
          </w:pPr>
          <w:bookmarkStart w:id="49" w:name="_Ref457916157"/>
          <w:r>
            <w:t>Figure</w:t>
          </w:r>
          <w:r w:rsidR="00E145B1">
            <w:t> </w:t>
          </w:r>
          <w:r w:rsidR="00FF3F63">
            <w:fldChar w:fldCharType="begin"/>
          </w:r>
          <w:r w:rsidR="00FF3F63">
            <w:instrText xml:space="preserve"> SEQ Figure \* ARABIC </w:instrText>
          </w:r>
          <w:r w:rsidR="00FF3F63">
            <w:fldChar w:fldCharType="separate"/>
          </w:r>
          <w:r w:rsidR="003F58C8">
            <w:rPr>
              <w:noProof/>
            </w:rPr>
            <w:t>13</w:t>
          </w:r>
          <w:r w:rsidR="00FF3F63">
            <w:rPr>
              <w:noProof/>
            </w:rPr>
            <w:fldChar w:fldCharType="end"/>
          </w:r>
          <w:bookmarkEnd w:id="49"/>
          <w:r>
            <w:t>: Sydney STTM,</w:t>
          </w:r>
          <w:r w:rsidR="00D037DC">
            <w:t xml:space="preserve"> 30</w:t>
          </w:r>
          <w:r>
            <w:t xml:space="preserve"> June 2016, supply offers for provisional and ex ante schedules</w:t>
          </w:r>
        </w:p>
        <w:p w:rsidR="007E11C7" w:rsidRDefault="00D037DC" w:rsidP="00B25180">
          <w:r>
            <w:rPr>
              <w:rFonts w:eastAsia="Times New Roman" w:cs="Arial"/>
              <w:noProof/>
              <w:lang w:eastAsia="en-AU"/>
            </w:rPr>
            <w:drawing>
              <wp:inline distT="0" distB="0" distL="0" distR="0" wp14:anchorId="78575D02" wp14:editId="4A980EBC">
                <wp:extent cx="5433940" cy="3562350"/>
                <wp:effectExtent l="0" t="0" r="0" b="0"/>
                <wp:docPr id="15" name="Picture 15" descr="Figure 13 shows the daily hub offers (to sell gas) within certain price bands for the 30 June gas day in Sydney. The line indicates the provisional and ex ante schedule prices based on the quantity of gas schedul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5433940" cy="3562350"/>
                        </a:xfrm>
                        <a:prstGeom prst="rect">
                          <a:avLst/>
                        </a:prstGeom>
                        <a:noFill/>
                        <a:ln>
                          <a:noFill/>
                        </a:ln>
                      </pic:spPr>
                    </pic:pic>
                  </a:graphicData>
                </a:graphic>
              </wp:inline>
            </w:drawing>
          </w:r>
        </w:p>
        <w:p w:rsidR="00EB6916" w:rsidRDefault="00EB6916" w:rsidP="007F14AF">
          <w:pPr>
            <w:pStyle w:val="Caption"/>
          </w:pPr>
          <w:bookmarkStart w:id="50" w:name="_Ref457918584"/>
        </w:p>
        <w:p w:rsidR="00F547B2" w:rsidRDefault="00E145B1" w:rsidP="007F14AF">
          <w:pPr>
            <w:pStyle w:val="Caption"/>
          </w:pPr>
          <w:bookmarkStart w:id="51" w:name="_Ref460235441"/>
          <w:r>
            <w:t>Figure </w:t>
          </w:r>
          <w:r w:rsidR="00FF3F63">
            <w:fldChar w:fldCharType="begin"/>
          </w:r>
          <w:r w:rsidR="00FF3F63">
            <w:instrText xml:space="preserve"> SEQ Figure \* ARABIC </w:instrText>
          </w:r>
          <w:r w:rsidR="00FF3F63">
            <w:fldChar w:fldCharType="separate"/>
          </w:r>
          <w:r w:rsidR="003F58C8">
            <w:rPr>
              <w:noProof/>
            </w:rPr>
            <w:t>14</w:t>
          </w:r>
          <w:r w:rsidR="00FF3F63">
            <w:rPr>
              <w:noProof/>
            </w:rPr>
            <w:fldChar w:fldCharType="end"/>
          </w:r>
          <w:bookmarkEnd w:id="50"/>
          <w:bookmarkEnd w:id="51"/>
          <w:r w:rsidR="00C26086">
            <w:t>: Sydney STTM, 30 June 2016, demand bids for provisional and ex ante schedules</w:t>
          </w:r>
          <w:r w:rsidR="00C26086">
            <w:rPr>
              <w:rFonts w:eastAsia="Times New Roman" w:cs="Arial"/>
              <w:noProof/>
              <w:lang w:eastAsia="en-AU"/>
            </w:rPr>
            <w:drawing>
              <wp:inline distT="0" distB="0" distL="0" distR="0" wp14:anchorId="467A299F" wp14:editId="579BA51B">
                <wp:extent cx="5357331" cy="3505200"/>
                <wp:effectExtent l="0" t="0" r="0" b="0"/>
                <wp:docPr id="16" name="Picture 16" descr="Figure 14 shows the daily hub pricetaker (uncontrollable) demand forecasts and bids (to purchase gas) within certain price bands for the 30 June gas day in Sydney. The line indicates the provisional and ex ante schedule prices based on the quantity of gas schedul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5366566" cy="3511242"/>
                        </a:xfrm>
                        <a:prstGeom prst="rect">
                          <a:avLst/>
                        </a:prstGeom>
                        <a:noFill/>
                        <a:ln>
                          <a:noFill/>
                        </a:ln>
                      </pic:spPr>
                    </pic:pic>
                  </a:graphicData>
                </a:graphic>
              </wp:inline>
            </w:drawing>
          </w:r>
        </w:p>
        <w:p w:rsidR="009D4CBE" w:rsidRDefault="009D4CBE">
          <w:pPr>
            <w:spacing w:line="240" w:lineRule="auto"/>
            <w:jc w:val="left"/>
            <w:rPr>
              <w:rFonts w:eastAsia="Times New Roman" w:cs="Times New Roman"/>
              <w:b/>
              <w:bCs/>
              <w:color w:val="51626F"/>
              <w:sz w:val="24"/>
              <w:szCs w:val="20"/>
            </w:rPr>
          </w:pPr>
          <w:r>
            <w:br w:type="page"/>
          </w:r>
        </w:p>
        <w:p w:rsidR="008B4EF8" w:rsidRDefault="008B4EF8" w:rsidP="008B4EF8">
          <w:pPr>
            <w:pStyle w:val="Heading4notnumbered"/>
          </w:pPr>
          <w:r>
            <w:t>Brisbane</w:t>
          </w:r>
        </w:p>
        <w:p w:rsidR="005E76FB" w:rsidRDefault="005E76FB" w:rsidP="005E76FB">
          <w:r>
            <w:t>The $8.84/GJ increase from the D-1 to the D+1 schedules occurred because actual demand on the day was around 2.2 TJ higher than forecast in the D-1 schedule.</w:t>
          </w:r>
        </w:p>
        <w:p w:rsidR="003D6FB8" w:rsidRPr="003D6FB8" w:rsidRDefault="003D6FB8" w:rsidP="003D6FB8">
          <w:r w:rsidRPr="003D6FB8">
            <w:fldChar w:fldCharType="begin"/>
          </w:r>
          <w:r w:rsidRPr="003D6FB8">
            <w:instrText xml:space="preserve"> REF _Ref457986929 \h </w:instrText>
          </w:r>
          <w:r>
            <w:instrText xml:space="preserve"> \* MERGEFORMAT </w:instrText>
          </w:r>
          <w:r w:rsidRPr="003D6FB8">
            <w:fldChar w:fldCharType="separate"/>
          </w:r>
          <w:r w:rsidR="003F58C8">
            <w:t>Figure 15</w:t>
          </w:r>
          <w:r w:rsidRPr="003D6FB8">
            <w:fldChar w:fldCharType="end"/>
          </w:r>
          <w:r w:rsidRPr="003D6FB8">
            <w:t xml:space="preserve"> below illustrates participants’ bids (the red line) and offers (the blue line) for the D-1 schedule and the D+1 ex post bids curve (the green dotted line). </w:t>
          </w:r>
        </w:p>
        <w:p w:rsidR="00694B5A" w:rsidRDefault="003D6FB8" w:rsidP="005E76FB">
          <w:r w:rsidRPr="003D6FB8">
            <w:t>The intersection of the red and blue lines identifies the price and quantity of the D-1 schedule, being $10.06/GJ and 101 TJ respectively.</w:t>
          </w:r>
        </w:p>
        <w:p w:rsidR="003D6FB8" w:rsidRPr="003D6FB8" w:rsidRDefault="00B03598" w:rsidP="003D6FB8">
          <w:r w:rsidRPr="003D6FB8">
            <w:t xml:space="preserve">To the right of this point, </w:t>
          </w:r>
          <w:r w:rsidR="003D6FB8" w:rsidRPr="003D6FB8">
            <w:t>the figure also highlights the increasingly higher prices and lower quantities of supply offers.</w:t>
          </w:r>
        </w:p>
        <w:p w:rsidR="00B03598" w:rsidRDefault="00B03598" w:rsidP="00B03598">
          <w:r w:rsidRPr="003D6FB8">
            <w:t>While the under forecasting of demand in the D-1 schedule</w:t>
          </w:r>
          <w:r w:rsidR="003D6FB8" w:rsidRPr="003D6FB8">
            <w:t xml:space="preserve"> was relatively small (2.2 TJ, or around 2</w:t>
          </w:r>
          <w:r w:rsidRPr="003D6FB8">
            <w:t> per cent of forecast demand), due to the inelasticity of offers the D+1 price increased by $</w:t>
          </w:r>
          <w:r w:rsidR="003D6FB8" w:rsidRPr="003D6FB8">
            <w:t>8.84</w:t>
          </w:r>
          <w:r w:rsidRPr="003D6FB8">
            <w:t>/GJ in order to satisfy the additional demand (where the blue and green dotted lines intersect).</w:t>
          </w:r>
        </w:p>
        <w:p w:rsidR="00694B5A" w:rsidRDefault="003D6FB8" w:rsidP="003D6FB8">
          <w:pPr>
            <w:pStyle w:val="Caption"/>
          </w:pPr>
          <w:bookmarkStart w:id="52" w:name="_Ref457986929"/>
          <w:bookmarkStart w:id="53" w:name="_Ref460415438"/>
          <w:r>
            <w:t>Figure</w:t>
          </w:r>
          <w:r w:rsidR="00E145B1">
            <w:t> </w:t>
          </w:r>
          <w:r w:rsidR="00FF3F63">
            <w:fldChar w:fldCharType="begin"/>
          </w:r>
          <w:r w:rsidR="00FF3F63">
            <w:instrText xml:space="preserve"> SEQ Figure \* ARABIC </w:instrText>
          </w:r>
          <w:r w:rsidR="00FF3F63">
            <w:fldChar w:fldCharType="separate"/>
          </w:r>
          <w:r w:rsidR="003F58C8">
            <w:rPr>
              <w:noProof/>
            </w:rPr>
            <w:t>15</w:t>
          </w:r>
          <w:r w:rsidR="00FF3F63">
            <w:rPr>
              <w:noProof/>
            </w:rPr>
            <w:fldChar w:fldCharType="end"/>
          </w:r>
          <w:bookmarkEnd w:id="52"/>
          <w:r>
            <w:t>: Brisbane STTM, 30 June 2016, D-1 and D+1 schedules</w:t>
          </w:r>
          <w:bookmarkEnd w:id="53"/>
        </w:p>
        <w:p w:rsidR="007E11C7" w:rsidRDefault="00694B5A" w:rsidP="00C55FDC">
          <w:r>
            <w:rPr>
              <w:rFonts w:eastAsia="Times New Roman" w:cs="Arial"/>
              <w:noProof/>
              <w:lang w:eastAsia="en-AU"/>
            </w:rPr>
            <w:drawing>
              <wp:inline distT="0" distB="0" distL="0" distR="0" wp14:anchorId="775FB0E2" wp14:editId="2D11CCE2">
                <wp:extent cx="5472752" cy="3150702"/>
                <wp:effectExtent l="0" t="0" r="0" b="0"/>
                <wp:docPr id="12" name="Picture 12" descr="Figure 15 illustrates the ex ante and ex post schedules for 30 June 2016 in Brisbane. Prices ($/GJ) are shown on the vertical axis and quantities (TJ) are shown on the horizontal ax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5476185" cy="3152679"/>
                        </a:xfrm>
                        <a:prstGeom prst="rect">
                          <a:avLst/>
                        </a:prstGeom>
                        <a:noFill/>
                        <a:ln>
                          <a:noFill/>
                        </a:ln>
                      </pic:spPr>
                    </pic:pic>
                  </a:graphicData>
                </a:graphic>
              </wp:inline>
            </w:drawing>
          </w:r>
        </w:p>
        <w:p w:rsidR="00C55FDC" w:rsidRPr="00885E7B" w:rsidRDefault="00C55FDC" w:rsidP="00C55FDC"/>
        <w:p w:rsidR="0019352B" w:rsidRPr="006B660D" w:rsidRDefault="00FF3F63" w:rsidP="006B660D">
          <w:pPr>
            <w:rPr>
              <w:b/>
              <w:noProof/>
              <w:color w:val="FF0000"/>
              <w:sz w:val="24"/>
              <w:szCs w:val="20"/>
              <w:lang w:eastAsia="en-AU"/>
            </w:rPr>
          </w:pPr>
        </w:p>
      </w:sdtContent>
    </w:sdt>
    <w:sectPr w:rsidR="0019352B" w:rsidRPr="006B660D" w:rsidSect="002165D0">
      <w:footerReference w:type="even" r:id="rId38"/>
      <w:footerReference w:type="default" r:id="rId39"/>
      <w:footerReference w:type="first" r:id="rId40"/>
      <w:pgSz w:w="11906" w:h="16838" w:code="9"/>
      <w:pgMar w:top="1134" w:right="1700" w:bottom="1134" w:left="1729" w:header="720" w:footer="1009"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A1078" w:rsidRDefault="00DA1078">
      <w:pPr>
        <w:spacing w:before="0" w:line="240" w:lineRule="auto"/>
      </w:pPr>
      <w:r>
        <w:separator/>
      </w:r>
    </w:p>
  </w:endnote>
  <w:endnote w:type="continuationSeparator" w:id="0">
    <w:p w:rsidR="00DA1078" w:rsidRDefault="00DA1078">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6AB4" w:rsidRDefault="00216AB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1078" w:rsidRPr="007A4D1F" w:rsidRDefault="00DA1078" w:rsidP="003610D1">
    <w:pPr>
      <w:tabs>
        <w:tab w:val="left" w:pos="1623"/>
        <w:tab w:val="center" w:pos="4513"/>
        <w:tab w:val="right" w:pos="9026"/>
      </w:tabs>
      <w:spacing w:after="120"/>
      <w:rPr>
        <w:rFonts w:eastAsia="Arial" w:cs="Times New Roman"/>
        <w:color w:val="076A92" w:themeColor="text1"/>
        <w:sz w:val="18"/>
      </w:rPr>
    </w:pPr>
    <w:r>
      <w:rPr>
        <w:rFonts w:eastAsia="Arial" w:cs="Times New Roman"/>
        <w:color w:val="076A92" w:themeColor="text1"/>
        <w:sz w:val="18"/>
      </w:rPr>
      <w:fldChar w:fldCharType="begin"/>
    </w:r>
    <w:r>
      <w:rPr>
        <w:rFonts w:eastAsia="Arial" w:cs="Times New Roman"/>
        <w:color w:val="076A92" w:themeColor="text1"/>
        <w:sz w:val="18"/>
      </w:rPr>
      <w:instrText xml:space="preserve"> STYLEREF  "Report Title"  \* MERGEFORMAT </w:instrText>
    </w:r>
    <w:r>
      <w:rPr>
        <w:rFonts w:eastAsia="Arial" w:cs="Times New Roman"/>
        <w:color w:val="076A92" w:themeColor="text1"/>
        <w:sz w:val="18"/>
      </w:rPr>
      <w:fldChar w:fldCharType="separate"/>
    </w:r>
    <w:r w:rsidR="00FF3F63" w:rsidRPr="00FF3F63">
      <w:rPr>
        <w:rFonts w:eastAsia="Arial" w:cs="Times New Roman"/>
        <w:bCs/>
        <w:noProof/>
        <w:color w:val="076A92" w:themeColor="text1"/>
        <w:sz w:val="18"/>
        <w:lang w:val="en-US"/>
      </w:rPr>
      <w:t>Significant</w:t>
    </w:r>
    <w:r w:rsidR="00FF3F63">
      <w:rPr>
        <w:rFonts w:eastAsia="Arial" w:cs="Times New Roman"/>
        <w:noProof/>
        <w:color w:val="076A92" w:themeColor="text1"/>
        <w:sz w:val="18"/>
      </w:rPr>
      <w:t xml:space="preserve"> price variation report</w:t>
    </w:r>
    <w:r>
      <w:rPr>
        <w:rFonts w:eastAsia="Arial" w:cs="Times New Roman"/>
        <w:color w:val="076A92" w:themeColor="text1"/>
        <w:sz w:val="18"/>
      </w:rPr>
      <w:fldChar w:fldCharType="end"/>
    </w:r>
    <w:r>
      <w:rPr>
        <w:rFonts w:eastAsia="Arial" w:cs="Times New Roman"/>
        <w:color w:val="076A92" w:themeColor="text1"/>
        <w:sz w:val="18"/>
      </w:rPr>
      <w:t xml:space="preserve"> East Coast Gas Markets June 2016</w:t>
    </w:r>
    <w:r w:rsidR="0065711B">
      <w:rPr>
        <w:rFonts w:eastAsia="Arial" w:cs="Times New Roman"/>
        <w:color w:val="076A92" w:themeColor="text1"/>
        <w:sz w:val="18"/>
      </w:rPr>
      <w:tab/>
    </w:r>
    <w:r w:rsidRPr="007A4D1F">
      <w:rPr>
        <w:rFonts w:eastAsia="Arial" w:cs="Times New Roman"/>
        <w:color w:val="076A92" w:themeColor="text1"/>
        <w:sz w:val="18"/>
      </w:rPr>
      <w:fldChar w:fldCharType="begin"/>
    </w:r>
    <w:r w:rsidRPr="007A4D1F">
      <w:rPr>
        <w:rFonts w:eastAsia="Arial" w:cs="Times New Roman"/>
        <w:color w:val="076A92" w:themeColor="text1"/>
        <w:sz w:val="18"/>
      </w:rPr>
      <w:instrText xml:space="preserve"> PAGE   \* MERGEFORMAT </w:instrText>
    </w:r>
    <w:r w:rsidRPr="007A4D1F">
      <w:rPr>
        <w:rFonts w:eastAsia="Arial" w:cs="Times New Roman"/>
        <w:color w:val="076A92" w:themeColor="text1"/>
        <w:sz w:val="18"/>
      </w:rPr>
      <w:fldChar w:fldCharType="separate"/>
    </w:r>
    <w:r w:rsidR="00FF3F63">
      <w:rPr>
        <w:rFonts w:eastAsia="Arial" w:cs="Times New Roman"/>
        <w:noProof/>
        <w:color w:val="076A92" w:themeColor="text1"/>
        <w:sz w:val="18"/>
      </w:rPr>
      <w:t>iii</w:t>
    </w:r>
    <w:r w:rsidRPr="007A4D1F">
      <w:rPr>
        <w:rFonts w:eastAsia="Arial" w:cs="Times New Roman"/>
        <w:noProof/>
        <w:color w:val="076A92" w:themeColor="text1"/>
        <w:sz w:val="18"/>
      </w:rPr>
      <w:fldChar w:fldCharType="end"/>
    </w:r>
    <w:r w:rsidRPr="007A4D1F">
      <w:rPr>
        <w:rFonts w:eastAsia="Arial" w:cs="Times New Roman"/>
        <w:color w:val="076A92" w:themeColor="text1"/>
        <w:sz w:val="18"/>
      </w:rPr>
      <w:tab/>
    </w:r>
  </w:p>
  <w:p w:rsidR="00DA1078" w:rsidRDefault="00DA1078" w:rsidP="003610D1">
    <w:pPr>
      <w:pStyle w:val="Footer"/>
      <w:tabs>
        <w:tab w:val="clear" w:pos="4513"/>
        <w:tab w:val="clear" w:pos="9026"/>
        <w:tab w:val="left" w:pos="855"/>
      </w:tabs>
    </w:pPr>
    <w: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6AB4" w:rsidRDefault="00216AB4">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1078" w:rsidRPr="00A91A9E" w:rsidRDefault="00DA1078" w:rsidP="003610D1">
    <w:pPr>
      <w:pBdr>
        <w:top w:val="single" w:sz="2" w:space="1" w:color="auto"/>
      </w:pBdr>
      <w:tabs>
        <w:tab w:val="right" w:pos="8448"/>
      </w:tabs>
      <w:rPr>
        <w:rStyle w:val="PageNumber"/>
      </w:rPr>
    </w:pPr>
    <w:r w:rsidRPr="00A91A9E">
      <w:rPr>
        <w:rStyle w:val="PageNumber"/>
      </w:rPr>
      <w:fldChar w:fldCharType="begin"/>
    </w:r>
    <w:r w:rsidRPr="00A91A9E">
      <w:rPr>
        <w:rStyle w:val="PageNumber"/>
      </w:rPr>
      <w:instrText xml:space="preserve"> PAGE   \* MERGEFORMAT </w:instrText>
    </w:r>
    <w:r w:rsidRPr="00A91A9E">
      <w:rPr>
        <w:rStyle w:val="PageNumber"/>
      </w:rPr>
      <w:fldChar w:fldCharType="separate"/>
    </w:r>
    <w:r>
      <w:rPr>
        <w:rStyle w:val="PageNumber"/>
        <w:noProof/>
      </w:rPr>
      <w:t>2</w:t>
    </w:r>
    <w:r w:rsidRPr="00A91A9E">
      <w:rPr>
        <w:rStyle w:val="PageNumber"/>
      </w:rPr>
      <w:fldChar w:fldCharType="end"/>
    </w:r>
    <w:r w:rsidRPr="00A91A9E">
      <w:rPr>
        <w:rStyle w:val="PageNumber"/>
      </w:rPr>
      <w:tab/>
      <w:t>Xxx report—month/year</w:t>
    </w:r>
  </w:p>
  <w:p w:rsidR="00DA1078" w:rsidRDefault="00DA1078"/>
  <w:p w:rsidR="00DA1078" w:rsidRDefault="00DA1078"/>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1078" w:rsidRDefault="00FF3F63" w:rsidP="003610D1">
    <w:pPr>
      <w:pStyle w:val="Footer"/>
      <w:tabs>
        <w:tab w:val="clear" w:pos="9026"/>
        <w:tab w:val="right" w:pos="8505"/>
      </w:tabs>
    </w:pPr>
    <w:r>
      <w:fldChar w:fldCharType="begin"/>
    </w:r>
    <w:r>
      <w:instrText xml:space="preserve"> STYLEREF  "Report Title"  \* MERGEFORMAT </w:instrText>
    </w:r>
    <w:r>
      <w:fldChar w:fldCharType="separate"/>
    </w:r>
    <w:r w:rsidRPr="00FF3F63">
      <w:rPr>
        <w:bCs/>
        <w:noProof/>
        <w:lang w:val="en-US"/>
      </w:rPr>
      <w:t>Significant price variation report</w:t>
    </w:r>
    <w:r>
      <w:rPr>
        <w:bCs/>
        <w:noProof/>
        <w:lang w:val="en-US"/>
      </w:rPr>
      <w:fldChar w:fldCharType="end"/>
    </w:r>
    <w:r w:rsidR="00DA1078" w:rsidRPr="00091C2D">
      <w:rPr>
        <w:bCs/>
        <w:noProof/>
        <w:lang w:val="en-US"/>
      </w:rPr>
      <w:t xml:space="preserve"> East Coast Gas Markets June 2016</w:t>
    </w:r>
    <w:r w:rsidR="00DA1078">
      <w:tab/>
    </w:r>
    <w:r w:rsidR="00DA1078">
      <w:tab/>
    </w:r>
    <w:r w:rsidR="00DA1078">
      <w:fldChar w:fldCharType="begin"/>
    </w:r>
    <w:r w:rsidR="00DA1078">
      <w:instrText xml:space="preserve"> PAGE   \* MERGEFORMAT </w:instrText>
    </w:r>
    <w:r w:rsidR="00DA1078">
      <w:fldChar w:fldCharType="separate"/>
    </w:r>
    <w:r>
      <w:rPr>
        <w:noProof/>
      </w:rPr>
      <w:t>24</w:t>
    </w:r>
    <w:r w:rsidR="00DA1078">
      <w:rPr>
        <w:noProof/>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1078" w:rsidRDefault="00FF3F63" w:rsidP="003610D1">
    <w:pPr>
      <w:pStyle w:val="Footer"/>
      <w:tabs>
        <w:tab w:val="clear" w:pos="9026"/>
        <w:tab w:val="right" w:pos="8505"/>
      </w:tabs>
    </w:pPr>
    <w:r>
      <w:fldChar w:fldCharType="begin"/>
    </w:r>
    <w:r>
      <w:instrText xml:space="preserve"> STYLEREF  "Report Title"  \* MERGEFORMAT </w:instrText>
    </w:r>
    <w:r>
      <w:fldChar w:fldCharType="separate"/>
    </w:r>
    <w:r w:rsidR="003F58C8">
      <w:rPr>
        <w:noProof/>
      </w:rPr>
      <w:t>Significant price variation report</w:t>
    </w:r>
    <w:r>
      <w:rPr>
        <w:noProof/>
      </w:rPr>
      <w:fldChar w:fldCharType="end"/>
    </w:r>
    <w:r w:rsidR="00DA1078">
      <w:tab/>
    </w:r>
    <w:r w:rsidR="00DA1078">
      <w:tab/>
    </w:r>
    <w:r w:rsidR="00DA1078">
      <w:fldChar w:fldCharType="begin"/>
    </w:r>
    <w:r w:rsidR="00DA1078">
      <w:instrText xml:space="preserve"> PAGE   \* MERGEFORMAT </w:instrText>
    </w:r>
    <w:r w:rsidR="00DA1078">
      <w:fldChar w:fldCharType="separate"/>
    </w:r>
    <w:r w:rsidR="00DA1078">
      <w:rPr>
        <w:noProof/>
      </w:rPr>
      <w:t>1</w:t>
    </w:r>
    <w:r w:rsidR="00DA1078">
      <w:fldChar w:fldCharType="end"/>
    </w:r>
  </w:p>
  <w:p w:rsidR="00DA1078" w:rsidRDefault="00DA1078">
    <w:pPr>
      <w:pStyle w:val="Footer"/>
    </w:pPr>
  </w:p>
  <w:p w:rsidR="00DA1078" w:rsidRDefault="00DA1078"/>
  <w:p w:rsidR="00DA1078" w:rsidRDefault="00DA1078"/>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A1078" w:rsidRDefault="00DA1078">
      <w:pPr>
        <w:spacing w:before="0" w:line="240" w:lineRule="auto"/>
      </w:pPr>
      <w:r>
        <w:separator/>
      </w:r>
    </w:p>
  </w:footnote>
  <w:footnote w:type="continuationSeparator" w:id="0">
    <w:p w:rsidR="00DA1078" w:rsidRDefault="00DA1078">
      <w:pPr>
        <w:spacing w:before="0" w:line="240" w:lineRule="auto"/>
      </w:pPr>
      <w:r>
        <w:continuationSeparator/>
      </w:r>
    </w:p>
  </w:footnote>
  <w:footnote w:id="1">
    <w:p w:rsidR="00DA1078" w:rsidRDefault="00DA1078">
      <w:pPr>
        <w:pStyle w:val="FootnoteText"/>
      </w:pPr>
      <w:r>
        <w:rPr>
          <w:rStyle w:val="FootnoteReference"/>
        </w:rPr>
        <w:footnoteRef/>
      </w:r>
      <w:r>
        <w:t xml:space="preserve"> </w:t>
      </w:r>
      <w:r>
        <w:tab/>
        <w:t>The sixth train is expected to come on line later this year.</w:t>
      </w:r>
    </w:p>
  </w:footnote>
  <w:footnote w:id="2">
    <w:p w:rsidR="00DA1078" w:rsidRDefault="00DA1078">
      <w:pPr>
        <w:pStyle w:val="FootnoteText"/>
      </w:pPr>
      <w:r>
        <w:rPr>
          <w:rStyle w:val="FootnoteReference"/>
        </w:rPr>
        <w:footnoteRef/>
      </w:r>
      <w:r>
        <w:t xml:space="preserve"> </w:t>
      </w:r>
      <w:r>
        <w:tab/>
        <w:t>Rule</w:t>
      </w:r>
      <w:r w:rsidRPr="00D57BF1">
        <w:t xml:space="preserve"> 498(3)(b)</w:t>
      </w:r>
      <w:r>
        <w:t xml:space="preserve"> relates to SPVs in the STTM, and rule </w:t>
      </w:r>
      <w:r w:rsidRPr="00D57BF1">
        <w:t>355(1)(b)</w:t>
      </w:r>
      <w:r>
        <w:t xml:space="preserve"> relates to SPVs in the Victorian market.</w:t>
      </w:r>
    </w:p>
  </w:footnote>
  <w:footnote w:id="3">
    <w:p w:rsidR="00DA1078" w:rsidRDefault="00DA1078" w:rsidP="004F1B9E">
      <w:pPr>
        <w:pStyle w:val="FootnoteText"/>
      </w:pPr>
      <w:r>
        <w:rPr>
          <w:rStyle w:val="FootnoteReference"/>
        </w:rPr>
        <w:footnoteRef/>
      </w:r>
      <w:r>
        <w:t xml:space="preserve"> </w:t>
      </w:r>
      <w:r>
        <w:tab/>
        <w:t xml:space="preserve">Unlike the Victorian gas market, where many gas fired electricity generators </w:t>
      </w:r>
      <w:r>
        <w:rPr>
          <w:b/>
        </w:rPr>
        <w:t xml:space="preserve">(GFG) </w:t>
      </w:r>
      <w:r>
        <w:t>sit within the physical boundaries of the market, no GFG sit within the physical boundaries of the Adelaide or Sydney STTM and therefore do not have to participate in the market. However, these GFGs can make offers to buy gas from the daily market for transport to their power station (withdrawal bids). Though more commonly they choose to bypass markets and buy gas directly under long term contracts.</w:t>
      </w:r>
    </w:p>
  </w:footnote>
  <w:footnote w:id="4">
    <w:p w:rsidR="00DA1078" w:rsidRPr="00004D9A" w:rsidRDefault="00DA1078" w:rsidP="00200ADD">
      <w:pPr>
        <w:pStyle w:val="FootnoteText"/>
        <w:rPr>
          <w:szCs w:val="16"/>
        </w:rPr>
      </w:pPr>
      <w:r>
        <w:rPr>
          <w:rStyle w:val="FootnoteReference"/>
        </w:rPr>
        <w:footnoteRef/>
      </w:r>
      <w:r>
        <w:t xml:space="preserve"> </w:t>
      </w:r>
      <w:r>
        <w:tab/>
        <w:t xml:space="preserve">In 2020, domestic demand (residential and commercial, industrial, and gas fired electricity generators) is forecast to be around 515 PJ a year, whereas the demand from LNG is forecast to reach nearly </w:t>
      </w:r>
      <w:r w:rsidR="00004D9A">
        <w:t>1450</w:t>
      </w:r>
      <w:r>
        <w:t xml:space="preserve"> PJ. </w:t>
      </w:r>
      <w:r w:rsidR="00004D9A">
        <w:t>Source</w:t>
      </w:r>
      <w:r w:rsidR="00004D9A" w:rsidRPr="00004D9A">
        <w:rPr>
          <w:szCs w:val="16"/>
        </w:rPr>
        <w:t xml:space="preserve">: </w:t>
      </w:r>
      <w:hyperlink r:id="rId1" w:history="1">
        <w:r w:rsidR="00004D9A" w:rsidRPr="00004D9A">
          <w:rPr>
            <w:rStyle w:val="Hyperlink"/>
            <w:sz w:val="16"/>
          </w:rPr>
          <w:t>2015 National Gas Forecasting Report v2.0 – 2 March 2016</w:t>
        </w:r>
      </w:hyperlink>
    </w:p>
  </w:footnote>
  <w:footnote w:id="5">
    <w:p w:rsidR="00DA1078" w:rsidRDefault="00DA1078">
      <w:pPr>
        <w:pStyle w:val="FootnoteText"/>
      </w:pPr>
      <w:r>
        <w:rPr>
          <w:rStyle w:val="FootnoteReference"/>
        </w:rPr>
        <w:footnoteRef/>
      </w:r>
      <w:r>
        <w:t xml:space="preserve"> </w:t>
      </w:r>
      <w:r>
        <w:tab/>
      </w:r>
      <w:r w:rsidRPr="00270867">
        <w:t>Also, the EGP has been connected to the Wilton connection point in New South Wales. Previously only the MSP was connected to this point. The new connection enables Sydney’s demand to be supplied predominately by the EGP (which sources gas from Victoria) if required by participants.</w:t>
      </w:r>
    </w:p>
  </w:footnote>
  <w:footnote w:id="6">
    <w:p w:rsidR="00DA1078" w:rsidRDefault="00DA1078" w:rsidP="00223138">
      <w:pPr>
        <w:pStyle w:val="FootnoteText"/>
      </w:pPr>
      <w:r>
        <w:rPr>
          <w:rStyle w:val="FootnoteReference"/>
        </w:rPr>
        <w:footnoteRef/>
      </w:r>
      <w:r>
        <w:t xml:space="preserve"> </w:t>
      </w:r>
      <w:r>
        <w:tab/>
        <w:t>It is noted that gas fired generation decreased in Queensland and the AER understands this is because the ramp gas that made gas fired generation cheap in previous winters was no longer available in 2016.</w:t>
      </w:r>
    </w:p>
  </w:footnote>
  <w:footnote w:id="7">
    <w:p w:rsidR="00DA1078" w:rsidRDefault="00DA1078">
      <w:pPr>
        <w:pStyle w:val="FootnoteText"/>
      </w:pPr>
      <w:r>
        <w:rPr>
          <w:rStyle w:val="FootnoteReference"/>
        </w:rPr>
        <w:footnoteRef/>
      </w:r>
      <w:r>
        <w:t xml:space="preserve">   </w:t>
      </w:r>
      <w:r>
        <w:tab/>
        <w:t xml:space="preserve">See AER Communication Winter Energy Prices, </w:t>
      </w:r>
      <w:hyperlink r:id="rId2" w:history="1">
        <w:r w:rsidRPr="009C5B85">
          <w:rPr>
            <w:rStyle w:val="Hyperlink"/>
            <w:sz w:val="16"/>
          </w:rPr>
          <w:t>http://www.aer.gov.au/communication/winter-energy-prices-2016</w:t>
        </w:r>
      </w:hyperlink>
      <w:r>
        <w:t>.</w:t>
      </w:r>
    </w:p>
  </w:footnote>
  <w:footnote w:id="8">
    <w:p w:rsidR="00DA1078" w:rsidRDefault="00DA1078" w:rsidP="00147796">
      <w:pPr>
        <w:pStyle w:val="FootnoteText"/>
      </w:pPr>
      <w:r>
        <w:rPr>
          <w:rStyle w:val="FootnoteReference"/>
        </w:rPr>
        <w:footnoteRef/>
      </w:r>
      <w:r>
        <w:t xml:space="preserve"> </w:t>
      </w:r>
      <w:r>
        <w:tab/>
        <w:t>South Australia, New South Wales, and Victoria.</w:t>
      </w:r>
    </w:p>
  </w:footnote>
  <w:footnote w:id="9">
    <w:p w:rsidR="00DA1078" w:rsidRDefault="00DA1078" w:rsidP="00147796">
      <w:pPr>
        <w:pStyle w:val="FootnoteText"/>
      </w:pPr>
      <w:r>
        <w:rPr>
          <w:rStyle w:val="FootnoteReference"/>
        </w:rPr>
        <w:footnoteRef/>
      </w:r>
      <w:r>
        <w:t xml:space="preserve"> </w:t>
      </w:r>
      <w:r>
        <w:tab/>
        <w:t xml:space="preserve">Source: Bulletin Board data; INT911, INT924, INT925, </w:t>
      </w:r>
      <w:hyperlink r:id="rId3" w:history="1">
        <w:r w:rsidRPr="00D51219">
          <w:rPr>
            <w:rStyle w:val="Hyperlink"/>
            <w:sz w:val="16"/>
          </w:rPr>
          <w:t>www.gasbb.com.au</w:t>
        </w:r>
      </w:hyperlink>
      <w:r>
        <w:t>. Using capacity of 1,024 TJ for winter 2016 and 1,010 TJ for winter 2015.</w:t>
      </w:r>
    </w:p>
  </w:footnote>
  <w:footnote w:id="10">
    <w:p w:rsidR="00DA1078" w:rsidRDefault="00DA1078" w:rsidP="00147796">
      <w:pPr>
        <w:pStyle w:val="FootnoteText"/>
      </w:pPr>
      <w:r>
        <w:rPr>
          <w:rStyle w:val="FootnoteReference"/>
        </w:rPr>
        <w:footnoteRef/>
      </w:r>
      <w:r>
        <w:t xml:space="preserve"> </w:t>
      </w:r>
      <w:r>
        <w:tab/>
        <w:t>In August, Lochard Energy (the owner/operator of Iona) informed us that Iona’s recent storage is at historic lows.</w:t>
      </w:r>
    </w:p>
  </w:footnote>
  <w:footnote w:id="11">
    <w:p w:rsidR="00DA1078" w:rsidRDefault="00DA1078" w:rsidP="00147796">
      <w:pPr>
        <w:pStyle w:val="FootnoteText"/>
      </w:pPr>
      <w:r>
        <w:rPr>
          <w:rStyle w:val="FootnoteReference"/>
        </w:rPr>
        <w:footnoteRef/>
      </w:r>
      <w:r>
        <w:t xml:space="preserve"> </w:t>
      </w:r>
      <w:r>
        <w:tab/>
      </w:r>
      <w:hyperlink r:id="rId4" w:history="1">
        <w:r w:rsidRPr="001F476C">
          <w:rPr>
            <w:rStyle w:val="Hyperlink"/>
            <w:sz w:val="16"/>
          </w:rPr>
          <w:t>https://www.aemo.com.au/Gas/National-planning-and-forecasting/Victorian-Gas-Planning-Report</w:t>
        </w:r>
      </w:hyperlink>
      <w:r>
        <w:t xml:space="preserve"> </w:t>
      </w:r>
    </w:p>
  </w:footnote>
  <w:footnote w:id="12">
    <w:p w:rsidR="00DA1078" w:rsidRDefault="00DA1078" w:rsidP="00147796">
      <w:pPr>
        <w:pStyle w:val="FootnoteText"/>
      </w:pPr>
      <w:r>
        <w:rPr>
          <w:rStyle w:val="FootnoteReference"/>
        </w:rPr>
        <w:footnoteRef/>
      </w:r>
      <w:r>
        <w:t xml:space="preserve"> </w:t>
      </w:r>
      <w:r>
        <w:tab/>
        <w:t>Date range: 13 June 2016 to 31 July 2016. Data source: ex ante scheduled quantity (INT652).</w:t>
      </w:r>
    </w:p>
  </w:footnote>
  <w:footnote w:id="13">
    <w:p w:rsidR="00DA1078" w:rsidRDefault="00DA1078" w:rsidP="00147796">
      <w:pPr>
        <w:pStyle w:val="FootnoteText"/>
      </w:pPr>
      <w:r>
        <w:rPr>
          <w:rStyle w:val="FootnoteReference"/>
        </w:rPr>
        <w:footnoteRef/>
      </w:r>
      <w:r>
        <w:t xml:space="preserve"> </w:t>
      </w:r>
      <w:r>
        <w:tab/>
        <w:t>On 4 February 2016 AGL announced it will cease production in Camden in 2023, twelve years earlier than previously proposed. AEMO’s Gas Statement of Opportunities, published March 2016, notes New South Wales will be dependent on gas from other states once Camden ceases production.</w:t>
      </w:r>
    </w:p>
  </w:footnote>
  <w:footnote w:id="14">
    <w:p w:rsidR="00DA1078" w:rsidRDefault="00DA1078" w:rsidP="00147796">
      <w:pPr>
        <w:pStyle w:val="FootnoteText"/>
      </w:pPr>
      <w:r>
        <w:rPr>
          <w:rStyle w:val="FootnoteReference"/>
        </w:rPr>
        <w:footnoteRef/>
      </w:r>
      <w:r>
        <w:t xml:space="preserve"> </w:t>
      </w:r>
      <w:r>
        <w:tab/>
      </w:r>
      <w:hyperlink r:id="rId5" w:history="1">
        <w:r w:rsidRPr="0048545E">
          <w:rPr>
            <w:rStyle w:val="Hyperlink"/>
            <w:sz w:val="16"/>
          </w:rPr>
          <w:t>https://www.agl.com.au/about-agl/media-centre/article-list/2016/july/agl-update-on-fy17-gas-portfolio-margins</w:t>
        </w:r>
      </w:hyperlink>
      <w:r>
        <w:t xml:space="preserve"> </w:t>
      </w:r>
    </w:p>
  </w:footnote>
  <w:footnote w:id="15">
    <w:p w:rsidR="00DA1078" w:rsidRPr="0045223F" w:rsidRDefault="00DA1078" w:rsidP="00BC5516">
      <w:pPr>
        <w:pStyle w:val="FootnoteText"/>
      </w:pPr>
      <w:r>
        <w:rPr>
          <w:rStyle w:val="FootnoteReference"/>
        </w:rPr>
        <w:footnoteRef/>
      </w:r>
      <w:r>
        <w:t xml:space="preserve"> </w:t>
      </w:r>
      <w:r>
        <w:tab/>
        <w:t xml:space="preserve">Table 1.2 on page 29 of the ACCC’s </w:t>
      </w:r>
      <w:r>
        <w:rPr>
          <w:i/>
        </w:rPr>
        <w:t>Inquiry into the east coast gas market – April 2016</w:t>
      </w:r>
      <w:r>
        <w:t xml:space="preserve"> report provides a list of gas purchases by the Gladstone LNG export facilities.</w:t>
      </w:r>
    </w:p>
  </w:footnote>
  <w:footnote w:id="16">
    <w:p w:rsidR="00DA1078" w:rsidRDefault="00DA1078" w:rsidP="00BC5516">
      <w:pPr>
        <w:pStyle w:val="FootnoteText"/>
      </w:pPr>
      <w:r>
        <w:rPr>
          <w:rStyle w:val="FootnoteReference"/>
        </w:rPr>
        <w:footnoteRef/>
      </w:r>
      <w:r>
        <w:t xml:space="preserve"> </w:t>
      </w:r>
      <w:r>
        <w:tab/>
        <w:t>Based on reported Roma production and LNG export pipeline flows from the Bulletin Board, demand for LNG exports this winter h</w:t>
      </w:r>
      <w:r w:rsidR="00EB6916">
        <w:t>ave</w:t>
      </w:r>
      <w:r>
        <w:t xml:space="preserve"> increased rapidly from around 2.5 PJ at the start of 2016 to over 3 PJ in winter 2016.</w:t>
      </w:r>
    </w:p>
  </w:footnote>
  <w:footnote w:id="17">
    <w:p w:rsidR="00DA1078" w:rsidRDefault="00DA1078" w:rsidP="00BC5516">
      <w:pPr>
        <w:pStyle w:val="FootnoteText"/>
      </w:pPr>
      <w:r>
        <w:rPr>
          <w:rStyle w:val="FootnoteReference"/>
        </w:rPr>
        <w:footnoteRef/>
      </w:r>
      <w:r>
        <w:t xml:space="preserve"> </w:t>
      </w:r>
      <w:r>
        <w:tab/>
        <w:t>Liquid = diesel. There are some small peaking plants in South Australia that are powered by diesel. These units make up a small proportion of South Australia’s overall generation capacity, and only run in response to high prices.</w:t>
      </w:r>
    </w:p>
  </w:footnote>
  <w:footnote w:id="18">
    <w:p w:rsidR="00DA1078" w:rsidRDefault="00DA1078">
      <w:pPr>
        <w:pStyle w:val="FootnoteText"/>
      </w:pPr>
      <w:r>
        <w:rPr>
          <w:rStyle w:val="FootnoteReference"/>
        </w:rPr>
        <w:footnoteRef/>
      </w:r>
      <w:r>
        <w:t xml:space="preserve">   Rule 354(a) of Part 19 of the NGR and Rule 498(1)(a) of Part 20 of the NGR.</w:t>
      </w:r>
    </w:p>
  </w:footnote>
  <w:footnote w:id="19">
    <w:p w:rsidR="00DA1078" w:rsidRDefault="00DA1078">
      <w:pPr>
        <w:pStyle w:val="FootnoteText"/>
      </w:pPr>
      <w:r>
        <w:rPr>
          <w:rStyle w:val="FootnoteReference"/>
        </w:rPr>
        <w:footnoteRef/>
      </w:r>
      <w:r>
        <w:t xml:space="preserve">   Over forecasting of demand in Sydney is also discussed in the AER’s recent NEL Quarterly Compliance Report. </w:t>
      </w:r>
    </w:p>
    <w:p w:rsidR="00DA1078" w:rsidRPr="009D4CBE" w:rsidRDefault="00DA1078">
      <w:pPr>
        <w:pStyle w:val="FootnoteText"/>
        <w:rPr>
          <w:sz w:val="14"/>
          <w:szCs w:val="16"/>
        </w:rPr>
      </w:pPr>
      <w:r>
        <w:tab/>
        <w:t xml:space="preserve">Q2 2016 </w:t>
      </w:r>
      <w:hyperlink r:id="rId6" w:history="1">
        <w:r w:rsidRPr="009D4CBE">
          <w:rPr>
            <w:rStyle w:val="Hyperlink"/>
            <w:sz w:val="15"/>
            <w:szCs w:val="15"/>
          </w:rPr>
          <w:t>http://www.aer.gov.au/wholesale-markets/compliance-reporting/quarterly-compliance-report-april-june-2016</w:t>
        </w:r>
      </w:hyperlink>
    </w:p>
  </w:footnote>
  <w:footnote w:id="20">
    <w:p w:rsidR="0055219F" w:rsidRDefault="0055219F">
      <w:pPr>
        <w:pStyle w:val="FootnoteText"/>
      </w:pPr>
      <w:r>
        <w:rPr>
          <w:rStyle w:val="FootnoteReference"/>
        </w:rPr>
        <w:footnoteRef/>
      </w:r>
      <w:r>
        <w:t xml:space="preserve"> </w:t>
      </w:r>
      <w:r>
        <w:tab/>
        <w:t>AEMO forecast a price of $71.80/GJ if demand was 10 per cent higher. If demand was 10 per cent lower, the forecast price was $24.99/GJ.</w:t>
      </w:r>
    </w:p>
  </w:footnote>
  <w:footnote w:id="21">
    <w:p w:rsidR="00DA1078" w:rsidRDefault="00DA1078" w:rsidP="006D0401">
      <w:pPr>
        <w:pStyle w:val="FootnoteText"/>
      </w:pPr>
      <w:r>
        <w:rPr>
          <w:rStyle w:val="FootnoteReference"/>
        </w:rPr>
        <w:footnoteRef/>
      </w:r>
      <w:r>
        <w:t xml:space="preserve"> </w:t>
      </w:r>
      <w:r>
        <w:tab/>
        <w:t>Forecast demand at 6 am was 1181 TJ, including 29 TJ of AEMO overrides.</w:t>
      </w:r>
    </w:p>
  </w:footnote>
  <w:footnote w:id="22">
    <w:p w:rsidR="00DA1078" w:rsidRDefault="00DA1078" w:rsidP="00BC5516">
      <w:pPr>
        <w:pStyle w:val="FootnoteText"/>
      </w:pPr>
      <w:r>
        <w:rPr>
          <w:rStyle w:val="FootnoteReference"/>
        </w:rPr>
        <w:footnoteRef/>
      </w:r>
      <w:r>
        <w:t xml:space="preserve"> </w:t>
      </w:r>
      <w:r>
        <w:tab/>
        <w:t>Supply offers across each schedule apply to requirements for the entire 24 June gas day. Gas day (D+0) cut-off times occur one hour before the start of the 5 gas schedules (6 am, 10 am, 2 pm, 6 pm and 10 pm). In addition to the level of demand, scheduled supply offers also include further gas quantities for compressor fuel usage</w:t>
      </w:r>
      <w:r w:rsidRPr="005635FC">
        <w:t xml:space="preserve"> </w:t>
      </w:r>
      <w:r>
        <w:t>requirements, the replenishment of linepack and unaccounted for gas (UaFG) requirements. Some offers may also be excluded from setting the ex ante price depending on locational constraints, such as pipeline capacity restrictions.</w:t>
      </w:r>
    </w:p>
  </w:footnote>
  <w:footnote w:id="23">
    <w:p w:rsidR="00DA1078" w:rsidRDefault="00DA1078">
      <w:pPr>
        <w:pStyle w:val="FootnoteText"/>
      </w:pPr>
      <w:r>
        <w:rPr>
          <w:rStyle w:val="FootnoteReference"/>
        </w:rPr>
        <w:footnoteRef/>
      </w:r>
      <w:r>
        <w:t xml:space="preserve"> </w:t>
      </w:r>
      <w:r>
        <w:tab/>
        <w:t>160 TJ figure taken from INT687 AEMO website 27/07/16.</w:t>
      </w:r>
    </w:p>
  </w:footnote>
  <w:footnote w:id="24">
    <w:p w:rsidR="00DA1078" w:rsidRDefault="00DA1078">
      <w:pPr>
        <w:pStyle w:val="FootnoteText"/>
      </w:pPr>
      <w:r>
        <w:rPr>
          <w:rStyle w:val="FootnoteReference"/>
        </w:rPr>
        <w:footnoteRef/>
      </w:r>
      <w:r>
        <w:t xml:space="preserve"> </w:t>
      </w:r>
      <w:r>
        <w:tab/>
        <w:t xml:space="preserve">A </w:t>
      </w:r>
      <w:r>
        <w:noBreakHyphen/>
        <w:t>903 GJ imbalance led to the ex post price declining to $14.99/GJ.</w:t>
      </w:r>
    </w:p>
  </w:footnote>
  <w:footnote w:id="25">
    <w:p w:rsidR="00DA1078" w:rsidRDefault="00DA1078">
      <w:pPr>
        <w:pStyle w:val="FootnoteText"/>
      </w:pPr>
      <w:r>
        <w:rPr>
          <w:rStyle w:val="FootnoteReference"/>
        </w:rPr>
        <w:footnoteRef/>
      </w:r>
      <w:r>
        <w:t xml:space="preserve"> </w:t>
      </w:r>
      <w:r>
        <w:tab/>
        <w:t>MOS service payments were under $34,000.</w:t>
      </w:r>
    </w:p>
  </w:footnote>
  <w:footnote w:id="26">
    <w:p w:rsidR="00DA1078" w:rsidRDefault="00DA1078">
      <w:pPr>
        <w:pStyle w:val="FootnoteText"/>
      </w:pPr>
      <w:r>
        <w:rPr>
          <w:rStyle w:val="FootnoteReference"/>
        </w:rPr>
        <w:footnoteRef/>
      </w:r>
      <w:r>
        <w:t xml:space="preserve"> </w:t>
      </w:r>
      <w:r>
        <w:tab/>
        <w:t xml:space="preserve">The inelastic supply may have been influenced by the high prices (forecast, and actual) for gas in Victoria on the day. Colder than forecast weather led to demand exceeding 1 PJ. </w:t>
      </w:r>
    </w:p>
  </w:footnote>
  <w:footnote w:id="27">
    <w:p w:rsidR="00DA1078" w:rsidRDefault="00DA1078">
      <w:pPr>
        <w:pStyle w:val="FootnoteText"/>
      </w:pPr>
      <w:r>
        <w:rPr>
          <w:rStyle w:val="FootnoteReference"/>
        </w:rPr>
        <w:footnoteRef/>
      </w:r>
      <w:r>
        <w:t xml:space="preserve"> </w:t>
      </w:r>
      <w:r>
        <w:tab/>
        <w:t>MOS service payments were under $18,352</w:t>
      </w:r>
    </w:p>
  </w:footnote>
  <w:footnote w:id="28">
    <w:p w:rsidR="00DA1078" w:rsidRDefault="00DA1078">
      <w:pPr>
        <w:pStyle w:val="FootnoteText"/>
      </w:pPr>
      <w:r>
        <w:rPr>
          <w:rStyle w:val="FootnoteReference"/>
        </w:rPr>
        <w:footnoteRef/>
      </w:r>
      <w:r>
        <w:t xml:space="preserve"> </w:t>
      </w:r>
      <w:r>
        <w:tab/>
        <w:t>AEMO forecast a price of $60.81/GJ if demand was 10 per cent higher. If demand was 10 per cent lower, the forecast price was $8.50/GJ.</w:t>
      </w:r>
    </w:p>
  </w:footnote>
  <w:footnote w:id="29">
    <w:p w:rsidR="00DA1078" w:rsidRDefault="00DA1078">
      <w:pPr>
        <w:pStyle w:val="FootnoteText"/>
      </w:pPr>
      <w:r>
        <w:rPr>
          <w:rStyle w:val="FootnoteReference"/>
        </w:rPr>
        <w:footnoteRef/>
      </w:r>
      <w:r>
        <w:t xml:space="preserve"> </w:t>
      </w:r>
      <w:r>
        <w:tab/>
        <w:t xml:space="preserve">Offers at the facility reduced from 50 TJ to below 40 TJ from 2 pm, but were unable to be scheduled due to the constraint at the facility. The gradual increase to injection quantities was revised to 1042 GJ/hour from 6 pm. </w:t>
      </w:r>
    </w:p>
  </w:footnote>
  <w:footnote w:id="30">
    <w:p w:rsidR="00DA1078" w:rsidRDefault="00DA1078">
      <w:pPr>
        <w:pStyle w:val="FootnoteText"/>
      </w:pPr>
      <w:r>
        <w:rPr>
          <w:rStyle w:val="FootnoteReference"/>
        </w:rPr>
        <w:footnoteRef/>
      </w:r>
      <w:r>
        <w:t xml:space="preserve"> </w:t>
      </w:r>
      <w:r>
        <w:tab/>
      </w:r>
      <w:r>
        <w:fldChar w:fldCharType="begin"/>
      </w:r>
      <w:r>
        <w:instrText xml:space="preserve"> REF _Ref457897565 \h </w:instrText>
      </w:r>
      <w:r>
        <w:fldChar w:fldCharType="separate"/>
      </w:r>
      <w:r w:rsidR="003F58C8">
        <w:t>Figure </w:t>
      </w:r>
      <w:r w:rsidR="003F58C8">
        <w:rPr>
          <w:noProof/>
        </w:rPr>
        <w:t>12</w:t>
      </w:r>
      <w:r>
        <w:fldChar w:fldCharType="end"/>
      </w:r>
      <w:r>
        <w:t xml:space="preserve"> also illustrates the participants’ bids (to buy – the red line) and offers (to sell – the blue line) for the D-1 schedule. It shows the increasingly higher prices and lower quantities of supply offers at the floor.</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6AB4" w:rsidRDefault="00216AB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6AB4" w:rsidRDefault="00216AB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6AB4" w:rsidRDefault="00216AB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0E8D0B0"/>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756075BE"/>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7D84C18C"/>
    <w:lvl w:ilvl="0">
      <w:start w:val="1"/>
      <w:numFmt w:val="decimal"/>
      <w:pStyle w:val="ListNumber3"/>
      <w:lvlText w:val="%1."/>
      <w:lvlJc w:val="left"/>
      <w:pPr>
        <w:tabs>
          <w:tab w:val="num" w:pos="1021"/>
        </w:tabs>
        <w:ind w:left="1021" w:hanging="341"/>
      </w:pPr>
      <w:rPr>
        <w:rFonts w:hint="default"/>
      </w:rPr>
    </w:lvl>
  </w:abstractNum>
  <w:abstractNum w:abstractNumId="3">
    <w:nsid w:val="FFFFFF7F"/>
    <w:multiLevelType w:val="singleLevel"/>
    <w:tmpl w:val="C9043968"/>
    <w:lvl w:ilvl="0">
      <w:start w:val="1"/>
      <w:numFmt w:val="decimal"/>
      <w:pStyle w:val="ListNumber2"/>
      <w:lvlText w:val="%1."/>
      <w:lvlJc w:val="left"/>
      <w:pPr>
        <w:ind w:left="700" w:hanging="360"/>
      </w:pPr>
    </w:lvl>
  </w:abstractNum>
  <w:abstractNum w:abstractNumId="4">
    <w:nsid w:val="FFFFFF80"/>
    <w:multiLevelType w:val="singleLevel"/>
    <w:tmpl w:val="E38619F2"/>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93BE8B6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E46A7DC6"/>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E262730C"/>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3C004CC0"/>
    <w:lvl w:ilvl="0">
      <w:start w:val="1"/>
      <w:numFmt w:val="decimal"/>
      <w:pStyle w:val="ListNumber"/>
      <w:lvlText w:val="%1."/>
      <w:lvlJc w:val="left"/>
      <w:pPr>
        <w:tabs>
          <w:tab w:val="num" w:pos="360"/>
        </w:tabs>
        <w:ind w:left="360" w:hanging="360"/>
      </w:pPr>
    </w:lvl>
  </w:abstractNum>
  <w:abstractNum w:abstractNumId="9">
    <w:nsid w:val="FFFFFF89"/>
    <w:multiLevelType w:val="singleLevel"/>
    <w:tmpl w:val="A6AEF9E4"/>
    <w:lvl w:ilvl="0">
      <w:start w:val="1"/>
      <w:numFmt w:val="bullet"/>
      <w:lvlText w:val=""/>
      <w:lvlJc w:val="left"/>
      <w:pPr>
        <w:tabs>
          <w:tab w:val="num" w:pos="360"/>
        </w:tabs>
        <w:ind w:left="360" w:hanging="360"/>
      </w:pPr>
      <w:rPr>
        <w:rFonts w:ascii="Symbol" w:hAnsi="Symbol" w:hint="default"/>
      </w:rPr>
    </w:lvl>
  </w:abstractNum>
  <w:abstractNum w:abstractNumId="10">
    <w:nsid w:val="004F740F"/>
    <w:multiLevelType w:val="hybridMultilevel"/>
    <w:tmpl w:val="895E5F44"/>
    <w:lvl w:ilvl="0" w:tplc="0C090001">
      <w:start w:val="1"/>
      <w:numFmt w:val="bullet"/>
      <w:lvlText w:val=""/>
      <w:lvlJc w:val="left"/>
      <w:pPr>
        <w:ind w:left="1057" w:hanging="360"/>
      </w:pPr>
      <w:rPr>
        <w:rFonts w:ascii="Symbol" w:hAnsi="Symbol" w:hint="default"/>
      </w:rPr>
    </w:lvl>
    <w:lvl w:ilvl="1" w:tplc="0C090003" w:tentative="1">
      <w:start w:val="1"/>
      <w:numFmt w:val="bullet"/>
      <w:lvlText w:val="o"/>
      <w:lvlJc w:val="left"/>
      <w:pPr>
        <w:ind w:left="1777" w:hanging="360"/>
      </w:pPr>
      <w:rPr>
        <w:rFonts w:ascii="Courier New" w:hAnsi="Courier New" w:cs="Courier New" w:hint="default"/>
      </w:rPr>
    </w:lvl>
    <w:lvl w:ilvl="2" w:tplc="0C090005" w:tentative="1">
      <w:start w:val="1"/>
      <w:numFmt w:val="bullet"/>
      <w:lvlText w:val=""/>
      <w:lvlJc w:val="left"/>
      <w:pPr>
        <w:ind w:left="2497" w:hanging="360"/>
      </w:pPr>
      <w:rPr>
        <w:rFonts w:ascii="Wingdings" w:hAnsi="Wingdings" w:hint="default"/>
      </w:rPr>
    </w:lvl>
    <w:lvl w:ilvl="3" w:tplc="0C090001" w:tentative="1">
      <w:start w:val="1"/>
      <w:numFmt w:val="bullet"/>
      <w:lvlText w:val=""/>
      <w:lvlJc w:val="left"/>
      <w:pPr>
        <w:ind w:left="3217" w:hanging="360"/>
      </w:pPr>
      <w:rPr>
        <w:rFonts w:ascii="Symbol" w:hAnsi="Symbol" w:hint="default"/>
      </w:rPr>
    </w:lvl>
    <w:lvl w:ilvl="4" w:tplc="0C090003" w:tentative="1">
      <w:start w:val="1"/>
      <w:numFmt w:val="bullet"/>
      <w:lvlText w:val="o"/>
      <w:lvlJc w:val="left"/>
      <w:pPr>
        <w:ind w:left="3937" w:hanging="360"/>
      </w:pPr>
      <w:rPr>
        <w:rFonts w:ascii="Courier New" w:hAnsi="Courier New" w:cs="Courier New" w:hint="default"/>
      </w:rPr>
    </w:lvl>
    <w:lvl w:ilvl="5" w:tplc="0C090005" w:tentative="1">
      <w:start w:val="1"/>
      <w:numFmt w:val="bullet"/>
      <w:lvlText w:val=""/>
      <w:lvlJc w:val="left"/>
      <w:pPr>
        <w:ind w:left="4657" w:hanging="360"/>
      </w:pPr>
      <w:rPr>
        <w:rFonts w:ascii="Wingdings" w:hAnsi="Wingdings" w:hint="default"/>
      </w:rPr>
    </w:lvl>
    <w:lvl w:ilvl="6" w:tplc="0C090001" w:tentative="1">
      <w:start w:val="1"/>
      <w:numFmt w:val="bullet"/>
      <w:lvlText w:val=""/>
      <w:lvlJc w:val="left"/>
      <w:pPr>
        <w:ind w:left="5377" w:hanging="360"/>
      </w:pPr>
      <w:rPr>
        <w:rFonts w:ascii="Symbol" w:hAnsi="Symbol" w:hint="default"/>
      </w:rPr>
    </w:lvl>
    <w:lvl w:ilvl="7" w:tplc="0C090003" w:tentative="1">
      <w:start w:val="1"/>
      <w:numFmt w:val="bullet"/>
      <w:lvlText w:val="o"/>
      <w:lvlJc w:val="left"/>
      <w:pPr>
        <w:ind w:left="6097" w:hanging="360"/>
      </w:pPr>
      <w:rPr>
        <w:rFonts w:ascii="Courier New" w:hAnsi="Courier New" w:cs="Courier New" w:hint="default"/>
      </w:rPr>
    </w:lvl>
    <w:lvl w:ilvl="8" w:tplc="0C090005" w:tentative="1">
      <w:start w:val="1"/>
      <w:numFmt w:val="bullet"/>
      <w:lvlText w:val=""/>
      <w:lvlJc w:val="left"/>
      <w:pPr>
        <w:ind w:left="6817" w:hanging="360"/>
      </w:pPr>
      <w:rPr>
        <w:rFonts w:ascii="Wingdings" w:hAnsi="Wingdings" w:hint="default"/>
      </w:rPr>
    </w:lvl>
  </w:abstractNum>
  <w:abstractNum w:abstractNumId="11">
    <w:nsid w:val="03BE4FB3"/>
    <w:multiLevelType w:val="hybridMultilevel"/>
    <w:tmpl w:val="D74ADE0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nsid w:val="041F530A"/>
    <w:multiLevelType w:val="multilevel"/>
    <w:tmpl w:val="4E603EEA"/>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8234"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3">
    <w:nsid w:val="0C4312B0"/>
    <w:multiLevelType w:val="hybridMultilevel"/>
    <w:tmpl w:val="C1266B52"/>
    <w:lvl w:ilvl="0" w:tplc="990A9FAA">
      <w:start w:val="1"/>
      <w:numFmt w:val="lowerLetter"/>
      <w:pStyle w:val="Listalphabet"/>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4">
    <w:nsid w:val="0CCB02CE"/>
    <w:multiLevelType w:val="hybridMultilevel"/>
    <w:tmpl w:val="9FACFC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nsid w:val="0DD2542B"/>
    <w:multiLevelType w:val="hybridMultilevel"/>
    <w:tmpl w:val="60FAC388"/>
    <w:lvl w:ilvl="0" w:tplc="50264BE2">
      <w:start w:val="1"/>
      <w:numFmt w:val="decimal"/>
      <w:pStyle w:val="ListParagraph"/>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nsid w:val="11C56E0D"/>
    <w:multiLevelType w:val="hybridMultilevel"/>
    <w:tmpl w:val="537E6292"/>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133E73B6"/>
    <w:multiLevelType w:val="hybridMultilevel"/>
    <w:tmpl w:val="80220B84"/>
    <w:lvl w:ilvl="0" w:tplc="F5987420">
      <w:start w:val="1"/>
      <w:numFmt w:val="decimal"/>
      <w:pStyle w:val="Numberedparagraph"/>
      <w:lvlText w:val="%1."/>
      <w:lvlJc w:val="left"/>
      <w:pPr>
        <w:ind w:left="360" w:hanging="360"/>
      </w:pPr>
      <w:rPr>
        <w:rFonts w:hint="default"/>
      </w:rPr>
    </w:lvl>
    <w:lvl w:ilvl="1" w:tplc="A5728FDE" w:tentative="1">
      <w:start w:val="1"/>
      <w:numFmt w:val="bullet"/>
      <w:lvlText w:val="o"/>
      <w:lvlJc w:val="left"/>
      <w:pPr>
        <w:ind w:left="2520" w:hanging="360"/>
      </w:pPr>
      <w:rPr>
        <w:rFonts w:ascii="Courier New" w:hAnsi="Courier New" w:cs="Courier New" w:hint="default"/>
      </w:rPr>
    </w:lvl>
    <w:lvl w:ilvl="2" w:tplc="B6B8266A" w:tentative="1">
      <w:start w:val="1"/>
      <w:numFmt w:val="bullet"/>
      <w:lvlText w:val=""/>
      <w:lvlJc w:val="left"/>
      <w:pPr>
        <w:ind w:left="3240" w:hanging="360"/>
      </w:pPr>
      <w:rPr>
        <w:rFonts w:ascii="Wingdings" w:hAnsi="Wingdings" w:hint="default"/>
      </w:rPr>
    </w:lvl>
    <w:lvl w:ilvl="3" w:tplc="0E067E3E" w:tentative="1">
      <w:start w:val="1"/>
      <w:numFmt w:val="bullet"/>
      <w:lvlText w:val=""/>
      <w:lvlJc w:val="left"/>
      <w:pPr>
        <w:ind w:left="3960" w:hanging="360"/>
      </w:pPr>
      <w:rPr>
        <w:rFonts w:ascii="Symbol" w:hAnsi="Symbol" w:hint="default"/>
      </w:rPr>
    </w:lvl>
    <w:lvl w:ilvl="4" w:tplc="9D8444DE" w:tentative="1">
      <w:start w:val="1"/>
      <w:numFmt w:val="bullet"/>
      <w:lvlText w:val="o"/>
      <w:lvlJc w:val="left"/>
      <w:pPr>
        <w:ind w:left="4680" w:hanging="360"/>
      </w:pPr>
      <w:rPr>
        <w:rFonts w:ascii="Courier New" w:hAnsi="Courier New" w:cs="Courier New" w:hint="default"/>
      </w:rPr>
    </w:lvl>
    <w:lvl w:ilvl="5" w:tplc="47DE7D34" w:tentative="1">
      <w:start w:val="1"/>
      <w:numFmt w:val="bullet"/>
      <w:lvlText w:val=""/>
      <w:lvlJc w:val="left"/>
      <w:pPr>
        <w:ind w:left="5400" w:hanging="360"/>
      </w:pPr>
      <w:rPr>
        <w:rFonts w:ascii="Wingdings" w:hAnsi="Wingdings" w:hint="default"/>
      </w:rPr>
    </w:lvl>
    <w:lvl w:ilvl="6" w:tplc="9D0AFFEA" w:tentative="1">
      <w:start w:val="1"/>
      <w:numFmt w:val="bullet"/>
      <w:lvlText w:val=""/>
      <w:lvlJc w:val="left"/>
      <w:pPr>
        <w:ind w:left="6120" w:hanging="360"/>
      </w:pPr>
      <w:rPr>
        <w:rFonts w:ascii="Symbol" w:hAnsi="Symbol" w:hint="default"/>
      </w:rPr>
    </w:lvl>
    <w:lvl w:ilvl="7" w:tplc="663EE25A" w:tentative="1">
      <w:start w:val="1"/>
      <w:numFmt w:val="bullet"/>
      <w:lvlText w:val="o"/>
      <w:lvlJc w:val="left"/>
      <w:pPr>
        <w:ind w:left="6840" w:hanging="360"/>
      </w:pPr>
      <w:rPr>
        <w:rFonts w:ascii="Courier New" w:hAnsi="Courier New" w:cs="Courier New" w:hint="default"/>
      </w:rPr>
    </w:lvl>
    <w:lvl w:ilvl="8" w:tplc="2DD24F62" w:tentative="1">
      <w:start w:val="1"/>
      <w:numFmt w:val="bullet"/>
      <w:lvlText w:val=""/>
      <w:lvlJc w:val="left"/>
      <w:pPr>
        <w:ind w:left="7560" w:hanging="360"/>
      </w:pPr>
      <w:rPr>
        <w:rFonts w:ascii="Wingdings" w:hAnsi="Wingdings" w:hint="default"/>
      </w:rPr>
    </w:lvl>
  </w:abstractNum>
  <w:abstractNum w:abstractNumId="18">
    <w:nsid w:val="16980C17"/>
    <w:multiLevelType w:val="hybridMultilevel"/>
    <w:tmpl w:val="E31099AE"/>
    <w:lvl w:ilvl="0" w:tplc="162E5420">
      <w:numFmt w:val="bullet"/>
      <w:lvlText w:val="-"/>
      <w:lvlJc w:val="left"/>
      <w:pPr>
        <w:ind w:left="720" w:hanging="360"/>
      </w:pPr>
      <w:rPr>
        <w:rFonts w:ascii="Arial" w:eastAsiaTheme="minorHAns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18E65396"/>
    <w:multiLevelType w:val="hybridMultilevel"/>
    <w:tmpl w:val="07384C54"/>
    <w:lvl w:ilvl="0" w:tplc="8530271E">
      <w:start w:val="1"/>
      <w:numFmt w:val="decimal"/>
      <w:pStyle w:val="NumberedChapterTitle"/>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nsid w:val="1CF519CE"/>
    <w:multiLevelType w:val="multilevel"/>
    <w:tmpl w:val="FDC07CAE"/>
    <w:lvl w:ilvl="0">
      <w:start w:val="1"/>
      <w:numFmt w:val="decimal"/>
      <w:lvlText w:val="%1."/>
      <w:lvlJc w:val="left"/>
      <w:pPr>
        <w:ind w:left="360" w:hanging="360"/>
      </w:pPr>
    </w:lvl>
    <w:lvl w:ilvl="1">
      <w:start w:val="1"/>
      <w:numFmt w:val="decimal"/>
      <w:pStyle w:val="Numberedparagraph11"/>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nsid w:val="1D5469A2"/>
    <w:multiLevelType w:val="hybridMultilevel"/>
    <w:tmpl w:val="FFD073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28865DF8"/>
    <w:multiLevelType w:val="hybridMultilevel"/>
    <w:tmpl w:val="EC0E5568"/>
    <w:lvl w:ilvl="0" w:tplc="D90E7D7A">
      <w:start w:val="1"/>
      <w:numFmt w:val="lowerLetter"/>
      <w:pStyle w:val="Listalphabet2"/>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23">
    <w:nsid w:val="2A06668F"/>
    <w:multiLevelType w:val="hybridMultilevel"/>
    <w:tmpl w:val="B7F840A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nsid w:val="2AFD624A"/>
    <w:multiLevelType w:val="hybridMultilevel"/>
    <w:tmpl w:val="FDF65C9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nsid w:val="31925F60"/>
    <w:multiLevelType w:val="hybridMultilevel"/>
    <w:tmpl w:val="5A1E9C9E"/>
    <w:lvl w:ilvl="0" w:tplc="0C090001">
      <w:start w:val="1"/>
      <w:numFmt w:val="bullet"/>
      <w:lvlText w:val=""/>
      <w:lvlJc w:val="left"/>
      <w:pPr>
        <w:ind w:left="758" w:hanging="360"/>
      </w:pPr>
      <w:rPr>
        <w:rFonts w:ascii="Symbol" w:hAnsi="Symbol" w:hint="default"/>
      </w:rPr>
    </w:lvl>
    <w:lvl w:ilvl="1" w:tplc="0C090003" w:tentative="1">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tentative="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26">
    <w:nsid w:val="32F51475"/>
    <w:multiLevelType w:val="hybridMultilevel"/>
    <w:tmpl w:val="DB8069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nsid w:val="3923347D"/>
    <w:multiLevelType w:val="hybridMultilevel"/>
    <w:tmpl w:val="D45C48E2"/>
    <w:lvl w:ilvl="0" w:tplc="D66A534E">
      <w:start w:val="1"/>
      <w:numFmt w:val="bullet"/>
      <w:pStyle w:val="ListBullet"/>
      <w:lvlText w:val=""/>
      <w:lvlJc w:val="left"/>
      <w:pPr>
        <w:ind w:left="720" w:hanging="360"/>
      </w:pPr>
      <w:rPr>
        <w:rFonts w:ascii="Symbol" w:hAnsi="Symbol" w:hint="default"/>
        <w:sz w:val="20"/>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nsid w:val="3CF07D5F"/>
    <w:multiLevelType w:val="hybridMultilevel"/>
    <w:tmpl w:val="D6DC675A"/>
    <w:lvl w:ilvl="0" w:tplc="6C6CF7F2">
      <w:start w:val="1"/>
      <w:numFmt w:val="lowerLetter"/>
      <w:lvlText w:val="(%1)"/>
      <w:lvlJc w:val="left"/>
      <w:pPr>
        <w:ind w:left="1361" w:hanging="340"/>
      </w:pPr>
      <w:rPr>
        <w:rFonts w:hint="default"/>
      </w:rPr>
    </w:lvl>
    <w:lvl w:ilvl="1" w:tplc="0C090019" w:tentative="1">
      <w:start w:val="1"/>
      <w:numFmt w:val="lowerLetter"/>
      <w:lvlText w:val="%2."/>
      <w:lvlJc w:val="left"/>
      <w:pPr>
        <w:ind w:left="2101" w:hanging="360"/>
      </w:pPr>
    </w:lvl>
    <w:lvl w:ilvl="2" w:tplc="0C09001B" w:tentative="1">
      <w:start w:val="1"/>
      <w:numFmt w:val="lowerRoman"/>
      <w:lvlText w:val="%3."/>
      <w:lvlJc w:val="right"/>
      <w:pPr>
        <w:ind w:left="2821" w:hanging="180"/>
      </w:pPr>
    </w:lvl>
    <w:lvl w:ilvl="3" w:tplc="0C09000F" w:tentative="1">
      <w:start w:val="1"/>
      <w:numFmt w:val="decimal"/>
      <w:lvlText w:val="%4."/>
      <w:lvlJc w:val="left"/>
      <w:pPr>
        <w:ind w:left="3541" w:hanging="360"/>
      </w:pPr>
    </w:lvl>
    <w:lvl w:ilvl="4" w:tplc="0C090019" w:tentative="1">
      <w:start w:val="1"/>
      <w:numFmt w:val="lowerLetter"/>
      <w:lvlText w:val="%5."/>
      <w:lvlJc w:val="left"/>
      <w:pPr>
        <w:ind w:left="4261" w:hanging="360"/>
      </w:pPr>
    </w:lvl>
    <w:lvl w:ilvl="5" w:tplc="0C09001B" w:tentative="1">
      <w:start w:val="1"/>
      <w:numFmt w:val="lowerRoman"/>
      <w:lvlText w:val="%6."/>
      <w:lvlJc w:val="right"/>
      <w:pPr>
        <w:ind w:left="4981" w:hanging="180"/>
      </w:pPr>
    </w:lvl>
    <w:lvl w:ilvl="6" w:tplc="0C09000F" w:tentative="1">
      <w:start w:val="1"/>
      <w:numFmt w:val="decimal"/>
      <w:lvlText w:val="%7."/>
      <w:lvlJc w:val="left"/>
      <w:pPr>
        <w:ind w:left="5701" w:hanging="360"/>
      </w:pPr>
    </w:lvl>
    <w:lvl w:ilvl="7" w:tplc="0C090019" w:tentative="1">
      <w:start w:val="1"/>
      <w:numFmt w:val="lowerLetter"/>
      <w:lvlText w:val="%8."/>
      <w:lvlJc w:val="left"/>
      <w:pPr>
        <w:ind w:left="6421" w:hanging="360"/>
      </w:pPr>
    </w:lvl>
    <w:lvl w:ilvl="8" w:tplc="0C09001B" w:tentative="1">
      <w:start w:val="1"/>
      <w:numFmt w:val="lowerRoman"/>
      <w:lvlText w:val="%9."/>
      <w:lvlJc w:val="right"/>
      <w:pPr>
        <w:ind w:left="7141" w:hanging="180"/>
      </w:pPr>
    </w:lvl>
  </w:abstractNum>
  <w:abstractNum w:abstractNumId="29">
    <w:nsid w:val="42725C8E"/>
    <w:multiLevelType w:val="hybridMultilevel"/>
    <w:tmpl w:val="E91697D2"/>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nsid w:val="42767627"/>
    <w:multiLevelType w:val="hybridMultilevel"/>
    <w:tmpl w:val="3A3EB34A"/>
    <w:lvl w:ilvl="0" w:tplc="FB4C52D4">
      <w:numFmt w:val="bullet"/>
      <w:lvlText w:val="-"/>
      <w:lvlJc w:val="left"/>
      <w:pPr>
        <w:ind w:left="720" w:hanging="360"/>
      </w:pPr>
      <w:rPr>
        <w:rFonts w:ascii="Arial" w:eastAsiaTheme="minorHAnsi" w:hAnsi="Arial" w:cs="Arial" w:hint="default"/>
      </w:rPr>
    </w:lvl>
    <w:lvl w:ilvl="1" w:tplc="8BAE395A">
      <w:numFmt w:val="bullet"/>
      <w:lvlText w:val="•"/>
      <w:lvlJc w:val="left"/>
      <w:pPr>
        <w:ind w:left="2010" w:hanging="930"/>
      </w:pPr>
      <w:rPr>
        <w:rFonts w:ascii="Arial" w:eastAsiaTheme="minorHAnsi"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nsid w:val="44B75B21"/>
    <w:multiLevelType w:val="hybridMultilevel"/>
    <w:tmpl w:val="B24A59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nsid w:val="457C59F8"/>
    <w:multiLevelType w:val="hybridMultilevel"/>
    <w:tmpl w:val="03F08BC6"/>
    <w:lvl w:ilvl="0" w:tplc="FB4C52D4">
      <w:numFmt w:val="bullet"/>
      <w:lvlText w:val="-"/>
      <w:lvlJc w:val="left"/>
      <w:pPr>
        <w:ind w:left="720" w:hanging="360"/>
      </w:pPr>
      <w:rPr>
        <w:rFonts w:ascii="Arial" w:eastAsiaTheme="minorHAnsi" w:hAnsi="Arial" w:cs="Aria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nsid w:val="499F124F"/>
    <w:multiLevelType w:val="multilevel"/>
    <w:tmpl w:val="5666D91E"/>
    <w:styleLink w:val="AlphanumericList"/>
    <w:lvl w:ilvl="0">
      <w:start w:val="1"/>
      <w:numFmt w:val="decimal"/>
      <w:lvlText w:val="A.%1"/>
      <w:lvlJc w:val="left"/>
      <w:pPr>
        <w:ind w:left="360" w:hanging="360"/>
      </w:pPr>
      <w:rPr>
        <w:rFonts w:ascii="Arial" w:hAnsi="Arial" w:hint="default"/>
        <w:sz w:val="22"/>
      </w:rPr>
    </w:lvl>
    <w:lvl w:ilvl="1">
      <w:start w:val="1"/>
      <w:numFmt w:val="decimal"/>
      <w:lvlRestart w:val="0"/>
      <w:lvlText w:val="A.%1.%2"/>
      <w:lvlJc w:val="left"/>
      <w:pPr>
        <w:ind w:left="720" w:hanging="360"/>
      </w:pPr>
      <w:rPr>
        <w:rFonts w:hint="default"/>
      </w:rPr>
    </w:lvl>
    <w:lvl w:ilvl="2">
      <w:start w:val="1"/>
      <w:numFmt w:val="decimal"/>
      <w:lvlRestart w:val="0"/>
      <w:lvlText w:val="A.%1.%2.%3"/>
      <w:lvlJc w:val="left"/>
      <w:pPr>
        <w:ind w:left="1080" w:hanging="360"/>
      </w:pPr>
      <w:rPr>
        <w:rFonts w:hint="default"/>
      </w:rPr>
    </w:lvl>
    <w:lvl w:ilvl="3">
      <w:start w:val="1"/>
      <w:numFmt w:val="none"/>
      <w:lvlText w:val="(1)"/>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4">
    <w:nsid w:val="49E52C90"/>
    <w:multiLevelType w:val="hybridMultilevel"/>
    <w:tmpl w:val="8C0ACE80"/>
    <w:lvl w:ilvl="0" w:tplc="9D00B0D8">
      <w:start w:val="1"/>
      <w:numFmt w:val="lowerRoman"/>
      <w:pStyle w:val="ListLegal"/>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nsid w:val="51160E22"/>
    <w:multiLevelType w:val="hybridMultilevel"/>
    <w:tmpl w:val="6C3CB866"/>
    <w:lvl w:ilvl="0" w:tplc="FB4C52D4">
      <w:numFmt w:val="bullet"/>
      <w:lvlText w:val="-"/>
      <w:lvlJc w:val="left"/>
      <w:pPr>
        <w:ind w:left="720" w:hanging="360"/>
      </w:pPr>
      <w:rPr>
        <w:rFonts w:ascii="Arial" w:eastAsiaTheme="minorHAns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nsid w:val="59474DF1"/>
    <w:multiLevelType w:val="multilevel"/>
    <w:tmpl w:val="5BC065FC"/>
    <w:lvl w:ilvl="0">
      <w:start w:val="1"/>
      <w:numFmt w:val="decimal"/>
      <w:pStyle w:val="LegalNumbering"/>
      <w:isLgl/>
      <w:lvlText w:val="%1)"/>
      <w:lvlJc w:val="left"/>
      <w:pPr>
        <w:ind w:left="340" w:hanging="340"/>
      </w:pPr>
      <w:rPr>
        <w:rFonts w:hint="default"/>
      </w:rPr>
    </w:lvl>
    <w:lvl w:ilvl="1">
      <w:start w:val="1"/>
      <w:numFmt w:val="lowerLetter"/>
      <w:lvlText w:val="%2) "/>
      <w:lvlJc w:val="left"/>
      <w:pPr>
        <w:ind w:left="680" w:hanging="340"/>
      </w:pPr>
      <w:rPr>
        <w:rFonts w:hint="default"/>
      </w:rPr>
    </w:lvl>
    <w:lvl w:ilvl="2">
      <w:start w:val="1"/>
      <w:numFmt w:val="lowerRoman"/>
      <w:lvlText w:val="%3)"/>
      <w:lvlJc w:val="left"/>
      <w:pPr>
        <w:tabs>
          <w:tab w:val="num" w:pos="1701"/>
        </w:tabs>
        <w:ind w:left="1021" w:hanging="341"/>
      </w:pPr>
      <w:rPr>
        <w:rFonts w:hint="default"/>
      </w:rPr>
    </w:lvl>
    <w:lvl w:ilvl="3">
      <w:start w:val="1"/>
      <w:numFmt w:val="decimal"/>
      <w:lvlText w:val="(%4) "/>
      <w:lvlJc w:val="left"/>
      <w:pPr>
        <w:tabs>
          <w:tab w:val="num" w:pos="1758"/>
        </w:tabs>
        <w:ind w:left="1361" w:hanging="340"/>
      </w:pPr>
      <w:rPr>
        <w:rFonts w:hint="default"/>
      </w:rPr>
    </w:lvl>
    <w:lvl w:ilvl="4">
      <w:start w:val="1"/>
      <w:numFmt w:val="lowerLetter"/>
      <w:lvlText w:val="(%5)"/>
      <w:lvlJc w:val="left"/>
      <w:pPr>
        <w:ind w:left="1701" w:hanging="340"/>
      </w:pPr>
      <w:rPr>
        <w:rFonts w:hint="default"/>
      </w:rPr>
    </w:lvl>
    <w:lvl w:ilvl="5">
      <w:start w:val="1"/>
      <w:numFmt w:val="lowerRoman"/>
      <w:lvlText w:val="(%6)"/>
      <w:lvlJc w:val="left"/>
      <w:pPr>
        <w:tabs>
          <w:tab w:val="num" w:pos="2608"/>
        </w:tabs>
        <w:ind w:left="2041" w:hanging="340"/>
      </w:pPr>
      <w:rPr>
        <w:rFonts w:hint="default"/>
      </w:rPr>
    </w:lvl>
    <w:lvl w:ilvl="6">
      <w:start w:val="1"/>
      <w:numFmt w:val="decimal"/>
      <w:lvlText w:val="%7."/>
      <w:lvlJc w:val="left"/>
      <w:pPr>
        <w:tabs>
          <w:tab w:val="num" w:pos="3175"/>
        </w:tabs>
        <w:ind w:left="2381" w:hanging="340"/>
      </w:pPr>
      <w:rPr>
        <w:rFonts w:hint="default"/>
      </w:rPr>
    </w:lvl>
    <w:lvl w:ilvl="7">
      <w:start w:val="1"/>
      <w:numFmt w:val="lowerLetter"/>
      <w:lvlText w:val="%8."/>
      <w:lvlJc w:val="left"/>
      <w:pPr>
        <w:tabs>
          <w:tab w:val="num" w:pos="3799"/>
        </w:tabs>
        <w:ind w:left="2722" w:hanging="341"/>
      </w:pPr>
      <w:rPr>
        <w:rFonts w:hint="default"/>
      </w:rPr>
    </w:lvl>
    <w:lvl w:ilvl="8">
      <w:start w:val="1"/>
      <w:numFmt w:val="lowerRoman"/>
      <w:lvlText w:val="%9."/>
      <w:lvlJc w:val="left"/>
      <w:pPr>
        <w:ind w:left="3062" w:hanging="340"/>
      </w:pPr>
      <w:rPr>
        <w:rFonts w:hint="default"/>
      </w:rPr>
    </w:lvl>
  </w:abstractNum>
  <w:abstractNum w:abstractNumId="37">
    <w:nsid w:val="6726588A"/>
    <w:multiLevelType w:val="hybridMultilevel"/>
    <w:tmpl w:val="CC927964"/>
    <w:lvl w:ilvl="0" w:tplc="0C09000F">
      <w:start w:val="1"/>
      <w:numFmt w:val="bullet"/>
      <w:pStyle w:val="Bulletpoint2"/>
      <w:lvlText w:val="o"/>
      <w:lvlJc w:val="left"/>
      <w:pPr>
        <w:ind w:left="-279" w:hanging="360"/>
      </w:pPr>
      <w:rPr>
        <w:rFonts w:ascii="Courier New" w:hAnsi="Courier New" w:cs="Courier New" w:hint="default"/>
      </w:rPr>
    </w:lvl>
    <w:lvl w:ilvl="1" w:tplc="0C090019" w:tentative="1">
      <w:start w:val="1"/>
      <w:numFmt w:val="bullet"/>
      <w:lvlText w:val="o"/>
      <w:lvlJc w:val="left"/>
      <w:pPr>
        <w:ind w:left="441" w:hanging="360"/>
      </w:pPr>
      <w:rPr>
        <w:rFonts w:ascii="Courier New" w:hAnsi="Courier New" w:cs="Courier New" w:hint="default"/>
      </w:rPr>
    </w:lvl>
    <w:lvl w:ilvl="2" w:tplc="0C09001B" w:tentative="1">
      <w:start w:val="1"/>
      <w:numFmt w:val="bullet"/>
      <w:lvlText w:val=""/>
      <w:lvlJc w:val="left"/>
      <w:pPr>
        <w:ind w:left="1161" w:hanging="360"/>
      </w:pPr>
      <w:rPr>
        <w:rFonts w:ascii="Wingdings" w:hAnsi="Wingdings" w:hint="default"/>
      </w:rPr>
    </w:lvl>
    <w:lvl w:ilvl="3" w:tplc="0C09000F" w:tentative="1">
      <w:start w:val="1"/>
      <w:numFmt w:val="bullet"/>
      <w:lvlText w:val=""/>
      <w:lvlJc w:val="left"/>
      <w:pPr>
        <w:ind w:left="1881" w:hanging="360"/>
      </w:pPr>
      <w:rPr>
        <w:rFonts w:ascii="Symbol" w:hAnsi="Symbol" w:hint="default"/>
      </w:rPr>
    </w:lvl>
    <w:lvl w:ilvl="4" w:tplc="0C090019" w:tentative="1">
      <w:start w:val="1"/>
      <w:numFmt w:val="bullet"/>
      <w:lvlText w:val="o"/>
      <w:lvlJc w:val="left"/>
      <w:pPr>
        <w:ind w:left="2601" w:hanging="360"/>
      </w:pPr>
      <w:rPr>
        <w:rFonts w:ascii="Courier New" w:hAnsi="Courier New" w:cs="Courier New" w:hint="default"/>
      </w:rPr>
    </w:lvl>
    <w:lvl w:ilvl="5" w:tplc="0C09001B" w:tentative="1">
      <w:start w:val="1"/>
      <w:numFmt w:val="bullet"/>
      <w:lvlText w:val=""/>
      <w:lvlJc w:val="left"/>
      <w:pPr>
        <w:ind w:left="3321" w:hanging="360"/>
      </w:pPr>
      <w:rPr>
        <w:rFonts w:ascii="Wingdings" w:hAnsi="Wingdings" w:hint="default"/>
      </w:rPr>
    </w:lvl>
    <w:lvl w:ilvl="6" w:tplc="0C09000F" w:tentative="1">
      <w:start w:val="1"/>
      <w:numFmt w:val="bullet"/>
      <w:lvlText w:val=""/>
      <w:lvlJc w:val="left"/>
      <w:pPr>
        <w:ind w:left="4041" w:hanging="360"/>
      </w:pPr>
      <w:rPr>
        <w:rFonts w:ascii="Symbol" w:hAnsi="Symbol" w:hint="default"/>
      </w:rPr>
    </w:lvl>
    <w:lvl w:ilvl="7" w:tplc="0C090019" w:tentative="1">
      <w:start w:val="1"/>
      <w:numFmt w:val="bullet"/>
      <w:lvlText w:val="o"/>
      <w:lvlJc w:val="left"/>
      <w:pPr>
        <w:ind w:left="4761" w:hanging="360"/>
      </w:pPr>
      <w:rPr>
        <w:rFonts w:ascii="Courier New" w:hAnsi="Courier New" w:cs="Courier New" w:hint="default"/>
      </w:rPr>
    </w:lvl>
    <w:lvl w:ilvl="8" w:tplc="0C09001B" w:tentative="1">
      <w:start w:val="1"/>
      <w:numFmt w:val="bullet"/>
      <w:lvlText w:val=""/>
      <w:lvlJc w:val="left"/>
      <w:pPr>
        <w:ind w:left="5481" w:hanging="360"/>
      </w:pPr>
      <w:rPr>
        <w:rFonts w:ascii="Wingdings" w:hAnsi="Wingdings" w:hint="default"/>
      </w:rPr>
    </w:lvl>
  </w:abstractNum>
  <w:abstractNum w:abstractNumId="38">
    <w:nsid w:val="68BB1454"/>
    <w:multiLevelType w:val="hybridMultilevel"/>
    <w:tmpl w:val="75F48B8A"/>
    <w:lvl w:ilvl="0" w:tplc="2534C13A">
      <w:start w:val="1"/>
      <w:numFmt w:val="lowerLetter"/>
      <w:lvlText w:val="(%1)"/>
      <w:lvlJc w:val="left"/>
      <w:pPr>
        <w:ind w:left="705" w:hanging="360"/>
      </w:pPr>
      <w:rPr>
        <w:rFonts w:hint="default"/>
      </w:rPr>
    </w:lvl>
    <w:lvl w:ilvl="1" w:tplc="0C090019" w:tentative="1">
      <w:start w:val="1"/>
      <w:numFmt w:val="lowerLetter"/>
      <w:lvlText w:val="%2."/>
      <w:lvlJc w:val="left"/>
      <w:pPr>
        <w:ind w:left="1425" w:hanging="360"/>
      </w:pPr>
    </w:lvl>
    <w:lvl w:ilvl="2" w:tplc="0C09001B" w:tentative="1">
      <w:start w:val="1"/>
      <w:numFmt w:val="lowerRoman"/>
      <w:lvlText w:val="%3."/>
      <w:lvlJc w:val="right"/>
      <w:pPr>
        <w:ind w:left="2145" w:hanging="180"/>
      </w:pPr>
    </w:lvl>
    <w:lvl w:ilvl="3" w:tplc="0C09000F" w:tentative="1">
      <w:start w:val="1"/>
      <w:numFmt w:val="decimal"/>
      <w:lvlText w:val="%4."/>
      <w:lvlJc w:val="left"/>
      <w:pPr>
        <w:ind w:left="2865" w:hanging="360"/>
      </w:pPr>
    </w:lvl>
    <w:lvl w:ilvl="4" w:tplc="0C090019" w:tentative="1">
      <w:start w:val="1"/>
      <w:numFmt w:val="lowerLetter"/>
      <w:lvlText w:val="%5."/>
      <w:lvlJc w:val="left"/>
      <w:pPr>
        <w:ind w:left="3585" w:hanging="360"/>
      </w:pPr>
    </w:lvl>
    <w:lvl w:ilvl="5" w:tplc="0C09001B" w:tentative="1">
      <w:start w:val="1"/>
      <w:numFmt w:val="lowerRoman"/>
      <w:lvlText w:val="%6."/>
      <w:lvlJc w:val="right"/>
      <w:pPr>
        <w:ind w:left="4305" w:hanging="180"/>
      </w:pPr>
    </w:lvl>
    <w:lvl w:ilvl="6" w:tplc="0C09000F" w:tentative="1">
      <w:start w:val="1"/>
      <w:numFmt w:val="decimal"/>
      <w:lvlText w:val="%7."/>
      <w:lvlJc w:val="left"/>
      <w:pPr>
        <w:ind w:left="5025" w:hanging="360"/>
      </w:pPr>
    </w:lvl>
    <w:lvl w:ilvl="7" w:tplc="0C090019" w:tentative="1">
      <w:start w:val="1"/>
      <w:numFmt w:val="lowerLetter"/>
      <w:lvlText w:val="%8."/>
      <w:lvlJc w:val="left"/>
      <w:pPr>
        <w:ind w:left="5745" w:hanging="360"/>
      </w:pPr>
    </w:lvl>
    <w:lvl w:ilvl="8" w:tplc="0C09001B" w:tentative="1">
      <w:start w:val="1"/>
      <w:numFmt w:val="lowerRoman"/>
      <w:lvlText w:val="%9."/>
      <w:lvlJc w:val="right"/>
      <w:pPr>
        <w:ind w:left="6465" w:hanging="180"/>
      </w:pPr>
    </w:lvl>
  </w:abstractNum>
  <w:abstractNum w:abstractNumId="39">
    <w:nsid w:val="71052EFE"/>
    <w:multiLevelType w:val="hybridMultilevel"/>
    <w:tmpl w:val="52FCFAA8"/>
    <w:lvl w:ilvl="0" w:tplc="C846CA5C">
      <w:start w:val="1"/>
      <w:numFmt w:val="lowerRoman"/>
      <w:pStyle w:val="ListLegal3"/>
      <w:lvlText w:val="%1."/>
      <w:lvlJc w:val="righ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nsid w:val="7C843647"/>
    <w:multiLevelType w:val="hybridMultilevel"/>
    <w:tmpl w:val="EE663D7E"/>
    <w:lvl w:ilvl="0" w:tplc="8A24ECB2">
      <w:numFmt w:val="bullet"/>
      <w:lvlText w:val="-"/>
      <w:lvlJc w:val="left"/>
      <w:pPr>
        <w:ind w:left="720" w:hanging="360"/>
      </w:pPr>
      <w:rPr>
        <w:rFonts w:ascii="Arial" w:eastAsiaTheme="minorHAns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nsid w:val="7E2819EC"/>
    <w:multiLevelType w:val="multilevel"/>
    <w:tmpl w:val="1250F310"/>
    <w:lvl w:ilvl="0">
      <w:start w:val="1"/>
      <w:numFmt w:val="bullet"/>
      <w:pStyle w:val="Bulletpoint"/>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2">
    <w:nsid w:val="7EA2663B"/>
    <w:multiLevelType w:val="hybridMultilevel"/>
    <w:tmpl w:val="486479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7"/>
  </w:num>
  <w:num w:numId="2">
    <w:abstractNumId w:val="41"/>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37"/>
  </w:num>
  <w:num w:numId="13">
    <w:abstractNumId w:val="27"/>
  </w:num>
  <w:num w:numId="14">
    <w:abstractNumId w:val="15"/>
  </w:num>
  <w:num w:numId="15">
    <w:abstractNumId w:val="20"/>
  </w:num>
  <w:num w:numId="16">
    <w:abstractNumId w:val="33"/>
  </w:num>
  <w:num w:numId="17">
    <w:abstractNumId w:val="13"/>
  </w:num>
  <w:num w:numId="18">
    <w:abstractNumId w:val="22"/>
  </w:num>
  <w:num w:numId="19">
    <w:abstractNumId w:val="34"/>
  </w:num>
  <w:num w:numId="20">
    <w:abstractNumId w:val="39"/>
  </w:num>
  <w:num w:numId="21">
    <w:abstractNumId w:val="36"/>
  </w:num>
  <w:num w:numId="22">
    <w:abstractNumId w:val="11"/>
  </w:num>
  <w:num w:numId="23">
    <w:abstractNumId w:val="19"/>
  </w:num>
  <w:num w:numId="24">
    <w:abstractNumId w:val="12"/>
  </w:num>
  <w:num w:numId="25">
    <w:abstractNumId w:val="38"/>
  </w:num>
  <w:num w:numId="26">
    <w:abstractNumId w:val="10"/>
  </w:num>
  <w:num w:numId="27">
    <w:abstractNumId w:val="26"/>
  </w:num>
  <w:num w:numId="28">
    <w:abstractNumId w:val="25"/>
  </w:num>
  <w:num w:numId="29">
    <w:abstractNumId w:val="42"/>
  </w:num>
  <w:num w:numId="30">
    <w:abstractNumId w:val="21"/>
  </w:num>
  <w:num w:numId="31">
    <w:abstractNumId w:val="29"/>
  </w:num>
  <w:num w:numId="32">
    <w:abstractNumId w:val="16"/>
  </w:num>
  <w:num w:numId="33">
    <w:abstractNumId w:val="23"/>
  </w:num>
  <w:num w:numId="34">
    <w:abstractNumId w:val="40"/>
  </w:num>
  <w:num w:numId="35">
    <w:abstractNumId w:val="18"/>
  </w:num>
  <w:num w:numId="36">
    <w:abstractNumId w:val="32"/>
  </w:num>
  <w:num w:numId="37">
    <w:abstractNumId w:val="30"/>
  </w:num>
  <w:num w:numId="38">
    <w:abstractNumId w:val="12"/>
  </w:num>
  <w:num w:numId="39">
    <w:abstractNumId w:val="35"/>
  </w:num>
  <w:num w:numId="40">
    <w:abstractNumId w:val="24"/>
  </w:num>
  <w:num w:numId="41">
    <w:abstractNumId w:val="12"/>
  </w:num>
  <w:num w:numId="42">
    <w:abstractNumId w:val="31"/>
  </w:num>
  <w:num w:numId="43">
    <w:abstractNumId w:val="9"/>
  </w:num>
  <w:num w:numId="44">
    <w:abstractNumId w:val="28"/>
  </w:num>
  <w:num w:numId="45">
    <w:abstractNumId w:val="14"/>
  </w:num>
  <w:num w:numId="46">
    <w:abstractNumId w:val="27"/>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removePersonalInformation/>
  <w:removeDateAndTime/>
  <w:defaultTabStop w:val="720"/>
  <w:characterSpacingControl w:val="doNotCompress"/>
  <w:hdrShapeDefaults>
    <o:shapedefaults v:ext="edit" spidmax="290817">
      <o:colormru v:ext="edit" colors="#4bf753"/>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cdchnas-evs02\home$\adrae\Desktop\Significant price variation report - June 2016 .docx"/>
  </w:docVars>
  <w:rsids>
    <w:rsidRoot w:val="003610D1"/>
    <w:rsid w:val="00001779"/>
    <w:rsid w:val="000018C4"/>
    <w:rsid w:val="00001FB6"/>
    <w:rsid w:val="00002750"/>
    <w:rsid w:val="000028FB"/>
    <w:rsid w:val="00004D9A"/>
    <w:rsid w:val="00010920"/>
    <w:rsid w:val="00010935"/>
    <w:rsid w:val="00010B1A"/>
    <w:rsid w:val="0001186D"/>
    <w:rsid w:val="00011B93"/>
    <w:rsid w:val="00013CDB"/>
    <w:rsid w:val="00013D02"/>
    <w:rsid w:val="00013FD9"/>
    <w:rsid w:val="0001433F"/>
    <w:rsid w:val="00017BF7"/>
    <w:rsid w:val="000208CC"/>
    <w:rsid w:val="00021644"/>
    <w:rsid w:val="000221E2"/>
    <w:rsid w:val="00024297"/>
    <w:rsid w:val="00027FCE"/>
    <w:rsid w:val="000305BF"/>
    <w:rsid w:val="00030632"/>
    <w:rsid w:val="00031D46"/>
    <w:rsid w:val="00033D07"/>
    <w:rsid w:val="000342CE"/>
    <w:rsid w:val="000365DE"/>
    <w:rsid w:val="00037142"/>
    <w:rsid w:val="00041065"/>
    <w:rsid w:val="00043A64"/>
    <w:rsid w:val="00043BD3"/>
    <w:rsid w:val="00043F8E"/>
    <w:rsid w:val="000442A8"/>
    <w:rsid w:val="0004626C"/>
    <w:rsid w:val="000463C3"/>
    <w:rsid w:val="00047668"/>
    <w:rsid w:val="00047881"/>
    <w:rsid w:val="000508E0"/>
    <w:rsid w:val="0005162D"/>
    <w:rsid w:val="00051AA5"/>
    <w:rsid w:val="000545DD"/>
    <w:rsid w:val="0005494B"/>
    <w:rsid w:val="00055385"/>
    <w:rsid w:val="000554BB"/>
    <w:rsid w:val="000570C9"/>
    <w:rsid w:val="00060440"/>
    <w:rsid w:val="000606EB"/>
    <w:rsid w:val="00061314"/>
    <w:rsid w:val="00061A48"/>
    <w:rsid w:val="00062951"/>
    <w:rsid w:val="00062FFB"/>
    <w:rsid w:val="000635D7"/>
    <w:rsid w:val="0006378A"/>
    <w:rsid w:val="00064EC8"/>
    <w:rsid w:val="0006532E"/>
    <w:rsid w:val="0006553A"/>
    <w:rsid w:val="00066AAB"/>
    <w:rsid w:val="0006788A"/>
    <w:rsid w:val="0007086D"/>
    <w:rsid w:val="000708CF"/>
    <w:rsid w:val="0007263E"/>
    <w:rsid w:val="00073C34"/>
    <w:rsid w:val="000760CB"/>
    <w:rsid w:val="000801EF"/>
    <w:rsid w:val="00080965"/>
    <w:rsid w:val="00080C63"/>
    <w:rsid w:val="00082075"/>
    <w:rsid w:val="00082934"/>
    <w:rsid w:val="00082F76"/>
    <w:rsid w:val="00083FB8"/>
    <w:rsid w:val="000844CC"/>
    <w:rsid w:val="00084EC0"/>
    <w:rsid w:val="000851EA"/>
    <w:rsid w:val="00085C6B"/>
    <w:rsid w:val="000872A0"/>
    <w:rsid w:val="00090DE0"/>
    <w:rsid w:val="00090E9D"/>
    <w:rsid w:val="00091C2D"/>
    <w:rsid w:val="00094459"/>
    <w:rsid w:val="000958D9"/>
    <w:rsid w:val="00096EFD"/>
    <w:rsid w:val="000A434F"/>
    <w:rsid w:val="000A5A40"/>
    <w:rsid w:val="000A5BD1"/>
    <w:rsid w:val="000A6DEE"/>
    <w:rsid w:val="000B1671"/>
    <w:rsid w:val="000B2C10"/>
    <w:rsid w:val="000B42D8"/>
    <w:rsid w:val="000B527E"/>
    <w:rsid w:val="000B5557"/>
    <w:rsid w:val="000B590C"/>
    <w:rsid w:val="000B5C64"/>
    <w:rsid w:val="000C027D"/>
    <w:rsid w:val="000C0941"/>
    <w:rsid w:val="000C0E4B"/>
    <w:rsid w:val="000C190D"/>
    <w:rsid w:val="000C2B33"/>
    <w:rsid w:val="000C30EF"/>
    <w:rsid w:val="000C3347"/>
    <w:rsid w:val="000C461D"/>
    <w:rsid w:val="000C55AE"/>
    <w:rsid w:val="000C6CDD"/>
    <w:rsid w:val="000D0554"/>
    <w:rsid w:val="000D0FD5"/>
    <w:rsid w:val="000D107C"/>
    <w:rsid w:val="000D31DC"/>
    <w:rsid w:val="000D3815"/>
    <w:rsid w:val="000D3E04"/>
    <w:rsid w:val="000D557D"/>
    <w:rsid w:val="000E0460"/>
    <w:rsid w:val="000E07AB"/>
    <w:rsid w:val="000E2989"/>
    <w:rsid w:val="000E298E"/>
    <w:rsid w:val="000E2F78"/>
    <w:rsid w:val="000E32A2"/>
    <w:rsid w:val="000E3FA1"/>
    <w:rsid w:val="000E68C8"/>
    <w:rsid w:val="000E77F2"/>
    <w:rsid w:val="000E7C66"/>
    <w:rsid w:val="000E7C94"/>
    <w:rsid w:val="000F0132"/>
    <w:rsid w:val="000F0BA0"/>
    <w:rsid w:val="000F15E7"/>
    <w:rsid w:val="000F218F"/>
    <w:rsid w:val="000F2E53"/>
    <w:rsid w:val="000F4279"/>
    <w:rsid w:val="000F4D76"/>
    <w:rsid w:val="000F56A6"/>
    <w:rsid w:val="000F5D51"/>
    <w:rsid w:val="000F60B8"/>
    <w:rsid w:val="000F720B"/>
    <w:rsid w:val="000F761B"/>
    <w:rsid w:val="00101A55"/>
    <w:rsid w:val="0010261D"/>
    <w:rsid w:val="00102E11"/>
    <w:rsid w:val="00102E51"/>
    <w:rsid w:val="00103088"/>
    <w:rsid w:val="0010381E"/>
    <w:rsid w:val="00103C36"/>
    <w:rsid w:val="00103D3D"/>
    <w:rsid w:val="001040BE"/>
    <w:rsid w:val="001060D2"/>
    <w:rsid w:val="00107D12"/>
    <w:rsid w:val="00110A91"/>
    <w:rsid w:val="00111FF2"/>
    <w:rsid w:val="00112012"/>
    <w:rsid w:val="00113CC5"/>
    <w:rsid w:val="0011409E"/>
    <w:rsid w:val="001143C4"/>
    <w:rsid w:val="00114564"/>
    <w:rsid w:val="0011518C"/>
    <w:rsid w:val="001159DC"/>
    <w:rsid w:val="0011645F"/>
    <w:rsid w:val="0011728A"/>
    <w:rsid w:val="0011741C"/>
    <w:rsid w:val="0012004B"/>
    <w:rsid w:val="0012020B"/>
    <w:rsid w:val="00120A30"/>
    <w:rsid w:val="00121FB1"/>
    <w:rsid w:val="00122806"/>
    <w:rsid w:val="00122B4E"/>
    <w:rsid w:val="001234FF"/>
    <w:rsid w:val="001251A8"/>
    <w:rsid w:val="001329D4"/>
    <w:rsid w:val="00132B65"/>
    <w:rsid w:val="00134063"/>
    <w:rsid w:val="00134C27"/>
    <w:rsid w:val="00135FF7"/>
    <w:rsid w:val="001363FE"/>
    <w:rsid w:val="00136AAB"/>
    <w:rsid w:val="00136AF6"/>
    <w:rsid w:val="00140C95"/>
    <w:rsid w:val="00141D53"/>
    <w:rsid w:val="00142F97"/>
    <w:rsid w:val="001444AF"/>
    <w:rsid w:val="00144712"/>
    <w:rsid w:val="00144763"/>
    <w:rsid w:val="001454C2"/>
    <w:rsid w:val="00145A16"/>
    <w:rsid w:val="00145B08"/>
    <w:rsid w:val="00146D5D"/>
    <w:rsid w:val="00146E94"/>
    <w:rsid w:val="00147796"/>
    <w:rsid w:val="001478ED"/>
    <w:rsid w:val="00147AD2"/>
    <w:rsid w:val="00151193"/>
    <w:rsid w:val="00151CC0"/>
    <w:rsid w:val="00153F66"/>
    <w:rsid w:val="00154DA7"/>
    <w:rsid w:val="00155614"/>
    <w:rsid w:val="00155CFA"/>
    <w:rsid w:val="0015715D"/>
    <w:rsid w:val="001571AB"/>
    <w:rsid w:val="00157982"/>
    <w:rsid w:val="00157B32"/>
    <w:rsid w:val="00161921"/>
    <w:rsid w:val="00161AD4"/>
    <w:rsid w:val="001640AB"/>
    <w:rsid w:val="0016468E"/>
    <w:rsid w:val="001651C0"/>
    <w:rsid w:val="001653F0"/>
    <w:rsid w:val="00165EF5"/>
    <w:rsid w:val="00166022"/>
    <w:rsid w:val="00166763"/>
    <w:rsid w:val="00170045"/>
    <w:rsid w:val="00171580"/>
    <w:rsid w:val="001716FC"/>
    <w:rsid w:val="001737FF"/>
    <w:rsid w:val="00174796"/>
    <w:rsid w:val="00175815"/>
    <w:rsid w:val="00175D96"/>
    <w:rsid w:val="001820ED"/>
    <w:rsid w:val="001823A8"/>
    <w:rsid w:val="00183F9A"/>
    <w:rsid w:val="001841B5"/>
    <w:rsid w:val="00185629"/>
    <w:rsid w:val="00186C3C"/>
    <w:rsid w:val="00187BD9"/>
    <w:rsid w:val="0019021C"/>
    <w:rsid w:val="00190BEC"/>
    <w:rsid w:val="00192B8F"/>
    <w:rsid w:val="0019352B"/>
    <w:rsid w:val="001943A5"/>
    <w:rsid w:val="00194E60"/>
    <w:rsid w:val="0019621B"/>
    <w:rsid w:val="00197254"/>
    <w:rsid w:val="00197545"/>
    <w:rsid w:val="001A1CA9"/>
    <w:rsid w:val="001A2CD9"/>
    <w:rsid w:val="001A34CC"/>
    <w:rsid w:val="001A34F5"/>
    <w:rsid w:val="001A4D36"/>
    <w:rsid w:val="001B044D"/>
    <w:rsid w:val="001B0767"/>
    <w:rsid w:val="001B1048"/>
    <w:rsid w:val="001B24F2"/>
    <w:rsid w:val="001B26A5"/>
    <w:rsid w:val="001B311E"/>
    <w:rsid w:val="001B3A22"/>
    <w:rsid w:val="001B3F3A"/>
    <w:rsid w:val="001B70FC"/>
    <w:rsid w:val="001C10F8"/>
    <w:rsid w:val="001C1E43"/>
    <w:rsid w:val="001C24E9"/>
    <w:rsid w:val="001C28FD"/>
    <w:rsid w:val="001C2CEA"/>
    <w:rsid w:val="001C4856"/>
    <w:rsid w:val="001C5A6F"/>
    <w:rsid w:val="001C5C5C"/>
    <w:rsid w:val="001C6D91"/>
    <w:rsid w:val="001C7779"/>
    <w:rsid w:val="001D0365"/>
    <w:rsid w:val="001D0520"/>
    <w:rsid w:val="001D287B"/>
    <w:rsid w:val="001D3866"/>
    <w:rsid w:val="001D4864"/>
    <w:rsid w:val="001D4960"/>
    <w:rsid w:val="001D4C98"/>
    <w:rsid w:val="001D59E8"/>
    <w:rsid w:val="001D75E1"/>
    <w:rsid w:val="001E1806"/>
    <w:rsid w:val="001E1B07"/>
    <w:rsid w:val="001E1DEB"/>
    <w:rsid w:val="001E50C3"/>
    <w:rsid w:val="001E58CE"/>
    <w:rsid w:val="001E5BF5"/>
    <w:rsid w:val="001E65A9"/>
    <w:rsid w:val="001E75EC"/>
    <w:rsid w:val="001E78DB"/>
    <w:rsid w:val="001E7A45"/>
    <w:rsid w:val="001E7E6E"/>
    <w:rsid w:val="001F02A3"/>
    <w:rsid w:val="001F20E4"/>
    <w:rsid w:val="001F3290"/>
    <w:rsid w:val="001F34E0"/>
    <w:rsid w:val="001F36AA"/>
    <w:rsid w:val="001F37F7"/>
    <w:rsid w:val="001F44D1"/>
    <w:rsid w:val="001F496F"/>
    <w:rsid w:val="001F4FE1"/>
    <w:rsid w:val="001F6C30"/>
    <w:rsid w:val="0020088C"/>
    <w:rsid w:val="00200ADD"/>
    <w:rsid w:val="00201459"/>
    <w:rsid w:val="0020179E"/>
    <w:rsid w:val="00203218"/>
    <w:rsid w:val="00204154"/>
    <w:rsid w:val="002055FD"/>
    <w:rsid w:val="002056EB"/>
    <w:rsid w:val="0020678F"/>
    <w:rsid w:val="00206817"/>
    <w:rsid w:val="00207783"/>
    <w:rsid w:val="00210172"/>
    <w:rsid w:val="00210AF3"/>
    <w:rsid w:val="002114E0"/>
    <w:rsid w:val="002114E4"/>
    <w:rsid w:val="002122ED"/>
    <w:rsid w:val="00213E1F"/>
    <w:rsid w:val="002163EB"/>
    <w:rsid w:val="002165D0"/>
    <w:rsid w:val="00216AB4"/>
    <w:rsid w:val="00217BDA"/>
    <w:rsid w:val="00217D32"/>
    <w:rsid w:val="00220318"/>
    <w:rsid w:val="00220337"/>
    <w:rsid w:val="00221530"/>
    <w:rsid w:val="00222478"/>
    <w:rsid w:val="00223138"/>
    <w:rsid w:val="002239C4"/>
    <w:rsid w:val="00223DE7"/>
    <w:rsid w:val="00223F3E"/>
    <w:rsid w:val="00224DCB"/>
    <w:rsid w:val="002251D1"/>
    <w:rsid w:val="00225B31"/>
    <w:rsid w:val="00226555"/>
    <w:rsid w:val="0023016C"/>
    <w:rsid w:val="00230C6B"/>
    <w:rsid w:val="00231620"/>
    <w:rsid w:val="00233351"/>
    <w:rsid w:val="002337E0"/>
    <w:rsid w:val="00234DF3"/>
    <w:rsid w:val="00235D6C"/>
    <w:rsid w:val="0023674F"/>
    <w:rsid w:val="0023686D"/>
    <w:rsid w:val="002403A5"/>
    <w:rsid w:val="002406E0"/>
    <w:rsid w:val="00241296"/>
    <w:rsid w:val="00241FE3"/>
    <w:rsid w:val="002420CB"/>
    <w:rsid w:val="002451D2"/>
    <w:rsid w:val="00245BA3"/>
    <w:rsid w:val="00246631"/>
    <w:rsid w:val="00247FC3"/>
    <w:rsid w:val="00250603"/>
    <w:rsid w:val="00251131"/>
    <w:rsid w:val="00251D61"/>
    <w:rsid w:val="002532B0"/>
    <w:rsid w:val="00254B38"/>
    <w:rsid w:val="00255EEF"/>
    <w:rsid w:val="00260176"/>
    <w:rsid w:val="002614FF"/>
    <w:rsid w:val="002642AB"/>
    <w:rsid w:val="00264398"/>
    <w:rsid w:val="002667D4"/>
    <w:rsid w:val="00266915"/>
    <w:rsid w:val="002677FF"/>
    <w:rsid w:val="0027015A"/>
    <w:rsid w:val="00270867"/>
    <w:rsid w:val="00273C2F"/>
    <w:rsid w:val="002743BE"/>
    <w:rsid w:val="00277918"/>
    <w:rsid w:val="0028007A"/>
    <w:rsid w:val="0028085B"/>
    <w:rsid w:val="0028094F"/>
    <w:rsid w:val="002812C2"/>
    <w:rsid w:val="002813D7"/>
    <w:rsid w:val="002817AA"/>
    <w:rsid w:val="00282EAC"/>
    <w:rsid w:val="0028311C"/>
    <w:rsid w:val="002836C8"/>
    <w:rsid w:val="0028532A"/>
    <w:rsid w:val="00285557"/>
    <w:rsid w:val="002877BC"/>
    <w:rsid w:val="00292AF9"/>
    <w:rsid w:val="002931DC"/>
    <w:rsid w:val="00293956"/>
    <w:rsid w:val="00293A0A"/>
    <w:rsid w:val="00293C20"/>
    <w:rsid w:val="00293DE9"/>
    <w:rsid w:val="0029452B"/>
    <w:rsid w:val="00295A09"/>
    <w:rsid w:val="00296BB3"/>
    <w:rsid w:val="00296D34"/>
    <w:rsid w:val="00297821"/>
    <w:rsid w:val="00297D01"/>
    <w:rsid w:val="002A582A"/>
    <w:rsid w:val="002A5CF9"/>
    <w:rsid w:val="002A6276"/>
    <w:rsid w:val="002A68C4"/>
    <w:rsid w:val="002A6BEC"/>
    <w:rsid w:val="002A765C"/>
    <w:rsid w:val="002B20BA"/>
    <w:rsid w:val="002B2896"/>
    <w:rsid w:val="002B4F2D"/>
    <w:rsid w:val="002B5295"/>
    <w:rsid w:val="002B6D54"/>
    <w:rsid w:val="002B6EDD"/>
    <w:rsid w:val="002B701C"/>
    <w:rsid w:val="002B7066"/>
    <w:rsid w:val="002B7724"/>
    <w:rsid w:val="002C0471"/>
    <w:rsid w:val="002C051F"/>
    <w:rsid w:val="002C325C"/>
    <w:rsid w:val="002C5674"/>
    <w:rsid w:val="002C609C"/>
    <w:rsid w:val="002C76BC"/>
    <w:rsid w:val="002C7F09"/>
    <w:rsid w:val="002D0DA8"/>
    <w:rsid w:val="002D0F6E"/>
    <w:rsid w:val="002D16B8"/>
    <w:rsid w:val="002D2BAB"/>
    <w:rsid w:val="002D3A96"/>
    <w:rsid w:val="002D41EB"/>
    <w:rsid w:val="002D4EE4"/>
    <w:rsid w:val="002D5D79"/>
    <w:rsid w:val="002D5DBD"/>
    <w:rsid w:val="002D5FF9"/>
    <w:rsid w:val="002D63D6"/>
    <w:rsid w:val="002D6F9A"/>
    <w:rsid w:val="002D7FFB"/>
    <w:rsid w:val="002E031B"/>
    <w:rsid w:val="002E0AF3"/>
    <w:rsid w:val="002E1F41"/>
    <w:rsid w:val="002E4748"/>
    <w:rsid w:val="002E5340"/>
    <w:rsid w:val="002E6ABC"/>
    <w:rsid w:val="002F025A"/>
    <w:rsid w:val="002F23F5"/>
    <w:rsid w:val="002F320E"/>
    <w:rsid w:val="002F41D5"/>
    <w:rsid w:val="002F48D5"/>
    <w:rsid w:val="002F59A8"/>
    <w:rsid w:val="002F5EE3"/>
    <w:rsid w:val="002F60BE"/>
    <w:rsid w:val="002F63F2"/>
    <w:rsid w:val="002F7C60"/>
    <w:rsid w:val="00300895"/>
    <w:rsid w:val="00300DE2"/>
    <w:rsid w:val="00300F89"/>
    <w:rsid w:val="00301859"/>
    <w:rsid w:val="003018C8"/>
    <w:rsid w:val="00302121"/>
    <w:rsid w:val="0030268F"/>
    <w:rsid w:val="00302CCE"/>
    <w:rsid w:val="00303022"/>
    <w:rsid w:val="00306049"/>
    <w:rsid w:val="00307951"/>
    <w:rsid w:val="00311066"/>
    <w:rsid w:val="0031159B"/>
    <w:rsid w:val="00311893"/>
    <w:rsid w:val="00312374"/>
    <w:rsid w:val="00313320"/>
    <w:rsid w:val="00313B2B"/>
    <w:rsid w:val="003168F1"/>
    <w:rsid w:val="003171AA"/>
    <w:rsid w:val="003206A8"/>
    <w:rsid w:val="00321AB7"/>
    <w:rsid w:val="00321D5A"/>
    <w:rsid w:val="003237BF"/>
    <w:rsid w:val="00323D7E"/>
    <w:rsid w:val="00324878"/>
    <w:rsid w:val="00324CCF"/>
    <w:rsid w:val="00327A75"/>
    <w:rsid w:val="0033044A"/>
    <w:rsid w:val="00331F89"/>
    <w:rsid w:val="00332AAD"/>
    <w:rsid w:val="003335CE"/>
    <w:rsid w:val="0033395D"/>
    <w:rsid w:val="00334209"/>
    <w:rsid w:val="0033615C"/>
    <w:rsid w:val="003364FF"/>
    <w:rsid w:val="0033700F"/>
    <w:rsid w:val="003373C4"/>
    <w:rsid w:val="00337FC1"/>
    <w:rsid w:val="00341D08"/>
    <w:rsid w:val="00342809"/>
    <w:rsid w:val="00344B92"/>
    <w:rsid w:val="00345F5A"/>
    <w:rsid w:val="00346649"/>
    <w:rsid w:val="00346A2B"/>
    <w:rsid w:val="003471A7"/>
    <w:rsid w:val="0035174A"/>
    <w:rsid w:val="00353C34"/>
    <w:rsid w:val="00355A64"/>
    <w:rsid w:val="003570BD"/>
    <w:rsid w:val="003610D1"/>
    <w:rsid w:val="00362F0C"/>
    <w:rsid w:val="003669C2"/>
    <w:rsid w:val="00370288"/>
    <w:rsid w:val="0037052A"/>
    <w:rsid w:val="00370EE8"/>
    <w:rsid w:val="003712DE"/>
    <w:rsid w:val="00371583"/>
    <w:rsid w:val="00371762"/>
    <w:rsid w:val="0037216A"/>
    <w:rsid w:val="00372443"/>
    <w:rsid w:val="003729B2"/>
    <w:rsid w:val="00373A36"/>
    <w:rsid w:val="003745C3"/>
    <w:rsid w:val="00374AB0"/>
    <w:rsid w:val="003757B0"/>
    <w:rsid w:val="003807C9"/>
    <w:rsid w:val="00381538"/>
    <w:rsid w:val="00381976"/>
    <w:rsid w:val="003821FE"/>
    <w:rsid w:val="00386951"/>
    <w:rsid w:val="003873EE"/>
    <w:rsid w:val="003874BC"/>
    <w:rsid w:val="00390216"/>
    <w:rsid w:val="00390B79"/>
    <w:rsid w:val="003913F5"/>
    <w:rsid w:val="00393A49"/>
    <w:rsid w:val="00395B06"/>
    <w:rsid w:val="003A20A2"/>
    <w:rsid w:val="003A3C41"/>
    <w:rsid w:val="003A4202"/>
    <w:rsid w:val="003A4880"/>
    <w:rsid w:val="003A5FF8"/>
    <w:rsid w:val="003A791D"/>
    <w:rsid w:val="003A7C5D"/>
    <w:rsid w:val="003A7C97"/>
    <w:rsid w:val="003B07C1"/>
    <w:rsid w:val="003B14CE"/>
    <w:rsid w:val="003B2190"/>
    <w:rsid w:val="003B2283"/>
    <w:rsid w:val="003B2F44"/>
    <w:rsid w:val="003B3643"/>
    <w:rsid w:val="003B37A3"/>
    <w:rsid w:val="003B3803"/>
    <w:rsid w:val="003B4D22"/>
    <w:rsid w:val="003B6009"/>
    <w:rsid w:val="003C106A"/>
    <w:rsid w:val="003C29F6"/>
    <w:rsid w:val="003C2ADB"/>
    <w:rsid w:val="003C2B11"/>
    <w:rsid w:val="003C2E37"/>
    <w:rsid w:val="003C3DD5"/>
    <w:rsid w:val="003C4833"/>
    <w:rsid w:val="003C48C8"/>
    <w:rsid w:val="003C5F95"/>
    <w:rsid w:val="003C6B41"/>
    <w:rsid w:val="003C78FA"/>
    <w:rsid w:val="003D32A1"/>
    <w:rsid w:val="003D360E"/>
    <w:rsid w:val="003D6FB8"/>
    <w:rsid w:val="003E37D8"/>
    <w:rsid w:val="003E569C"/>
    <w:rsid w:val="003E5F2A"/>
    <w:rsid w:val="003E6EBE"/>
    <w:rsid w:val="003E78F9"/>
    <w:rsid w:val="003F151F"/>
    <w:rsid w:val="003F29F2"/>
    <w:rsid w:val="003F3477"/>
    <w:rsid w:val="003F3F07"/>
    <w:rsid w:val="003F4971"/>
    <w:rsid w:val="003F4BAB"/>
    <w:rsid w:val="003F58C8"/>
    <w:rsid w:val="003F596A"/>
    <w:rsid w:val="003F7D97"/>
    <w:rsid w:val="003F7D9A"/>
    <w:rsid w:val="00402667"/>
    <w:rsid w:val="00402F66"/>
    <w:rsid w:val="00403A49"/>
    <w:rsid w:val="00405DEA"/>
    <w:rsid w:val="004075BD"/>
    <w:rsid w:val="004079A7"/>
    <w:rsid w:val="00407B22"/>
    <w:rsid w:val="0041007E"/>
    <w:rsid w:val="0041057A"/>
    <w:rsid w:val="00411EE1"/>
    <w:rsid w:val="0041303E"/>
    <w:rsid w:val="00413568"/>
    <w:rsid w:val="00413CE7"/>
    <w:rsid w:val="00413F1C"/>
    <w:rsid w:val="00415FCA"/>
    <w:rsid w:val="00416B89"/>
    <w:rsid w:val="0042078C"/>
    <w:rsid w:val="0042166F"/>
    <w:rsid w:val="004225A4"/>
    <w:rsid w:val="00423508"/>
    <w:rsid w:val="0042394F"/>
    <w:rsid w:val="00424E79"/>
    <w:rsid w:val="00427215"/>
    <w:rsid w:val="004300F1"/>
    <w:rsid w:val="00430FFC"/>
    <w:rsid w:val="00431500"/>
    <w:rsid w:val="004319DA"/>
    <w:rsid w:val="00431B5D"/>
    <w:rsid w:val="00432771"/>
    <w:rsid w:val="00432F60"/>
    <w:rsid w:val="004339C9"/>
    <w:rsid w:val="004340B8"/>
    <w:rsid w:val="004346E5"/>
    <w:rsid w:val="00436166"/>
    <w:rsid w:val="00437D8B"/>
    <w:rsid w:val="00440F08"/>
    <w:rsid w:val="00441403"/>
    <w:rsid w:val="004415F0"/>
    <w:rsid w:val="00442C9C"/>
    <w:rsid w:val="004442C5"/>
    <w:rsid w:val="00445B07"/>
    <w:rsid w:val="00447B49"/>
    <w:rsid w:val="00447F78"/>
    <w:rsid w:val="0045223F"/>
    <w:rsid w:val="004523FB"/>
    <w:rsid w:val="0045492C"/>
    <w:rsid w:val="0045558A"/>
    <w:rsid w:val="00457706"/>
    <w:rsid w:val="00461394"/>
    <w:rsid w:val="00462149"/>
    <w:rsid w:val="004641AB"/>
    <w:rsid w:val="00464E90"/>
    <w:rsid w:val="004655C5"/>
    <w:rsid w:val="00465F35"/>
    <w:rsid w:val="004677C7"/>
    <w:rsid w:val="004707BB"/>
    <w:rsid w:val="00471063"/>
    <w:rsid w:val="004710D5"/>
    <w:rsid w:val="004727DB"/>
    <w:rsid w:val="00473AAF"/>
    <w:rsid w:val="00473E87"/>
    <w:rsid w:val="00475ED4"/>
    <w:rsid w:val="00476EE8"/>
    <w:rsid w:val="0047706C"/>
    <w:rsid w:val="00477D66"/>
    <w:rsid w:val="0048005B"/>
    <w:rsid w:val="004812E7"/>
    <w:rsid w:val="0048191E"/>
    <w:rsid w:val="00482C2B"/>
    <w:rsid w:val="00483940"/>
    <w:rsid w:val="00484335"/>
    <w:rsid w:val="00484539"/>
    <w:rsid w:val="0048483C"/>
    <w:rsid w:val="00485C9C"/>
    <w:rsid w:val="00487C05"/>
    <w:rsid w:val="004904B5"/>
    <w:rsid w:val="0049123B"/>
    <w:rsid w:val="00491930"/>
    <w:rsid w:val="0049210A"/>
    <w:rsid w:val="00492D26"/>
    <w:rsid w:val="00492E2C"/>
    <w:rsid w:val="00493B57"/>
    <w:rsid w:val="00494F70"/>
    <w:rsid w:val="004954EE"/>
    <w:rsid w:val="0049588F"/>
    <w:rsid w:val="0049613A"/>
    <w:rsid w:val="00496CA8"/>
    <w:rsid w:val="004A0304"/>
    <w:rsid w:val="004A0D3E"/>
    <w:rsid w:val="004A0E84"/>
    <w:rsid w:val="004A16C7"/>
    <w:rsid w:val="004A22F6"/>
    <w:rsid w:val="004A24E2"/>
    <w:rsid w:val="004A5809"/>
    <w:rsid w:val="004A7149"/>
    <w:rsid w:val="004A7C09"/>
    <w:rsid w:val="004A7E7D"/>
    <w:rsid w:val="004B0A01"/>
    <w:rsid w:val="004B1578"/>
    <w:rsid w:val="004B2FAB"/>
    <w:rsid w:val="004B56EF"/>
    <w:rsid w:val="004B74D3"/>
    <w:rsid w:val="004B7931"/>
    <w:rsid w:val="004C10AA"/>
    <w:rsid w:val="004C10C3"/>
    <w:rsid w:val="004C23AA"/>
    <w:rsid w:val="004C26C4"/>
    <w:rsid w:val="004C2889"/>
    <w:rsid w:val="004C2EF4"/>
    <w:rsid w:val="004C3151"/>
    <w:rsid w:val="004C32B0"/>
    <w:rsid w:val="004C3CFB"/>
    <w:rsid w:val="004C4AA5"/>
    <w:rsid w:val="004C6120"/>
    <w:rsid w:val="004C61C9"/>
    <w:rsid w:val="004C6FFD"/>
    <w:rsid w:val="004C76E6"/>
    <w:rsid w:val="004D0B56"/>
    <w:rsid w:val="004D1195"/>
    <w:rsid w:val="004D1AE0"/>
    <w:rsid w:val="004D2432"/>
    <w:rsid w:val="004D2950"/>
    <w:rsid w:val="004D41F7"/>
    <w:rsid w:val="004D438D"/>
    <w:rsid w:val="004D51D9"/>
    <w:rsid w:val="004D7BFF"/>
    <w:rsid w:val="004E42DC"/>
    <w:rsid w:val="004E4D29"/>
    <w:rsid w:val="004E53B3"/>
    <w:rsid w:val="004E5C29"/>
    <w:rsid w:val="004E63C3"/>
    <w:rsid w:val="004E6CAC"/>
    <w:rsid w:val="004E6FA8"/>
    <w:rsid w:val="004E7595"/>
    <w:rsid w:val="004E7CCD"/>
    <w:rsid w:val="004E7E65"/>
    <w:rsid w:val="004F08B8"/>
    <w:rsid w:val="004F0F22"/>
    <w:rsid w:val="004F1B9E"/>
    <w:rsid w:val="004F3440"/>
    <w:rsid w:val="004F3D52"/>
    <w:rsid w:val="004F5584"/>
    <w:rsid w:val="004F581F"/>
    <w:rsid w:val="004F607F"/>
    <w:rsid w:val="00500119"/>
    <w:rsid w:val="00500525"/>
    <w:rsid w:val="0050246B"/>
    <w:rsid w:val="0050374D"/>
    <w:rsid w:val="00504A1C"/>
    <w:rsid w:val="00505844"/>
    <w:rsid w:val="00506034"/>
    <w:rsid w:val="0050656A"/>
    <w:rsid w:val="00507F51"/>
    <w:rsid w:val="005112D4"/>
    <w:rsid w:val="0051165D"/>
    <w:rsid w:val="00516D6B"/>
    <w:rsid w:val="005171A9"/>
    <w:rsid w:val="005174A6"/>
    <w:rsid w:val="00517A20"/>
    <w:rsid w:val="00517C7C"/>
    <w:rsid w:val="00521216"/>
    <w:rsid w:val="005214E2"/>
    <w:rsid w:val="00521A48"/>
    <w:rsid w:val="00521A9F"/>
    <w:rsid w:val="00522217"/>
    <w:rsid w:val="005244F6"/>
    <w:rsid w:val="005277AD"/>
    <w:rsid w:val="00527B57"/>
    <w:rsid w:val="00530813"/>
    <w:rsid w:val="005312A4"/>
    <w:rsid w:val="00531686"/>
    <w:rsid w:val="00531C8A"/>
    <w:rsid w:val="00531FF8"/>
    <w:rsid w:val="0053243C"/>
    <w:rsid w:val="00535116"/>
    <w:rsid w:val="0053635C"/>
    <w:rsid w:val="005366CC"/>
    <w:rsid w:val="005367F2"/>
    <w:rsid w:val="0054028F"/>
    <w:rsid w:val="005412A6"/>
    <w:rsid w:val="0054243F"/>
    <w:rsid w:val="00542497"/>
    <w:rsid w:val="00542CA9"/>
    <w:rsid w:val="00542CC7"/>
    <w:rsid w:val="00543D9D"/>
    <w:rsid w:val="0054547A"/>
    <w:rsid w:val="00545C0F"/>
    <w:rsid w:val="00545DEE"/>
    <w:rsid w:val="005467C2"/>
    <w:rsid w:val="00546D8D"/>
    <w:rsid w:val="00547484"/>
    <w:rsid w:val="00547A1A"/>
    <w:rsid w:val="0055219F"/>
    <w:rsid w:val="005535F1"/>
    <w:rsid w:val="0055483C"/>
    <w:rsid w:val="0055566B"/>
    <w:rsid w:val="00560CCF"/>
    <w:rsid w:val="00560E7A"/>
    <w:rsid w:val="0056278B"/>
    <w:rsid w:val="0056290C"/>
    <w:rsid w:val="00562AAE"/>
    <w:rsid w:val="00562CBF"/>
    <w:rsid w:val="005635FC"/>
    <w:rsid w:val="00564052"/>
    <w:rsid w:val="00565294"/>
    <w:rsid w:val="005668D7"/>
    <w:rsid w:val="00567AE4"/>
    <w:rsid w:val="005702BD"/>
    <w:rsid w:val="005704FF"/>
    <w:rsid w:val="00571067"/>
    <w:rsid w:val="00571963"/>
    <w:rsid w:val="00572A42"/>
    <w:rsid w:val="005769DA"/>
    <w:rsid w:val="0057715F"/>
    <w:rsid w:val="00581454"/>
    <w:rsid w:val="00581B15"/>
    <w:rsid w:val="00582442"/>
    <w:rsid w:val="005860BC"/>
    <w:rsid w:val="00586DCB"/>
    <w:rsid w:val="0058747A"/>
    <w:rsid w:val="00592A56"/>
    <w:rsid w:val="00593638"/>
    <w:rsid w:val="00594926"/>
    <w:rsid w:val="005952B2"/>
    <w:rsid w:val="005961E9"/>
    <w:rsid w:val="005A0009"/>
    <w:rsid w:val="005A06EA"/>
    <w:rsid w:val="005A1498"/>
    <w:rsid w:val="005A2081"/>
    <w:rsid w:val="005A33ED"/>
    <w:rsid w:val="005A6768"/>
    <w:rsid w:val="005B0395"/>
    <w:rsid w:val="005B115B"/>
    <w:rsid w:val="005B12BB"/>
    <w:rsid w:val="005B1B75"/>
    <w:rsid w:val="005B1CD1"/>
    <w:rsid w:val="005B2572"/>
    <w:rsid w:val="005B2BBD"/>
    <w:rsid w:val="005B3713"/>
    <w:rsid w:val="005B4C54"/>
    <w:rsid w:val="005B4DE3"/>
    <w:rsid w:val="005B5747"/>
    <w:rsid w:val="005B6A93"/>
    <w:rsid w:val="005B6B0F"/>
    <w:rsid w:val="005B7713"/>
    <w:rsid w:val="005B7BEA"/>
    <w:rsid w:val="005C0D15"/>
    <w:rsid w:val="005C1074"/>
    <w:rsid w:val="005C10DA"/>
    <w:rsid w:val="005C139A"/>
    <w:rsid w:val="005C167B"/>
    <w:rsid w:val="005C2E42"/>
    <w:rsid w:val="005C2FBB"/>
    <w:rsid w:val="005C3E6D"/>
    <w:rsid w:val="005C3EC3"/>
    <w:rsid w:val="005C3F69"/>
    <w:rsid w:val="005C3FFC"/>
    <w:rsid w:val="005C4FDF"/>
    <w:rsid w:val="005D0F29"/>
    <w:rsid w:val="005D259F"/>
    <w:rsid w:val="005D2641"/>
    <w:rsid w:val="005D502B"/>
    <w:rsid w:val="005D5094"/>
    <w:rsid w:val="005D5668"/>
    <w:rsid w:val="005D581A"/>
    <w:rsid w:val="005D6979"/>
    <w:rsid w:val="005D709D"/>
    <w:rsid w:val="005E081D"/>
    <w:rsid w:val="005E385C"/>
    <w:rsid w:val="005E49B6"/>
    <w:rsid w:val="005E51B2"/>
    <w:rsid w:val="005E7608"/>
    <w:rsid w:val="005E7666"/>
    <w:rsid w:val="005E76FB"/>
    <w:rsid w:val="005F05B1"/>
    <w:rsid w:val="005F392C"/>
    <w:rsid w:val="005F4843"/>
    <w:rsid w:val="005F495A"/>
    <w:rsid w:val="005F52A5"/>
    <w:rsid w:val="005F5C0D"/>
    <w:rsid w:val="005F5F4C"/>
    <w:rsid w:val="005F6137"/>
    <w:rsid w:val="005F7AF3"/>
    <w:rsid w:val="006007DC"/>
    <w:rsid w:val="00600D9F"/>
    <w:rsid w:val="00601D10"/>
    <w:rsid w:val="00601F12"/>
    <w:rsid w:val="006038F9"/>
    <w:rsid w:val="00604189"/>
    <w:rsid w:val="00606422"/>
    <w:rsid w:val="0060685F"/>
    <w:rsid w:val="00607BB0"/>
    <w:rsid w:val="00611A92"/>
    <w:rsid w:val="00612500"/>
    <w:rsid w:val="00612CDA"/>
    <w:rsid w:val="00612F42"/>
    <w:rsid w:val="00614BBE"/>
    <w:rsid w:val="00616C07"/>
    <w:rsid w:val="0061760D"/>
    <w:rsid w:val="00621217"/>
    <w:rsid w:val="00624E14"/>
    <w:rsid w:val="00625E5E"/>
    <w:rsid w:val="00627307"/>
    <w:rsid w:val="00631FA3"/>
    <w:rsid w:val="00632309"/>
    <w:rsid w:val="00633BFF"/>
    <w:rsid w:val="00635554"/>
    <w:rsid w:val="00635581"/>
    <w:rsid w:val="00636EC5"/>
    <w:rsid w:val="0063775E"/>
    <w:rsid w:val="006402E4"/>
    <w:rsid w:val="00640DFD"/>
    <w:rsid w:val="006412A3"/>
    <w:rsid w:val="006429F8"/>
    <w:rsid w:val="00643B62"/>
    <w:rsid w:val="00644AF3"/>
    <w:rsid w:val="00646207"/>
    <w:rsid w:val="00646424"/>
    <w:rsid w:val="00647F47"/>
    <w:rsid w:val="00650912"/>
    <w:rsid w:val="00651659"/>
    <w:rsid w:val="00652C4C"/>
    <w:rsid w:val="00652C6E"/>
    <w:rsid w:val="00654F52"/>
    <w:rsid w:val="00655E33"/>
    <w:rsid w:val="00656423"/>
    <w:rsid w:val="0065711B"/>
    <w:rsid w:val="00663313"/>
    <w:rsid w:val="00665553"/>
    <w:rsid w:val="00667403"/>
    <w:rsid w:val="0067052C"/>
    <w:rsid w:val="00670B02"/>
    <w:rsid w:val="00671CE5"/>
    <w:rsid w:val="00672FFE"/>
    <w:rsid w:val="006735D7"/>
    <w:rsid w:val="00674962"/>
    <w:rsid w:val="00675176"/>
    <w:rsid w:val="006756DD"/>
    <w:rsid w:val="00677119"/>
    <w:rsid w:val="006804C5"/>
    <w:rsid w:val="006806A4"/>
    <w:rsid w:val="0068178C"/>
    <w:rsid w:val="0068227E"/>
    <w:rsid w:val="00685F9B"/>
    <w:rsid w:val="006860D2"/>
    <w:rsid w:val="006869C4"/>
    <w:rsid w:val="00686FEF"/>
    <w:rsid w:val="00692128"/>
    <w:rsid w:val="00694B5A"/>
    <w:rsid w:val="00694E92"/>
    <w:rsid w:val="00695C84"/>
    <w:rsid w:val="00695FA0"/>
    <w:rsid w:val="00696AC2"/>
    <w:rsid w:val="006978F9"/>
    <w:rsid w:val="00697920"/>
    <w:rsid w:val="006A0FAC"/>
    <w:rsid w:val="006A1105"/>
    <w:rsid w:val="006A35CE"/>
    <w:rsid w:val="006A3B1C"/>
    <w:rsid w:val="006A54E0"/>
    <w:rsid w:val="006A6A8A"/>
    <w:rsid w:val="006A7127"/>
    <w:rsid w:val="006B0099"/>
    <w:rsid w:val="006B038C"/>
    <w:rsid w:val="006B2AE0"/>
    <w:rsid w:val="006B2EFD"/>
    <w:rsid w:val="006B369C"/>
    <w:rsid w:val="006B3F3F"/>
    <w:rsid w:val="006B52D7"/>
    <w:rsid w:val="006B54C6"/>
    <w:rsid w:val="006B5EF7"/>
    <w:rsid w:val="006B6416"/>
    <w:rsid w:val="006B660D"/>
    <w:rsid w:val="006B6F44"/>
    <w:rsid w:val="006B7190"/>
    <w:rsid w:val="006B7CAD"/>
    <w:rsid w:val="006C1FFB"/>
    <w:rsid w:val="006C3A7D"/>
    <w:rsid w:val="006C5E37"/>
    <w:rsid w:val="006D0401"/>
    <w:rsid w:val="006D0F6F"/>
    <w:rsid w:val="006D3029"/>
    <w:rsid w:val="006D3562"/>
    <w:rsid w:val="006D3C75"/>
    <w:rsid w:val="006D45CA"/>
    <w:rsid w:val="006D510D"/>
    <w:rsid w:val="006D6CEE"/>
    <w:rsid w:val="006D79CD"/>
    <w:rsid w:val="006E136B"/>
    <w:rsid w:val="006E1B99"/>
    <w:rsid w:val="006E1C2B"/>
    <w:rsid w:val="006E3F5A"/>
    <w:rsid w:val="006E3F6F"/>
    <w:rsid w:val="006E3FF1"/>
    <w:rsid w:val="006E5982"/>
    <w:rsid w:val="006E6CB7"/>
    <w:rsid w:val="006E7F70"/>
    <w:rsid w:val="006F0224"/>
    <w:rsid w:val="006F2091"/>
    <w:rsid w:val="006F2861"/>
    <w:rsid w:val="006F2875"/>
    <w:rsid w:val="006F3333"/>
    <w:rsid w:val="006F5060"/>
    <w:rsid w:val="006F5343"/>
    <w:rsid w:val="006F5672"/>
    <w:rsid w:val="006F6843"/>
    <w:rsid w:val="006F692A"/>
    <w:rsid w:val="006F6E4E"/>
    <w:rsid w:val="00700FDA"/>
    <w:rsid w:val="00702B7C"/>
    <w:rsid w:val="00703233"/>
    <w:rsid w:val="0070460A"/>
    <w:rsid w:val="00704FF1"/>
    <w:rsid w:val="00705C66"/>
    <w:rsid w:val="00711068"/>
    <w:rsid w:val="007121C4"/>
    <w:rsid w:val="007124C8"/>
    <w:rsid w:val="00712C6A"/>
    <w:rsid w:val="007147EF"/>
    <w:rsid w:val="007151A3"/>
    <w:rsid w:val="00716EED"/>
    <w:rsid w:val="0071749D"/>
    <w:rsid w:val="00720352"/>
    <w:rsid w:val="007211E5"/>
    <w:rsid w:val="00721D00"/>
    <w:rsid w:val="007225F2"/>
    <w:rsid w:val="00723310"/>
    <w:rsid w:val="00726715"/>
    <w:rsid w:val="00726D9E"/>
    <w:rsid w:val="007307B0"/>
    <w:rsid w:val="0073081F"/>
    <w:rsid w:val="00730BA4"/>
    <w:rsid w:val="00730CF1"/>
    <w:rsid w:val="0073178F"/>
    <w:rsid w:val="007336BF"/>
    <w:rsid w:val="0073630C"/>
    <w:rsid w:val="00737B40"/>
    <w:rsid w:val="00737D5B"/>
    <w:rsid w:val="0074012B"/>
    <w:rsid w:val="0074061D"/>
    <w:rsid w:val="00740A70"/>
    <w:rsid w:val="00740C0E"/>
    <w:rsid w:val="00742BC7"/>
    <w:rsid w:val="00743441"/>
    <w:rsid w:val="00743AA7"/>
    <w:rsid w:val="00743C09"/>
    <w:rsid w:val="007460AF"/>
    <w:rsid w:val="007462CD"/>
    <w:rsid w:val="00746A39"/>
    <w:rsid w:val="00747545"/>
    <w:rsid w:val="007501F5"/>
    <w:rsid w:val="00751A5F"/>
    <w:rsid w:val="00752E13"/>
    <w:rsid w:val="00753294"/>
    <w:rsid w:val="007532DE"/>
    <w:rsid w:val="0075399C"/>
    <w:rsid w:val="00753B67"/>
    <w:rsid w:val="0075407C"/>
    <w:rsid w:val="00754590"/>
    <w:rsid w:val="007566A7"/>
    <w:rsid w:val="00756B95"/>
    <w:rsid w:val="00757193"/>
    <w:rsid w:val="00760401"/>
    <w:rsid w:val="00760BB3"/>
    <w:rsid w:val="00761CB1"/>
    <w:rsid w:val="0076201A"/>
    <w:rsid w:val="0076255C"/>
    <w:rsid w:val="00763826"/>
    <w:rsid w:val="00766DDD"/>
    <w:rsid w:val="0077094F"/>
    <w:rsid w:val="00770A8B"/>
    <w:rsid w:val="00773DF0"/>
    <w:rsid w:val="00774131"/>
    <w:rsid w:val="00774916"/>
    <w:rsid w:val="00775925"/>
    <w:rsid w:val="00775DF8"/>
    <w:rsid w:val="00776191"/>
    <w:rsid w:val="0077626C"/>
    <w:rsid w:val="007762CF"/>
    <w:rsid w:val="00776DF6"/>
    <w:rsid w:val="00777DEE"/>
    <w:rsid w:val="00777EE9"/>
    <w:rsid w:val="007804F5"/>
    <w:rsid w:val="00782108"/>
    <w:rsid w:val="007821EC"/>
    <w:rsid w:val="00782CE4"/>
    <w:rsid w:val="007853D7"/>
    <w:rsid w:val="007858B7"/>
    <w:rsid w:val="00785A63"/>
    <w:rsid w:val="0078658B"/>
    <w:rsid w:val="0079014F"/>
    <w:rsid w:val="007909D9"/>
    <w:rsid w:val="00790BF7"/>
    <w:rsid w:val="00792A59"/>
    <w:rsid w:val="007948BC"/>
    <w:rsid w:val="007962E7"/>
    <w:rsid w:val="007965E4"/>
    <w:rsid w:val="0079754A"/>
    <w:rsid w:val="007976ED"/>
    <w:rsid w:val="007977AF"/>
    <w:rsid w:val="007A0814"/>
    <w:rsid w:val="007A09BB"/>
    <w:rsid w:val="007A210A"/>
    <w:rsid w:val="007A223D"/>
    <w:rsid w:val="007A23C8"/>
    <w:rsid w:val="007A3970"/>
    <w:rsid w:val="007A49B9"/>
    <w:rsid w:val="007A4C62"/>
    <w:rsid w:val="007A6095"/>
    <w:rsid w:val="007A7279"/>
    <w:rsid w:val="007A7B0C"/>
    <w:rsid w:val="007B18C1"/>
    <w:rsid w:val="007B1D4F"/>
    <w:rsid w:val="007B1FFF"/>
    <w:rsid w:val="007B2DB3"/>
    <w:rsid w:val="007B5014"/>
    <w:rsid w:val="007B5A66"/>
    <w:rsid w:val="007B683F"/>
    <w:rsid w:val="007B7BBD"/>
    <w:rsid w:val="007C005E"/>
    <w:rsid w:val="007C1FE8"/>
    <w:rsid w:val="007C31DF"/>
    <w:rsid w:val="007C3C98"/>
    <w:rsid w:val="007C4AAD"/>
    <w:rsid w:val="007C51E1"/>
    <w:rsid w:val="007C5E47"/>
    <w:rsid w:val="007C66BE"/>
    <w:rsid w:val="007C7569"/>
    <w:rsid w:val="007C7FCB"/>
    <w:rsid w:val="007D17E3"/>
    <w:rsid w:val="007D2CE9"/>
    <w:rsid w:val="007D65F2"/>
    <w:rsid w:val="007D6F45"/>
    <w:rsid w:val="007D7145"/>
    <w:rsid w:val="007E11C7"/>
    <w:rsid w:val="007E1B08"/>
    <w:rsid w:val="007E24B2"/>
    <w:rsid w:val="007E29C4"/>
    <w:rsid w:val="007E3A6C"/>
    <w:rsid w:val="007E4B5F"/>
    <w:rsid w:val="007E52DA"/>
    <w:rsid w:val="007E5792"/>
    <w:rsid w:val="007E7313"/>
    <w:rsid w:val="007E7E05"/>
    <w:rsid w:val="007F0500"/>
    <w:rsid w:val="007F09C9"/>
    <w:rsid w:val="007F14AF"/>
    <w:rsid w:val="007F1CF0"/>
    <w:rsid w:val="007F203F"/>
    <w:rsid w:val="007F2A33"/>
    <w:rsid w:val="007F4415"/>
    <w:rsid w:val="007F7B63"/>
    <w:rsid w:val="00800E60"/>
    <w:rsid w:val="00800E8F"/>
    <w:rsid w:val="008026F1"/>
    <w:rsid w:val="00803E40"/>
    <w:rsid w:val="00807202"/>
    <w:rsid w:val="00810A0D"/>
    <w:rsid w:val="00811747"/>
    <w:rsid w:val="00812012"/>
    <w:rsid w:val="00814E82"/>
    <w:rsid w:val="00815CA0"/>
    <w:rsid w:val="008160DE"/>
    <w:rsid w:val="008164F4"/>
    <w:rsid w:val="00817300"/>
    <w:rsid w:val="00820444"/>
    <w:rsid w:val="008204FE"/>
    <w:rsid w:val="00822B1B"/>
    <w:rsid w:val="00822DA4"/>
    <w:rsid w:val="00827105"/>
    <w:rsid w:val="008315BA"/>
    <w:rsid w:val="00832689"/>
    <w:rsid w:val="00833394"/>
    <w:rsid w:val="008354D1"/>
    <w:rsid w:val="00835A3D"/>
    <w:rsid w:val="00836C9A"/>
    <w:rsid w:val="00837B78"/>
    <w:rsid w:val="00840157"/>
    <w:rsid w:val="00842FDF"/>
    <w:rsid w:val="00843BA8"/>
    <w:rsid w:val="008440C3"/>
    <w:rsid w:val="00850300"/>
    <w:rsid w:val="00850566"/>
    <w:rsid w:val="00850BD9"/>
    <w:rsid w:val="00850F12"/>
    <w:rsid w:val="00851AF8"/>
    <w:rsid w:val="00852168"/>
    <w:rsid w:val="0085242F"/>
    <w:rsid w:val="00853346"/>
    <w:rsid w:val="008545CC"/>
    <w:rsid w:val="0085477B"/>
    <w:rsid w:val="00855153"/>
    <w:rsid w:val="0085759C"/>
    <w:rsid w:val="008612B9"/>
    <w:rsid w:val="00862328"/>
    <w:rsid w:val="0086284F"/>
    <w:rsid w:val="008632FD"/>
    <w:rsid w:val="008634F6"/>
    <w:rsid w:val="00867568"/>
    <w:rsid w:val="00867A64"/>
    <w:rsid w:val="00870107"/>
    <w:rsid w:val="008705EE"/>
    <w:rsid w:val="00872C3A"/>
    <w:rsid w:val="00874BA5"/>
    <w:rsid w:val="00874E50"/>
    <w:rsid w:val="00882B39"/>
    <w:rsid w:val="008831D0"/>
    <w:rsid w:val="008834E5"/>
    <w:rsid w:val="0088426B"/>
    <w:rsid w:val="008850C7"/>
    <w:rsid w:val="0088523D"/>
    <w:rsid w:val="00885659"/>
    <w:rsid w:val="00885E7B"/>
    <w:rsid w:val="00886244"/>
    <w:rsid w:val="00886B8A"/>
    <w:rsid w:val="00890A1F"/>
    <w:rsid w:val="00892119"/>
    <w:rsid w:val="008928BC"/>
    <w:rsid w:val="00892FEA"/>
    <w:rsid w:val="00893889"/>
    <w:rsid w:val="00895102"/>
    <w:rsid w:val="00895492"/>
    <w:rsid w:val="00895669"/>
    <w:rsid w:val="0089637B"/>
    <w:rsid w:val="00896B0F"/>
    <w:rsid w:val="008A11D3"/>
    <w:rsid w:val="008A28E4"/>
    <w:rsid w:val="008A2B2A"/>
    <w:rsid w:val="008A481E"/>
    <w:rsid w:val="008A77A3"/>
    <w:rsid w:val="008A7820"/>
    <w:rsid w:val="008B1DE3"/>
    <w:rsid w:val="008B2F8C"/>
    <w:rsid w:val="008B4C96"/>
    <w:rsid w:val="008B4EF8"/>
    <w:rsid w:val="008B66AF"/>
    <w:rsid w:val="008C2644"/>
    <w:rsid w:val="008C2CF2"/>
    <w:rsid w:val="008C3433"/>
    <w:rsid w:val="008C3C9E"/>
    <w:rsid w:val="008C3E60"/>
    <w:rsid w:val="008C449E"/>
    <w:rsid w:val="008C4DBD"/>
    <w:rsid w:val="008D0458"/>
    <w:rsid w:val="008D06FE"/>
    <w:rsid w:val="008D0EF8"/>
    <w:rsid w:val="008D0F8B"/>
    <w:rsid w:val="008D16C0"/>
    <w:rsid w:val="008D199B"/>
    <w:rsid w:val="008D1F37"/>
    <w:rsid w:val="008D1FFC"/>
    <w:rsid w:val="008D2331"/>
    <w:rsid w:val="008D2C93"/>
    <w:rsid w:val="008D5309"/>
    <w:rsid w:val="008D7D4B"/>
    <w:rsid w:val="008E00B5"/>
    <w:rsid w:val="008E17A5"/>
    <w:rsid w:val="008E3267"/>
    <w:rsid w:val="008E53EA"/>
    <w:rsid w:val="008E626F"/>
    <w:rsid w:val="008E688C"/>
    <w:rsid w:val="008E722C"/>
    <w:rsid w:val="008F0410"/>
    <w:rsid w:val="008F3083"/>
    <w:rsid w:val="008F3779"/>
    <w:rsid w:val="008F4AE1"/>
    <w:rsid w:val="008F504D"/>
    <w:rsid w:val="008F53DD"/>
    <w:rsid w:val="008F56DA"/>
    <w:rsid w:val="008F639A"/>
    <w:rsid w:val="008F6B6B"/>
    <w:rsid w:val="008F773E"/>
    <w:rsid w:val="00901619"/>
    <w:rsid w:val="00902D04"/>
    <w:rsid w:val="009035BB"/>
    <w:rsid w:val="0090574A"/>
    <w:rsid w:val="00905A72"/>
    <w:rsid w:val="00905BED"/>
    <w:rsid w:val="0090736F"/>
    <w:rsid w:val="00907A32"/>
    <w:rsid w:val="00907D61"/>
    <w:rsid w:val="009100EB"/>
    <w:rsid w:val="0091301E"/>
    <w:rsid w:val="00913476"/>
    <w:rsid w:val="00915755"/>
    <w:rsid w:val="00917EC0"/>
    <w:rsid w:val="009213C6"/>
    <w:rsid w:val="00922A09"/>
    <w:rsid w:val="00923169"/>
    <w:rsid w:val="0092702B"/>
    <w:rsid w:val="00931A04"/>
    <w:rsid w:val="00932AC1"/>
    <w:rsid w:val="00932DA9"/>
    <w:rsid w:val="00934D8F"/>
    <w:rsid w:val="0093504B"/>
    <w:rsid w:val="00936B5D"/>
    <w:rsid w:val="00936DE7"/>
    <w:rsid w:val="00937398"/>
    <w:rsid w:val="009377F6"/>
    <w:rsid w:val="00937BE5"/>
    <w:rsid w:val="00937D26"/>
    <w:rsid w:val="00940988"/>
    <w:rsid w:val="00940ED3"/>
    <w:rsid w:val="0094213A"/>
    <w:rsid w:val="0094294B"/>
    <w:rsid w:val="00943D11"/>
    <w:rsid w:val="00945175"/>
    <w:rsid w:val="009453D8"/>
    <w:rsid w:val="00946018"/>
    <w:rsid w:val="00947CA1"/>
    <w:rsid w:val="00950032"/>
    <w:rsid w:val="009505DC"/>
    <w:rsid w:val="00950E57"/>
    <w:rsid w:val="00951995"/>
    <w:rsid w:val="00956522"/>
    <w:rsid w:val="00960A97"/>
    <w:rsid w:val="00961F77"/>
    <w:rsid w:val="00962DE8"/>
    <w:rsid w:val="0096353B"/>
    <w:rsid w:val="00965C10"/>
    <w:rsid w:val="00967977"/>
    <w:rsid w:val="00971493"/>
    <w:rsid w:val="00973418"/>
    <w:rsid w:val="00975AFF"/>
    <w:rsid w:val="00981107"/>
    <w:rsid w:val="00982427"/>
    <w:rsid w:val="00983943"/>
    <w:rsid w:val="00984FCB"/>
    <w:rsid w:val="0098584D"/>
    <w:rsid w:val="009865F5"/>
    <w:rsid w:val="0098706B"/>
    <w:rsid w:val="0098717B"/>
    <w:rsid w:val="009903BA"/>
    <w:rsid w:val="00991247"/>
    <w:rsid w:val="00992010"/>
    <w:rsid w:val="00993FB8"/>
    <w:rsid w:val="0099408E"/>
    <w:rsid w:val="00996508"/>
    <w:rsid w:val="009A0E05"/>
    <w:rsid w:val="009A2006"/>
    <w:rsid w:val="009A22D5"/>
    <w:rsid w:val="009A3277"/>
    <w:rsid w:val="009A3422"/>
    <w:rsid w:val="009A3F03"/>
    <w:rsid w:val="009A4BCA"/>
    <w:rsid w:val="009A5760"/>
    <w:rsid w:val="009A6124"/>
    <w:rsid w:val="009A7DB4"/>
    <w:rsid w:val="009B028C"/>
    <w:rsid w:val="009B2617"/>
    <w:rsid w:val="009B31B7"/>
    <w:rsid w:val="009B4746"/>
    <w:rsid w:val="009B4D56"/>
    <w:rsid w:val="009B4EEA"/>
    <w:rsid w:val="009B500E"/>
    <w:rsid w:val="009B5488"/>
    <w:rsid w:val="009B5D0A"/>
    <w:rsid w:val="009B5D66"/>
    <w:rsid w:val="009B7798"/>
    <w:rsid w:val="009B77DD"/>
    <w:rsid w:val="009C06A3"/>
    <w:rsid w:val="009C38BE"/>
    <w:rsid w:val="009C454F"/>
    <w:rsid w:val="009C4FB2"/>
    <w:rsid w:val="009C6724"/>
    <w:rsid w:val="009C6AAF"/>
    <w:rsid w:val="009C758F"/>
    <w:rsid w:val="009D1002"/>
    <w:rsid w:val="009D3582"/>
    <w:rsid w:val="009D359E"/>
    <w:rsid w:val="009D3F99"/>
    <w:rsid w:val="009D44E3"/>
    <w:rsid w:val="009D4CBE"/>
    <w:rsid w:val="009D5039"/>
    <w:rsid w:val="009D59C9"/>
    <w:rsid w:val="009D5C40"/>
    <w:rsid w:val="009D7EB3"/>
    <w:rsid w:val="009E027D"/>
    <w:rsid w:val="009E0E19"/>
    <w:rsid w:val="009E15E2"/>
    <w:rsid w:val="009E1941"/>
    <w:rsid w:val="009E58E4"/>
    <w:rsid w:val="009E7327"/>
    <w:rsid w:val="009E7D16"/>
    <w:rsid w:val="009F037A"/>
    <w:rsid w:val="009F095A"/>
    <w:rsid w:val="009F38DC"/>
    <w:rsid w:val="009F54F8"/>
    <w:rsid w:val="009F5D6A"/>
    <w:rsid w:val="009F64E7"/>
    <w:rsid w:val="009F6AFA"/>
    <w:rsid w:val="009F7864"/>
    <w:rsid w:val="009F7A8E"/>
    <w:rsid w:val="00A00550"/>
    <w:rsid w:val="00A00DF7"/>
    <w:rsid w:val="00A01A99"/>
    <w:rsid w:val="00A03107"/>
    <w:rsid w:val="00A033A8"/>
    <w:rsid w:val="00A037DB"/>
    <w:rsid w:val="00A0402F"/>
    <w:rsid w:val="00A05C26"/>
    <w:rsid w:val="00A06265"/>
    <w:rsid w:val="00A06420"/>
    <w:rsid w:val="00A06A41"/>
    <w:rsid w:val="00A10C65"/>
    <w:rsid w:val="00A1197B"/>
    <w:rsid w:val="00A11DDF"/>
    <w:rsid w:val="00A12CAE"/>
    <w:rsid w:val="00A14640"/>
    <w:rsid w:val="00A14EDE"/>
    <w:rsid w:val="00A152E1"/>
    <w:rsid w:val="00A15502"/>
    <w:rsid w:val="00A216B6"/>
    <w:rsid w:val="00A275C3"/>
    <w:rsid w:val="00A27F48"/>
    <w:rsid w:val="00A30EFA"/>
    <w:rsid w:val="00A31CC7"/>
    <w:rsid w:val="00A32420"/>
    <w:rsid w:val="00A341C4"/>
    <w:rsid w:val="00A344AC"/>
    <w:rsid w:val="00A34B9B"/>
    <w:rsid w:val="00A35427"/>
    <w:rsid w:val="00A36187"/>
    <w:rsid w:val="00A375C9"/>
    <w:rsid w:val="00A41576"/>
    <w:rsid w:val="00A43540"/>
    <w:rsid w:val="00A43829"/>
    <w:rsid w:val="00A43A5C"/>
    <w:rsid w:val="00A44E42"/>
    <w:rsid w:val="00A46C3E"/>
    <w:rsid w:val="00A50591"/>
    <w:rsid w:val="00A50632"/>
    <w:rsid w:val="00A514B2"/>
    <w:rsid w:val="00A53898"/>
    <w:rsid w:val="00A54ABD"/>
    <w:rsid w:val="00A6075B"/>
    <w:rsid w:val="00A61060"/>
    <w:rsid w:val="00A61D6F"/>
    <w:rsid w:val="00A61E01"/>
    <w:rsid w:val="00A61F09"/>
    <w:rsid w:val="00A62AFE"/>
    <w:rsid w:val="00A6326C"/>
    <w:rsid w:val="00A632FC"/>
    <w:rsid w:val="00A66938"/>
    <w:rsid w:val="00A66985"/>
    <w:rsid w:val="00A67F8B"/>
    <w:rsid w:val="00A70456"/>
    <w:rsid w:val="00A7077C"/>
    <w:rsid w:val="00A74D7E"/>
    <w:rsid w:val="00A77E8F"/>
    <w:rsid w:val="00A807CD"/>
    <w:rsid w:val="00A81D6C"/>
    <w:rsid w:val="00A82E24"/>
    <w:rsid w:val="00A86749"/>
    <w:rsid w:val="00A872C5"/>
    <w:rsid w:val="00A912E6"/>
    <w:rsid w:val="00A91794"/>
    <w:rsid w:val="00A91F83"/>
    <w:rsid w:val="00A9473F"/>
    <w:rsid w:val="00A9530C"/>
    <w:rsid w:val="00A9591D"/>
    <w:rsid w:val="00A9661C"/>
    <w:rsid w:val="00A974A8"/>
    <w:rsid w:val="00A978DA"/>
    <w:rsid w:val="00AA0FEA"/>
    <w:rsid w:val="00AA24EE"/>
    <w:rsid w:val="00AA2D90"/>
    <w:rsid w:val="00AA31CF"/>
    <w:rsid w:val="00AA36A0"/>
    <w:rsid w:val="00AA40BA"/>
    <w:rsid w:val="00AA44B4"/>
    <w:rsid w:val="00AA55ED"/>
    <w:rsid w:val="00AA5DE5"/>
    <w:rsid w:val="00AB0647"/>
    <w:rsid w:val="00AB1D83"/>
    <w:rsid w:val="00AB2581"/>
    <w:rsid w:val="00AB2C6C"/>
    <w:rsid w:val="00AB494E"/>
    <w:rsid w:val="00AB573A"/>
    <w:rsid w:val="00AB58CB"/>
    <w:rsid w:val="00AB6A90"/>
    <w:rsid w:val="00AC0552"/>
    <w:rsid w:val="00AC06B3"/>
    <w:rsid w:val="00AC482C"/>
    <w:rsid w:val="00AC4901"/>
    <w:rsid w:val="00AC4D78"/>
    <w:rsid w:val="00AC77B5"/>
    <w:rsid w:val="00AD25B1"/>
    <w:rsid w:val="00AD285D"/>
    <w:rsid w:val="00AD2AFD"/>
    <w:rsid w:val="00AD2FEA"/>
    <w:rsid w:val="00AD3848"/>
    <w:rsid w:val="00AD3A94"/>
    <w:rsid w:val="00AD3DAC"/>
    <w:rsid w:val="00AD5A0F"/>
    <w:rsid w:val="00AD60B5"/>
    <w:rsid w:val="00AD7560"/>
    <w:rsid w:val="00AD7592"/>
    <w:rsid w:val="00AE09CE"/>
    <w:rsid w:val="00AE1E9B"/>
    <w:rsid w:val="00AE24AF"/>
    <w:rsid w:val="00AE2502"/>
    <w:rsid w:val="00AE47DC"/>
    <w:rsid w:val="00AE577E"/>
    <w:rsid w:val="00AE6347"/>
    <w:rsid w:val="00AE641A"/>
    <w:rsid w:val="00AE6710"/>
    <w:rsid w:val="00AE7C54"/>
    <w:rsid w:val="00AF09C5"/>
    <w:rsid w:val="00AF2C48"/>
    <w:rsid w:val="00AF333F"/>
    <w:rsid w:val="00AF4D75"/>
    <w:rsid w:val="00B010B8"/>
    <w:rsid w:val="00B0168F"/>
    <w:rsid w:val="00B01FE1"/>
    <w:rsid w:val="00B03598"/>
    <w:rsid w:val="00B04C51"/>
    <w:rsid w:val="00B05C04"/>
    <w:rsid w:val="00B06725"/>
    <w:rsid w:val="00B07916"/>
    <w:rsid w:val="00B07B04"/>
    <w:rsid w:val="00B10227"/>
    <w:rsid w:val="00B10674"/>
    <w:rsid w:val="00B10EDC"/>
    <w:rsid w:val="00B11C1D"/>
    <w:rsid w:val="00B11FAE"/>
    <w:rsid w:val="00B133B4"/>
    <w:rsid w:val="00B15946"/>
    <w:rsid w:val="00B16BC8"/>
    <w:rsid w:val="00B20697"/>
    <w:rsid w:val="00B21064"/>
    <w:rsid w:val="00B21C95"/>
    <w:rsid w:val="00B21F58"/>
    <w:rsid w:val="00B22232"/>
    <w:rsid w:val="00B22A33"/>
    <w:rsid w:val="00B25180"/>
    <w:rsid w:val="00B26225"/>
    <w:rsid w:val="00B27E58"/>
    <w:rsid w:val="00B30077"/>
    <w:rsid w:val="00B30632"/>
    <w:rsid w:val="00B319BB"/>
    <w:rsid w:val="00B326F7"/>
    <w:rsid w:val="00B336BD"/>
    <w:rsid w:val="00B35883"/>
    <w:rsid w:val="00B35AE4"/>
    <w:rsid w:val="00B36447"/>
    <w:rsid w:val="00B368DC"/>
    <w:rsid w:val="00B371BE"/>
    <w:rsid w:val="00B37F64"/>
    <w:rsid w:val="00B40AF4"/>
    <w:rsid w:val="00B40C1B"/>
    <w:rsid w:val="00B4193E"/>
    <w:rsid w:val="00B41F75"/>
    <w:rsid w:val="00B41FF7"/>
    <w:rsid w:val="00B42C0B"/>
    <w:rsid w:val="00B46D3C"/>
    <w:rsid w:val="00B46F0C"/>
    <w:rsid w:val="00B472EC"/>
    <w:rsid w:val="00B479E9"/>
    <w:rsid w:val="00B47D8C"/>
    <w:rsid w:val="00B47F77"/>
    <w:rsid w:val="00B508A0"/>
    <w:rsid w:val="00B520DE"/>
    <w:rsid w:val="00B526F1"/>
    <w:rsid w:val="00B56403"/>
    <w:rsid w:val="00B57905"/>
    <w:rsid w:val="00B621D6"/>
    <w:rsid w:val="00B63450"/>
    <w:rsid w:val="00B65230"/>
    <w:rsid w:val="00B65643"/>
    <w:rsid w:val="00B65E5B"/>
    <w:rsid w:val="00B67430"/>
    <w:rsid w:val="00B70ECC"/>
    <w:rsid w:val="00B718C2"/>
    <w:rsid w:val="00B72328"/>
    <w:rsid w:val="00B72D11"/>
    <w:rsid w:val="00B72D5C"/>
    <w:rsid w:val="00B73625"/>
    <w:rsid w:val="00B736DB"/>
    <w:rsid w:val="00B73881"/>
    <w:rsid w:val="00B73C4D"/>
    <w:rsid w:val="00B75658"/>
    <w:rsid w:val="00B76E1A"/>
    <w:rsid w:val="00B77018"/>
    <w:rsid w:val="00B77A8F"/>
    <w:rsid w:val="00B77FC4"/>
    <w:rsid w:val="00B80409"/>
    <w:rsid w:val="00B825A6"/>
    <w:rsid w:val="00B8287F"/>
    <w:rsid w:val="00B82990"/>
    <w:rsid w:val="00B82F0C"/>
    <w:rsid w:val="00B847D9"/>
    <w:rsid w:val="00B84C6B"/>
    <w:rsid w:val="00B84D0F"/>
    <w:rsid w:val="00B85130"/>
    <w:rsid w:val="00B85679"/>
    <w:rsid w:val="00B861B8"/>
    <w:rsid w:val="00B8689A"/>
    <w:rsid w:val="00B90CA8"/>
    <w:rsid w:val="00B92C7B"/>
    <w:rsid w:val="00B933CA"/>
    <w:rsid w:val="00B95EDB"/>
    <w:rsid w:val="00B96C23"/>
    <w:rsid w:val="00B974C2"/>
    <w:rsid w:val="00BA0FB1"/>
    <w:rsid w:val="00BA2DC8"/>
    <w:rsid w:val="00BA6591"/>
    <w:rsid w:val="00BA741E"/>
    <w:rsid w:val="00BA7B1A"/>
    <w:rsid w:val="00BA7CC3"/>
    <w:rsid w:val="00BB3C3E"/>
    <w:rsid w:val="00BB54EA"/>
    <w:rsid w:val="00BB5887"/>
    <w:rsid w:val="00BB6777"/>
    <w:rsid w:val="00BB6A96"/>
    <w:rsid w:val="00BC036D"/>
    <w:rsid w:val="00BC15D5"/>
    <w:rsid w:val="00BC1C68"/>
    <w:rsid w:val="00BC452D"/>
    <w:rsid w:val="00BC4C6E"/>
    <w:rsid w:val="00BC5516"/>
    <w:rsid w:val="00BC5C52"/>
    <w:rsid w:val="00BC7843"/>
    <w:rsid w:val="00BC794B"/>
    <w:rsid w:val="00BC7EB6"/>
    <w:rsid w:val="00BD226B"/>
    <w:rsid w:val="00BD3D5C"/>
    <w:rsid w:val="00BD5827"/>
    <w:rsid w:val="00BD58B9"/>
    <w:rsid w:val="00BD593D"/>
    <w:rsid w:val="00BD5F24"/>
    <w:rsid w:val="00BD69CF"/>
    <w:rsid w:val="00BD6C0B"/>
    <w:rsid w:val="00BD7141"/>
    <w:rsid w:val="00BE09C6"/>
    <w:rsid w:val="00BE0D8B"/>
    <w:rsid w:val="00BE12DB"/>
    <w:rsid w:val="00BE168A"/>
    <w:rsid w:val="00BE3D09"/>
    <w:rsid w:val="00BE49AA"/>
    <w:rsid w:val="00BE53C5"/>
    <w:rsid w:val="00BE5555"/>
    <w:rsid w:val="00BE5B26"/>
    <w:rsid w:val="00BE7342"/>
    <w:rsid w:val="00BE7D58"/>
    <w:rsid w:val="00BF1E99"/>
    <w:rsid w:val="00BF31A2"/>
    <w:rsid w:val="00BF51F4"/>
    <w:rsid w:val="00BF5A4B"/>
    <w:rsid w:val="00BF6D3A"/>
    <w:rsid w:val="00BF6EC7"/>
    <w:rsid w:val="00BF7D60"/>
    <w:rsid w:val="00C000ED"/>
    <w:rsid w:val="00C0059B"/>
    <w:rsid w:val="00C0159F"/>
    <w:rsid w:val="00C045E9"/>
    <w:rsid w:val="00C0477C"/>
    <w:rsid w:val="00C04983"/>
    <w:rsid w:val="00C04ABE"/>
    <w:rsid w:val="00C04C8A"/>
    <w:rsid w:val="00C05B59"/>
    <w:rsid w:val="00C05F4E"/>
    <w:rsid w:val="00C06A9C"/>
    <w:rsid w:val="00C10CED"/>
    <w:rsid w:val="00C118D7"/>
    <w:rsid w:val="00C122C0"/>
    <w:rsid w:val="00C15B58"/>
    <w:rsid w:val="00C16089"/>
    <w:rsid w:val="00C20BC6"/>
    <w:rsid w:val="00C233E2"/>
    <w:rsid w:val="00C25639"/>
    <w:rsid w:val="00C2594F"/>
    <w:rsid w:val="00C26086"/>
    <w:rsid w:val="00C26AE5"/>
    <w:rsid w:val="00C26E7E"/>
    <w:rsid w:val="00C27A73"/>
    <w:rsid w:val="00C27FBD"/>
    <w:rsid w:val="00C301DC"/>
    <w:rsid w:val="00C30A3A"/>
    <w:rsid w:val="00C30ACC"/>
    <w:rsid w:val="00C30B5C"/>
    <w:rsid w:val="00C314EC"/>
    <w:rsid w:val="00C31562"/>
    <w:rsid w:val="00C33BEB"/>
    <w:rsid w:val="00C36118"/>
    <w:rsid w:val="00C36729"/>
    <w:rsid w:val="00C376CD"/>
    <w:rsid w:val="00C424C5"/>
    <w:rsid w:val="00C4434A"/>
    <w:rsid w:val="00C45908"/>
    <w:rsid w:val="00C47E86"/>
    <w:rsid w:val="00C508E9"/>
    <w:rsid w:val="00C50D21"/>
    <w:rsid w:val="00C50FE2"/>
    <w:rsid w:val="00C51CDE"/>
    <w:rsid w:val="00C5408F"/>
    <w:rsid w:val="00C557F5"/>
    <w:rsid w:val="00C55BB0"/>
    <w:rsid w:val="00C55FDC"/>
    <w:rsid w:val="00C6053C"/>
    <w:rsid w:val="00C628B0"/>
    <w:rsid w:val="00C62D8B"/>
    <w:rsid w:val="00C62DCB"/>
    <w:rsid w:val="00C66636"/>
    <w:rsid w:val="00C66E57"/>
    <w:rsid w:val="00C670A2"/>
    <w:rsid w:val="00C67A44"/>
    <w:rsid w:val="00C701C4"/>
    <w:rsid w:val="00C7068C"/>
    <w:rsid w:val="00C7072B"/>
    <w:rsid w:val="00C72661"/>
    <w:rsid w:val="00C727CA"/>
    <w:rsid w:val="00C7298B"/>
    <w:rsid w:val="00C73ECF"/>
    <w:rsid w:val="00C74EF2"/>
    <w:rsid w:val="00C751D1"/>
    <w:rsid w:val="00C76187"/>
    <w:rsid w:val="00C769C9"/>
    <w:rsid w:val="00C76F8E"/>
    <w:rsid w:val="00C77C70"/>
    <w:rsid w:val="00C81C32"/>
    <w:rsid w:val="00C821CE"/>
    <w:rsid w:val="00C82235"/>
    <w:rsid w:val="00C85687"/>
    <w:rsid w:val="00C85712"/>
    <w:rsid w:val="00C91BAB"/>
    <w:rsid w:val="00C91CB1"/>
    <w:rsid w:val="00C92174"/>
    <w:rsid w:val="00C9343E"/>
    <w:rsid w:val="00C945B1"/>
    <w:rsid w:val="00C94EC3"/>
    <w:rsid w:val="00C95114"/>
    <w:rsid w:val="00CA1616"/>
    <w:rsid w:val="00CA22EF"/>
    <w:rsid w:val="00CA2626"/>
    <w:rsid w:val="00CA467B"/>
    <w:rsid w:val="00CA49F1"/>
    <w:rsid w:val="00CA4B27"/>
    <w:rsid w:val="00CA7CEA"/>
    <w:rsid w:val="00CA7F8E"/>
    <w:rsid w:val="00CB01E6"/>
    <w:rsid w:val="00CB0D5B"/>
    <w:rsid w:val="00CB1FC0"/>
    <w:rsid w:val="00CB2BEB"/>
    <w:rsid w:val="00CB3AD1"/>
    <w:rsid w:val="00CB4ABB"/>
    <w:rsid w:val="00CB5CA0"/>
    <w:rsid w:val="00CB7065"/>
    <w:rsid w:val="00CC0CD3"/>
    <w:rsid w:val="00CC1514"/>
    <w:rsid w:val="00CC29E6"/>
    <w:rsid w:val="00CC3154"/>
    <w:rsid w:val="00CC3456"/>
    <w:rsid w:val="00CC35B8"/>
    <w:rsid w:val="00CC445F"/>
    <w:rsid w:val="00CC4D58"/>
    <w:rsid w:val="00CC503C"/>
    <w:rsid w:val="00CC5E28"/>
    <w:rsid w:val="00CC63CD"/>
    <w:rsid w:val="00CC65AF"/>
    <w:rsid w:val="00CC7EB2"/>
    <w:rsid w:val="00CD08F0"/>
    <w:rsid w:val="00CD2492"/>
    <w:rsid w:val="00CD2D44"/>
    <w:rsid w:val="00CD2FDB"/>
    <w:rsid w:val="00CD3910"/>
    <w:rsid w:val="00CD53E3"/>
    <w:rsid w:val="00CD6876"/>
    <w:rsid w:val="00CE2A67"/>
    <w:rsid w:val="00CE3937"/>
    <w:rsid w:val="00CE3BF3"/>
    <w:rsid w:val="00CE3E98"/>
    <w:rsid w:val="00CE4343"/>
    <w:rsid w:val="00CE4815"/>
    <w:rsid w:val="00CE4819"/>
    <w:rsid w:val="00CE634A"/>
    <w:rsid w:val="00CE7E37"/>
    <w:rsid w:val="00CF0BC0"/>
    <w:rsid w:val="00CF2FAC"/>
    <w:rsid w:val="00CF34E2"/>
    <w:rsid w:val="00CF40CF"/>
    <w:rsid w:val="00CF4EAE"/>
    <w:rsid w:val="00CF538C"/>
    <w:rsid w:val="00CF69BC"/>
    <w:rsid w:val="00CF6EB3"/>
    <w:rsid w:val="00CF7345"/>
    <w:rsid w:val="00D02FD5"/>
    <w:rsid w:val="00D033B3"/>
    <w:rsid w:val="00D037DC"/>
    <w:rsid w:val="00D03922"/>
    <w:rsid w:val="00D04151"/>
    <w:rsid w:val="00D057E0"/>
    <w:rsid w:val="00D05F9E"/>
    <w:rsid w:val="00D10573"/>
    <w:rsid w:val="00D11C73"/>
    <w:rsid w:val="00D120EB"/>
    <w:rsid w:val="00D12442"/>
    <w:rsid w:val="00D15E02"/>
    <w:rsid w:val="00D20DC9"/>
    <w:rsid w:val="00D20EFE"/>
    <w:rsid w:val="00D229F3"/>
    <w:rsid w:val="00D235D0"/>
    <w:rsid w:val="00D244DB"/>
    <w:rsid w:val="00D24776"/>
    <w:rsid w:val="00D2494F"/>
    <w:rsid w:val="00D24C4B"/>
    <w:rsid w:val="00D27AE7"/>
    <w:rsid w:val="00D31B41"/>
    <w:rsid w:val="00D332B9"/>
    <w:rsid w:val="00D33AA3"/>
    <w:rsid w:val="00D34940"/>
    <w:rsid w:val="00D34B6B"/>
    <w:rsid w:val="00D34CBC"/>
    <w:rsid w:val="00D35257"/>
    <w:rsid w:val="00D3557A"/>
    <w:rsid w:val="00D37123"/>
    <w:rsid w:val="00D37413"/>
    <w:rsid w:val="00D408C7"/>
    <w:rsid w:val="00D42B1C"/>
    <w:rsid w:val="00D47BB3"/>
    <w:rsid w:val="00D50215"/>
    <w:rsid w:val="00D515E1"/>
    <w:rsid w:val="00D520CD"/>
    <w:rsid w:val="00D52637"/>
    <w:rsid w:val="00D530EE"/>
    <w:rsid w:val="00D54225"/>
    <w:rsid w:val="00D5481C"/>
    <w:rsid w:val="00D568C9"/>
    <w:rsid w:val="00D5707F"/>
    <w:rsid w:val="00D57396"/>
    <w:rsid w:val="00D57BF1"/>
    <w:rsid w:val="00D57E14"/>
    <w:rsid w:val="00D6069F"/>
    <w:rsid w:val="00D60A95"/>
    <w:rsid w:val="00D613AB"/>
    <w:rsid w:val="00D6162D"/>
    <w:rsid w:val="00D619CF"/>
    <w:rsid w:val="00D61D57"/>
    <w:rsid w:val="00D623D8"/>
    <w:rsid w:val="00D632D6"/>
    <w:rsid w:val="00D6469B"/>
    <w:rsid w:val="00D64AB7"/>
    <w:rsid w:val="00D67C0C"/>
    <w:rsid w:val="00D75404"/>
    <w:rsid w:val="00D75AEF"/>
    <w:rsid w:val="00D770AB"/>
    <w:rsid w:val="00D77458"/>
    <w:rsid w:val="00D776A2"/>
    <w:rsid w:val="00D80D0E"/>
    <w:rsid w:val="00D816CB"/>
    <w:rsid w:val="00D83055"/>
    <w:rsid w:val="00D845BE"/>
    <w:rsid w:val="00D85238"/>
    <w:rsid w:val="00D92E7C"/>
    <w:rsid w:val="00D933E4"/>
    <w:rsid w:val="00D939AF"/>
    <w:rsid w:val="00D9491D"/>
    <w:rsid w:val="00DA0766"/>
    <w:rsid w:val="00DA1078"/>
    <w:rsid w:val="00DA21F3"/>
    <w:rsid w:val="00DA35F4"/>
    <w:rsid w:val="00DA452B"/>
    <w:rsid w:val="00DA495F"/>
    <w:rsid w:val="00DA5EEB"/>
    <w:rsid w:val="00DA6B05"/>
    <w:rsid w:val="00DA744D"/>
    <w:rsid w:val="00DA7635"/>
    <w:rsid w:val="00DB114D"/>
    <w:rsid w:val="00DB297C"/>
    <w:rsid w:val="00DB4344"/>
    <w:rsid w:val="00DB4D47"/>
    <w:rsid w:val="00DB7186"/>
    <w:rsid w:val="00DC0046"/>
    <w:rsid w:val="00DC0086"/>
    <w:rsid w:val="00DC0473"/>
    <w:rsid w:val="00DC15D5"/>
    <w:rsid w:val="00DC1A68"/>
    <w:rsid w:val="00DC1C11"/>
    <w:rsid w:val="00DC2146"/>
    <w:rsid w:val="00DC24E1"/>
    <w:rsid w:val="00DC2F3F"/>
    <w:rsid w:val="00DC5D0F"/>
    <w:rsid w:val="00DC6A2F"/>
    <w:rsid w:val="00DC7EF4"/>
    <w:rsid w:val="00DD1440"/>
    <w:rsid w:val="00DD1C3C"/>
    <w:rsid w:val="00DD20E9"/>
    <w:rsid w:val="00DD2FD1"/>
    <w:rsid w:val="00DD379B"/>
    <w:rsid w:val="00DD4029"/>
    <w:rsid w:val="00DE1655"/>
    <w:rsid w:val="00DE165D"/>
    <w:rsid w:val="00DE2DD5"/>
    <w:rsid w:val="00DE3004"/>
    <w:rsid w:val="00DE6540"/>
    <w:rsid w:val="00DE7ED9"/>
    <w:rsid w:val="00DF05A0"/>
    <w:rsid w:val="00DF3CE9"/>
    <w:rsid w:val="00DF47DA"/>
    <w:rsid w:val="00DF50B3"/>
    <w:rsid w:val="00DF5E1F"/>
    <w:rsid w:val="00DF7368"/>
    <w:rsid w:val="00E0036B"/>
    <w:rsid w:val="00E019E6"/>
    <w:rsid w:val="00E01FC2"/>
    <w:rsid w:val="00E02946"/>
    <w:rsid w:val="00E02D38"/>
    <w:rsid w:val="00E034B3"/>
    <w:rsid w:val="00E04843"/>
    <w:rsid w:val="00E04A0D"/>
    <w:rsid w:val="00E04FC6"/>
    <w:rsid w:val="00E06361"/>
    <w:rsid w:val="00E064C9"/>
    <w:rsid w:val="00E07F39"/>
    <w:rsid w:val="00E10083"/>
    <w:rsid w:val="00E10335"/>
    <w:rsid w:val="00E11C68"/>
    <w:rsid w:val="00E1222B"/>
    <w:rsid w:val="00E125B3"/>
    <w:rsid w:val="00E126C3"/>
    <w:rsid w:val="00E12F97"/>
    <w:rsid w:val="00E1378E"/>
    <w:rsid w:val="00E13C7D"/>
    <w:rsid w:val="00E13FA6"/>
    <w:rsid w:val="00E145B1"/>
    <w:rsid w:val="00E150A1"/>
    <w:rsid w:val="00E169BD"/>
    <w:rsid w:val="00E17870"/>
    <w:rsid w:val="00E20C6E"/>
    <w:rsid w:val="00E211F9"/>
    <w:rsid w:val="00E21DF6"/>
    <w:rsid w:val="00E2254B"/>
    <w:rsid w:val="00E27802"/>
    <w:rsid w:val="00E27B7B"/>
    <w:rsid w:val="00E33279"/>
    <w:rsid w:val="00E34012"/>
    <w:rsid w:val="00E34093"/>
    <w:rsid w:val="00E3445C"/>
    <w:rsid w:val="00E34601"/>
    <w:rsid w:val="00E34784"/>
    <w:rsid w:val="00E36754"/>
    <w:rsid w:val="00E36826"/>
    <w:rsid w:val="00E36CA0"/>
    <w:rsid w:val="00E4086F"/>
    <w:rsid w:val="00E42071"/>
    <w:rsid w:val="00E42C16"/>
    <w:rsid w:val="00E42DF8"/>
    <w:rsid w:val="00E42E2E"/>
    <w:rsid w:val="00E43BEC"/>
    <w:rsid w:val="00E4427C"/>
    <w:rsid w:val="00E44AA7"/>
    <w:rsid w:val="00E4508C"/>
    <w:rsid w:val="00E46574"/>
    <w:rsid w:val="00E468C2"/>
    <w:rsid w:val="00E4766C"/>
    <w:rsid w:val="00E504D8"/>
    <w:rsid w:val="00E51642"/>
    <w:rsid w:val="00E5211B"/>
    <w:rsid w:val="00E525DD"/>
    <w:rsid w:val="00E52FD4"/>
    <w:rsid w:val="00E5334F"/>
    <w:rsid w:val="00E54160"/>
    <w:rsid w:val="00E54195"/>
    <w:rsid w:val="00E54C59"/>
    <w:rsid w:val="00E5528A"/>
    <w:rsid w:val="00E55476"/>
    <w:rsid w:val="00E56088"/>
    <w:rsid w:val="00E5771C"/>
    <w:rsid w:val="00E622A6"/>
    <w:rsid w:val="00E64375"/>
    <w:rsid w:val="00E64701"/>
    <w:rsid w:val="00E65D55"/>
    <w:rsid w:val="00E6653D"/>
    <w:rsid w:val="00E6684F"/>
    <w:rsid w:val="00E715BB"/>
    <w:rsid w:val="00E715E2"/>
    <w:rsid w:val="00E71BC0"/>
    <w:rsid w:val="00E73046"/>
    <w:rsid w:val="00E73F72"/>
    <w:rsid w:val="00E742C6"/>
    <w:rsid w:val="00E77C15"/>
    <w:rsid w:val="00E811A4"/>
    <w:rsid w:val="00E82107"/>
    <w:rsid w:val="00E838A2"/>
    <w:rsid w:val="00E87F8F"/>
    <w:rsid w:val="00E90925"/>
    <w:rsid w:val="00E90FB3"/>
    <w:rsid w:val="00E9267B"/>
    <w:rsid w:val="00E92701"/>
    <w:rsid w:val="00E93A1C"/>
    <w:rsid w:val="00E96737"/>
    <w:rsid w:val="00E97CCE"/>
    <w:rsid w:val="00EA0BA4"/>
    <w:rsid w:val="00EA0C2B"/>
    <w:rsid w:val="00EA1153"/>
    <w:rsid w:val="00EA1853"/>
    <w:rsid w:val="00EA1AA5"/>
    <w:rsid w:val="00EA2A70"/>
    <w:rsid w:val="00EA2DB9"/>
    <w:rsid w:val="00EA3FFC"/>
    <w:rsid w:val="00EA52CB"/>
    <w:rsid w:val="00EA67B9"/>
    <w:rsid w:val="00EA6CAF"/>
    <w:rsid w:val="00EA7E1F"/>
    <w:rsid w:val="00EB02BE"/>
    <w:rsid w:val="00EB1DAC"/>
    <w:rsid w:val="00EB2378"/>
    <w:rsid w:val="00EB26C4"/>
    <w:rsid w:val="00EB2974"/>
    <w:rsid w:val="00EB2A7A"/>
    <w:rsid w:val="00EB389D"/>
    <w:rsid w:val="00EB421C"/>
    <w:rsid w:val="00EB4703"/>
    <w:rsid w:val="00EB551D"/>
    <w:rsid w:val="00EB55A1"/>
    <w:rsid w:val="00EB574E"/>
    <w:rsid w:val="00EB5A69"/>
    <w:rsid w:val="00EB620E"/>
    <w:rsid w:val="00EB6916"/>
    <w:rsid w:val="00EB7516"/>
    <w:rsid w:val="00EC183D"/>
    <w:rsid w:val="00EC188C"/>
    <w:rsid w:val="00EC1EAE"/>
    <w:rsid w:val="00EC2107"/>
    <w:rsid w:val="00EC4A12"/>
    <w:rsid w:val="00EC623C"/>
    <w:rsid w:val="00EC647C"/>
    <w:rsid w:val="00ED1616"/>
    <w:rsid w:val="00ED6AB4"/>
    <w:rsid w:val="00ED6CBD"/>
    <w:rsid w:val="00EE0335"/>
    <w:rsid w:val="00EE1A85"/>
    <w:rsid w:val="00EE1B5D"/>
    <w:rsid w:val="00EE211A"/>
    <w:rsid w:val="00EE3470"/>
    <w:rsid w:val="00EE3C5B"/>
    <w:rsid w:val="00EE42C7"/>
    <w:rsid w:val="00EE5CA9"/>
    <w:rsid w:val="00EE5EA3"/>
    <w:rsid w:val="00EE60CF"/>
    <w:rsid w:val="00EE6E03"/>
    <w:rsid w:val="00EE71EE"/>
    <w:rsid w:val="00EF0DD8"/>
    <w:rsid w:val="00EF342D"/>
    <w:rsid w:val="00EF5A84"/>
    <w:rsid w:val="00EF6E4B"/>
    <w:rsid w:val="00EF7D9E"/>
    <w:rsid w:val="00F003BE"/>
    <w:rsid w:val="00F004F3"/>
    <w:rsid w:val="00F014DC"/>
    <w:rsid w:val="00F0248A"/>
    <w:rsid w:val="00F05C2E"/>
    <w:rsid w:val="00F05C8D"/>
    <w:rsid w:val="00F05E1A"/>
    <w:rsid w:val="00F06491"/>
    <w:rsid w:val="00F0719E"/>
    <w:rsid w:val="00F077E4"/>
    <w:rsid w:val="00F11DDE"/>
    <w:rsid w:val="00F12B6C"/>
    <w:rsid w:val="00F1391C"/>
    <w:rsid w:val="00F13CDA"/>
    <w:rsid w:val="00F14A68"/>
    <w:rsid w:val="00F14B59"/>
    <w:rsid w:val="00F17B14"/>
    <w:rsid w:val="00F205DB"/>
    <w:rsid w:val="00F207EE"/>
    <w:rsid w:val="00F23835"/>
    <w:rsid w:val="00F25465"/>
    <w:rsid w:val="00F266D1"/>
    <w:rsid w:val="00F26E06"/>
    <w:rsid w:val="00F32499"/>
    <w:rsid w:val="00F32F1A"/>
    <w:rsid w:val="00F33BDA"/>
    <w:rsid w:val="00F34899"/>
    <w:rsid w:val="00F3518C"/>
    <w:rsid w:val="00F3573D"/>
    <w:rsid w:val="00F37732"/>
    <w:rsid w:val="00F42A18"/>
    <w:rsid w:val="00F432BB"/>
    <w:rsid w:val="00F44723"/>
    <w:rsid w:val="00F449DD"/>
    <w:rsid w:val="00F46007"/>
    <w:rsid w:val="00F468BE"/>
    <w:rsid w:val="00F500F4"/>
    <w:rsid w:val="00F506A4"/>
    <w:rsid w:val="00F53E8C"/>
    <w:rsid w:val="00F547B2"/>
    <w:rsid w:val="00F565FD"/>
    <w:rsid w:val="00F56B0F"/>
    <w:rsid w:val="00F57A15"/>
    <w:rsid w:val="00F61B22"/>
    <w:rsid w:val="00F6208C"/>
    <w:rsid w:val="00F6329E"/>
    <w:rsid w:val="00F63794"/>
    <w:rsid w:val="00F6401E"/>
    <w:rsid w:val="00F659DE"/>
    <w:rsid w:val="00F674F2"/>
    <w:rsid w:val="00F67E33"/>
    <w:rsid w:val="00F70DD1"/>
    <w:rsid w:val="00F71B0D"/>
    <w:rsid w:val="00F7249B"/>
    <w:rsid w:val="00F74736"/>
    <w:rsid w:val="00F75714"/>
    <w:rsid w:val="00F758CE"/>
    <w:rsid w:val="00F75BFE"/>
    <w:rsid w:val="00F774BB"/>
    <w:rsid w:val="00F8079F"/>
    <w:rsid w:val="00F815D2"/>
    <w:rsid w:val="00F841AF"/>
    <w:rsid w:val="00F84FBB"/>
    <w:rsid w:val="00F8607E"/>
    <w:rsid w:val="00F873BA"/>
    <w:rsid w:val="00F87A7C"/>
    <w:rsid w:val="00F9096B"/>
    <w:rsid w:val="00F92702"/>
    <w:rsid w:val="00F92C68"/>
    <w:rsid w:val="00F92FA3"/>
    <w:rsid w:val="00F93E26"/>
    <w:rsid w:val="00F94CA7"/>
    <w:rsid w:val="00F95AE5"/>
    <w:rsid w:val="00F95DD3"/>
    <w:rsid w:val="00F96E8A"/>
    <w:rsid w:val="00F9718E"/>
    <w:rsid w:val="00F97A85"/>
    <w:rsid w:val="00FA0EE5"/>
    <w:rsid w:val="00FA166F"/>
    <w:rsid w:val="00FA3051"/>
    <w:rsid w:val="00FA43D9"/>
    <w:rsid w:val="00FA440E"/>
    <w:rsid w:val="00FA5670"/>
    <w:rsid w:val="00FA6096"/>
    <w:rsid w:val="00FA68B3"/>
    <w:rsid w:val="00FA78BF"/>
    <w:rsid w:val="00FA79D1"/>
    <w:rsid w:val="00FA7E97"/>
    <w:rsid w:val="00FB11D2"/>
    <w:rsid w:val="00FB1E4E"/>
    <w:rsid w:val="00FB57D9"/>
    <w:rsid w:val="00FB5F3B"/>
    <w:rsid w:val="00FC08E8"/>
    <w:rsid w:val="00FC19D4"/>
    <w:rsid w:val="00FC1A2C"/>
    <w:rsid w:val="00FC20D3"/>
    <w:rsid w:val="00FC23A7"/>
    <w:rsid w:val="00FC40CB"/>
    <w:rsid w:val="00FC46C5"/>
    <w:rsid w:val="00FC687D"/>
    <w:rsid w:val="00FC6C23"/>
    <w:rsid w:val="00FC77CC"/>
    <w:rsid w:val="00FD1A13"/>
    <w:rsid w:val="00FD1F7F"/>
    <w:rsid w:val="00FD2780"/>
    <w:rsid w:val="00FD3014"/>
    <w:rsid w:val="00FD331D"/>
    <w:rsid w:val="00FD4A36"/>
    <w:rsid w:val="00FD4E66"/>
    <w:rsid w:val="00FD5F26"/>
    <w:rsid w:val="00FD6B42"/>
    <w:rsid w:val="00FD6F39"/>
    <w:rsid w:val="00FD7037"/>
    <w:rsid w:val="00FE106D"/>
    <w:rsid w:val="00FE20D7"/>
    <w:rsid w:val="00FE3312"/>
    <w:rsid w:val="00FE396E"/>
    <w:rsid w:val="00FE5583"/>
    <w:rsid w:val="00FE598F"/>
    <w:rsid w:val="00FE6075"/>
    <w:rsid w:val="00FE6AB6"/>
    <w:rsid w:val="00FE6F18"/>
    <w:rsid w:val="00FE7816"/>
    <w:rsid w:val="00FE7BD4"/>
    <w:rsid w:val="00FF0A2D"/>
    <w:rsid w:val="00FF1093"/>
    <w:rsid w:val="00FF2BBB"/>
    <w:rsid w:val="00FF2EF7"/>
    <w:rsid w:val="00FF3E5B"/>
    <w:rsid w:val="00FF3F63"/>
    <w:rsid w:val="00FF4C72"/>
    <w:rsid w:val="00FF6BFC"/>
    <w:rsid w:val="00FF724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90817">
      <o:colormru v:ext="edit" colors="#4bf753"/>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2" w:qFormat="1"/>
    <w:lsdException w:name="heading 6" w:uiPriority="2" w:qFormat="1"/>
    <w:lsdException w:name="heading 7" w:uiPriority="2" w:qFormat="1"/>
    <w:lsdException w:name="heading 8" w:uiPriority="2" w:qFormat="1"/>
    <w:lsdException w:name="heading 9" w:uiPriority="2"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iPriority="1" w:unhideWhenUsed="0"/>
    <w:lsdException w:name="footnote text" w:uiPriority="0" w:qFormat="1"/>
    <w:lsdException w:name="header" w:qFormat="1"/>
    <w:lsdException w:name="footer" w:qFormat="1"/>
    <w:lsdException w:name="caption" w:uiPriority="35" w:qFormat="1"/>
    <w:lsdException w:name="footnote reference" w:uiPriority="0"/>
    <w:lsdException w:name="page number" w:uiPriority="0"/>
    <w:lsdException w:name="List" w:qFormat="1"/>
    <w:lsdException w:name="List Number" w:qFormat="1"/>
    <w:lsdException w:name="Title" w:semiHidden="0" w:uiPriority="10" w:unhideWhenUsed="0"/>
    <w:lsdException w:name="Default Paragraph Font" w:uiPriority="1"/>
    <w:lsdException w:name="List Continue" w:qFormat="1"/>
    <w:lsdException w:name="Subtitle" w:semiHidden="0" w:uiPriority="11" w:unhideWhenUsed="0"/>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qFormat/>
    <w:rsid w:val="005E385C"/>
    <w:pPr>
      <w:spacing w:line="276" w:lineRule="auto"/>
      <w:jc w:val="both"/>
    </w:pPr>
    <w:rPr>
      <w:rFonts w:ascii="Arial" w:hAnsi="Arial"/>
    </w:rPr>
  </w:style>
  <w:style w:type="paragraph" w:styleId="Heading1">
    <w:name w:val="heading 1"/>
    <w:basedOn w:val="Normal"/>
    <w:next w:val="Normal"/>
    <w:link w:val="Heading1Char"/>
    <w:qFormat/>
    <w:rsid w:val="00B927D8"/>
    <w:pPr>
      <w:pageBreakBefore/>
      <w:numPr>
        <w:numId w:val="24"/>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qFormat/>
    <w:rsid w:val="00B927D8"/>
    <w:pPr>
      <w:numPr>
        <w:ilvl w:val="1"/>
        <w:numId w:val="24"/>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qFormat/>
    <w:rsid w:val="00B927D8"/>
    <w:pPr>
      <w:numPr>
        <w:ilvl w:val="2"/>
        <w:numId w:val="24"/>
      </w:numPr>
      <w:tabs>
        <w:tab w:val="left" w:pos="1021"/>
      </w:tabs>
      <w:spacing w:before="240"/>
      <w:ind w:left="720"/>
      <w:outlineLvl w:val="2"/>
    </w:pPr>
    <w:rPr>
      <w:rFonts w:eastAsiaTheme="majorEastAsia" w:cstheme="majorBidi"/>
      <w:b/>
      <w:bCs/>
      <w:color w:val="70635A" w:themeColor="text2"/>
      <w:sz w:val="28"/>
    </w:rPr>
  </w:style>
  <w:style w:type="paragraph" w:styleId="Heading4">
    <w:name w:val="heading 4"/>
    <w:basedOn w:val="Normal"/>
    <w:next w:val="Normal"/>
    <w:link w:val="Heading4Char"/>
    <w:qFormat/>
    <w:rsid w:val="00B927D8"/>
    <w:pPr>
      <w:numPr>
        <w:ilvl w:val="3"/>
        <w:numId w:val="24"/>
      </w:numPr>
      <w:tabs>
        <w:tab w:val="left" w:pos="1021"/>
      </w:tabs>
      <w:spacing w:before="240"/>
      <w:ind w:left="1021" w:hanging="1021"/>
      <w:outlineLvl w:val="3"/>
    </w:pPr>
    <w:rPr>
      <w:rFonts w:eastAsiaTheme="majorEastAsia" w:cstheme="majorBidi"/>
      <w:b/>
      <w:bCs/>
      <w:iCs/>
      <w:color w:val="51626F"/>
      <w:sz w:val="24"/>
    </w:rPr>
  </w:style>
  <w:style w:type="paragraph" w:styleId="Heading5">
    <w:name w:val="heading 5"/>
    <w:next w:val="Normal"/>
    <w:link w:val="Heading5Char"/>
    <w:uiPriority w:val="2"/>
    <w:qFormat/>
    <w:rsid w:val="00B927D8"/>
    <w:pPr>
      <w:numPr>
        <w:ilvl w:val="4"/>
        <w:numId w:val="24"/>
      </w:numPr>
      <w:tabs>
        <w:tab w:val="left" w:pos="1361"/>
      </w:tabs>
      <w:spacing w:line="240" w:lineRule="atLeast"/>
      <w:ind w:left="1361" w:hanging="1361"/>
      <w:outlineLvl w:val="4"/>
    </w:pPr>
    <w:rPr>
      <w:rFonts w:ascii="Arial" w:eastAsiaTheme="majorEastAsia" w:hAnsi="Arial" w:cstheme="majorBidi"/>
      <w:b/>
      <w:color w:val="170017" w:themeColor="accent1" w:themeShade="7F"/>
    </w:rPr>
  </w:style>
  <w:style w:type="paragraph" w:styleId="Heading6">
    <w:name w:val="heading 6"/>
    <w:basedOn w:val="Normal"/>
    <w:next w:val="Normal"/>
    <w:link w:val="Heading6Char"/>
    <w:uiPriority w:val="2"/>
    <w:qFormat/>
    <w:rsid w:val="00B37E38"/>
    <w:pPr>
      <w:numPr>
        <w:ilvl w:val="5"/>
        <w:numId w:val="24"/>
      </w:numPr>
      <w:tabs>
        <w:tab w:val="left" w:pos="1361"/>
      </w:tabs>
      <w:spacing w:before="240"/>
      <w:ind w:left="1361" w:hanging="1361"/>
      <w:outlineLvl w:val="5"/>
    </w:pPr>
    <w:rPr>
      <w:rFonts w:eastAsiaTheme="majorEastAsia" w:cstheme="majorBidi"/>
      <w:b/>
      <w:i/>
      <w:iCs/>
      <w:color w:val="076A92" w:themeColor="text1"/>
    </w:rPr>
  </w:style>
  <w:style w:type="paragraph" w:styleId="Heading7">
    <w:name w:val="heading 7"/>
    <w:basedOn w:val="Normal"/>
    <w:next w:val="Normal"/>
    <w:link w:val="Heading7Char"/>
    <w:uiPriority w:val="2"/>
    <w:qFormat/>
    <w:rsid w:val="00B927D8"/>
    <w:pPr>
      <w:numPr>
        <w:ilvl w:val="6"/>
        <w:numId w:val="24"/>
      </w:numPr>
      <w:tabs>
        <w:tab w:val="left" w:pos="1701"/>
      </w:tabs>
      <w:spacing w:before="240"/>
      <w:ind w:left="1701" w:hanging="1701"/>
      <w:outlineLvl w:val="6"/>
    </w:pPr>
    <w:rPr>
      <w:rFonts w:eastAsiaTheme="majorEastAsia" w:cstheme="majorBidi"/>
      <w:i/>
      <w:iCs/>
    </w:rPr>
  </w:style>
  <w:style w:type="paragraph" w:styleId="Heading8">
    <w:name w:val="heading 8"/>
    <w:basedOn w:val="Normal"/>
    <w:next w:val="Normal"/>
    <w:link w:val="Heading8Char"/>
    <w:uiPriority w:val="2"/>
    <w:qFormat/>
    <w:rsid w:val="00B927D8"/>
    <w:pPr>
      <w:numPr>
        <w:ilvl w:val="7"/>
        <w:numId w:val="24"/>
      </w:numPr>
      <w:tabs>
        <w:tab w:val="left" w:pos="1701"/>
      </w:tabs>
      <w:spacing w:before="240"/>
      <w:ind w:left="1701" w:hanging="1701"/>
      <w:outlineLvl w:val="7"/>
    </w:pPr>
    <w:rPr>
      <w:rFonts w:eastAsiaTheme="majorEastAsia" w:cstheme="majorBidi"/>
      <w:color w:val="2F002F" w:themeColor="accent1"/>
      <w:szCs w:val="20"/>
    </w:rPr>
  </w:style>
  <w:style w:type="paragraph" w:styleId="Heading9">
    <w:name w:val="heading 9"/>
    <w:basedOn w:val="Normal"/>
    <w:next w:val="Normal"/>
    <w:link w:val="Heading9Char"/>
    <w:uiPriority w:val="2"/>
    <w:qFormat/>
    <w:rsid w:val="00B927D8"/>
    <w:pPr>
      <w:numPr>
        <w:ilvl w:val="8"/>
        <w:numId w:val="24"/>
      </w:numPr>
      <w:tabs>
        <w:tab w:val="left" w:pos="1701"/>
      </w:tabs>
      <w:spacing w:before="240"/>
      <w:ind w:left="1701" w:hanging="1701"/>
      <w:outlineLvl w:val="8"/>
    </w:pPr>
    <w:rPr>
      <w:rFonts w:eastAsiaTheme="majorEastAsia" w:cstheme="majorBidi"/>
      <w:i/>
      <w:iCs/>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927D8"/>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rsid w:val="00B927D8"/>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rsid w:val="00B927D8"/>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rsid w:val="00B927D8"/>
    <w:rPr>
      <w:rFonts w:ascii="Arial" w:eastAsiaTheme="majorEastAsia" w:hAnsi="Arial" w:cstheme="majorBidi"/>
      <w:b/>
      <w:bCs/>
      <w:iCs/>
      <w:color w:val="51626F"/>
      <w:sz w:val="24"/>
    </w:rPr>
  </w:style>
  <w:style w:type="character" w:customStyle="1" w:styleId="Heading5Char">
    <w:name w:val="Heading 5 Char"/>
    <w:basedOn w:val="DefaultParagraphFont"/>
    <w:link w:val="Heading5"/>
    <w:uiPriority w:val="2"/>
    <w:rsid w:val="00B927D8"/>
    <w:rPr>
      <w:rFonts w:ascii="Arial" w:eastAsiaTheme="majorEastAsia" w:hAnsi="Arial" w:cstheme="majorBidi"/>
      <w:b/>
      <w:color w:val="170017" w:themeColor="accent1" w:themeShade="7F"/>
    </w:rPr>
  </w:style>
  <w:style w:type="character" w:customStyle="1" w:styleId="Heading6Char">
    <w:name w:val="Heading 6 Char"/>
    <w:basedOn w:val="DefaultParagraphFont"/>
    <w:link w:val="Heading6"/>
    <w:uiPriority w:val="2"/>
    <w:rsid w:val="00B37E38"/>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F835C9"/>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F835C9"/>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EB505D"/>
    <w:pPr>
      <w:tabs>
        <w:tab w:val="right" w:leader="dot" w:pos="8363"/>
      </w:tabs>
      <w:spacing w:after="100"/>
      <w:ind w:left="2977"/>
    </w:pPr>
    <w:rPr>
      <w:noProof/>
    </w:rPr>
  </w:style>
  <w:style w:type="paragraph" w:styleId="TOC9">
    <w:name w:val="toc 9"/>
    <w:basedOn w:val="Normal"/>
    <w:next w:val="Normal"/>
    <w:uiPriority w:val="39"/>
    <w:rsid w:val="00EB505D"/>
    <w:pPr>
      <w:tabs>
        <w:tab w:val="right" w:leader="dot" w:pos="8363"/>
      </w:tabs>
      <w:spacing w:after="100"/>
      <w:ind w:left="3402"/>
    </w:pPr>
    <w:rPr>
      <w:noProof/>
    </w:rPr>
  </w:style>
  <w:style w:type="paragraph" w:customStyle="1" w:styleId="Heading1notnumber">
    <w:name w:val="Heading 1 not number"/>
    <w:basedOn w:val="Heading1"/>
    <w:qFormat/>
    <w:rsid w:val="00130C3C"/>
    <w:pPr>
      <w:numPr>
        <w:numId w:val="0"/>
      </w:numPr>
    </w:pPr>
  </w:style>
  <w:style w:type="paragraph" w:customStyle="1" w:styleId="Heading2notnumbered">
    <w:name w:val="Heading 2 not numbered"/>
    <w:basedOn w:val="Heading2"/>
    <w:rsid w:val="00130C3C"/>
    <w:pPr>
      <w:numPr>
        <w:ilvl w:val="0"/>
        <w:numId w:val="0"/>
      </w:numPr>
    </w:pPr>
    <w:rPr>
      <w:rFonts w:eastAsia="Times New Roman" w:cs="Times New Roman"/>
      <w:szCs w:val="20"/>
    </w:rPr>
  </w:style>
  <w:style w:type="paragraph" w:customStyle="1" w:styleId="Heading3notnumbered">
    <w:name w:val="Heading 3 not numbered"/>
    <w:basedOn w:val="Heading3"/>
    <w:rsid w:val="005A2081"/>
    <w:pPr>
      <w:numPr>
        <w:ilvl w:val="0"/>
        <w:numId w:val="0"/>
      </w:numPr>
    </w:pPr>
    <w:rPr>
      <w:rFonts w:eastAsia="Times New Roman" w:cs="Times New Roman"/>
      <w:szCs w:val="20"/>
    </w:rPr>
  </w:style>
  <w:style w:type="paragraph" w:customStyle="1" w:styleId="Heading4notnumbered">
    <w:name w:val="Heading 4 not numbered"/>
    <w:basedOn w:val="Heading4"/>
    <w:rsid w:val="00130C3C"/>
    <w:pPr>
      <w:numPr>
        <w:ilvl w:val="0"/>
        <w:numId w:val="0"/>
      </w:numPr>
    </w:pPr>
    <w:rPr>
      <w:rFonts w:eastAsia="Times New Roman" w:cs="Times New Roman"/>
      <w:iCs w:val="0"/>
      <w:szCs w:val="20"/>
    </w:rPr>
  </w:style>
  <w:style w:type="paragraph" w:customStyle="1" w:styleId="Heading5notnumbered">
    <w:name w:val="Heading 5 not numbered"/>
    <w:basedOn w:val="Heading5"/>
    <w:rsid w:val="00130C3C"/>
    <w:pPr>
      <w:numPr>
        <w:ilvl w:val="0"/>
        <w:numId w:val="0"/>
      </w:numPr>
    </w:pPr>
    <w:rPr>
      <w:rFonts w:eastAsia="Times New Roman" w:cs="Times New Roman"/>
      <w:bCs/>
      <w:szCs w:val="20"/>
    </w:rPr>
  </w:style>
  <w:style w:type="paragraph" w:customStyle="1" w:styleId="Heading6notnumbered">
    <w:name w:val="Heading 6 not numbered"/>
    <w:basedOn w:val="Heading6"/>
    <w:rsid w:val="00130C3C"/>
    <w:pPr>
      <w:numPr>
        <w:ilvl w:val="0"/>
        <w:numId w:val="0"/>
      </w:numPr>
    </w:pPr>
    <w:rPr>
      <w:rFonts w:eastAsia="Times New Roman" w:cs="Times New Roman"/>
      <w:bCs/>
      <w:szCs w:val="20"/>
    </w:r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Boxedtext">
    <w:name w:val="Boxed text"/>
    <w:basedOn w:val="Normal"/>
    <w:link w:val="BoxedtextChar"/>
    <w:uiPriority w:val="1"/>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BoxedtextChar">
    <w:name w:val="Boxed text Char"/>
    <w:basedOn w:val="DefaultParagraphFont"/>
    <w:link w:val="Boxedtext"/>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next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next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Bulletpoint">
    <w:name w:val="Bullet point"/>
    <w:basedOn w:val="ListBullet"/>
    <w:qFormat/>
    <w:rsid w:val="00FE64AE"/>
    <w:pPr>
      <w:numPr>
        <w:numId w:val="2"/>
      </w:numPr>
    </w:pPr>
    <w:rPr>
      <w:rFonts w:cs="Times New Roman"/>
    </w:rPr>
  </w:style>
  <w:style w:type="paragraph" w:styleId="ListBullet">
    <w:name w:val="List Bullet"/>
    <w:basedOn w:val="Normal"/>
    <w:uiPriority w:val="99"/>
    <w:unhideWhenUsed/>
    <w:rsid w:val="00DB5074"/>
    <w:pPr>
      <w:numPr>
        <w:numId w:val="13"/>
      </w:numPr>
      <w:tabs>
        <w:tab w:val="left" w:pos="340"/>
      </w:tabs>
      <w:spacing w:before="120"/>
    </w:pPr>
  </w:style>
  <w:style w:type="paragraph" w:customStyle="1" w:styleId="Bulletpoint2">
    <w:name w:val="Bullet point 2"/>
    <w:basedOn w:val="ListBullet2"/>
    <w:uiPriority w:val="1"/>
    <w:qFormat/>
    <w:rsid w:val="008033C4"/>
    <w:pPr>
      <w:numPr>
        <w:numId w:val="12"/>
      </w:numPr>
      <w:ind w:left="998" w:hanging="357"/>
    </w:pPr>
  </w:style>
  <w:style w:type="paragraph" w:styleId="ListNumber">
    <w:name w:val="List Number"/>
    <w:basedOn w:val="Normal"/>
    <w:uiPriority w:val="99"/>
    <w:qFormat/>
    <w:rsid w:val="00CA489E"/>
    <w:pPr>
      <w:numPr>
        <w:numId w:val="7"/>
      </w:numPr>
      <w:tabs>
        <w:tab w:val="clear" w:pos="360"/>
        <w:tab w:val="num" w:pos="340"/>
      </w:tabs>
      <w:spacing w:before="120"/>
      <w:ind w:left="340" w:hanging="340"/>
    </w:pPr>
  </w:style>
  <w:style w:type="paragraph" w:styleId="ListBullet2">
    <w:name w:val="List Bullet 2"/>
    <w:basedOn w:val="Normal"/>
    <w:uiPriority w:val="99"/>
    <w:unhideWhenUsed/>
    <w:rsid w:val="00DB5074"/>
    <w:pPr>
      <w:numPr>
        <w:numId w:val="3"/>
      </w:numPr>
      <w:tabs>
        <w:tab w:val="clear" w:pos="643"/>
        <w:tab w:val="num" w:pos="680"/>
      </w:tabs>
      <w:spacing w:before="120"/>
      <w:ind w:left="680" w:hanging="34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semiHidden/>
    <w:unhideWhenUsed/>
    <w:rsid w:val="003518B3"/>
    <w:pPr>
      <w:spacing w:before="0"/>
    </w:pPr>
    <w:rPr>
      <w:rFonts w:ascii="Tahoma" w:hAnsi="Tahoma" w:cs="Tahoma"/>
      <w:sz w:val="16"/>
      <w:szCs w:val="16"/>
    </w:rPr>
  </w:style>
  <w:style w:type="character" w:customStyle="1" w:styleId="BalloonTextChar">
    <w:name w:val="Balloon Text Char"/>
    <w:basedOn w:val="DefaultParagraphFont"/>
    <w:link w:val="BalloonText"/>
    <w:uiPriority w:val="99"/>
    <w:semiHidden/>
    <w:rsid w:val="003518B3"/>
    <w:rPr>
      <w:rFonts w:ascii="Tahoma" w:hAnsi="Tahoma" w:cs="Tahoma"/>
      <w:sz w:val="16"/>
      <w:szCs w:val="16"/>
    </w:rPr>
  </w:style>
  <w:style w:type="paragraph" w:styleId="Footer">
    <w:name w:val="footer"/>
    <w:basedOn w:val="Normal"/>
    <w:link w:val="FooterChar"/>
    <w:uiPriority w:val="99"/>
    <w:unhideWhenUsed/>
    <w:qFormat/>
    <w:rsid w:val="00F835C9"/>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F835C9"/>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basedOn w:val="DefaultParagraphFont"/>
    <w:link w:val="Heading7"/>
    <w:uiPriority w:val="2"/>
    <w:rsid w:val="00B927D8"/>
    <w:rPr>
      <w:rFonts w:ascii="Arial" w:eastAsiaTheme="majorEastAsia" w:hAnsi="Arial" w:cstheme="majorBidi"/>
      <w:i/>
      <w:iCs/>
    </w:rPr>
  </w:style>
  <w:style w:type="character" w:customStyle="1" w:styleId="Heading8Char">
    <w:name w:val="Heading 8 Char"/>
    <w:basedOn w:val="DefaultParagraphFont"/>
    <w:link w:val="Heading8"/>
    <w:uiPriority w:val="2"/>
    <w:rsid w:val="00B927D8"/>
    <w:rPr>
      <w:rFonts w:ascii="Arial" w:eastAsiaTheme="majorEastAsia" w:hAnsi="Arial" w:cstheme="majorBidi"/>
      <w:color w:val="2F002F" w:themeColor="accent1"/>
      <w:szCs w:val="20"/>
    </w:rPr>
  </w:style>
  <w:style w:type="character" w:customStyle="1" w:styleId="Heading9Char">
    <w:name w:val="Heading 9 Char"/>
    <w:basedOn w:val="DefaultParagraphFont"/>
    <w:link w:val="Heading9"/>
    <w:uiPriority w:val="2"/>
    <w:rsid w:val="00B927D8"/>
    <w:rPr>
      <w:rFonts w:ascii="Arial" w:eastAsiaTheme="majorEastAsia" w:hAnsi="Arial" w:cstheme="majorBidi"/>
      <w:i/>
      <w:iCs/>
      <w:szCs w:val="20"/>
    </w:rPr>
  </w:style>
  <w:style w:type="paragraph" w:customStyle="1" w:styleId="Heading7notnumbered">
    <w:name w:val="Heading 7 not numbered"/>
    <w:basedOn w:val="Heading7"/>
    <w:rsid w:val="00130C3C"/>
    <w:pPr>
      <w:numPr>
        <w:ilvl w:val="0"/>
        <w:numId w:val="0"/>
      </w:numPr>
    </w:pPr>
    <w:rPr>
      <w:rFonts w:eastAsia="Times New Roman" w:cs="Times New Roman"/>
      <w:szCs w:val="20"/>
    </w:rPr>
  </w:style>
  <w:style w:type="paragraph" w:customStyle="1" w:styleId="Heading8notnumbered">
    <w:name w:val="Heading 8 not numbered"/>
    <w:basedOn w:val="Heading8"/>
    <w:rsid w:val="00130C3C"/>
    <w:pPr>
      <w:numPr>
        <w:ilvl w:val="0"/>
        <w:numId w:val="0"/>
      </w:numPr>
    </w:pPr>
    <w:rPr>
      <w:rFonts w:eastAsia="Times New Roman" w:cs="Times New Roman"/>
    </w:r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B95EDB"/>
    <w:pPr>
      <w:tabs>
        <w:tab w:val="left" w:pos="426"/>
        <w:tab w:val="left" w:pos="1701"/>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EB505D"/>
    <w:pPr>
      <w:tabs>
        <w:tab w:val="left" w:leader="do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EB505D"/>
    <w:pPr>
      <w:tabs>
        <w:tab w:val="left" w:pos="1760"/>
        <w:tab w:val="right" w:leader="dot" w:pos="8363"/>
      </w:tabs>
      <w:spacing w:after="100"/>
      <w:ind w:left="851"/>
    </w:pPr>
    <w:rPr>
      <w:noProof/>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ALTS FOOTNOTE,(NECG) Footnote Text,Footnote text,AR Footnote Text,AR Footnote Text Char Char Char Char Char,ALTS FOOTNOTE Char1,Footnote Text Char1 Char,Footnote Text Char Char Char,Footnote Text Char1 Char Char Char,fn,Footnote Text1,f"/>
    <w:basedOn w:val="Normal"/>
    <w:link w:val="FootnoteTextChar"/>
    <w:unhideWhenUsed/>
    <w:qFormat/>
    <w:rsid w:val="00182906"/>
    <w:pPr>
      <w:widowControl w:val="0"/>
      <w:tabs>
        <w:tab w:val="left" w:pos="340"/>
      </w:tabs>
      <w:spacing w:before="0" w:line="240" w:lineRule="exact"/>
      <w:ind w:left="340" w:hanging="340"/>
    </w:pPr>
    <w:rPr>
      <w:sz w:val="16"/>
      <w:szCs w:val="20"/>
    </w:rPr>
  </w:style>
  <w:style w:type="character" w:customStyle="1" w:styleId="FootnoteTextChar">
    <w:name w:val="Footnote Text Char"/>
    <w:aliases w:val="ALTS FOOTNOTE Char,(NECG) Footnote Text Char,Footnote text Char,AR Footnote Text Char,AR Footnote Text Char Char Char Char Char Char,ALTS FOOTNOTE Char1 Char,Footnote Text Char1 Char Char,Footnote Text Char Char Char Char,fn Char"/>
    <w:basedOn w:val="DefaultParagraphFont"/>
    <w:link w:val="FootnoteText"/>
    <w:rsid w:val="00182906"/>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nhideWhenUsed/>
    <w:rsid w:val="00B37E38"/>
    <w:rPr>
      <w:sz w:val="24"/>
      <w:vertAlign w:val="superscript"/>
    </w:rPr>
  </w:style>
  <w:style w:type="character" w:styleId="Strong">
    <w:name w:val="Strong"/>
    <w:basedOn w:val="DefaultParagraphFont"/>
    <w:uiPriority w:val="22"/>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EB505D"/>
    <w:pPr>
      <w:tabs>
        <w:tab w:val="right" w:leader="dot" w:pos="8363"/>
      </w:tabs>
      <w:spacing w:after="100"/>
      <w:ind w:left="1276"/>
    </w:pPr>
    <w:rPr>
      <w:noProof/>
    </w:rPr>
  </w:style>
  <w:style w:type="paragraph" w:styleId="TOC5">
    <w:name w:val="toc 5"/>
    <w:basedOn w:val="Normal"/>
    <w:next w:val="Normal"/>
    <w:uiPriority w:val="39"/>
    <w:rsid w:val="00EB505D"/>
    <w:pPr>
      <w:tabs>
        <w:tab w:val="right" w:leader="dot" w:pos="8363"/>
      </w:tabs>
      <w:spacing w:after="100"/>
      <w:ind w:left="1701"/>
    </w:pPr>
    <w:rPr>
      <w:noProof/>
    </w:rPr>
  </w:style>
  <w:style w:type="paragraph" w:styleId="TOC6">
    <w:name w:val="toc 6"/>
    <w:basedOn w:val="Normal"/>
    <w:next w:val="Normal"/>
    <w:uiPriority w:val="39"/>
    <w:rsid w:val="009F4940"/>
    <w:pPr>
      <w:tabs>
        <w:tab w:val="right" w:leader="dot" w:pos="9016"/>
      </w:tabs>
      <w:spacing w:after="100"/>
      <w:ind w:left="2127"/>
    </w:pPr>
    <w:rPr>
      <w:noProof/>
    </w:rPr>
  </w:style>
  <w:style w:type="paragraph" w:styleId="TOC7">
    <w:name w:val="toc 7"/>
    <w:basedOn w:val="Normal"/>
    <w:next w:val="Normal"/>
    <w:uiPriority w:val="39"/>
    <w:rsid w:val="00EB505D"/>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Heading9notnumbered">
    <w:name w:val="Heading 9 not numbered"/>
    <w:basedOn w:val="Heading9"/>
    <w:rsid w:val="00130C3C"/>
    <w:pPr>
      <w:numPr>
        <w:ilvl w:val="0"/>
        <w:numId w:val="0"/>
      </w:numPr>
    </w:pPr>
    <w:rPr>
      <w:rFonts w:eastAsia="Times New Roman" w:cs="Times New Roman"/>
    </w:rPr>
  </w:style>
  <w:style w:type="paragraph" w:styleId="Caption">
    <w:name w:val="caption"/>
    <w:basedOn w:val="Normal"/>
    <w:next w:val="Normal"/>
    <w:uiPriority w:val="35"/>
    <w:unhideWhenUsed/>
    <w:qFormat/>
    <w:rsid w:val="00C95114"/>
    <w:pPr>
      <w:keepNext/>
      <w:spacing w:before="240" w:after="120"/>
      <w:jc w:val="left"/>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basedOn w:val="Normal"/>
    <w:uiPriority w:val="99"/>
    <w:unhideWhenUsed/>
    <w:rsid w:val="00DB5074"/>
    <w:pPr>
      <w:numPr>
        <w:numId w:val="4"/>
      </w:numPr>
      <w:tabs>
        <w:tab w:val="clear" w:pos="926"/>
        <w:tab w:val="num" w:pos="1021"/>
      </w:tabs>
      <w:spacing w:before="120"/>
      <w:ind w:left="1020" w:hanging="34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basedOn w:val="Normal"/>
    <w:uiPriority w:val="99"/>
    <w:unhideWhenUsed/>
    <w:qFormat/>
    <w:rsid w:val="00DB5074"/>
    <w:pPr>
      <w:tabs>
        <w:tab w:val="left" w:pos="340"/>
      </w:tabs>
      <w:spacing w:before="120"/>
      <w:ind w:left="340"/>
    </w:pPr>
  </w:style>
  <w:style w:type="paragraph" w:styleId="ListContinue2">
    <w:name w:val="List Continue 2"/>
    <w:basedOn w:val="Normal"/>
    <w:uiPriority w:val="99"/>
    <w:unhideWhenUsed/>
    <w:rsid w:val="00567BA5"/>
    <w:pPr>
      <w:tabs>
        <w:tab w:val="left" w:pos="680"/>
      </w:tabs>
      <w:spacing w:before="120"/>
      <w:ind w:left="680"/>
    </w:pPr>
  </w:style>
  <w:style w:type="paragraph" w:styleId="ListContinue3">
    <w:name w:val="List Continue 3"/>
    <w:basedOn w:val="Normal"/>
    <w:uiPriority w:val="99"/>
    <w:unhideWhenUsed/>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A86749"/>
    <w:pPr>
      <w:spacing w:before="240" w:after="120"/>
      <w:jc w:val="center"/>
    </w:pPr>
    <w:rPr>
      <w:b/>
      <w:color w:val="FFFFFF" w:themeColor="background1"/>
      <w:sz w:val="20"/>
      <w:szCs w:val="20"/>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A86749"/>
    <w:rPr>
      <w:rFonts w:ascii="Arial" w:hAnsi="Arial"/>
      <w:b/>
      <w:color w:val="FFFFFF" w:themeColor="background1"/>
      <w:sz w:val="20"/>
      <w:szCs w:val="20"/>
    </w:rPr>
  </w:style>
  <w:style w:type="character" w:customStyle="1" w:styleId="TableHeading-rightChar">
    <w:name w:val="Table Heading - right Char"/>
    <w:basedOn w:val="TableHeadingChar"/>
    <w:link w:val="TableHeading-right"/>
    <w:rsid w:val="00185CB9"/>
    <w:rPr>
      <w:rFonts w:ascii="Arial" w:eastAsia="Times New Roman" w:hAnsi="Arial" w:cs="Times New Roman"/>
      <w:b/>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rPr>
      <w:rFonts w:eastAsia="Times New Roman" w:cs="Times New Roman"/>
      <w:bCs/>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562632"/>
    <w:pPr>
      <w:numPr>
        <w:ilvl w:val="1"/>
        <w:numId w:val="15"/>
      </w:numPr>
      <w:tabs>
        <w:tab w:val="left" w:pos="1021"/>
      </w:tabs>
      <w:spacing w:line="240" w:lineRule="atLeast"/>
      <w:ind w:left="680" w:hanging="680"/>
    </w:pPr>
    <w:rPr>
      <w:rFonts w:eastAsiaTheme="majorEastAsia" w:cs="Arial"/>
      <w:bCs/>
      <w:szCs w:val="26"/>
    </w:r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A86749"/>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0"/>
      </w:rPr>
      <w:tblPr/>
      <w:tcPr>
        <w:shd w:val="clear" w:color="auto" w:fill="076A92"/>
      </w:tcPr>
    </w:tblStylePr>
    <w:tblStylePr w:type="lastRow">
      <w:rPr>
        <w:b/>
      </w:rPr>
    </w:tblStylePr>
    <w:tblStylePr w:type="band1Horz">
      <w:rPr>
        <w:rFonts w:asciiTheme="minorHAnsi" w:hAnsiTheme="minorHAnsi"/>
        <w:sz w:val="18"/>
      </w:rPr>
    </w:tblStylePr>
    <w:tblStylePr w:type="band2Horz">
      <w:rPr>
        <w:rFonts w:asciiTheme="minorHAnsi" w:hAnsiTheme="minorHAnsi"/>
        <w:sz w:val="20"/>
      </w:rPr>
      <w:tblPr/>
      <w:tcPr>
        <w:shd w:val="clear" w:color="auto" w:fill="DBE5F1"/>
      </w:tcPr>
    </w:tblStylePr>
  </w:style>
  <w:style w:type="paragraph" w:customStyle="1" w:styleId="ReportDate">
    <w:name w:val="Report Date"/>
    <w:basedOn w:val="ReportTitle"/>
    <w:link w:val="ReportDateChar"/>
    <w:rsid w:val="000A6C7B"/>
    <w:rPr>
      <w:b w:val="0"/>
      <w:sz w:val="36"/>
      <w:szCs w:val="36"/>
    </w:rPr>
  </w:style>
  <w:style w:type="paragraph" w:customStyle="1" w:styleId="ReportSubtitle">
    <w:name w:val="Report Subtitle"/>
    <w:basedOn w:val="ReportTitle"/>
    <w:link w:val="ReportSubtitleChar"/>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ListLegal3">
    <w:name w:val="List Legal 3"/>
    <w:basedOn w:val="ListNumber3"/>
    <w:rsid w:val="00571D57"/>
    <w:pPr>
      <w:numPr>
        <w:numId w:val="20"/>
      </w:numPr>
      <w:tabs>
        <w:tab w:val="left" w:pos="1361"/>
      </w:tabs>
      <w:ind w:left="1361" w:hanging="340"/>
    </w:pPr>
  </w:style>
  <w:style w:type="paragraph" w:customStyle="1" w:styleId="ListLegal4">
    <w:name w:val="List Legal 4"/>
    <w:basedOn w:val="ListLegal3"/>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Listalphabet2">
    <w:name w:val="List alphabet 2"/>
    <w:basedOn w:val="Listalphabet"/>
    <w:rsid w:val="00DB5074"/>
    <w:pPr>
      <w:numPr>
        <w:numId w:val="18"/>
      </w:numPr>
      <w:tabs>
        <w:tab w:val="clear" w:pos="340"/>
        <w:tab w:val="left" w:pos="680"/>
      </w:tabs>
      <w:ind w:left="680" w:hanging="340"/>
    </w:pPr>
  </w:style>
  <w:style w:type="paragraph" w:customStyle="1" w:styleId="Listalphabet3">
    <w:name w:val="List alphabet 3"/>
    <w:basedOn w:val="Listalphabet2"/>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Quotes">
    <w:name w:val="Quotes"/>
    <w:basedOn w:val="Normal"/>
    <w:rsid w:val="0020492C"/>
    <w:pPr>
      <w:spacing w:before="120" w:after="120" w:line="240" w:lineRule="auto"/>
      <w:ind w:left="567" w:right="793"/>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semiHidden/>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character" w:customStyle="1" w:styleId="AERtextsize8">
    <w:name w:val="AER text size 8"/>
    <w:basedOn w:val="DefaultParagraphFont"/>
    <w:uiPriority w:val="1"/>
    <w:qFormat/>
    <w:rsid w:val="00CC213C"/>
    <w:rPr>
      <w:rFonts w:ascii="Arial" w:hAnsi="Arial"/>
      <w:color w:val="auto"/>
      <w:sz w:val="16"/>
    </w:rPr>
  </w:style>
  <w:style w:type="paragraph" w:customStyle="1" w:styleId="NumberedChapterTitle">
    <w:name w:val="Numbered Chapter Title"/>
    <w:basedOn w:val="Chaptertitle"/>
    <w:qFormat/>
    <w:rsid w:val="00EB505D"/>
    <w:pPr>
      <w:numPr>
        <w:numId w:val="23"/>
      </w:numPr>
      <w:tabs>
        <w:tab w:val="left" w:pos="680"/>
      </w:tabs>
      <w:ind w:left="680" w:hanging="680"/>
    </w:pPr>
  </w:style>
  <w:style w:type="paragraph" w:styleId="Revision">
    <w:name w:val="Revision"/>
    <w:hidden/>
    <w:uiPriority w:val="99"/>
    <w:semiHidden/>
    <w:rsid w:val="00182906"/>
    <w:pPr>
      <w:spacing w:before="0"/>
    </w:pPr>
    <w:rPr>
      <w:rFonts w:ascii="Arial" w:hAnsi="Arial"/>
    </w:rPr>
  </w:style>
  <w:style w:type="paragraph" w:styleId="NormalWeb">
    <w:name w:val="Normal (Web)"/>
    <w:basedOn w:val="Normal"/>
    <w:uiPriority w:val="99"/>
    <w:unhideWhenUsed/>
    <w:rsid w:val="003E380F"/>
    <w:pPr>
      <w:spacing w:before="150" w:after="150" w:line="240" w:lineRule="auto"/>
    </w:pPr>
    <w:rPr>
      <w:rFonts w:ascii="Times New Roman" w:eastAsia="Times New Roman" w:hAnsi="Times New Roman" w:cs="Times New Roman"/>
      <w:sz w:val="24"/>
      <w:szCs w:val="24"/>
      <w:lang w:eastAsia="en-AU"/>
    </w:rPr>
  </w:style>
  <w:style w:type="paragraph" w:styleId="CommentText">
    <w:name w:val="annotation text"/>
    <w:basedOn w:val="Normal"/>
    <w:link w:val="CommentTextChar"/>
    <w:uiPriority w:val="99"/>
    <w:unhideWhenUsed/>
    <w:rsid w:val="00A551FA"/>
    <w:pPr>
      <w:spacing w:line="240" w:lineRule="auto"/>
    </w:pPr>
    <w:rPr>
      <w:sz w:val="20"/>
      <w:szCs w:val="20"/>
    </w:rPr>
  </w:style>
  <w:style w:type="character" w:customStyle="1" w:styleId="CommentTextChar">
    <w:name w:val="Comment Text Char"/>
    <w:basedOn w:val="DefaultParagraphFont"/>
    <w:link w:val="CommentText"/>
    <w:uiPriority w:val="99"/>
    <w:rsid w:val="00A551FA"/>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A551FA"/>
    <w:rPr>
      <w:b/>
      <w:bCs/>
    </w:rPr>
  </w:style>
  <w:style w:type="character" w:customStyle="1" w:styleId="CommentSubjectChar">
    <w:name w:val="Comment Subject Char"/>
    <w:basedOn w:val="CommentTextChar"/>
    <w:link w:val="CommentSubject"/>
    <w:uiPriority w:val="99"/>
    <w:semiHidden/>
    <w:rsid w:val="00A551FA"/>
    <w:rPr>
      <w:rFonts w:ascii="Arial" w:hAnsi="Arial"/>
      <w:b/>
      <w:bCs/>
      <w:sz w:val="20"/>
      <w:szCs w:val="20"/>
    </w:rPr>
  </w:style>
  <w:style w:type="paragraph" w:customStyle="1" w:styleId="tablebody">
    <w:name w:val="table body"/>
    <w:basedOn w:val="Normal"/>
    <w:link w:val="tablebodyChar"/>
    <w:qFormat/>
    <w:rsid w:val="00A86749"/>
    <w:pPr>
      <w:spacing w:before="120" w:after="120"/>
    </w:pPr>
    <w:rPr>
      <w:sz w:val="18"/>
    </w:rPr>
  </w:style>
  <w:style w:type="paragraph" w:customStyle="1" w:styleId="tablebodycentered">
    <w:name w:val="table body centered"/>
    <w:basedOn w:val="tablebody"/>
    <w:link w:val="tablebodycenteredChar"/>
    <w:qFormat/>
    <w:rsid w:val="00A86749"/>
    <w:pPr>
      <w:jc w:val="center"/>
    </w:pPr>
  </w:style>
  <w:style w:type="character" w:customStyle="1" w:styleId="tablebodyChar">
    <w:name w:val="table body Char"/>
    <w:basedOn w:val="DefaultParagraphFont"/>
    <w:link w:val="tablebody"/>
    <w:rsid w:val="00A86749"/>
    <w:rPr>
      <w:rFonts w:ascii="Arial" w:hAnsi="Arial"/>
      <w:sz w:val="18"/>
    </w:rPr>
  </w:style>
  <w:style w:type="character" w:customStyle="1" w:styleId="tablebodycenteredChar">
    <w:name w:val="table body centered Char"/>
    <w:basedOn w:val="tablebodyChar"/>
    <w:link w:val="tablebodycentered"/>
    <w:rsid w:val="00A86749"/>
    <w:rPr>
      <w:rFonts w:ascii="Arial" w:hAnsi="Arial"/>
      <w:sz w:val="18"/>
    </w:rPr>
  </w:style>
  <w:style w:type="table" w:customStyle="1" w:styleId="AERTable-Text1">
    <w:name w:val="AER Table - Text1"/>
    <w:basedOn w:val="TableNormal"/>
    <w:uiPriority w:val="99"/>
    <w:rsid w:val="007C4AAD"/>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0"/>
      </w:rPr>
      <w:tblPr/>
      <w:tcPr>
        <w:shd w:val="clear" w:color="auto" w:fill="076A92"/>
      </w:tcPr>
    </w:tblStylePr>
    <w:tblStylePr w:type="lastRow">
      <w:rPr>
        <w:b/>
      </w:rPr>
    </w:tblStylePr>
    <w:tblStylePr w:type="band1Horz">
      <w:rPr>
        <w:rFonts w:asciiTheme="minorHAnsi" w:hAnsiTheme="minorHAnsi"/>
        <w:sz w:val="18"/>
      </w:rPr>
    </w:tblStylePr>
    <w:tblStylePr w:type="band2Horz">
      <w:rPr>
        <w:rFonts w:asciiTheme="minorHAnsi" w:hAnsiTheme="minorHAnsi"/>
        <w:sz w:val="20"/>
      </w:rPr>
      <w:tblPr/>
      <w:tcPr>
        <w:shd w:val="clear" w:color="auto" w:fill="DBE5F1"/>
      </w:tcPr>
    </w:tblStylePr>
  </w:style>
  <w:style w:type="paragraph" w:customStyle="1" w:styleId="Tablesumline">
    <w:name w:val="Table sum line"/>
    <w:basedOn w:val="Normal"/>
    <w:link w:val="TablesumlineChar"/>
    <w:qFormat/>
    <w:rsid w:val="00C9343E"/>
    <w:pPr>
      <w:spacing w:before="120" w:after="120"/>
      <w:jc w:val="left"/>
    </w:pPr>
    <w:rPr>
      <w:b/>
      <w:sz w:val="20"/>
    </w:rPr>
  </w:style>
  <w:style w:type="table" w:customStyle="1" w:styleId="AERsummarytable">
    <w:name w:val="AER summary table"/>
    <w:basedOn w:val="TableNormal"/>
    <w:uiPriority w:val="99"/>
    <w:rsid w:val="00C9343E"/>
    <w:pPr>
      <w:spacing w:before="0" w:after="120"/>
    </w:pPr>
    <w:rPr>
      <w:rFonts w:ascii="Arial" w:hAnsi="Arial"/>
      <w:sz w:val="18"/>
    </w:rPr>
    <w:tblPr>
      <w:tblStyleRowBandSize w:val="1"/>
      <w:tblBorders>
        <w:bottom w:val="single" w:sz="4" w:space="0" w:color="auto"/>
      </w:tblBorders>
    </w:tblPr>
    <w:trPr>
      <w:cantSplit/>
    </w:trPr>
    <w:tblStylePr w:type="firstRow">
      <w:pPr>
        <w:wordWrap/>
        <w:spacing w:beforeLines="0" w:before="240" w:beforeAutospacing="0" w:afterLines="0" w:after="120" w:afterAutospacing="0"/>
      </w:pPr>
      <w:rPr>
        <w:rFonts w:ascii="Arial" w:hAnsi="Arial"/>
        <w:b/>
        <w:color w:val="FFFFFF" w:themeColor="background1"/>
        <w:sz w:val="18"/>
      </w:rPr>
      <w:tblPr/>
      <w:tcPr>
        <w:shd w:val="clear" w:color="auto" w:fill="076A92"/>
      </w:tcPr>
    </w:tblStylePr>
    <w:tblStylePr w:type="lastRow">
      <w:tblPr/>
      <w:tcPr>
        <w:tcBorders>
          <w:top w:val="single" w:sz="4" w:space="0" w:color="auto"/>
          <w:left w:val="nil"/>
          <w:bottom w:val="single" w:sz="4" w:space="0" w:color="auto"/>
          <w:right w:val="nil"/>
          <w:insideH w:val="nil"/>
          <w:insideV w:val="nil"/>
          <w:tl2br w:val="nil"/>
          <w:tr2bl w:val="nil"/>
        </w:tcBorders>
      </w:tcPr>
    </w:tblStylePr>
    <w:tblStylePr w:type="band1Horz">
      <w:rPr>
        <w:rFonts w:ascii="Arial" w:hAnsi="Arial"/>
        <w:sz w:val="18"/>
      </w:rPr>
    </w:tblStylePr>
    <w:tblStylePr w:type="band2Horz">
      <w:rPr>
        <w:rFonts w:ascii="Arial" w:hAnsi="Arial"/>
        <w:sz w:val="18"/>
      </w:rPr>
      <w:tblPr/>
      <w:tcPr>
        <w:shd w:val="clear" w:color="auto" w:fill="DBE5F1"/>
      </w:tcPr>
    </w:tblStylePr>
  </w:style>
  <w:style w:type="character" w:customStyle="1" w:styleId="TablesumlineChar">
    <w:name w:val="Table sum line Char"/>
    <w:basedOn w:val="DefaultParagraphFont"/>
    <w:link w:val="Tablesumline"/>
    <w:rsid w:val="00C9343E"/>
    <w:rPr>
      <w:rFonts w:ascii="Arial" w:hAnsi="Arial"/>
      <w:b/>
      <w:sz w:val="20"/>
    </w:rPr>
  </w:style>
  <w:style w:type="character" w:customStyle="1" w:styleId="a531">
    <w:name w:val="a531"/>
    <w:basedOn w:val="DefaultParagraphFont"/>
    <w:rsid w:val="00B80409"/>
    <w:rPr>
      <w:rFonts w:ascii="Arial" w:hAnsi="Arial" w:cs="Arial" w:hint="default"/>
      <w:b w:val="0"/>
      <w:bCs w:val="0"/>
      <w:i w:val="0"/>
      <w:iCs w:val="0"/>
      <w:strike w:val="0"/>
      <w:dstrike w:val="0"/>
      <w:color w:val="FFFFFF"/>
      <w:sz w:val="18"/>
      <w:szCs w:val="18"/>
      <w:u w:val="none"/>
      <w:effect w:val="none"/>
    </w:rPr>
  </w:style>
  <w:style w:type="character" w:customStyle="1" w:styleId="a571">
    <w:name w:val="a571"/>
    <w:basedOn w:val="DefaultParagraphFont"/>
    <w:rsid w:val="00B80409"/>
    <w:rPr>
      <w:rFonts w:ascii="Arial" w:hAnsi="Arial" w:cs="Arial" w:hint="default"/>
      <w:b w:val="0"/>
      <w:bCs w:val="0"/>
      <w:i w:val="0"/>
      <w:iCs w:val="0"/>
      <w:strike w:val="0"/>
      <w:dstrike w:val="0"/>
      <w:color w:val="FFFFFF"/>
      <w:sz w:val="18"/>
      <w:szCs w:val="18"/>
      <w:u w:val="none"/>
      <w:effect w:val="none"/>
    </w:rPr>
  </w:style>
  <w:style w:type="character" w:customStyle="1" w:styleId="a691">
    <w:name w:val="a691"/>
    <w:basedOn w:val="DefaultParagraphFont"/>
    <w:rsid w:val="00B80409"/>
    <w:rPr>
      <w:rFonts w:ascii="Arial" w:hAnsi="Arial" w:cs="Arial" w:hint="default"/>
      <w:b w:val="0"/>
      <w:bCs w:val="0"/>
      <w:i w:val="0"/>
      <w:iCs w:val="0"/>
      <w:strike w:val="0"/>
      <w:dstrike w:val="0"/>
      <w:color w:val="FFFFFF"/>
      <w:sz w:val="18"/>
      <w:szCs w:val="18"/>
      <w:u w:val="none"/>
      <w:effect w:val="none"/>
    </w:rPr>
  </w:style>
  <w:style w:type="character" w:customStyle="1" w:styleId="a731">
    <w:name w:val="a731"/>
    <w:basedOn w:val="DefaultParagraphFont"/>
    <w:rsid w:val="00B80409"/>
    <w:rPr>
      <w:rFonts w:ascii="Arial" w:hAnsi="Arial" w:cs="Arial" w:hint="default"/>
      <w:b w:val="0"/>
      <w:bCs w:val="0"/>
      <w:i w:val="0"/>
      <w:iCs w:val="0"/>
      <w:strike w:val="0"/>
      <w:dstrike w:val="0"/>
      <w:color w:val="FFFFFF"/>
      <w:sz w:val="18"/>
      <w:szCs w:val="18"/>
      <w:u w:val="none"/>
      <w:effect w:val="none"/>
    </w:rPr>
  </w:style>
  <w:style w:type="character" w:customStyle="1" w:styleId="a771">
    <w:name w:val="a771"/>
    <w:basedOn w:val="DefaultParagraphFont"/>
    <w:rsid w:val="00B80409"/>
    <w:rPr>
      <w:rFonts w:ascii="Arial" w:hAnsi="Arial" w:cs="Arial" w:hint="default"/>
      <w:b w:val="0"/>
      <w:bCs w:val="0"/>
      <w:i w:val="0"/>
      <w:iCs w:val="0"/>
      <w:strike w:val="0"/>
      <w:dstrike w:val="0"/>
      <w:color w:val="FFFFFF"/>
      <w:sz w:val="18"/>
      <w:szCs w:val="18"/>
      <w:u w:val="none"/>
      <w:effect w:val="none"/>
    </w:rPr>
  </w:style>
  <w:style w:type="paragraph" w:customStyle="1" w:styleId="Default">
    <w:name w:val="Default"/>
    <w:rsid w:val="00950032"/>
    <w:pPr>
      <w:autoSpaceDE w:val="0"/>
      <w:autoSpaceDN w:val="0"/>
      <w:adjustRightInd w:val="0"/>
      <w:spacing w:before="0"/>
    </w:pPr>
    <w:rPr>
      <w:rFonts w:ascii="Arial" w:hAnsi="Arial" w:cs="Arial"/>
      <w:color w:val="000000"/>
      <w:sz w:val="24"/>
      <w:szCs w:val="24"/>
    </w:rPr>
  </w:style>
  <w:style w:type="paragraph" w:customStyle="1" w:styleId="tabletext0">
    <w:name w:val="table text"/>
    <w:basedOn w:val="Normal"/>
    <w:link w:val="tabletextChar0"/>
    <w:qFormat/>
    <w:rsid w:val="00FF3E5B"/>
    <w:pPr>
      <w:spacing w:before="60" w:after="60"/>
      <w:jc w:val="left"/>
    </w:pPr>
    <w:rPr>
      <w:sz w:val="18"/>
    </w:rPr>
  </w:style>
  <w:style w:type="character" w:customStyle="1" w:styleId="tabletextChar0">
    <w:name w:val="table text Char"/>
    <w:basedOn w:val="DefaultParagraphFont"/>
    <w:link w:val="tabletext0"/>
    <w:rsid w:val="00FF3E5B"/>
    <w:rPr>
      <w:rFonts w:ascii="Arial" w:hAnsi="Arial"/>
      <w:sz w:val="18"/>
    </w:rPr>
  </w:style>
  <w:style w:type="paragraph" w:customStyle="1" w:styleId="AERheading4">
    <w:name w:val="AER heading 4"/>
    <w:basedOn w:val="Normal"/>
    <w:rsid w:val="008026F1"/>
    <w:pPr>
      <w:keepNext/>
      <w:spacing w:before="240" w:after="120" w:line="240" w:lineRule="auto"/>
      <w:ind w:left="851" w:hanging="851"/>
      <w:jc w:val="left"/>
    </w:pPr>
    <w:rPr>
      <w:rFonts w:ascii="Times New Roman" w:eastAsia="Times New Roman" w:hAnsi="Times New Roman" w:cs="Times New Roman"/>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2" w:qFormat="1"/>
    <w:lsdException w:name="heading 6" w:uiPriority="2" w:qFormat="1"/>
    <w:lsdException w:name="heading 7" w:uiPriority="2" w:qFormat="1"/>
    <w:lsdException w:name="heading 8" w:uiPriority="2" w:qFormat="1"/>
    <w:lsdException w:name="heading 9" w:uiPriority="2"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iPriority="1" w:unhideWhenUsed="0"/>
    <w:lsdException w:name="footnote text" w:uiPriority="0" w:qFormat="1"/>
    <w:lsdException w:name="header" w:qFormat="1"/>
    <w:lsdException w:name="footer" w:qFormat="1"/>
    <w:lsdException w:name="caption" w:uiPriority="35" w:qFormat="1"/>
    <w:lsdException w:name="footnote reference" w:uiPriority="0"/>
    <w:lsdException w:name="page number" w:uiPriority="0"/>
    <w:lsdException w:name="List" w:qFormat="1"/>
    <w:lsdException w:name="List Number" w:qFormat="1"/>
    <w:lsdException w:name="Title" w:semiHidden="0" w:uiPriority="10" w:unhideWhenUsed="0"/>
    <w:lsdException w:name="Default Paragraph Font" w:uiPriority="1"/>
    <w:lsdException w:name="List Continue" w:qFormat="1"/>
    <w:lsdException w:name="Subtitle" w:semiHidden="0" w:uiPriority="11" w:unhideWhenUsed="0"/>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qFormat/>
    <w:rsid w:val="005E385C"/>
    <w:pPr>
      <w:spacing w:line="276" w:lineRule="auto"/>
      <w:jc w:val="both"/>
    </w:pPr>
    <w:rPr>
      <w:rFonts w:ascii="Arial" w:hAnsi="Arial"/>
    </w:rPr>
  </w:style>
  <w:style w:type="paragraph" w:styleId="Heading1">
    <w:name w:val="heading 1"/>
    <w:basedOn w:val="Normal"/>
    <w:next w:val="Normal"/>
    <w:link w:val="Heading1Char"/>
    <w:qFormat/>
    <w:rsid w:val="00B927D8"/>
    <w:pPr>
      <w:pageBreakBefore/>
      <w:numPr>
        <w:numId w:val="24"/>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qFormat/>
    <w:rsid w:val="00B927D8"/>
    <w:pPr>
      <w:numPr>
        <w:ilvl w:val="1"/>
        <w:numId w:val="24"/>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qFormat/>
    <w:rsid w:val="00B927D8"/>
    <w:pPr>
      <w:numPr>
        <w:ilvl w:val="2"/>
        <w:numId w:val="24"/>
      </w:numPr>
      <w:tabs>
        <w:tab w:val="left" w:pos="1021"/>
      </w:tabs>
      <w:spacing w:before="240"/>
      <w:ind w:left="720"/>
      <w:outlineLvl w:val="2"/>
    </w:pPr>
    <w:rPr>
      <w:rFonts w:eastAsiaTheme="majorEastAsia" w:cstheme="majorBidi"/>
      <w:b/>
      <w:bCs/>
      <w:color w:val="70635A" w:themeColor="text2"/>
      <w:sz w:val="28"/>
    </w:rPr>
  </w:style>
  <w:style w:type="paragraph" w:styleId="Heading4">
    <w:name w:val="heading 4"/>
    <w:basedOn w:val="Normal"/>
    <w:next w:val="Normal"/>
    <w:link w:val="Heading4Char"/>
    <w:qFormat/>
    <w:rsid w:val="00B927D8"/>
    <w:pPr>
      <w:numPr>
        <w:ilvl w:val="3"/>
        <w:numId w:val="24"/>
      </w:numPr>
      <w:tabs>
        <w:tab w:val="left" w:pos="1021"/>
      </w:tabs>
      <w:spacing w:before="240"/>
      <w:ind w:left="1021" w:hanging="1021"/>
      <w:outlineLvl w:val="3"/>
    </w:pPr>
    <w:rPr>
      <w:rFonts w:eastAsiaTheme="majorEastAsia" w:cstheme="majorBidi"/>
      <w:b/>
      <w:bCs/>
      <w:iCs/>
      <w:color w:val="51626F"/>
      <w:sz w:val="24"/>
    </w:rPr>
  </w:style>
  <w:style w:type="paragraph" w:styleId="Heading5">
    <w:name w:val="heading 5"/>
    <w:next w:val="Normal"/>
    <w:link w:val="Heading5Char"/>
    <w:uiPriority w:val="2"/>
    <w:qFormat/>
    <w:rsid w:val="00B927D8"/>
    <w:pPr>
      <w:numPr>
        <w:ilvl w:val="4"/>
        <w:numId w:val="24"/>
      </w:numPr>
      <w:tabs>
        <w:tab w:val="left" w:pos="1361"/>
      </w:tabs>
      <w:spacing w:line="240" w:lineRule="atLeast"/>
      <w:ind w:left="1361" w:hanging="1361"/>
      <w:outlineLvl w:val="4"/>
    </w:pPr>
    <w:rPr>
      <w:rFonts w:ascii="Arial" w:eastAsiaTheme="majorEastAsia" w:hAnsi="Arial" w:cstheme="majorBidi"/>
      <w:b/>
      <w:color w:val="170017" w:themeColor="accent1" w:themeShade="7F"/>
    </w:rPr>
  </w:style>
  <w:style w:type="paragraph" w:styleId="Heading6">
    <w:name w:val="heading 6"/>
    <w:basedOn w:val="Normal"/>
    <w:next w:val="Normal"/>
    <w:link w:val="Heading6Char"/>
    <w:uiPriority w:val="2"/>
    <w:qFormat/>
    <w:rsid w:val="00B37E38"/>
    <w:pPr>
      <w:numPr>
        <w:ilvl w:val="5"/>
        <w:numId w:val="24"/>
      </w:numPr>
      <w:tabs>
        <w:tab w:val="left" w:pos="1361"/>
      </w:tabs>
      <w:spacing w:before="240"/>
      <w:ind w:left="1361" w:hanging="1361"/>
      <w:outlineLvl w:val="5"/>
    </w:pPr>
    <w:rPr>
      <w:rFonts w:eastAsiaTheme="majorEastAsia" w:cstheme="majorBidi"/>
      <w:b/>
      <w:i/>
      <w:iCs/>
      <w:color w:val="076A92" w:themeColor="text1"/>
    </w:rPr>
  </w:style>
  <w:style w:type="paragraph" w:styleId="Heading7">
    <w:name w:val="heading 7"/>
    <w:basedOn w:val="Normal"/>
    <w:next w:val="Normal"/>
    <w:link w:val="Heading7Char"/>
    <w:uiPriority w:val="2"/>
    <w:qFormat/>
    <w:rsid w:val="00B927D8"/>
    <w:pPr>
      <w:numPr>
        <w:ilvl w:val="6"/>
        <w:numId w:val="24"/>
      </w:numPr>
      <w:tabs>
        <w:tab w:val="left" w:pos="1701"/>
      </w:tabs>
      <w:spacing w:before="240"/>
      <w:ind w:left="1701" w:hanging="1701"/>
      <w:outlineLvl w:val="6"/>
    </w:pPr>
    <w:rPr>
      <w:rFonts w:eastAsiaTheme="majorEastAsia" w:cstheme="majorBidi"/>
      <w:i/>
      <w:iCs/>
    </w:rPr>
  </w:style>
  <w:style w:type="paragraph" w:styleId="Heading8">
    <w:name w:val="heading 8"/>
    <w:basedOn w:val="Normal"/>
    <w:next w:val="Normal"/>
    <w:link w:val="Heading8Char"/>
    <w:uiPriority w:val="2"/>
    <w:qFormat/>
    <w:rsid w:val="00B927D8"/>
    <w:pPr>
      <w:numPr>
        <w:ilvl w:val="7"/>
        <w:numId w:val="24"/>
      </w:numPr>
      <w:tabs>
        <w:tab w:val="left" w:pos="1701"/>
      </w:tabs>
      <w:spacing w:before="240"/>
      <w:ind w:left="1701" w:hanging="1701"/>
      <w:outlineLvl w:val="7"/>
    </w:pPr>
    <w:rPr>
      <w:rFonts w:eastAsiaTheme="majorEastAsia" w:cstheme="majorBidi"/>
      <w:color w:val="2F002F" w:themeColor="accent1"/>
      <w:szCs w:val="20"/>
    </w:rPr>
  </w:style>
  <w:style w:type="paragraph" w:styleId="Heading9">
    <w:name w:val="heading 9"/>
    <w:basedOn w:val="Normal"/>
    <w:next w:val="Normal"/>
    <w:link w:val="Heading9Char"/>
    <w:uiPriority w:val="2"/>
    <w:qFormat/>
    <w:rsid w:val="00B927D8"/>
    <w:pPr>
      <w:numPr>
        <w:ilvl w:val="8"/>
        <w:numId w:val="24"/>
      </w:numPr>
      <w:tabs>
        <w:tab w:val="left" w:pos="1701"/>
      </w:tabs>
      <w:spacing w:before="240"/>
      <w:ind w:left="1701" w:hanging="1701"/>
      <w:outlineLvl w:val="8"/>
    </w:pPr>
    <w:rPr>
      <w:rFonts w:eastAsiaTheme="majorEastAsia" w:cstheme="majorBidi"/>
      <w:i/>
      <w:iCs/>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927D8"/>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rsid w:val="00B927D8"/>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rsid w:val="00B927D8"/>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rsid w:val="00B927D8"/>
    <w:rPr>
      <w:rFonts w:ascii="Arial" w:eastAsiaTheme="majorEastAsia" w:hAnsi="Arial" w:cstheme="majorBidi"/>
      <w:b/>
      <w:bCs/>
      <w:iCs/>
      <w:color w:val="51626F"/>
      <w:sz w:val="24"/>
    </w:rPr>
  </w:style>
  <w:style w:type="character" w:customStyle="1" w:styleId="Heading5Char">
    <w:name w:val="Heading 5 Char"/>
    <w:basedOn w:val="DefaultParagraphFont"/>
    <w:link w:val="Heading5"/>
    <w:uiPriority w:val="2"/>
    <w:rsid w:val="00B927D8"/>
    <w:rPr>
      <w:rFonts w:ascii="Arial" w:eastAsiaTheme="majorEastAsia" w:hAnsi="Arial" w:cstheme="majorBidi"/>
      <w:b/>
      <w:color w:val="170017" w:themeColor="accent1" w:themeShade="7F"/>
    </w:rPr>
  </w:style>
  <w:style w:type="character" w:customStyle="1" w:styleId="Heading6Char">
    <w:name w:val="Heading 6 Char"/>
    <w:basedOn w:val="DefaultParagraphFont"/>
    <w:link w:val="Heading6"/>
    <w:uiPriority w:val="2"/>
    <w:rsid w:val="00B37E38"/>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F835C9"/>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F835C9"/>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EB505D"/>
    <w:pPr>
      <w:tabs>
        <w:tab w:val="right" w:leader="dot" w:pos="8363"/>
      </w:tabs>
      <w:spacing w:after="100"/>
      <w:ind w:left="2977"/>
    </w:pPr>
    <w:rPr>
      <w:noProof/>
    </w:rPr>
  </w:style>
  <w:style w:type="paragraph" w:styleId="TOC9">
    <w:name w:val="toc 9"/>
    <w:basedOn w:val="Normal"/>
    <w:next w:val="Normal"/>
    <w:uiPriority w:val="39"/>
    <w:rsid w:val="00EB505D"/>
    <w:pPr>
      <w:tabs>
        <w:tab w:val="right" w:leader="dot" w:pos="8363"/>
      </w:tabs>
      <w:spacing w:after="100"/>
      <w:ind w:left="3402"/>
    </w:pPr>
    <w:rPr>
      <w:noProof/>
    </w:rPr>
  </w:style>
  <w:style w:type="paragraph" w:customStyle="1" w:styleId="Heading1notnumber">
    <w:name w:val="Heading 1 not number"/>
    <w:basedOn w:val="Heading1"/>
    <w:qFormat/>
    <w:rsid w:val="00130C3C"/>
    <w:pPr>
      <w:numPr>
        <w:numId w:val="0"/>
      </w:numPr>
    </w:pPr>
  </w:style>
  <w:style w:type="paragraph" w:customStyle="1" w:styleId="Heading2notnumbered">
    <w:name w:val="Heading 2 not numbered"/>
    <w:basedOn w:val="Heading2"/>
    <w:rsid w:val="00130C3C"/>
    <w:pPr>
      <w:numPr>
        <w:ilvl w:val="0"/>
        <w:numId w:val="0"/>
      </w:numPr>
    </w:pPr>
    <w:rPr>
      <w:rFonts w:eastAsia="Times New Roman" w:cs="Times New Roman"/>
      <w:szCs w:val="20"/>
    </w:rPr>
  </w:style>
  <w:style w:type="paragraph" w:customStyle="1" w:styleId="Heading3notnumbered">
    <w:name w:val="Heading 3 not numbered"/>
    <w:basedOn w:val="Heading3"/>
    <w:rsid w:val="005A2081"/>
    <w:pPr>
      <w:numPr>
        <w:ilvl w:val="0"/>
        <w:numId w:val="0"/>
      </w:numPr>
    </w:pPr>
    <w:rPr>
      <w:rFonts w:eastAsia="Times New Roman" w:cs="Times New Roman"/>
      <w:szCs w:val="20"/>
    </w:rPr>
  </w:style>
  <w:style w:type="paragraph" w:customStyle="1" w:styleId="Heading4notnumbered">
    <w:name w:val="Heading 4 not numbered"/>
    <w:basedOn w:val="Heading4"/>
    <w:rsid w:val="00130C3C"/>
    <w:pPr>
      <w:numPr>
        <w:ilvl w:val="0"/>
        <w:numId w:val="0"/>
      </w:numPr>
    </w:pPr>
    <w:rPr>
      <w:rFonts w:eastAsia="Times New Roman" w:cs="Times New Roman"/>
      <w:iCs w:val="0"/>
      <w:szCs w:val="20"/>
    </w:rPr>
  </w:style>
  <w:style w:type="paragraph" w:customStyle="1" w:styleId="Heading5notnumbered">
    <w:name w:val="Heading 5 not numbered"/>
    <w:basedOn w:val="Heading5"/>
    <w:rsid w:val="00130C3C"/>
    <w:pPr>
      <w:numPr>
        <w:ilvl w:val="0"/>
        <w:numId w:val="0"/>
      </w:numPr>
    </w:pPr>
    <w:rPr>
      <w:rFonts w:eastAsia="Times New Roman" w:cs="Times New Roman"/>
      <w:bCs/>
      <w:szCs w:val="20"/>
    </w:rPr>
  </w:style>
  <w:style w:type="paragraph" w:customStyle="1" w:styleId="Heading6notnumbered">
    <w:name w:val="Heading 6 not numbered"/>
    <w:basedOn w:val="Heading6"/>
    <w:rsid w:val="00130C3C"/>
    <w:pPr>
      <w:numPr>
        <w:ilvl w:val="0"/>
        <w:numId w:val="0"/>
      </w:numPr>
    </w:pPr>
    <w:rPr>
      <w:rFonts w:eastAsia="Times New Roman" w:cs="Times New Roman"/>
      <w:bCs/>
      <w:szCs w:val="20"/>
    </w:r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Boxedtext">
    <w:name w:val="Boxed text"/>
    <w:basedOn w:val="Normal"/>
    <w:link w:val="BoxedtextChar"/>
    <w:uiPriority w:val="1"/>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BoxedtextChar">
    <w:name w:val="Boxed text Char"/>
    <w:basedOn w:val="DefaultParagraphFont"/>
    <w:link w:val="Boxedtext"/>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next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next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Bulletpoint">
    <w:name w:val="Bullet point"/>
    <w:basedOn w:val="ListBullet"/>
    <w:qFormat/>
    <w:rsid w:val="00FE64AE"/>
    <w:pPr>
      <w:numPr>
        <w:numId w:val="2"/>
      </w:numPr>
    </w:pPr>
    <w:rPr>
      <w:rFonts w:cs="Times New Roman"/>
    </w:rPr>
  </w:style>
  <w:style w:type="paragraph" w:styleId="ListBullet">
    <w:name w:val="List Bullet"/>
    <w:basedOn w:val="Normal"/>
    <w:uiPriority w:val="99"/>
    <w:unhideWhenUsed/>
    <w:rsid w:val="00DB5074"/>
    <w:pPr>
      <w:numPr>
        <w:numId w:val="13"/>
      </w:numPr>
      <w:tabs>
        <w:tab w:val="left" w:pos="340"/>
      </w:tabs>
      <w:spacing w:before="120"/>
    </w:pPr>
  </w:style>
  <w:style w:type="paragraph" w:customStyle="1" w:styleId="Bulletpoint2">
    <w:name w:val="Bullet point 2"/>
    <w:basedOn w:val="ListBullet2"/>
    <w:uiPriority w:val="1"/>
    <w:qFormat/>
    <w:rsid w:val="008033C4"/>
    <w:pPr>
      <w:numPr>
        <w:numId w:val="12"/>
      </w:numPr>
      <w:ind w:left="998" w:hanging="357"/>
    </w:pPr>
  </w:style>
  <w:style w:type="paragraph" w:styleId="ListNumber">
    <w:name w:val="List Number"/>
    <w:basedOn w:val="Normal"/>
    <w:uiPriority w:val="99"/>
    <w:qFormat/>
    <w:rsid w:val="00CA489E"/>
    <w:pPr>
      <w:numPr>
        <w:numId w:val="7"/>
      </w:numPr>
      <w:tabs>
        <w:tab w:val="clear" w:pos="360"/>
        <w:tab w:val="num" w:pos="340"/>
      </w:tabs>
      <w:spacing w:before="120"/>
      <w:ind w:left="340" w:hanging="340"/>
    </w:pPr>
  </w:style>
  <w:style w:type="paragraph" w:styleId="ListBullet2">
    <w:name w:val="List Bullet 2"/>
    <w:basedOn w:val="Normal"/>
    <w:uiPriority w:val="99"/>
    <w:unhideWhenUsed/>
    <w:rsid w:val="00DB5074"/>
    <w:pPr>
      <w:numPr>
        <w:numId w:val="3"/>
      </w:numPr>
      <w:tabs>
        <w:tab w:val="clear" w:pos="643"/>
        <w:tab w:val="num" w:pos="680"/>
      </w:tabs>
      <w:spacing w:before="120"/>
      <w:ind w:left="680" w:hanging="34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semiHidden/>
    <w:unhideWhenUsed/>
    <w:rsid w:val="003518B3"/>
    <w:pPr>
      <w:spacing w:before="0"/>
    </w:pPr>
    <w:rPr>
      <w:rFonts w:ascii="Tahoma" w:hAnsi="Tahoma" w:cs="Tahoma"/>
      <w:sz w:val="16"/>
      <w:szCs w:val="16"/>
    </w:rPr>
  </w:style>
  <w:style w:type="character" w:customStyle="1" w:styleId="BalloonTextChar">
    <w:name w:val="Balloon Text Char"/>
    <w:basedOn w:val="DefaultParagraphFont"/>
    <w:link w:val="BalloonText"/>
    <w:uiPriority w:val="99"/>
    <w:semiHidden/>
    <w:rsid w:val="003518B3"/>
    <w:rPr>
      <w:rFonts w:ascii="Tahoma" w:hAnsi="Tahoma" w:cs="Tahoma"/>
      <w:sz w:val="16"/>
      <w:szCs w:val="16"/>
    </w:rPr>
  </w:style>
  <w:style w:type="paragraph" w:styleId="Footer">
    <w:name w:val="footer"/>
    <w:basedOn w:val="Normal"/>
    <w:link w:val="FooterChar"/>
    <w:uiPriority w:val="99"/>
    <w:unhideWhenUsed/>
    <w:qFormat/>
    <w:rsid w:val="00F835C9"/>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F835C9"/>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basedOn w:val="DefaultParagraphFont"/>
    <w:link w:val="Heading7"/>
    <w:uiPriority w:val="2"/>
    <w:rsid w:val="00B927D8"/>
    <w:rPr>
      <w:rFonts w:ascii="Arial" w:eastAsiaTheme="majorEastAsia" w:hAnsi="Arial" w:cstheme="majorBidi"/>
      <w:i/>
      <w:iCs/>
    </w:rPr>
  </w:style>
  <w:style w:type="character" w:customStyle="1" w:styleId="Heading8Char">
    <w:name w:val="Heading 8 Char"/>
    <w:basedOn w:val="DefaultParagraphFont"/>
    <w:link w:val="Heading8"/>
    <w:uiPriority w:val="2"/>
    <w:rsid w:val="00B927D8"/>
    <w:rPr>
      <w:rFonts w:ascii="Arial" w:eastAsiaTheme="majorEastAsia" w:hAnsi="Arial" w:cstheme="majorBidi"/>
      <w:color w:val="2F002F" w:themeColor="accent1"/>
      <w:szCs w:val="20"/>
    </w:rPr>
  </w:style>
  <w:style w:type="character" w:customStyle="1" w:styleId="Heading9Char">
    <w:name w:val="Heading 9 Char"/>
    <w:basedOn w:val="DefaultParagraphFont"/>
    <w:link w:val="Heading9"/>
    <w:uiPriority w:val="2"/>
    <w:rsid w:val="00B927D8"/>
    <w:rPr>
      <w:rFonts w:ascii="Arial" w:eastAsiaTheme="majorEastAsia" w:hAnsi="Arial" w:cstheme="majorBidi"/>
      <w:i/>
      <w:iCs/>
      <w:szCs w:val="20"/>
    </w:rPr>
  </w:style>
  <w:style w:type="paragraph" w:customStyle="1" w:styleId="Heading7notnumbered">
    <w:name w:val="Heading 7 not numbered"/>
    <w:basedOn w:val="Heading7"/>
    <w:rsid w:val="00130C3C"/>
    <w:pPr>
      <w:numPr>
        <w:ilvl w:val="0"/>
        <w:numId w:val="0"/>
      </w:numPr>
    </w:pPr>
    <w:rPr>
      <w:rFonts w:eastAsia="Times New Roman" w:cs="Times New Roman"/>
      <w:szCs w:val="20"/>
    </w:rPr>
  </w:style>
  <w:style w:type="paragraph" w:customStyle="1" w:styleId="Heading8notnumbered">
    <w:name w:val="Heading 8 not numbered"/>
    <w:basedOn w:val="Heading8"/>
    <w:rsid w:val="00130C3C"/>
    <w:pPr>
      <w:numPr>
        <w:ilvl w:val="0"/>
        <w:numId w:val="0"/>
      </w:numPr>
    </w:pPr>
    <w:rPr>
      <w:rFonts w:eastAsia="Times New Roman" w:cs="Times New Roman"/>
    </w:r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B95EDB"/>
    <w:pPr>
      <w:tabs>
        <w:tab w:val="left" w:pos="426"/>
        <w:tab w:val="left" w:pos="1701"/>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EB505D"/>
    <w:pPr>
      <w:tabs>
        <w:tab w:val="left" w:leader="do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EB505D"/>
    <w:pPr>
      <w:tabs>
        <w:tab w:val="left" w:pos="1760"/>
        <w:tab w:val="right" w:leader="dot" w:pos="8363"/>
      </w:tabs>
      <w:spacing w:after="100"/>
      <w:ind w:left="851"/>
    </w:pPr>
    <w:rPr>
      <w:noProof/>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ALTS FOOTNOTE,(NECG) Footnote Text,Footnote text,AR Footnote Text,AR Footnote Text Char Char Char Char Char,ALTS FOOTNOTE Char1,Footnote Text Char1 Char,Footnote Text Char Char Char,Footnote Text Char1 Char Char Char,fn,Footnote Text1,f"/>
    <w:basedOn w:val="Normal"/>
    <w:link w:val="FootnoteTextChar"/>
    <w:unhideWhenUsed/>
    <w:qFormat/>
    <w:rsid w:val="00182906"/>
    <w:pPr>
      <w:widowControl w:val="0"/>
      <w:tabs>
        <w:tab w:val="left" w:pos="340"/>
      </w:tabs>
      <w:spacing w:before="0" w:line="240" w:lineRule="exact"/>
      <w:ind w:left="340" w:hanging="340"/>
    </w:pPr>
    <w:rPr>
      <w:sz w:val="16"/>
      <w:szCs w:val="20"/>
    </w:rPr>
  </w:style>
  <w:style w:type="character" w:customStyle="1" w:styleId="FootnoteTextChar">
    <w:name w:val="Footnote Text Char"/>
    <w:aliases w:val="ALTS FOOTNOTE Char,(NECG) Footnote Text Char,Footnote text Char,AR Footnote Text Char,AR Footnote Text Char Char Char Char Char Char,ALTS FOOTNOTE Char1 Char,Footnote Text Char1 Char Char,Footnote Text Char Char Char Char,fn Char"/>
    <w:basedOn w:val="DefaultParagraphFont"/>
    <w:link w:val="FootnoteText"/>
    <w:rsid w:val="00182906"/>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nhideWhenUsed/>
    <w:rsid w:val="00B37E38"/>
    <w:rPr>
      <w:sz w:val="24"/>
      <w:vertAlign w:val="superscript"/>
    </w:rPr>
  </w:style>
  <w:style w:type="character" w:styleId="Strong">
    <w:name w:val="Strong"/>
    <w:basedOn w:val="DefaultParagraphFont"/>
    <w:uiPriority w:val="22"/>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EB505D"/>
    <w:pPr>
      <w:tabs>
        <w:tab w:val="right" w:leader="dot" w:pos="8363"/>
      </w:tabs>
      <w:spacing w:after="100"/>
      <w:ind w:left="1276"/>
    </w:pPr>
    <w:rPr>
      <w:noProof/>
    </w:rPr>
  </w:style>
  <w:style w:type="paragraph" w:styleId="TOC5">
    <w:name w:val="toc 5"/>
    <w:basedOn w:val="Normal"/>
    <w:next w:val="Normal"/>
    <w:uiPriority w:val="39"/>
    <w:rsid w:val="00EB505D"/>
    <w:pPr>
      <w:tabs>
        <w:tab w:val="right" w:leader="dot" w:pos="8363"/>
      </w:tabs>
      <w:spacing w:after="100"/>
      <w:ind w:left="1701"/>
    </w:pPr>
    <w:rPr>
      <w:noProof/>
    </w:rPr>
  </w:style>
  <w:style w:type="paragraph" w:styleId="TOC6">
    <w:name w:val="toc 6"/>
    <w:basedOn w:val="Normal"/>
    <w:next w:val="Normal"/>
    <w:uiPriority w:val="39"/>
    <w:rsid w:val="009F4940"/>
    <w:pPr>
      <w:tabs>
        <w:tab w:val="right" w:leader="dot" w:pos="9016"/>
      </w:tabs>
      <w:spacing w:after="100"/>
      <w:ind w:left="2127"/>
    </w:pPr>
    <w:rPr>
      <w:noProof/>
    </w:rPr>
  </w:style>
  <w:style w:type="paragraph" w:styleId="TOC7">
    <w:name w:val="toc 7"/>
    <w:basedOn w:val="Normal"/>
    <w:next w:val="Normal"/>
    <w:uiPriority w:val="39"/>
    <w:rsid w:val="00EB505D"/>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Heading9notnumbered">
    <w:name w:val="Heading 9 not numbered"/>
    <w:basedOn w:val="Heading9"/>
    <w:rsid w:val="00130C3C"/>
    <w:pPr>
      <w:numPr>
        <w:ilvl w:val="0"/>
        <w:numId w:val="0"/>
      </w:numPr>
    </w:pPr>
    <w:rPr>
      <w:rFonts w:eastAsia="Times New Roman" w:cs="Times New Roman"/>
    </w:rPr>
  </w:style>
  <w:style w:type="paragraph" w:styleId="Caption">
    <w:name w:val="caption"/>
    <w:basedOn w:val="Normal"/>
    <w:next w:val="Normal"/>
    <w:uiPriority w:val="35"/>
    <w:unhideWhenUsed/>
    <w:qFormat/>
    <w:rsid w:val="00C95114"/>
    <w:pPr>
      <w:keepNext/>
      <w:spacing w:before="240" w:after="120"/>
      <w:jc w:val="left"/>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basedOn w:val="Normal"/>
    <w:uiPriority w:val="99"/>
    <w:unhideWhenUsed/>
    <w:rsid w:val="00DB5074"/>
    <w:pPr>
      <w:numPr>
        <w:numId w:val="4"/>
      </w:numPr>
      <w:tabs>
        <w:tab w:val="clear" w:pos="926"/>
        <w:tab w:val="num" w:pos="1021"/>
      </w:tabs>
      <w:spacing w:before="120"/>
      <w:ind w:left="1020" w:hanging="34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basedOn w:val="Normal"/>
    <w:uiPriority w:val="99"/>
    <w:unhideWhenUsed/>
    <w:qFormat/>
    <w:rsid w:val="00DB5074"/>
    <w:pPr>
      <w:tabs>
        <w:tab w:val="left" w:pos="340"/>
      </w:tabs>
      <w:spacing w:before="120"/>
      <w:ind w:left="340"/>
    </w:pPr>
  </w:style>
  <w:style w:type="paragraph" w:styleId="ListContinue2">
    <w:name w:val="List Continue 2"/>
    <w:basedOn w:val="Normal"/>
    <w:uiPriority w:val="99"/>
    <w:unhideWhenUsed/>
    <w:rsid w:val="00567BA5"/>
    <w:pPr>
      <w:tabs>
        <w:tab w:val="left" w:pos="680"/>
      </w:tabs>
      <w:spacing w:before="120"/>
      <w:ind w:left="680"/>
    </w:pPr>
  </w:style>
  <w:style w:type="paragraph" w:styleId="ListContinue3">
    <w:name w:val="List Continue 3"/>
    <w:basedOn w:val="Normal"/>
    <w:uiPriority w:val="99"/>
    <w:unhideWhenUsed/>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A86749"/>
    <w:pPr>
      <w:spacing w:before="240" w:after="120"/>
      <w:jc w:val="center"/>
    </w:pPr>
    <w:rPr>
      <w:b/>
      <w:color w:val="FFFFFF" w:themeColor="background1"/>
      <w:sz w:val="20"/>
      <w:szCs w:val="20"/>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A86749"/>
    <w:rPr>
      <w:rFonts w:ascii="Arial" w:hAnsi="Arial"/>
      <w:b/>
      <w:color w:val="FFFFFF" w:themeColor="background1"/>
      <w:sz w:val="20"/>
      <w:szCs w:val="20"/>
    </w:rPr>
  </w:style>
  <w:style w:type="character" w:customStyle="1" w:styleId="TableHeading-rightChar">
    <w:name w:val="Table Heading - right Char"/>
    <w:basedOn w:val="TableHeadingChar"/>
    <w:link w:val="TableHeading-right"/>
    <w:rsid w:val="00185CB9"/>
    <w:rPr>
      <w:rFonts w:ascii="Arial" w:eastAsia="Times New Roman" w:hAnsi="Arial" w:cs="Times New Roman"/>
      <w:b/>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rPr>
      <w:rFonts w:eastAsia="Times New Roman" w:cs="Times New Roman"/>
      <w:bCs/>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562632"/>
    <w:pPr>
      <w:numPr>
        <w:ilvl w:val="1"/>
        <w:numId w:val="15"/>
      </w:numPr>
      <w:tabs>
        <w:tab w:val="left" w:pos="1021"/>
      </w:tabs>
      <w:spacing w:line="240" w:lineRule="atLeast"/>
      <w:ind w:left="680" w:hanging="680"/>
    </w:pPr>
    <w:rPr>
      <w:rFonts w:eastAsiaTheme="majorEastAsia" w:cs="Arial"/>
      <w:bCs/>
      <w:szCs w:val="26"/>
    </w:r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A86749"/>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0"/>
      </w:rPr>
      <w:tblPr/>
      <w:tcPr>
        <w:shd w:val="clear" w:color="auto" w:fill="076A92"/>
      </w:tcPr>
    </w:tblStylePr>
    <w:tblStylePr w:type="lastRow">
      <w:rPr>
        <w:b/>
      </w:rPr>
    </w:tblStylePr>
    <w:tblStylePr w:type="band1Horz">
      <w:rPr>
        <w:rFonts w:asciiTheme="minorHAnsi" w:hAnsiTheme="minorHAnsi"/>
        <w:sz w:val="18"/>
      </w:rPr>
    </w:tblStylePr>
    <w:tblStylePr w:type="band2Horz">
      <w:rPr>
        <w:rFonts w:asciiTheme="minorHAnsi" w:hAnsiTheme="minorHAnsi"/>
        <w:sz w:val="20"/>
      </w:rPr>
      <w:tblPr/>
      <w:tcPr>
        <w:shd w:val="clear" w:color="auto" w:fill="DBE5F1"/>
      </w:tcPr>
    </w:tblStylePr>
  </w:style>
  <w:style w:type="paragraph" w:customStyle="1" w:styleId="ReportDate">
    <w:name w:val="Report Date"/>
    <w:basedOn w:val="ReportTitle"/>
    <w:link w:val="ReportDateChar"/>
    <w:rsid w:val="000A6C7B"/>
    <w:rPr>
      <w:b w:val="0"/>
      <w:sz w:val="36"/>
      <w:szCs w:val="36"/>
    </w:rPr>
  </w:style>
  <w:style w:type="paragraph" w:customStyle="1" w:styleId="ReportSubtitle">
    <w:name w:val="Report Subtitle"/>
    <w:basedOn w:val="ReportTitle"/>
    <w:link w:val="ReportSubtitleChar"/>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ListLegal3">
    <w:name w:val="List Legal 3"/>
    <w:basedOn w:val="ListNumber3"/>
    <w:rsid w:val="00571D57"/>
    <w:pPr>
      <w:numPr>
        <w:numId w:val="20"/>
      </w:numPr>
      <w:tabs>
        <w:tab w:val="left" w:pos="1361"/>
      </w:tabs>
      <w:ind w:left="1361" w:hanging="340"/>
    </w:pPr>
  </w:style>
  <w:style w:type="paragraph" w:customStyle="1" w:styleId="ListLegal4">
    <w:name w:val="List Legal 4"/>
    <w:basedOn w:val="ListLegal3"/>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Listalphabet2">
    <w:name w:val="List alphabet 2"/>
    <w:basedOn w:val="Listalphabet"/>
    <w:rsid w:val="00DB5074"/>
    <w:pPr>
      <w:numPr>
        <w:numId w:val="18"/>
      </w:numPr>
      <w:tabs>
        <w:tab w:val="clear" w:pos="340"/>
        <w:tab w:val="left" w:pos="680"/>
      </w:tabs>
      <w:ind w:left="680" w:hanging="340"/>
    </w:pPr>
  </w:style>
  <w:style w:type="paragraph" w:customStyle="1" w:styleId="Listalphabet3">
    <w:name w:val="List alphabet 3"/>
    <w:basedOn w:val="Listalphabet2"/>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Quotes">
    <w:name w:val="Quotes"/>
    <w:basedOn w:val="Normal"/>
    <w:rsid w:val="0020492C"/>
    <w:pPr>
      <w:spacing w:before="120" w:after="120" w:line="240" w:lineRule="auto"/>
      <w:ind w:left="567" w:right="793"/>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semiHidden/>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character" w:customStyle="1" w:styleId="AERtextsize8">
    <w:name w:val="AER text size 8"/>
    <w:basedOn w:val="DefaultParagraphFont"/>
    <w:uiPriority w:val="1"/>
    <w:qFormat/>
    <w:rsid w:val="00CC213C"/>
    <w:rPr>
      <w:rFonts w:ascii="Arial" w:hAnsi="Arial"/>
      <w:color w:val="auto"/>
      <w:sz w:val="16"/>
    </w:rPr>
  </w:style>
  <w:style w:type="paragraph" w:customStyle="1" w:styleId="NumberedChapterTitle">
    <w:name w:val="Numbered Chapter Title"/>
    <w:basedOn w:val="Chaptertitle"/>
    <w:qFormat/>
    <w:rsid w:val="00EB505D"/>
    <w:pPr>
      <w:numPr>
        <w:numId w:val="23"/>
      </w:numPr>
      <w:tabs>
        <w:tab w:val="left" w:pos="680"/>
      </w:tabs>
      <w:ind w:left="680" w:hanging="680"/>
    </w:pPr>
  </w:style>
  <w:style w:type="paragraph" w:styleId="Revision">
    <w:name w:val="Revision"/>
    <w:hidden/>
    <w:uiPriority w:val="99"/>
    <w:semiHidden/>
    <w:rsid w:val="00182906"/>
    <w:pPr>
      <w:spacing w:before="0"/>
    </w:pPr>
    <w:rPr>
      <w:rFonts w:ascii="Arial" w:hAnsi="Arial"/>
    </w:rPr>
  </w:style>
  <w:style w:type="paragraph" w:styleId="NormalWeb">
    <w:name w:val="Normal (Web)"/>
    <w:basedOn w:val="Normal"/>
    <w:uiPriority w:val="99"/>
    <w:unhideWhenUsed/>
    <w:rsid w:val="003E380F"/>
    <w:pPr>
      <w:spacing w:before="150" w:after="150" w:line="240" w:lineRule="auto"/>
    </w:pPr>
    <w:rPr>
      <w:rFonts w:ascii="Times New Roman" w:eastAsia="Times New Roman" w:hAnsi="Times New Roman" w:cs="Times New Roman"/>
      <w:sz w:val="24"/>
      <w:szCs w:val="24"/>
      <w:lang w:eastAsia="en-AU"/>
    </w:rPr>
  </w:style>
  <w:style w:type="paragraph" w:styleId="CommentText">
    <w:name w:val="annotation text"/>
    <w:basedOn w:val="Normal"/>
    <w:link w:val="CommentTextChar"/>
    <w:uiPriority w:val="99"/>
    <w:unhideWhenUsed/>
    <w:rsid w:val="00A551FA"/>
    <w:pPr>
      <w:spacing w:line="240" w:lineRule="auto"/>
    </w:pPr>
    <w:rPr>
      <w:sz w:val="20"/>
      <w:szCs w:val="20"/>
    </w:rPr>
  </w:style>
  <w:style w:type="character" w:customStyle="1" w:styleId="CommentTextChar">
    <w:name w:val="Comment Text Char"/>
    <w:basedOn w:val="DefaultParagraphFont"/>
    <w:link w:val="CommentText"/>
    <w:uiPriority w:val="99"/>
    <w:rsid w:val="00A551FA"/>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A551FA"/>
    <w:rPr>
      <w:b/>
      <w:bCs/>
    </w:rPr>
  </w:style>
  <w:style w:type="character" w:customStyle="1" w:styleId="CommentSubjectChar">
    <w:name w:val="Comment Subject Char"/>
    <w:basedOn w:val="CommentTextChar"/>
    <w:link w:val="CommentSubject"/>
    <w:uiPriority w:val="99"/>
    <w:semiHidden/>
    <w:rsid w:val="00A551FA"/>
    <w:rPr>
      <w:rFonts w:ascii="Arial" w:hAnsi="Arial"/>
      <w:b/>
      <w:bCs/>
      <w:sz w:val="20"/>
      <w:szCs w:val="20"/>
    </w:rPr>
  </w:style>
  <w:style w:type="paragraph" w:customStyle="1" w:styleId="tablebody">
    <w:name w:val="table body"/>
    <w:basedOn w:val="Normal"/>
    <w:link w:val="tablebodyChar"/>
    <w:qFormat/>
    <w:rsid w:val="00A86749"/>
    <w:pPr>
      <w:spacing w:before="120" w:after="120"/>
    </w:pPr>
    <w:rPr>
      <w:sz w:val="18"/>
    </w:rPr>
  </w:style>
  <w:style w:type="paragraph" w:customStyle="1" w:styleId="tablebodycentered">
    <w:name w:val="table body centered"/>
    <w:basedOn w:val="tablebody"/>
    <w:link w:val="tablebodycenteredChar"/>
    <w:qFormat/>
    <w:rsid w:val="00A86749"/>
    <w:pPr>
      <w:jc w:val="center"/>
    </w:pPr>
  </w:style>
  <w:style w:type="character" w:customStyle="1" w:styleId="tablebodyChar">
    <w:name w:val="table body Char"/>
    <w:basedOn w:val="DefaultParagraphFont"/>
    <w:link w:val="tablebody"/>
    <w:rsid w:val="00A86749"/>
    <w:rPr>
      <w:rFonts w:ascii="Arial" w:hAnsi="Arial"/>
      <w:sz w:val="18"/>
    </w:rPr>
  </w:style>
  <w:style w:type="character" w:customStyle="1" w:styleId="tablebodycenteredChar">
    <w:name w:val="table body centered Char"/>
    <w:basedOn w:val="tablebodyChar"/>
    <w:link w:val="tablebodycentered"/>
    <w:rsid w:val="00A86749"/>
    <w:rPr>
      <w:rFonts w:ascii="Arial" w:hAnsi="Arial"/>
      <w:sz w:val="18"/>
    </w:rPr>
  </w:style>
  <w:style w:type="table" w:customStyle="1" w:styleId="AERTable-Text1">
    <w:name w:val="AER Table - Text1"/>
    <w:basedOn w:val="TableNormal"/>
    <w:uiPriority w:val="99"/>
    <w:rsid w:val="007C4AAD"/>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0"/>
      </w:rPr>
      <w:tblPr/>
      <w:tcPr>
        <w:shd w:val="clear" w:color="auto" w:fill="076A92"/>
      </w:tcPr>
    </w:tblStylePr>
    <w:tblStylePr w:type="lastRow">
      <w:rPr>
        <w:b/>
      </w:rPr>
    </w:tblStylePr>
    <w:tblStylePr w:type="band1Horz">
      <w:rPr>
        <w:rFonts w:asciiTheme="minorHAnsi" w:hAnsiTheme="minorHAnsi"/>
        <w:sz w:val="18"/>
      </w:rPr>
    </w:tblStylePr>
    <w:tblStylePr w:type="band2Horz">
      <w:rPr>
        <w:rFonts w:asciiTheme="minorHAnsi" w:hAnsiTheme="minorHAnsi"/>
        <w:sz w:val="20"/>
      </w:rPr>
      <w:tblPr/>
      <w:tcPr>
        <w:shd w:val="clear" w:color="auto" w:fill="DBE5F1"/>
      </w:tcPr>
    </w:tblStylePr>
  </w:style>
  <w:style w:type="paragraph" w:customStyle="1" w:styleId="Tablesumline">
    <w:name w:val="Table sum line"/>
    <w:basedOn w:val="Normal"/>
    <w:link w:val="TablesumlineChar"/>
    <w:qFormat/>
    <w:rsid w:val="00C9343E"/>
    <w:pPr>
      <w:spacing w:before="120" w:after="120"/>
      <w:jc w:val="left"/>
    </w:pPr>
    <w:rPr>
      <w:b/>
      <w:sz w:val="20"/>
    </w:rPr>
  </w:style>
  <w:style w:type="table" w:customStyle="1" w:styleId="AERsummarytable">
    <w:name w:val="AER summary table"/>
    <w:basedOn w:val="TableNormal"/>
    <w:uiPriority w:val="99"/>
    <w:rsid w:val="00C9343E"/>
    <w:pPr>
      <w:spacing w:before="0" w:after="120"/>
    </w:pPr>
    <w:rPr>
      <w:rFonts w:ascii="Arial" w:hAnsi="Arial"/>
      <w:sz w:val="18"/>
    </w:rPr>
    <w:tblPr>
      <w:tblStyleRowBandSize w:val="1"/>
      <w:tblBorders>
        <w:bottom w:val="single" w:sz="4" w:space="0" w:color="auto"/>
      </w:tblBorders>
    </w:tblPr>
    <w:trPr>
      <w:cantSplit/>
    </w:trPr>
    <w:tblStylePr w:type="firstRow">
      <w:pPr>
        <w:wordWrap/>
        <w:spacing w:beforeLines="0" w:before="240" w:beforeAutospacing="0" w:afterLines="0" w:after="120" w:afterAutospacing="0"/>
      </w:pPr>
      <w:rPr>
        <w:rFonts w:ascii="Arial" w:hAnsi="Arial"/>
        <w:b/>
        <w:color w:val="FFFFFF" w:themeColor="background1"/>
        <w:sz w:val="18"/>
      </w:rPr>
      <w:tblPr/>
      <w:tcPr>
        <w:shd w:val="clear" w:color="auto" w:fill="076A92"/>
      </w:tcPr>
    </w:tblStylePr>
    <w:tblStylePr w:type="lastRow">
      <w:tblPr/>
      <w:tcPr>
        <w:tcBorders>
          <w:top w:val="single" w:sz="4" w:space="0" w:color="auto"/>
          <w:left w:val="nil"/>
          <w:bottom w:val="single" w:sz="4" w:space="0" w:color="auto"/>
          <w:right w:val="nil"/>
          <w:insideH w:val="nil"/>
          <w:insideV w:val="nil"/>
          <w:tl2br w:val="nil"/>
          <w:tr2bl w:val="nil"/>
        </w:tcBorders>
      </w:tcPr>
    </w:tblStylePr>
    <w:tblStylePr w:type="band1Horz">
      <w:rPr>
        <w:rFonts w:ascii="Arial" w:hAnsi="Arial"/>
        <w:sz w:val="18"/>
      </w:rPr>
    </w:tblStylePr>
    <w:tblStylePr w:type="band2Horz">
      <w:rPr>
        <w:rFonts w:ascii="Arial" w:hAnsi="Arial"/>
        <w:sz w:val="18"/>
      </w:rPr>
      <w:tblPr/>
      <w:tcPr>
        <w:shd w:val="clear" w:color="auto" w:fill="DBE5F1"/>
      </w:tcPr>
    </w:tblStylePr>
  </w:style>
  <w:style w:type="character" w:customStyle="1" w:styleId="TablesumlineChar">
    <w:name w:val="Table sum line Char"/>
    <w:basedOn w:val="DefaultParagraphFont"/>
    <w:link w:val="Tablesumline"/>
    <w:rsid w:val="00C9343E"/>
    <w:rPr>
      <w:rFonts w:ascii="Arial" w:hAnsi="Arial"/>
      <w:b/>
      <w:sz w:val="20"/>
    </w:rPr>
  </w:style>
  <w:style w:type="character" w:customStyle="1" w:styleId="a531">
    <w:name w:val="a531"/>
    <w:basedOn w:val="DefaultParagraphFont"/>
    <w:rsid w:val="00B80409"/>
    <w:rPr>
      <w:rFonts w:ascii="Arial" w:hAnsi="Arial" w:cs="Arial" w:hint="default"/>
      <w:b w:val="0"/>
      <w:bCs w:val="0"/>
      <w:i w:val="0"/>
      <w:iCs w:val="0"/>
      <w:strike w:val="0"/>
      <w:dstrike w:val="0"/>
      <w:color w:val="FFFFFF"/>
      <w:sz w:val="18"/>
      <w:szCs w:val="18"/>
      <w:u w:val="none"/>
      <w:effect w:val="none"/>
    </w:rPr>
  </w:style>
  <w:style w:type="character" w:customStyle="1" w:styleId="a571">
    <w:name w:val="a571"/>
    <w:basedOn w:val="DefaultParagraphFont"/>
    <w:rsid w:val="00B80409"/>
    <w:rPr>
      <w:rFonts w:ascii="Arial" w:hAnsi="Arial" w:cs="Arial" w:hint="default"/>
      <w:b w:val="0"/>
      <w:bCs w:val="0"/>
      <w:i w:val="0"/>
      <w:iCs w:val="0"/>
      <w:strike w:val="0"/>
      <w:dstrike w:val="0"/>
      <w:color w:val="FFFFFF"/>
      <w:sz w:val="18"/>
      <w:szCs w:val="18"/>
      <w:u w:val="none"/>
      <w:effect w:val="none"/>
    </w:rPr>
  </w:style>
  <w:style w:type="character" w:customStyle="1" w:styleId="a691">
    <w:name w:val="a691"/>
    <w:basedOn w:val="DefaultParagraphFont"/>
    <w:rsid w:val="00B80409"/>
    <w:rPr>
      <w:rFonts w:ascii="Arial" w:hAnsi="Arial" w:cs="Arial" w:hint="default"/>
      <w:b w:val="0"/>
      <w:bCs w:val="0"/>
      <w:i w:val="0"/>
      <w:iCs w:val="0"/>
      <w:strike w:val="0"/>
      <w:dstrike w:val="0"/>
      <w:color w:val="FFFFFF"/>
      <w:sz w:val="18"/>
      <w:szCs w:val="18"/>
      <w:u w:val="none"/>
      <w:effect w:val="none"/>
    </w:rPr>
  </w:style>
  <w:style w:type="character" w:customStyle="1" w:styleId="a731">
    <w:name w:val="a731"/>
    <w:basedOn w:val="DefaultParagraphFont"/>
    <w:rsid w:val="00B80409"/>
    <w:rPr>
      <w:rFonts w:ascii="Arial" w:hAnsi="Arial" w:cs="Arial" w:hint="default"/>
      <w:b w:val="0"/>
      <w:bCs w:val="0"/>
      <w:i w:val="0"/>
      <w:iCs w:val="0"/>
      <w:strike w:val="0"/>
      <w:dstrike w:val="0"/>
      <w:color w:val="FFFFFF"/>
      <w:sz w:val="18"/>
      <w:szCs w:val="18"/>
      <w:u w:val="none"/>
      <w:effect w:val="none"/>
    </w:rPr>
  </w:style>
  <w:style w:type="character" w:customStyle="1" w:styleId="a771">
    <w:name w:val="a771"/>
    <w:basedOn w:val="DefaultParagraphFont"/>
    <w:rsid w:val="00B80409"/>
    <w:rPr>
      <w:rFonts w:ascii="Arial" w:hAnsi="Arial" w:cs="Arial" w:hint="default"/>
      <w:b w:val="0"/>
      <w:bCs w:val="0"/>
      <w:i w:val="0"/>
      <w:iCs w:val="0"/>
      <w:strike w:val="0"/>
      <w:dstrike w:val="0"/>
      <w:color w:val="FFFFFF"/>
      <w:sz w:val="18"/>
      <w:szCs w:val="18"/>
      <w:u w:val="none"/>
      <w:effect w:val="none"/>
    </w:rPr>
  </w:style>
  <w:style w:type="paragraph" w:customStyle="1" w:styleId="Default">
    <w:name w:val="Default"/>
    <w:rsid w:val="00950032"/>
    <w:pPr>
      <w:autoSpaceDE w:val="0"/>
      <w:autoSpaceDN w:val="0"/>
      <w:adjustRightInd w:val="0"/>
      <w:spacing w:before="0"/>
    </w:pPr>
    <w:rPr>
      <w:rFonts w:ascii="Arial" w:hAnsi="Arial" w:cs="Arial"/>
      <w:color w:val="000000"/>
      <w:sz w:val="24"/>
      <w:szCs w:val="24"/>
    </w:rPr>
  </w:style>
  <w:style w:type="paragraph" w:customStyle="1" w:styleId="tabletext0">
    <w:name w:val="table text"/>
    <w:basedOn w:val="Normal"/>
    <w:link w:val="tabletextChar0"/>
    <w:qFormat/>
    <w:rsid w:val="00FF3E5B"/>
    <w:pPr>
      <w:spacing w:before="60" w:after="60"/>
      <w:jc w:val="left"/>
    </w:pPr>
    <w:rPr>
      <w:sz w:val="18"/>
    </w:rPr>
  </w:style>
  <w:style w:type="character" w:customStyle="1" w:styleId="tabletextChar0">
    <w:name w:val="table text Char"/>
    <w:basedOn w:val="DefaultParagraphFont"/>
    <w:link w:val="tabletext0"/>
    <w:rsid w:val="00FF3E5B"/>
    <w:rPr>
      <w:rFonts w:ascii="Arial" w:hAnsi="Arial"/>
      <w:sz w:val="18"/>
    </w:rPr>
  </w:style>
  <w:style w:type="paragraph" w:customStyle="1" w:styleId="AERheading4">
    <w:name w:val="AER heading 4"/>
    <w:basedOn w:val="Normal"/>
    <w:rsid w:val="008026F1"/>
    <w:pPr>
      <w:keepNext/>
      <w:spacing w:before="240" w:after="120" w:line="240" w:lineRule="auto"/>
      <w:ind w:left="851" w:hanging="851"/>
      <w:jc w:val="left"/>
    </w:pPr>
    <w:rPr>
      <w:rFonts w:ascii="Times New Roman" w:eastAsia="Times New Roman" w:hAnsi="Times New Roman" w:cs="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7721982">
      <w:bodyDiv w:val="1"/>
      <w:marLeft w:val="0"/>
      <w:marRight w:val="0"/>
      <w:marTop w:val="0"/>
      <w:marBottom w:val="0"/>
      <w:divBdr>
        <w:top w:val="none" w:sz="0" w:space="0" w:color="auto"/>
        <w:left w:val="none" w:sz="0" w:space="0" w:color="auto"/>
        <w:bottom w:val="none" w:sz="0" w:space="0" w:color="auto"/>
        <w:right w:val="none" w:sz="0" w:space="0" w:color="auto"/>
      </w:divBdr>
    </w:div>
    <w:div w:id="243034249">
      <w:bodyDiv w:val="1"/>
      <w:marLeft w:val="0"/>
      <w:marRight w:val="0"/>
      <w:marTop w:val="0"/>
      <w:marBottom w:val="0"/>
      <w:divBdr>
        <w:top w:val="none" w:sz="0" w:space="0" w:color="auto"/>
        <w:left w:val="none" w:sz="0" w:space="0" w:color="auto"/>
        <w:bottom w:val="none" w:sz="0" w:space="0" w:color="auto"/>
        <w:right w:val="none" w:sz="0" w:space="0" w:color="auto"/>
      </w:divBdr>
    </w:div>
    <w:div w:id="290325334">
      <w:bodyDiv w:val="1"/>
      <w:marLeft w:val="0"/>
      <w:marRight w:val="0"/>
      <w:marTop w:val="0"/>
      <w:marBottom w:val="0"/>
      <w:divBdr>
        <w:top w:val="none" w:sz="0" w:space="0" w:color="auto"/>
        <w:left w:val="none" w:sz="0" w:space="0" w:color="auto"/>
        <w:bottom w:val="none" w:sz="0" w:space="0" w:color="auto"/>
        <w:right w:val="none" w:sz="0" w:space="0" w:color="auto"/>
      </w:divBdr>
    </w:div>
    <w:div w:id="295793403">
      <w:bodyDiv w:val="1"/>
      <w:marLeft w:val="0"/>
      <w:marRight w:val="0"/>
      <w:marTop w:val="0"/>
      <w:marBottom w:val="0"/>
      <w:divBdr>
        <w:top w:val="none" w:sz="0" w:space="0" w:color="auto"/>
        <w:left w:val="none" w:sz="0" w:space="0" w:color="auto"/>
        <w:bottom w:val="none" w:sz="0" w:space="0" w:color="auto"/>
        <w:right w:val="none" w:sz="0" w:space="0" w:color="auto"/>
      </w:divBdr>
    </w:div>
    <w:div w:id="308898767">
      <w:bodyDiv w:val="1"/>
      <w:marLeft w:val="0"/>
      <w:marRight w:val="0"/>
      <w:marTop w:val="0"/>
      <w:marBottom w:val="0"/>
      <w:divBdr>
        <w:top w:val="none" w:sz="0" w:space="0" w:color="auto"/>
        <w:left w:val="none" w:sz="0" w:space="0" w:color="auto"/>
        <w:bottom w:val="none" w:sz="0" w:space="0" w:color="auto"/>
        <w:right w:val="none" w:sz="0" w:space="0" w:color="auto"/>
      </w:divBdr>
    </w:div>
    <w:div w:id="352537669">
      <w:bodyDiv w:val="1"/>
      <w:marLeft w:val="0"/>
      <w:marRight w:val="0"/>
      <w:marTop w:val="0"/>
      <w:marBottom w:val="0"/>
      <w:divBdr>
        <w:top w:val="none" w:sz="0" w:space="0" w:color="auto"/>
        <w:left w:val="none" w:sz="0" w:space="0" w:color="auto"/>
        <w:bottom w:val="none" w:sz="0" w:space="0" w:color="auto"/>
        <w:right w:val="none" w:sz="0" w:space="0" w:color="auto"/>
      </w:divBdr>
    </w:div>
    <w:div w:id="440224734">
      <w:bodyDiv w:val="1"/>
      <w:marLeft w:val="0"/>
      <w:marRight w:val="0"/>
      <w:marTop w:val="0"/>
      <w:marBottom w:val="0"/>
      <w:divBdr>
        <w:top w:val="none" w:sz="0" w:space="0" w:color="auto"/>
        <w:left w:val="none" w:sz="0" w:space="0" w:color="auto"/>
        <w:bottom w:val="none" w:sz="0" w:space="0" w:color="auto"/>
        <w:right w:val="none" w:sz="0" w:space="0" w:color="auto"/>
      </w:divBdr>
    </w:div>
    <w:div w:id="507670050">
      <w:bodyDiv w:val="1"/>
      <w:marLeft w:val="0"/>
      <w:marRight w:val="0"/>
      <w:marTop w:val="0"/>
      <w:marBottom w:val="0"/>
      <w:divBdr>
        <w:top w:val="none" w:sz="0" w:space="0" w:color="auto"/>
        <w:left w:val="none" w:sz="0" w:space="0" w:color="auto"/>
        <w:bottom w:val="none" w:sz="0" w:space="0" w:color="auto"/>
        <w:right w:val="none" w:sz="0" w:space="0" w:color="auto"/>
      </w:divBdr>
      <w:divsChild>
        <w:div w:id="2083259863">
          <w:marLeft w:val="0"/>
          <w:marRight w:val="0"/>
          <w:marTop w:val="0"/>
          <w:marBottom w:val="0"/>
          <w:divBdr>
            <w:top w:val="none" w:sz="0" w:space="0" w:color="auto"/>
            <w:left w:val="none" w:sz="0" w:space="0" w:color="auto"/>
            <w:bottom w:val="none" w:sz="0" w:space="0" w:color="auto"/>
            <w:right w:val="none" w:sz="0" w:space="0" w:color="auto"/>
          </w:divBdr>
          <w:divsChild>
            <w:div w:id="237248040">
              <w:marLeft w:val="0"/>
              <w:marRight w:val="0"/>
              <w:marTop w:val="0"/>
              <w:marBottom w:val="0"/>
              <w:divBdr>
                <w:top w:val="none" w:sz="0" w:space="0" w:color="auto"/>
                <w:left w:val="none" w:sz="0" w:space="0" w:color="auto"/>
                <w:bottom w:val="none" w:sz="0" w:space="0" w:color="auto"/>
                <w:right w:val="none" w:sz="0" w:space="0" w:color="auto"/>
              </w:divBdr>
              <w:divsChild>
                <w:div w:id="752122960">
                  <w:marLeft w:val="0"/>
                  <w:marRight w:val="0"/>
                  <w:marTop w:val="0"/>
                  <w:marBottom w:val="0"/>
                  <w:divBdr>
                    <w:top w:val="none" w:sz="0" w:space="0" w:color="auto"/>
                    <w:left w:val="none" w:sz="0" w:space="0" w:color="auto"/>
                    <w:bottom w:val="none" w:sz="0" w:space="0" w:color="auto"/>
                    <w:right w:val="none" w:sz="0" w:space="0" w:color="auto"/>
                  </w:divBdr>
                  <w:divsChild>
                    <w:div w:id="162669854">
                      <w:marLeft w:val="0"/>
                      <w:marRight w:val="0"/>
                      <w:marTop w:val="0"/>
                      <w:marBottom w:val="0"/>
                      <w:divBdr>
                        <w:top w:val="none" w:sz="0" w:space="0" w:color="auto"/>
                        <w:left w:val="none" w:sz="0" w:space="0" w:color="auto"/>
                        <w:bottom w:val="none" w:sz="0" w:space="0" w:color="auto"/>
                        <w:right w:val="none" w:sz="0" w:space="0" w:color="auto"/>
                      </w:divBdr>
                      <w:divsChild>
                        <w:div w:id="295184323">
                          <w:marLeft w:val="0"/>
                          <w:marRight w:val="0"/>
                          <w:marTop w:val="0"/>
                          <w:marBottom w:val="0"/>
                          <w:divBdr>
                            <w:top w:val="none" w:sz="0" w:space="0" w:color="auto"/>
                            <w:left w:val="none" w:sz="0" w:space="0" w:color="auto"/>
                            <w:bottom w:val="none" w:sz="0" w:space="0" w:color="auto"/>
                            <w:right w:val="none" w:sz="0" w:space="0" w:color="auto"/>
                          </w:divBdr>
                        </w:div>
                      </w:divsChild>
                    </w:div>
                    <w:div w:id="1389959522">
                      <w:marLeft w:val="0"/>
                      <w:marRight w:val="0"/>
                      <w:marTop w:val="0"/>
                      <w:marBottom w:val="0"/>
                      <w:divBdr>
                        <w:top w:val="none" w:sz="0" w:space="0" w:color="auto"/>
                        <w:left w:val="none" w:sz="0" w:space="0" w:color="auto"/>
                        <w:bottom w:val="none" w:sz="0" w:space="0" w:color="auto"/>
                        <w:right w:val="none" w:sz="0" w:space="0" w:color="auto"/>
                      </w:divBdr>
                      <w:divsChild>
                        <w:div w:id="2033143719">
                          <w:marLeft w:val="0"/>
                          <w:marRight w:val="0"/>
                          <w:marTop w:val="0"/>
                          <w:marBottom w:val="0"/>
                          <w:divBdr>
                            <w:top w:val="none" w:sz="0" w:space="0" w:color="auto"/>
                            <w:left w:val="none" w:sz="0" w:space="0" w:color="auto"/>
                            <w:bottom w:val="none" w:sz="0" w:space="0" w:color="auto"/>
                            <w:right w:val="none" w:sz="0" w:space="0" w:color="auto"/>
                          </w:divBdr>
                        </w:div>
                      </w:divsChild>
                    </w:div>
                    <w:div w:id="475993509">
                      <w:marLeft w:val="0"/>
                      <w:marRight w:val="0"/>
                      <w:marTop w:val="0"/>
                      <w:marBottom w:val="0"/>
                      <w:divBdr>
                        <w:top w:val="none" w:sz="0" w:space="0" w:color="auto"/>
                        <w:left w:val="none" w:sz="0" w:space="0" w:color="auto"/>
                        <w:bottom w:val="none" w:sz="0" w:space="0" w:color="auto"/>
                        <w:right w:val="none" w:sz="0" w:space="0" w:color="auto"/>
                      </w:divBdr>
                      <w:divsChild>
                        <w:div w:id="1429424888">
                          <w:marLeft w:val="0"/>
                          <w:marRight w:val="0"/>
                          <w:marTop w:val="0"/>
                          <w:marBottom w:val="0"/>
                          <w:divBdr>
                            <w:top w:val="none" w:sz="0" w:space="0" w:color="auto"/>
                            <w:left w:val="none" w:sz="0" w:space="0" w:color="auto"/>
                            <w:bottom w:val="none" w:sz="0" w:space="0" w:color="auto"/>
                            <w:right w:val="none" w:sz="0" w:space="0" w:color="auto"/>
                          </w:divBdr>
                        </w:div>
                      </w:divsChild>
                    </w:div>
                    <w:div w:id="535701048">
                      <w:marLeft w:val="0"/>
                      <w:marRight w:val="0"/>
                      <w:marTop w:val="0"/>
                      <w:marBottom w:val="0"/>
                      <w:divBdr>
                        <w:top w:val="none" w:sz="0" w:space="0" w:color="auto"/>
                        <w:left w:val="none" w:sz="0" w:space="0" w:color="auto"/>
                        <w:bottom w:val="none" w:sz="0" w:space="0" w:color="auto"/>
                        <w:right w:val="none" w:sz="0" w:space="0" w:color="auto"/>
                      </w:divBdr>
                      <w:divsChild>
                        <w:div w:id="2040277009">
                          <w:marLeft w:val="0"/>
                          <w:marRight w:val="0"/>
                          <w:marTop w:val="0"/>
                          <w:marBottom w:val="0"/>
                          <w:divBdr>
                            <w:top w:val="none" w:sz="0" w:space="0" w:color="auto"/>
                            <w:left w:val="none" w:sz="0" w:space="0" w:color="auto"/>
                            <w:bottom w:val="none" w:sz="0" w:space="0" w:color="auto"/>
                            <w:right w:val="none" w:sz="0" w:space="0" w:color="auto"/>
                          </w:divBdr>
                        </w:div>
                      </w:divsChild>
                    </w:div>
                    <w:div w:id="1209680039">
                      <w:marLeft w:val="0"/>
                      <w:marRight w:val="0"/>
                      <w:marTop w:val="0"/>
                      <w:marBottom w:val="0"/>
                      <w:divBdr>
                        <w:top w:val="none" w:sz="0" w:space="0" w:color="auto"/>
                        <w:left w:val="none" w:sz="0" w:space="0" w:color="auto"/>
                        <w:bottom w:val="none" w:sz="0" w:space="0" w:color="auto"/>
                        <w:right w:val="none" w:sz="0" w:space="0" w:color="auto"/>
                      </w:divBdr>
                      <w:divsChild>
                        <w:div w:id="1152986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57940427">
      <w:bodyDiv w:val="1"/>
      <w:marLeft w:val="0"/>
      <w:marRight w:val="0"/>
      <w:marTop w:val="0"/>
      <w:marBottom w:val="0"/>
      <w:divBdr>
        <w:top w:val="none" w:sz="0" w:space="0" w:color="auto"/>
        <w:left w:val="none" w:sz="0" w:space="0" w:color="auto"/>
        <w:bottom w:val="none" w:sz="0" w:space="0" w:color="auto"/>
        <w:right w:val="none" w:sz="0" w:space="0" w:color="auto"/>
      </w:divBdr>
    </w:div>
    <w:div w:id="562958343">
      <w:bodyDiv w:val="1"/>
      <w:marLeft w:val="0"/>
      <w:marRight w:val="0"/>
      <w:marTop w:val="0"/>
      <w:marBottom w:val="0"/>
      <w:divBdr>
        <w:top w:val="none" w:sz="0" w:space="0" w:color="auto"/>
        <w:left w:val="none" w:sz="0" w:space="0" w:color="auto"/>
        <w:bottom w:val="none" w:sz="0" w:space="0" w:color="auto"/>
        <w:right w:val="none" w:sz="0" w:space="0" w:color="auto"/>
      </w:divBdr>
    </w:div>
    <w:div w:id="593981018">
      <w:bodyDiv w:val="1"/>
      <w:marLeft w:val="0"/>
      <w:marRight w:val="0"/>
      <w:marTop w:val="0"/>
      <w:marBottom w:val="0"/>
      <w:divBdr>
        <w:top w:val="none" w:sz="0" w:space="0" w:color="auto"/>
        <w:left w:val="none" w:sz="0" w:space="0" w:color="auto"/>
        <w:bottom w:val="none" w:sz="0" w:space="0" w:color="auto"/>
        <w:right w:val="none" w:sz="0" w:space="0" w:color="auto"/>
      </w:divBdr>
    </w:div>
    <w:div w:id="796533202">
      <w:bodyDiv w:val="1"/>
      <w:marLeft w:val="0"/>
      <w:marRight w:val="0"/>
      <w:marTop w:val="0"/>
      <w:marBottom w:val="0"/>
      <w:divBdr>
        <w:top w:val="none" w:sz="0" w:space="0" w:color="auto"/>
        <w:left w:val="none" w:sz="0" w:space="0" w:color="auto"/>
        <w:bottom w:val="none" w:sz="0" w:space="0" w:color="auto"/>
        <w:right w:val="none" w:sz="0" w:space="0" w:color="auto"/>
      </w:divBdr>
    </w:div>
    <w:div w:id="817234274">
      <w:bodyDiv w:val="1"/>
      <w:marLeft w:val="0"/>
      <w:marRight w:val="0"/>
      <w:marTop w:val="0"/>
      <w:marBottom w:val="0"/>
      <w:divBdr>
        <w:top w:val="none" w:sz="0" w:space="0" w:color="auto"/>
        <w:left w:val="none" w:sz="0" w:space="0" w:color="auto"/>
        <w:bottom w:val="none" w:sz="0" w:space="0" w:color="auto"/>
        <w:right w:val="none" w:sz="0" w:space="0" w:color="auto"/>
      </w:divBdr>
    </w:div>
    <w:div w:id="826700981">
      <w:bodyDiv w:val="1"/>
      <w:marLeft w:val="0"/>
      <w:marRight w:val="0"/>
      <w:marTop w:val="0"/>
      <w:marBottom w:val="0"/>
      <w:divBdr>
        <w:top w:val="none" w:sz="0" w:space="0" w:color="auto"/>
        <w:left w:val="none" w:sz="0" w:space="0" w:color="auto"/>
        <w:bottom w:val="none" w:sz="0" w:space="0" w:color="auto"/>
        <w:right w:val="none" w:sz="0" w:space="0" w:color="auto"/>
      </w:divBdr>
    </w:div>
    <w:div w:id="843474959">
      <w:bodyDiv w:val="1"/>
      <w:marLeft w:val="0"/>
      <w:marRight w:val="0"/>
      <w:marTop w:val="0"/>
      <w:marBottom w:val="0"/>
      <w:divBdr>
        <w:top w:val="none" w:sz="0" w:space="0" w:color="auto"/>
        <w:left w:val="none" w:sz="0" w:space="0" w:color="auto"/>
        <w:bottom w:val="none" w:sz="0" w:space="0" w:color="auto"/>
        <w:right w:val="none" w:sz="0" w:space="0" w:color="auto"/>
      </w:divBdr>
    </w:div>
    <w:div w:id="960067390">
      <w:bodyDiv w:val="1"/>
      <w:marLeft w:val="0"/>
      <w:marRight w:val="0"/>
      <w:marTop w:val="0"/>
      <w:marBottom w:val="0"/>
      <w:divBdr>
        <w:top w:val="none" w:sz="0" w:space="0" w:color="auto"/>
        <w:left w:val="none" w:sz="0" w:space="0" w:color="auto"/>
        <w:bottom w:val="none" w:sz="0" w:space="0" w:color="auto"/>
        <w:right w:val="none" w:sz="0" w:space="0" w:color="auto"/>
      </w:divBdr>
    </w:div>
    <w:div w:id="986666938">
      <w:bodyDiv w:val="1"/>
      <w:marLeft w:val="0"/>
      <w:marRight w:val="0"/>
      <w:marTop w:val="0"/>
      <w:marBottom w:val="0"/>
      <w:divBdr>
        <w:top w:val="none" w:sz="0" w:space="0" w:color="auto"/>
        <w:left w:val="none" w:sz="0" w:space="0" w:color="auto"/>
        <w:bottom w:val="none" w:sz="0" w:space="0" w:color="auto"/>
        <w:right w:val="none" w:sz="0" w:space="0" w:color="auto"/>
      </w:divBdr>
    </w:div>
    <w:div w:id="1045834519">
      <w:bodyDiv w:val="1"/>
      <w:marLeft w:val="0"/>
      <w:marRight w:val="0"/>
      <w:marTop w:val="0"/>
      <w:marBottom w:val="0"/>
      <w:divBdr>
        <w:top w:val="none" w:sz="0" w:space="0" w:color="auto"/>
        <w:left w:val="none" w:sz="0" w:space="0" w:color="auto"/>
        <w:bottom w:val="none" w:sz="0" w:space="0" w:color="auto"/>
        <w:right w:val="none" w:sz="0" w:space="0" w:color="auto"/>
      </w:divBdr>
    </w:div>
    <w:div w:id="1097408104">
      <w:bodyDiv w:val="1"/>
      <w:marLeft w:val="0"/>
      <w:marRight w:val="0"/>
      <w:marTop w:val="0"/>
      <w:marBottom w:val="0"/>
      <w:divBdr>
        <w:top w:val="none" w:sz="0" w:space="0" w:color="auto"/>
        <w:left w:val="none" w:sz="0" w:space="0" w:color="auto"/>
        <w:bottom w:val="none" w:sz="0" w:space="0" w:color="auto"/>
        <w:right w:val="none" w:sz="0" w:space="0" w:color="auto"/>
      </w:divBdr>
    </w:div>
    <w:div w:id="1147551596">
      <w:bodyDiv w:val="1"/>
      <w:marLeft w:val="0"/>
      <w:marRight w:val="0"/>
      <w:marTop w:val="0"/>
      <w:marBottom w:val="0"/>
      <w:divBdr>
        <w:top w:val="none" w:sz="0" w:space="0" w:color="auto"/>
        <w:left w:val="none" w:sz="0" w:space="0" w:color="auto"/>
        <w:bottom w:val="none" w:sz="0" w:space="0" w:color="auto"/>
        <w:right w:val="none" w:sz="0" w:space="0" w:color="auto"/>
      </w:divBdr>
      <w:divsChild>
        <w:div w:id="447701881">
          <w:marLeft w:val="0"/>
          <w:marRight w:val="0"/>
          <w:marTop w:val="0"/>
          <w:marBottom w:val="0"/>
          <w:divBdr>
            <w:top w:val="none" w:sz="0" w:space="0" w:color="auto"/>
            <w:left w:val="none" w:sz="0" w:space="0" w:color="auto"/>
            <w:bottom w:val="none" w:sz="0" w:space="0" w:color="auto"/>
            <w:right w:val="none" w:sz="0" w:space="0" w:color="auto"/>
          </w:divBdr>
          <w:divsChild>
            <w:div w:id="1651204183">
              <w:marLeft w:val="0"/>
              <w:marRight w:val="0"/>
              <w:marTop w:val="0"/>
              <w:marBottom w:val="0"/>
              <w:divBdr>
                <w:top w:val="none" w:sz="0" w:space="0" w:color="auto"/>
                <w:left w:val="none" w:sz="0" w:space="0" w:color="auto"/>
                <w:bottom w:val="none" w:sz="0" w:space="0" w:color="auto"/>
                <w:right w:val="none" w:sz="0" w:space="0" w:color="auto"/>
              </w:divBdr>
              <w:divsChild>
                <w:div w:id="1343816545">
                  <w:marLeft w:val="0"/>
                  <w:marRight w:val="0"/>
                  <w:marTop w:val="0"/>
                  <w:marBottom w:val="0"/>
                  <w:divBdr>
                    <w:top w:val="none" w:sz="0" w:space="0" w:color="auto"/>
                    <w:left w:val="none" w:sz="0" w:space="0" w:color="auto"/>
                    <w:bottom w:val="none" w:sz="0" w:space="0" w:color="auto"/>
                    <w:right w:val="none" w:sz="0" w:space="0" w:color="auto"/>
                  </w:divBdr>
                  <w:divsChild>
                    <w:div w:id="1177774301">
                      <w:marLeft w:val="0"/>
                      <w:marRight w:val="0"/>
                      <w:marTop w:val="0"/>
                      <w:marBottom w:val="0"/>
                      <w:divBdr>
                        <w:top w:val="none" w:sz="0" w:space="0" w:color="auto"/>
                        <w:left w:val="none" w:sz="0" w:space="0" w:color="auto"/>
                        <w:bottom w:val="none" w:sz="0" w:space="0" w:color="auto"/>
                        <w:right w:val="none" w:sz="0" w:space="0" w:color="auto"/>
                      </w:divBdr>
                      <w:divsChild>
                        <w:div w:id="1297251709">
                          <w:marLeft w:val="0"/>
                          <w:marRight w:val="0"/>
                          <w:marTop w:val="0"/>
                          <w:marBottom w:val="0"/>
                          <w:divBdr>
                            <w:top w:val="none" w:sz="0" w:space="0" w:color="auto"/>
                            <w:left w:val="none" w:sz="0" w:space="0" w:color="auto"/>
                            <w:bottom w:val="none" w:sz="0" w:space="0" w:color="auto"/>
                            <w:right w:val="none" w:sz="0" w:space="0" w:color="auto"/>
                          </w:divBdr>
                        </w:div>
                      </w:divsChild>
                    </w:div>
                    <w:div w:id="239826818">
                      <w:marLeft w:val="0"/>
                      <w:marRight w:val="0"/>
                      <w:marTop w:val="0"/>
                      <w:marBottom w:val="0"/>
                      <w:divBdr>
                        <w:top w:val="none" w:sz="0" w:space="0" w:color="auto"/>
                        <w:left w:val="none" w:sz="0" w:space="0" w:color="auto"/>
                        <w:bottom w:val="none" w:sz="0" w:space="0" w:color="auto"/>
                        <w:right w:val="none" w:sz="0" w:space="0" w:color="auto"/>
                      </w:divBdr>
                      <w:divsChild>
                        <w:div w:id="330447966">
                          <w:marLeft w:val="0"/>
                          <w:marRight w:val="0"/>
                          <w:marTop w:val="0"/>
                          <w:marBottom w:val="0"/>
                          <w:divBdr>
                            <w:top w:val="none" w:sz="0" w:space="0" w:color="auto"/>
                            <w:left w:val="none" w:sz="0" w:space="0" w:color="auto"/>
                            <w:bottom w:val="none" w:sz="0" w:space="0" w:color="auto"/>
                            <w:right w:val="none" w:sz="0" w:space="0" w:color="auto"/>
                          </w:divBdr>
                        </w:div>
                      </w:divsChild>
                    </w:div>
                    <w:div w:id="461774774">
                      <w:marLeft w:val="0"/>
                      <w:marRight w:val="0"/>
                      <w:marTop w:val="0"/>
                      <w:marBottom w:val="0"/>
                      <w:divBdr>
                        <w:top w:val="none" w:sz="0" w:space="0" w:color="auto"/>
                        <w:left w:val="none" w:sz="0" w:space="0" w:color="auto"/>
                        <w:bottom w:val="none" w:sz="0" w:space="0" w:color="auto"/>
                        <w:right w:val="none" w:sz="0" w:space="0" w:color="auto"/>
                      </w:divBdr>
                      <w:divsChild>
                        <w:div w:id="1761215993">
                          <w:marLeft w:val="0"/>
                          <w:marRight w:val="0"/>
                          <w:marTop w:val="0"/>
                          <w:marBottom w:val="0"/>
                          <w:divBdr>
                            <w:top w:val="none" w:sz="0" w:space="0" w:color="auto"/>
                            <w:left w:val="none" w:sz="0" w:space="0" w:color="auto"/>
                            <w:bottom w:val="none" w:sz="0" w:space="0" w:color="auto"/>
                            <w:right w:val="none" w:sz="0" w:space="0" w:color="auto"/>
                          </w:divBdr>
                        </w:div>
                      </w:divsChild>
                    </w:div>
                    <w:div w:id="1646858427">
                      <w:marLeft w:val="0"/>
                      <w:marRight w:val="0"/>
                      <w:marTop w:val="0"/>
                      <w:marBottom w:val="0"/>
                      <w:divBdr>
                        <w:top w:val="none" w:sz="0" w:space="0" w:color="auto"/>
                        <w:left w:val="none" w:sz="0" w:space="0" w:color="auto"/>
                        <w:bottom w:val="none" w:sz="0" w:space="0" w:color="auto"/>
                        <w:right w:val="none" w:sz="0" w:space="0" w:color="auto"/>
                      </w:divBdr>
                      <w:divsChild>
                        <w:div w:id="161817275">
                          <w:marLeft w:val="0"/>
                          <w:marRight w:val="0"/>
                          <w:marTop w:val="0"/>
                          <w:marBottom w:val="0"/>
                          <w:divBdr>
                            <w:top w:val="none" w:sz="0" w:space="0" w:color="auto"/>
                            <w:left w:val="none" w:sz="0" w:space="0" w:color="auto"/>
                            <w:bottom w:val="none" w:sz="0" w:space="0" w:color="auto"/>
                            <w:right w:val="none" w:sz="0" w:space="0" w:color="auto"/>
                          </w:divBdr>
                        </w:div>
                      </w:divsChild>
                    </w:div>
                    <w:div w:id="1403718951">
                      <w:marLeft w:val="0"/>
                      <w:marRight w:val="0"/>
                      <w:marTop w:val="0"/>
                      <w:marBottom w:val="0"/>
                      <w:divBdr>
                        <w:top w:val="none" w:sz="0" w:space="0" w:color="auto"/>
                        <w:left w:val="none" w:sz="0" w:space="0" w:color="auto"/>
                        <w:bottom w:val="none" w:sz="0" w:space="0" w:color="auto"/>
                        <w:right w:val="none" w:sz="0" w:space="0" w:color="auto"/>
                      </w:divBdr>
                      <w:divsChild>
                        <w:div w:id="1395664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55073961">
      <w:bodyDiv w:val="1"/>
      <w:marLeft w:val="0"/>
      <w:marRight w:val="0"/>
      <w:marTop w:val="0"/>
      <w:marBottom w:val="0"/>
      <w:divBdr>
        <w:top w:val="none" w:sz="0" w:space="0" w:color="auto"/>
        <w:left w:val="none" w:sz="0" w:space="0" w:color="auto"/>
        <w:bottom w:val="none" w:sz="0" w:space="0" w:color="auto"/>
        <w:right w:val="none" w:sz="0" w:space="0" w:color="auto"/>
      </w:divBdr>
    </w:div>
    <w:div w:id="1339621488">
      <w:bodyDiv w:val="1"/>
      <w:marLeft w:val="0"/>
      <w:marRight w:val="0"/>
      <w:marTop w:val="0"/>
      <w:marBottom w:val="0"/>
      <w:divBdr>
        <w:top w:val="none" w:sz="0" w:space="0" w:color="auto"/>
        <w:left w:val="none" w:sz="0" w:space="0" w:color="auto"/>
        <w:bottom w:val="none" w:sz="0" w:space="0" w:color="auto"/>
        <w:right w:val="none" w:sz="0" w:space="0" w:color="auto"/>
      </w:divBdr>
    </w:div>
    <w:div w:id="1407023878">
      <w:bodyDiv w:val="1"/>
      <w:marLeft w:val="0"/>
      <w:marRight w:val="0"/>
      <w:marTop w:val="0"/>
      <w:marBottom w:val="0"/>
      <w:divBdr>
        <w:top w:val="none" w:sz="0" w:space="0" w:color="auto"/>
        <w:left w:val="none" w:sz="0" w:space="0" w:color="auto"/>
        <w:bottom w:val="none" w:sz="0" w:space="0" w:color="auto"/>
        <w:right w:val="none" w:sz="0" w:space="0" w:color="auto"/>
      </w:divBdr>
    </w:div>
    <w:div w:id="1422219626">
      <w:bodyDiv w:val="1"/>
      <w:marLeft w:val="0"/>
      <w:marRight w:val="0"/>
      <w:marTop w:val="0"/>
      <w:marBottom w:val="0"/>
      <w:divBdr>
        <w:top w:val="none" w:sz="0" w:space="0" w:color="auto"/>
        <w:left w:val="none" w:sz="0" w:space="0" w:color="auto"/>
        <w:bottom w:val="none" w:sz="0" w:space="0" w:color="auto"/>
        <w:right w:val="none" w:sz="0" w:space="0" w:color="auto"/>
      </w:divBdr>
    </w:div>
    <w:div w:id="1453477818">
      <w:bodyDiv w:val="1"/>
      <w:marLeft w:val="0"/>
      <w:marRight w:val="0"/>
      <w:marTop w:val="0"/>
      <w:marBottom w:val="0"/>
      <w:divBdr>
        <w:top w:val="none" w:sz="0" w:space="0" w:color="auto"/>
        <w:left w:val="none" w:sz="0" w:space="0" w:color="auto"/>
        <w:bottom w:val="none" w:sz="0" w:space="0" w:color="auto"/>
        <w:right w:val="none" w:sz="0" w:space="0" w:color="auto"/>
      </w:divBdr>
    </w:div>
    <w:div w:id="1537615568">
      <w:bodyDiv w:val="1"/>
      <w:marLeft w:val="0"/>
      <w:marRight w:val="0"/>
      <w:marTop w:val="0"/>
      <w:marBottom w:val="0"/>
      <w:divBdr>
        <w:top w:val="none" w:sz="0" w:space="0" w:color="auto"/>
        <w:left w:val="none" w:sz="0" w:space="0" w:color="auto"/>
        <w:bottom w:val="none" w:sz="0" w:space="0" w:color="auto"/>
        <w:right w:val="none" w:sz="0" w:space="0" w:color="auto"/>
      </w:divBdr>
      <w:divsChild>
        <w:div w:id="1899050333">
          <w:marLeft w:val="0"/>
          <w:marRight w:val="0"/>
          <w:marTop w:val="0"/>
          <w:marBottom w:val="0"/>
          <w:divBdr>
            <w:top w:val="none" w:sz="0" w:space="0" w:color="auto"/>
            <w:left w:val="none" w:sz="0" w:space="0" w:color="auto"/>
            <w:bottom w:val="none" w:sz="0" w:space="0" w:color="auto"/>
            <w:right w:val="none" w:sz="0" w:space="0" w:color="auto"/>
          </w:divBdr>
          <w:divsChild>
            <w:div w:id="1951232765">
              <w:blockQuote w:val="1"/>
              <w:marLeft w:val="600"/>
              <w:marRight w:val="600"/>
              <w:marTop w:val="240"/>
              <w:marBottom w:val="240"/>
              <w:divBdr>
                <w:top w:val="none" w:sz="0" w:space="0" w:color="auto"/>
                <w:left w:val="none" w:sz="0" w:space="0" w:color="auto"/>
                <w:bottom w:val="none" w:sz="0" w:space="0" w:color="auto"/>
                <w:right w:val="none" w:sz="0" w:space="0" w:color="auto"/>
              </w:divBdr>
            </w:div>
          </w:divsChild>
        </w:div>
      </w:divsChild>
    </w:div>
    <w:div w:id="1641691738">
      <w:bodyDiv w:val="1"/>
      <w:marLeft w:val="0"/>
      <w:marRight w:val="0"/>
      <w:marTop w:val="0"/>
      <w:marBottom w:val="0"/>
      <w:divBdr>
        <w:top w:val="none" w:sz="0" w:space="0" w:color="auto"/>
        <w:left w:val="none" w:sz="0" w:space="0" w:color="auto"/>
        <w:bottom w:val="none" w:sz="0" w:space="0" w:color="auto"/>
        <w:right w:val="none" w:sz="0" w:space="0" w:color="auto"/>
      </w:divBdr>
    </w:div>
    <w:div w:id="1657605344">
      <w:bodyDiv w:val="1"/>
      <w:marLeft w:val="0"/>
      <w:marRight w:val="0"/>
      <w:marTop w:val="0"/>
      <w:marBottom w:val="0"/>
      <w:divBdr>
        <w:top w:val="none" w:sz="0" w:space="0" w:color="auto"/>
        <w:left w:val="none" w:sz="0" w:space="0" w:color="auto"/>
        <w:bottom w:val="none" w:sz="0" w:space="0" w:color="auto"/>
        <w:right w:val="none" w:sz="0" w:space="0" w:color="auto"/>
      </w:divBdr>
    </w:div>
    <w:div w:id="2056346230">
      <w:bodyDiv w:val="1"/>
      <w:marLeft w:val="0"/>
      <w:marRight w:val="0"/>
      <w:marTop w:val="0"/>
      <w:marBottom w:val="0"/>
      <w:divBdr>
        <w:top w:val="none" w:sz="0" w:space="0" w:color="auto"/>
        <w:left w:val="none" w:sz="0" w:space="0" w:color="auto"/>
        <w:bottom w:val="none" w:sz="0" w:space="0" w:color="auto"/>
        <w:right w:val="none" w:sz="0" w:space="0" w:color="auto"/>
      </w:divBdr>
    </w:div>
    <w:div w:id="2108230327">
      <w:bodyDiv w:val="1"/>
      <w:marLeft w:val="0"/>
      <w:marRight w:val="0"/>
      <w:marTop w:val="0"/>
      <w:marBottom w:val="0"/>
      <w:divBdr>
        <w:top w:val="none" w:sz="0" w:space="0" w:color="auto"/>
        <w:left w:val="none" w:sz="0" w:space="0" w:color="auto"/>
        <w:bottom w:val="none" w:sz="0" w:space="0" w:color="auto"/>
        <w:right w:val="none" w:sz="0" w:space="0" w:color="auto"/>
      </w:divBdr>
      <w:divsChild>
        <w:div w:id="496501867">
          <w:marLeft w:val="0"/>
          <w:marRight w:val="0"/>
          <w:marTop w:val="0"/>
          <w:marBottom w:val="0"/>
          <w:divBdr>
            <w:top w:val="none" w:sz="0" w:space="0" w:color="auto"/>
            <w:left w:val="none" w:sz="0" w:space="0" w:color="auto"/>
            <w:bottom w:val="none" w:sz="0" w:space="0" w:color="auto"/>
            <w:right w:val="none" w:sz="0" w:space="0" w:color="auto"/>
          </w:divBdr>
          <w:divsChild>
            <w:div w:id="888608580">
              <w:marLeft w:val="0"/>
              <w:marRight w:val="0"/>
              <w:marTop w:val="0"/>
              <w:marBottom w:val="0"/>
              <w:divBdr>
                <w:top w:val="none" w:sz="0" w:space="0" w:color="auto"/>
                <w:left w:val="none" w:sz="0" w:space="0" w:color="auto"/>
                <w:bottom w:val="none" w:sz="0" w:space="0" w:color="auto"/>
                <w:right w:val="none" w:sz="0" w:space="0" w:color="auto"/>
              </w:divBdr>
              <w:divsChild>
                <w:div w:id="1116830303">
                  <w:marLeft w:val="0"/>
                  <w:marRight w:val="0"/>
                  <w:marTop w:val="0"/>
                  <w:marBottom w:val="0"/>
                  <w:divBdr>
                    <w:top w:val="none" w:sz="0" w:space="0" w:color="auto"/>
                    <w:left w:val="none" w:sz="0" w:space="0" w:color="auto"/>
                    <w:bottom w:val="none" w:sz="0" w:space="0" w:color="auto"/>
                    <w:right w:val="none" w:sz="0" w:space="0" w:color="auto"/>
                  </w:divBdr>
                  <w:divsChild>
                    <w:div w:id="1923100593">
                      <w:marLeft w:val="0"/>
                      <w:marRight w:val="0"/>
                      <w:marTop w:val="0"/>
                      <w:marBottom w:val="0"/>
                      <w:divBdr>
                        <w:top w:val="none" w:sz="0" w:space="0" w:color="auto"/>
                        <w:left w:val="none" w:sz="0" w:space="0" w:color="auto"/>
                        <w:bottom w:val="none" w:sz="0" w:space="0" w:color="auto"/>
                        <w:right w:val="none" w:sz="0" w:space="0" w:color="auto"/>
                      </w:divBdr>
                      <w:divsChild>
                        <w:div w:id="1773092394">
                          <w:marLeft w:val="0"/>
                          <w:marRight w:val="0"/>
                          <w:marTop w:val="0"/>
                          <w:marBottom w:val="0"/>
                          <w:divBdr>
                            <w:top w:val="none" w:sz="0" w:space="0" w:color="auto"/>
                            <w:left w:val="none" w:sz="0" w:space="0" w:color="auto"/>
                            <w:bottom w:val="none" w:sz="0" w:space="0" w:color="auto"/>
                            <w:right w:val="none" w:sz="0" w:space="0" w:color="auto"/>
                          </w:divBdr>
                          <w:divsChild>
                            <w:div w:id="1369796438">
                              <w:marLeft w:val="0"/>
                              <w:marRight w:val="0"/>
                              <w:marTop w:val="0"/>
                              <w:marBottom w:val="0"/>
                              <w:divBdr>
                                <w:top w:val="none" w:sz="0" w:space="0" w:color="auto"/>
                                <w:left w:val="none" w:sz="0" w:space="0" w:color="auto"/>
                                <w:bottom w:val="none" w:sz="0" w:space="0" w:color="auto"/>
                                <w:right w:val="none" w:sz="0" w:space="0" w:color="auto"/>
                              </w:divBdr>
                              <w:divsChild>
                                <w:div w:id="1363674888">
                                  <w:marLeft w:val="0"/>
                                  <w:marRight w:val="0"/>
                                  <w:marTop w:val="0"/>
                                  <w:marBottom w:val="0"/>
                                  <w:divBdr>
                                    <w:top w:val="none" w:sz="0" w:space="0" w:color="auto"/>
                                    <w:left w:val="none" w:sz="0" w:space="0" w:color="auto"/>
                                    <w:bottom w:val="none" w:sz="0" w:space="0" w:color="auto"/>
                                    <w:right w:val="none" w:sz="0" w:space="0" w:color="auto"/>
                                  </w:divBdr>
                                  <w:divsChild>
                                    <w:div w:id="1167016623">
                                      <w:marLeft w:val="0"/>
                                      <w:marRight w:val="0"/>
                                      <w:marTop w:val="0"/>
                                      <w:marBottom w:val="0"/>
                                      <w:divBdr>
                                        <w:top w:val="none" w:sz="0" w:space="0" w:color="auto"/>
                                        <w:left w:val="none" w:sz="0" w:space="0" w:color="auto"/>
                                        <w:bottom w:val="none" w:sz="0" w:space="0" w:color="auto"/>
                                        <w:right w:val="none" w:sz="0" w:space="0" w:color="auto"/>
                                      </w:divBdr>
                                      <w:divsChild>
                                        <w:div w:id="1487165555">
                                          <w:marLeft w:val="0"/>
                                          <w:marRight w:val="0"/>
                                          <w:marTop w:val="0"/>
                                          <w:marBottom w:val="0"/>
                                          <w:divBdr>
                                            <w:top w:val="none" w:sz="0" w:space="0" w:color="auto"/>
                                            <w:left w:val="none" w:sz="0" w:space="0" w:color="auto"/>
                                            <w:bottom w:val="none" w:sz="0" w:space="0" w:color="auto"/>
                                            <w:right w:val="none" w:sz="0" w:space="0" w:color="auto"/>
                                          </w:divBdr>
                                          <w:divsChild>
                                            <w:div w:id="1365979395">
                                              <w:marLeft w:val="0"/>
                                              <w:marRight w:val="0"/>
                                              <w:marTop w:val="0"/>
                                              <w:marBottom w:val="0"/>
                                              <w:divBdr>
                                                <w:top w:val="single" w:sz="12" w:space="2" w:color="FFFFCC"/>
                                                <w:left w:val="single" w:sz="12" w:space="2" w:color="FFFFCC"/>
                                                <w:bottom w:val="single" w:sz="12" w:space="2" w:color="FFFFCC"/>
                                                <w:right w:val="single" w:sz="12" w:space="0" w:color="FFFFCC"/>
                                              </w:divBdr>
                                              <w:divsChild>
                                                <w:div w:id="886528919">
                                                  <w:marLeft w:val="0"/>
                                                  <w:marRight w:val="0"/>
                                                  <w:marTop w:val="0"/>
                                                  <w:marBottom w:val="0"/>
                                                  <w:divBdr>
                                                    <w:top w:val="none" w:sz="0" w:space="0" w:color="auto"/>
                                                    <w:left w:val="none" w:sz="0" w:space="0" w:color="auto"/>
                                                    <w:bottom w:val="none" w:sz="0" w:space="0" w:color="auto"/>
                                                    <w:right w:val="none" w:sz="0" w:space="0" w:color="auto"/>
                                                  </w:divBdr>
                                                  <w:divsChild>
                                                    <w:div w:id="1837458944">
                                                      <w:marLeft w:val="0"/>
                                                      <w:marRight w:val="0"/>
                                                      <w:marTop w:val="0"/>
                                                      <w:marBottom w:val="0"/>
                                                      <w:divBdr>
                                                        <w:top w:val="none" w:sz="0" w:space="0" w:color="auto"/>
                                                        <w:left w:val="none" w:sz="0" w:space="0" w:color="auto"/>
                                                        <w:bottom w:val="none" w:sz="0" w:space="0" w:color="auto"/>
                                                        <w:right w:val="none" w:sz="0" w:space="0" w:color="auto"/>
                                                      </w:divBdr>
                                                      <w:divsChild>
                                                        <w:div w:id="1268275716">
                                                          <w:marLeft w:val="0"/>
                                                          <w:marRight w:val="0"/>
                                                          <w:marTop w:val="0"/>
                                                          <w:marBottom w:val="0"/>
                                                          <w:divBdr>
                                                            <w:top w:val="none" w:sz="0" w:space="0" w:color="auto"/>
                                                            <w:left w:val="none" w:sz="0" w:space="0" w:color="auto"/>
                                                            <w:bottom w:val="none" w:sz="0" w:space="0" w:color="auto"/>
                                                            <w:right w:val="none" w:sz="0" w:space="0" w:color="auto"/>
                                                          </w:divBdr>
                                                          <w:divsChild>
                                                            <w:div w:id="780221663">
                                                              <w:marLeft w:val="0"/>
                                                              <w:marRight w:val="0"/>
                                                              <w:marTop w:val="0"/>
                                                              <w:marBottom w:val="0"/>
                                                              <w:divBdr>
                                                                <w:top w:val="none" w:sz="0" w:space="0" w:color="auto"/>
                                                                <w:left w:val="none" w:sz="0" w:space="0" w:color="auto"/>
                                                                <w:bottom w:val="none" w:sz="0" w:space="0" w:color="auto"/>
                                                                <w:right w:val="none" w:sz="0" w:space="0" w:color="auto"/>
                                                              </w:divBdr>
                                                              <w:divsChild>
                                                                <w:div w:id="109663746">
                                                                  <w:marLeft w:val="0"/>
                                                                  <w:marRight w:val="0"/>
                                                                  <w:marTop w:val="0"/>
                                                                  <w:marBottom w:val="0"/>
                                                                  <w:divBdr>
                                                                    <w:top w:val="none" w:sz="0" w:space="0" w:color="auto"/>
                                                                    <w:left w:val="none" w:sz="0" w:space="0" w:color="auto"/>
                                                                    <w:bottom w:val="none" w:sz="0" w:space="0" w:color="auto"/>
                                                                    <w:right w:val="none" w:sz="0" w:space="0" w:color="auto"/>
                                                                  </w:divBdr>
                                                                  <w:divsChild>
                                                                    <w:div w:id="241916149">
                                                                      <w:marLeft w:val="0"/>
                                                                      <w:marRight w:val="0"/>
                                                                      <w:marTop w:val="0"/>
                                                                      <w:marBottom w:val="0"/>
                                                                      <w:divBdr>
                                                                        <w:top w:val="none" w:sz="0" w:space="0" w:color="auto"/>
                                                                        <w:left w:val="none" w:sz="0" w:space="0" w:color="auto"/>
                                                                        <w:bottom w:val="none" w:sz="0" w:space="0" w:color="auto"/>
                                                                        <w:right w:val="none" w:sz="0" w:space="0" w:color="auto"/>
                                                                      </w:divBdr>
                                                                      <w:divsChild>
                                                                        <w:div w:id="486284067">
                                                                          <w:marLeft w:val="0"/>
                                                                          <w:marRight w:val="0"/>
                                                                          <w:marTop w:val="0"/>
                                                                          <w:marBottom w:val="0"/>
                                                                          <w:divBdr>
                                                                            <w:top w:val="none" w:sz="0" w:space="0" w:color="auto"/>
                                                                            <w:left w:val="none" w:sz="0" w:space="0" w:color="auto"/>
                                                                            <w:bottom w:val="none" w:sz="0" w:space="0" w:color="auto"/>
                                                                            <w:right w:val="none" w:sz="0" w:space="0" w:color="auto"/>
                                                                          </w:divBdr>
                                                                          <w:divsChild>
                                                                            <w:div w:id="292446596">
                                                                              <w:marLeft w:val="0"/>
                                                                              <w:marRight w:val="0"/>
                                                                              <w:marTop w:val="0"/>
                                                                              <w:marBottom w:val="0"/>
                                                                              <w:divBdr>
                                                                                <w:top w:val="none" w:sz="0" w:space="0" w:color="auto"/>
                                                                                <w:left w:val="none" w:sz="0" w:space="0" w:color="auto"/>
                                                                                <w:bottom w:val="none" w:sz="0" w:space="0" w:color="auto"/>
                                                                                <w:right w:val="none" w:sz="0" w:space="0" w:color="auto"/>
                                                                              </w:divBdr>
                                                                              <w:divsChild>
                                                                                <w:div w:id="2068336379">
                                                                                  <w:marLeft w:val="0"/>
                                                                                  <w:marRight w:val="0"/>
                                                                                  <w:marTop w:val="0"/>
                                                                                  <w:marBottom w:val="0"/>
                                                                                  <w:divBdr>
                                                                                    <w:top w:val="none" w:sz="0" w:space="0" w:color="auto"/>
                                                                                    <w:left w:val="none" w:sz="0" w:space="0" w:color="auto"/>
                                                                                    <w:bottom w:val="none" w:sz="0" w:space="0" w:color="auto"/>
                                                                                    <w:right w:val="none" w:sz="0" w:space="0" w:color="auto"/>
                                                                                  </w:divBdr>
                                                                                  <w:divsChild>
                                                                                    <w:div w:id="1951934473">
                                                                                      <w:marLeft w:val="0"/>
                                                                                      <w:marRight w:val="0"/>
                                                                                      <w:marTop w:val="0"/>
                                                                                      <w:marBottom w:val="0"/>
                                                                                      <w:divBdr>
                                                                                        <w:top w:val="none" w:sz="0" w:space="0" w:color="auto"/>
                                                                                        <w:left w:val="none" w:sz="0" w:space="0" w:color="auto"/>
                                                                                        <w:bottom w:val="none" w:sz="0" w:space="0" w:color="auto"/>
                                                                                        <w:right w:val="none" w:sz="0" w:space="0" w:color="auto"/>
                                                                                      </w:divBdr>
                                                                                      <w:divsChild>
                                                                                        <w:div w:id="1447895519">
                                                                                          <w:marLeft w:val="0"/>
                                                                                          <w:marRight w:val="120"/>
                                                                                          <w:marTop w:val="0"/>
                                                                                          <w:marBottom w:val="150"/>
                                                                                          <w:divBdr>
                                                                                            <w:top w:val="single" w:sz="2" w:space="0" w:color="EFEFEF"/>
                                                                                            <w:left w:val="single" w:sz="6" w:space="0" w:color="EFEFEF"/>
                                                                                            <w:bottom w:val="single" w:sz="6" w:space="0" w:color="E2E2E2"/>
                                                                                            <w:right w:val="single" w:sz="6" w:space="0" w:color="EFEFEF"/>
                                                                                          </w:divBdr>
                                                                                          <w:divsChild>
                                                                                            <w:div w:id="1581594697">
                                                                                              <w:marLeft w:val="0"/>
                                                                                              <w:marRight w:val="0"/>
                                                                                              <w:marTop w:val="0"/>
                                                                                              <w:marBottom w:val="0"/>
                                                                                              <w:divBdr>
                                                                                                <w:top w:val="none" w:sz="0" w:space="0" w:color="auto"/>
                                                                                                <w:left w:val="none" w:sz="0" w:space="0" w:color="auto"/>
                                                                                                <w:bottom w:val="none" w:sz="0" w:space="0" w:color="auto"/>
                                                                                                <w:right w:val="none" w:sz="0" w:space="0" w:color="auto"/>
                                                                                              </w:divBdr>
                                                                                              <w:divsChild>
                                                                                                <w:div w:id="1895660532">
                                                                                                  <w:marLeft w:val="0"/>
                                                                                                  <w:marRight w:val="0"/>
                                                                                                  <w:marTop w:val="0"/>
                                                                                                  <w:marBottom w:val="0"/>
                                                                                                  <w:divBdr>
                                                                                                    <w:top w:val="none" w:sz="0" w:space="0" w:color="auto"/>
                                                                                                    <w:left w:val="none" w:sz="0" w:space="0" w:color="auto"/>
                                                                                                    <w:bottom w:val="none" w:sz="0" w:space="0" w:color="auto"/>
                                                                                                    <w:right w:val="none" w:sz="0" w:space="0" w:color="auto"/>
                                                                                                  </w:divBdr>
                                                                                                  <w:divsChild>
                                                                                                    <w:div w:id="802697346">
                                                                                                      <w:marLeft w:val="0"/>
                                                                                                      <w:marRight w:val="0"/>
                                                                                                      <w:marTop w:val="0"/>
                                                                                                      <w:marBottom w:val="0"/>
                                                                                                      <w:divBdr>
                                                                                                        <w:top w:val="none" w:sz="0" w:space="0" w:color="auto"/>
                                                                                                        <w:left w:val="none" w:sz="0" w:space="0" w:color="auto"/>
                                                                                                        <w:bottom w:val="none" w:sz="0" w:space="0" w:color="auto"/>
                                                                                                        <w:right w:val="none" w:sz="0" w:space="0" w:color="auto"/>
                                                                                                      </w:divBdr>
                                                                                                      <w:divsChild>
                                                                                                        <w:div w:id="884294098">
                                                                                                          <w:marLeft w:val="0"/>
                                                                                                          <w:marRight w:val="0"/>
                                                                                                          <w:marTop w:val="0"/>
                                                                                                          <w:marBottom w:val="0"/>
                                                                                                          <w:divBdr>
                                                                                                            <w:top w:val="none" w:sz="0" w:space="0" w:color="auto"/>
                                                                                                            <w:left w:val="none" w:sz="0" w:space="0" w:color="auto"/>
                                                                                                            <w:bottom w:val="none" w:sz="0" w:space="0" w:color="auto"/>
                                                                                                            <w:right w:val="none" w:sz="0" w:space="0" w:color="auto"/>
                                                                                                          </w:divBdr>
                                                                                                          <w:divsChild>
                                                                                                            <w:div w:id="238901702">
                                                                                                              <w:marLeft w:val="0"/>
                                                                                                              <w:marRight w:val="0"/>
                                                                                                              <w:marTop w:val="0"/>
                                                                                                              <w:marBottom w:val="0"/>
                                                                                                              <w:divBdr>
                                                                                                                <w:top w:val="single" w:sz="2" w:space="4" w:color="D8D8D8"/>
                                                                                                                <w:left w:val="single" w:sz="2" w:space="0" w:color="D8D8D8"/>
                                                                                                                <w:bottom w:val="single" w:sz="2" w:space="4" w:color="D8D8D8"/>
                                                                                                                <w:right w:val="single" w:sz="2" w:space="0" w:color="D8D8D8"/>
                                                                                                              </w:divBdr>
                                                                                                              <w:divsChild>
                                                                                                                <w:div w:id="1226068945">
                                                                                                                  <w:marLeft w:val="225"/>
                                                                                                                  <w:marRight w:val="225"/>
                                                                                                                  <w:marTop w:val="75"/>
                                                                                                                  <w:marBottom w:val="75"/>
                                                                                                                  <w:divBdr>
                                                                                                                    <w:top w:val="none" w:sz="0" w:space="0" w:color="auto"/>
                                                                                                                    <w:left w:val="none" w:sz="0" w:space="0" w:color="auto"/>
                                                                                                                    <w:bottom w:val="none" w:sz="0" w:space="0" w:color="auto"/>
                                                                                                                    <w:right w:val="none" w:sz="0" w:space="0" w:color="auto"/>
                                                                                                                  </w:divBdr>
                                                                                                                  <w:divsChild>
                                                                                                                    <w:div w:id="1933006472">
                                                                                                                      <w:marLeft w:val="0"/>
                                                                                                                      <w:marRight w:val="0"/>
                                                                                                                      <w:marTop w:val="0"/>
                                                                                                                      <w:marBottom w:val="0"/>
                                                                                                                      <w:divBdr>
                                                                                                                        <w:top w:val="single" w:sz="6" w:space="0" w:color="auto"/>
                                                                                                                        <w:left w:val="single" w:sz="6" w:space="0" w:color="auto"/>
                                                                                                                        <w:bottom w:val="single" w:sz="6" w:space="0" w:color="auto"/>
                                                                                                                        <w:right w:val="single" w:sz="6" w:space="0" w:color="auto"/>
                                                                                                                      </w:divBdr>
                                                                                                                      <w:divsChild>
                                                                                                                        <w:div w:id="620692847">
                                                                                                                          <w:marLeft w:val="0"/>
                                                                                                                          <w:marRight w:val="0"/>
                                                                                                                          <w:marTop w:val="0"/>
                                                                                                                          <w:marBottom w:val="0"/>
                                                                                                                          <w:divBdr>
                                                                                                                            <w:top w:val="none" w:sz="0" w:space="0" w:color="auto"/>
                                                                                                                            <w:left w:val="none" w:sz="0" w:space="0" w:color="auto"/>
                                                                                                                            <w:bottom w:val="none" w:sz="0" w:space="0" w:color="auto"/>
                                                                                                                            <w:right w:val="none" w:sz="0" w:space="0" w:color="auto"/>
                                                                                                                          </w:divBdr>
                                                                                                                          <w:divsChild>
                                                                                                                            <w:div w:id="657615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401028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hyperlink" Target="https://www.aer.gov.au/wholesale-markets/market-guidelines/significant-price-variation-guideline-for-victorian-declared-wholesale-market" TargetMode="External"/><Relationship Id="rId26" Type="http://schemas.openxmlformats.org/officeDocument/2006/relationships/image" Target="media/image5.emf"/><Relationship Id="rId39" Type="http://schemas.openxmlformats.org/officeDocument/2006/relationships/footer" Target="footer5.xml"/><Relationship Id="rId3" Type="http://schemas.openxmlformats.org/officeDocument/2006/relationships/numbering" Target="numbering.xml"/><Relationship Id="rId21" Type="http://schemas.openxmlformats.org/officeDocument/2006/relationships/hyperlink" Target="http://www.gasbb.com.au" TargetMode="External"/><Relationship Id="rId34" Type="http://schemas.openxmlformats.org/officeDocument/2006/relationships/image" Target="media/image13.emf"/><Relationship Id="rId42"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hyperlink" Target="http://www.gasbb.com.au" TargetMode="External"/><Relationship Id="rId33" Type="http://schemas.openxmlformats.org/officeDocument/2006/relationships/image" Target="media/image12.emf"/><Relationship Id="rId38"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image" Target="media/image2.png"/><Relationship Id="rId29" Type="http://schemas.openxmlformats.org/officeDocument/2006/relationships/image" Target="media/image8.emf"/><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AERInquiry@aer.gov.au" TargetMode="External"/><Relationship Id="rId24" Type="http://schemas.openxmlformats.org/officeDocument/2006/relationships/image" Target="media/image4.emf"/><Relationship Id="rId32" Type="http://schemas.openxmlformats.org/officeDocument/2006/relationships/image" Target="media/image11.emf"/><Relationship Id="rId37" Type="http://schemas.openxmlformats.org/officeDocument/2006/relationships/image" Target="media/image16.emf"/><Relationship Id="rId40" Type="http://schemas.openxmlformats.org/officeDocument/2006/relationships/footer" Target="footer6.xml"/><Relationship Id="rId5" Type="http://schemas.microsoft.com/office/2007/relationships/stylesWithEffects" Target="stylesWithEffects.xml"/><Relationship Id="rId15" Type="http://schemas.openxmlformats.org/officeDocument/2006/relationships/footer" Target="footer2.xml"/><Relationship Id="rId23" Type="http://schemas.openxmlformats.org/officeDocument/2006/relationships/hyperlink" Target="http://www.gasbb.com.au" TargetMode="External"/><Relationship Id="rId28" Type="http://schemas.openxmlformats.org/officeDocument/2006/relationships/image" Target="media/image7.emf"/><Relationship Id="rId36" Type="http://schemas.openxmlformats.org/officeDocument/2006/relationships/image" Target="media/image15.emf"/><Relationship Id="rId10" Type="http://schemas.openxmlformats.org/officeDocument/2006/relationships/image" Target="media/image1.jpeg"/><Relationship Id="rId19" Type="http://schemas.openxmlformats.org/officeDocument/2006/relationships/hyperlink" Target="https://www.aer.gov.au/wholesale-markets/market-guidelines/significant-price-variations-in-the-sttm-reporting-triggers" TargetMode="External"/><Relationship Id="rId31" Type="http://schemas.openxmlformats.org/officeDocument/2006/relationships/image" Target="media/image10.emf"/><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oter" Target="footer1.xml"/><Relationship Id="rId22" Type="http://schemas.openxmlformats.org/officeDocument/2006/relationships/image" Target="media/image3.emf"/><Relationship Id="rId27" Type="http://schemas.openxmlformats.org/officeDocument/2006/relationships/image" Target="media/image6.emf"/><Relationship Id="rId30" Type="http://schemas.openxmlformats.org/officeDocument/2006/relationships/image" Target="media/image9.emf"/><Relationship Id="rId35" Type="http://schemas.openxmlformats.org/officeDocument/2006/relationships/image" Target="media/image14.emf"/></Relationships>
</file>

<file path=word/_rels/footnotes.xml.rels><?xml version="1.0" encoding="UTF-8" standalone="yes"?>
<Relationships xmlns="http://schemas.openxmlformats.org/package/2006/relationships"><Relationship Id="rId3" Type="http://schemas.openxmlformats.org/officeDocument/2006/relationships/hyperlink" Target="http://www.gasbb.com.au" TargetMode="External"/><Relationship Id="rId2" Type="http://schemas.openxmlformats.org/officeDocument/2006/relationships/hyperlink" Target="http://www.aer.gov.au/communication/winter-energy-prices-2016" TargetMode="External"/><Relationship Id="rId1" Type="http://schemas.openxmlformats.org/officeDocument/2006/relationships/hyperlink" Target="http://www.aemo.com.au/Gas/National-planning-and-forecasting/-/media/76797D91C65E4C91A4CAF8841BEC9A3C.ashx" TargetMode="External"/><Relationship Id="rId6" Type="http://schemas.openxmlformats.org/officeDocument/2006/relationships/hyperlink" Target="http://www.aer.gov.au/wholesale-markets/compliance-reporting/quarterly-compliance-report-april-june-2016" TargetMode="External"/><Relationship Id="rId5" Type="http://schemas.openxmlformats.org/officeDocument/2006/relationships/hyperlink" Target="https://www.agl.com.au/about-agl/media-centre/article-list/2016/july/agl-update-on-fy17-gas-portfolio-margins" TargetMode="External"/><Relationship Id="rId4" Type="http://schemas.openxmlformats.org/officeDocument/2006/relationships/hyperlink" Target="https://www.aemo.com.au/Gas/National-planning-and-forecasting/Victorian-Gas-Planning-Report" TargetMode="External"/></Relationships>
</file>

<file path=word/theme/theme1.xml><?xml version="1.0" encoding="utf-8"?>
<a:theme xmlns:a="http://schemas.openxmlformats.org/drawingml/2006/main" name="AER">
  <a:themeElements>
    <a:clrScheme name="AER Colour theme">
      <a:dk1>
        <a:srgbClr val="076A92"/>
      </a:dk1>
      <a:lt1>
        <a:sysClr val="window" lastClr="FFFFFF"/>
      </a:lt1>
      <a:dk2>
        <a:srgbClr val="70635A"/>
      </a:dk2>
      <a:lt2>
        <a:srgbClr val="FFFFFF"/>
      </a:lt2>
      <a:accent1>
        <a:srgbClr val="2F002F"/>
      </a:accent1>
      <a:accent2>
        <a:srgbClr val="C14E00"/>
      </a:accent2>
      <a:accent3>
        <a:srgbClr val="002060"/>
      </a:accent3>
      <a:accent4>
        <a:srgbClr val="C00000"/>
      </a:accent4>
      <a:accent5>
        <a:srgbClr val="000000"/>
      </a:accent5>
      <a:accent6>
        <a:srgbClr val="70303C"/>
      </a:accent6>
      <a:hlink>
        <a:srgbClr val="0000FF"/>
      </a:hlink>
      <a:folHlink>
        <a:srgbClr val="800080"/>
      </a:folHlink>
    </a:clrScheme>
    <a:fontScheme name="Custom 1">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677C4028-B337-42AC-936F-FDD0E1BD8E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C8E9F98.dotm</Template>
  <TotalTime>0</TotalTime>
  <Pages>27</Pages>
  <Words>5542</Words>
  <Characters>31590</Characters>
  <Application>Microsoft Office Word</Application>
  <DocSecurity>0</DocSecurity>
  <Lines>263</Lines>
  <Paragraphs>74</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37058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2016-08-26T05:58:00Z</dcterms:created>
  <dcterms:modified xsi:type="dcterms:W3CDTF">2016-08-31T04:37:00Z</dcterms:modified>
</cp:coreProperties>
</file>