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206EF1">
        <w:rPr>
          <w:rFonts w:ascii="Arial" w:hAnsi="Arial" w:cs="Arial"/>
          <w:sz w:val="18"/>
          <w:szCs w:val="18"/>
        </w:rPr>
        <w:t>D16/</w:t>
      </w:r>
      <w:r w:rsidR="00D24093">
        <w:rPr>
          <w:rFonts w:ascii="Arial" w:hAnsi="Arial" w:cs="Arial"/>
          <w:sz w:val="18"/>
          <w:szCs w:val="18"/>
        </w:rPr>
        <w:t>21799</w:t>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41255B" w:rsidP="004C15E9">
      <w:pPr>
        <w:rPr>
          <w:rFonts w:ascii="Times New Roman" w:hAnsi="Times New Roman"/>
        </w:rPr>
      </w:pPr>
      <w:r>
        <w:rPr>
          <w:rFonts w:ascii="Times New Roman" w:hAnsi="Times New Roman"/>
        </w:rPr>
        <w:t>17 March 2016</w:t>
      </w:r>
    </w:p>
    <w:p w:rsidR="00277B53" w:rsidRDefault="00277B53" w:rsidP="00016371">
      <w:pPr>
        <w:shd w:val="clear" w:color="auto" w:fill="FFFFFF"/>
        <w:spacing w:line="336" w:lineRule="atLeast"/>
        <w:rPr>
          <w:rFonts w:ascii="Times New Roman" w:hAnsi="Times New Roman"/>
        </w:rPr>
      </w:pPr>
    </w:p>
    <w:p w:rsidR="00277B53" w:rsidRPr="006A462F" w:rsidRDefault="00E37D8D" w:rsidP="00526659">
      <w:pPr>
        <w:rPr>
          <w:rFonts w:ascii="Times New Roman" w:hAnsi="Times New Roman"/>
          <w:noProof/>
        </w:rPr>
      </w:pPr>
      <w:r>
        <w:rPr>
          <w:rFonts w:ascii="Times New Roman" w:hAnsi="Times New Roman"/>
          <w:noProof/>
        </w:rPr>
        <w:t xml:space="preserve">Mr </w:t>
      </w:r>
      <w:r w:rsidR="006B10E4">
        <w:rPr>
          <w:rFonts w:ascii="Times New Roman" w:hAnsi="Times New Roman"/>
          <w:noProof/>
        </w:rPr>
        <w:t>Simon Wardell</w:t>
      </w:r>
    </w:p>
    <w:p w:rsidR="00E37D8D" w:rsidRPr="00E37D8D" w:rsidRDefault="006A462F" w:rsidP="00526659">
      <w:pPr>
        <w:rPr>
          <w:rFonts w:ascii="Times New Roman" w:hAnsi="Times New Roman"/>
          <w:noProof/>
        </w:rPr>
      </w:pPr>
      <w:r>
        <w:rPr>
          <w:rFonts w:ascii="Times New Roman" w:hAnsi="Times New Roman"/>
          <w:noProof/>
        </w:rPr>
        <w:t>General Manager</w:t>
      </w:r>
      <w:r w:rsidR="006B10E4">
        <w:rPr>
          <w:rFonts w:ascii="Times New Roman" w:hAnsi="Times New Roman"/>
          <w:noProof/>
        </w:rPr>
        <w:t>, Energy Services</w:t>
      </w:r>
    </w:p>
    <w:p w:rsidR="006A462F" w:rsidRPr="006A462F" w:rsidRDefault="006B10E4" w:rsidP="006A462F">
      <w:pPr>
        <w:rPr>
          <w:rFonts w:ascii="Times New Roman" w:hAnsi="Times New Roman"/>
          <w:noProof/>
        </w:rPr>
      </w:pPr>
      <w:r>
        <w:rPr>
          <w:rFonts w:ascii="Times New Roman" w:hAnsi="Times New Roman"/>
          <w:noProof/>
        </w:rPr>
        <w:t>Level 33, Rialto South Tower</w:t>
      </w:r>
    </w:p>
    <w:p w:rsidR="006A462F" w:rsidRPr="006A462F" w:rsidRDefault="006B10E4" w:rsidP="006A462F">
      <w:pPr>
        <w:rPr>
          <w:rFonts w:ascii="Times New Roman" w:hAnsi="Times New Roman"/>
          <w:noProof/>
        </w:rPr>
      </w:pPr>
      <w:r>
        <w:rPr>
          <w:rFonts w:ascii="Times New Roman" w:hAnsi="Times New Roman"/>
          <w:noProof/>
        </w:rPr>
        <w:t>525 Collins St</w:t>
      </w:r>
    </w:p>
    <w:p w:rsidR="00277B53" w:rsidRDefault="006B10E4" w:rsidP="006A462F">
      <w:pPr>
        <w:rPr>
          <w:rFonts w:ascii="Times New Roman" w:hAnsi="Times New Roman"/>
          <w:noProof/>
        </w:rPr>
      </w:pPr>
      <w:r>
        <w:rPr>
          <w:rFonts w:ascii="Times New Roman" w:hAnsi="Times New Roman"/>
          <w:noProof/>
        </w:rPr>
        <w:t>Melbourne VIC 3</w:t>
      </w:r>
      <w:r w:rsidR="006A462F" w:rsidRPr="006A462F">
        <w:rPr>
          <w:rFonts w:ascii="Times New Roman" w:hAnsi="Times New Roman"/>
          <w:noProof/>
        </w:rPr>
        <w:t>000</w:t>
      </w:r>
    </w:p>
    <w:p w:rsidR="00E37D8D" w:rsidRDefault="00E37D8D" w:rsidP="004C15E9">
      <w:pPr>
        <w:rPr>
          <w:rFonts w:ascii="Times New Roman" w:hAnsi="Times New Roman"/>
          <w:noProof/>
        </w:rPr>
      </w:pPr>
    </w:p>
    <w:p w:rsidR="00277B53" w:rsidRDefault="00277B53" w:rsidP="004C15E9">
      <w:pPr>
        <w:rPr>
          <w:rFonts w:ascii="Times New Roman" w:hAnsi="Times New Roman"/>
        </w:rPr>
      </w:pPr>
      <w:r>
        <w:rPr>
          <w:rFonts w:ascii="Times New Roman" w:hAnsi="Times New Roman"/>
        </w:rPr>
        <w:t xml:space="preserve">Dear </w:t>
      </w:r>
      <w:r w:rsidR="00A747AB">
        <w:rPr>
          <w:rFonts w:ascii="Times New Roman" w:hAnsi="Times New Roman"/>
        </w:rPr>
        <w:t xml:space="preserve">Mr </w:t>
      </w:r>
      <w:r w:rsidR="006B10E4">
        <w:rPr>
          <w:rFonts w:ascii="Times New Roman" w:hAnsi="Times New Roman"/>
        </w:rPr>
        <w:t>Wardell</w:t>
      </w:r>
    </w:p>
    <w:p w:rsidR="00277B53" w:rsidRPr="00526659" w:rsidRDefault="00277B53" w:rsidP="004C15E9">
      <w:pPr>
        <w:rPr>
          <w:rFonts w:ascii="Times New Roman" w:hAnsi="Times New Roman"/>
          <w:b/>
        </w:rPr>
      </w:pPr>
    </w:p>
    <w:p w:rsidR="00277B53" w:rsidRPr="008850D3" w:rsidRDefault="006B10E4" w:rsidP="006A462F">
      <w:pPr>
        <w:rPr>
          <w:rFonts w:ascii="Times New Roman" w:hAnsi="Times New Roman"/>
          <w:lang w:val="en-AU"/>
        </w:rPr>
      </w:pPr>
      <w:r>
        <w:rPr>
          <w:rFonts w:ascii="Times New Roman" w:hAnsi="Times New Roman"/>
          <w:b/>
          <w:noProof/>
        </w:rPr>
        <w:t>Simply Energy Solutions</w:t>
      </w:r>
      <w:r w:rsidR="006A462F">
        <w:rPr>
          <w:rFonts w:ascii="Times New Roman" w:hAnsi="Times New Roman"/>
          <w:b/>
          <w:noProof/>
        </w:rPr>
        <w:t xml:space="preserve"> </w:t>
      </w:r>
      <w:r w:rsidR="00277B53" w:rsidRPr="0037689A">
        <w:rPr>
          <w:rFonts w:ascii="Times New Roman" w:hAnsi="Times New Roman"/>
          <w:b/>
          <w:noProof/>
        </w:rPr>
        <w:t>Pty Ltd</w:t>
      </w:r>
      <w:r w:rsidR="00277B53">
        <w:rPr>
          <w:rFonts w:ascii="Times New Roman" w:hAnsi="Times New Roman"/>
          <w:b/>
        </w:rPr>
        <w:t>’s a</w:t>
      </w:r>
      <w:r w:rsidR="00277B53" w:rsidRPr="00846505">
        <w:rPr>
          <w:rFonts w:ascii="Times New Roman" w:hAnsi="Times New Roman"/>
          <w:b/>
        </w:rPr>
        <w:t xml:space="preserve">pplication for </w:t>
      </w:r>
      <w:r w:rsidR="00277B53">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006B10E4">
        <w:rPr>
          <w:rFonts w:ascii="Times New Roman" w:hAnsi="Times New Roman"/>
          <w:noProof/>
        </w:rPr>
        <w:t>December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6B10E4">
        <w:rPr>
          <w:rFonts w:ascii="Times New Roman" w:hAnsi="Times New Roman"/>
        </w:rPr>
        <w:t>Simply Energy Solutions</w:t>
      </w:r>
      <w:r w:rsidR="006A462F">
        <w:rPr>
          <w:rFonts w:ascii="Times New Roman" w:hAnsi="Times New Roman"/>
        </w:rPr>
        <w:t xml:space="preserve"> Pty Ltd</w:t>
      </w:r>
      <w:r w:rsidR="001A46E0">
        <w:rPr>
          <w:rFonts w:ascii="Times New Roman" w:hAnsi="Times New Roman"/>
        </w:rPr>
        <w:t xml:space="preserve"> </w:t>
      </w:r>
      <w:r>
        <w:rPr>
          <w:rFonts w:ascii="Times New Roman" w:hAnsi="Times New Roman"/>
        </w:rPr>
        <w:t>(</w:t>
      </w:r>
      <w:r w:rsidR="006A462F">
        <w:rPr>
          <w:rFonts w:ascii="Times New Roman" w:hAnsi="Times New Roman"/>
        </w:rPr>
        <w:t xml:space="preserve">ABN </w:t>
      </w:r>
      <w:r w:rsidR="006B10E4">
        <w:rPr>
          <w:rFonts w:ascii="Times New Roman" w:hAnsi="Times New Roman"/>
        </w:rPr>
        <w:t>86 165 627 396</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6B10E4">
        <w:rPr>
          <w:rFonts w:ascii="Times New Roman" w:hAnsi="Times New Roman"/>
        </w:rPr>
        <w:t>Simply Energy Solutions’</w:t>
      </w:r>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41255B">
        <w:rPr>
          <w:rFonts w:ascii="Times New Roman" w:hAnsi="Times New Roman"/>
        </w:rPr>
        <w:t>17 March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t>
      </w:r>
      <w:r w:rsidRPr="006B10E4">
        <w:rPr>
          <w:rFonts w:ascii="Times New Roman" w:hAnsi="Times New Roman"/>
        </w:rPr>
        <w:t xml:space="preserve">w. </w:t>
      </w:r>
      <w:r w:rsidRPr="002B24C5">
        <w:rPr>
          <w:rFonts w:ascii="Times New Roman" w:hAnsi="Times New Roman"/>
        </w:rPr>
        <w:t xml:space="preserve">This letter constitutes notice of intention to grant an individual exemption.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6B10E4">
        <w:rPr>
          <w:rFonts w:ascii="Times New Roman" w:hAnsi="Times New Roman"/>
        </w:rPr>
        <w:t>Simply Energy Solutions’</w:t>
      </w:r>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006B10E4">
        <w:rPr>
          <w:rFonts w:ascii="Times New Roman" w:hAnsi="Times New Roman"/>
        </w:rPr>
        <w:t>Simply Energy Solutions</w:t>
      </w:r>
      <w:r>
        <w:rPr>
          <w:rFonts w:ascii="Times New Roman" w:hAnsi="Times New Roman"/>
        </w:rPr>
        <w:t xml:space="preserve"> should be exempt from the requirement to hold a national retailer authorisation, having regard to the above considerations. </w:t>
      </w:r>
      <w:r w:rsidR="006A462F">
        <w:rPr>
          <w:rFonts w:ascii="Times New Roman" w:hAnsi="Times New Roman"/>
        </w:rPr>
        <w:t xml:space="preserve">If </w:t>
      </w:r>
      <w:r w:rsidR="006B10E4">
        <w:rPr>
          <w:rFonts w:ascii="Times New Roman" w:hAnsi="Times New Roman"/>
        </w:rPr>
        <w:t xml:space="preserve">Simply Energy Solutions </w:t>
      </w:r>
      <w:r>
        <w:rPr>
          <w:rFonts w:ascii="Times New Roman" w:hAnsi="Times New Roman"/>
        </w:rPr>
        <w:t>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006B10E4">
        <w:rPr>
          <w:rFonts w:ascii="Times New Roman" w:hAnsi="Times New Roman"/>
        </w:rPr>
        <w:t>Simply Energy Solutions</w:t>
      </w:r>
      <w:r w:rsidR="006B10E4" w:rsidRPr="007A4431">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6B10E4">
        <w:rPr>
          <w:rFonts w:ascii="Times New Roman" w:hAnsi="Times New Roman"/>
        </w:rPr>
        <w:t>Simply Energy Solutions</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41255B" w:rsidRPr="0041255B">
        <w:rPr>
          <w:rFonts w:ascii="Times New Roman" w:hAnsi="Times New Roman"/>
          <w:b/>
        </w:rPr>
        <w:t>20 April 2016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6B10E4">
        <w:rPr>
          <w:rFonts w:ascii="Times New Roman" w:hAnsi="Times New Roman"/>
        </w:rPr>
        <w:t>Simply Energy Solutions</w:t>
      </w:r>
      <w:r w:rsidR="006B10E4" w:rsidRPr="002B24C5">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41255B">
        <w:rPr>
          <w:rFonts w:ascii="Times New Roman" w:hAnsi="Times New Roman"/>
        </w:rPr>
        <w:t>17 March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6B10E4">
        <w:rPr>
          <w:rFonts w:ascii="Times New Roman" w:hAnsi="Times New Roman"/>
        </w:rPr>
        <w:t>Simply Energy Solutions Pty Ltd (ABN 86 165 627 396)</w:t>
      </w:r>
      <w:r w:rsidR="006B10E4" w:rsidRPr="00070CC1">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footerReference w:type="default" r:id="rId11"/>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67" w:rsidRDefault="00914567" w:rsidP="00070CC1">
      <w:r>
        <w:separator/>
      </w:r>
    </w:p>
  </w:endnote>
  <w:endnote w:type="continuationSeparator" w:id="0">
    <w:p w:rsidR="00914567" w:rsidRDefault="00914567"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344DD">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67" w:rsidRDefault="00914567" w:rsidP="00070CC1">
      <w:r>
        <w:separator/>
      </w:r>
    </w:p>
  </w:footnote>
  <w:footnote w:type="continuationSeparator" w:id="0">
    <w:p w:rsidR="00914567" w:rsidRDefault="00914567"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516\D16 21799  20160222 - Simply Energy Solutions - notice of instrument - individual exemption.DOCX"/>
  </w:docVars>
  <w:rsids>
    <w:rsidRoot w:val="00070CC1"/>
    <w:rsid w:val="00016371"/>
    <w:rsid w:val="0001710A"/>
    <w:rsid w:val="00021202"/>
    <w:rsid w:val="000276B6"/>
    <w:rsid w:val="000336AC"/>
    <w:rsid w:val="00070CC1"/>
    <w:rsid w:val="0007357F"/>
    <w:rsid w:val="000E1819"/>
    <w:rsid w:val="000E6C72"/>
    <w:rsid w:val="00124609"/>
    <w:rsid w:val="00134345"/>
    <w:rsid w:val="00142281"/>
    <w:rsid w:val="001573E4"/>
    <w:rsid w:val="00177AC5"/>
    <w:rsid w:val="001A46E0"/>
    <w:rsid w:val="001A77C4"/>
    <w:rsid w:val="001B18C7"/>
    <w:rsid w:val="001C254A"/>
    <w:rsid w:val="00206EF1"/>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1C95"/>
    <w:rsid w:val="00345678"/>
    <w:rsid w:val="003518B3"/>
    <w:rsid w:val="00353A88"/>
    <w:rsid w:val="00357A49"/>
    <w:rsid w:val="00361F8F"/>
    <w:rsid w:val="00362892"/>
    <w:rsid w:val="00374B3F"/>
    <w:rsid w:val="003B09D3"/>
    <w:rsid w:val="003E5F4B"/>
    <w:rsid w:val="0041255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A462F"/>
    <w:rsid w:val="006B10E4"/>
    <w:rsid w:val="006B3D0C"/>
    <w:rsid w:val="006B789F"/>
    <w:rsid w:val="006F2417"/>
    <w:rsid w:val="007232C5"/>
    <w:rsid w:val="007303C3"/>
    <w:rsid w:val="00741882"/>
    <w:rsid w:val="00763E5D"/>
    <w:rsid w:val="00777EE6"/>
    <w:rsid w:val="00780EB2"/>
    <w:rsid w:val="007973CB"/>
    <w:rsid w:val="00797E61"/>
    <w:rsid w:val="007A4431"/>
    <w:rsid w:val="007C1C53"/>
    <w:rsid w:val="007E2679"/>
    <w:rsid w:val="007F1B09"/>
    <w:rsid w:val="0080416D"/>
    <w:rsid w:val="00830D4F"/>
    <w:rsid w:val="00851209"/>
    <w:rsid w:val="00890B3D"/>
    <w:rsid w:val="008B6FA2"/>
    <w:rsid w:val="008E3EFF"/>
    <w:rsid w:val="008E7031"/>
    <w:rsid w:val="008F357C"/>
    <w:rsid w:val="00914567"/>
    <w:rsid w:val="009436F2"/>
    <w:rsid w:val="009631E3"/>
    <w:rsid w:val="009D0559"/>
    <w:rsid w:val="00A22B9A"/>
    <w:rsid w:val="00A33B70"/>
    <w:rsid w:val="00A60A26"/>
    <w:rsid w:val="00A747AB"/>
    <w:rsid w:val="00A85D3C"/>
    <w:rsid w:val="00A97E12"/>
    <w:rsid w:val="00AA15CF"/>
    <w:rsid w:val="00AB7AF5"/>
    <w:rsid w:val="00AD6209"/>
    <w:rsid w:val="00AD7913"/>
    <w:rsid w:val="00AE142D"/>
    <w:rsid w:val="00B1459C"/>
    <w:rsid w:val="00B64218"/>
    <w:rsid w:val="00B81E2C"/>
    <w:rsid w:val="00B85C2E"/>
    <w:rsid w:val="00B87355"/>
    <w:rsid w:val="00BC23D1"/>
    <w:rsid w:val="00BD3446"/>
    <w:rsid w:val="00BE1E40"/>
    <w:rsid w:val="00BE1F1B"/>
    <w:rsid w:val="00BE461B"/>
    <w:rsid w:val="00C02BC8"/>
    <w:rsid w:val="00C16D2C"/>
    <w:rsid w:val="00C26467"/>
    <w:rsid w:val="00C31EA3"/>
    <w:rsid w:val="00C344DD"/>
    <w:rsid w:val="00C538A9"/>
    <w:rsid w:val="00C80CE8"/>
    <w:rsid w:val="00C82061"/>
    <w:rsid w:val="00C86679"/>
    <w:rsid w:val="00CA72A3"/>
    <w:rsid w:val="00CD3AD8"/>
    <w:rsid w:val="00D17C34"/>
    <w:rsid w:val="00D24093"/>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25A3-3A7E-4E39-B59C-94805510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6C69F617</Template>
  <TotalTime>1</TotalTime>
  <Pages>3</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2016-03-21T00:12:00Z</dcterms:created>
  <dcterms:modified xsi:type="dcterms:W3CDTF">2016-03-21T00:12:00Z</dcterms:modified>
</cp:coreProperties>
</file>