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57"/>
      </w:tblGrid>
      <w:tr w:rsidR="002A0CF5" w:rsidTr="00155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2A0CF5" w:rsidRDefault="002A0CF5" w:rsidP="00155955">
            <w:pPr>
              <w:spacing w:after="360"/>
              <w:ind w:left="-142"/>
              <w:rPr>
                <w:b w:val="0"/>
                <w:sz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4CA7AF4" wp14:editId="56DBABB2">
                  <wp:extent cx="1873907" cy="6361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1"/>
                          <a:stretch/>
                        </pic:blipFill>
                        <pic:spPr bwMode="auto">
                          <a:xfrm>
                            <a:off x="0" y="0"/>
                            <a:ext cx="1889362" cy="64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:rsidR="002A0CF5" w:rsidRPr="001B5414" w:rsidRDefault="002A0CF5" w:rsidP="00155955">
            <w:pPr>
              <w:spacing w:before="180" w:line="276" w:lineRule="auto"/>
              <w:ind w:right="-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E50AB">
              <w:rPr>
                <w:color w:val="808080" w:themeColor="background1" w:themeShade="80"/>
                <w:sz w:val="28"/>
              </w:rPr>
              <w:t xml:space="preserve">Public forum </w:t>
            </w:r>
            <w:r>
              <w:rPr>
                <w:color w:val="808080" w:themeColor="background1" w:themeShade="80"/>
                <w:sz w:val="28"/>
              </w:rPr>
              <w:t xml:space="preserve">6 October 2017 </w:t>
            </w:r>
            <w:r w:rsidRPr="003E50AB">
              <w:rPr>
                <w:color w:val="808080" w:themeColor="background1" w:themeShade="80"/>
                <w:sz w:val="28"/>
              </w:rPr>
              <w:t>– Developing our approach to monitoring the performance of wholesale electricity markets</w:t>
            </w:r>
          </w:p>
        </w:tc>
      </w:tr>
    </w:tbl>
    <w:p w:rsidR="002A0CF5" w:rsidRPr="001B3103" w:rsidRDefault="002A0CF5" w:rsidP="002A0CF5">
      <w:pPr>
        <w:spacing w:before="360" w:after="120"/>
        <w:rPr>
          <w:b/>
          <w:sz w:val="24"/>
          <w:szCs w:val="24"/>
        </w:rPr>
      </w:pPr>
      <w:r w:rsidRPr="001B3103">
        <w:rPr>
          <w:b/>
          <w:sz w:val="24"/>
          <w:szCs w:val="24"/>
        </w:rPr>
        <w:t>Objectives of forum</w:t>
      </w:r>
    </w:p>
    <w:p w:rsidR="002A0CF5" w:rsidRDefault="002A0CF5" w:rsidP="002A0CF5">
      <w:pPr>
        <w:rPr>
          <w:b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B60E750" wp14:editId="1F96ABCD">
                <wp:extent cx="5302155" cy="1353787"/>
                <wp:effectExtent l="76200" t="76200" r="222885" b="22796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155" cy="13537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  <a:effectLst>
                          <a:outerShdw blurRad="139700" dist="101600" dir="2700000" algn="ctr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CF5" w:rsidRPr="00FC4622" w:rsidRDefault="002A0CF5" w:rsidP="002A0CF5">
                            <w:pPr>
                              <w:pStyle w:val="NormalWeb"/>
                              <w:spacing w:before="240" w:beforeAutospacing="0" w:after="12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46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 want to listen to your perspectives on:</w:t>
                            </w:r>
                          </w:p>
                          <w:p w:rsidR="002A0CF5" w:rsidRPr="00FC4622" w:rsidRDefault="002A0CF5" w:rsidP="002A0CF5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46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How should the AER approach its new functions?</w:t>
                            </w:r>
                          </w:p>
                          <w:p w:rsidR="002A0CF5" w:rsidRPr="00FC4622" w:rsidRDefault="002A0CF5" w:rsidP="002A0CF5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46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Where can the AER’s monitoring add the most value?</w:t>
                            </w:r>
                          </w:p>
                          <w:p w:rsidR="002A0CF5" w:rsidRPr="00FC4622" w:rsidRDefault="002A0CF5" w:rsidP="002A0CF5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120" w:beforeAutospacing="0" w:after="24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46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issues, analysis or tools should the AER prioritise?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17.5pt;height:1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" fillcolor="#ecf5fb [663]" strokecolor="white [3212]" strokeweight="3pt">
                <v:shadow on="t" color="black" opacity="22937f" offset="1.99561mm,1.99561mm"/>
                <v:textbox>
                  <w:txbxContent>
                    <w:p w:rsidR="002A0CF5" w:rsidRPr="00FC4622" w:rsidRDefault="002A0CF5" w:rsidP="002A0CF5">
                      <w:pPr>
                        <w:pStyle w:val="NormalWeb"/>
                        <w:spacing w:before="240" w:beforeAutospacing="0" w:after="12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46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 want to listen to your perspectives on:</w:t>
                      </w:r>
                    </w:p>
                    <w:p w:rsidR="002A0CF5" w:rsidRPr="00FC4622" w:rsidRDefault="002A0CF5" w:rsidP="002A0CF5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46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How should the AER approach its new functions?</w:t>
                      </w:r>
                    </w:p>
                    <w:p w:rsidR="002A0CF5" w:rsidRPr="00FC4622" w:rsidRDefault="002A0CF5" w:rsidP="002A0CF5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46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Where can the AER’s monitoring add the most value?</w:t>
                      </w:r>
                    </w:p>
                    <w:p w:rsidR="002A0CF5" w:rsidRPr="00FC4622" w:rsidRDefault="002A0CF5" w:rsidP="002A0CF5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120" w:beforeAutospacing="0" w:after="240" w:afterAutospacing="0"/>
                        <w:ind w:left="714" w:hanging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46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issues, analysis or tools should the AER prioritise?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0CF5" w:rsidRPr="001B3103" w:rsidRDefault="002A0CF5" w:rsidP="002A0CF5">
      <w:pPr>
        <w:spacing w:before="120"/>
        <w:rPr>
          <w:b/>
        </w:rPr>
      </w:pPr>
      <w:r w:rsidRPr="001B3103">
        <w:rPr>
          <w:b/>
        </w:rPr>
        <w:t>Agenda</w:t>
      </w:r>
    </w:p>
    <w:p w:rsidR="002A0CF5" w:rsidRDefault="002A0CF5" w:rsidP="002A0CF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804"/>
      </w:tblGrid>
      <w:tr w:rsidR="002A0CF5" w:rsidRPr="001B5414" w:rsidTr="00155955">
        <w:tc>
          <w:tcPr>
            <w:tcW w:w="2235" w:type="dxa"/>
            <w:shd w:val="clear" w:color="auto" w:fill="1B587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  <w:color w:val="FFFFFF"/>
              </w:rPr>
            </w:pPr>
            <w:r w:rsidRPr="001B5414">
              <w:rPr>
                <w:rFonts w:ascii="Calibri" w:hAnsi="Calibri"/>
                <w:bCs/>
                <w:color w:val="FFFFFF"/>
              </w:rPr>
              <w:t>Time</w:t>
            </w:r>
          </w:p>
        </w:tc>
        <w:tc>
          <w:tcPr>
            <w:tcW w:w="6804" w:type="dxa"/>
            <w:shd w:val="clear" w:color="auto" w:fill="1B587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  <w:color w:val="FFFFFF"/>
              </w:rPr>
            </w:pPr>
            <w:r w:rsidRPr="001B5414">
              <w:rPr>
                <w:rFonts w:ascii="Calibri" w:hAnsi="Calibri"/>
                <w:bCs/>
                <w:color w:val="FFFFFF"/>
              </w:rPr>
              <w:t>Item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  <w:color w:val="1B2F6F"/>
              </w:rPr>
              <w:t>09:30</w:t>
            </w:r>
            <w:r w:rsidRPr="001B5414">
              <w:rPr>
                <w:rFonts w:ascii="Calibri" w:hAnsi="Calibri"/>
                <w:bCs/>
              </w:rPr>
              <w:t>—10:</w:t>
            </w:r>
            <w:r w:rsidRPr="001B5414">
              <w:rPr>
                <w:rFonts w:ascii="Calibri" w:hAnsi="Calibri"/>
                <w:bCs/>
                <w:color w:val="1B2F6F"/>
              </w:rPr>
              <w:t>0</w:t>
            </w:r>
            <w:r w:rsidRPr="001B5414">
              <w:rPr>
                <w:rFonts w:ascii="Calibri" w:hAnsi="Calibri"/>
                <w:bCs/>
              </w:rPr>
              <w:t>0</w:t>
            </w:r>
          </w:p>
        </w:tc>
        <w:tc>
          <w:tcPr>
            <w:tcW w:w="680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</w:rPr>
            </w:pPr>
            <w:r w:rsidRPr="001B5414">
              <w:rPr>
                <w:rFonts w:ascii="Calibri" w:hAnsi="Calibri"/>
                <w:bCs/>
              </w:rPr>
              <w:t>Registration</w:t>
            </w:r>
            <w:r w:rsidRPr="001B5414">
              <w:rPr>
                <w:rFonts w:ascii="Calibri" w:hAnsi="Calibri"/>
                <w:bCs/>
                <w:color w:val="1B2F6F"/>
              </w:rPr>
              <w:t xml:space="preserve">  </w:t>
            </w:r>
            <w:r w:rsidRPr="001B5414">
              <w:rPr>
                <w:rFonts w:ascii="Calibri" w:hAnsi="Calibri"/>
                <w:bCs/>
              </w:rPr>
              <w:t>Tea/coffee</w:t>
            </w:r>
          </w:p>
        </w:tc>
      </w:tr>
      <w:tr w:rsidR="002A0CF5" w:rsidRPr="001B5414" w:rsidTr="0015595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12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10:00—10:10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120"/>
              <w:rPr>
                <w:rFonts w:ascii="Calibri" w:hAnsi="Calibri"/>
                <w:bCs/>
              </w:rPr>
            </w:pPr>
            <w:r w:rsidRPr="003E50AB">
              <w:rPr>
                <w:rFonts w:ascii="Calibri" w:hAnsi="Calibri"/>
                <w:b/>
                <w:bCs/>
              </w:rPr>
              <w:t>Welcome</w:t>
            </w:r>
            <w:r>
              <w:rPr>
                <w:rFonts w:ascii="Calibri" w:hAnsi="Calibri"/>
                <w:bCs/>
              </w:rPr>
              <w:t xml:space="preserve"> -</w:t>
            </w:r>
            <w:r w:rsidRPr="001B5414">
              <w:rPr>
                <w:rFonts w:ascii="Calibri" w:hAnsi="Calibri"/>
                <w:bCs/>
              </w:rPr>
              <w:t xml:space="preserve"> Paula Conboy</w:t>
            </w:r>
          </w:p>
        </w:tc>
      </w:tr>
      <w:tr w:rsidR="002A0CF5" w:rsidRPr="001B5414" w:rsidTr="0015595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120" w:after="12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10:</w:t>
            </w:r>
            <w:r w:rsidRPr="001B5414">
              <w:rPr>
                <w:rFonts w:ascii="Calibri" w:hAnsi="Calibri"/>
                <w:bCs/>
                <w:color w:val="1B2F6F"/>
              </w:rPr>
              <w:t>1</w:t>
            </w:r>
            <w:r w:rsidRPr="001B5414">
              <w:rPr>
                <w:rFonts w:ascii="Calibri" w:hAnsi="Calibri"/>
                <w:bCs/>
              </w:rPr>
              <w:t>0—10:</w:t>
            </w:r>
            <w:r w:rsidRPr="001B5414">
              <w:rPr>
                <w:rFonts w:ascii="Calibri" w:hAnsi="Calibri"/>
                <w:bCs/>
                <w:color w:val="1B2F6F"/>
              </w:rPr>
              <w:t>20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autoSpaceDE w:val="0"/>
              <w:autoSpaceDN w:val="0"/>
              <w:spacing w:before="120" w:after="120" w:line="276" w:lineRule="auto"/>
              <w:rPr>
                <w:rFonts w:ascii="Calibri" w:hAnsi="Calibri"/>
                <w:bCs/>
              </w:rPr>
            </w:pPr>
            <w:r w:rsidRPr="003E50AB">
              <w:rPr>
                <w:rFonts w:ascii="Calibri" w:hAnsi="Calibri"/>
                <w:b/>
                <w:bCs/>
              </w:rPr>
              <w:t>Overview</w:t>
            </w:r>
            <w:r w:rsidRPr="001B5414">
              <w:rPr>
                <w:rFonts w:ascii="Calibri" w:hAnsi="Calibri"/>
                <w:bCs/>
              </w:rPr>
              <w:t xml:space="preserve"> of new functions</w:t>
            </w:r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  <w:color w:val="1B2F6F"/>
              </w:rPr>
              <w:t>o</w:t>
            </w:r>
            <w:r w:rsidRPr="001B5414">
              <w:rPr>
                <w:rFonts w:ascii="Calibri" w:hAnsi="Calibri"/>
                <w:bCs/>
              </w:rPr>
              <w:t>bjectives and structure of forum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spacing w:before="120" w:after="6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</w:t>
            </w:r>
            <w:r w:rsidRPr="001B5414">
              <w:rPr>
                <w:rFonts w:ascii="Calibri" w:hAnsi="Calibri"/>
                <w:bCs/>
                <w:color w:val="1B2F6F"/>
              </w:rPr>
              <w:t>0</w:t>
            </w:r>
            <w:r w:rsidRPr="001B5414">
              <w:rPr>
                <w:rFonts w:ascii="Calibri" w:hAnsi="Calibri"/>
                <w:bCs/>
              </w:rPr>
              <w:t>:</w:t>
            </w:r>
            <w:r w:rsidRPr="001B5414">
              <w:rPr>
                <w:rFonts w:ascii="Calibri" w:hAnsi="Calibri"/>
                <w:bCs/>
                <w:color w:val="1B2F6F"/>
              </w:rPr>
              <w:t>20</w:t>
            </w:r>
            <w:r w:rsidRPr="001B5414">
              <w:rPr>
                <w:rFonts w:ascii="Calibri" w:hAnsi="Calibri"/>
                <w:bCs/>
              </w:rPr>
              <w:t>—10:</w:t>
            </w:r>
            <w:r w:rsidRPr="001B5414">
              <w:rPr>
                <w:rFonts w:ascii="Calibri" w:hAnsi="Calibri"/>
                <w:bCs/>
                <w:color w:val="1B2F6F"/>
              </w:rPr>
              <w:t>45</w:t>
            </w:r>
          </w:p>
        </w:tc>
        <w:tc>
          <w:tcPr>
            <w:tcW w:w="6804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autoSpaceDE w:val="0"/>
              <w:autoSpaceDN w:val="0"/>
              <w:spacing w:before="120" w:after="60" w:line="276" w:lineRule="auto"/>
              <w:rPr>
                <w:rFonts w:ascii="Calibri" w:hAnsi="Calibri"/>
                <w:bCs/>
                <w:color w:val="000000"/>
              </w:rPr>
            </w:pPr>
            <w:r w:rsidRPr="003E50AB">
              <w:rPr>
                <w:rFonts w:ascii="Calibri" w:hAnsi="Calibri"/>
                <w:b/>
                <w:bCs/>
                <w:color w:val="000000"/>
              </w:rPr>
              <w:t>Discussion 1</w:t>
            </w:r>
            <w:r w:rsidRPr="00FC4622">
              <w:rPr>
                <w:rFonts w:ascii="Calibri" w:hAnsi="Calibri"/>
                <w:b/>
                <w:bCs/>
                <w:color w:val="000000"/>
              </w:rPr>
              <w:t>:</w:t>
            </w:r>
            <w:r w:rsidRPr="001B5414">
              <w:rPr>
                <w:rFonts w:ascii="Calibri" w:hAnsi="Calibri"/>
                <w:bCs/>
                <w:color w:val="000000"/>
              </w:rPr>
              <w:t xml:space="preserve"> Key concepts - </w:t>
            </w:r>
            <w:r w:rsidRPr="001B5414">
              <w:rPr>
                <w:rFonts w:ascii="Calibri" w:hAnsi="Calibri"/>
              </w:rPr>
              <w:t>What do we mean by effective competition and efficiency?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</w:t>
            </w:r>
            <w:r w:rsidRPr="001B5414">
              <w:rPr>
                <w:rFonts w:ascii="Calibri" w:hAnsi="Calibri"/>
                <w:bCs/>
                <w:color w:val="1B2F6F"/>
              </w:rPr>
              <w:t>0</w:t>
            </w:r>
            <w:r w:rsidRPr="001B5414">
              <w:rPr>
                <w:rFonts w:ascii="Calibri" w:hAnsi="Calibri"/>
                <w:bCs/>
              </w:rPr>
              <w:t>:</w:t>
            </w:r>
            <w:r w:rsidRPr="001B5414">
              <w:rPr>
                <w:rFonts w:ascii="Calibri" w:hAnsi="Calibri"/>
                <w:bCs/>
                <w:color w:val="1B2F6F"/>
              </w:rPr>
              <w:t>45</w:t>
            </w:r>
            <w:r w:rsidRPr="001B5414">
              <w:rPr>
                <w:rFonts w:ascii="Calibri" w:hAnsi="Calibri"/>
                <w:bCs/>
              </w:rPr>
              <w:t>—11:</w:t>
            </w:r>
            <w:r w:rsidRPr="001B5414">
              <w:rPr>
                <w:rFonts w:ascii="Calibri" w:hAnsi="Calibri"/>
                <w:bCs/>
                <w:color w:val="1B2F6F"/>
              </w:rPr>
              <w:t>10</w:t>
            </w:r>
          </w:p>
        </w:tc>
        <w:tc>
          <w:tcPr>
            <w:tcW w:w="680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</w:rPr>
            </w:pPr>
            <w:r w:rsidRPr="003E50AB">
              <w:rPr>
                <w:rFonts w:ascii="Calibri" w:hAnsi="Calibri"/>
                <w:b/>
                <w:bCs/>
                <w:color w:val="000000"/>
              </w:rPr>
              <w:t>Discussion 2</w:t>
            </w:r>
            <w:r w:rsidRPr="00FC4622">
              <w:rPr>
                <w:rFonts w:ascii="Calibri" w:hAnsi="Calibri"/>
                <w:b/>
                <w:bCs/>
                <w:color w:val="000000"/>
              </w:rPr>
              <w:t>:</w:t>
            </w:r>
            <w:r w:rsidRPr="001B5414">
              <w:rPr>
                <w:rFonts w:ascii="Calibri" w:hAnsi="Calibri"/>
                <w:bCs/>
                <w:color w:val="000000"/>
              </w:rPr>
              <w:t xml:space="preserve">  </w:t>
            </w:r>
            <w:r w:rsidRPr="001B5414">
              <w:rPr>
                <w:rFonts w:ascii="Calibri" w:hAnsi="Calibri"/>
              </w:rPr>
              <w:t>How do we define the relevant markets?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11:10—11:35</w:t>
            </w:r>
          </w:p>
        </w:tc>
        <w:tc>
          <w:tcPr>
            <w:tcW w:w="680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autoSpaceDE w:val="0"/>
              <w:autoSpaceDN w:val="0"/>
              <w:spacing w:before="240" w:after="240" w:line="276" w:lineRule="auto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Morning tea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11:35—12:00</w:t>
            </w:r>
          </w:p>
        </w:tc>
        <w:tc>
          <w:tcPr>
            <w:tcW w:w="6804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autoSpaceDE w:val="0"/>
              <w:autoSpaceDN w:val="0"/>
              <w:spacing w:before="240" w:after="240" w:line="276" w:lineRule="auto"/>
              <w:rPr>
                <w:rFonts w:ascii="Calibri" w:hAnsi="Calibri"/>
                <w:bCs/>
                <w:color w:val="000000"/>
              </w:rPr>
            </w:pPr>
            <w:r w:rsidRPr="003E50AB">
              <w:rPr>
                <w:rFonts w:ascii="Calibri" w:hAnsi="Calibri"/>
                <w:b/>
                <w:bCs/>
                <w:color w:val="000000"/>
              </w:rPr>
              <w:t>Discussion 3:</w:t>
            </w:r>
            <w:r w:rsidRPr="001B5414">
              <w:rPr>
                <w:rFonts w:ascii="Calibri" w:hAnsi="Calibri"/>
                <w:bCs/>
                <w:color w:val="000000"/>
              </w:rPr>
              <w:t xml:space="preserve">  How should we measure and assess market structure? </w:t>
            </w:r>
          </w:p>
        </w:tc>
        <w:bookmarkStart w:id="0" w:name="_GoBack"/>
        <w:bookmarkEnd w:id="0"/>
      </w:tr>
      <w:tr w:rsidR="002A0CF5" w:rsidRPr="001B5414" w:rsidTr="00155955">
        <w:tc>
          <w:tcPr>
            <w:tcW w:w="2235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12:00—12:25</w:t>
            </w:r>
          </w:p>
        </w:tc>
        <w:tc>
          <w:tcPr>
            <w:tcW w:w="680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3E50AB">
              <w:rPr>
                <w:rFonts w:ascii="Calibri" w:hAnsi="Calibri"/>
                <w:b/>
                <w:bCs/>
                <w:color w:val="000000"/>
              </w:rPr>
              <w:t>Discussion 4:</w:t>
            </w:r>
            <w:r w:rsidRPr="001B5414">
              <w:rPr>
                <w:rFonts w:ascii="Calibri" w:hAnsi="Calibri"/>
                <w:bCs/>
                <w:color w:val="000000"/>
              </w:rPr>
              <w:t>  How should we measure and assess participant conduct?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12:25—12:50</w:t>
            </w:r>
          </w:p>
        </w:tc>
        <w:tc>
          <w:tcPr>
            <w:tcW w:w="6804" w:type="dxa"/>
            <w:shd w:val="clear" w:color="auto" w:fill="ECF5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  <w:color w:val="000000"/>
              </w:rPr>
            </w:pPr>
            <w:r w:rsidRPr="00FC4622">
              <w:rPr>
                <w:rFonts w:ascii="Calibri" w:hAnsi="Calibri"/>
                <w:b/>
                <w:bCs/>
                <w:color w:val="000000"/>
              </w:rPr>
              <w:t>Discussion 5:</w:t>
            </w:r>
            <w:r w:rsidRPr="001B5414">
              <w:rPr>
                <w:rFonts w:ascii="Calibri" w:hAnsi="Calibri"/>
                <w:bCs/>
                <w:color w:val="000000"/>
              </w:rPr>
              <w:t>  How should we measure performance?</w:t>
            </w:r>
          </w:p>
        </w:tc>
      </w:tr>
      <w:tr w:rsidR="002A0CF5" w:rsidRPr="001B5414" w:rsidTr="00155955">
        <w:trPr>
          <w:trHeight w:val="381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12:50—13:00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bCs/>
                <w:color w:val="1B2F6F"/>
              </w:rPr>
            </w:pPr>
            <w:r w:rsidRPr="001B5414">
              <w:rPr>
                <w:rFonts w:ascii="Calibri" w:hAnsi="Calibri"/>
                <w:bCs/>
              </w:rPr>
              <w:t>Close and next steps</w:t>
            </w:r>
          </w:p>
        </w:tc>
      </w:tr>
      <w:tr w:rsidR="002A0CF5" w:rsidRPr="001B5414" w:rsidTr="00155955">
        <w:tc>
          <w:tcPr>
            <w:tcW w:w="22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13:00</w:t>
            </w:r>
          </w:p>
        </w:tc>
        <w:tc>
          <w:tcPr>
            <w:tcW w:w="680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F5" w:rsidRPr="001B5414" w:rsidRDefault="002A0CF5" w:rsidP="00155955">
            <w:pPr>
              <w:spacing w:before="240" w:after="240"/>
              <w:rPr>
                <w:rFonts w:ascii="Calibri" w:hAnsi="Calibri"/>
                <w:bCs/>
              </w:rPr>
            </w:pPr>
            <w:r w:rsidRPr="001B5414">
              <w:rPr>
                <w:rFonts w:ascii="Calibri" w:hAnsi="Calibri"/>
                <w:bCs/>
              </w:rPr>
              <w:t>Lunch in the foyer</w:t>
            </w:r>
          </w:p>
        </w:tc>
      </w:tr>
    </w:tbl>
    <w:p w:rsidR="00303C4A" w:rsidRDefault="00303C4A" w:rsidP="002A0CF5"/>
    <w:sectPr w:rsidR="00303C4A" w:rsidSect="002A0CF5">
      <w:footerReference w:type="first" r:id="rId11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5" w:rsidRDefault="002A0CF5" w:rsidP="004B4412">
      <w:pPr>
        <w:spacing w:before="0"/>
      </w:pPr>
      <w:r>
        <w:separator/>
      </w:r>
    </w:p>
  </w:endnote>
  <w:endnote w:type="continuationSeparator" w:id="0">
    <w:p w:rsidR="002A0CF5" w:rsidRDefault="002A0CF5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5" w:rsidRDefault="002A0CF5" w:rsidP="004B4412">
      <w:pPr>
        <w:spacing w:before="0"/>
      </w:pPr>
      <w:r>
        <w:separator/>
      </w:r>
    </w:p>
  </w:footnote>
  <w:footnote w:type="continuationSeparator" w:id="0">
    <w:p w:rsidR="002A0CF5" w:rsidRDefault="002A0CF5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417774"/>
    <w:multiLevelType w:val="hybridMultilevel"/>
    <w:tmpl w:val="3C2E35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3"/>
  </w:num>
  <w:num w:numId="16">
    <w:abstractNumId w:val="26"/>
  </w:num>
  <w:num w:numId="17">
    <w:abstractNumId w:val="25"/>
  </w:num>
  <w:num w:numId="18">
    <w:abstractNumId w:val="19"/>
  </w:num>
  <w:num w:numId="19">
    <w:abstractNumId w:val="13"/>
  </w:num>
  <w:num w:numId="20">
    <w:abstractNumId w:val="16"/>
  </w:num>
  <w:num w:numId="21">
    <w:abstractNumId w:val="24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1"/>
  </w:num>
  <w:num w:numId="27">
    <w:abstractNumId w:val="21"/>
  </w:num>
  <w:num w:numId="28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T:\Strat_Comms\Pubs_Design\Templates\ACCC\Completed\ACCC\Normal_04.dotm"/>
  </w:docVars>
  <w:rsids>
    <w:rsidRoot w:val="002A0CF5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0CF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NormalWeb">
    <w:name w:val="Normal (Web)"/>
    <w:basedOn w:val="Normal"/>
    <w:uiPriority w:val="99"/>
    <w:unhideWhenUsed/>
    <w:rsid w:val="002A0C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NormalWeb">
    <w:name w:val="Normal (Web)"/>
    <w:basedOn w:val="Normal"/>
    <w:uiPriority w:val="99"/>
    <w:unhideWhenUsed/>
    <w:rsid w:val="002A0C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0554F-9541-4F06-AD6B-0378E87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7000DFD8</Template>
  <TotalTime>3</TotalTime>
  <Pages>1</Pages>
  <Words>118</Words>
  <Characters>652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Alistair Newman</dc:creator>
  <cp:keywords/>
  <dc:description/>
  <cp:lastModifiedBy>Alistair Newman</cp:lastModifiedBy>
  <cp:revision>1</cp:revision>
  <dcterms:created xsi:type="dcterms:W3CDTF">2017-10-04T03:06:00Z</dcterms:created>
  <dcterms:modified xsi:type="dcterms:W3CDTF">2017-10-04T03:10:00Z</dcterms:modified>
</cp:coreProperties>
</file>