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EBB" w:rsidRDefault="00F15EBB" w:rsidP="00F15EBB">
      <w:pPr>
        <w:pStyle w:val="Title"/>
        <w:rPr>
          <w:lang w:val="en-US"/>
        </w:rPr>
      </w:pPr>
      <w:r>
        <w:rPr>
          <w:lang w:val="en-US"/>
        </w:rPr>
        <w:t>Errata and corrections</w:t>
      </w:r>
    </w:p>
    <w:p w:rsidR="00B733BB" w:rsidRDefault="00A25D80" w:rsidP="00A25D80">
      <w:pPr>
        <w:pStyle w:val="Subtitle"/>
        <w:rPr>
          <w:lang w:val="en-US"/>
        </w:rPr>
      </w:pPr>
      <w:r>
        <w:rPr>
          <w:lang w:val="en-US"/>
        </w:rPr>
        <w:t>State of the energy market 2018</w:t>
      </w:r>
    </w:p>
    <w:p w:rsidR="00AB5398" w:rsidRDefault="00AB5398" w:rsidP="00AB5398">
      <w:pPr>
        <w:rPr>
          <w:b/>
          <w:lang w:val="en-US"/>
        </w:rPr>
      </w:pPr>
      <w:bookmarkStart w:id="0" w:name="_GoBack"/>
      <w:bookmarkEnd w:id="0"/>
      <w:r>
        <w:rPr>
          <w:b/>
          <w:lang w:val="en-US"/>
        </w:rPr>
        <w:t>Page 35 – table 1.1 (Retailers offering energy contracts to small customers)</w:t>
      </w:r>
    </w:p>
    <w:p w:rsidR="00AB5398" w:rsidRDefault="00AB5398" w:rsidP="00AB5398">
      <w:pPr>
        <w:rPr>
          <w:lang w:val="en-US"/>
        </w:rPr>
      </w:pPr>
      <w:r>
        <w:rPr>
          <w:lang w:val="en-US"/>
        </w:rPr>
        <w:t>Enova Energy was incorrectly excluded from the table. The table has been corrected to show that Enova energy provides retail energy contracts in NSW. The total number of retailers has been updated along with the text on p. 34.</w:t>
      </w:r>
    </w:p>
    <w:p w:rsidR="00AB5398" w:rsidRDefault="00AB5398" w:rsidP="00AB5398">
      <w:pPr>
        <w:rPr>
          <w:b/>
          <w:lang w:val="en-US"/>
        </w:rPr>
      </w:pPr>
      <w:r>
        <w:rPr>
          <w:b/>
          <w:lang w:val="en-US"/>
        </w:rPr>
        <w:t>Page 42 – figure 1.5 (Change in average residential electricity customer prices in the NEM)</w:t>
      </w:r>
    </w:p>
    <w:p w:rsidR="00AB5398" w:rsidRDefault="00AB5398" w:rsidP="00AB5398">
      <w:pPr>
        <w:rPr>
          <w:lang w:val="en-US"/>
        </w:rPr>
      </w:pPr>
      <w:r>
        <w:rPr>
          <w:lang w:val="en-US"/>
        </w:rPr>
        <w:t>The labels for wholesale and network costs for both 2007-08 and 2017-18 were incorrectly inverted. They have now been corrected.</w:t>
      </w:r>
    </w:p>
    <w:p w:rsidR="00AB5398" w:rsidRDefault="00AB5398" w:rsidP="00AB5398">
      <w:pPr>
        <w:rPr>
          <w:b/>
          <w:lang w:val="en-US"/>
        </w:rPr>
      </w:pPr>
      <w:r>
        <w:rPr>
          <w:b/>
          <w:lang w:val="en-US"/>
        </w:rPr>
        <w:t>Page 100 – table 2.5 (New generation investment in 2017 and 2018)</w:t>
      </w:r>
    </w:p>
    <w:p w:rsidR="00AB5398" w:rsidRDefault="00AB5398" w:rsidP="00AB5398">
      <w:pPr>
        <w:rPr>
          <w:lang w:val="en-US"/>
        </w:rPr>
      </w:pPr>
      <w:r>
        <w:rPr>
          <w:lang w:val="en-US"/>
        </w:rPr>
        <w:t>Total capacity for NSW, Queensland and Victoria were incorrectly summed and a wind farm in Ararat incorrectly excluded. The totals have been corrected and the wind farm included.</w:t>
      </w:r>
    </w:p>
    <w:p w:rsidR="00AB5398" w:rsidRDefault="00AB5398" w:rsidP="00AB5398">
      <w:pPr>
        <w:rPr>
          <w:b/>
          <w:lang w:val="en-US"/>
        </w:rPr>
      </w:pPr>
      <w:r>
        <w:rPr>
          <w:b/>
          <w:lang w:val="en-US"/>
        </w:rPr>
        <w:t>Page 101 – table 2.6 (Committed investment projects in the NEM)</w:t>
      </w:r>
    </w:p>
    <w:p w:rsidR="00AB5398" w:rsidRDefault="00AB5398" w:rsidP="00AB5398">
      <w:pPr>
        <w:rPr>
          <w:lang w:val="en-US"/>
        </w:rPr>
      </w:pPr>
      <w:r>
        <w:rPr>
          <w:lang w:val="en-US"/>
        </w:rPr>
        <w:t xml:space="preserve">Capacities for Haughton and </w:t>
      </w:r>
      <w:proofErr w:type="spellStart"/>
      <w:r>
        <w:rPr>
          <w:lang w:val="en-US"/>
        </w:rPr>
        <w:t>Teebar</w:t>
      </w:r>
      <w:proofErr w:type="spellEnd"/>
      <w:r>
        <w:rPr>
          <w:lang w:val="en-US"/>
        </w:rPr>
        <w:t xml:space="preserve"> One solar farms were omitted. They have been included.</w:t>
      </w:r>
    </w:p>
    <w:p w:rsidR="00AB5398" w:rsidRDefault="00AB5398" w:rsidP="00AB5398">
      <w:pPr>
        <w:rPr>
          <w:b/>
          <w:lang w:val="en-US"/>
        </w:rPr>
      </w:pPr>
      <w:r>
        <w:rPr>
          <w:b/>
          <w:lang w:val="en-US"/>
        </w:rPr>
        <w:t>Page 112 – figure 2.26 (Weekly spot prices)</w:t>
      </w:r>
    </w:p>
    <w:p w:rsidR="00AB5398" w:rsidRDefault="00AB5398" w:rsidP="00AB5398">
      <w:pPr>
        <w:rPr>
          <w:lang w:val="en-US"/>
        </w:rPr>
      </w:pPr>
      <w:r>
        <w:rPr>
          <w:lang w:val="en-US"/>
        </w:rPr>
        <w:t>The date of the Queensland Stanwell direction was incorrectly marked as March 2017. It has been corrected to June 2017.</w:t>
      </w:r>
    </w:p>
    <w:p w:rsidR="00AB5398" w:rsidRDefault="00AB5398" w:rsidP="00AB5398">
      <w:pPr>
        <w:rPr>
          <w:b/>
          <w:lang w:val="en-US"/>
        </w:rPr>
      </w:pPr>
      <w:r>
        <w:rPr>
          <w:b/>
          <w:lang w:val="en-US"/>
        </w:rPr>
        <w:t>Page 116-7 — figure 2.31 (FCAS costs as a percentage of energy cost) and related text</w:t>
      </w:r>
    </w:p>
    <w:p w:rsidR="00AB5398" w:rsidRDefault="00AB5398" w:rsidP="00AB5398">
      <w:pPr>
        <w:rPr>
          <w:lang w:val="en-US"/>
        </w:rPr>
      </w:pPr>
      <w:r>
        <w:rPr>
          <w:lang w:val="en-US"/>
        </w:rPr>
        <w:t>The scale on figure 2.31, p. 117 was incorrect. It overstated FCAS costs as a percentage of energy cost by a factor of ten. Changes to this chart have been reflected in changes to the text in section 2.9.7 – FCAS prices, p. 116.</w:t>
      </w:r>
    </w:p>
    <w:p w:rsidR="00AB5398" w:rsidRDefault="00AB5398" w:rsidP="00AB5398">
      <w:pPr>
        <w:rPr>
          <w:b/>
          <w:lang w:val="en-US"/>
        </w:rPr>
      </w:pPr>
      <w:r>
        <w:rPr>
          <w:b/>
          <w:lang w:val="en-US"/>
        </w:rPr>
        <w:t xml:space="preserve">Page 119 – figure 2.32 (Performance of the </w:t>
      </w:r>
      <w:proofErr w:type="spellStart"/>
      <w:r>
        <w:rPr>
          <w:b/>
          <w:lang w:val="en-US"/>
        </w:rPr>
        <w:t>Hornsdale</w:t>
      </w:r>
      <w:proofErr w:type="spellEnd"/>
      <w:r>
        <w:rPr>
          <w:b/>
          <w:lang w:val="en-US"/>
        </w:rPr>
        <w:t xml:space="preserve"> Power Reserve) and box 2.4 (</w:t>
      </w:r>
      <w:proofErr w:type="spellStart"/>
      <w:r>
        <w:rPr>
          <w:b/>
          <w:lang w:val="en-US"/>
        </w:rPr>
        <w:t>Hornsdale</w:t>
      </w:r>
      <w:proofErr w:type="spellEnd"/>
      <w:r>
        <w:rPr>
          <w:b/>
          <w:lang w:val="en-US"/>
        </w:rPr>
        <w:t xml:space="preserve"> Power Reserve)</w:t>
      </w:r>
    </w:p>
    <w:p w:rsidR="00AB5398" w:rsidRDefault="00AB5398" w:rsidP="00AB5398">
      <w:pPr>
        <w:rPr>
          <w:lang w:val="en-US"/>
        </w:rPr>
      </w:pPr>
      <w:r>
        <w:rPr>
          <w:lang w:val="en-US"/>
        </w:rPr>
        <w:t xml:space="preserve">The source of figure 2.32 and the text in box 2.4 was incorrectly attributed as AEMO, </w:t>
      </w:r>
      <w:proofErr w:type="gramStart"/>
      <w:r>
        <w:rPr>
          <w:i/>
          <w:lang w:val="en-US"/>
        </w:rPr>
        <w:t>Summer</w:t>
      </w:r>
      <w:proofErr w:type="gramEnd"/>
      <w:r>
        <w:rPr>
          <w:i/>
          <w:lang w:val="en-US"/>
        </w:rPr>
        <w:t xml:space="preserve"> operations review</w:t>
      </w:r>
      <w:r>
        <w:rPr>
          <w:lang w:val="en-US"/>
        </w:rPr>
        <w:t xml:space="preserve">, May 2018. This has been corrected to AEMO, </w:t>
      </w:r>
      <w:r>
        <w:rPr>
          <w:i/>
          <w:lang w:val="en-US"/>
        </w:rPr>
        <w:t>Quarterly Energy Dynamics</w:t>
      </w:r>
      <w:r>
        <w:rPr>
          <w:lang w:val="en-US"/>
        </w:rPr>
        <w:t>, Q1 2018, p. 14.</w:t>
      </w:r>
    </w:p>
    <w:p w:rsidR="00AB5398" w:rsidRDefault="00AB5398" w:rsidP="00AB5398">
      <w:pPr>
        <w:rPr>
          <w:b/>
          <w:lang w:val="en-US"/>
        </w:rPr>
      </w:pPr>
      <w:r>
        <w:rPr>
          <w:b/>
          <w:lang w:val="en-US"/>
        </w:rPr>
        <w:t>Page 148, 149 – figures 3.7, 3.8 (Transmission and distribution revenues and key drivers)</w:t>
      </w:r>
    </w:p>
    <w:p w:rsidR="00AB5398" w:rsidRDefault="00AB5398" w:rsidP="00AB5398">
      <w:pPr>
        <w:rPr>
          <w:lang w:val="en-US"/>
        </w:rPr>
      </w:pPr>
      <w:r>
        <w:rPr>
          <w:lang w:val="en-US"/>
        </w:rPr>
        <w:t xml:space="preserve">The note incorrectly stated that the chart reflected actual outcomes to 2018. This has been corrected to state that it reflects actual outcomes to 2017 and forecast outcomes for 2018 and after. </w:t>
      </w:r>
    </w:p>
    <w:p w:rsidR="00AB5398" w:rsidRDefault="00AB5398" w:rsidP="00AB5398">
      <w:pPr>
        <w:rPr>
          <w:b/>
          <w:lang w:val="en-US"/>
        </w:rPr>
      </w:pPr>
      <w:r>
        <w:rPr>
          <w:b/>
          <w:lang w:val="en-US"/>
        </w:rPr>
        <w:t>Page 181 – figure 181 (Eastern gas markets, major pipelines and storage)</w:t>
      </w:r>
    </w:p>
    <w:p w:rsidR="00AB5398" w:rsidRDefault="00AB5398" w:rsidP="00AB5398">
      <w:pPr>
        <w:rPr>
          <w:lang w:val="en-US"/>
        </w:rPr>
      </w:pPr>
      <w:r>
        <w:rPr>
          <w:lang w:val="en-US"/>
        </w:rPr>
        <w:t>The direction of flow on the Carpentaria Gas Pipeline was incorrectly reversed. It has now been corrected.</w:t>
      </w:r>
    </w:p>
    <w:p w:rsidR="00AB5398" w:rsidRDefault="00AB5398" w:rsidP="00AB5398">
      <w:pPr>
        <w:rPr>
          <w:b/>
          <w:lang w:val="en-US"/>
        </w:rPr>
      </w:pPr>
      <w:r>
        <w:rPr>
          <w:b/>
          <w:lang w:val="en-US"/>
        </w:rPr>
        <w:t>Page 184 – figure 4.3 (Australia’s LNG export projects)</w:t>
      </w:r>
    </w:p>
    <w:p w:rsidR="00AB5398" w:rsidRDefault="00AB5398" w:rsidP="00AB5398">
      <w:pPr>
        <w:rPr>
          <w:lang w:val="en-US"/>
        </w:rPr>
      </w:pPr>
      <w:r>
        <w:rPr>
          <w:lang w:val="en-US"/>
        </w:rPr>
        <w:t>The start dates for APLNG and QCLNG were wrong. They have been updated to reflect the correct values reported elsewhere in the text.</w:t>
      </w:r>
    </w:p>
    <w:p w:rsidR="00AB5398" w:rsidRDefault="00AB5398" w:rsidP="00AB5398">
      <w:pPr>
        <w:rPr>
          <w:b/>
          <w:lang w:val="en-US"/>
        </w:rPr>
      </w:pPr>
      <w:r>
        <w:rPr>
          <w:b/>
          <w:lang w:val="en-US"/>
        </w:rPr>
        <w:lastRenderedPageBreak/>
        <w:t>Page 209 – figure 4.15 (Gas price offer for 2019 supply and expected 2019 LNG netback prices)</w:t>
      </w:r>
    </w:p>
    <w:p w:rsidR="00AB5398" w:rsidRDefault="00AB5398" w:rsidP="00AB5398">
      <w:pPr>
        <w:rPr>
          <w:lang w:val="en-US"/>
        </w:rPr>
      </w:pPr>
      <w:r>
        <w:rPr>
          <w:lang w:val="en-US"/>
        </w:rPr>
        <w:t xml:space="preserve">Two items in the legend on figure 4.15, p. 209 – </w:t>
      </w:r>
      <w:r>
        <w:rPr>
          <w:rFonts w:cstheme="minorHAnsi"/>
          <w:lang w:val="en-US"/>
        </w:rPr>
        <w:t>‘</w:t>
      </w:r>
      <w:r>
        <w:rPr>
          <w:rFonts w:cstheme="minorHAnsi"/>
          <w:color w:val="000000"/>
        </w:rPr>
        <w:t>Average producer offers for 2019 to all buyers (southern states)’ and ‘</w:t>
      </w:r>
      <w:r>
        <w:rPr>
          <w:rFonts w:cstheme="minorHAnsi"/>
          <w:color w:val="11100B"/>
        </w:rPr>
        <w:t>Average retailer/aggregator offers for 2019 to C&amp;I users (southern states)’ – were incorrectly swapped</w:t>
      </w:r>
      <w:r>
        <w:rPr>
          <w:rFonts w:cstheme="minorHAnsi"/>
          <w:lang w:val="en-US"/>
        </w:rPr>
        <w:t xml:space="preserve"> and an additional data series had been mistakenly included</w:t>
      </w:r>
      <w:r>
        <w:rPr>
          <w:lang w:val="en-US"/>
        </w:rPr>
        <w:t>. The labels have been corrected and the additional series removed.</w:t>
      </w:r>
    </w:p>
    <w:p w:rsidR="00F15EBB" w:rsidRPr="00F15EBB" w:rsidRDefault="00F15EBB">
      <w:pPr>
        <w:rPr>
          <w:lang w:val="en-US"/>
        </w:rPr>
      </w:pPr>
    </w:p>
    <w:sectPr w:rsidR="00F15EBB" w:rsidRPr="00F15EB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D36" w:rsidRDefault="00037D36" w:rsidP="00110CFA">
      <w:pPr>
        <w:spacing w:after="0" w:line="240" w:lineRule="auto"/>
      </w:pPr>
      <w:r>
        <w:separator/>
      </w:r>
    </w:p>
  </w:endnote>
  <w:endnote w:type="continuationSeparator" w:id="0">
    <w:p w:rsidR="00037D36" w:rsidRDefault="00037D36" w:rsidP="0011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FA" w:rsidRDefault="00110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FA" w:rsidRDefault="00110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FA" w:rsidRDefault="00110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D36" w:rsidRDefault="00037D36" w:rsidP="00110CFA">
      <w:pPr>
        <w:spacing w:after="0" w:line="240" w:lineRule="auto"/>
      </w:pPr>
      <w:r>
        <w:separator/>
      </w:r>
    </w:p>
  </w:footnote>
  <w:footnote w:type="continuationSeparator" w:id="0">
    <w:p w:rsidR="00037D36" w:rsidRDefault="00037D36" w:rsidP="00110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FA" w:rsidRDefault="00110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FA" w:rsidRDefault="00110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FA" w:rsidRDefault="00110C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DA"/>
    <w:rsid w:val="00037D36"/>
    <w:rsid w:val="00110CFA"/>
    <w:rsid w:val="00296172"/>
    <w:rsid w:val="00331FB3"/>
    <w:rsid w:val="004D281D"/>
    <w:rsid w:val="004E57BA"/>
    <w:rsid w:val="004F7F46"/>
    <w:rsid w:val="005B7FA7"/>
    <w:rsid w:val="007168DA"/>
    <w:rsid w:val="0088304E"/>
    <w:rsid w:val="009A4F62"/>
    <w:rsid w:val="00A25D80"/>
    <w:rsid w:val="00AB5398"/>
    <w:rsid w:val="00B733BB"/>
    <w:rsid w:val="00D307F7"/>
    <w:rsid w:val="00E42A02"/>
    <w:rsid w:val="00E62D5D"/>
    <w:rsid w:val="00F15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5E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D8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5D80"/>
    <w:rPr>
      <w:rFonts w:eastAsiaTheme="minorEastAsia"/>
      <w:color w:val="5A5A5A" w:themeColor="text1" w:themeTint="A5"/>
      <w:spacing w:val="15"/>
    </w:rPr>
  </w:style>
  <w:style w:type="paragraph" w:styleId="Header">
    <w:name w:val="header"/>
    <w:basedOn w:val="Normal"/>
    <w:link w:val="HeaderChar"/>
    <w:uiPriority w:val="99"/>
    <w:unhideWhenUsed/>
    <w:rsid w:val="00110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CFA"/>
  </w:style>
  <w:style w:type="paragraph" w:styleId="Footer">
    <w:name w:val="footer"/>
    <w:basedOn w:val="Normal"/>
    <w:link w:val="FooterChar"/>
    <w:uiPriority w:val="99"/>
    <w:unhideWhenUsed/>
    <w:rsid w:val="00110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2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2019-01-16T00:42:00Z</dcterms:created>
  <dcterms:modified xsi:type="dcterms:W3CDTF">2019-03-14T04:11:00Z</dcterms:modified>
</cp:coreProperties>
</file>