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E10" w:rsidRPr="006C48C4" w:rsidRDefault="00D64E10" w:rsidP="00D64E10">
      <w:pPr>
        <w:pStyle w:val="TitleNoCoverSCC"/>
        <w:sectPr w:rsidR="00D64E10" w:rsidRPr="006C48C4" w:rsidSect="002F7E47">
          <w:footerReference w:type="default" r:id="rId15"/>
          <w:headerReference w:type="first" r:id="rId16"/>
          <w:footerReference w:type="first" r:id="rId17"/>
          <w:type w:val="continuous"/>
          <w:pgSz w:w="11906" w:h="16838" w:code="9"/>
          <w:pgMar w:top="1701" w:right="1134" w:bottom="1134" w:left="1134" w:header="2892" w:footer="567" w:gutter="0"/>
          <w:cols w:space="284"/>
          <w:titlePg/>
          <w:docGrid w:linePitch="360"/>
        </w:sectPr>
      </w:pPr>
      <w:r>
        <w:t>Attachment 1: Submission on Energex’s regulatory proposal 2015-2020</w:t>
      </w:r>
      <w:r w:rsidR="00203DF9">
        <w:t xml:space="preserve"> on Public Lighting</w:t>
      </w:r>
      <w:r>
        <w:t>.</w:t>
      </w:r>
    </w:p>
    <w:p w:rsidR="00FD2BED" w:rsidRPr="006C48C4" w:rsidRDefault="00FD2BED" w:rsidP="004328B2">
      <w:pPr>
        <w:pStyle w:val="SubjectNoCoverSCC"/>
        <w:sectPr w:rsidR="00FD2BED" w:rsidRPr="006C48C4" w:rsidSect="002F7E47">
          <w:footerReference w:type="default" r:id="rId18"/>
          <w:headerReference w:type="first" r:id="rId19"/>
          <w:footerReference w:type="first" r:id="rId20"/>
          <w:type w:val="continuous"/>
          <w:pgSz w:w="11906" w:h="16838" w:code="9"/>
          <w:pgMar w:top="1701" w:right="1134" w:bottom="1134" w:left="1134" w:header="2892" w:footer="567" w:gutter="0"/>
          <w:cols w:space="284"/>
          <w:titlePg/>
          <w:docGrid w:linePitch="360"/>
        </w:sectPr>
      </w:pPr>
    </w:p>
    <w:p w:rsidR="00A04970" w:rsidRPr="0051494E" w:rsidRDefault="00A04970" w:rsidP="0051494E">
      <w:pPr>
        <w:pStyle w:val="Heading1SCC"/>
      </w:pPr>
      <w:bookmarkStart w:id="0" w:name="_Toc292719936"/>
      <w:bookmarkStart w:id="1" w:name="_Toc292463267"/>
      <w:r w:rsidRPr="0051494E">
        <w:lastRenderedPageBreak/>
        <w:t>Purpose</w:t>
      </w:r>
    </w:p>
    <w:p w:rsidR="00B50E83" w:rsidRDefault="00FD5D83" w:rsidP="00E916F2">
      <w:pPr>
        <w:pStyle w:val="BodyTextIntroSCC"/>
      </w:pPr>
      <w:r w:rsidRPr="00BF7934">
        <w:t xml:space="preserve">This paper </w:t>
      </w:r>
      <w:r>
        <w:t xml:space="preserve">provides Sunshine Coast </w:t>
      </w:r>
      <w:r w:rsidR="00330470">
        <w:t xml:space="preserve">Council’s </w:t>
      </w:r>
      <w:r>
        <w:t>(SCC)</w:t>
      </w:r>
      <w:r w:rsidR="00330470">
        <w:t xml:space="preserve"> </w:t>
      </w:r>
      <w:r w:rsidR="009B362A">
        <w:t xml:space="preserve">submission to </w:t>
      </w:r>
      <w:r w:rsidR="00043FB4">
        <w:t xml:space="preserve">the 2015-2020 price determination for Energex. It focusses on </w:t>
      </w:r>
      <w:r w:rsidR="007506DF">
        <w:t>potential</w:t>
      </w:r>
      <w:r w:rsidR="00E855D4">
        <w:t xml:space="preserve"> impact</w:t>
      </w:r>
      <w:r w:rsidR="007506DF">
        <w:t>s of the</w:t>
      </w:r>
      <w:r w:rsidR="00E855D4">
        <w:t xml:space="preserve"> </w:t>
      </w:r>
      <w:r w:rsidR="00043FB4">
        <w:t xml:space="preserve">SCC’s public lighting </w:t>
      </w:r>
      <w:r w:rsidR="007506DF">
        <w:t xml:space="preserve">project </w:t>
      </w:r>
      <w:r w:rsidR="00E855D4">
        <w:t xml:space="preserve">on future lighting </w:t>
      </w:r>
      <w:r w:rsidR="00F5265F">
        <w:t>pricing</w:t>
      </w:r>
      <w:r w:rsidR="00C920ED">
        <w:t xml:space="preserve"> arrangements</w:t>
      </w:r>
      <w:r w:rsidR="009B362A">
        <w:t xml:space="preserve"> and proposes an approach for </w:t>
      </w:r>
      <w:r w:rsidR="00A87F3D">
        <w:t>assessing the values at which assets transfer from Energex to SCC.</w:t>
      </w:r>
    </w:p>
    <w:p w:rsidR="00E91B82" w:rsidRDefault="00E91B82" w:rsidP="00E91B82">
      <w:pPr>
        <w:pStyle w:val="Heading2SCC"/>
      </w:pPr>
      <w:bookmarkStart w:id="2" w:name="_Toc396205007"/>
      <w:r>
        <w:rPr>
          <w:sz w:val="32"/>
        </w:rPr>
        <w:t>Executive Summary</w:t>
      </w:r>
    </w:p>
    <w:p w:rsidR="00043FB4" w:rsidRDefault="004B568E" w:rsidP="00043FB4">
      <w:pPr>
        <w:pStyle w:val="BodyTextSCC"/>
        <w:spacing w:before="120" w:after="120"/>
        <w:jc w:val="both"/>
        <w:rPr>
          <w:color w:val="000000"/>
          <w:szCs w:val="22"/>
        </w:rPr>
      </w:pPr>
      <w:r w:rsidRPr="00F5265F">
        <w:rPr>
          <w:color w:val="000000"/>
          <w:szCs w:val="22"/>
        </w:rPr>
        <w:t xml:space="preserve">Energex currently owns the majority of street light assets in the SEQ region. </w:t>
      </w:r>
      <w:r w:rsidR="00043FB4" w:rsidRPr="00C61629">
        <w:rPr>
          <w:color w:val="000000"/>
          <w:szCs w:val="22"/>
        </w:rPr>
        <w:t>The building block components of street light</w:t>
      </w:r>
      <w:r w:rsidR="00043FB4">
        <w:rPr>
          <w:color w:val="000000"/>
          <w:szCs w:val="22"/>
        </w:rPr>
        <w:t>ing</w:t>
      </w:r>
      <w:r w:rsidR="00043FB4" w:rsidRPr="00C61629">
        <w:rPr>
          <w:color w:val="000000"/>
          <w:szCs w:val="22"/>
        </w:rPr>
        <w:t xml:space="preserve"> </w:t>
      </w:r>
      <w:r w:rsidR="00043FB4">
        <w:rPr>
          <w:color w:val="000000"/>
          <w:szCs w:val="22"/>
        </w:rPr>
        <w:t>charges</w:t>
      </w:r>
      <w:r w:rsidR="00043FB4" w:rsidRPr="00C61629">
        <w:rPr>
          <w:color w:val="000000"/>
          <w:szCs w:val="22"/>
        </w:rPr>
        <w:t xml:space="preserve"> are calculated across all forecast street lights</w:t>
      </w:r>
      <w:r w:rsidR="00043FB4">
        <w:rPr>
          <w:color w:val="000000"/>
          <w:szCs w:val="22"/>
        </w:rPr>
        <w:t xml:space="preserve">. </w:t>
      </w:r>
      <w:r w:rsidR="00043FB4" w:rsidRPr="00C61629">
        <w:rPr>
          <w:color w:val="000000"/>
          <w:szCs w:val="22"/>
        </w:rPr>
        <w:t xml:space="preserve">On this basis there is cross subsidisation between </w:t>
      </w:r>
      <w:r w:rsidR="00043FB4">
        <w:rPr>
          <w:color w:val="000000"/>
          <w:szCs w:val="22"/>
        </w:rPr>
        <w:t>c</w:t>
      </w:r>
      <w:r w:rsidR="00043FB4" w:rsidRPr="00C61629">
        <w:rPr>
          <w:color w:val="000000"/>
          <w:szCs w:val="22"/>
        </w:rPr>
        <w:t xml:space="preserve">ouncils in terms of age, type and condition of street lights. </w:t>
      </w:r>
      <w:r w:rsidR="00043FB4">
        <w:rPr>
          <w:color w:val="000000"/>
          <w:szCs w:val="22"/>
        </w:rPr>
        <w:t>Councils with older assets</w:t>
      </w:r>
      <w:r w:rsidR="00043FB4" w:rsidRPr="00D3562A">
        <w:rPr>
          <w:color w:val="000000"/>
          <w:szCs w:val="22"/>
        </w:rPr>
        <w:t xml:space="preserve"> </w:t>
      </w:r>
      <w:r w:rsidR="00043FB4">
        <w:rPr>
          <w:color w:val="000000"/>
          <w:szCs w:val="22"/>
        </w:rPr>
        <w:t>face</w:t>
      </w:r>
      <w:r w:rsidR="00043FB4" w:rsidRPr="00D3562A">
        <w:rPr>
          <w:color w:val="000000"/>
          <w:szCs w:val="22"/>
        </w:rPr>
        <w:t xml:space="preserve"> a cost disadvantage</w:t>
      </w:r>
      <w:r w:rsidR="00043FB4">
        <w:rPr>
          <w:color w:val="000000"/>
          <w:szCs w:val="22"/>
        </w:rPr>
        <w:t xml:space="preserve"> for the return of capital and return on capital </w:t>
      </w:r>
      <w:r w:rsidR="00043FB4" w:rsidRPr="00C61629">
        <w:rPr>
          <w:color w:val="000000"/>
          <w:szCs w:val="22"/>
        </w:rPr>
        <w:t>building block</w:t>
      </w:r>
      <w:r w:rsidR="00043FB4">
        <w:rPr>
          <w:color w:val="000000"/>
          <w:szCs w:val="22"/>
        </w:rPr>
        <w:t xml:space="preserve"> components. However </w:t>
      </w:r>
      <w:r w:rsidR="00043FB4" w:rsidRPr="00F66839">
        <w:t xml:space="preserve">there may be a trade-off </w:t>
      </w:r>
      <w:r w:rsidR="00043FB4">
        <w:t xml:space="preserve">for </w:t>
      </w:r>
      <w:r w:rsidR="009D37B7">
        <w:t>c</w:t>
      </w:r>
      <w:r w:rsidR="00043FB4">
        <w:t>ouncil’s with older assets</w:t>
      </w:r>
      <w:r w:rsidR="00043FB4" w:rsidRPr="00F66839">
        <w:t xml:space="preserve"> in terms of deriving greater benefit from operations and maintenance charges which are </w:t>
      </w:r>
      <w:r w:rsidR="00043FB4">
        <w:t xml:space="preserve">also </w:t>
      </w:r>
      <w:r w:rsidR="00043FB4" w:rsidRPr="00F66839">
        <w:t>assigned equally</w:t>
      </w:r>
      <w:r w:rsidR="00043FB4">
        <w:rPr>
          <w:color w:val="000000"/>
          <w:szCs w:val="22"/>
        </w:rPr>
        <w:t>.  This postage stamp pricing arrangement meets the pricing principles outlined in the National Electricity Rules and overseen by the Australian Energy Regulator.</w:t>
      </w:r>
    </w:p>
    <w:p w:rsidR="00F5265F" w:rsidRDefault="00F5265F" w:rsidP="00F5265F">
      <w:pPr>
        <w:pStyle w:val="Heading2SCC"/>
        <w:rPr>
          <w:b w:val="0"/>
          <w:color w:val="000000"/>
          <w:sz w:val="22"/>
          <w:szCs w:val="22"/>
        </w:rPr>
      </w:pPr>
      <w:r w:rsidRPr="00F5265F">
        <w:rPr>
          <w:b w:val="0"/>
          <w:color w:val="000000"/>
          <w:sz w:val="22"/>
          <w:szCs w:val="22"/>
        </w:rPr>
        <w:t xml:space="preserve">The public lighting project will enable SCC to determine the future direction of public lighting on the Sunshine Coast, reduce whole of life costs and implement energy efficiency measures. Service and maintenance of the lighting, in addition to project delivery, </w:t>
      </w:r>
      <w:r w:rsidR="0006011B">
        <w:rPr>
          <w:b w:val="0"/>
          <w:color w:val="000000"/>
          <w:sz w:val="22"/>
          <w:szCs w:val="22"/>
        </w:rPr>
        <w:t xml:space="preserve">is proposed to </w:t>
      </w:r>
      <w:r w:rsidRPr="00F5265F">
        <w:rPr>
          <w:b w:val="0"/>
          <w:color w:val="000000"/>
          <w:sz w:val="22"/>
          <w:szCs w:val="22"/>
        </w:rPr>
        <w:t>be undertaken by Citelum Australia Pty Ltd (Citelum), a company whose core business is public lighting and who have delivered major public lighting projects internationally.</w:t>
      </w:r>
    </w:p>
    <w:p w:rsidR="00C351E7" w:rsidRPr="00555CB4" w:rsidRDefault="00C351E7" w:rsidP="00C351E7">
      <w:pPr>
        <w:pStyle w:val="BodyTextSCC"/>
        <w:spacing w:before="120" w:after="120"/>
        <w:jc w:val="both"/>
        <w:rPr>
          <w:color w:val="000000"/>
          <w:szCs w:val="22"/>
        </w:rPr>
      </w:pPr>
      <w:r>
        <w:rPr>
          <w:color w:val="000000"/>
          <w:szCs w:val="22"/>
        </w:rPr>
        <w:t>An</w:t>
      </w:r>
      <w:r w:rsidRPr="00555CB4">
        <w:rPr>
          <w:color w:val="000000"/>
          <w:szCs w:val="22"/>
        </w:rPr>
        <w:t xml:space="preserve"> audit of </w:t>
      </w:r>
      <w:r>
        <w:rPr>
          <w:color w:val="000000"/>
          <w:szCs w:val="22"/>
        </w:rPr>
        <w:t xml:space="preserve">SCC </w:t>
      </w:r>
      <w:r w:rsidRPr="00555CB4">
        <w:rPr>
          <w:color w:val="000000"/>
          <w:szCs w:val="22"/>
        </w:rPr>
        <w:t>public lighting assets was completed in April 2014 and identified that Energex was maintaining an ageing, deteriorating public lighting network</w:t>
      </w:r>
      <w:r w:rsidR="00B46E7A">
        <w:rPr>
          <w:color w:val="000000"/>
          <w:szCs w:val="22"/>
        </w:rPr>
        <w:t xml:space="preserve"> with many mercury lamps facing obsolescence</w:t>
      </w:r>
      <w:r w:rsidRPr="00555CB4">
        <w:rPr>
          <w:color w:val="000000"/>
          <w:szCs w:val="22"/>
        </w:rPr>
        <w:t xml:space="preserve">. </w:t>
      </w:r>
    </w:p>
    <w:p w:rsidR="00D64E10" w:rsidRDefault="00F5265F" w:rsidP="00D64E10">
      <w:pPr>
        <w:pStyle w:val="BodyTextSCC"/>
        <w:spacing w:before="120" w:after="120"/>
        <w:jc w:val="both"/>
        <w:rPr>
          <w:b/>
          <w:color w:val="000000"/>
          <w:szCs w:val="22"/>
        </w:rPr>
      </w:pPr>
      <w:r w:rsidRPr="00F5265F">
        <w:rPr>
          <w:color w:val="000000"/>
          <w:szCs w:val="22"/>
        </w:rPr>
        <w:t>Transfer of ownership of public lighting assets from Energex to SCC must occur before Citelum can take over the service delivery.</w:t>
      </w:r>
      <w:r w:rsidR="00D64E10" w:rsidRPr="00D64E10">
        <w:rPr>
          <w:color w:val="000000"/>
          <w:szCs w:val="22"/>
        </w:rPr>
        <w:t xml:space="preserve"> </w:t>
      </w:r>
      <w:r w:rsidR="00D64E10" w:rsidRPr="00CA0193">
        <w:rPr>
          <w:color w:val="000000"/>
          <w:szCs w:val="22"/>
        </w:rPr>
        <w:t>Negotiations with Energex on the asset transfer progressed in a series of meetings between July 2013 and October 2014.</w:t>
      </w:r>
      <w:r w:rsidR="00B46E7A">
        <w:rPr>
          <w:color w:val="000000"/>
          <w:szCs w:val="22"/>
        </w:rPr>
        <w:t xml:space="preserve"> The transfer price has become a key focus </w:t>
      </w:r>
      <w:r w:rsidR="00E65E98">
        <w:rPr>
          <w:color w:val="000000"/>
          <w:szCs w:val="22"/>
        </w:rPr>
        <w:t>and as such the regulatory pricing methodology, since any change will impact other customers who are also interested in their public lighting costs and service delivery.</w:t>
      </w:r>
    </w:p>
    <w:p w:rsidR="00043FB4" w:rsidRDefault="00C804B6" w:rsidP="00120CE3">
      <w:pPr>
        <w:pStyle w:val="BodyTextSCC"/>
        <w:spacing w:before="120" w:after="120"/>
        <w:jc w:val="both"/>
        <w:rPr>
          <w:color w:val="000000"/>
          <w:szCs w:val="22"/>
        </w:rPr>
      </w:pPr>
      <w:r>
        <w:rPr>
          <w:color w:val="000000"/>
          <w:szCs w:val="22"/>
        </w:rPr>
        <w:t>Two methods have been explored to</w:t>
      </w:r>
      <w:r w:rsidR="00043FB4">
        <w:rPr>
          <w:color w:val="000000"/>
          <w:szCs w:val="22"/>
        </w:rPr>
        <w:t xml:space="preserve"> determin</w:t>
      </w:r>
      <w:r w:rsidR="00C351E7">
        <w:rPr>
          <w:color w:val="000000"/>
          <w:szCs w:val="22"/>
        </w:rPr>
        <w:t>e</w:t>
      </w:r>
      <w:r w:rsidR="00043FB4">
        <w:rPr>
          <w:color w:val="000000"/>
          <w:szCs w:val="22"/>
        </w:rPr>
        <w:t xml:space="preserve"> </w:t>
      </w:r>
      <w:r>
        <w:rPr>
          <w:color w:val="000000"/>
          <w:szCs w:val="22"/>
        </w:rPr>
        <w:t xml:space="preserve">the transfer </w:t>
      </w:r>
      <w:r w:rsidR="00C351E7">
        <w:rPr>
          <w:color w:val="000000"/>
          <w:szCs w:val="22"/>
        </w:rPr>
        <w:t>price</w:t>
      </w:r>
      <w:r>
        <w:rPr>
          <w:color w:val="000000"/>
          <w:szCs w:val="22"/>
        </w:rPr>
        <w:t xml:space="preserve"> payable by SCC to take ownership of the lights. The first uses an average asset </w:t>
      </w:r>
      <w:r w:rsidR="00E65E98">
        <w:rPr>
          <w:color w:val="000000"/>
          <w:szCs w:val="22"/>
        </w:rPr>
        <w:t>age</w:t>
      </w:r>
      <w:r>
        <w:rPr>
          <w:color w:val="000000"/>
          <w:szCs w:val="22"/>
        </w:rPr>
        <w:t xml:space="preserve"> and the second uses an SCC specific </w:t>
      </w:r>
      <w:r w:rsidR="00E65E98">
        <w:rPr>
          <w:color w:val="000000"/>
          <w:szCs w:val="22"/>
        </w:rPr>
        <w:t>age profile</w:t>
      </w:r>
      <w:r>
        <w:rPr>
          <w:color w:val="000000"/>
          <w:szCs w:val="22"/>
        </w:rPr>
        <w:t xml:space="preserve"> based on audit results. P</w:t>
      </w:r>
      <w:r w:rsidRPr="00C804B6">
        <w:rPr>
          <w:color w:val="000000"/>
          <w:szCs w:val="22"/>
        </w:rPr>
        <w:t xml:space="preserve">otential impacts of the </w:t>
      </w:r>
      <w:r>
        <w:rPr>
          <w:color w:val="000000"/>
          <w:szCs w:val="22"/>
        </w:rPr>
        <w:t xml:space="preserve">method </w:t>
      </w:r>
      <w:r w:rsidRPr="00C804B6">
        <w:rPr>
          <w:color w:val="000000"/>
          <w:szCs w:val="22"/>
        </w:rPr>
        <w:t>on future lighting pricing arrangements</w:t>
      </w:r>
      <w:r>
        <w:rPr>
          <w:color w:val="000000"/>
          <w:szCs w:val="22"/>
        </w:rPr>
        <w:t xml:space="preserve"> are discussed and a preferred method proposed</w:t>
      </w:r>
      <w:r w:rsidRPr="00C804B6">
        <w:rPr>
          <w:color w:val="000000"/>
          <w:szCs w:val="22"/>
        </w:rPr>
        <w:t>.</w:t>
      </w:r>
    </w:p>
    <w:p w:rsidR="00A87F3D" w:rsidRPr="00A87F3D" w:rsidRDefault="00A87F3D" w:rsidP="00A87F3D">
      <w:pPr>
        <w:pStyle w:val="BodyTextSCC"/>
        <w:spacing w:before="120" w:after="120"/>
        <w:jc w:val="both"/>
        <w:rPr>
          <w:color w:val="000000"/>
          <w:szCs w:val="22"/>
        </w:rPr>
      </w:pPr>
      <w:r w:rsidRPr="00A87F3D">
        <w:rPr>
          <w:color w:val="000000"/>
          <w:szCs w:val="22"/>
        </w:rPr>
        <w:t>SCC proposed approach</w:t>
      </w:r>
      <w:r>
        <w:rPr>
          <w:color w:val="000000"/>
          <w:szCs w:val="22"/>
        </w:rPr>
        <w:t xml:space="preserve"> is for:</w:t>
      </w:r>
    </w:p>
    <w:p w:rsidR="00A87F3D" w:rsidRDefault="00A87F3D" w:rsidP="00A87F3D">
      <w:pPr>
        <w:pStyle w:val="BodyTextSCC"/>
        <w:numPr>
          <w:ilvl w:val="0"/>
          <w:numId w:val="37"/>
        </w:numPr>
        <w:spacing w:before="120" w:after="120"/>
        <w:jc w:val="both"/>
        <w:rPr>
          <w:color w:val="000000"/>
          <w:szCs w:val="22"/>
        </w:rPr>
      </w:pPr>
      <w:r>
        <w:t>Age adjusted asset valuation methodology</w:t>
      </w:r>
      <w:r>
        <w:rPr>
          <w:color w:val="000000"/>
          <w:szCs w:val="22"/>
        </w:rPr>
        <w:t xml:space="preserve"> is used for the transfer of Rate 1</w:t>
      </w:r>
      <w:r w:rsidR="00E65E98">
        <w:rPr>
          <w:color w:val="000000"/>
          <w:szCs w:val="22"/>
        </w:rPr>
        <w:t xml:space="preserve"> </w:t>
      </w:r>
      <w:r>
        <w:rPr>
          <w:color w:val="000000"/>
          <w:szCs w:val="22"/>
        </w:rPr>
        <w:t xml:space="preserve">lighting assets to SCC at </w:t>
      </w:r>
      <w:r w:rsidR="00E65E98">
        <w:rPr>
          <w:color w:val="000000"/>
          <w:szCs w:val="22"/>
        </w:rPr>
        <w:t xml:space="preserve">a cost of </w:t>
      </w:r>
      <w:r>
        <w:rPr>
          <w:color w:val="000000"/>
          <w:szCs w:val="22"/>
        </w:rPr>
        <w:t xml:space="preserve">$3.45 million </w:t>
      </w:r>
      <w:r w:rsidR="00E65E98">
        <w:rPr>
          <w:color w:val="000000"/>
          <w:szCs w:val="22"/>
        </w:rPr>
        <w:t xml:space="preserve">to SCC </w:t>
      </w:r>
      <w:r>
        <w:rPr>
          <w:color w:val="000000"/>
          <w:szCs w:val="22"/>
        </w:rPr>
        <w:t>(1 January 2014)</w:t>
      </w:r>
      <w:r w:rsidR="00E65E98">
        <w:rPr>
          <w:color w:val="000000"/>
          <w:szCs w:val="22"/>
        </w:rPr>
        <w:t>;</w:t>
      </w:r>
    </w:p>
    <w:p w:rsidR="00A87F3D" w:rsidRPr="009514F1" w:rsidRDefault="00A87F3D" w:rsidP="00A87F3D">
      <w:pPr>
        <w:pStyle w:val="BodyTextSCC"/>
        <w:numPr>
          <w:ilvl w:val="0"/>
          <w:numId w:val="37"/>
        </w:numPr>
        <w:spacing w:before="120" w:after="120"/>
        <w:jc w:val="both"/>
        <w:rPr>
          <w:color w:val="000000"/>
          <w:szCs w:val="22"/>
        </w:rPr>
      </w:pPr>
      <w:r>
        <w:t>Post July 2010 Rate 2 assets transfer to SCC at nil value</w:t>
      </w:r>
      <w:r w:rsidR="00E65E98">
        <w:t>;</w:t>
      </w:r>
    </w:p>
    <w:p w:rsidR="00A87F3D" w:rsidRPr="009514F1" w:rsidRDefault="00A87F3D" w:rsidP="00A87F3D">
      <w:pPr>
        <w:pStyle w:val="BodyTextSCC"/>
        <w:numPr>
          <w:ilvl w:val="0"/>
          <w:numId w:val="37"/>
        </w:numPr>
        <w:spacing w:before="120" w:after="120"/>
        <w:jc w:val="both"/>
        <w:rPr>
          <w:color w:val="000000"/>
          <w:szCs w:val="22"/>
        </w:rPr>
      </w:pPr>
      <w:r>
        <w:lastRenderedPageBreak/>
        <w:t>Pre July 2010 Rate 2 assets transfer to SCC at nil value</w:t>
      </w:r>
      <w:r w:rsidR="00E65E98">
        <w:t>; and</w:t>
      </w:r>
    </w:p>
    <w:p w:rsidR="00A87F3D" w:rsidRDefault="00A87F3D" w:rsidP="00A87F3D">
      <w:pPr>
        <w:pStyle w:val="BodyTextSCC"/>
        <w:numPr>
          <w:ilvl w:val="0"/>
          <w:numId w:val="37"/>
        </w:numPr>
        <w:spacing w:before="120" w:after="120"/>
        <w:jc w:val="both"/>
        <w:rPr>
          <w:color w:val="000000"/>
          <w:szCs w:val="22"/>
        </w:rPr>
      </w:pPr>
      <w:r>
        <w:rPr>
          <w:color w:val="000000"/>
          <w:szCs w:val="22"/>
        </w:rPr>
        <w:t>Postage stamp’ pricing arrangements continue to be applied for the 2015-2020 regulatory control period.</w:t>
      </w:r>
    </w:p>
    <w:p w:rsidR="001B5E5A" w:rsidRDefault="001B5E5A" w:rsidP="001B7B40">
      <w:pPr>
        <w:pStyle w:val="Heading1SCC"/>
      </w:pPr>
      <w:r w:rsidRPr="001C63AC">
        <w:t>Pub</w:t>
      </w:r>
      <w:r w:rsidR="001C63AC" w:rsidRPr="001C63AC">
        <w:t xml:space="preserve">lic Lighting </w:t>
      </w:r>
      <w:r w:rsidR="00216D40">
        <w:t>Project</w:t>
      </w:r>
      <w:r w:rsidR="001C63AC" w:rsidRPr="001C63AC">
        <w:t xml:space="preserve"> o</w:t>
      </w:r>
      <w:r w:rsidRPr="001C63AC">
        <w:t>verview</w:t>
      </w:r>
      <w:bookmarkEnd w:id="2"/>
    </w:p>
    <w:p w:rsidR="009674BC" w:rsidRPr="00555CB4" w:rsidRDefault="009674BC" w:rsidP="00555CB4">
      <w:pPr>
        <w:pStyle w:val="BodyTextSCC"/>
        <w:spacing w:before="120" w:after="120"/>
        <w:jc w:val="both"/>
        <w:rPr>
          <w:color w:val="000000"/>
          <w:szCs w:val="22"/>
        </w:rPr>
      </w:pPr>
      <w:r w:rsidRPr="00555CB4">
        <w:rPr>
          <w:color w:val="000000"/>
          <w:szCs w:val="22"/>
        </w:rPr>
        <w:t xml:space="preserve">As </w:t>
      </w:r>
      <w:r w:rsidR="003F32B0" w:rsidRPr="00555CB4">
        <w:rPr>
          <w:color w:val="000000"/>
          <w:szCs w:val="22"/>
        </w:rPr>
        <w:t xml:space="preserve">SCC </w:t>
      </w:r>
      <w:r w:rsidRPr="00555CB4">
        <w:rPr>
          <w:color w:val="000000"/>
          <w:szCs w:val="22"/>
        </w:rPr>
        <w:t xml:space="preserve">is committed to purchase a relatively high volume of electricity, </w:t>
      </w:r>
      <w:r w:rsidR="003F32B0" w:rsidRPr="00555CB4">
        <w:rPr>
          <w:color w:val="000000"/>
          <w:szCs w:val="22"/>
        </w:rPr>
        <w:t>it</w:t>
      </w:r>
      <w:r w:rsidRPr="00555CB4">
        <w:rPr>
          <w:color w:val="000000"/>
          <w:szCs w:val="22"/>
        </w:rPr>
        <w:t xml:space="preserve"> is consequently exposed to electricity price volatility and the associated price risk. A consistent rise in the price of electricity over the past decade has placed an increased financial burden on </w:t>
      </w:r>
      <w:r w:rsidR="003F32B0" w:rsidRPr="00555CB4">
        <w:rPr>
          <w:color w:val="000000"/>
          <w:szCs w:val="22"/>
        </w:rPr>
        <w:t>SCC</w:t>
      </w:r>
      <w:r w:rsidRPr="00555CB4">
        <w:rPr>
          <w:color w:val="000000"/>
          <w:szCs w:val="22"/>
        </w:rPr>
        <w:t xml:space="preserve">. </w:t>
      </w:r>
    </w:p>
    <w:p w:rsidR="009674BC" w:rsidRPr="00555CB4" w:rsidRDefault="009674BC" w:rsidP="00555CB4">
      <w:pPr>
        <w:pStyle w:val="BodyTextSCC"/>
        <w:spacing w:before="120" w:after="120"/>
        <w:jc w:val="both"/>
        <w:rPr>
          <w:color w:val="000000"/>
          <w:szCs w:val="22"/>
        </w:rPr>
      </w:pPr>
      <w:r w:rsidRPr="00555CB4">
        <w:rPr>
          <w:color w:val="000000"/>
          <w:szCs w:val="22"/>
        </w:rPr>
        <w:t xml:space="preserve">This is driving an increased focus on alternative electricity options such as the </w:t>
      </w:r>
      <w:r w:rsidR="00DB5115">
        <w:rPr>
          <w:color w:val="000000"/>
          <w:szCs w:val="22"/>
        </w:rPr>
        <w:t>Sunshine Coast s</w:t>
      </w:r>
      <w:r w:rsidRPr="00555CB4">
        <w:rPr>
          <w:color w:val="000000"/>
          <w:szCs w:val="22"/>
        </w:rPr>
        <w:t xml:space="preserve">olar </w:t>
      </w:r>
      <w:r w:rsidR="00DB5115">
        <w:rPr>
          <w:color w:val="000000"/>
          <w:szCs w:val="22"/>
        </w:rPr>
        <w:t>f</w:t>
      </w:r>
      <w:r w:rsidRPr="00555CB4">
        <w:rPr>
          <w:color w:val="000000"/>
          <w:szCs w:val="22"/>
        </w:rPr>
        <w:t xml:space="preserve">arm </w:t>
      </w:r>
      <w:r w:rsidR="00DB5115">
        <w:rPr>
          <w:color w:val="000000"/>
          <w:szCs w:val="22"/>
        </w:rPr>
        <w:t>p</w:t>
      </w:r>
      <w:r w:rsidRPr="00555CB4">
        <w:rPr>
          <w:color w:val="000000"/>
          <w:szCs w:val="22"/>
        </w:rPr>
        <w:t xml:space="preserve">roject and the </w:t>
      </w:r>
      <w:r w:rsidR="00DB5115">
        <w:rPr>
          <w:color w:val="000000"/>
          <w:szCs w:val="22"/>
        </w:rPr>
        <w:t>p</w:t>
      </w:r>
      <w:r w:rsidRPr="00555CB4">
        <w:rPr>
          <w:color w:val="000000"/>
          <w:szCs w:val="22"/>
        </w:rPr>
        <w:t xml:space="preserve">ublic </w:t>
      </w:r>
      <w:r w:rsidR="00DB5115">
        <w:rPr>
          <w:color w:val="000000"/>
          <w:szCs w:val="22"/>
        </w:rPr>
        <w:t>l</w:t>
      </w:r>
      <w:r w:rsidRPr="00555CB4">
        <w:rPr>
          <w:color w:val="000000"/>
          <w:szCs w:val="22"/>
        </w:rPr>
        <w:t xml:space="preserve">ighting </w:t>
      </w:r>
      <w:r w:rsidR="00DB5115">
        <w:rPr>
          <w:color w:val="000000"/>
          <w:szCs w:val="22"/>
        </w:rPr>
        <w:t>p</w:t>
      </w:r>
      <w:r w:rsidRPr="00555CB4">
        <w:rPr>
          <w:color w:val="000000"/>
          <w:szCs w:val="22"/>
        </w:rPr>
        <w:t>roject, in an attempt to reduce electricity-related costs and associated risk exposure.</w:t>
      </w:r>
    </w:p>
    <w:p w:rsidR="00735397" w:rsidRPr="00555CB4" w:rsidRDefault="00735397" w:rsidP="00555CB4">
      <w:pPr>
        <w:pStyle w:val="BodyTextSCC"/>
        <w:spacing w:before="120" w:after="120"/>
        <w:jc w:val="both"/>
        <w:rPr>
          <w:color w:val="000000"/>
          <w:szCs w:val="22"/>
        </w:rPr>
      </w:pPr>
      <w:r w:rsidRPr="00555CB4">
        <w:rPr>
          <w:color w:val="000000"/>
          <w:szCs w:val="22"/>
        </w:rPr>
        <w:t xml:space="preserve">Public lighting is forecast to cost </w:t>
      </w:r>
      <w:r w:rsidR="00C3393A" w:rsidRPr="00555CB4">
        <w:rPr>
          <w:color w:val="000000"/>
          <w:szCs w:val="22"/>
        </w:rPr>
        <w:t xml:space="preserve">SCC </w:t>
      </w:r>
      <w:r w:rsidRPr="00555CB4">
        <w:rPr>
          <w:color w:val="000000"/>
          <w:szCs w:val="22"/>
        </w:rPr>
        <w:t>$5.0 million in financial year 2014/2015 however only 9% of this expense relates to actual electricity charges. The remaining 91% is network and service charges, related to asset maintenance, operation, capital recovery costs and use of the distribution network system operated by Energex. Future costs are expected to increase with population growth, rising electricity prices and replacement of aging lighting infrastructure.</w:t>
      </w:r>
    </w:p>
    <w:p w:rsidR="00721ECC" w:rsidRPr="00555CB4" w:rsidRDefault="00721ECC" w:rsidP="00555CB4">
      <w:pPr>
        <w:pStyle w:val="BodyTextSCC"/>
        <w:spacing w:before="120" w:after="120"/>
        <w:jc w:val="both"/>
        <w:rPr>
          <w:color w:val="000000"/>
          <w:szCs w:val="22"/>
        </w:rPr>
      </w:pPr>
      <w:r w:rsidRPr="00555CB4">
        <w:rPr>
          <w:color w:val="000000"/>
          <w:szCs w:val="22"/>
        </w:rPr>
        <w:t xml:space="preserve">In late 2011, </w:t>
      </w:r>
      <w:r w:rsidR="00090B5B">
        <w:rPr>
          <w:color w:val="000000"/>
          <w:szCs w:val="22"/>
        </w:rPr>
        <w:t>SCC</w:t>
      </w:r>
      <w:r w:rsidRPr="00555CB4">
        <w:rPr>
          <w:color w:val="000000"/>
          <w:szCs w:val="22"/>
        </w:rPr>
        <w:t xml:space="preserve"> endorsed the Public Lighting Management Plan and approved the calling for expressions of interest for Public Lighting Services (OM11/252).  An expression of interest was considered effective to access market opportunities and enable </w:t>
      </w:r>
      <w:r w:rsidR="0068138A">
        <w:rPr>
          <w:color w:val="000000"/>
          <w:szCs w:val="22"/>
        </w:rPr>
        <w:t>SCC</w:t>
      </w:r>
      <w:r w:rsidRPr="00555CB4">
        <w:rPr>
          <w:color w:val="000000"/>
          <w:szCs w:val="22"/>
        </w:rPr>
        <w:t xml:space="preserve"> to explore and assess</w:t>
      </w:r>
      <w:r w:rsidRPr="000B3C1A">
        <w:t xml:space="preserve"> </w:t>
      </w:r>
      <w:r w:rsidRPr="00555CB4">
        <w:rPr>
          <w:color w:val="000000"/>
          <w:szCs w:val="22"/>
        </w:rPr>
        <w:t xml:space="preserve">alternatives to business as usual, with an end goal of achieving financial savings whilst considering energy efficiency, maintenance, asset management and lighting amenity. </w:t>
      </w:r>
    </w:p>
    <w:p w:rsidR="00721ECC" w:rsidRPr="00555CB4" w:rsidRDefault="00721ECC" w:rsidP="00555CB4">
      <w:pPr>
        <w:pStyle w:val="BodyTextSCC"/>
        <w:spacing w:before="120" w:after="120"/>
        <w:jc w:val="both"/>
        <w:rPr>
          <w:color w:val="000000"/>
          <w:szCs w:val="22"/>
        </w:rPr>
      </w:pPr>
      <w:r w:rsidRPr="00555CB4">
        <w:rPr>
          <w:color w:val="000000"/>
          <w:szCs w:val="22"/>
        </w:rPr>
        <w:t>Submissions were received from companies rang</w:t>
      </w:r>
      <w:r w:rsidR="00EF33F7" w:rsidRPr="00555CB4">
        <w:rPr>
          <w:color w:val="000000"/>
          <w:szCs w:val="22"/>
        </w:rPr>
        <w:t>ing</w:t>
      </w:r>
      <w:r w:rsidRPr="00555CB4">
        <w:rPr>
          <w:color w:val="000000"/>
          <w:szCs w:val="22"/>
        </w:rPr>
        <w:t xml:space="preserve"> from small local compa</w:t>
      </w:r>
      <w:r w:rsidR="0070467E" w:rsidRPr="00555CB4">
        <w:rPr>
          <w:color w:val="000000"/>
          <w:szCs w:val="22"/>
        </w:rPr>
        <w:t xml:space="preserve">nies to engineering consultants, </w:t>
      </w:r>
      <w:r w:rsidRPr="00555CB4">
        <w:rPr>
          <w:color w:val="000000"/>
          <w:szCs w:val="22"/>
        </w:rPr>
        <w:t xml:space="preserve">consortiums </w:t>
      </w:r>
      <w:r w:rsidR="0070467E" w:rsidRPr="00555CB4">
        <w:rPr>
          <w:color w:val="000000"/>
          <w:szCs w:val="22"/>
        </w:rPr>
        <w:t>based around</w:t>
      </w:r>
      <w:r w:rsidRPr="00555CB4">
        <w:rPr>
          <w:color w:val="000000"/>
          <w:szCs w:val="22"/>
        </w:rPr>
        <w:t xml:space="preserve"> multinational lighting manufacturers and public lighting management service companies. Contracting models ranged from traditional service delivery models to energy performance contracts.</w:t>
      </w:r>
    </w:p>
    <w:p w:rsidR="001B5E5A" w:rsidRPr="00555CB4" w:rsidRDefault="00AE5FCF" w:rsidP="00555CB4">
      <w:pPr>
        <w:pStyle w:val="BodyTextSCC"/>
        <w:spacing w:before="120" w:after="120"/>
        <w:jc w:val="both"/>
        <w:rPr>
          <w:color w:val="000000"/>
          <w:szCs w:val="22"/>
        </w:rPr>
      </w:pPr>
      <w:r>
        <w:rPr>
          <w:color w:val="000000"/>
          <w:szCs w:val="22"/>
        </w:rPr>
        <w:t>SCC</w:t>
      </w:r>
      <w:r w:rsidR="00216D40" w:rsidRPr="00555CB4">
        <w:rPr>
          <w:color w:val="000000"/>
          <w:szCs w:val="22"/>
        </w:rPr>
        <w:t xml:space="preserve"> entered into a public lighting services cont</w:t>
      </w:r>
      <w:r w:rsidR="00376FF6">
        <w:rPr>
          <w:color w:val="000000"/>
          <w:szCs w:val="22"/>
        </w:rPr>
        <w:t>r</w:t>
      </w:r>
      <w:r w:rsidR="00216D40" w:rsidRPr="00555CB4">
        <w:rPr>
          <w:color w:val="000000"/>
          <w:szCs w:val="22"/>
        </w:rPr>
        <w:t>act with Citelum in October 2013</w:t>
      </w:r>
      <w:r w:rsidR="00C3393A" w:rsidRPr="00555CB4">
        <w:rPr>
          <w:color w:val="000000"/>
          <w:szCs w:val="22"/>
        </w:rPr>
        <w:t>. The contract</w:t>
      </w:r>
      <w:r w:rsidR="00300B95" w:rsidRPr="00555CB4">
        <w:rPr>
          <w:color w:val="000000"/>
          <w:szCs w:val="22"/>
        </w:rPr>
        <w:t xml:space="preserve"> </w:t>
      </w:r>
      <w:r w:rsidR="00AB0CA1" w:rsidRPr="00555CB4">
        <w:rPr>
          <w:color w:val="000000"/>
          <w:szCs w:val="22"/>
        </w:rPr>
        <w:t xml:space="preserve">is </w:t>
      </w:r>
      <w:r w:rsidR="00300B95" w:rsidRPr="00555CB4">
        <w:rPr>
          <w:color w:val="000000"/>
          <w:szCs w:val="22"/>
        </w:rPr>
        <w:t>subject</w:t>
      </w:r>
      <w:r w:rsidR="00DF6F81" w:rsidRPr="00555CB4">
        <w:rPr>
          <w:color w:val="000000"/>
          <w:szCs w:val="22"/>
        </w:rPr>
        <w:t xml:space="preserve"> to successfully progressing thr</w:t>
      </w:r>
      <w:r w:rsidR="006E2603" w:rsidRPr="00555CB4">
        <w:rPr>
          <w:color w:val="000000"/>
          <w:szCs w:val="22"/>
        </w:rPr>
        <w:t xml:space="preserve">ough </w:t>
      </w:r>
      <w:r w:rsidR="00300B95" w:rsidRPr="00555CB4">
        <w:rPr>
          <w:color w:val="000000"/>
          <w:szCs w:val="22"/>
        </w:rPr>
        <w:t>a number of hold points</w:t>
      </w:r>
      <w:r w:rsidR="00216D40" w:rsidRPr="00555CB4">
        <w:rPr>
          <w:color w:val="000000"/>
          <w:szCs w:val="22"/>
        </w:rPr>
        <w:t xml:space="preserve">. </w:t>
      </w:r>
      <w:r w:rsidR="00721ECC" w:rsidRPr="00555CB4">
        <w:rPr>
          <w:color w:val="000000"/>
          <w:szCs w:val="22"/>
        </w:rPr>
        <w:t>Citelum is an international firm with demonstrated experience in providing end to end public lighting management services covering 2.</w:t>
      </w:r>
      <w:r w:rsidR="003754D2" w:rsidRPr="00555CB4">
        <w:rPr>
          <w:color w:val="000000"/>
          <w:szCs w:val="22"/>
        </w:rPr>
        <w:t>3</w:t>
      </w:r>
      <w:r w:rsidR="00721ECC" w:rsidRPr="00555CB4">
        <w:rPr>
          <w:color w:val="000000"/>
          <w:szCs w:val="22"/>
        </w:rPr>
        <w:t xml:space="preserve"> million lighting points in 1</w:t>
      </w:r>
      <w:r w:rsidR="003754D2" w:rsidRPr="00555CB4">
        <w:rPr>
          <w:color w:val="000000"/>
          <w:szCs w:val="22"/>
        </w:rPr>
        <w:t>9</w:t>
      </w:r>
      <w:r w:rsidR="00721ECC" w:rsidRPr="00555CB4">
        <w:rPr>
          <w:color w:val="000000"/>
          <w:szCs w:val="22"/>
        </w:rPr>
        <w:t xml:space="preserve"> countries. </w:t>
      </w:r>
      <w:r w:rsidR="001B5E5A" w:rsidRPr="00555CB4">
        <w:rPr>
          <w:color w:val="000000"/>
          <w:szCs w:val="22"/>
        </w:rPr>
        <w:t xml:space="preserve">The contract mitigates the risk of higher </w:t>
      </w:r>
      <w:r w:rsidR="00F64C82" w:rsidRPr="00555CB4">
        <w:rPr>
          <w:color w:val="000000"/>
          <w:szCs w:val="22"/>
        </w:rPr>
        <w:t xml:space="preserve">and more volatile future </w:t>
      </w:r>
      <w:r w:rsidR="001B5E5A" w:rsidRPr="00555CB4">
        <w:rPr>
          <w:color w:val="000000"/>
          <w:szCs w:val="22"/>
        </w:rPr>
        <w:t>energy costs and increas</w:t>
      </w:r>
      <w:r w:rsidR="00F64C82" w:rsidRPr="00555CB4">
        <w:rPr>
          <w:color w:val="000000"/>
          <w:szCs w:val="22"/>
        </w:rPr>
        <w:t>ing</w:t>
      </w:r>
      <w:r w:rsidR="001B5E5A" w:rsidRPr="00555CB4">
        <w:rPr>
          <w:color w:val="000000"/>
          <w:szCs w:val="22"/>
        </w:rPr>
        <w:t xml:space="preserve"> asset </w:t>
      </w:r>
      <w:r w:rsidR="00607DDE" w:rsidRPr="00555CB4">
        <w:rPr>
          <w:color w:val="000000"/>
          <w:szCs w:val="22"/>
        </w:rPr>
        <w:t>m</w:t>
      </w:r>
      <w:r w:rsidR="001B5E5A" w:rsidRPr="00555CB4">
        <w:rPr>
          <w:color w:val="000000"/>
          <w:szCs w:val="22"/>
        </w:rPr>
        <w:t>anagement costs.</w:t>
      </w:r>
    </w:p>
    <w:p w:rsidR="00972EA6" w:rsidRPr="00555CB4" w:rsidRDefault="00972EA6" w:rsidP="00555CB4">
      <w:pPr>
        <w:pStyle w:val="BodyTextSCC"/>
        <w:spacing w:before="120" w:after="120"/>
        <w:jc w:val="both"/>
        <w:rPr>
          <w:color w:val="000000"/>
          <w:szCs w:val="22"/>
        </w:rPr>
      </w:pPr>
      <w:r w:rsidRPr="00555CB4">
        <w:rPr>
          <w:color w:val="000000"/>
          <w:szCs w:val="22"/>
        </w:rPr>
        <w:t>Citelum will identify a program of work to achieve energy savings from upgrading the street lights to LED with a smart control network to allow dimming and improved operational performance. A detailed business case has also been developed to assess the whole of life cost and benefits offered by the contract.</w:t>
      </w:r>
    </w:p>
    <w:p w:rsidR="00972EA6" w:rsidRDefault="00972EA6" w:rsidP="00972EA6">
      <w:r>
        <w:t>Street lighting is a key platform that enables the project economics to provide smart city services to residents and busin</w:t>
      </w:r>
      <w:r w:rsidR="0006011B">
        <w:t>esses. Lighting is one of the 15</w:t>
      </w:r>
      <w:bookmarkStart w:id="3" w:name="_GoBack"/>
      <w:bookmarkEnd w:id="3"/>
      <w:r>
        <w:t xml:space="preserve"> priority technology solutions to be incorporated into the new Maroochydore city centre develop</w:t>
      </w:r>
      <w:r w:rsidR="000900E8">
        <w:t>ment</w:t>
      </w:r>
      <w:r>
        <w:t xml:space="preserve">. The aim is to fit out the priority development area with smart lighting incorporating LED and sensor technology, providing the opportunity to manage lights through sensors and switches that minimise energy consumption without compromising public safety. Citelum has been working with </w:t>
      </w:r>
      <w:r w:rsidR="0068138A">
        <w:t>SCC’s</w:t>
      </w:r>
      <w:r>
        <w:t xml:space="preserve"> Smart City Framework team to provide input into the smart city framework particularly around their experience on the Copenhagen deployment of smart lighting controls.</w:t>
      </w:r>
    </w:p>
    <w:p w:rsidR="00972EA6" w:rsidRDefault="00972EA6" w:rsidP="00972EA6">
      <w:r>
        <w:t xml:space="preserve">The introduction of smart technology could add value for residents by providing new services based around street lighting, for example traffic flow monitoring, weather monitoring, CCTV, parking sensors and WiFi to support other infrastructure and services. The smart city framework alludes to the real opportunity to increase the operational efficiency of </w:t>
      </w:r>
      <w:r w:rsidR="00AE5FCF">
        <w:t>SCC</w:t>
      </w:r>
      <w:r>
        <w:t xml:space="preserve"> service delivery and also to include broader considerations for lighting of the public realm (for example celebratory public art and feature / ornamental lighting).</w:t>
      </w:r>
    </w:p>
    <w:p w:rsidR="001B5E5A" w:rsidRPr="006032E3" w:rsidRDefault="00567022" w:rsidP="001B5E5A">
      <w:pPr>
        <w:pStyle w:val="Heading3SCC"/>
      </w:pPr>
      <w:r>
        <w:lastRenderedPageBreak/>
        <w:t>Public lighting a</w:t>
      </w:r>
      <w:r w:rsidR="001B5E5A" w:rsidRPr="006032E3">
        <w:t>udit</w:t>
      </w:r>
    </w:p>
    <w:p w:rsidR="00CB6CE9" w:rsidRPr="00ED7703" w:rsidRDefault="00CB6CE9" w:rsidP="00CB6CE9">
      <w:pPr>
        <w:pStyle w:val="BodyTextSCC"/>
        <w:spacing w:before="120" w:after="120"/>
        <w:jc w:val="both"/>
        <w:rPr>
          <w:color w:val="000000"/>
          <w:szCs w:val="22"/>
        </w:rPr>
      </w:pPr>
      <w:r>
        <w:rPr>
          <w:color w:val="000000"/>
          <w:szCs w:val="22"/>
        </w:rPr>
        <w:t>Citelum</w:t>
      </w:r>
      <w:r w:rsidRPr="00ED7703">
        <w:rPr>
          <w:color w:val="000000"/>
          <w:szCs w:val="22"/>
        </w:rPr>
        <w:t xml:space="preserve"> </w:t>
      </w:r>
      <w:r>
        <w:rPr>
          <w:color w:val="000000"/>
          <w:szCs w:val="22"/>
        </w:rPr>
        <w:t>undertook</w:t>
      </w:r>
      <w:r w:rsidRPr="00ED7703">
        <w:rPr>
          <w:color w:val="000000"/>
          <w:szCs w:val="22"/>
        </w:rPr>
        <w:t xml:space="preserve"> a detailed public lighting audit </w:t>
      </w:r>
      <w:r>
        <w:rPr>
          <w:color w:val="000000"/>
          <w:szCs w:val="22"/>
        </w:rPr>
        <w:t>between December 2013 and April 2014. The purpose of the audit was to</w:t>
      </w:r>
      <w:r w:rsidRPr="00ED7703">
        <w:rPr>
          <w:color w:val="000000"/>
          <w:szCs w:val="22"/>
        </w:rPr>
        <w:t>:</w:t>
      </w:r>
    </w:p>
    <w:p w:rsidR="001B5E5A" w:rsidRDefault="001B5E5A" w:rsidP="001B5E5A">
      <w:pPr>
        <w:pStyle w:val="ListBulletSCC"/>
      </w:pPr>
      <w:r w:rsidRPr="002302DB">
        <w:t xml:space="preserve">Gain detailed information regarding </w:t>
      </w:r>
      <w:r>
        <w:t xml:space="preserve">the </w:t>
      </w:r>
      <w:r w:rsidRPr="002302DB">
        <w:t>public lighting network</w:t>
      </w:r>
      <w:r>
        <w:t xml:space="preserve"> of </w:t>
      </w:r>
      <w:r w:rsidRPr="002302DB">
        <w:t xml:space="preserve">approximately </w:t>
      </w:r>
      <w:r>
        <w:t>25</w:t>
      </w:r>
      <w:r w:rsidRPr="002302DB">
        <w:t xml:space="preserve">,000 streetlights and </w:t>
      </w:r>
      <w:r>
        <w:t xml:space="preserve">5,000 </w:t>
      </w:r>
      <w:r w:rsidR="00FD09FB">
        <w:t xml:space="preserve">public place </w:t>
      </w:r>
      <w:r w:rsidRPr="002302DB">
        <w:t>light</w:t>
      </w:r>
      <w:r>
        <w:t>s,</w:t>
      </w:r>
      <w:r w:rsidRPr="002302DB">
        <w:t xml:space="preserve"> including asset condition, age and value;</w:t>
      </w:r>
    </w:p>
    <w:p w:rsidR="001B5E5A" w:rsidRPr="002302DB" w:rsidRDefault="001B5E5A" w:rsidP="001B5E5A">
      <w:pPr>
        <w:pStyle w:val="ListBulletSCC"/>
      </w:pPr>
      <w:r>
        <w:t xml:space="preserve">Inform the negotiation with Energex for the transfer to </w:t>
      </w:r>
      <w:r w:rsidR="00AE5FCF">
        <w:t>SCC</w:t>
      </w:r>
      <w:r>
        <w:t xml:space="preserve"> of street lighting assets;</w:t>
      </w:r>
    </w:p>
    <w:p w:rsidR="001B5E5A" w:rsidRPr="002302DB" w:rsidRDefault="001B5E5A" w:rsidP="001B5E5A">
      <w:pPr>
        <w:pStyle w:val="ListBulletSCC"/>
      </w:pPr>
      <w:r w:rsidRPr="002302DB">
        <w:t>Inform the development of a</w:t>
      </w:r>
      <w:r w:rsidR="00187050">
        <w:t>n</w:t>
      </w:r>
      <w:r w:rsidRPr="002302DB">
        <w:t xml:space="preserve"> </w:t>
      </w:r>
      <w:r w:rsidR="00187050">
        <w:t>Urban Lighting Master Plan</w:t>
      </w:r>
      <w:r w:rsidRPr="002302DB">
        <w:t>; and</w:t>
      </w:r>
    </w:p>
    <w:p w:rsidR="001B5E5A" w:rsidRDefault="001B5E5A" w:rsidP="001B5E5A">
      <w:pPr>
        <w:pStyle w:val="ListBulletSCC"/>
      </w:pPr>
      <w:r w:rsidRPr="002302DB">
        <w:t xml:space="preserve">Provide a platform to identify opportunities for financial savings and </w:t>
      </w:r>
      <w:r>
        <w:t xml:space="preserve">to identify </w:t>
      </w:r>
      <w:r w:rsidRPr="002302DB">
        <w:t>best practice operational and asset management.</w:t>
      </w:r>
    </w:p>
    <w:p w:rsidR="00827329" w:rsidRPr="00555CB4" w:rsidRDefault="00827329" w:rsidP="00555CB4">
      <w:pPr>
        <w:pStyle w:val="BodyTextSCC"/>
        <w:spacing w:before="120" w:after="120"/>
        <w:jc w:val="both"/>
        <w:rPr>
          <w:color w:val="000000"/>
          <w:szCs w:val="22"/>
        </w:rPr>
      </w:pPr>
      <w:r w:rsidRPr="00555CB4">
        <w:rPr>
          <w:color w:val="000000"/>
          <w:szCs w:val="22"/>
        </w:rPr>
        <w:t>The audit of public lighting assets was completed in April 2014 and identified that Energex was maintaining an ageing, deteriorating and obsolete public lighting network. Key findings of the audit were:</w:t>
      </w:r>
    </w:p>
    <w:p w:rsidR="00827329" w:rsidRPr="000059AF" w:rsidRDefault="00827329" w:rsidP="00827329">
      <w:pPr>
        <w:numPr>
          <w:ilvl w:val="0"/>
          <w:numId w:val="36"/>
        </w:numPr>
        <w:spacing w:before="0" w:after="120"/>
        <w:ind w:left="284" w:hanging="284"/>
        <w:rPr>
          <w:rFonts w:cs="Arial"/>
          <w:szCs w:val="20"/>
        </w:rPr>
      </w:pPr>
      <w:r w:rsidRPr="000059AF">
        <w:rPr>
          <w:rFonts w:cs="Arial"/>
          <w:szCs w:val="20"/>
        </w:rPr>
        <w:t xml:space="preserve">That 70% of the network </w:t>
      </w:r>
      <w:r w:rsidR="00BC1580">
        <w:rPr>
          <w:rFonts w:cs="Arial"/>
          <w:szCs w:val="20"/>
        </w:rPr>
        <w:t>in the SCC area</w:t>
      </w:r>
      <w:r w:rsidR="00BC1580" w:rsidRPr="000059AF">
        <w:rPr>
          <w:rFonts w:cs="Arial"/>
          <w:szCs w:val="20"/>
        </w:rPr>
        <w:t xml:space="preserve"> </w:t>
      </w:r>
      <w:r w:rsidRPr="000059AF">
        <w:rPr>
          <w:rFonts w:cs="Arial"/>
          <w:szCs w:val="20"/>
        </w:rPr>
        <w:t xml:space="preserve">was aged at 10 years or older (and hence will require replacement in the near term).  Furthermore, 37% of the network was found to be over 20 years old. Replacement of assets triggers a move to Rate 1 charges (Rate 1 assets are Energex-built as opposed to developer-built) which mean higher costs to </w:t>
      </w:r>
      <w:r w:rsidR="00AE5FCF">
        <w:rPr>
          <w:rFonts w:cs="Arial"/>
          <w:szCs w:val="20"/>
        </w:rPr>
        <w:t>SCC</w:t>
      </w:r>
      <w:r w:rsidRPr="000059AF">
        <w:rPr>
          <w:rFonts w:cs="Arial"/>
          <w:szCs w:val="20"/>
        </w:rPr>
        <w:t>.</w:t>
      </w:r>
    </w:p>
    <w:p w:rsidR="00827329" w:rsidRPr="000059AF" w:rsidRDefault="00827329" w:rsidP="00827329">
      <w:pPr>
        <w:numPr>
          <w:ilvl w:val="0"/>
          <w:numId w:val="36"/>
        </w:numPr>
        <w:spacing w:before="0" w:after="120"/>
        <w:ind w:left="284" w:hanging="284"/>
        <w:rPr>
          <w:rFonts w:cs="Arial"/>
          <w:szCs w:val="20"/>
        </w:rPr>
      </w:pPr>
      <w:r w:rsidRPr="000059AF">
        <w:rPr>
          <w:rFonts w:cs="Arial"/>
          <w:szCs w:val="20"/>
        </w:rPr>
        <w:t>There were 28% of assets assessed as being in a poor or bad condition, of which the majority were developer-built Rate 2 assets (</w:t>
      </w:r>
      <w:r>
        <w:rPr>
          <w:rFonts w:cs="Arial"/>
          <w:szCs w:val="20"/>
        </w:rPr>
        <w:t xml:space="preserve">where the </w:t>
      </w:r>
      <w:r w:rsidRPr="000059AF">
        <w:rPr>
          <w:rFonts w:cs="Arial"/>
          <w:szCs w:val="20"/>
        </w:rPr>
        <w:t xml:space="preserve">developer or public body funds the supply and installation costs).  As above, replacement of these would place a cost pressure on </w:t>
      </w:r>
      <w:r w:rsidR="00AE5FCF">
        <w:rPr>
          <w:rFonts w:cs="Arial"/>
          <w:szCs w:val="20"/>
        </w:rPr>
        <w:t>SCC</w:t>
      </w:r>
      <w:r w:rsidRPr="000059AF">
        <w:rPr>
          <w:rFonts w:cs="Arial"/>
          <w:szCs w:val="20"/>
        </w:rPr>
        <w:t xml:space="preserve"> as they would transfer to Rate 1 pricing</w:t>
      </w:r>
      <w:r>
        <w:rPr>
          <w:rFonts w:cs="Arial"/>
          <w:szCs w:val="20"/>
        </w:rPr>
        <w:t xml:space="preserve"> once Energex replaces them</w:t>
      </w:r>
      <w:r w:rsidRPr="000059AF">
        <w:rPr>
          <w:rFonts w:cs="Arial"/>
          <w:szCs w:val="20"/>
        </w:rPr>
        <w:t>.</w:t>
      </w:r>
    </w:p>
    <w:p w:rsidR="00827329" w:rsidRPr="000059AF" w:rsidRDefault="00827329" w:rsidP="00827329">
      <w:pPr>
        <w:numPr>
          <w:ilvl w:val="0"/>
          <w:numId w:val="36"/>
        </w:numPr>
        <w:spacing w:before="0" w:after="120"/>
        <w:ind w:left="284" w:hanging="284"/>
        <w:rPr>
          <w:rFonts w:cs="Arial"/>
          <w:szCs w:val="20"/>
        </w:rPr>
      </w:pPr>
      <w:r w:rsidRPr="000059AF">
        <w:rPr>
          <w:rFonts w:cs="Arial"/>
          <w:szCs w:val="20"/>
        </w:rPr>
        <w:t xml:space="preserve">Mercury vapour lamps account for 60% of the data set with high pressure sodium lamps being </w:t>
      </w:r>
      <w:r>
        <w:rPr>
          <w:rFonts w:cs="Arial"/>
          <w:szCs w:val="20"/>
        </w:rPr>
        <w:t>used</w:t>
      </w:r>
      <w:r w:rsidRPr="000059AF">
        <w:rPr>
          <w:rFonts w:cs="Arial"/>
          <w:szCs w:val="20"/>
        </w:rPr>
        <w:t xml:space="preserve"> in a further 37% of the lights.  Mercury vapour lamps are now globally obsolete </w:t>
      </w:r>
      <w:r>
        <w:rPr>
          <w:rFonts w:cs="Arial"/>
          <w:szCs w:val="20"/>
        </w:rPr>
        <w:t>as the</w:t>
      </w:r>
      <w:r w:rsidRPr="000059AF">
        <w:rPr>
          <w:rFonts w:cs="Arial"/>
          <w:szCs w:val="20"/>
        </w:rPr>
        <w:t xml:space="preserve"> US ban</w:t>
      </w:r>
      <w:r>
        <w:rPr>
          <w:rFonts w:cs="Arial"/>
          <w:szCs w:val="20"/>
        </w:rPr>
        <w:t>ned</w:t>
      </w:r>
      <w:r w:rsidRPr="000059AF">
        <w:rPr>
          <w:rFonts w:cs="Arial"/>
          <w:szCs w:val="20"/>
        </w:rPr>
        <w:t xml:space="preserve"> their manufacture</w:t>
      </w:r>
      <w:r w:rsidRPr="002157D6">
        <w:rPr>
          <w:rFonts w:cs="Arial"/>
          <w:szCs w:val="20"/>
        </w:rPr>
        <w:t xml:space="preserve"> </w:t>
      </w:r>
      <w:r>
        <w:rPr>
          <w:rFonts w:cs="Arial"/>
          <w:szCs w:val="20"/>
        </w:rPr>
        <w:t>in 2008 with the</w:t>
      </w:r>
      <w:r w:rsidRPr="000059AF">
        <w:rPr>
          <w:rFonts w:cs="Arial"/>
          <w:szCs w:val="20"/>
        </w:rPr>
        <w:t xml:space="preserve"> EU </w:t>
      </w:r>
      <w:r>
        <w:rPr>
          <w:rFonts w:cs="Arial"/>
          <w:szCs w:val="20"/>
        </w:rPr>
        <w:t xml:space="preserve">ban </w:t>
      </w:r>
      <w:r w:rsidRPr="000059AF">
        <w:rPr>
          <w:rFonts w:cs="Arial"/>
          <w:szCs w:val="20"/>
        </w:rPr>
        <w:t xml:space="preserve">due to commence in 2015.  High pressure sodium lamps are no longer widely sold either.  Upgrading the lamps used to current standard lighting such as LEDs will allow </w:t>
      </w:r>
      <w:r w:rsidR="00AE5FCF">
        <w:rPr>
          <w:rFonts w:cs="Arial"/>
          <w:szCs w:val="20"/>
        </w:rPr>
        <w:t>SCC</w:t>
      </w:r>
      <w:r w:rsidRPr="000059AF">
        <w:rPr>
          <w:rFonts w:cs="Arial"/>
          <w:szCs w:val="20"/>
        </w:rPr>
        <w:t xml:space="preserve"> to address sustainability and efficiency targets as well as reducing cost.</w:t>
      </w:r>
    </w:p>
    <w:p w:rsidR="00827329" w:rsidRDefault="00827329" w:rsidP="00827329">
      <w:pPr>
        <w:numPr>
          <w:ilvl w:val="0"/>
          <w:numId w:val="36"/>
        </w:numPr>
        <w:spacing w:before="0" w:after="120"/>
        <w:ind w:left="284" w:hanging="284"/>
        <w:rPr>
          <w:rFonts w:cs="Arial"/>
          <w:szCs w:val="20"/>
        </w:rPr>
      </w:pPr>
      <w:r w:rsidRPr="000059AF">
        <w:rPr>
          <w:rFonts w:cs="Arial"/>
          <w:szCs w:val="20"/>
        </w:rPr>
        <w:t>Estimates of the depreciated replacement value of Energex-owned Rate 1 assets range from $</w:t>
      </w:r>
      <w:r>
        <w:rPr>
          <w:rFonts w:cs="Arial"/>
          <w:szCs w:val="20"/>
        </w:rPr>
        <w:t>2.8 million</w:t>
      </w:r>
      <w:r w:rsidRPr="000059AF">
        <w:rPr>
          <w:rFonts w:cs="Arial"/>
          <w:szCs w:val="20"/>
        </w:rPr>
        <w:t xml:space="preserve"> to </w:t>
      </w:r>
      <w:r>
        <w:rPr>
          <w:rFonts w:cs="Arial"/>
          <w:szCs w:val="20"/>
        </w:rPr>
        <w:t>$3.8 million.</w:t>
      </w:r>
    </w:p>
    <w:p w:rsidR="00216D40" w:rsidRDefault="00216D40" w:rsidP="00216D40">
      <w:pPr>
        <w:pStyle w:val="Heading1SCC"/>
      </w:pPr>
      <w:r>
        <w:t>Energex</w:t>
      </w:r>
    </w:p>
    <w:p w:rsidR="00216D40" w:rsidRPr="00D3562A" w:rsidRDefault="00216D40" w:rsidP="00D3562A">
      <w:pPr>
        <w:pStyle w:val="BodyTextSCC"/>
        <w:spacing w:before="120" w:after="120"/>
        <w:jc w:val="both"/>
        <w:rPr>
          <w:color w:val="000000"/>
          <w:szCs w:val="22"/>
        </w:rPr>
      </w:pPr>
      <w:r w:rsidRPr="00D3562A">
        <w:rPr>
          <w:color w:val="000000"/>
          <w:szCs w:val="22"/>
        </w:rPr>
        <w:t xml:space="preserve">Energex is the owner of street lights in South East Queensland and provider of street lighting design, installation and maintenance services to councils and the Department of Transport and Main Roads. </w:t>
      </w:r>
    </w:p>
    <w:p w:rsidR="00216D40" w:rsidRPr="00D3562A" w:rsidRDefault="00216D40" w:rsidP="00D3562A">
      <w:pPr>
        <w:pStyle w:val="BodyTextSCC"/>
        <w:spacing w:before="120" w:after="120"/>
        <w:jc w:val="both"/>
        <w:rPr>
          <w:color w:val="000000"/>
          <w:szCs w:val="22"/>
        </w:rPr>
      </w:pPr>
      <w:r w:rsidRPr="00D3562A">
        <w:rPr>
          <w:color w:val="000000"/>
          <w:szCs w:val="22"/>
        </w:rPr>
        <w:t xml:space="preserve">Discussions with Energex identified a number of barriers to the alternative approach identified in the Public Lighting Plan of transferring assets to </w:t>
      </w:r>
      <w:r w:rsidR="00AE5FCF">
        <w:rPr>
          <w:color w:val="000000"/>
          <w:szCs w:val="22"/>
        </w:rPr>
        <w:t>SCC</w:t>
      </w:r>
      <w:r w:rsidRPr="00D3562A">
        <w:rPr>
          <w:color w:val="000000"/>
          <w:szCs w:val="22"/>
        </w:rPr>
        <w:t xml:space="preserve">, including regulatory treatment of contributed assets, wiring rules, asset ownership boundaries, safety, public liability and difficulty providing information on asset age, condition and value. </w:t>
      </w:r>
    </w:p>
    <w:p w:rsidR="008F110E" w:rsidRDefault="008F110E" w:rsidP="008F110E">
      <w:pPr>
        <w:pStyle w:val="BodyTextSCC"/>
        <w:spacing w:before="120" w:after="120"/>
        <w:jc w:val="both"/>
        <w:rPr>
          <w:color w:val="000000"/>
          <w:szCs w:val="22"/>
        </w:rPr>
      </w:pPr>
      <w:r w:rsidRPr="00C61629">
        <w:rPr>
          <w:color w:val="000000"/>
          <w:szCs w:val="22"/>
        </w:rPr>
        <w:t>The A</w:t>
      </w:r>
      <w:r>
        <w:rPr>
          <w:color w:val="000000"/>
          <w:szCs w:val="22"/>
        </w:rPr>
        <w:t xml:space="preserve">ustralian </w:t>
      </w:r>
      <w:r w:rsidRPr="00C61629">
        <w:rPr>
          <w:color w:val="000000"/>
          <w:szCs w:val="22"/>
        </w:rPr>
        <w:t>E</w:t>
      </w:r>
      <w:r>
        <w:rPr>
          <w:color w:val="000000"/>
          <w:szCs w:val="22"/>
        </w:rPr>
        <w:t xml:space="preserve">nergy </w:t>
      </w:r>
      <w:r w:rsidRPr="00C61629">
        <w:rPr>
          <w:color w:val="000000"/>
          <w:szCs w:val="22"/>
        </w:rPr>
        <w:t>R</w:t>
      </w:r>
      <w:r>
        <w:rPr>
          <w:color w:val="000000"/>
          <w:szCs w:val="22"/>
        </w:rPr>
        <w:t>egulator</w:t>
      </w:r>
      <w:r w:rsidRPr="00C61629">
        <w:rPr>
          <w:color w:val="000000"/>
          <w:szCs w:val="22"/>
        </w:rPr>
        <w:t>’s rules provide guidance on the value of the street light regulatory asset base (SLAB) at the commencement of the regulatory control period and the roll forward value consistent with the roll forward model. The SLAB value is a one lump sum value and is not categorised according to individual council</w:t>
      </w:r>
      <w:r w:rsidR="0068138A">
        <w:rPr>
          <w:color w:val="000000"/>
          <w:szCs w:val="22"/>
        </w:rPr>
        <w:t>’</w:t>
      </w:r>
      <w:r w:rsidRPr="00C61629">
        <w:rPr>
          <w:color w:val="000000"/>
          <w:szCs w:val="22"/>
        </w:rPr>
        <w:t xml:space="preserve">s street lights. </w:t>
      </w:r>
    </w:p>
    <w:p w:rsidR="00B7489C" w:rsidRDefault="00B7489C" w:rsidP="00B7489C">
      <w:pPr>
        <w:pStyle w:val="BodyTextSCC"/>
        <w:spacing w:before="120" w:after="120"/>
        <w:jc w:val="both"/>
        <w:rPr>
          <w:color w:val="000000"/>
          <w:szCs w:val="22"/>
        </w:rPr>
      </w:pPr>
      <w:r w:rsidRPr="00C61629">
        <w:rPr>
          <w:color w:val="000000"/>
          <w:szCs w:val="22"/>
        </w:rPr>
        <w:t xml:space="preserve">The building block components of street light prices are calculated across all forecast street lights in each category (major/minor/contributed/non-contributed) and then further divided by the number of days in the year. </w:t>
      </w:r>
      <w:r>
        <w:rPr>
          <w:color w:val="000000"/>
          <w:szCs w:val="22"/>
        </w:rPr>
        <w:t>Councils with older assets</w:t>
      </w:r>
      <w:r w:rsidRPr="00D3562A">
        <w:rPr>
          <w:color w:val="000000"/>
          <w:szCs w:val="22"/>
        </w:rPr>
        <w:t xml:space="preserve"> </w:t>
      </w:r>
      <w:r>
        <w:rPr>
          <w:color w:val="000000"/>
          <w:szCs w:val="22"/>
        </w:rPr>
        <w:t>face</w:t>
      </w:r>
      <w:r w:rsidRPr="00D3562A">
        <w:rPr>
          <w:color w:val="000000"/>
          <w:szCs w:val="22"/>
        </w:rPr>
        <w:t xml:space="preserve"> a cost disadvantage</w:t>
      </w:r>
      <w:r>
        <w:rPr>
          <w:color w:val="000000"/>
          <w:szCs w:val="22"/>
        </w:rPr>
        <w:t xml:space="preserve"> for the return of capital and return on capital </w:t>
      </w:r>
      <w:r w:rsidRPr="00C61629">
        <w:rPr>
          <w:color w:val="000000"/>
          <w:szCs w:val="22"/>
        </w:rPr>
        <w:t>building block</w:t>
      </w:r>
      <w:r>
        <w:rPr>
          <w:color w:val="000000"/>
          <w:szCs w:val="22"/>
        </w:rPr>
        <w:t xml:space="preserve"> components</w:t>
      </w:r>
      <w:r w:rsidRPr="00C15C36">
        <w:rPr>
          <w:color w:val="000000"/>
          <w:szCs w:val="22"/>
        </w:rPr>
        <w:t xml:space="preserve"> </w:t>
      </w:r>
      <w:r>
        <w:rPr>
          <w:color w:val="000000"/>
          <w:szCs w:val="22"/>
        </w:rPr>
        <w:t xml:space="preserve">however </w:t>
      </w:r>
      <w:r w:rsidRPr="00F66839">
        <w:t xml:space="preserve">there may be a trade-off </w:t>
      </w:r>
      <w:r>
        <w:t xml:space="preserve">for </w:t>
      </w:r>
      <w:r w:rsidR="009D37B7">
        <w:t>c</w:t>
      </w:r>
      <w:r>
        <w:t>ouncils with older assets</w:t>
      </w:r>
      <w:r w:rsidRPr="00F66839">
        <w:t xml:space="preserve"> in terms of deriving greater benefit from operations and maintenance charges which are assigned equally</w:t>
      </w:r>
      <w:r>
        <w:rPr>
          <w:color w:val="000000"/>
          <w:szCs w:val="22"/>
        </w:rPr>
        <w:t>.</w:t>
      </w:r>
    </w:p>
    <w:p w:rsidR="00D37382" w:rsidRPr="00D3562A" w:rsidRDefault="00D37382" w:rsidP="00D37382">
      <w:pPr>
        <w:pStyle w:val="BodyTextSCC"/>
        <w:spacing w:before="120" w:after="120"/>
        <w:jc w:val="both"/>
        <w:rPr>
          <w:color w:val="000000"/>
          <w:szCs w:val="22"/>
        </w:rPr>
      </w:pPr>
      <w:r w:rsidRPr="00D3562A">
        <w:rPr>
          <w:color w:val="000000"/>
          <w:szCs w:val="22"/>
        </w:rPr>
        <w:lastRenderedPageBreak/>
        <w:t>Negotiations with Energex on the asset transfer progressed in a series of meetings between July 2013 and October 2014.</w:t>
      </w:r>
      <w:r>
        <w:rPr>
          <w:color w:val="000000"/>
          <w:szCs w:val="22"/>
        </w:rPr>
        <w:t xml:space="preserve"> The</w:t>
      </w:r>
      <w:r w:rsidRPr="00D3562A">
        <w:rPr>
          <w:color w:val="000000"/>
          <w:szCs w:val="22"/>
        </w:rPr>
        <w:t xml:space="preserve"> </w:t>
      </w:r>
      <w:r>
        <w:rPr>
          <w:color w:val="000000"/>
          <w:szCs w:val="22"/>
        </w:rPr>
        <w:t>proposed transfer</w:t>
      </w:r>
      <w:r w:rsidRPr="00D3562A">
        <w:rPr>
          <w:color w:val="000000"/>
          <w:szCs w:val="22"/>
        </w:rPr>
        <w:t xml:space="preserve"> </w:t>
      </w:r>
      <w:r>
        <w:rPr>
          <w:color w:val="000000"/>
          <w:szCs w:val="22"/>
        </w:rPr>
        <w:t xml:space="preserve">of streetlight </w:t>
      </w:r>
      <w:r w:rsidRPr="00D3562A">
        <w:rPr>
          <w:color w:val="000000"/>
          <w:szCs w:val="22"/>
        </w:rPr>
        <w:t xml:space="preserve">assets </w:t>
      </w:r>
      <w:r>
        <w:rPr>
          <w:color w:val="000000"/>
          <w:szCs w:val="22"/>
        </w:rPr>
        <w:t>from Energex to SCC has identified a number of areas for further consideration</w:t>
      </w:r>
      <w:r w:rsidRPr="00D3562A">
        <w:rPr>
          <w:color w:val="000000"/>
          <w:szCs w:val="22"/>
        </w:rPr>
        <w:t>, inc</w:t>
      </w:r>
      <w:r>
        <w:rPr>
          <w:color w:val="000000"/>
          <w:szCs w:val="22"/>
        </w:rPr>
        <w:t>luding regulatory treatment of C</w:t>
      </w:r>
      <w:r w:rsidRPr="00D3562A">
        <w:rPr>
          <w:color w:val="000000"/>
          <w:szCs w:val="22"/>
        </w:rPr>
        <w:t xml:space="preserve">ontributed </w:t>
      </w:r>
      <w:r>
        <w:rPr>
          <w:color w:val="000000"/>
          <w:szCs w:val="22"/>
        </w:rPr>
        <w:t xml:space="preserve">Rate 2 </w:t>
      </w:r>
      <w:r w:rsidRPr="00D3562A">
        <w:rPr>
          <w:color w:val="000000"/>
          <w:szCs w:val="22"/>
        </w:rPr>
        <w:t>assets, wiring rules, asset ownership boundaries</w:t>
      </w:r>
      <w:r>
        <w:rPr>
          <w:color w:val="000000"/>
          <w:szCs w:val="22"/>
        </w:rPr>
        <w:t xml:space="preserve">, safety, public liability and asset valuation not categorised according to individual </w:t>
      </w:r>
      <w:r w:rsidR="009D37B7">
        <w:rPr>
          <w:color w:val="000000"/>
          <w:szCs w:val="22"/>
        </w:rPr>
        <w:t>c</w:t>
      </w:r>
      <w:r>
        <w:rPr>
          <w:color w:val="000000"/>
          <w:szCs w:val="22"/>
        </w:rPr>
        <w:t>ouncil’s asset age and condition.</w:t>
      </w:r>
    </w:p>
    <w:p w:rsidR="00D37382" w:rsidRPr="00C61629" w:rsidRDefault="00D37382" w:rsidP="00D37382">
      <w:pPr>
        <w:pStyle w:val="BodyTextSCC"/>
        <w:spacing w:before="120" w:after="120"/>
        <w:jc w:val="both"/>
        <w:rPr>
          <w:color w:val="000000"/>
          <w:szCs w:val="22"/>
        </w:rPr>
      </w:pPr>
      <w:r w:rsidRPr="00C61629">
        <w:rPr>
          <w:color w:val="000000"/>
          <w:szCs w:val="22"/>
        </w:rPr>
        <w:t xml:space="preserve">The transfer of street light assets categorised as Rate 1 or Rate 2 would require downward adjustments to either the </w:t>
      </w:r>
      <w:r>
        <w:rPr>
          <w:color w:val="000000"/>
          <w:szCs w:val="22"/>
        </w:rPr>
        <w:t>SLAB</w:t>
      </w:r>
      <w:r w:rsidRPr="00C61629">
        <w:rPr>
          <w:color w:val="000000"/>
          <w:szCs w:val="22"/>
        </w:rPr>
        <w:t xml:space="preserve"> as part of the asset base roll-forward or contributed asset register</w:t>
      </w:r>
      <w:r>
        <w:rPr>
          <w:color w:val="000000"/>
          <w:szCs w:val="22"/>
        </w:rPr>
        <w:t>.</w:t>
      </w:r>
      <w:r w:rsidRPr="00C61629">
        <w:rPr>
          <w:color w:val="000000"/>
          <w:szCs w:val="22"/>
        </w:rPr>
        <w:t xml:space="preserve"> </w:t>
      </w:r>
    </w:p>
    <w:p w:rsidR="00D37382" w:rsidRPr="00C61629" w:rsidRDefault="00D37382" w:rsidP="00D37382">
      <w:pPr>
        <w:pStyle w:val="BodyTextSCC"/>
        <w:spacing w:before="120" w:after="120"/>
        <w:jc w:val="both"/>
        <w:rPr>
          <w:color w:val="000000"/>
          <w:szCs w:val="22"/>
        </w:rPr>
      </w:pPr>
      <w:r w:rsidRPr="00C61629">
        <w:rPr>
          <w:color w:val="000000"/>
          <w:szCs w:val="22"/>
        </w:rPr>
        <w:t xml:space="preserve">The operating charge associated with the remaining street lighting assets in the </w:t>
      </w:r>
      <w:r>
        <w:rPr>
          <w:color w:val="000000"/>
          <w:szCs w:val="22"/>
        </w:rPr>
        <w:t xml:space="preserve">SLAB </w:t>
      </w:r>
      <w:r w:rsidRPr="00C61629">
        <w:rPr>
          <w:color w:val="000000"/>
          <w:szCs w:val="22"/>
        </w:rPr>
        <w:t>or contributed asset register would need to be reduced from the start of the next regulatory control period to reflect the reduction in assets owned and maintained by Energex.</w:t>
      </w:r>
    </w:p>
    <w:p w:rsidR="00D37382" w:rsidRDefault="00D37382" w:rsidP="00D37382">
      <w:pPr>
        <w:pStyle w:val="Heading1SCC"/>
        <w:rPr>
          <w:color w:val="000000"/>
          <w:szCs w:val="22"/>
        </w:rPr>
      </w:pPr>
      <w:r w:rsidRPr="00D37382">
        <w:rPr>
          <w:b w:val="0"/>
          <w:color w:val="000000"/>
          <w:sz w:val="22"/>
          <w:szCs w:val="22"/>
        </w:rPr>
        <w:t>The ‘use of system’ charge (and associated revenues) for the provision of electricity to streetlights will not be affected by the transfer of Rate 1 or Rate 2 assets from Energex to Council.</w:t>
      </w:r>
      <w:r w:rsidRPr="00C61629">
        <w:rPr>
          <w:color w:val="000000"/>
          <w:szCs w:val="22"/>
        </w:rPr>
        <w:t xml:space="preserve"> </w:t>
      </w:r>
    </w:p>
    <w:p w:rsidR="00376FF6" w:rsidRDefault="00376FF6" w:rsidP="00E07ED5">
      <w:pPr>
        <w:pStyle w:val="BodyTextSCC"/>
        <w:spacing w:before="120" w:after="120"/>
        <w:jc w:val="both"/>
        <w:rPr>
          <w:color w:val="000000"/>
          <w:szCs w:val="22"/>
        </w:rPr>
      </w:pPr>
      <w:r w:rsidRPr="00D3562A">
        <w:rPr>
          <w:color w:val="000000"/>
          <w:szCs w:val="22"/>
        </w:rPr>
        <w:t>The results of the South East Queensland Energy Efficient Street Lighting Trial 2008-2011 identified that Energex’s preferred option to replace the mercury vapour M50 was the compact fluorescent CFL32 for residential areas and linear fluorescent T5 2x14 for industrial areas where aesthetics were not a priority. The report noted LED lamps performed poorly over the course of the trial but that LED technology is changing rapidly and significant advances have been made since the trial began in 2008 which may make it a viable option in the future. However the study also concluded it was not economically viable to councils for Energex to deploy the trialled lights due to network charges, residual asset costs and capital costs.</w:t>
      </w:r>
      <w:r w:rsidR="00E07ED5">
        <w:rPr>
          <w:color w:val="000000"/>
          <w:szCs w:val="22"/>
        </w:rPr>
        <w:t xml:space="preserve"> Energex is about to commence another LED trial, if </w:t>
      </w:r>
      <w:r w:rsidR="00E07ED5" w:rsidRPr="00E07ED5">
        <w:rPr>
          <w:color w:val="000000"/>
          <w:szCs w:val="22"/>
        </w:rPr>
        <w:t xml:space="preserve">successful, LED lighting could be made available to </w:t>
      </w:r>
      <w:r w:rsidR="009D37B7">
        <w:rPr>
          <w:color w:val="000000"/>
          <w:szCs w:val="22"/>
        </w:rPr>
        <w:t>c</w:t>
      </w:r>
      <w:r w:rsidR="00E07ED5" w:rsidRPr="00E07ED5">
        <w:rPr>
          <w:color w:val="000000"/>
          <w:szCs w:val="22"/>
        </w:rPr>
        <w:t>ouncils as a standard product after this. Allowing time for trial evaluations and tenders to be called and contracts awarded, this would likely be sometime around 2018/19.</w:t>
      </w:r>
    </w:p>
    <w:p w:rsidR="00B63813" w:rsidRDefault="00B63813" w:rsidP="00E07ED5">
      <w:pPr>
        <w:pStyle w:val="BodyTextSCC"/>
        <w:spacing w:before="120" w:after="120"/>
        <w:jc w:val="both"/>
        <w:rPr>
          <w:color w:val="000000"/>
          <w:szCs w:val="22"/>
        </w:rPr>
      </w:pPr>
      <w:r>
        <w:rPr>
          <w:color w:val="000000"/>
          <w:szCs w:val="22"/>
        </w:rPr>
        <w:t>SCC will consider the move to LED as part of the public lighting project in 2015.</w:t>
      </w:r>
    </w:p>
    <w:p w:rsidR="00B7489C" w:rsidRPr="00CC28DC" w:rsidRDefault="00832C99" w:rsidP="00D37382">
      <w:pPr>
        <w:pStyle w:val="Heading1SCC"/>
      </w:pPr>
      <w:r>
        <w:t>Asset Transfer Implications</w:t>
      </w:r>
      <w:r w:rsidR="009514F1">
        <w:t xml:space="preserve"> – Rate 1 assets</w:t>
      </w:r>
    </w:p>
    <w:p w:rsidR="00612650" w:rsidRDefault="00D3562A" w:rsidP="00D3562A">
      <w:pPr>
        <w:pStyle w:val="BodyTextSCC"/>
        <w:spacing w:before="120" w:after="120"/>
        <w:jc w:val="both"/>
        <w:rPr>
          <w:color w:val="000000"/>
          <w:szCs w:val="22"/>
        </w:rPr>
      </w:pPr>
      <w:r>
        <w:rPr>
          <w:color w:val="000000"/>
          <w:szCs w:val="22"/>
        </w:rPr>
        <w:t>I</w:t>
      </w:r>
      <w:r w:rsidRPr="00D3562A">
        <w:rPr>
          <w:color w:val="000000"/>
          <w:szCs w:val="22"/>
        </w:rPr>
        <w:t>n August 2014</w:t>
      </w:r>
      <w:r>
        <w:rPr>
          <w:color w:val="000000"/>
          <w:szCs w:val="22"/>
        </w:rPr>
        <w:t>,</w:t>
      </w:r>
      <w:r w:rsidRPr="00D3562A">
        <w:rPr>
          <w:color w:val="000000"/>
          <w:szCs w:val="22"/>
        </w:rPr>
        <w:t xml:space="preserve"> </w:t>
      </w:r>
      <w:r w:rsidR="009219AF" w:rsidRPr="00D3562A">
        <w:rPr>
          <w:color w:val="000000"/>
          <w:szCs w:val="22"/>
        </w:rPr>
        <w:t>Energex initially valued the assets</w:t>
      </w:r>
      <w:r w:rsidR="000A6C0E" w:rsidRPr="00D3562A">
        <w:rPr>
          <w:color w:val="000000"/>
          <w:szCs w:val="22"/>
        </w:rPr>
        <w:t xml:space="preserve"> on the Sunshine Coast</w:t>
      </w:r>
      <w:r w:rsidR="009219AF" w:rsidRPr="00D3562A">
        <w:rPr>
          <w:color w:val="000000"/>
          <w:szCs w:val="22"/>
        </w:rPr>
        <w:t xml:space="preserve"> at $8.8 million </w:t>
      </w:r>
      <w:r w:rsidR="00D37382">
        <w:rPr>
          <w:color w:val="000000"/>
          <w:szCs w:val="22"/>
        </w:rPr>
        <w:t>based on the average age of asset</w:t>
      </w:r>
      <w:r w:rsidR="005846C7">
        <w:rPr>
          <w:color w:val="000000"/>
          <w:szCs w:val="22"/>
        </w:rPr>
        <w:t>s</w:t>
      </w:r>
      <w:r w:rsidR="00D37382">
        <w:rPr>
          <w:color w:val="000000"/>
          <w:szCs w:val="22"/>
        </w:rPr>
        <w:t xml:space="preserve"> in </w:t>
      </w:r>
      <w:r w:rsidR="00B308A8">
        <w:rPr>
          <w:color w:val="000000"/>
          <w:szCs w:val="22"/>
        </w:rPr>
        <w:t xml:space="preserve">SEQ </w:t>
      </w:r>
      <w:r w:rsidR="009D37B7">
        <w:rPr>
          <w:color w:val="000000"/>
          <w:szCs w:val="22"/>
        </w:rPr>
        <w:t>c</w:t>
      </w:r>
      <w:r w:rsidR="00B308A8">
        <w:rPr>
          <w:color w:val="000000"/>
          <w:szCs w:val="22"/>
        </w:rPr>
        <w:t>ouncil areas</w:t>
      </w:r>
      <w:r w:rsidR="00D37382">
        <w:rPr>
          <w:color w:val="000000"/>
          <w:szCs w:val="22"/>
        </w:rPr>
        <w:t>. H</w:t>
      </w:r>
      <w:r w:rsidR="009219AF" w:rsidRPr="00D3562A">
        <w:rPr>
          <w:color w:val="000000"/>
          <w:szCs w:val="22"/>
        </w:rPr>
        <w:t xml:space="preserve">owever this </w:t>
      </w:r>
      <w:r w:rsidR="00D37382">
        <w:rPr>
          <w:color w:val="000000"/>
          <w:szCs w:val="22"/>
        </w:rPr>
        <w:t xml:space="preserve">approach </w:t>
      </w:r>
      <w:r w:rsidR="009219AF" w:rsidRPr="00D3562A">
        <w:rPr>
          <w:color w:val="000000"/>
          <w:szCs w:val="22"/>
        </w:rPr>
        <w:t xml:space="preserve">did not take account of the age and condition of the lighting assets that was revealed by </w:t>
      </w:r>
      <w:r w:rsidR="00AE5FCF">
        <w:rPr>
          <w:color w:val="000000"/>
          <w:szCs w:val="22"/>
        </w:rPr>
        <w:t>SCC</w:t>
      </w:r>
      <w:r w:rsidR="009219AF" w:rsidRPr="00D3562A">
        <w:rPr>
          <w:color w:val="000000"/>
          <w:szCs w:val="22"/>
        </w:rPr>
        <w:t xml:space="preserve">’s audit. </w:t>
      </w:r>
      <w:r w:rsidR="0011751D">
        <w:rPr>
          <w:color w:val="000000"/>
          <w:szCs w:val="22"/>
        </w:rPr>
        <w:t xml:space="preserve">SCC proposed an alternate asset valuation methodology whereby </w:t>
      </w:r>
      <w:r w:rsidR="0011751D" w:rsidRPr="00D3562A">
        <w:rPr>
          <w:color w:val="000000"/>
          <w:szCs w:val="22"/>
        </w:rPr>
        <w:t xml:space="preserve">the </w:t>
      </w:r>
      <w:r w:rsidR="0011751D">
        <w:rPr>
          <w:color w:val="000000"/>
          <w:szCs w:val="22"/>
        </w:rPr>
        <w:t xml:space="preserve">asset valuations for individual </w:t>
      </w:r>
      <w:r w:rsidR="00B308A8">
        <w:rPr>
          <w:color w:val="000000"/>
          <w:szCs w:val="22"/>
        </w:rPr>
        <w:t>c</w:t>
      </w:r>
      <w:r w:rsidR="0011751D">
        <w:rPr>
          <w:color w:val="000000"/>
          <w:szCs w:val="22"/>
        </w:rPr>
        <w:t>ouncils reflect the age</w:t>
      </w:r>
      <w:r w:rsidR="0011751D" w:rsidRPr="00D3562A">
        <w:rPr>
          <w:color w:val="000000"/>
          <w:szCs w:val="22"/>
        </w:rPr>
        <w:t xml:space="preserve"> profile of assets </w:t>
      </w:r>
      <w:r w:rsidR="0011751D">
        <w:rPr>
          <w:color w:val="000000"/>
          <w:szCs w:val="22"/>
        </w:rPr>
        <w:t xml:space="preserve">for individual </w:t>
      </w:r>
      <w:r w:rsidR="009D37B7">
        <w:rPr>
          <w:color w:val="000000"/>
          <w:szCs w:val="22"/>
        </w:rPr>
        <w:t>c</w:t>
      </w:r>
      <w:r w:rsidR="0011751D">
        <w:rPr>
          <w:color w:val="000000"/>
          <w:szCs w:val="22"/>
        </w:rPr>
        <w:t xml:space="preserve">ouncils in relation to </w:t>
      </w:r>
      <w:r w:rsidR="0011751D" w:rsidRPr="00D3562A">
        <w:rPr>
          <w:color w:val="000000"/>
          <w:szCs w:val="22"/>
        </w:rPr>
        <w:t>other SEQ</w:t>
      </w:r>
      <w:r w:rsidR="0011751D">
        <w:rPr>
          <w:color w:val="000000"/>
          <w:szCs w:val="22"/>
        </w:rPr>
        <w:t xml:space="preserve"> </w:t>
      </w:r>
      <w:r w:rsidR="009D37B7">
        <w:rPr>
          <w:color w:val="000000"/>
          <w:szCs w:val="22"/>
        </w:rPr>
        <w:t>c</w:t>
      </w:r>
      <w:r w:rsidR="0011751D" w:rsidRPr="00D3562A">
        <w:rPr>
          <w:color w:val="000000"/>
          <w:szCs w:val="22"/>
        </w:rPr>
        <w:t>ouncil areas</w:t>
      </w:r>
      <w:r w:rsidR="0011751D" w:rsidRPr="00156F85">
        <w:rPr>
          <w:color w:val="000000"/>
          <w:szCs w:val="22"/>
        </w:rPr>
        <w:t xml:space="preserve">. </w:t>
      </w:r>
    </w:p>
    <w:p w:rsidR="004F7E8F" w:rsidRDefault="009219AF" w:rsidP="00916B3F">
      <w:pPr>
        <w:pStyle w:val="BodyTextSCC"/>
        <w:spacing w:before="120" w:after="120"/>
        <w:jc w:val="both"/>
        <w:rPr>
          <w:color w:val="000000"/>
          <w:szCs w:val="22"/>
        </w:rPr>
      </w:pPr>
      <w:r w:rsidRPr="00D3562A">
        <w:rPr>
          <w:color w:val="000000"/>
          <w:szCs w:val="22"/>
        </w:rPr>
        <w:t xml:space="preserve">After </w:t>
      </w:r>
      <w:r w:rsidR="00612650">
        <w:rPr>
          <w:color w:val="000000"/>
          <w:szCs w:val="22"/>
        </w:rPr>
        <w:t>SCC</w:t>
      </w:r>
      <w:r w:rsidRPr="00D3562A">
        <w:rPr>
          <w:color w:val="000000"/>
          <w:szCs w:val="22"/>
        </w:rPr>
        <w:t xml:space="preserve"> requested they factor in the specific profile of Sunshine Coast assets relative to lights in other </w:t>
      </w:r>
      <w:r w:rsidR="00A94207" w:rsidRPr="00D3562A">
        <w:rPr>
          <w:color w:val="000000"/>
          <w:szCs w:val="22"/>
        </w:rPr>
        <w:t>SEQ</w:t>
      </w:r>
      <w:r w:rsidRPr="00D3562A">
        <w:rPr>
          <w:color w:val="000000"/>
          <w:szCs w:val="22"/>
        </w:rPr>
        <w:t xml:space="preserve"> council areas</w:t>
      </w:r>
      <w:r w:rsidR="005846C7">
        <w:rPr>
          <w:color w:val="000000"/>
          <w:szCs w:val="22"/>
        </w:rPr>
        <w:t xml:space="preserve"> </w:t>
      </w:r>
      <w:r w:rsidR="003A03BF">
        <w:t xml:space="preserve">Energex </w:t>
      </w:r>
      <w:r w:rsidR="00203DF9">
        <w:t>subsequently</w:t>
      </w:r>
      <w:r w:rsidR="003A03BF">
        <w:t xml:space="preserve"> provided the following </w:t>
      </w:r>
      <w:r w:rsidR="00AC7528">
        <w:t xml:space="preserve">average </w:t>
      </w:r>
      <w:r w:rsidR="003A03BF">
        <w:t>a</w:t>
      </w:r>
      <w:r w:rsidR="005731AE">
        <w:t xml:space="preserve">ge profile data for SEQ </w:t>
      </w:r>
      <w:r w:rsidR="009D37B7">
        <w:t>c</w:t>
      </w:r>
      <w:r w:rsidR="005731AE">
        <w:t>ouncils</w:t>
      </w:r>
      <w:r w:rsidR="00A87F3D">
        <w:t xml:space="preserve">. Note </w:t>
      </w:r>
      <w:r w:rsidR="00B308A8">
        <w:t xml:space="preserve">that </w:t>
      </w:r>
      <w:r w:rsidR="00A87F3D">
        <w:t>SCC assets ha</w:t>
      </w:r>
      <w:r w:rsidR="00B63813">
        <w:t>d</w:t>
      </w:r>
      <w:r w:rsidR="00A87F3D">
        <w:t xml:space="preserve"> a mean age of 18.3 years </w:t>
      </w:r>
      <w:r w:rsidR="00B308A8">
        <w:t xml:space="preserve">at 1 January 2014 </w:t>
      </w:r>
      <w:r w:rsidR="00A87F3D">
        <w:t>which is older than the average age of 14.5 years.</w:t>
      </w:r>
    </w:p>
    <w:p w:rsidR="004F7E8F" w:rsidRDefault="004F7E8F" w:rsidP="004F7E8F">
      <w:pPr>
        <w:pStyle w:val="TableTextSCC"/>
        <w:rPr>
          <w:rFonts w:eastAsiaTheme="majorEastAsia"/>
          <w:i/>
        </w:rPr>
      </w:pPr>
      <w:r w:rsidRPr="00F1063A">
        <w:rPr>
          <w:rFonts w:eastAsiaTheme="majorEastAsia"/>
          <w:i/>
        </w:rPr>
        <w:t xml:space="preserve">Table </w:t>
      </w:r>
      <w:r w:rsidR="009B362A">
        <w:rPr>
          <w:rFonts w:eastAsiaTheme="majorEastAsia"/>
          <w:i/>
        </w:rPr>
        <w:t>1</w:t>
      </w:r>
      <w:r w:rsidRPr="00F1063A">
        <w:rPr>
          <w:rFonts w:eastAsiaTheme="majorEastAsia"/>
          <w:i/>
        </w:rPr>
        <w:t xml:space="preserve"> Age profile of Rate 1 street lights as at 1 Jan</w:t>
      </w:r>
      <w:r>
        <w:rPr>
          <w:rFonts w:eastAsiaTheme="majorEastAsia"/>
          <w:i/>
        </w:rPr>
        <w:t>uary</w:t>
      </w:r>
      <w:r w:rsidRPr="00F1063A">
        <w:rPr>
          <w:rFonts w:eastAsiaTheme="majorEastAsia"/>
          <w:i/>
        </w:rPr>
        <w:t xml:space="preserve"> 2014</w:t>
      </w:r>
    </w:p>
    <w:tbl>
      <w:tblPr>
        <w:tblW w:w="482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2894"/>
        <w:gridCol w:w="1926"/>
      </w:tblGrid>
      <w:tr w:rsidR="004F7E8F" w:rsidRPr="00F62194" w:rsidTr="00B308A8">
        <w:tc>
          <w:tcPr>
            <w:tcW w:w="2894" w:type="dxa"/>
            <w:shd w:val="clear" w:color="auto" w:fill="BFBFBF" w:themeFill="background1" w:themeFillShade="BF"/>
            <w:tcMar>
              <w:top w:w="85" w:type="dxa"/>
              <w:left w:w="108" w:type="dxa"/>
              <w:bottom w:w="85" w:type="dxa"/>
              <w:right w:w="108" w:type="dxa"/>
            </w:tcMar>
            <w:vAlign w:val="center"/>
            <w:hideMark/>
          </w:tcPr>
          <w:p w:rsidR="004F7E8F" w:rsidRPr="00F62194" w:rsidRDefault="004F7E8F" w:rsidP="00F862EA">
            <w:pPr>
              <w:pStyle w:val="TableTextSCC"/>
              <w:spacing w:before="0" w:after="0"/>
              <w:rPr>
                <w:rFonts w:asciiTheme="minorHAnsi" w:hAnsiTheme="minorHAnsi" w:cstheme="minorHAnsi"/>
                <w:b/>
                <w:color w:val="FFFFFF" w:themeColor="background1"/>
                <w:sz w:val="16"/>
                <w:szCs w:val="18"/>
              </w:rPr>
            </w:pPr>
            <w:r>
              <w:rPr>
                <w:rFonts w:asciiTheme="minorHAnsi" w:hAnsiTheme="minorHAnsi" w:cstheme="minorHAnsi"/>
                <w:b/>
                <w:color w:val="FFFFFF" w:themeColor="background1"/>
                <w:sz w:val="16"/>
                <w:szCs w:val="18"/>
              </w:rPr>
              <w:t>Council</w:t>
            </w:r>
          </w:p>
        </w:tc>
        <w:tc>
          <w:tcPr>
            <w:tcW w:w="1926" w:type="dxa"/>
            <w:shd w:val="clear" w:color="auto" w:fill="BFBFBF" w:themeFill="background1" w:themeFillShade="BF"/>
            <w:tcMar>
              <w:top w:w="85" w:type="dxa"/>
              <w:left w:w="108" w:type="dxa"/>
              <w:bottom w:w="85" w:type="dxa"/>
              <w:right w:w="108" w:type="dxa"/>
            </w:tcMar>
            <w:vAlign w:val="center"/>
            <w:hideMark/>
          </w:tcPr>
          <w:p w:rsidR="004F7E8F" w:rsidRPr="00F62194" w:rsidRDefault="004F7E8F" w:rsidP="00F862EA">
            <w:pPr>
              <w:pStyle w:val="TableTextSCC"/>
              <w:spacing w:before="0" w:after="0"/>
              <w:jc w:val="center"/>
              <w:rPr>
                <w:rFonts w:asciiTheme="minorHAnsi" w:hAnsiTheme="minorHAnsi" w:cstheme="minorHAnsi"/>
                <w:b/>
                <w:color w:val="FFFFFF" w:themeColor="background1"/>
                <w:sz w:val="16"/>
                <w:szCs w:val="18"/>
              </w:rPr>
            </w:pPr>
            <w:r>
              <w:rPr>
                <w:rFonts w:asciiTheme="minorHAnsi" w:hAnsiTheme="minorHAnsi" w:cstheme="minorHAnsi"/>
                <w:b/>
                <w:color w:val="FFFFFF" w:themeColor="background1"/>
                <w:sz w:val="16"/>
                <w:szCs w:val="18"/>
              </w:rPr>
              <w:t>Mean age (years)</w:t>
            </w:r>
          </w:p>
        </w:tc>
      </w:tr>
      <w:tr w:rsidR="004F7E8F" w:rsidRPr="0021532D" w:rsidTr="00B308A8">
        <w:tc>
          <w:tcPr>
            <w:tcW w:w="2894" w:type="dxa"/>
            <w:shd w:val="clear" w:color="auto" w:fill="auto"/>
            <w:tcMar>
              <w:top w:w="85" w:type="dxa"/>
              <w:left w:w="108" w:type="dxa"/>
              <w:bottom w:w="85" w:type="dxa"/>
              <w:right w:w="108" w:type="dxa"/>
            </w:tcMar>
          </w:tcPr>
          <w:p w:rsidR="004F7E8F" w:rsidRDefault="004F7E8F" w:rsidP="00F862EA">
            <w:pPr>
              <w:pStyle w:val="TableTextSCC"/>
              <w:spacing w:before="0" w:after="0"/>
              <w:rPr>
                <w:rFonts w:asciiTheme="minorHAnsi" w:eastAsiaTheme="minorEastAsia" w:hAnsiTheme="minorHAnsi" w:cstheme="minorHAnsi"/>
                <w:kern w:val="24"/>
                <w:sz w:val="16"/>
                <w:szCs w:val="18"/>
              </w:rPr>
            </w:pPr>
            <w:r>
              <w:rPr>
                <w:rFonts w:asciiTheme="minorHAnsi" w:eastAsiaTheme="minorEastAsia" w:hAnsiTheme="minorHAnsi" w:cstheme="minorHAnsi"/>
                <w:kern w:val="24"/>
                <w:sz w:val="16"/>
                <w:szCs w:val="18"/>
              </w:rPr>
              <w:t>Brisbane City</w:t>
            </w:r>
          </w:p>
        </w:tc>
        <w:tc>
          <w:tcPr>
            <w:tcW w:w="1926" w:type="dxa"/>
            <w:shd w:val="clear" w:color="auto" w:fill="auto"/>
            <w:tcMar>
              <w:top w:w="85" w:type="dxa"/>
              <w:left w:w="108" w:type="dxa"/>
              <w:bottom w:w="85" w:type="dxa"/>
              <w:right w:w="108" w:type="dxa"/>
            </w:tcMar>
          </w:tcPr>
          <w:p w:rsidR="004F7E8F" w:rsidRDefault="004F7E8F" w:rsidP="00F862EA">
            <w:pPr>
              <w:pStyle w:val="TableTextSCC"/>
              <w:spacing w:before="0" w:after="0"/>
              <w:jc w:val="center"/>
              <w:rPr>
                <w:rFonts w:asciiTheme="minorHAnsi" w:eastAsiaTheme="minorEastAsia" w:hAnsiTheme="minorHAnsi" w:cstheme="minorHAnsi"/>
                <w:kern w:val="24"/>
                <w:sz w:val="16"/>
                <w:szCs w:val="18"/>
              </w:rPr>
            </w:pPr>
            <w:r>
              <w:rPr>
                <w:rFonts w:asciiTheme="minorHAnsi" w:eastAsiaTheme="minorEastAsia" w:hAnsiTheme="minorHAnsi" w:cstheme="minorHAnsi"/>
                <w:kern w:val="24"/>
                <w:sz w:val="16"/>
                <w:szCs w:val="18"/>
              </w:rPr>
              <w:t>10.6</w:t>
            </w:r>
          </w:p>
        </w:tc>
      </w:tr>
      <w:tr w:rsidR="004F7E8F" w:rsidRPr="0021532D" w:rsidTr="00B308A8">
        <w:tc>
          <w:tcPr>
            <w:tcW w:w="2894" w:type="dxa"/>
            <w:shd w:val="clear" w:color="auto" w:fill="auto"/>
            <w:tcMar>
              <w:top w:w="85" w:type="dxa"/>
              <w:left w:w="108" w:type="dxa"/>
              <w:bottom w:w="85" w:type="dxa"/>
              <w:right w:w="108" w:type="dxa"/>
            </w:tcMar>
          </w:tcPr>
          <w:p w:rsidR="004F7E8F" w:rsidRDefault="004F7E8F" w:rsidP="00F862EA">
            <w:pPr>
              <w:pStyle w:val="TableTextSCC"/>
              <w:spacing w:before="0" w:after="0"/>
              <w:rPr>
                <w:rFonts w:asciiTheme="minorHAnsi" w:eastAsiaTheme="minorEastAsia" w:hAnsiTheme="minorHAnsi" w:cstheme="minorHAnsi"/>
                <w:kern w:val="24"/>
                <w:sz w:val="16"/>
                <w:szCs w:val="18"/>
              </w:rPr>
            </w:pPr>
            <w:r>
              <w:rPr>
                <w:rFonts w:asciiTheme="minorHAnsi" w:eastAsiaTheme="minorEastAsia" w:hAnsiTheme="minorHAnsi" w:cstheme="minorHAnsi"/>
                <w:kern w:val="24"/>
                <w:sz w:val="16"/>
                <w:szCs w:val="18"/>
              </w:rPr>
              <w:t>Other</w:t>
            </w:r>
          </w:p>
        </w:tc>
        <w:tc>
          <w:tcPr>
            <w:tcW w:w="1926" w:type="dxa"/>
            <w:shd w:val="clear" w:color="auto" w:fill="auto"/>
            <w:tcMar>
              <w:top w:w="85" w:type="dxa"/>
              <w:left w:w="108" w:type="dxa"/>
              <w:bottom w:w="85" w:type="dxa"/>
              <w:right w:w="108" w:type="dxa"/>
            </w:tcMar>
          </w:tcPr>
          <w:p w:rsidR="004F7E8F" w:rsidRDefault="004F7E8F" w:rsidP="00F862EA">
            <w:pPr>
              <w:pStyle w:val="TableTextSCC"/>
              <w:spacing w:before="0" w:after="0"/>
              <w:jc w:val="center"/>
              <w:rPr>
                <w:rFonts w:asciiTheme="minorHAnsi" w:eastAsiaTheme="minorEastAsia" w:hAnsiTheme="minorHAnsi" w:cstheme="minorHAnsi"/>
                <w:kern w:val="24"/>
                <w:sz w:val="16"/>
                <w:szCs w:val="18"/>
              </w:rPr>
            </w:pPr>
            <w:r>
              <w:rPr>
                <w:rFonts w:asciiTheme="minorHAnsi" w:eastAsiaTheme="minorEastAsia" w:hAnsiTheme="minorHAnsi" w:cstheme="minorHAnsi"/>
                <w:kern w:val="24"/>
                <w:sz w:val="16"/>
                <w:szCs w:val="18"/>
              </w:rPr>
              <w:t>16.2</w:t>
            </w:r>
          </w:p>
        </w:tc>
      </w:tr>
      <w:tr w:rsidR="004F7E8F" w:rsidRPr="0021532D" w:rsidTr="00B308A8">
        <w:tc>
          <w:tcPr>
            <w:tcW w:w="2894" w:type="dxa"/>
            <w:shd w:val="clear" w:color="auto" w:fill="auto"/>
            <w:tcMar>
              <w:top w:w="85" w:type="dxa"/>
              <w:left w:w="108" w:type="dxa"/>
              <w:bottom w:w="85" w:type="dxa"/>
              <w:right w:w="108" w:type="dxa"/>
            </w:tcMar>
          </w:tcPr>
          <w:p w:rsidR="004F7E8F" w:rsidRDefault="004F7E8F" w:rsidP="00F862EA">
            <w:pPr>
              <w:pStyle w:val="TableTextSCC"/>
              <w:spacing w:before="0" w:after="0"/>
              <w:rPr>
                <w:rFonts w:asciiTheme="minorHAnsi" w:eastAsiaTheme="minorEastAsia" w:hAnsiTheme="minorHAnsi" w:cstheme="minorHAnsi"/>
                <w:kern w:val="24"/>
                <w:sz w:val="16"/>
                <w:szCs w:val="18"/>
              </w:rPr>
            </w:pPr>
            <w:r>
              <w:rPr>
                <w:rFonts w:asciiTheme="minorHAnsi" w:eastAsiaTheme="minorEastAsia" w:hAnsiTheme="minorHAnsi" w:cstheme="minorHAnsi"/>
                <w:kern w:val="24"/>
                <w:sz w:val="16"/>
                <w:szCs w:val="18"/>
              </w:rPr>
              <w:t>Ipswich City</w:t>
            </w:r>
          </w:p>
        </w:tc>
        <w:tc>
          <w:tcPr>
            <w:tcW w:w="1926" w:type="dxa"/>
            <w:shd w:val="clear" w:color="auto" w:fill="auto"/>
            <w:tcMar>
              <w:top w:w="85" w:type="dxa"/>
              <w:left w:w="108" w:type="dxa"/>
              <w:bottom w:w="85" w:type="dxa"/>
              <w:right w:w="108" w:type="dxa"/>
            </w:tcMar>
          </w:tcPr>
          <w:p w:rsidR="004F7E8F" w:rsidRDefault="004F7E8F" w:rsidP="00F862EA">
            <w:pPr>
              <w:pStyle w:val="TableTextSCC"/>
              <w:spacing w:before="0" w:after="0"/>
              <w:jc w:val="center"/>
              <w:rPr>
                <w:rFonts w:asciiTheme="minorHAnsi" w:eastAsiaTheme="minorEastAsia" w:hAnsiTheme="minorHAnsi" w:cstheme="minorHAnsi"/>
                <w:kern w:val="24"/>
                <w:sz w:val="16"/>
                <w:szCs w:val="18"/>
              </w:rPr>
            </w:pPr>
            <w:r>
              <w:rPr>
                <w:rFonts w:asciiTheme="minorHAnsi" w:eastAsiaTheme="minorEastAsia" w:hAnsiTheme="minorHAnsi" w:cstheme="minorHAnsi"/>
                <w:kern w:val="24"/>
                <w:sz w:val="16"/>
                <w:szCs w:val="18"/>
              </w:rPr>
              <w:t>16.4</w:t>
            </w:r>
          </w:p>
        </w:tc>
      </w:tr>
      <w:tr w:rsidR="004F7E8F" w:rsidRPr="0021532D" w:rsidTr="00B308A8">
        <w:tc>
          <w:tcPr>
            <w:tcW w:w="2894" w:type="dxa"/>
            <w:shd w:val="clear" w:color="auto" w:fill="auto"/>
            <w:tcMar>
              <w:top w:w="85" w:type="dxa"/>
              <w:left w:w="108" w:type="dxa"/>
              <w:bottom w:w="85" w:type="dxa"/>
              <w:right w:w="108" w:type="dxa"/>
            </w:tcMar>
            <w:hideMark/>
          </w:tcPr>
          <w:p w:rsidR="004F7E8F" w:rsidRPr="0021532D" w:rsidRDefault="004F7E8F" w:rsidP="00F862EA">
            <w:pPr>
              <w:pStyle w:val="TableTextSCC"/>
              <w:spacing w:before="0" w:after="0"/>
              <w:rPr>
                <w:rFonts w:asciiTheme="minorHAnsi" w:hAnsiTheme="minorHAnsi" w:cstheme="minorHAnsi"/>
                <w:sz w:val="16"/>
                <w:szCs w:val="18"/>
              </w:rPr>
            </w:pPr>
            <w:r>
              <w:rPr>
                <w:rFonts w:asciiTheme="minorHAnsi" w:eastAsiaTheme="minorEastAsia" w:hAnsiTheme="minorHAnsi" w:cstheme="minorHAnsi"/>
                <w:kern w:val="24"/>
                <w:sz w:val="16"/>
                <w:szCs w:val="18"/>
              </w:rPr>
              <w:t>Gold Coast</w:t>
            </w:r>
          </w:p>
        </w:tc>
        <w:tc>
          <w:tcPr>
            <w:tcW w:w="1926" w:type="dxa"/>
            <w:shd w:val="clear" w:color="auto" w:fill="auto"/>
            <w:tcMar>
              <w:top w:w="85" w:type="dxa"/>
              <w:left w:w="108" w:type="dxa"/>
              <w:bottom w:w="85" w:type="dxa"/>
              <w:right w:w="108" w:type="dxa"/>
            </w:tcMar>
            <w:hideMark/>
          </w:tcPr>
          <w:p w:rsidR="004F7E8F" w:rsidRPr="0021532D" w:rsidRDefault="004F7E8F" w:rsidP="00F862EA">
            <w:pPr>
              <w:pStyle w:val="TableTextSCC"/>
              <w:spacing w:before="0" w:after="0"/>
              <w:jc w:val="center"/>
              <w:rPr>
                <w:rFonts w:asciiTheme="minorHAnsi" w:hAnsiTheme="minorHAnsi" w:cstheme="minorHAnsi"/>
                <w:sz w:val="16"/>
                <w:szCs w:val="18"/>
              </w:rPr>
            </w:pPr>
            <w:r>
              <w:rPr>
                <w:rFonts w:asciiTheme="minorHAnsi" w:eastAsiaTheme="minorEastAsia" w:hAnsiTheme="minorHAnsi" w:cstheme="minorHAnsi"/>
                <w:kern w:val="24"/>
                <w:sz w:val="16"/>
                <w:szCs w:val="18"/>
              </w:rPr>
              <w:t>16.4</w:t>
            </w:r>
          </w:p>
        </w:tc>
      </w:tr>
      <w:tr w:rsidR="004F7E8F" w:rsidRPr="0021532D" w:rsidTr="00B308A8">
        <w:tc>
          <w:tcPr>
            <w:tcW w:w="2894" w:type="dxa"/>
            <w:shd w:val="clear" w:color="auto" w:fill="auto"/>
            <w:tcMar>
              <w:top w:w="85" w:type="dxa"/>
              <w:left w:w="108" w:type="dxa"/>
              <w:bottom w:w="85" w:type="dxa"/>
              <w:right w:w="108" w:type="dxa"/>
            </w:tcMar>
          </w:tcPr>
          <w:p w:rsidR="004F7E8F" w:rsidRDefault="004F7E8F" w:rsidP="00F862EA">
            <w:pPr>
              <w:pStyle w:val="TableTextSCC"/>
              <w:spacing w:before="0" w:after="0"/>
              <w:rPr>
                <w:rFonts w:asciiTheme="minorHAnsi" w:hAnsiTheme="minorHAnsi" w:cstheme="minorHAnsi"/>
                <w:kern w:val="24"/>
                <w:sz w:val="16"/>
                <w:szCs w:val="18"/>
              </w:rPr>
            </w:pPr>
            <w:r>
              <w:rPr>
                <w:rFonts w:asciiTheme="minorHAnsi" w:hAnsiTheme="minorHAnsi" w:cstheme="minorHAnsi"/>
                <w:kern w:val="24"/>
                <w:sz w:val="16"/>
                <w:szCs w:val="18"/>
              </w:rPr>
              <w:t>Logan City</w:t>
            </w:r>
          </w:p>
        </w:tc>
        <w:tc>
          <w:tcPr>
            <w:tcW w:w="1926" w:type="dxa"/>
            <w:shd w:val="clear" w:color="auto" w:fill="auto"/>
            <w:tcMar>
              <w:top w:w="85" w:type="dxa"/>
              <w:left w:w="108" w:type="dxa"/>
              <w:bottom w:w="85" w:type="dxa"/>
              <w:right w:w="108" w:type="dxa"/>
            </w:tcMar>
          </w:tcPr>
          <w:p w:rsidR="004F7E8F" w:rsidRDefault="004F7E8F" w:rsidP="00F862EA">
            <w:pPr>
              <w:pStyle w:val="TableTextSCC"/>
              <w:spacing w:before="0" w:after="0"/>
              <w:jc w:val="center"/>
              <w:rPr>
                <w:rFonts w:asciiTheme="minorHAnsi" w:eastAsiaTheme="minorEastAsia" w:hAnsiTheme="minorHAnsi" w:cstheme="minorHAnsi"/>
                <w:kern w:val="24"/>
                <w:sz w:val="16"/>
                <w:szCs w:val="18"/>
              </w:rPr>
            </w:pPr>
            <w:r>
              <w:rPr>
                <w:rFonts w:asciiTheme="minorHAnsi" w:eastAsiaTheme="minorEastAsia" w:hAnsiTheme="minorHAnsi" w:cstheme="minorHAnsi"/>
                <w:kern w:val="24"/>
                <w:sz w:val="16"/>
                <w:szCs w:val="18"/>
              </w:rPr>
              <w:t>20.0</w:t>
            </w:r>
          </w:p>
        </w:tc>
      </w:tr>
      <w:tr w:rsidR="004F7E8F" w:rsidRPr="00735397" w:rsidTr="00B308A8">
        <w:tc>
          <w:tcPr>
            <w:tcW w:w="2894" w:type="dxa"/>
            <w:shd w:val="clear" w:color="auto" w:fill="auto"/>
            <w:tcMar>
              <w:top w:w="85" w:type="dxa"/>
              <w:left w:w="108" w:type="dxa"/>
              <w:bottom w:w="85" w:type="dxa"/>
              <w:right w:w="108" w:type="dxa"/>
            </w:tcMar>
            <w:hideMark/>
          </w:tcPr>
          <w:p w:rsidR="004F7E8F" w:rsidRPr="00735397" w:rsidRDefault="004F7E8F" w:rsidP="00F862EA">
            <w:pPr>
              <w:pStyle w:val="TableTextSCC"/>
              <w:spacing w:before="0" w:after="0"/>
              <w:rPr>
                <w:rFonts w:asciiTheme="minorHAnsi" w:hAnsiTheme="minorHAnsi" w:cstheme="minorHAnsi"/>
                <w:sz w:val="16"/>
                <w:szCs w:val="18"/>
              </w:rPr>
            </w:pPr>
            <w:r w:rsidRPr="00735397">
              <w:rPr>
                <w:rFonts w:asciiTheme="minorHAnsi" w:hAnsiTheme="minorHAnsi" w:cstheme="minorHAnsi"/>
                <w:kern w:val="24"/>
                <w:sz w:val="16"/>
                <w:szCs w:val="18"/>
              </w:rPr>
              <w:t>Sunshine Coast</w:t>
            </w:r>
          </w:p>
        </w:tc>
        <w:tc>
          <w:tcPr>
            <w:tcW w:w="1926" w:type="dxa"/>
            <w:shd w:val="clear" w:color="auto" w:fill="auto"/>
            <w:tcMar>
              <w:top w:w="85" w:type="dxa"/>
              <w:left w:w="108" w:type="dxa"/>
              <w:bottom w:w="85" w:type="dxa"/>
              <w:right w:w="108" w:type="dxa"/>
            </w:tcMar>
            <w:hideMark/>
          </w:tcPr>
          <w:p w:rsidR="004F7E8F" w:rsidRPr="00735397" w:rsidRDefault="004F7E8F" w:rsidP="00F862EA">
            <w:pPr>
              <w:pStyle w:val="TableTextSCC"/>
              <w:spacing w:before="0" w:after="0"/>
              <w:jc w:val="center"/>
              <w:rPr>
                <w:rFonts w:asciiTheme="minorHAnsi" w:hAnsiTheme="minorHAnsi" w:cstheme="minorHAnsi"/>
                <w:sz w:val="16"/>
                <w:szCs w:val="18"/>
              </w:rPr>
            </w:pPr>
            <w:r w:rsidRPr="00735397">
              <w:rPr>
                <w:rFonts w:asciiTheme="minorHAnsi" w:eastAsiaTheme="minorEastAsia" w:hAnsiTheme="minorHAnsi" w:cstheme="minorHAnsi"/>
                <w:kern w:val="24"/>
                <w:sz w:val="16"/>
                <w:szCs w:val="18"/>
              </w:rPr>
              <w:t>18.</w:t>
            </w:r>
            <w:r>
              <w:rPr>
                <w:rFonts w:asciiTheme="minorHAnsi" w:eastAsiaTheme="minorEastAsia" w:hAnsiTheme="minorHAnsi" w:cstheme="minorHAnsi"/>
                <w:kern w:val="24"/>
                <w:sz w:val="16"/>
                <w:szCs w:val="18"/>
              </w:rPr>
              <w:t>3</w:t>
            </w:r>
          </w:p>
        </w:tc>
      </w:tr>
      <w:tr w:rsidR="004F7E8F" w:rsidRPr="0021532D" w:rsidTr="00B308A8">
        <w:tc>
          <w:tcPr>
            <w:tcW w:w="2894" w:type="dxa"/>
            <w:shd w:val="clear" w:color="auto" w:fill="auto"/>
            <w:tcMar>
              <w:top w:w="85" w:type="dxa"/>
              <w:left w:w="108" w:type="dxa"/>
              <w:bottom w:w="85" w:type="dxa"/>
              <w:right w:w="108" w:type="dxa"/>
            </w:tcMar>
            <w:hideMark/>
          </w:tcPr>
          <w:p w:rsidR="004F7E8F" w:rsidRPr="0021532D" w:rsidRDefault="004F7E8F" w:rsidP="00F862EA">
            <w:pPr>
              <w:pStyle w:val="TableTextSCC"/>
              <w:spacing w:before="0" w:after="0"/>
              <w:rPr>
                <w:rFonts w:asciiTheme="minorHAnsi" w:hAnsiTheme="minorHAnsi" w:cstheme="minorHAnsi"/>
                <w:sz w:val="16"/>
                <w:szCs w:val="18"/>
              </w:rPr>
            </w:pPr>
            <w:r>
              <w:rPr>
                <w:rFonts w:asciiTheme="minorHAnsi" w:hAnsiTheme="minorHAnsi" w:cstheme="minorHAnsi"/>
                <w:kern w:val="24"/>
                <w:sz w:val="16"/>
                <w:szCs w:val="18"/>
              </w:rPr>
              <w:t>Moreton Bay</w:t>
            </w:r>
          </w:p>
        </w:tc>
        <w:tc>
          <w:tcPr>
            <w:tcW w:w="1926" w:type="dxa"/>
            <w:shd w:val="clear" w:color="auto" w:fill="auto"/>
            <w:tcMar>
              <w:top w:w="85" w:type="dxa"/>
              <w:left w:w="108" w:type="dxa"/>
              <w:bottom w:w="85" w:type="dxa"/>
              <w:right w:w="108" w:type="dxa"/>
            </w:tcMar>
            <w:hideMark/>
          </w:tcPr>
          <w:p w:rsidR="004F7E8F" w:rsidRPr="0021532D" w:rsidRDefault="004F7E8F" w:rsidP="00F862EA">
            <w:pPr>
              <w:pStyle w:val="TableTextSCC"/>
              <w:spacing w:before="0" w:after="0"/>
              <w:jc w:val="center"/>
              <w:rPr>
                <w:rFonts w:asciiTheme="minorHAnsi" w:hAnsiTheme="minorHAnsi" w:cstheme="minorHAnsi"/>
                <w:sz w:val="16"/>
                <w:szCs w:val="18"/>
              </w:rPr>
            </w:pPr>
            <w:r>
              <w:rPr>
                <w:rFonts w:asciiTheme="minorHAnsi" w:eastAsia="Calibri" w:hAnsiTheme="minorHAnsi" w:cstheme="minorHAnsi"/>
                <w:kern w:val="24"/>
                <w:sz w:val="16"/>
                <w:szCs w:val="18"/>
              </w:rPr>
              <w:t>18.3</w:t>
            </w:r>
          </w:p>
        </w:tc>
      </w:tr>
      <w:tr w:rsidR="004F7E8F" w:rsidRPr="0021532D" w:rsidTr="00B308A8">
        <w:tc>
          <w:tcPr>
            <w:tcW w:w="2894" w:type="dxa"/>
            <w:shd w:val="clear" w:color="auto" w:fill="auto"/>
            <w:tcMar>
              <w:top w:w="85" w:type="dxa"/>
              <w:left w:w="108" w:type="dxa"/>
              <w:bottom w:w="85" w:type="dxa"/>
              <w:right w:w="108" w:type="dxa"/>
            </w:tcMar>
            <w:hideMark/>
          </w:tcPr>
          <w:p w:rsidR="004F7E8F" w:rsidRPr="0021532D" w:rsidRDefault="004F7E8F" w:rsidP="00F862EA">
            <w:pPr>
              <w:pStyle w:val="TableTextSCC"/>
              <w:spacing w:before="0" w:after="0"/>
              <w:rPr>
                <w:rFonts w:asciiTheme="minorHAnsi" w:hAnsiTheme="minorHAnsi" w:cstheme="minorHAnsi"/>
                <w:sz w:val="16"/>
                <w:szCs w:val="18"/>
              </w:rPr>
            </w:pPr>
            <w:r>
              <w:rPr>
                <w:rFonts w:asciiTheme="minorHAnsi" w:hAnsiTheme="minorHAnsi" w:cstheme="minorHAnsi"/>
                <w:kern w:val="24"/>
                <w:sz w:val="16"/>
                <w:szCs w:val="18"/>
              </w:rPr>
              <w:t>Redland Bay</w:t>
            </w:r>
          </w:p>
        </w:tc>
        <w:tc>
          <w:tcPr>
            <w:tcW w:w="1926" w:type="dxa"/>
            <w:shd w:val="clear" w:color="auto" w:fill="auto"/>
            <w:tcMar>
              <w:top w:w="85" w:type="dxa"/>
              <w:left w:w="108" w:type="dxa"/>
              <w:bottom w:w="85" w:type="dxa"/>
              <w:right w:w="108" w:type="dxa"/>
            </w:tcMar>
            <w:hideMark/>
          </w:tcPr>
          <w:p w:rsidR="004F7E8F" w:rsidRPr="0021532D" w:rsidRDefault="004F7E8F" w:rsidP="00F862EA">
            <w:pPr>
              <w:pStyle w:val="TableTextSCC"/>
              <w:spacing w:before="0" w:after="0"/>
              <w:jc w:val="center"/>
              <w:rPr>
                <w:rFonts w:asciiTheme="minorHAnsi" w:hAnsiTheme="minorHAnsi" w:cstheme="minorHAnsi"/>
                <w:sz w:val="16"/>
                <w:szCs w:val="18"/>
              </w:rPr>
            </w:pPr>
            <w:r>
              <w:rPr>
                <w:rFonts w:asciiTheme="minorHAnsi" w:eastAsia="Calibri" w:hAnsiTheme="minorHAnsi" w:cstheme="minorHAnsi"/>
                <w:kern w:val="24"/>
                <w:sz w:val="16"/>
                <w:szCs w:val="18"/>
              </w:rPr>
              <w:t>20.1</w:t>
            </w:r>
          </w:p>
        </w:tc>
      </w:tr>
      <w:tr w:rsidR="004F7E8F" w:rsidRPr="0021532D" w:rsidTr="00B308A8">
        <w:tc>
          <w:tcPr>
            <w:tcW w:w="2894" w:type="dxa"/>
            <w:shd w:val="clear" w:color="auto" w:fill="auto"/>
            <w:tcMar>
              <w:top w:w="85" w:type="dxa"/>
              <w:left w:w="108" w:type="dxa"/>
              <w:bottom w:w="85" w:type="dxa"/>
              <w:right w:w="108" w:type="dxa"/>
            </w:tcMar>
          </w:tcPr>
          <w:p w:rsidR="004F7E8F" w:rsidRPr="00574FAA" w:rsidRDefault="004F7E8F" w:rsidP="00F862EA">
            <w:pPr>
              <w:pStyle w:val="TableTextSCC"/>
              <w:spacing w:before="0" w:after="0"/>
              <w:rPr>
                <w:rFonts w:asciiTheme="minorHAnsi" w:eastAsiaTheme="minorEastAsia" w:hAnsiTheme="minorHAnsi" w:cstheme="minorHAnsi"/>
                <w:b/>
                <w:kern w:val="24"/>
                <w:sz w:val="16"/>
                <w:szCs w:val="18"/>
              </w:rPr>
            </w:pPr>
            <w:r w:rsidRPr="00574FAA">
              <w:rPr>
                <w:rFonts w:asciiTheme="minorHAnsi" w:eastAsiaTheme="minorEastAsia" w:hAnsiTheme="minorHAnsi" w:cstheme="minorHAnsi"/>
                <w:b/>
                <w:kern w:val="24"/>
                <w:sz w:val="16"/>
                <w:szCs w:val="18"/>
              </w:rPr>
              <w:t xml:space="preserve">All Councils </w:t>
            </w:r>
          </w:p>
        </w:tc>
        <w:tc>
          <w:tcPr>
            <w:tcW w:w="1926" w:type="dxa"/>
            <w:shd w:val="clear" w:color="auto" w:fill="auto"/>
            <w:tcMar>
              <w:top w:w="85" w:type="dxa"/>
              <w:left w:w="108" w:type="dxa"/>
              <w:bottom w:w="85" w:type="dxa"/>
              <w:right w:w="108" w:type="dxa"/>
            </w:tcMar>
          </w:tcPr>
          <w:p w:rsidR="004F7E8F" w:rsidRPr="00574FAA" w:rsidRDefault="004F7E8F" w:rsidP="00F862EA">
            <w:pPr>
              <w:pStyle w:val="TableTextSCC"/>
              <w:spacing w:before="0" w:after="0"/>
              <w:jc w:val="center"/>
              <w:rPr>
                <w:rFonts w:asciiTheme="minorHAnsi" w:eastAsiaTheme="minorEastAsia" w:hAnsiTheme="minorHAnsi" w:cstheme="minorHAnsi"/>
                <w:b/>
                <w:kern w:val="24"/>
                <w:sz w:val="16"/>
                <w:szCs w:val="18"/>
              </w:rPr>
            </w:pPr>
            <w:r w:rsidRPr="00574FAA">
              <w:rPr>
                <w:rFonts w:asciiTheme="minorHAnsi" w:eastAsiaTheme="minorEastAsia" w:hAnsiTheme="minorHAnsi" w:cstheme="minorHAnsi"/>
                <w:b/>
                <w:kern w:val="24"/>
                <w:sz w:val="16"/>
                <w:szCs w:val="18"/>
              </w:rPr>
              <w:t>1</w:t>
            </w:r>
            <w:r>
              <w:rPr>
                <w:rFonts w:asciiTheme="minorHAnsi" w:eastAsiaTheme="minorEastAsia" w:hAnsiTheme="minorHAnsi" w:cstheme="minorHAnsi"/>
                <w:b/>
                <w:kern w:val="24"/>
                <w:sz w:val="16"/>
                <w:szCs w:val="18"/>
              </w:rPr>
              <w:t>4</w:t>
            </w:r>
            <w:r w:rsidRPr="00574FAA">
              <w:rPr>
                <w:rFonts w:asciiTheme="minorHAnsi" w:eastAsiaTheme="minorEastAsia" w:hAnsiTheme="minorHAnsi" w:cstheme="minorHAnsi"/>
                <w:b/>
                <w:kern w:val="24"/>
                <w:sz w:val="16"/>
                <w:szCs w:val="18"/>
              </w:rPr>
              <w:t>.</w:t>
            </w:r>
            <w:r>
              <w:rPr>
                <w:rFonts w:asciiTheme="minorHAnsi" w:eastAsiaTheme="minorEastAsia" w:hAnsiTheme="minorHAnsi" w:cstheme="minorHAnsi"/>
                <w:b/>
                <w:kern w:val="24"/>
                <w:sz w:val="16"/>
                <w:szCs w:val="18"/>
              </w:rPr>
              <w:t>5</w:t>
            </w:r>
          </w:p>
        </w:tc>
      </w:tr>
    </w:tbl>
    <w:p w:rsidR="00B308A8" w:rsidRDefault="00B308A8" w:rsidP="0089412E">
      <w:pPr>
        <w:pStyle w:val="BodyTextSCC"/>
        <w:spacing w:before="120" w:after="120"/>
        <w:jc w:val="both"/>
        <w:rPr>
          <w:color w:val="000000"/>
          <w:szCs w:val="22"/>
        </w:rPr>
      </w:pPr>
      <w:r>
        <w:rPr>
          <w:color w:val="000000"/>
          <w:szCs w:val="22"/>
        </w:rPr>
        <w:lastRenderedPageBreak/>
        <w:t>The asset related charges for SCC appear to be higher under postage stamp pricing.</w:t>
      </w:r>
    </w:p>
    <w:p w:rsidR="0089412E" w:rsidRDefault="00E1012E" w:rsidP="0089412E">
      <w:pPr>
        <w:pStyle w:val="BodyTextSCC"/>
        <w:spacing w:before="120" w:after="120"/>
        <w:jc w:val="both"/>
        <w:rPr>
          <w:color w:val="000000"/>
          <w:szCs w:val="22"/>
        </w:rPr>
      </w:pPr>
      <w:r w:rsidRPr="00612650">
        <w:rPr>
          <w:color w:val="000000"/>
          <w:szCs w:val="22"/>
        </w:rPr>
        <w:t xml:space="preserve">As an example, in undertaking </w:t>
      </w:r>
      <w:r>
        <w:rPr>
          <w:color w:val="000000"/>
          <w:szCs w:val="22"/>
        </w:rPr>
        <w:t>an age adjusted asset valuation,</w:t>
      </w:r>
      <w:r w:rsidRPr="00612650">
        <w:rPr>
          <w:color w:val="000000"/>
          <w:szCs w:val="22"/>
        </w:rPr>
        <w:t xml:space="preserve"> a 3 year old (major) streetlight would warrant an 85% claim against the “as new” value (adjusted for indexation). </w:t>
      </w:r>
      <w:r>
        <w:rPr>
          <w:color w:val="000000"/>
          <w:szCs w:val="22"/>
        </w:rPr>
        <w:t xml:space="preserve">  The </w:t>
      </w:r>
      <w:r w:rsidR="0089412E" w:rsidRPr="00612650">
        <w:rPr>
          <w:color w:val="000000"/>
          <w:szCs w:val="22"/>
        </w:rPr>
        <w:t>aggregate value of each individual Rate 1 streetlight</w:t>
      </w:r>
      <w:r w:rsidR="005731AE">
        <w:rPr>
          <w:color w:val="000000"/>
          <w:szCs w:val="22"/>
        </w:rPr>
        <w:t>s</w:t>
      </w:r>
      <w:r w:rsidR="0089412E" w:rsidRPr="00612650">
        <w:rPr>
          <w:color w:val="000000"/>
          <w:szCs w:val="22"/>
        </w:rPr>
        <w:t xml:space="preserve"> across all </w:t>
      </w:r>
      <w:r w:rsidR="008C0526">
        <w:rPr>
          <w:color w:val="000000"/>
          <w:szCs w:val="22"/>
        </w:rPr>
        <w:t>c</w:t>
      </w:r>
      <w:r w:rsidR="0089412E" w:rsidRPr="00612650">
        <w:rPr>
          <w:color w:val="000000"/>
          <w:szCs w:val="22"/>
        </w:rPr>
        <w:t xml:space="preserve">ouncils would remain equal to the </w:t>
      </w:r>
      <w:r w:rsidR="0089412E">
        <w:rPr>
          <w:color w:val="000000"/>
          <w:szCs w:val="22"/>
        </w:rPr>
        <w:t xml:space="preserve">total </w:t>
      </w:r>
      <w:r w:rsidR="0089412E" w:rsidRPr="00612650">
        <w:rPr>
          <w:color w:val="000000"/>
          <w:szCs w:val="22"/>
        </w:rPr>
        <w:t xml:space="preserve">regulatory SLAB value </w:t>
      </w:r>
      <w:r w:rsidR="0089412E">
        <w:rPr>
          <w:color w:val="000000"/>
          <w:szCs w:val="22"/>
        </w:rPr>
        <w:t>(</w:t>
      </w:r>
      <w:r w:rsidR="008C0526">
        <w:rPr>
          <w:color w:val="000000"/>
          <w:szCs w:val="22"/>
        </w:rPr>
        <w:t xml:space="preserve">which </w:t>
      </w:r>
      <w:r w:rsidR="0089412E">
        <w:rPr>
          <w:color w:val="000000"/>
          <w:szCs w:val="22"/>
        </w:rPr>
        <w:t xml:space="preserve">for the </w:t>
      </w:r>
      <w:r w:rsidR="005731AE">
        <w:rPr>
          <w:color w:val="000000"/>
          <w:szCs w:val="22"/>
        </w:rPr>
        <w:t>purpose of this illustrative example is</w:t>
      </w:r>
      <w:r w:rsidR="0089412E">
        <w:rPr>
          <w:color w:val="000000"/>
          <w:szCs w:val="22"/>
        </w:rPr>
        <w:t xml:space="preserve"> </w:t>
      </w:r>
      <w:r w:rsidR="0089412E" w:rsidRPr="00612650">
        <w:rPr>
          <w:color w:val="000000"/>
          <w:szCs w:val="22"/>
        </w:rPr>
        <w:t>$119</w:t>
      </w:r>
      <w:r w:rsidR="0089412E">
        <w:rPr>
          <w:color w:val="000000"/>
          <w:szCs w:val="22"/>
        </w:rPr>
        <w:t xml:space="preserve"> million as per 2014/15 opening SLAB value).</w:t>
      </w:r>
    </w:p>
    <w:p w:rsidR="00123149" w:rsidRDefault="00123149" w:rsidP="00123149">
      <w:pPr>
        <w:pStyle w:val="BodyTextSCC"/>
        <w:spacing w:before="120" w:after="120"/>
        <w:jc w:val="both"/>
        <w:rPr>
          <w:color w:val="000000"/>
          <w:szCs w:val="22"/>
        </w:rPr>
      </w:pPr>
      <w:r>
        <w:t xml:space="preserve">Energex has provided the following example </w:t>
      </w:r>
      <w:r w:rsidR="008C0526">
        <w:t xml:space="preserve">(see Figure 1) </w:t>
      </w:r>
      <w:r>
        <w:t xml:space="preserve">for discussion purposes to illustrate the </w:t>
      </w:r>
      <w:r w:rsidR="00190141">
        <w:t xml:space="preserve">potential </w:t>
      </w:r>
      <w:r w:rsidR="00737627">
        <w:t xml:space="preserve">impact on individual </w:t>
      </w:r>
      <w:r w:rsidR="008C0526">
        <w:t>c</w:t>
      </w:r>
      <w:r w:rsidR="00737627">
        <w:t xml:space="preserve">ouncils of an </w:t>
      </w:r>
      <w:r>
        <w:t xml:space="preserve">age adjusted </w:t>
      </w:r>
      <w:r w:rsidR="00737627">
        <w:t>a</w:t>
      </w:r>
      <w:r w:rsidR="00190141">
        <w:t>sset valuation methodology v</w:t>
      </w:r>
      <w:r w:rsidR="008C0526">
        <w:t>ersu</w:t>
      </w:r>
      <w:r w:rsidR="00190141">
        <w:t xml:space="preserve">s </w:t>
      </w:r>
      <w:r w:rsidR="00190141">
        <w:rPr>
          <w:color w:val="000000"/>
          <w:szCs w:val="22"/>
        </w:rPr>
        <w:t xml:space="preserve">the </w:t>
      </w:r>
      <w:r w:rsidR="00183026">
        <w:rPr>
          <w:color w:val="000000"/>
          <w:szCs w:val="22"/>
        </w:rPr>
        <w:t xml:space="preserve">current </w:t>
      </w:r>
      <w:r w:rsidR="00190141">
        <w:rPr>
          <w:color w:val="000000"/>
          <w:szCs w:val="22"/>
        </w:rPr>
        <w:t>‘postage stamp’ pricing arrangement</w:t>
      </w:r>
      <w:r w:rsidR="008C0526">
        <w:rPr>
          <w:color w:val="000000"/>
          <w:szCs w:val="22"/>
        </w:rPr>
        <w:t>.</w:t>
      </w:r>
    </w:p>
    <w:p w:rsidR="008C0526" w:rsidRDefault="008C0526" w:rsidP="008C0526">
      <w:pPr>
        <w:pStyle w:val="BodyTextSCC"/>
        <w:keepNext/>
        <w:keepLines/>
        <w:spacing w:before="120" w:after="120"/>
        <w:jc w:val="both"/>
        <w:rPr>
          <w:i/>
          <w:sz w:val="20"/>
          <w:szCs w:val="20"/>
        </w:rPr>
      </w:pPr>
      <w:r>
        <w:rPr>
          <w:i/>
          <w:sz w:val="20"/>
          <w:szCs w:val="20"/>
        </w:rPr>
        <w:t>Figure</w:t>
      </w:r>
      <w:r w:rsidRPr="004B568E">
        <w:rPr>
          <w:i/>
          <w:sz w:val="20"/>
          <w:szCs w:val="20"/>
        </w:rPr>
        <w:t xml:space="preserve"> </w:t>
      </w:r>
      <w:r>
        <w:rPr>
          <w:i/>
          <w:sz w:val="20"/>
          <w:szCs w:val="20"/>
        </w:rPr>
        <w:t>1</w:t>
      </w:r>
      <w:r w:rsidRPr="004B568E">
        <w:rPr>
          <w:i/>
          <w:sz w:val="20"/>
          <w:szCs w:val="20"/>
        </w:rPr>
        <w:t xml:space="preserve"> Averaged and Age adjusted Asset Values by Council</w:t>
      </w:r>
    </w:p>
    <w:p w:rsidR="008C0526" w:rsidRDefault="008C0526" w:rsidP="008C0526">
      <w:pPr>
        <w:pStyle w:val="BodyTextSCC"/>
        <w:keepNext/>
        <w:keepLines/>
        <w:spacing w:before="120" w:after="120"/>
        <w:jc w:val="both"/>
      </w:pPr>
      <w:r w:rsidRPr="003A03BF">
        <w:rPr>
          <w:noProof/>
        </w:rPr>
        <w:drawing>
          <wp:inline distT="0" distB="0" distL="0" distR="0" wp14:anchorId="1959C617" wp14:editId="24110F7D">
            <wp:extent cx="6120130" cy="220158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201580"/>
                    </a:xfrm>
                    <a:prstGeom prst="rect">
                      <a:avLst/>
                    </a:prstGeom>
                    <a:noFill/>
                    <a:ln>
                      <a:noFill/>
                    </a:ln>
                  </pic:spPr>
                </pic:pic>
              </a:graphicData>
            </a:graphic>
          </wp:inline>
        </w:drawing>
      </w:r>
    </w:p>
    <w:p w:rsidR="00916B3F" w:rsidRDefault="009219AF" w:rsidP="00916B3F">
      <w:pPr>
        <w:pStyle w:val="BodyTextSCC"/>
        <w:spacing w:before="120" w:after="120"/>
        <w:jc w:val="both"/>
        <w:rPr>
          <w:color w:val="000000"/>
          <w:szCs w:val="22"/>
        </w:rPr>
      </w:pPr>
      <w:r w:rsidRPr="00D3562A">
        <w:rPr>
          <w:color w:val="000000"/>
          <w:szCs w:val="22"/>
        </w:rPr>
        <w:t>Energex now propose a $3.</w:t>
      </w:r>
      <w:r w:rsidR="00F20792">
        <w:rPr>
          <w:color w:val="000000"/>
          <w:szCs w:val="22"/>
        </w:rPr>
        <w:t>4</w:t>
      </w:r>
      <w:r w:rsidRPr="00D3562A">
        <w:rPr>
          <w:color w:val="000000"/>
          <w:szCs w:val="22"/>
        </w:rPr>
        <w:t xml:space="preserve">5 million </w:t>
      </w:r>
      <w:r w:rsidR="002D37B7">
        <w:rPr>
          <w:color w:val="000000"/>
          <w:szCs w:val="22"/>
        </w:rPr>
        <w:t>(</w:t>
      </w:r>
      <w:r w:rsidR="008C0526">
        <w:rPr>
          <w:color w:val="000000"/>
          <w:szCs w:val="22"/>
        </w:rPr>
        <w:t xml:space="preserve">as </w:t>
      </w:r>
      <w:r w:rsidR="002D37B7">
        <w:rPr>
          <w:color w:val="000000"/>
          <w:szCs w:val="22"/>
        </w:rPr>
        <w:t xml:space="preserve">at 1 January 2014) </w:t>
      </w:r>
      <w:r w:rsidRPr="00D3562A">
        <w:rPr>
          <w:color w:val="000000"/>
          <w:szCs w:val="22"/>
        </w:rPr>
        <w:t xml:space="preserve">transfer value could be acceptable once consultation with other </w:t>
      </w:r>
      <w:r w:rsidR="00A94207" w:rsidRPr="00D3562A">
        <w:rPr>
          <w:color w:val="000000"/>
          <w:szCs w:val="22"/>
        </w:rPr>
        <w:t xml:space="preserve">SEQ </w:t>
      </w:r>
      <w:r w:rsidRPr="00D3562A">
        <w:rPr>
          <w:color w:val="000000"/>
          <w:szCs w:val="22"/>
        </w:rPr>
        <w:t xml:space="preserve">councils is conducted. </w:t>
      </w:r>
    </w:p>
    <w:p w:rsidR="009B362A" w:rsidRDefault="009219AF" w:rsidP="00C61629">
      <w:pPr>
        <w:pStyle w:val="BodyTextSCC"/>
        <w:spacing w:before="120" w:after="120"/>
        <w:jc w:val="both"/>
      </w:pPr>
      <w:r w:rsidRPr="00D3562A">
        <w:rPr>
          <w:color w:val="000000"/>
          <w:szCs w:val="22"/>
        </w:rPr>
        <w:t xml:space="preserve">The consultation will examine the impact of the SCC transfer on the future Energex pricing for public lighting services. </w:t>
      </w:r>
    </w:p>
    <w:p w:rsidR="00737627" w:rsidRDefault="00CC59F2" w:rsidP="00737627">
      <w:pPr>
        <w:pStyle w:val="BodyTextSCC"/>
        <w:spacing w:before="120" w:after="120"/>
        <w:jc w:val="both"/>
        <w:rPr>
          <w:color w:val="000000"/>
          <w:szCs w:val="22"/>
        </w:rPr>
      </w:pPr>
      <w:r>
        <w:rPr>
          <w:color w:val="000000"/>
          <w:szCs w:val="22"/>
        </w:rPr>
        <w:t>D</w:t>
      </w:r>
      <w:r w:rsidR="00737627">
        <w:rPr>
          <w:color w:val="000000"/>
          <w:szCs w:val="22"/>
        </w:rPr>
        <w:t>etermination of an a</w:t>
      </w:r>
      <w:r>
        <w:rPr>
          <w:color w:val="000000"/>
          <w:szCs w:val="22"/>
        </w:rPr>
        <w:t>ppropriate</w:t>
      </w:r>
      <w:r w:rsidR="00737627">
        <w:rPr>
          <w:color w:val="000000"/>
          <w:szCs w:val="22"/>
        </w:rPr>
        <w:t xml:space="preserve"> </w:t>
      </w:r>
      <w:r>
        <w:rPr>
          <w:color w:val="000000"/>
          <w:szCs w:val="22"/>
        </w:rPr>
        <w:t xml:space="preserve">valuation methodology (if different from current) </w:t>
      </w:r>
      <w:r w:rsidR="00737627">
        <w:rPr>
          <w:color w:val="000000"/>
          <w:szCs w:val="22"/>
        </w:rPr>
        <w:t xml:space="preserve">will </w:t>
      </w:r>
      <w:r>
        <w:rPr>
          <w:color w:val="000000"/>
          <w:szCs w:val="22"/>
        </w:rPr>
        <w:t xml:space="preserve">need to </w:t>
      </w:r>
      <w:r w:rsidR="00737627">
        <w:rPr>
          <w:color w:val="000000"/>
          <w:szCs w:val="22"/>
        </w:rPr>
        <w:t xml:space="preserve">consider </w:t>
      </w:r>
      <w:r w:rsidR="00737627" w:rsidRPr="00D3562A">
        <w:rPr>
          <w:color w:val="000000"/>
          <w:szCs w:val="22"/>
        </w:rPr>
        <w:t xml:space="preserve">consultation </w:t>
      </w:r>
      <w:r w:rsidR="00737627">
        <w:rPr>
          <w:color w:val="000000"/>
          <w:szCs w:val="22"/>
        </w:rPr>
        <w:t xml:space="preserve">outcomes </w:t>
      </w:r>
      <w:r>
        <w:rPr>
          <w:color w:val="000000"/>
          <w:szCs w:val="22"/>
        </w:rPr>
        <w:t xml:space="preserve">with </w:t>
      </w:r>
      <w:r w:rsidR="00737627" w:rsidRPr="00D3562A">
        <w:rPr>
          <w:color w:val="000000"/>
          <w:szCs w:val="22"/>
        </w:rPr>
        <w:t>SEQ councils</w:t>
      </w:r>
      <w:r>
        <w:rPr>
          <w:color w:val="000000"/>
          <w:szCs w:val="22"/>
        </w:rPr>
        <w:t xml:space="preserve">, regulatory guidance/process </w:t>
      </w:r>
      <w:r w:rsidR="00737627">
        <w:rPr>
          <w:color w:val="000000"/>
          <w:szCs w:val="22"/>
        </w:rPr>
        <w:t xml:space="preserve">and </w:t>
      </w:r>
      <w:r>
        <w:rPr>
          <w:color w:val="000000"/>
          <w:szCs w:val="22"/>
        </w:rPr>
        <w:t>relevant</w:t>
      </w:r>
      <w:r w:rsidR="00737627">
        <w:rPr>
          <w:color w:val="000000"/>
          <w:szCs w:val="22"/>
        </w:rPr>
        <w:t xml:space="preserve"> approval</w:t>
      </w:r>
      <w:r>
        <w:rPr>
          <w:color w:val="000000"/>
          <w:szCs w:val="22"/>
        </w:rPr>
        <w:t>s</w:t>
      </w:r>
      <w:r w:rsidR="00737627" w:rsidRPr="00D3562A">
        <w:rPr>
          <w:color w:val="000000"/>
          <w:szCs w:val="22"/>
        </w:rPr>
        <w:t xml:space="preserve">. </w:t>
      </w:r>
    </w:p>
    <w:p w:rsidR="00E6665D" w:rsidRPr="00C351E7" w:rsidRDefault="00E6665D" w:rsidP="00E6665D">
      <w:pPr>
        <w:pStyle w:val="BodyTextSCC"/>
        <w:spacing w:before="120" w:after="120"/>
        <w:jc w:val="both"/>
        <w:rPr>
          <w:color w:val="000000"/>
          <w:szCs w:val="22"/>
        </w:rPr>
      </w:pPr>
      <w:r w:rsidRPr="00C351E7">
        <w:rPr>
          <w:color w:val="000000"/>
          <w:szCs w:val="22"/>
        </w:rPr>
        <w:t xml:space="preserve">Energex </w:t>
      </w:r>
      <w:r>
        <w:rPr>
          <w:color w:val="000000"/>
          <w:szCs w:val="22"/>
        </w:rPr>
        <w:t>indicate that de</w:t>
      </w:r>
      <w:r w:rsidR="00036928">
        <w:rPr>
          <w:color w:val="000000"/>
          <w:szCs w:val="22"/>
        </w:rPr>
        <w:t xml:space="preserve">termining the transfer price </w:t>
      </w:r>
      <w:r>
        <w:rPr>
          <w:color w:val="000000"/>
          <w:szCs w:val="22"/>
        </w:rPr>
        <w:t xml:space="preserve">based on the average age of assets in </w:t>
      </w:r>
      <w:r w:rsidR="00036928">
        <w:rPr>
          <w:color w:val="000000"/>
          <w:szCs w:val="22"/>
        </w:rPr>
        <w:t>SEQ</w:t>
      </w:r>
      <w:r>
        <w:rPr>
          <w:color w:val="000000"/>
          <w:szCs w:val="22"/>
        </w:rPr>
        <w:t xml:space="preserve"> is consistent with the postage stamp pricing approach. </w:t>
      </w:r>
      <w:r w:rsidR="009B362A">
        <w:rPr>
          <w:color w:val="000000"/>
          <w:szCs w:val="22"/>
        </w:rPr>
        <w:t>To avoid any pricing inequalities</w:t>
      </w:r>
      <w:r>
        <w:rPr>
          <w:color w:val="000000"/>
          <w:szCs w:val="22"/>
        </w:rPr>
        <w:t>, an alternate asset valuation methodology reflecting the age</w:t>
      </w:r>
      <w:r w:rsidRPr="00D3562A">
        <w:rPr>
          <w:color w:val="000000"/>
          <w:szCs w:val="22"/>
        </w:rPr>
        <w:t xml:space="preserve"> profile of assets </w:t>
      </w:r>
      <w:r>
        <w:rPr>
          <w:color w:val="000000"/>
          <w:szCs w:val="22"/>
        </w:rPr>
        <w:t xml:space="preserve">for individual </w:t>
      </w:r>
      <w:r w:rsidR="008F1722">
        <w:rPr>
          <w:color w:val="000000"/>
          <w:szCs w:val="22"/>
        </w:rPr>
        <w:t>c</w:t>
      </w:r>
      <w:r>
        <w:rPr>
          <w:color w:val="000000"/>
          <w:szCs w:val="22"/>
        </w:rPr>
        <w:t xml:space="preserve">ouncil’s would require a move away from postage stamp pricing toward </w:t>
      </w:r>
      <w:r w:rsidR="008F1722">
        <w:rPr>
          <w:color w:val="000000"/>
          <w:szCs w:val="22"/>
        </w:rPr>
        <w:t>c</w:t>
      </w:r>
      <w:r>
        <w:rPr>
          <w:color w:val="000000"/>
          <w:szCs w:val="22"/>
        </w:rPr>
        <w:t>ouncil specific pricing.</w:t>
      </w:r>
      <w:r w:rsidR="009B362A">
        <w:rPr>
          <w:color w:val="000000"/>
          <w:szCs w:val="22"/>
        </w:rPr>
        <w:t xml:space="preserve"> However, SCC notes the existing cross subsidisation inherent in the postage stamp pricing as demonstrated by Figure </w:t>
      </w:r>
      <w:r w:rsidR="008C0526">
        <w:rPr>
          <w:color w:val="000000"/>
          <w:szCs w:val="22"/>
        </w:rPr>
        <w:t>1</w:t>
      </w:r>
      <w:r w:rsidR="009B362A">
        <w:rPr>
          <w:color w:val="000000"/>
          <w:szCs w:val="22"/>
        </w:rPr>
        <w:t xml:space="preserve"> above.</w:t>
      </w:r>
    </w:p>
    <w:p w:rsidR="00D37382" w:rsidRDefault="00D37382" w:rsidP="00D37382">
      <w:pPr>
        <w:pStyle w:val="Heading1SCC"/>
      </w:pPr>
      <w:r>
        <w:t>Asset Transfer Implications – Post 2010 Rate 2 assets</w:t>
      </w:r>
    </w:p>
    <w:p w:rsidR="00D37382" w:rsidRPr="001364B8" w:rsidRDefault="00D37382" w:rsidP="00D37382">
      <w:pPr>
        <w:pStyle w:val="BodyTextSCC"/>
        <w:spacing w:before="120" w:after="120"/>
        <w:jc w:val="both"/>
        <w:rPr>
          <w:color w:val="000000"/>
          <w:szCs w:val="22"/>
        </w:rPr>
      </w:pPr>
      <w:r w:rsidRPr="001364B8">
        <w:rPr>
          <w:color w:val="000000"/>
          <w:szCs w:val="22"/>
        </w:rPr>
        <w:t>The</w:t>
      </w:r>
      <w:r w:rsidR="00106611">
        <w:rPr>
          <w:color w:val="000000"/>
          <w:szCs w:val="22"/>
        </w:rPr>
        <w:t>se</w:t>
      </w:r>
      <w:r w:rsidRPr="001364B8">
        <w:rPr>
          <w:color w:val="000000"/>
          <w:szCs w:val="22"/>
        </w:rPr>
        <w:t xml:space="preserve"> assets were categorised as</w:t>
      </w:r>
      <w:r>
        <w:rPr>
          <w:color w:val="000000"/>
          <w:szCs w:val="22"/>
        </w:rPr>
        <w:t xml:space="preserve"> </w:t>
      </w:r>
      <w:r w:rsidRPr="001364B8">
        <w:rPr>
          <w:color w:val="000000"/>
          <w:szCs w:val="22"/>
        </w:rPr>
        <w:t>contributed assets (i</w:t>
      </w:r>
      <w:r w:rsidR="00106611">
        <w:rPr>
          <w:color w:val="000000"/>
          <w:szCs w:val="22"/>
        </w:rPr>
        <w:t>.</w:t>
      </w:r>
      <w:r w:rsidRPr="001364B8">
        <w:rPr>
          <w:color w:val="000000"/>
          <w:szCs w:val="22"/>
        </w:rPr>
        <w:t>e</w:t>
      </w:r>
      <w:r w:rsidR="00106611">
        <w:rPr>
          <w:color w:val="000000"/>
          <w:szCs w:val="22"/>
        </w:rPr>
        <w:t>.</w:t>
      </w:r>
      <w:r w:rsidRPr="001364B8">
        <w:rPr>
          <w:color w:val="000000"/>
          <w:szCs w:val="22"/>
        </w:rPr>
        <w:t xml:space="preserve"> assets which were gifted to Energex or were paid for by a</w:t>
      </w:r>
      <w:r>
        <w:rPr>
          <w:color w:val="000000"/>
          <w:szCs w:val="22"/>
        </w:rPr>
        <w:t xml:space="preserve"> </w:t>
      </w:r>
      <w:r w:rsidR="00106611">
        <w:rPr>
          <w:color w:val="000000"/>
          <w:szCs w:val="22"/>
        </w:rPr>
        <w:t xml:space="preserve">customer). </w:t>
      </w:r>
      <w:r w:rsidR="00106611" w:rsidRPr="001364B8">
        <w:rPr>
          <w:color w:val="000000"/>
          <w:szCs w:val="22"/>
        </w:rPr>
        <w:t>Contributed assets received by Energex from 1 July 2010 have a $nil value for the</w:t>
      </w:r>
      <w:r w:rsidR="005846C7">
        <w:rPr>
          <w:color w:val="000000"/>
          <w:szCs w:val="22"/>
        </w:rPr>
        <w:t xml:space="preserve"> </w:t>
      </w:r>
      <w:r w:rsidR="00106611" w:rsidRPr="001364B8">
        <w:rPr>
          <w:color w:val="000000"/>
          <w:szCs w:val="22"/>
        </w:rPr>
        <w:t>purposes of price setting for street lighting services.</w:t>
      </w:r>
      <w:r w:rsidR="00106611">
        <w:rPr>
          <w:color w:val="000000"/>
          <w:szCs w:val="22"/>
        </w:rPr>
        <w:t xml:space="preserve"> Alternative control service charges have excluded a return on capital and return of capital component. </w:t>
      </w:r>
      <w:r w:rsidR="00106611" w:rsidRPr="00106611">
        <w:rPr>
          <w:color w:val="000000"/>
          <w:szCs w:val="22"/>
        </w:rPr>
        <w:t>Post July 2010 Rate 2 assets</w:t>
      </w:r>
      <w:r w:rsidR="00106611">
        <w:rPr>
          <w:color w:val="000000"/>
          <w:szCs w:val="22"/>
        </w:rPr>
        <w:t xml:space="preserve"> should </w:t>
      </w:r>
      <w:r w:rsidR="00106611" w:rsidRPr="00106611">
        <w:rPr>
          <w:color w:val="000000"/>
          <w:szCs w:val="22"/>
        </w:rPr>
        <w:t>transfer to SCC at nil value.</w:t>
      </w:r>
    </w:p>
    <w:p w:rsidR="009514F1" w:rsidRDefault="009514F1" w:rsidP="009514F1">
      <w:pPr>
        <w:pStyle w:val="Heading1SCC"/>
      </w:pPr>
      <w:r>
        <w:t xml:space="preserve">Asset Transfer Implications – </w:t>
      </w:r>
      <w:r w:rsidR="001364B8">
        <w:t xml:space="preserve">Pre 2010 </w:t>
      </w:r>
      <w:r>
        <w:t>Rate 2 assets</w:t>
      </w:r>
    </w:p>
    <w:p w:rsidR="001364B8" w:rsidRPr="001364B8" w:rsidRDefault="001364B8" w:rsidP="001364B8">
      <w:pPr>
        <w:pStyle w:val="BodyTextSCC"/>
        <w:spacing w:before="120" w:after="120"/>
        <w:jc w:val="both"/>
        <w:rPr>
          <w:color w:val="000000"/>
          <w:szCs w:val="22"/>
        </w:rPr>
      </w:pPr>
      <w:r w:rsidRPr="001364B8">
        <w:rPr>
          <w:color w:val="000000"/>
          <w:szCs w:val="22"/>
        </w:rPr>
        <w:t>Prior to 1 July 2010 public lighting services in Queensland were provided as standard</w:t>
      </w:r>
      <w:r>
        <w:rPr>
          <w:color w:val="000000"/>
          <w:szCs w:val="22"/>
        </w:rPr>
        <w:t xml:space="preserve"> </w:t>
      </w:r>
      <w:r w:rsidRPr="001364B8">
        <w:rPr>
          <w:color w:val="000000"/>
          <w:szCs w:val="22"/>
        </w:rPr>
        <w:t>control services. The assets used to provide those services were categorised as</w:t>
      </w:r>
      <w:r>
        <w:rPr>
          <w:color w:val="000000"/>
          <w:szCs w:val="22"/>
        </w:rPr>
        <w:t xml:space="preserve"> </w:t>
      </w:r>
      <w:r w:rsidRPr="001364B8">
        <w:rPr>
          <w:color w:val="000000"/>
          <w:szCs w:val="22"/>
        </w:rPr>
        <w:t>contributed assets (i</w:t>
      </w:r>
      <w:r w:rsidR="00203DF9">
        <w:rPr>
          <w:color w:val="000000"/>
          <w:szCs w:val="22"/>
        </w:rPr>
        <w:t>.</w:t>
      </w:r>
      <w:r w:rsidRPr="001364B8">
        <w:rPr>
          <w:color w:val="000000"/>
          <w:szCs w:val="22"/>
        </w:rPr>
        <w:t>e</w:t>
      </w:r>
      <w:r w:rsidR="00203DF9">
        <w:rPr>
          <w:color w:val="000000"/>
          <w:szCs w:val="22"/>
        </w:rPr>
        <w:t>.</w:t>
      </w:r>
      <w:r w:rsidRPr="001364B8">
        <w:rPr>
          <w:color w:val="000000"/>
          <w:szCs w:val="22"/>
        </w:rPr>
        <w:t xml:space="preserve"> assets which were gifted to Energex or were paid for by a</w:t>
      </w:r>
      <w:r>
        <w:rPr>
          <w:color w:val="000000"/>
          <w:szCs w:val="22"/>
        </w:rPr>
        <w:t xml:space="preserve"> </w:t>
      </w:r>
      <w:r w:rsidRPr="001364B8">
        <w:rPr>
          <w:color w:val="000000"/>
          <w:szCs w:val="22"/>
        </w:rPr>
        <w:t>customer) or non-contributed (i</w:t>
      </w:r>
      <w:r w:rsidR="00203DF9">
        <w:rPr>
          <w:color w:val="000000"/>
          <w:szCs w:val="22"/>
        </w:rPr>
        <w:t>.</w:t>
      </w:r>
      <w:r w:rsidRPr="001364B8">
        <w:rPr>
          <w:color w:val="000000"/>
          <w:szCs w:val="22"/>
        </w:rPr>
        <w:t>e</w:t>
      </w:r>
      <w:r w:rsidR="00203DF9">
        <w:rPr>
          <w:color w:val="000000"/>
          <w:szCs w:val="22"/>
        </w:rPr>
        <w:t>.</w:t>
      </w:r>
      <w:r w:rsidRPr="001364B8">
        <w:rPr>
          <w:color w:val="000000"/>
          <w:szCs w:val="22"/>
        </w:rPr>
        <w:t xml:space="preserve"> paid </w:t>
      </w:r>
      <w:r w:rsidRPr="001364B8">
        <w:rPr>
          <w:color w:val="000000"/>
          <w:szCs w:val="22"/>
        </w:rPr>
        <w:lastRenderedPageBreak/>
        <w:t>for by Energex). Both types of assets were</w:t>
      </w:r>
      <w:r>
        <w:rPr>
          <w:color w:val="000000"/>
          <w:szCs w:val="22"/>
        </w:rPr>
        <w:t xml:space="preserve"> </w:t>
      </w:r>
      <w:r w:rsidRPr="001364B8">
        <w:rPr>
          <w:color w:val="000000"/>
          <w:szCs w:val="22"/>
        </w:rPr>
        <w:t>included in Energex's RAB for the purposes of calculating the revenues Energex</w:t>
      </w:r>
      <w:r>
        <w:rPr>
          <w:color w:val="000000"/>
          <w:szCs w:val="22"/>
        </w:rPr>
        <w:t xml:space="preserve"> </w:t>
      </w:r>
      <w:r w:rsidRPr="001364B8">
        <w:rPr>
          <w:color w:val="000000"/>
          <w:szCs w:val="22"/>
        </w:rPr>
        <w:t>could earn in providing its standard control services.</w:t>
      </w:r>
    </w:p>
    <w:p w:rsidR="001364B8" w:rsidRPr="001364B8" w:rsidRDefault="001364B8" w:rsidP="001364B8">
      <w:pPr>
        <w:pStyle w:val="BodyTextSCC"/>
        <w:spacing w:before="120" w:after="120"/>
        <w:jc w:val="both"/>
        <w:rPr>
          <w:color w:val="000000"/>
          <w:szCs w:val="22"/>
        </w:rPr>
      </w:pPr>
      <w:r w:rsidRPr="001364B8">
        <w:rPr>
          <w:color w:val="000000"/>
          <w:szCs w:val="22"/>
        </w:rPr>
        <w:t>With the AER's reclassification of street lighting services as alternative control</w:t>
      </w:r>
      <w:r>
        <w:rPr>
          <w:color w:val="000000"/>
          <w:szCs w:val="22"/>
        </w:rPr>
        <w:t xml:space="preserve"> </w:t>
      </w:r>
      <w:r w:rsidRPr="001364B8">
        <w:rPr>
          <w:color w:val="000000"/>
          <w:szCs w:val="22"/>
        </w:rPr>
        <w:t>services from 1 July 2010, Energex separated the value of the contributed and non</w:t>
      </w:r>
      <w:r w:rsidR="005846C7">
        <w:rPr>
          <w:color w:val="000000"/>
          <w:szCs w:val="22"/>
        </w:rPr>
        <w:t>-</w:t>
      </w:r>
      <w:r w:rsidRPr="001364B8">
        <w:rPr>
          <w:color w:val="000000"/>
          <w:szCs w:val="22"/>
        </w:rPr>
        <w:t>contributed</w:t>
      </w:r>
      <w:r>
        <w:rPr>
          <w:color w:val="000000"/>
          <w:szCs w:val="22"/>
        </w:rPr>
        <w:t xml:space="preserve"> </w:t>
      </w:r>
      <w:r w:rsidRPr="001364B8">
        <w:rPr>
          <w:color w:val="000000"/>
          <w:szCs w:val="22"/>
        </w:rPr>
        <w:t>assets as at 30 June 2010. Consequently:</w:t>
      </w:r>
    </w:p>
    <w:p w:rsidR="001364B8" w:rsidRDefault="001364B8" w:rsidP="001364B8">
      <w:pPr>
        <w:pStyle w:val="BodyTextSCC"/>
        <w:numPr>
          <w:ilvl w:val="0"/>
          <w:numId w:val="38"/>
        </w:numPr>
        <w:spacing w:before="120" w:after="120"/>
        <w:jc w:val="both"/>
        <w:rPr>
          <w:color w:val="000000"/>
          <w:szCs w:val="22"/>
        </w:rPr>
      </w:pPr>
      <w:r w:rsidRPr="001364B8">
        <w:rPr>
          <w:color w:val="000000"/>
          <w:szCs w:val="22"/>
        </w:rPr>
        <w:t>the SLAB reflects the value of the non-contributed assets ($96.1 million as at 30 June 2010) and was used for the AER's price setting of prices and a price path mechanism for street lighting services for the Current Regulatory Period (Table 17.6, Determination); and</w:t>
      </w:r>
    </w:p>
    <w:p w:rsidR="001364B8" w:rsidRPr="001364B8" w:rsidRDefault="001364B8" w:rsidP="001364B8">
      <w:pPr>
        <w:pStyle w:val="BodyTextSCC"/>
        <w:numPr>
          <w:ilvl w:val="0"/>
          <w:numId w:val="38"/>
        </w:numPr>
        <w:spacing w:before="120" w:after="120"/>
        <w:jc w:val="both"/>
        <w:rPr>
          <w:color w:val="000000"/>
          <w:szCs w:val="22"/>
        </w:rPr>
      </w:pPr>
      <w:r w:rsidRPr="001364B8">
        <w:rPr>
          <w:color w:val="000000"/>
          <w:szCs w:val="22"/>
        </w:rPr>
        <w:t>the value of the contributed assets as at 30 June 2010 ($173.4 million) remained in the RAB for the purposes of calculating Energex's revenues for standard control services in the Current Regulatory Period (Table 5.1</w:t>
      </w:r>
      <w:r w:rsidR="007579BB" w:rsidRPr="001364B8">
        <w:rPr>
          <w:color w:val="000000"/>
          <w:szCs w:val="22"/>
        </w:rPr>
        <w:t>, Determination</w:t>
      </w:r>
      <w:r w:rsidRPr="001364B8">
        <w:rPr>
          <w:color w:val="000000"/>
          <w:szCs w:val="22"/>
        </w:rPr>
        <w:t>).</w:t>
      </w:r>
    </w:p>
    <w:p w:rsidR="001364B8" w:rsidRDefault="001364B8" w:rsidP="001364B8">
      <w:pPr>
        <w:pStyle w:val="BodyTextSCC"/>
        <w:spacing w:before="120" w:after="120"/>
        <w:jc w:val="both"/>
        <w:rPr>
          <w:color w:val="000000"/>
          <w:szCs w:val="22"/>
        </w:rPr>
      </w:pPr>
      <w:r w:rsidRPr="001364B8">
        <w:rPr>
          <w:color w:val="000000"/>
          <w:szCs w:val="22"/>
        </w:rPr>
        <w:t>The difference in treatment of Pre-2010 Assets was to enable Energex to receive</w:t>
      </w:r>
      <w:r>
        <w:rPr>
          <w:color w:val="000000"/>
          <w:szCs w:val="22"/>
        </w:rPr>
        <w:t xml:space="preserve"> </w:t>
      </w:r>
      <w:r w:rsidRPr="001364B8">
        <w:rPr>
          <w:color w:val="000000"/>
          <w:szCs w:val="22"/>
        </w:rPr>
        <w:t>revenues for Pre-2010 Assets on a consistent basis until the end of the economic life</w:t>
      </w:r>
      <w:r>
        <w:rPr>
          <w:color w:val="000000"/>
          <w:szCs w:val="22"/>
        </w:rPr>
        <w:t xml:space="preserve"> </w:t>
      </w:r>
      <w:r w:rsidRPr="001364B8">
        <w:rPr>
          <w:color w:val="000000"/>
          <w:szCs w:val="22"/>
        </w:rPr>
        <w:t>of these assets. This regulatory distinction for the purposes of revenue controls</w:t>
      </w:r>
      <w:r>
        <w:rPr>
          <w:color w:val="000000"/>
          <w:szCs w:val="22"/>
        </w:rPr>
        <w:t xml:space="preserve"> </w:t>
      </w:r>
      <w:r w:rsidRPr="001364B8">
        <w:rPr>
          <w:color w:val="000000"/>
          <w:szCs w:val="22"/>
        </w:rPr>
        <w:t xml:space="preserve">should have no relevance to the transfer of the assets. </w:t>
      </w:r>
    </w:p>
    <w:p w:rsidR="001364B8" w:rsidRDefault="008F1722" w:rsidP="001364B8">
      <w:pPr>
        <w:pStyle w:val="BodyTextSCC"/>
        <w:spacing w:before="120" w:after="120"/>
        <w:jc w:val="both"/>
        <w:rPr>
          <w:color w:val="000000"/>
          <w:szCs w:val="22"/>
        </w:rPr>
      </w:pPr>
      <w:r>
        <w:rPr>
          <w:color w:val="000000"/>
          <w:szCs w:val="22"/>
        </w:rPr>
        <w:t>Following</w:t>
      </w:r>
      <w:r w:rsidR="001364B8" w:rsidRPr="001364B8">
        <w:rPr>
          <w:color w:val="000000"/>
          <w:szCs w:val="22"/>
        </w:rPr>
        <w:t xml:space="preserve"> the transfer of the assets to the </w:t>
      </w:r>
      <w:r>
        <w:rPr>
          <w:color w:val="000000"/>
          <w:szCs w:val="22"/>
        </w:rPr>
        <w:t>SCC</w:t>
      </w:r>
      <w:r w:rsidR="001364B8" w:rsidRPr="001364B8">
        <w:rPr>
          <w:color w:val="000000"/>
          <w:szCs w:val="22"/>
        </w:rPr>
        <w:t>, the SLAB and RAB will be</w:t>
      </w:r>
      <w:r w:rsidR="001364B8">
        <w:rPr>
          <w:color w:val="000000"/>
          <w:szCs w:val="22"/>
        </w:rPr>
        <w:t xml:space="preserve"> </w:t>
      </w:r>
      <w:r w:rsidR="001364B8" w:rsidRPr="001364B8">
        <w:rPr>
          <w:color w:val="000000"/>
          <w:szCs w:val="22"/>
        </w:rPr>
        <w:t>adjusted. There are established processes under the NER by which this will occur.</w:t>
      </w:r>
    </w:p>
    <w:p w:rsidR="001364B8" w:rsidRDefault="001364B8" w:rsidP="001364B8">
      <w:pPr>
        <w:pStyle w:val="BodyTextSCC"/>
        <w:spacing w:before="120" w:after="120"/>
        <w:jc w:val="both"/>
        <w:rPr>
          <w:color w:val="000000"/>
          <w:szCs w:val="22"/>
        </w:rPr>
      </w:pPr>
      <w:r w:rsidRPr="001364B8">
        <w:rPr>
          <w:color w:val="000000"/>
          <w:szCs w:val="22"/>
        </w:rPr>
        <w:t>Schedule 6.2 of the NER concerns establishing the opening RAB for a regulatory</w:t>
      </w:r>
      <w:r>
        <w:rPr>
          <w:color w:val="000000"/>
          <w:szCs w:val="22"/>
        </w:rPr>
        <w:t xml:space="preserve"> </w:t>
      </w:r>
      <w:r w:rsidRPr="001364B8">
        <w:rPr>
          <w:color w:val="000000"/>
          <w:szCs w:val="22"/>
        </w:rPr>
        <w:t>control period. Rule S6.2.1(e)(6) requires that in setting an opening RAB, the closing</w:t>
      </w:r>
      <w:r>
        <w:rPr>
          <w:color w:val="000000"/>
          <w:szCs w:val="22"/>
        </w:rPr>
        <w:t xml:space="preserve"> </w:t>
      </w:r>
      <w:r w:rsidRPr="001364B8">
        <w:rPr>
          <w:color w:val="000000"/>
          <w:szCs w:val="22"/>
        </w:rPr>
        <w:t>RAB from the previous regulatory control period must be reduced by the value of any</w:t>
      </w:r>
      <w:r w:rsidR="00B4697D">
        <w:rPr>
          <w:color w:val="000000"/>
          <w:szCs w:val="22"/>
        </w:rPr>
        <w:t xml:space="preserve"> </w:t>
      </w:r>
      <w:r w:rsidRPr="001364B8">
        <w:rPr>
          <w:color w:val="000000"/>
          <w:szCs w:val="22"/>
        </w:rPr>
        <w:t>asset which has been disposed of during the previous regulatory period. In the</w:t>
      </w:r>
      <w:r w:rsidR="00B4697D">
        <w:rPr>
          <w:color w:val="000000"/>
          <w:szCs w:val="22"/>
        </w:rPr>
        <w:t xml:space="preserve"> </w:t>
      </w:r>
      <w:r w:rsidRPr="001364B8">
        <w:rPr>
          <w:color w:val="000000"/>
          <w:szCs w:val="22"/>
        </w:rPr>
        <w:t>regulatory reset for the period concerning 1 July 2015, this requirement would be</w:t>
      </w:r>
      <w:r w:rsidR="00B4697D">
        <w:rPr>
          <w:color w:val="000000"/>
          <w:szCs w:val="22"/>
        </w:rPr>
        <w:t xml:space="preserve"> </w:t>
      </w:r>
      <w:r w:rsidRPr="001364B8">
        <w:rPr>
          <w:color w:val="000000"/>
          <w:szCs w:val="22"/>
        </w:rPr>
        <w:t xml:space="preserve">applied so that the value of any assets transferred by Energex to </w:t>
      </w:r>
      <w:r w:rsidR="008F1722">
        <w:rPr>
          <w:color w:val="000000"/>
          <w:szCs w:val="22"/>
        </w:rPr>
        <w:t>SCC</w:t>
      </w:r>
      <w:r w:rsidRPr="001364B8">
        <w:rPr>
          <w:color w:val="000000"/>
          <w:szCs w:val="22"/>
        </w:rPr>
        <w:t xml:space="preserve"> would</w:t>
      </w:r>
      <w:r w:rsidR="00B4697D">
        <w:rPr>
          <w:color w:val="000000"/>
          <w:szCs w:val="22"/>
        </w:rPr>
        <w:t xml:space="preserve"> </w:t>
      </w:r>
      <w:r w:rsidRPr="001364B8">
        <w:rPr>
          <w:color w:val="000000"/>
          <w:szCs w:val="22"/>
        </w:rPr>
        <w:t>be removed from the opening RAB and SLAB for the period from 1 July 2015.</w:t>
      </w:r>
    </w:p>
    <w:p w:rsidR="00B4697D" w:rsidRDefault="00B4697D" w:rsidP="00B4697D">
      <w:pPr>
        <w:pStyle w:val="BodyTextSCC"/>
        <w:spacing w:before="120" w:after="120"/>
        <w:jc w:val="both"/>
        <w:rPr>
          <w:color w:val="000000"/>
          <w:szCs w:val="22"/>
        </w:rPr>
      </w:pPr>
      <w:r w:rsidRPr="00B4697D">
        <w:rPr>
          <w:color w:val="000000"/>
          <w:szCs w:val="22"/>
        </w:rPr>
        <w:t>A similar approach is applied for the adjustment of the RAB from year to year within a</w:t>
      </w:r>
      <w:r>
        <w:rPr>
          <w:color w:val="000000"/>
          <w:szCs w:val="22"/>
        </w:rPr>
        <w:t xml:space="preserve"> </w:t>
      </w:r>
      <w:r w:rsidRPr="00B4697D">
        <w:rPr>
          <w:color w:val="000000"/>
          <w:szCs w:val="22"/>
        </w:rPr>
        <w:t>regulatory period under rule S6.2.3(c)(3) to reduce the RAB to reflect the value of</w:t>
      </w:r>
      <w:r>
        <w:rPr>
          <w:color w:val="000000"/>
          <w:szCs w:val="22"/>
        </w:rPr>
        <w:t xml:space="preserve"> </w:t>
      </w:r>
      <w:r w:rsidRPr="00B4697D">
        <w:rPr>
          <w:color w:val="000000"/>
          <w:szCs w:val="22"/>
        </w:rPr>
        <w:t>disposed assets. Given that we are in the last year of the Current Regulatory Period,</w:t>
      </w:r>
      <w:r>
        <w:rPr>
          <w:color w:val="000000"/>
          <w:szCs w:val="22"/>
        </w:rPr>
        <w:t xml:space="preserve"> </w:t>
      </w:r>
      <w:r w:rsidRPr="00B4697D">
        <w:rPr>
          <w:color w:val="000000"/>
          <w:szCs w:val="22"/>
        </w:rPr>
        <w:t>the approach set out in S6.2.1(e) (rather than rule S6.2.3(c)) would be adopted.</w:t>
      </w:r>
    </w:p>
    <w:p w:rsidR="00B4697D" w:rsidRPr="00B4697D" w:rsidRDefault="00B4697D" w:rsidP="00B4697D">
      <w:pPr>
        <w:pStyle w:val="BodyTextSCC"/>
        <w:spacing w:before="120" w:after="120"/>
        <w:jc w:val="both"/>
        <w:rPr>
          <w:color w:val="000000"/>
          <w:szCs w:val="22"/>
        </w:rPr>
      </w:pPr>
      <w:r w:rsidRPr="00B4697D">
        <w:rPr>
          <w:color w:val="000000"/>
          <w:szCs w:val="22"/>
        </w:rPr>
        <w:t>Energex's Regulatory Proposal for the period July 201</w:t>
      </w:r>
      <w:r>
        <w:rPr>
          <w:color w:val="000000"/>
          <w:szCs w:val="22"/>
        </w:rPr>
        <w:t>0</w:t>
      </w:r>
      <w:r w:rsidRPr="00B4697D">
        <w:rPr>
          <w:color w:val="000000"/>
          <w:szCs w:val="22"/>
        </w:rPr>
        <w:t xml:space="preserve"> – June 2015 (July 2010)</w:t>
      </w:r>
      <w:r>
        <w:rPr>
          <w:color w:val="000000"/>
          <w:szCs w:val="22"/>
        </w:rPr>
        <w:t xml:space="preserve"> </w:t>
      </w:r>
      <w:r w:rsidRPr="00B4697D">
        <w:rPr>
          <w:color w:val="000000"/>
          <w:szCs w:val="22"/>
        </w:rPr>
        <w:t>(Proposal) indicates the treatment of contributed assets prior to 30 June 2010 was to</w:t>
      </w:r>
      <w:r>
        <w:rPr>
          <w:color w:val="000000"/>
          <w:szCs w:val="22"/>
        </w:rPr>
        <w:t xml:space="preserve"> </w:t>
      </w:r>
      <w:r w:rsidRPr="00B4697D">
        <w:rPr>
          <w:color w:val="000000"/>
          <w:szCs w:val="22"/>
        </w:rPr>
        <w:t>treat the value of the assets as a capital contribution under the revenue cap in</w:t>
      </w:r>
      <w:r>
        <w:rPr>
          <w:color w:val="000000"/>
          <w:szCs w:val="22"/>
        </w:rPr>
        <w:t xml:space="preserve"> </w:t>
      </w:r>
      <w:r w:rsidRPr="00B4697D">
        <w:rPr>
          <w:color w:val="000000"/>
          <w:szCs w:val="22"/>
        </w:rPr>
        <w:t>accordance with a methodology approved by the Queensland Competition Authority</w:t>
      </w:r>
      <w:r>
        <w:rPr>
          <w:color w:val="000000"/>
          <w:szCs w:val="22"/>
        </w:rPr>
        <w:t xml:space="preserve"> </w:t>
      </w:r>
      <w:r w:rsidRPr="00B4697D">
        <w:rPr>
          <w:color w:val="000000"/>
          <w:szCs w:val="22"/>
        </w:rPr>
        <w:t>whereby the assets were included in the RAB with an equivalent amount taken off the</w:t>
      </w:r>
      <w:r>
        <w:rPr>
          <w:color w:val="000000"/>
          <w:szCs w:val="22"/>
        </w:rPr>
        <w:t xml:space="preserve"> </w:t>
      </w:r>
      <w:r w:rsidRPr="00B4697D">
        <w:rPr>
          <w:color w:val="000000"/>
          <w:szCs w:val="22"/>
        </w:rPr>
        <w:t>revenue cap in that year. Energex's basis for this approach is that it continued to be</w:t>
      </w:r>
      <w:r>
        <w:rPr>
          <w:color w:val="000000"/>
          <w:szCs w:val="22"/>
        </w:rPr>
        <w:t xml:space="preserve"> </w:t>
      </w:r>
      <w:r w:rsidRPr="00B4697D">
        <w:rPr>
          <w:color w:val="000000"/>
          <w:szCs w:val="22"/>
        </w:rPr>
        <w:t xml:space="preserve">entitled to receive a rate of return and depreciation charge over the life of the </w:t>
      </w:r>
      <w:r w:rsidR="00DE294F">
        <w:rPr>
          <w:color w:val="000000"/>
          <w:szCs w:val="22"/>
        </w:rPr>
        <w:t>p</w:t>
      </w:r>
      <w:r w:rsidRPr="00B4697D">
        <w:rPr>
          <w:color w:val="000000"/>
          <w:szCs w:val="22"/>
        </w:rPr>
        <w:t>re-2010 Assets.</w:t>
      </w:r>
    </w:p>
    <w:p w:rsidR="00B4697D" w:rsidRPr="00B4697D" w:rsidRDefault="00B4697D" w:rsidP="00B4697D">
      <w:pPr>
        <w:pStyle w:val="BodyTextSCC"/>
        <w:spacing w:before="120" w:after="120"/>
        <w:jc w:val="both"/>
        <w:rPr>
          <w:color w:val="000000"/>
          <w:szCs w:val="22"/>
        </w:rPr>
      </w:pPr>
      <w:r w:rsidRPr="00B4697D">
        <w:rPr>
          <w:color w:val="000000"/>
          <w:szCs w:val="22"/>
        </w:rPr>
        <w:t>This seems justifiable while Energex remains the owner of the assets, but does not</w:t>
      </w:r>
      <w:r>
        <w:rPr>
          <w:color w:val="000000"/>
          <w:szCs w:val="22"/>
        </w:rPr>
        <w:t xml:space="preserve"> </w:t>
      </w:r>
      <w:r w:rsidRPr="00B4697D">
        <w:rPr>
          <w:color w:val="000000"/>
          <w:szCs w:val="22"/>
        </w:rPr>
        <w:t>appear relevant if the assets are disposed of by Energex. Under the NER, revenues</w:t>
      </w:r>
      <w:r>
        <w:rPr>
          <w:color w:val="000000"/>
          <w:szCs w:val="22"/>
        </w:rPr>
        <w:t xml:space="preserve"> </w:t>
      </w:r>
      <w:r w:rsidRPr="00B4697D">
        <w:rPr>
          <w:color w:val="000000"/>
          <w:szCs w:val="22"/>
        </w:rPr>
        <w:t>are intended to reflect the efficient costs of providing services by means of assets in</w:t>
      </w:r>
      <w:r>
        <w:rPr>
          <w:color w:val="000000"/>
          <w:szCs w:val="22"/>
        </w:rPr>
        <w:t xml:space="preserve"> </w:t>
      </w:r>
      <w:r w:rsidRPr="00B4697D">
        <w:rPr>
          <w:color w:val="000000"/>
          <w:szCs w:val="22"/>
        </w:rPr>
        <w:t>the RAB. If assets are no longer in the RAB due to their disposal then there no longer appears to be a basis for customers to be charged a rate of return on these assets.</w:t>
      </w:r>
    </w:p>
    <w:p w:rsidR="00B4697D" w:rsidRDefault="00B4697D" w:rsidP="00B4697D">
      <w:pPr>
        <w:pStyle w:val="BodyTextSCC"/>
        <w:spacing w:before="120" w:after="120"/>
        <w:jc w:val="both"/>
        <w:rPr>
          <w:color w:val="000000"/>
          <w:szCs w:val="22"/>
        </w:rPr>
      </w:pPr>
      <w:r w:rsidRPr="00B4697D">
        <w:rPr>
          <w:color w:val="000000"/>
          <w:szCs w:val="22"/>
        </w:rPr>
        <w:t xml:space="preserve">We consider that, the adjustment of the SLAB and RAB will be dealt with by the AER applying processes which are well established under the NER. The adjustments are not relevant to the process by which the Transfer Price will be calculated and are not a constraint on the asset transfer. </w:t>
      </w:r>
    </w:p>
    <w:p w:rsidR="00C04138" w:rsidRDefault="00B4697D" w:rsidP="009514F1">
      <w:pPr>
        <w:pStyle w:val="BodyTextSCC"/>
        <w:spacing w:before="120" w:after="120"/>
        <w:jc w:val="both"/>
        <w:rPr>
          <w:color w:val="000000"/>
          <w:szCs w:val="22"/>
        </w:rPr>
      </w:pPr>
      <w:r w:rsidRPr="00B4697D">
        <w:rPr>
          <w:color w:val="000000"/>
          <w:szCs w:val="22"/>
        </w:rPr>
        <w:t xml:space="preserve">We have not identified any factor which would mean that transferred </w:t>
      </w:r>
      <w:r w:rsidR="00DE294F">
        <w:rPr>
          <w:color w:val="000000"/>
          <w:szCs w:val="22"/>
        </w:rPr>
        <w:t>p</w:t>
      </w:r>
      <w:r w:rsidRPr="00B4697D">
        <w:rPr>
          <w:color w:val="000000"/>
          <w:szCs w:val="22"/>
        </w:rPr>
        <w:t>re-2010 Assets</w:t>
      </w:r>
      <w:r>
        <w:rPr>
          <w:color w:val="000000"/>
          <w:szCs w:val="22"/>
        </w:rPr>
        <w:t xml:space="preserve"> </w:t>
      </w:r>
      <w:r w:rsidRPr="00B4697D">
        <w:rPr>
          <w:color w:val="000000"/>
          <w:szCs w:val="22"/>
        </w:rPr>
        <w:t>would not be dealt with in the same manner as any other disposal of assets from</w:t>
      </w:r>
      <w:r>
        <w:rPr>
          <w:color w:val="000000"/>
          <w:szCs w:val="22"/>
        </w:rPr>
        <w:t xml:space="preserve"> </w:t>
      </w:r>
      <w:r w:rsidRPr="00B4697D">
        <w:rPr>
          <w:color w:val="000000"/>
          <w:szCs w:val="22"/>
        </w:rPr>
        <w:t xml:space="preserve">Energex's RAB under rule S6.2.1(e) of the NER. </w:t>
      </w:r>
    </w:p>
    <w:p w:rsidR="009514F1" w:rsidRDefault="009514F1" w:rsidP="009514F1">
      <w:pPr>
        <w:pStyle w:val="BodyTextSCC"/>
        <w:spacing w:before="120" w:after="120"/>
        <w:jc w:val="both"/>
        <w:rPr>
          <w:color w:val="000000"/>
          <w:szCs w:val="22"/>
        </w:rPr>
      </w:pPr>
      <w:r w:rsidRPr="009514F1">
        <w:rPr>
          <w:color w:val="000000"/>
          <w:szCs w:val="22"/>
        </w:rPr>
        <w:t>Energex indicates that the Rate 2 contributed assets are included in Energex's</w:t>
      </w:r>
      <w:r>
        <w:rPr>
          <w:color w:val="000000"/>
          <w:szCs w:val="22"/>
        </w:rPr>
        <w:t xml:space="preserve"> </w:t>
      </w:r>
      <w:r w:rsidRPr="009514F1">
        <w:rPr>
          <w:color w:val="000000"/>
          <w:szCs w:val="22"/>
        </w:rPr>
        <w:t>regulatory asset base (RAB) and the</w:t>
      </w:r>
      <w:r w:rsidR="00DE294F">
        <w:rPr>
          <w:color w:val="000000"/>
          <w:szCs w:val="22"/>
        </w:rPr>
        <w:t xml:space="preserve"> transfer of these assets at a </w:t>
      </w:r>
      <w:r w:rsidRPr="009514F1">
        <w:rPr>
          <w:color w:val="000000"/>
          <w:szCs w:val="22"/>
        </w:rPr>
        <w:t>nil value could</w:t>
      </w:r>
      <w:r>
        <w:rPr>
          <w:color w:val="000000"/>
          <w:szCs w:val="22"/>
        </w:rPr>
        <w:t xml:space="preserve"> </w:t>
      </w:r>
      <w:r w:rsidRPr="009514F1">
        <w:rPr>
          <w:color w:val="000000"/>
          <w:szCs w:val="22"/>
        </w:rPr>
        <w:t xml:space="preserve">only occur if Energex is not </w:t>
      </w:r>
      <w:r w:rsidRPr="009514F1">
        <w:rPr>
          <w:color w:val="000000"/>
          <w:szCs w:val="22"/>
        </w:rPr>
        <w:lastRenderedPageBreak/>
        <w:t>financially impacted by the transfer. Energex suggests</w:t>
      </w:r>
      <w:r>
        <w:rPr>
          <w:color w:val="000000"/>
          <w:szCs w:val="22"/>
        </w:rPr>
        <w:t xml:space="preserve"> </w:t>
      </w:r>
      <w:r w:rsidRPr="009514F1">
        <w:rPr>
          <w:color w:val="000000"/>
          <w:szCs w:val="22"/>
        </w:rPr>
        <w:t>seeking guidance from the Australian Energy Regulator on the impact of the</w:t>
      </w:r>
      <w:r>
        <w:rPr>
          <w:color w:val="000000"/>
          <w:szCs w:val="22"/>
        </w:rPr>
        <w:t xml:space="preserve"> </w:t>
      </w:r>
      <w:r w:rsidRPr="009514F1">
        <w:rPr>
          <w:color w:val="000000"/>
          <w:szCs w:val="22"/>
        </w:rPr>
        <w:t>transfer of Rate 2 assets on its RAB.</w:t>
      </w:r>
    </w:p>
    <w:p w:rsidR="001064D6" w:rsidRDefault="00F20792" w:rsidP="001064D6">
      <w:pPr>
        <w:pStyle w:val="Heading1SCC"/>
      </w:pPr>
      <w:r>
        <w:t>SCC proposed approach</w:t>
      </w:r>
    </w:p>
    <w:p w:rsidR="001064D6" w:rsidRDefault="002D37B7" w:rsidP="00DE294F">
      <w:pPr>
        <w:pStyle w:val="BodyTextSCC"/>
        <w:numPr>
          <w:ilvl w:val="0"/>
          <w:numId w:val="39"/>
        </w:numPr>
        <w:spacing w:before="120" w:after="120"/>
        <w:jc w:val="both"/>
        <w:rPr>
          <w:color w:val="000000"/>
          <w:szCs w:val="22"/>
        </w:rPr>
      </w:pPr>
      <w:r>
        <w:t>Age adjusted asset valuation methodology</w:t>
      </w:r>
      <w:r>
        <w:rPr>
          <w:color w:val="000000"/>
          <w:szCs w:val="22"/>
        </w:rPr>
        <w:t xml:space="preserve"> is used for the transfer of </w:t>
      </w:r>
      <w:r w:rsidR="009B362A">
        <w:rPr>
          <w:color w:val="000000"/>
          <w:szCs w:val="22"/>
        </w:rPr>
        <w:t>Rate 1</w:t>
      </w:r>
      <w:r>
        <w:rPr>
          <w:color w:val="000000"/>
          <w:szCs w:val="22"/>
        </w:rPr>
        <w:t xml:space="preserve">lighting assets to SCC at </w:t>
      </w:r>
      <w:r w:rsidR="00DE294F">
        <w:rPr>
          <w:color w:val="000000"/>
          <w:szCs w:val="22"/>
        </w:rPr>
        <w:t xml:space="preserve">a cost of </w:t>
      </w:r>
      <w:r>
        <w:rPr>
          <w:color w:val="000000"/>
          <w:szCs w:val="22"/>
        </w:rPr>
        <w:t>$3.45 million (</w:t>
      </w:r>
      <w:r w:rsidR="00DE294F">
        <w:rPr>
          <w:color w:val="000000"/>
          <w:szCs w:val="22"/>
        </w:rPr>
        <w:t xml:space="preserve">as at </w:t>
      </w:r>
      <w:r>
        <w:rPr>
          <w:color w:val="000000"/>
          <w:szCs w:val="22"/>
        </w:rPr>
        <w:t>1 January 2014)</w:t>
      </w:r>
      <w:r w:rsidR="00DE294F">
        <w:rPr>
          <w:color w:val="000000"/>
          <w:szCs w:val="22"/>
        </w:rPr>
        <w:t>;</w:t>
      </w:r>
    </w:p>
    <w:p w:rsidR="009514F1" w:rsidRPr="009514F1" w:rsidRDefault="009514F1" w:rsidP="00DE294F">
      <w:pPr>
        <w:pStyle w:val="BodyTextSCC"/>
        <w:numPr>
          <w:ilvl w:val="0"/>
          <w:numId w:val="39"/>
        </w:numPr>
        <w:spacing w:before="120" w:after="120"/>
        <w:jc w:val="both"/>
        <w:rPr>
          <w:color w:val="000000"/>
          <w:szCs w:val="22"/>
        </w:rPr>
      </w:pPr>
      <w:r>
        <w:t>Post July 2010 Rate 2 assets transfer to SCC at nil value</w:t>
      </w:r>
      <w:r w:rsidR="00DE294F">
        <w:t>;</w:t>
      </w:r>
    </w:p>
    <w:p w:rsidR="009514F1" w:rsidRPr="009514F1" w:rsidRDefault="009514F1" w:rsidP="00DE294F">
      <w:pPr>
        <w:pStyle w:val="BodyTextSCC"/>
        <w:numPr>
          <w:ilvl w:val="0"/>
          <w:numId w:val="39"/>
        </w:numPr>
        <w:spacing w:before="120" w:after="120"/>
        <w:jc w:val="both"/>
        <w:rPr>
          <w:color w:val="000000"/>
          <w:szCs w:val="22"/>
        </w:rPr>
      </w:pPr>
      <w:r>
        <w:t>Pre July 2010 Rate 2 assets transfer to SCC at nil value</w:t>
      </w:r>
      <w:r w:rsidR="00DE294F">
        <w:t>; and</w:t>
      </w:r>
    </w:p>
    <w:p w:rsidR="001064D6" w:rsidRDefault="009514F1" w:rsidP="00DE294F">
      <w:pPr>
        <w:pStyle w:val="BodyTextSCC"/>
        <w:numPr>
          <w:ilvl w:val="0"/>
          <w:numId w:val="39"/>
        </w:numPr>
        <w:spacing w:before="120" w:after="120"/>
        <w:jc w:val="both"/>
        <w:rPr>
          <w:color w:val="000000"/>
          <w:szCs w:val="22"/>
        </w:rPr>
      </w:pPr>
      <w:r>
        <w:rPr>
          <w:color w:val="000000"/>
          <w:szCs w:val="22"/>
        </w:rPr>
        <w:t>Post</w:t>
      </w:r>
      <w:r w:rsidR="009B362A">
        <w:rPr>
          <w:color w:val="000000"/>
          <w:szCs w:val="22"/>
        </w:rPr>
        <w:t>age stamp’ pricing arrangement</w:t>
      </w:r>
      <w:r w:rsidR="00A87F3D">
        <w:rPr>
          <w:color w:val="000000"/>
          <w:szCs w:val="22"/>
        </w:rPr>
        <w:t>s</w:t>
      </w:r>
      <w:r w:rsidR="009B362A">
        <w:rPr>
          <w:color w:val="000000"/>
          <w:szCs w:val="22"/>
        </w:rPr>
        <w:t xml:space="preserve"> </w:t>
      </w:r>
      <w:r>
        <w:rPr>
          <w:color w:val="000000"/>
          <w:szCs w:val="22"/>
        </w:rPr>
        <w:t>continue to be applied for the 2015-2020 regulatory control period.</w:t>
      </w:r>
    </w:p>
    <w:p w:rsidR="00D95CBA" w:rsidRPr="00AA3590" w:rsidRDefault="00C80027" w:rsidP="0070467E">
      <w:pPr>
        <w:pStyle w:val="Heading3SCC"/>
        <w:rPr>
          <w:rFonts w:cs="Arial"/>
          <w:i/>
          <w:sz w:val="16"/>
          <w:szCs w:val="20"/>
        </w:rPr>
      </w:pPr>
      <w:r>
        <w:br w:type="page"/>
      </w:r>
    </w:p>
    <w:p w:rsidR="00F1063A" w:rsidRDefault="00F1063A" w:rsidP="00065B34">
      <w:pPr>
        <w:pStyle w:val="TableTextSCC"/>
        <w:rPr>
          <w:sz w:val="22"/>
        </w:rPr>
      </w:pPr>
    </w:p>
    <w:bookmarkEnd w:id="0"/>
    <w:p w:rsidR="00A0102D" w:rsidRDefault="00551111" w:rsidP="00BC58E1">
      <w:pPr>
        <w:pStyle w:val="Heading1SCC"/>
      </w:pPr>
      <w:r>
        <w:t>Glossary</w:t>
      </w:r>
    </w:p>
    <w:p w:rsidR="00B80A81" w:rsidRDefault="00597BF2" w:rsidP="00597BF2">
      <w:pPr>
        <w:pStyle w:val="ListBulletSCC"/>
        <w:numPr>
          <w:ilvl w:val="0"/>
          <w:numId w:val="0"/>
        </w:numPr>
      </w:pPr>
      <w:r>
        <w:t>Figure 1</w:t>
      </w:r>
      <w:r w:rsidR="00663EAA">
        <w:t xml:space="preserve"> below </w:t>
      </w:r>
      <w:r>
        <w:t xml:space="preserve">shows typical </w:t>
      </w:r>
      <w:r w:rsidR="00663EAA">
        <w:t xml:space="preserve">asset </w:t>
      </w:r>
      <w:r>
        <w:t xml:space="preserve">configurations for each </w:t>
      </w:r>
      <w:r w:rsidR="00997B59">
        <w:t xml:space="preserve">of </w:t>
      </w:r>
      <w:r>
        <w:t xml:space="preserve">the 3 </w:t>
      </w:r>
      <w:r w:rsidR="00663EAA">
        <w:t xml:space="preserve">tariff </w:t>
      </w:r>
      <w:r>
        <w:t xml:space="preserve">categories and the </w:t>
      </w:r>
      <w:r w:rsidR="007A78BA">
        <w:t xml:space="preserve">annual </w:t>
      </w:r>
      <w:r w:rsidR="00663EAA">
        <w:t>alternative control service (</w:t>
      </w:r>
      <w:r>
        <w:t>service and maintenance</w:t>
      </w:r>
      <w:r w:rsidR="00663EAA">
        <w:t>)</w:t>
      </w:r>
      <w:r>
        <w:t xml:space="preserve"> charge</w:t>
      </w:r>
      <w:r w:rsidR="007A78BA">
        <w:t xml:space="preserve"> </w:t>
      </w:r>
      <w:r w:rsidR="00997B59">
        <w:t>levied by Energex in</w:t>
      </w:r>
      <w:r w:rsidR="004704A0">
        <w:t xml:space="preserve"> 2014-15.</w:t>
      </w:r>
    </w:p>
    <w:p w:rsidR="00D87A06" w:rsidRPr="00891F6E" w:rsidRDefault="00D87A06" w:rsidP="00D87A06">
      <w:pPr>
        <w:spacing w:after="120"/>
        <w:jc w:val="both"/>
        <w:rPr>
          <w:rFonts w:cs="Arial"/>
          <w:i/>
          <w:sz w:val="20"/>
          <w:szCs w:val="20"/>
        </w:rPr>
      </w:pPr>
      <w:r>
        <w:rPr>
          <w:rFonts w:cs="Arial"/>
          <w:i/>
          <w:sz w:val="20"/>
          <w:szCs w:val="20"/>
        </w:rPr>
        <w:t>Figure 1 Typical asset configuration for each tariff category.</w:t>
      </w:r>
    </w:p>
    <w:p w:rsidR="00D87A06" w:rsidRPr="001D79C5" w:rsidRDefault="00D87A06" w:rsidP="00597BF2">
      <w:pPr>
        <w:pStyle w:val="ListBulletSCC"/>
        <w:numPr>
          <w:ilvl w:val="0"/>
          <w:numId w:val="0"/>
        </w:numPr>
      </w:pPr>
    </w:p>
    <w:p w:rsidR="00467632" w:rsidRDefault="00E569FA" w:rsidP="00572BF3">
      <w:pPr>
        <w:pStyle w:val="ListBulletSCC"/>
        <w:numPr>
          <w:ilvl w:val="0"/>
          <w:numId w:val="0"/>
        </w:numPr>
      </w:pPr>
      <w:r>
        <w:rPr>
          <w:noProof/>
        </w:rPr>
        <w:drawing>
          <wp:inline distT="0" distB="0" distL="0" distR="0" wp14:anchorId="0CF8668B" wp14:editId="3082899C">
            <wp:extent cx="5943600" cy="2512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512060"/>
                    </a:xfrm>
                    <a:prstGeom prst="rect">
                      <a:avLst/>
                    </a:prstGeom>
                  </pic:spPr>
                </pic:pic>
              </a:graphicData>
            </a:graphic>
          </wp:inline>
        </w:drawing>
      </w:r>
    </w:p>
    <w:p w:rsidR="00D87A06" w:rsidRPr="00AA3590" w:rsidRDefault="00D87A06" w:rsidP="00D87A06">
      <w:pPr>
        <w:spacing w:after="0"/>
        <w:jc w:val="both"/>
        <w:rPr>
          <w:rFonts w:cs="Arial"/>
          <w:i/>
          <w:sz w:val="16"/>
          <w:szCs w:val="20"/>
        </w:rPr>
      </w:pPr>
      <w:r w:rsidRPr="00AA3590">
        <w:rPr>
          <w:rFonts w:cs="Arial"/>
          <w:i/>
          <w:sz w:val="16"/>
          <w:szCs w:val="20"/>
        </w:rPr>
        <w:t>Source</w:t>
      </w:r>
      <w:r>
        <w:rPr>
          <w:rFonts w:cs="Arial"/>
          <w:i/>
          <w:sz w:val="16"/>
          <w:szCs w:val="20"/>
        </w:rPr>
        <w:t>:</w:t>
      </w:r>
      <w:r w:rsidRPr="00AA3590">
        <w:rPr>
          <w:rFonts w:cs="Arial"/>
          <w:i/>
          <w:sz w:val="16"/>
          <w:szCs w:val="20"/>
        </w:rPr>
        <w:t xml:space="preserve"> </w:t>
      </w:r>
      <w:r>
        <w:rPr>
          <w:rFonts w:cs="Arial"/>
          <w:i/>
          <w:sz w:val="16"/>
          <w:szCs w:val="20"/>
        </w:rPr>
        <w:t>SCC</w:t>
      </w:r>
    </w:p>
    <w:p w:rsidR="00D87A06" w:rsidRDefault="00D87A06" w:rsidP="00572BF3">
      <w:pPr>
        <w:pStyle w:val="ListBulletSCC"/>
        <w:numPr>
          <w:ilvl w:val="0"/>
          <w:numId w:val="0"/>
        </w:numPr>
      </w:pPr>
    </w:p>
    <w:p w:rsidR="00572BF3" w:rsidRDefault="00572BF3" w:rsidP="00572BF3">
      <w:pPr>
        <w:pStyle w:val="ListBulletSCC"/>
        <w:numPr>
          <w:ilvl w:val="0"/>
          <w:numId w:val="0"/>
        </w:numPr>
      </w:pPr>
      <w:r>
        <w:t>Rate 1 assets are built, owned</w:t>
      </w:r>
      <w:r w:rsidR="00340C9E">
        <w:t>, operated</w:t>
      </w:r>
      <w:r>
        <w:t xml:space="preserve"> and maintained by Energex.</w:t>
      </w:r>
    </w:p>
    <w:p w:rsidR="00551111" w:rsidRDefault="00551111" w:rsidP="00551111">
      <w:pPr>
        <w:pStyle w:val="ListBulletSCC"/>
        <w:numPr>
          <w:ilvl w:val="0"/>
          <w:numId w:val="0"/>
        </w:numPr>
      </w:pPr>
      <w:r>
        <w:t>Rate 1 assets include the lamp, luminaire, brac</w:t>
      </w:r>
      <w:r w:rsidR="0025076B">
        <w:t>ket/arm, and cables from the te</w:t>
      </w:r>
      <w:r>
        <w:t>rminal connection point or from the downside of the connection point associated with the distribution network.</w:t>
      </w:r>
      <w:r w:rsidR="00572BF3">
        <w:t xml:space="preserve"> </w:t>
      </w:r>
      <w:r w:rsidR="00E569FA">
        <w:t>i.e. the part inside the blue rectangles. Distribution poles and wires remain with Energex.</w:t>
      </w:r>
    </w:p>
    <w:p w:rsidR="00572BF3" w:rsidRDefault="00572BF3" w:rsidP="00572BF3">
      <w:pPr>
        <w:pStyle w:val="ListBulletSCC"/>
        <w:numPr>
          <w:ilvl w:val="0"/>
          <w:numId w:val="0"/>
        </w:numPr>
      </w:pPr>
    </w:p>
    <w:p w:rsidR="00572BF3" w:rsidRDefault="00572BF3" w:rsidP="00572BF3">
      <w:pPr>
        <w:pStyle w:val="ListBulletSCC"/>
        <w:numPr>
          <w:ilvl w:val="0"/>
          <w:numId w:val="0"/>
        </w:numPr>
      </w:pPr>
      <w:r>
        <w:t xml:space="preserve">Rate 2 assets are built by developers or SCC and contributed to Energex. These assets are </w:t>
      </w:r>
      <w:r w:rsidR="00340C9E">
        <w:t xml:space="preserve">operated and </w:t>
      </w:r>
      <w:r>
        <w:t>maintained by Energex.</w:t>
      </w:r>
    </w:p>
    <w:p w:rsidR="0025076B" w:rsidRDefault="0025076B" w:rsidP="0025076B">
      <w:pPr>
        <w:pStyle w:val="ListBulletSCC"/>
        <w:numPr>
          <w:ilvl w:val="0"/>
          <w:numId w:val="0"/>
        </w:numPr>
      </w:pPr>
      <w:r>
        <w:t>Rate 2 assets include the pole, lamp, luminaire, bracket/arm, and cables from the terminal connection point or from the downside of the connection point associated with the distribution network.</w:t>
      </w:r>
    </w:p>
    <w:p w:rsidR="00572BF3" w:rsidRDefault="00572BF3" w:rsidP="00572BF3">
      <w:pPr>
        <w:pStyle w:val="ListBulletSCC"/>
        <w:numPr>
          <w:ilvl w:val="0"/>
          <w:numId w:val="0"/>
        </w:numPr>
      </w:pPr>
    </w:p>
    <w:p w:rsidR="006D5758" w:rsidRDefault="00572BF3" w:rsidP="00B93408">
      <w:pPr>
        <w:pStyle w:val="ListBulletSCC"/>
        <w:numPr>
          <w:ilvl w:val="0"/>
          <w:numId w:val="0"/>
        </w:numPr>
        <w:sectPr w:rsidR="006D5758" w:rsidSect="001C51DC">
          <w:headerReference w:type="default" r:id="rId23"/>
          <w:type w:val="continuous"/>
          <w:pgSz w:w="11906" w:h="16838" w:code="9"/>
          <w:pgMar w:top="1701" w:right="1134" w:bottom="1134" w:left="1134" w:header="567" w:footer="567" w:gutter="0"/>
          <w:cols w:space="284"/>
          <w:docGrid w:linePitch="360"/>
        </w:sectPr>
      </w:pPr>
      <w:r>
        <w:t xml:space="preserve">Rate 3 assets are built </w:t>
      </w:r>
      <w:r w:rsidR="000422FB">
        <w:t>and</w:t>
      </w:r>
      <w:r>
        <w:t xml:space="preserve"> maintained by </w:t>
      </w:r>
      <w:r w:rsidR="000422FB">
        <w:t>SCC</w:t>
      </w:r>
      <w:bookmarkEnd w:id="1"/>
    </w:p>
    <w:p w:rsidR="001C51DC" w:rsidRDefault="001C51DC" w:rsidP="006E2603">
      <w:pPr>
        <w:pStyle w:val="Heading3SCC"/>
      </w:pPr>
    </w:p>
    <w:sectPr w:rsidR="001C51DC" w:rsidSect="006D5758">
      <w:pgSz w:w="11906" w:h="16838" w:code="9"/>
      <w:pgMar w:top="1701" w:right="1134" w:bottom="1134" w:left="1134" w:header="567" w:footer="567"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31">
      <wne:macro wne:macroName="TEMPLATEPROJECT.NEWMACROS.MACRO3"/>
    </wne:keymap>
    <wne:keymap wne:kcmPrimary="0232">
      <wne:macro wne:macroName="TEMPLATEPROJECT.NEWMACROS.MACRO1"/>
    </wne:keymap>
    <wne:keymap wne:kcmPrimary="0233">
      <wne:macro wne:macroName="TEMPLATEPROJECT.NEWMACROS.MACRO2"/>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D29" w:rsidRDefault="006A7D29">
      <w:r>
        <w:separator/>
      </w:r>
    </w:p>
    <w:p w:rsidR="006A7D29" w:rsidRDefault="006A7D29"/>
    <w:p w:rsidR="006A7D29" w:rsidRDefault="006A7D29"/>
  </w:endnote>
  <w:endnote w:type="continuationSeparator" w:id="0">
    <w:p w:rsidR="006A7D29" w:rsidRDefault="006A7D29">
      <w:r>
        <w:continuationSeparator/>
      </w:r>
    </w:p>
    <w:p w:rsidR="006A7D29" w:rsidRDefault="006A7D29"/>
    <w:p w:rsidR="006A7D29" w:rsidRDefault="006A7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E10" w:rsidRPr="00B45920" w:rsidRDefault="00D64E10" w:rsidP="00B45920">
    <w:pPr>
      <w:pStyle w:val="FooterSCC"/>
    </w:pPr>
    <w:r w:rsidRPr="00237A6B">
      <w:rPr>
        <w:b/>
      </w:rPr>
      <w:t>Confidential</w:t>
    </w:r>
    <w:r w:rsidRPr="00B45920">
      <w:tab/>
    </w:r>
    <w:r w:rsidRPr="00B45920">
      <w:tab/>
    </w:r>
    <w:r w:rsidRPr="00B45920">
      <w:fldChar w:fldCharType="begin"/>
    </w:r>
    <w:r w:rsidRPr="00B45920">
      <w:instrText xml:space="preserve"> PAGE </w:instrText>
    </w:r>
    <w:r w:rsidRPr="00B45920">
      <w:fldChar w:fldCharType="separate"/>
    </w:r>
    <w:r>
      <w:rPr>
        <w:noProof/>
      </w:rPr>
      <w:t>2</w:t>
    </w:r>
    <w:r w:rsidRPr="00B4592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E10" w:rsidRPr="00B45920" w:rsidRDefault="00D64E10" w:rsidP="00B45920">
    <w:pPr>
      <w:pStyle w:val="FooterSCC"/>
    </w:pPr>
    <w:r w:rsidRPr="00B45920">
      <w:tab/>
    </w:r>
    <w:r w:rsidRPr="00B45920">
      <w:tab/>
    </w:r>
    <w:r w:rsidRPr="00B45920">
      <w:fldChar w:fldCharType="begin"/>
    </w:r>
    <w:r w:rsidRPr="00B45920">
      <w:instrText xml:space="preserve"> PAGE </w:instrText>
    </w:r>
    <w:r w:rsidRPr="00B45920">
      <w:fldChar w:fldCharType="separate"/>
    </w:r>
    <w:r w:rsidR="007579BB">
      <w:rPr>
        <w:noProof/>
      </w:rPr>
      <w:t>1</w:t>
    </w:r>
    <w:r w:rsidRPr="00B45920">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41" w:rsidRPr="00B45920" w:rsidRDefault="00710441" w:rsidP="00B45920">
    <w:pPr>
      <w:pStyle w:val="FooterSCC"/>
    </w:pPr>
    <w:r w:rsidRPr="00B45920">
      <w:tab/>
    </w:r>
    <w:r w:rsidRPr="00B45920">
      <w:tab/>
    </w:r>
    <w:r w:rsidRPr="00B45920">
      <w:fldChar w:fldCharType="begin"/>
    </w:r>
    <w:r w:rsidRPr="00B45920">
      <w:instrText xml:space="preserve"> PAGE </w:instrText>
    </w:r>
    <w:r w:rsidRPr="00B45920">
      <w:fldChar w:fldCharType="separate"/>
    </w:r>
    <w:r w:rsidR="007579BB">
      <w:rPr>
        <w:noProof/>
      </w:rPr>
      <w:t>2</w:t>
    </w:r>
    <w:r w:rsidRPr="00B4592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41" w:rsidRPr="00B45920" w:rsidRDefault="00710441" w:rsidP="00B45920">
    <w:pPr>
      <w:pStyle w:val="FooterSCC"/>
    </w:pPr>
    <w:r w:rsidRPr="00B45920">
      <w:tab/>
    </w:r>
    <w:r w:rsidRPr="00B45920">
      <w:tab/>
    </w:r>
    <w:r w:rsidRPr="00B45920">
      <w:fldChar w:fldCharType="begin"/>
    </w:r>
    <w:r w:rsidRPr="00B45920">
      <w:instrText xml:space="preserve"> PAGE </w:instrText>
    </w:r>
    <w:r w:rsidRPr="00B45920">
      <w:fldChar w:fldCharType="separate"/>
    </w:r>
    <w:r w:rsidR="00F01E02">
      <w:rPr>
        <w:noProof/>
      </w:rPr>
      <w:t>1</w:t>
    </w:r>
    <w:r w:rsidRPr="00B4592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D29" w:rsidRDefault="006A7D29">
      <w:r>
        <w:separator/>
      </w:r>
    </w:p>
    <w:p w:rsidR="006A7D29" w:rsidRDefault="006A7D29"/>
    <w:p w:rsidR="006A7D29" w:rsidRDefault="006A7D29"/>
  </w:footnote>
  <w:footnote w:type="continuationSeparator" w:id="0">
    <w:p w:rsidR="006A7D29" w:rsidRDefault="006A7D29">
      <w:r>
        <w:continuationSeparator/>
      </w:r>
    </w:p>
    <w:p w:rsidR="006A7D29" w:rsidRDefault="006A7D29"/>
    <w:p w:rsidR="006A7D29" w:rsidRDefault="006A7D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E10" w:rsidRDefault="00D64E10">
    <w:r>
      <w:rPr>
        <w:noProof/>
      </w:rPr>
      <w:drawing>
        <wp:anchor distT="0" distB="0" distL="114300" distR="114300" simplePos="0" relativeHeight="251659776" behindDoc="1" locked="0" layoutInCell="1" allowOverlap="1" wp14:anchorId="2A106A9F" wp14:editId="52D73046">
          <wp:simplePos x="0" y="0"/>
          <wp:positionH relativeFrom="page">
            <wp:posOffset>13648</wp:posOffset>
          </wp:positionH>
          <wp:positionV relativeFrom="page">
            <wp:align>center</wp:align>
          </wp:positionV>
          <wp:extent cx="7543765" cy="10667997"/>
          <wp:effectExtent l="0" t="0" r="63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C_Council document"/>
                  <pic:cNvPicPr>
                    <a:picLocks noChangeAspect="1" noChangeArrowheads="1"/>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7543765" cy="106679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41" w:rsidRDefault="00710441">
    <w:r>
      <w:rPr>
        <w:noProof/>
      </w:rPr>
      <w:drawing>
        <wp:anchor distT="0" distB="0" distL="114300" distR="114300" simplePos="0" relativeHeight="251657728" behindDoc="1" locked="0" layoutInCell="1" allowOverlap="1" wp14:anchorId="6435EA9D" wp14:editId="3B0DB443">
          <wp:simplePos x="0" y="0"/>
          <wp:positionH relativeFrom="page">
            <wp:posOffset>13648</wp:posOffset>
          </wp:positionH>
          <wp:positionV relativeFrom="page">
            <wp:align>center</wp:align>
          </wp:positionV>
          <wp:extent cx="7543765" cy="10667997"/>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C_Council document"/>
                  <pic:cNvPicPr>
                    <a:picLocks noChangeAspect="1" noChangeArrowheads="1"/>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7543765" cy="106679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441" w:rsidRDefault="007104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0DA93990"/>
    <w:multiLevelType w:val="hybridMultilevel"/>
    <w:tmpl w:val="DA1AC6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1CA46F4C"/>
    <w:multiLevelType w:val="hybridMultilevel"/>
    <w:tmpl w:val="ED00A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6304960"/>
    <w:multiLevelType w:val="hybridMultilevel"/>
    <w:tmpl w:val="6F0CA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2B550DCC"/>
    <w:multiLevelType w:val="hybridMultilevel"/>
    <w:tmpl w:val="DA1AC6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05B4BBC"/>
    <w:multiLevelType w:val="multilevel"/>
    <w:tmpl w:val="20F835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73857991"/>
    <w:multiLevelType w:val="hybridMultilevel"/>
    <w:tmpl w:val="25BAD6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8"/>
  </w:num>
  <w:num w:numId="13">
    <w:abstractNumId w:val="15"/>
  </w:num>
  <w:num w:numId="14">
    <w:abstractNumId w:val="17"/>
  </w:num>
  <w:num w:numId="15">
    <w:abstractNumId w:val="23"/>
  </w:num>
  <w:num w:numId="16">
    <w:abstractNumId w:val="27"/>
  </w:num>
  <w:num w:numId="17">
    <w:abstractNumId w:val="13"/>
  </w:num>
  <w:num w:numId="18">
    <w:abstractNumId w:val="30"/>
  </w:num>
  <w:num w:numId="19">
    <w:abstractNumId w:val="12"/>
  </w:num>
  <w:num w:numId="20">
    <w:abstractNumId w:val="28"/>
  </w:num>
  <w:num w:numId="21">
    <w:abstractNumId w:val="10"/>
  </w:num>
  <w:num w:numId="22">
    <w:abstractNumId w:val="26"/>
  </w:num>
  <w:num w:numId="23">
    <w:abstractNumId w:val="32"/>
  </w:num>
  <w:num w:numId="24">
    <w:abstractNumId w:val="22"/>
  </w:num>
  <w:num w:numId="25">
    <w:abstractNumId w:val="11"/>
  </w:num>
  <w:num w:numId="26">
    <w:abstractNumId w:val="29"/>
  </w:num>
  <w:num w:numId="27">
    <w:abstractNumId w:val="24"/>
  </w:num>
  <w:num w:numId="28">
    <w:abstractNumId w:val="32"/>
    <w:lvlOverride w:ilvl="0">
      <w:startOverride w:val="1"/>
    </w:lvlOverride>
  </w:num>
  <w:num w:numId="29">
    <w:abstractNumId w:val="32"/>
  </w:num>
  <w:num w:numId="30">
    <w:abstractNumId w:val="10"/>
  </w:num>
  <w:num w:numId="31">
    <w:abstractNumId w:val="10"/>
  </w:num>
  <w:num w:numId="32">
    <w:abstractNumId w:val="10"/>
  </w:num>
  <w:num w:numId="33">
    <w:abstractNumId w:val="21"/>
  </w:num>
  <w:num w:numId="34">
    <w:abstractNumId w:val="10"/>
  </w:num>
  <w:num w:numId="35">
    <w:abstractNumId w:val="16"/>
  </w:num>
  <w:num w:numId="36">
    <w:abstractNumId w:val="19"/>
  </w:num>
  <w:num w:numId="37">
    <w:abstractNumId w:val="20"/>
  </w:num>
  <w:num w:numId="38">
    <w:abstractNumId w:val="31"/>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Style1SCCReversedHeader"/>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28E"/>
    <w:rsid w:val="00001334"/>
    <w:rsid w:val="00003A3F"/>
    <w:rsid w:val="000054F8"/>
    <w:rsid w:val="000055DC"/>
    <w:rsid w:val="00010CB3"/>
    <w:rsid w:val="00011467"/>
    <w:rsid w:val="00014864"/>
    <w:rsid w:val="00017313"/>
    <w:rsid w:val="00020F87"/>
    <w:rsid w:val="00021080"/>
    <w:rsid w:val="000222A0"/>
    <w:rsid w:val="000233BD"/>
    <w:rsid w:val="00025740"/>
    <w:rsid w:val="0002760E"/>
    <w:rsid w:val="00030B45"/>
    <w:rsid w:val="00031EEC"/>
    <w:rsid w:val="00034F36"/>
    <w:rsid w:val="000362A2"/>
    <w:rsid w:val="00036928"/>
    <w:rsid w:val="00037BF4"/>
    <w:rsid w:val="000422F6"/>
    <w:rsid w:val="000422FB"/>
    <w:rsid w:val="00043FB4"/>
    <w:rsid w:val="00050B03"/>
    <w:rsid w:val="00052E2C"/>
    <w:rsid w:val="00053FBF"/>
    <w:rsid w:val="0005657F"/>
    <w:rsid w:val="0006011B"/>
    <w:rsid w:val="0006150B"/>
    <w:rsid w:val="00065B34"/>
    <w:rsid w:val="00070175"/>
    <w:rsid w:val="000751B1"/>
    <w:rsid w:val="00083946"/>
    <w:rsid w:val="00087FD1"/>
    <w:rsid w:val="000900E8"/>
    <w:rsid w:val="00090B5B"/>
    <w:rsid w:val="000910E9"/>
    <w:rsid w:val="00096B7A"/>
    <w:rsid w:val="00097487"/>
    <w:rsid w:val="000A3742"/>
    <w:rsid w:val="000A529D"/>
    <w:rsid w:val="000A5341"/>
    <w:rsid w:val="000A6501"/>
    <w:rsid w:val="000A6C0E"/>
    <w:rsid w:val="000B28B9"/>
    <w:rsid w:val="000B2CDB"/>
    <w:rsid w:val="000B3471"/>
    <w:rsid w:val="000B3C1A"/>
    <w:rsid w:val="000B3EC9"/>
    <w:rsid w:val="000D1F8D"/>
    <w:rsid w:val="000D201D"/>
    <w:rsid w:val="000D4F4D"/>
    <w:rsid w:val="000E57B2"/>
    <w:rsid w:val="0010040C"/>
    <w:rsid w:val="0010106C"/>
    <w:rsid w:val="0010615E"/>
    <w:rsid w:val="001064D6"/>
    <w:rsid w:val="00106611"/>
    <w:rsid w:val="00112F05"/>
    <w:rsid w:val="0011751D"/>
    <w:rsid w:val="00117AA9"/>
    <w:rsid w:val="00120CE3"/>
    <w:rsid w:val="00122695"/>
    <w:rsid w:val="00123149"/>
    <w:rsid w:val="001244B8"/>
    <w:rsid w:val="00133B46"/>
    <w:rsid w:val="00133B7C"/>
    <w:rsid w:val="00136144"/>
    <w:rsid w:val="001364B8"/>
    <w:rsid w:val="00136B00"/>
    <w:rsid w:val="00136F02"/>
    <w:rsid w:val="001432A5"/>
    <w:rsid w:val="0014409F"/>
    <w:rsid w:val="0014577F"/>
    <w:rsid w:val="00147FB4"/>
    <w:rsid w:val="00156F85"/>
    <w:rsid w:val="00160DB5"/>
    <w:rsid w:val="00164D83"/>
    <w:rsid w:val="001713CE"/>
    <w:rsid w:val="00172C21"/>
    <w:rsid w:val="00173244"/>
    <w:rsid w:val="00174182"/>
    <w:rsid w:val="00174CB2"/>
    <w:rsid w:val="00176DB0"/>
    <w:rsid w:val="00180C87"/>
    <w:rsid w:val="00183026"/>
    <w:rsid w:val="001844EF"/>
    <w:rsid w:val="00187050"/>
    <w:rsid w:val="00190141"/>
    <w:rsid w:val="00190DFA"/>
    <w:rsid w:val="001A2C0C"/>
    <w:rsid w:val="001A4241"/>
    <w:rsid w:val="001A6813"/>
    <w:rsid w:val="001B4A3B"/>
    <w:rsid w:val="001B5E5A"/>
    <w:rsid w:val="001B7B40"/>
    <w:rsid w:val="001C4842"/>
    <w:rsid w:val="001C4B6B"/>
    <w:rsid w:val="001C4ED0"/>
    <w:rsid w:val="001C51DC"/>
    <w:rsid w:val="001C63AC"/>
    <w:rsid w:val="001D0BBA"/>
    <w:rsid w:val="001D6D39"/>
    <w:rsid w:val="001D79C5"/>
    <w:rsid w:val="001E31BD"/>
    <w:rsid w:val="001E4863"/>
    <w:rsid w:val="001F2609"/>
    <w:rsid w:val="001F5094"/>
    <w:rsid w:val="001F6F6F"/>
    <w:rsid w:val="002021FA"/>
    <w:rsid w:val="00202ACB"/>
    <w:rsid w:val="00203DF9"/>
    <w:rsid w:val="00204C22"/>
    <w:rsid w:val="00210608"/>
    <w:rsid w:val="002117C1"/>
    <w:rsid w:val="00211D42"/>
    <w:rsid w:val="0021204B"/>
    <w:rsid w:val="0021532D"/>
    <w:rsid w:val="00215853"/>
    <w:rsid w:val="00215A64"/>
    <w:rsid w:val="00216D40"/>
    <w:rsid w:val="0022328B"/>
    <w:rsid w:val="00234B60"/>
    <w:rsid w:val="00235EBE"/>
    <w:rsid w:val="002375E8"/>
    <w:rsid w:val="00243B14"/>
    <w:rsid w:val="002450D5"/>
    <w:rsid w:val="0024786B"/>
    <w:rsid w:val="0025076B"/>
    <w:rsid w:val="002555DB"/>
    <w:rsid w:val="002571A3"/>
    <w:rsid w:val="00260158"/>
    <w:rsid w:val="00266B3B"/>
    <w:rsid w:val="00266FF4"/>
    <w:rsid w:val="002755E2"/>
    <w:rsid w:val="00283B73"/>
    <w:rsid w:val="002842D6"/>
    <w:rsid w:val="0028489D"/>
    <w:rsid w:val="00284D22"/>
    <w:rsid w:val="002911E7"/>
    <w:rsid w:val="00294BA6"/>
    <w:rsid w:val="002952E1"/>
    <w:rsid w:val="002A3955"/>
    <w:rsid w:val="002A3AA1"/>
    <w:rsid w:val="002A68D4"/>
    <w:rsid w:val="002A705E"/>
    <w:rsid w:val="002A7795"/>
    <w:rsid w:val="002B175E"/>
    <w:rsid w:val="002B1C0D"/>
    <w:rsid w:val="002B374F"/>
    <w:rsid w:val="002B6315"/>
    <w:rsid w:val="002B7445"/>
    <w:rsid w:val="002B7A4E"/>
    <w:rsid w:val="002C2816"/>
    <w:rsid w:val="002C4F44"/>
    <w:rsid w:val="002D37B7"/>
    <w:rsid w:val="002D6A1E"/>
    <w:rsid w:val="002F08E9"/>
    <w:rsid w:val="002F5327"/>
    <w:rsid w:val="002F5A36"/>
    <w:rsid w:val="002F7E47"/>
    <w:rsid w:val="00300B95"/>
    <w:rsid w:val="00305C22"/>
    <w:rsid w:val="00306689"/>
    <w:rsid w:val="003130EC"/>
    <w:rsid w:val="003164E1"/>
    <w:rsid w:val="003209E9"/>
    <w:rsid w:val="00320D4D"/>
    <w:rsid w:val="00321081"/>
    <w:rsid w:val="003230F9"/>
    <w:rsid w:val="00327D23"/>
    <w:rsid w:val="00330470"/>
    <w:rsid w:val="0033590F"/>
    <w:rsid w:val="00340C9E"/>
    <w:rsid w:val="00351135"/>
    <w:rsid w:val="0035306C"/>
    <w:rsid w:val="0035386B"/>
    <w:rsid w:val="003567D6"/>
    <w:rsid w:val="0036236D"/>
    <w:rsid w:val="003654E4"/>
    <w:rsid w:val="00366670"/>
    <w:rsid w:val="00370534"/>
    <w:rsid w:val="003754D2"/>
    <w:rsid w:val="00375F73"/>
    <w:rsid w:val="00376FF6"/>
    <w:rsid w:val="00385F61"/>
    <w:rsid w:val="00386F31"/>
    <w:rsid w:val="00391C47"/>
    <w:rsid w:val="003926EC"/>
    <w:rsid w:val="00394564"/>
    <w:rsid w:val="003A03BF"/>
    <w:rsid w:val="003A775D"/>
    <w:rsid w:val="003C63CD"/>
    <w:rsid w:val="003C75FA"/>
    <w:rsid w:val="003D4EF6"/>
    <w:rsid w:val="003D6DF0"/>
    <w:rsid w:val="003E412D"/>
    <w:rsid w:val="003E479F"/>
    <w:rsid w:val="003E556A"/>
    <w:rsid w:val="003F1EA0"/>
    <w:rsid w:val="003F2A85"/>
    <w:rsid w:val="003F2F9D"/>
    <w:rsid w:val="003F32B0"/>
    <w:rsid w:val="003F6C49"/>
    <w:rsid w:val="0040009F"/>
    <w:rsid w:val="00401D61"/>
    <w:rsid w:val="00402A94"/>
    <w:rsid w:val="00404B24"/>
    <w:rsid w:val="00411B6E"/>
    <w:rsid w:val="004148C5"/>
    <w:rsid w:val="004211AE"/>
    <w:rsid w:val="00424F33"/>
    <w:rsid w:val="00430088"/>
    <w:rsid w:val="00431537"/>
    <w:rsid w:val="004324EB"/>
    <w:rsid w:val="004328B2"/>
    <w:rsid w:val="00433A2D"/>
    <w:rsid w:val="004370B7"/>
    <w:rsid w:val="00437658"/>
    <w:rsid w:val="00440410"/>
    <w:rsid w:val="004441DE"/>
    <w:rsid w:val="004555A6"/>
    <w:rsid w:val="00457640"/>
    <w:rsid w:val="004629BB"/>
    <w:rsid w:val="00463292"/>
    <w:rsid w:val="00464443"/>
    <w:rsid w:val="00464812"/>
    <w:rsid w:val="00467632"/>
    <w:rsid w:val="004704A0"/>
    <w:rsid w:val="00473859"/>
    <w:rsid w:val="00473F82"/>
    <w:rsid w:val="00474D5A"/>
    <w:rsid w:val="00477D46"/>
    <w:rsid w:val="00481766"/>
    <w:rsid w:val="00481E92"/>
    <w:rsid w:val="0048370D"/>
    <w:rsid w:val="00483DFF"/>
    <w:rsid w:val="004908FB"/>
    <w:rsid w:val="00490F5B"/>
    <w:rsid w:val="00491164"/>
    <w:rsid w:val="00494680"/>
    <w:rsid w:val="00496B6C"/>
    <w:rsid w:val="004A30E0"/>
    <w:rsid w:val="004B000E"/>
    <w:rsid w:val="004B0E0C"/>
    <w:rsid w:val="004B219E"/>
    <w:rsid w:val="004B568E"/>
    <w:rsid w:val="004C0FEF"/>
    <w:rsid w:val="004C4A82"/>
    <w:rsid w:val="004C6B1F"/>
    <w:rsid w:val="004C7982"/>
    <w:rsid w:val="004D5284"/>
    <w:rsid w:val="004D59CC"/>
    <w:rsid w:val="004E3F2E"/>
    <w:rsid w:val="004F2335"/>
    <w:rsid w:val="004F2360"/>
    <w:rsid w:val="004F30B4"/>
    <w:rsid w:val="004F4981"/>
    <w:rsid w:val="004F6145"/>
    <w:rsid w:val="004F66B4"/>
    <w:rsid w:val="004F6826"/>
    <w:rsid w:val="004F7E8F"/>
    <w:rsid w:val="00502090"/>
    <w:rsid w:val="00505017"/>
    <w:rsid w:val="00506095"/>
    <w:rsid w:val="0050639A"/>
    <w:rsid w:val="00507EA5"/>
    <w:rsid w:val="0051179C"/>
    <w:rsid w:val="0051494E"/>
    <w:rsid w:val="00517728"/>
    <w:rsid w:val="00517A23"/>
    <w:rsid w:val="005209FA"/>
    <w:rsid w:val="00523F10"/>
    <w:rsid w:val="00525141"/>
    <w:rsid w:val="0052611F"/>
    <w:rsid w:val="0053588A"/>
    <w:rsid w:val="0054228E"/>
    <w:rsid w:val="00542A4B"/>
    <w:rsid w:val="00542CB3"/>
    <w:rsid w:val="00545074"/>
    <w:rsid w:val="00547D10"/>
    <w:rsid w:val="005501EB"/>
    <w:rsid w:val="00551111"/>
    <w:rsid w:val="00553EF7"/>
    <w:rsid w:val="005550F5"/>
    <w:rsid w:val="00555CB4"/>
    <w:rsid w:val="005563B8"/>
    <w:rsid w:val="0055673F"/>
    <w:rsid w:val="005607FE"/>
    <w:rsid w:val="0056330A"/>
    <w:rsid w:val="00567022"/>
    <w:rsid w:val="0056732F"/>
    <w:rsid w:val="00567D48"/>
    <w:rsid w:val="00571762"/>
    <w:rsid w:val="00572BF3"/>
    <w:rsid w:val="005731AE"/>
    <w:rsid w:val="00574FAA"/>
    <w:rsid w:val="005761C3"/>
    <w:rsid w:val="0058007C"/>
    <w:rsid w:val="005827F9"/>
    <w:rsid w:val="005846C7"/>
    <w:rsid w:val="00586E51"/>
    <w:rsid w:val="005941E9"/>
    <w:rsid w:val="00595421"/>
    <w:rsid w:val="00597309"/>
    <w:rsid w:val="00597BF2"/>
    <w:rsid w:val="00597FFC"/>
    <w:rsid w:val="005A04AC"/>
    <w:rsid w:val="005A05A9"/>
    <w:rsid w:val="005A1D5C"/>
    <w:rsid w:val="005A4ED4"/>
    <w:rsid w:val="005A549F"/>
    <w:rsid w:val="005A5BBB"/>
    <w:rsid w:val="005A65AC"/>
    <w:rsid w:val="005B223E"/>
    <w:rsid w:val="005B2477"/>
    <w:rsid w:val="005B5B25"/>
    <w:rsid w:val="005B7869"/>
    <w:rsid w:val="005C2F9F"/>
    <w:rsid w:val="005C69CB"/>
    <w:rsid w:val="005D6C68"/>
    <w:rsid w:val="005E08EA"/>
    <w:rsid w:val="005F285F"/>
    <w:rsid w:val="00600F06"/>
    <w:rsid w:val="00601800"/>
    <w:rsid w:val="00606916"/>
    <w:rsid w:val="00607DDE"/>
    <w:rsid w:val="006105A8"/>
    <w:rsid w:val="00612650"/>
    <w:rsid w:val="006136D1"/>
    <w:rsid w:val="006170C5"/>
    <w:rsid w:val="0062028E"/>
    <w:rsid w:val="006202B4"/>
    <w:rsid w:val="0062169E"/>
    <w:rsid w:val="00622058"/>
    <w:rsid w:val="00624B10"/>
    <w:rsid w:val="0063723E"/>
    <w:rsid w:val="00643525"/>
    <w:rsid w:val="006445B7"/>
    <w:rsid w:val="00644C33"/>
    <w:rsid w:val="00645B80"/>
    <w:rsid w:val="00657C36"/>
    <w:rsid w:val="006603B1"/>
    <w:rsid w:val="0066146C"/>
    <w:rsid w:val="006615CC"/>
    <w:rsid w:val="00663EAA"/>
    <w:rsid w:val="00664051"/>
    <w:rsid w:val="00664D26"/>
    <w:rsid w:val="00666B3B"/>
    <w:rsid w:val="00667C40"/>
    <w:rsid w:val="00670CAB"/>
    <w:rsid w:val="006750C3"/>
    <w:rsid w:val="0068133A"/>
    <w:rsid w:val="0068138A"/>
    <w:rsid w:val="00681E10"/>
    <w:rsid w:val="00686000"/>
    <w:rsid w:val="00695FE4"/>
    <w:rsid w:val="006969EE"/>
    <w:rsid w:val="006A1CAC"/>
    <w:rsid w:val="006A6B94"/>
    <w:rsid w:val="006A7C7B"/>
    <w:rsid w:val="006A7D29"/>
    <w:rsid w:val="006B77EE"/>
    <w:rsid w:val="006C29C4"/>
    <w:rsid w:val="006C2F7E"/>
    <w:rsid w:val="006C48C4"/>
    <w:rsid w:val="006D5758"/>
    <w:rsid w:val="006D5D60"/>
    <w:rsid w:val="006D6C01"/>
    <w:rsid w:val="006D7322"/>
    <w:rsid w:val="006E096C"/>
    <w:rsid w:val="006E2603"/>
    <w:rsid w:val="006E3231"/>
    <w:rsid w:val="006F08DB"/>
    <w:rsid w:val="006F2A3A"/>
    <w:rsid w:val="006F5FCA"/>
    <w:rsid w:val="007035CB"/>
    <w:rsid w:val="00703F87"/>
    <w:rsid w:val="0070467E"/>
    <w:rsid w:val="00707EC3"/>
    <w:rsid w:val="00710441"/>
    <w:rsid w:val="00711A48"/>
    <w:rsid w:val="00717064"/>
    <w:rsid w:val="00721ECC"/>
    <w:rsid w:val="00723565"/>
    <w:rsid w:val="00725DE7"/>
    <w:rsid w:val="00726E42"/>
    <w:rsid w:val="00735397"/>
    <w:rsid w:val="0073605E"/>
    <w:rsid w:val="00736320"/>
    <w:rsid w:val="00737627"/>
    <w:rsid w:val="00737FD0"/>
    <w:rsid w:val="007440CB"/>
    <w:rsid w:val="007506DF"/>
    <w:rsid w:val="007516BF"/>
    <w:rsid w:val="00754920"/>
    <w:rsid w:val="007579BB"/>
    <w:rsid w:val="00761542"/>
    <w:rsid w:val="007631DB"/>
    <w:rsid w:val="007654C4"/>
    <w:rsid w:val="00767EC9"/>
    <w:rsid w:val="007961F2"/>
    <w:rsid w:val="007A358F"/>
    <w:rsid w:val="007A65D8"/>
    <w:rsid w:val="007A78BA"/>
    <w:rsid w:val="007B77F9"/>
    <w:rsid w:val="007C3638"/>
    <w:rsid w:val="007C76D5"/>
    <w:rsid w:val="007D719C"/>
    <w:rsid w:val="007E02F2"/>
    <w:rsid w:val="007E19FE"/>
    <w:rsid w:val="007E3574"/>
    <w:rsid w:val="007E6C0A"/>
    <w:rsid w:val="007F5A80"/>
    <w:rsid w:val="00804481"/>
    <w:rsid w:val="008140CA"/>
    <w:rsid w:val="00815CCC"/>
    <w:rsid w:val="00821757"/>
    <w:rsid w:val="00821872"/>
    <w:rsid w:val="00824643"/>
    <w:rsid w:val="00825229"/>
    <w:rsid w:val="0082693C"/>
    <w:rsid w:val="00827329"/>
    <w:rsid w:val="00831911"/>
    <w:rsid w:val="00832C99"/>
    <w:rsid w:val="008347DF"/>
    <w:rsid w:val="00834AAB"/>
    <w:rsid w:val="00837158"/>
    <w:rsid w:val="00840DDB"/>
    <w:rsid w:val="0084643E"/>
    <w:rsid w:val="0084687C"/>
    <w:rsid w:val="008470DC"/>
    <w:rsid w:val="0085057F"/>
    <w:rsid w:val="00866D16"/>
    <w:rsid w:val="00870F66"/>
    <w:rsid w:val="0087148D"/>
    <w:rsid w:val="00871BEE"/>
    <w:rsid w:val="0087481E"/>
    <w:rsid w:val="00875B95"/>
    <w:rsid w:val="00875E92"/>
    <w:rsid w:val="00876050"/>
    <w:rsid w:val="00876667"/>
    <w:rsid w:val="00882549"/>
    <w:rsid w:val="00886202"/>
    <w:rsid w:val="00891979"/>
    <w:rsid w:val="0089412E"/>
    <w:rsid w:val="00894CA9"/>
    <w:rsid w:val="008A15DF"/>
    <w:rsid w:val="008A3D44"/>
    <w:rsid w:val="008B069A"/>
    <w:rsid w:val="008B1109"/>
    <w:rsid w:val="008B377D"/>
    <w:rsid w:val="008B43B9"/>
    <w:rsid w:val="008B4BB0"/>
    <w:rsid w:val="008C0526"/>
    <w:rsid w:val="008C4BE9"/>
    <w:rsid w:val="008C6523"/>
    <w:rsid w:val="008C7AE6"/>
    <w:rsid w:val="008D4D80"/>
    <w:rsid w:val="008E1462"/>
    <w:rsid w:val="008E20F2"/>
    <w:rsid w:val="008E479B"/>
    <w:rsid w:val="008E6DDC"/>
    <w:rsid w:val="008E7D75"/>
    <w:rsid w:val="008F1042"/>
    <w:rsid w:val="008F1107"/>
    <w:rsid w:val="008F110E"/>
    <w:rsid w:val="008F1722"/>
    <w:rsid w:val="008F3C05"/>
    <w:rsid w:val="008F62BC"/>
    <w:rsid w:val="0090165A"/>
    <w:rsid w:val="009018D1"/>
    <w:rsid w:val="00902FBA"/>
    <w:rsid w:val="00904315"/>
    <w:rsid w:val="009050D2"/>
    <w:rsid w:val="0090618A"/>
    <w:rsid w:val="00913E27"/>
    <w:rsid w:val="009140C5"/>
    <w:rsid w:val="009142A7"/>
    <w:rsid w:val="00916B3F"/>
    <w:rsid w:val="009219AF"/>
    <w:rsid w:val="0092213D"/>
    <w:rsid w:val="00923871"/>
    <w:rsid w:val="00925AA0"/>
    <w:rsid w:val="00925C8E"/>
    <w:rsid w:val="0092666B"/>
    <w:rsid w:val="009343D3"/>
    <w:rsid w:val="009346F8"/>
    <w:rsid w:val="0093629B"/>
    <w:rsid w:val="00937636"/>
    <w:rsid w:val="009431E5"/>
    <w:rsid w:val="00944320"/>
    <w:rsid w:val="00944F54"/>
    <w:rsid w:val="00951250"/>
    <w:rsid w:val="009514F1"/>
    <w:rsid w:val="00951BB3"/>
    <w:rsid w:val="009522CA"/>
    <w:rsid w:val="009536E0"/>
    <w:rsid w:val="00964A2A"/>
    <w:rsid w:val="009674BC"/>
    <w:rsid w:val="00967B5F"/>
    <w:rsid w:val="00971C7D"/>
    <w:rsid w:val="00972EA6"/>
    <w:rsid w:val="00974FEA"/>
    <w:rsid w:val="00975756"/>
    <w:rsid w:val="00977BD6"/>
    <w:rsid w:val="00980D99"/>
    <w:rsid w:val="009843AB"/>
    <w:rsid w:val="0098492C"/>
    <w:rsid w:val="009861CA"/>
    <w:rsid w:val="009904AB"/>
    <w:rsid w:val="00997A8B"/>
    <w:rsid w:val="00997B59"/>
    <w:rsid w:val="009A0C35"/>
    <w:rsid w:val="009A184A"/>
    <w:rsid w:val="009A23B6"/>
    <w:rsid w:val="009A2A2D"/>
    <w:rsid w:val="009A3FE8"/>
    <w:rsid w:val="009A5EF5"/>
    <w:rsid w:val="009B224D"/>
    <w:rsid w:val="009B362A"/>
    <w:rsid w:val="009B39E1"/>
    <w:rsid w:val="009B7E83"/>
    <w:rsid w:val="009C469D"/>
    <w:rsid w:val="009C7EC9"/>
    <w:rsid w:val="009D32A0"/>
    <w:rsid w:val="009D37B7"/>
    <w:rsid w:val="009D427D"/>
    <w:rsid w:val="009D6B2E"/>
    <w:rsid w:val="009D709B"/>
    <w:rsid w:val="009E241E"/>
    <w:rsid w:val="00A0102D"/>
    <w:rsid w:val="00A04970"/>
    <w:rsid w:val="00A061FB"/>
    <w:rsid w:val="00A17C88"/>
    <w:rsid w:val="00A266BF"/>
    <w:rsid w:val="00A27FF6"/>
    <w:rsid w:val="00A31F44"/>
    <w:rsid w:val="00A516E7"/>
    <w:rsid w:val="00A51B52"/>
    <w:rsid w:val="00A53CC9"/>
    <w:rsid w:val="00A542C6"/>
    <w:rsid w:val="00A550AB"/>
    <w:rsid w:val="00A60B9B"/>
    <w:rsid w:val="00A610A1"/>
    <w:rsid w:val="00A64376"/>
    <w:rsid w:val="00A64916"/>
    <w:rsid w:val="00A70936"/>
    <w:rsid w:val="00A71A95"/>
    <w:rsid w:val="00A72F75"/>
    <w:rsid w:val="00A80E21"/>
    <w:rsid w:val="00A8610C"/>
    <w:rsid w:val="00A87F3D"/>
    <w:rsid w:val="00A92215"/>
    <w:rsid w:val="00A93F41"/>
    <w:rsid w:val="00A94207"/>
    <w:rsid w:val="00AA043B"/>
    <w:rsid w:val="00AA24E8"/>
    <w:rsid w:val="00AA3912"/>
    <w:rsid w:val="00AB0CA1"/>
    <w:rsid w:val="00AC17E6"/>
    <w:rsid w:val="00AC7528"/>
    <w:rsid w:val="00AD37A2"/>
    <w:rsid w:val="00AD7997"/>
    <w:rsid w:val="00AE05C9"/>
    <w:rsid w:val="00AE26BF"/>
    <w:rsid w:val="00AE57FA"/>
    <w:rsid w:val="00AE5FCF"/>
    <w:rsid w:val="00AF64B0"/>
    <w:rsid w:val="00AF6E12"/>
    <w:rsid w:val="00B03A4B"/>
    <w:rsid w:val="00B04FCC"/>
    <w:rsid w:val="00B05EC5"/>
    <w:rsid w:val="00B10C77"/>
    <w:rsid w:val="00B15EEE"/>
    <w:rsid w:val="00B15F5C"/>
    <w:rsid w:val="00B22D32"/>
    <w:rsid w:val="00B25378"/>
    <w:rsid w:val="00B308A8"/>
    <w:rsid w:val="00B32D85"/>
    <w:rsid w:val="00B4092A"/>
    <w:rsid w:val="00B40B7E"/>
    <w:rsid w:val="00B42796"/>
    <w:rsid w:val="00B4365B"/>
    <w:rsid w:val="00B44649"/>
    <w:rsid w:val="00B45920"/>
    <w:rsid w:val="00B4697D"/>
    <w:rsid w:val="00B46E7A"/>
    <w:rsid w:val="00B50E83"/>
    <w:rsid w:val="00B517C2"/>
    <w:rsid w:val="00B53799"/>
    <w:rsid w:val="00B53C62"/>
    <w:rsid w:val="00B56F4D"/>
    <w:rsid w:val="00B570A3"/>
    <w:rsid w:val="00B63813"/>
    <w:rsid w:val="00B63D1B"/>
    <w:rsid w:val="00B67A4E"/>
    <w:rsid w:val="00B67ABE"/>
    <w:rsid w:val="00B7489C"/>
    <w:rsid w:val="00B770F2"/>
    <w:rsid w:val="00B80A81"/>
    <w:rsid w:val="00B82CB7"/>
    <w:rsid w:val="00B90D25"/>
    <w:rsid w:val="00B93408"/>
    <w:rsid w:val="00B95CE2"/>
    <w:rsid w:val="00BA03C6"/>
    <w:rsid w:val="00BA4E76"/>
    <w:rsid w:val="00BA6A20"/>
    <w:rsid w:val="00BA6DE4"/>
    <w:rsid w:val="00BB1567"/>
    <w:rsid w:val="00BB1742"/>
    <w:rsid w:val="00BB41D1"/>
    <w:rsid w:val="00BB48B1"/>
    <w:rsid w:val="00BB6220"/>
    <w:rsid w:val="00BC1518"/>
    <w:rsid w:val="00BC1580"/>
    <w:rsid w:val="00BC30A4"/>
    <w:rsid w:val="00BC4044"/>
    <w:rsid w:val="00BC58E1"/>
    <w:rsid w:val="00BC6822"/>
    <w:rsid w:val="00BD0D52"/>
    <w:rsid w:val="00BD408E"/>
    <w:rsid w:val="00BD6869"/>
    <w:rsid w:val="00BE1999"/>
    <w:rsid w:val="00BE1FD6"/>
    <w:rsid w:val="00BE2784"/>
    <w:rsid w:val="00BE39BC"/>
    <w:rsid w:val="00BF3E90"/>
    <w:rsid w:val="00BF438A"/>
    <w:rsid w:val="00BF4CD0"/>
    <w:rsid w:val="00BF5F78"/>
    <w:rsid w:val="00BF695C"/>
    <w:rsid w:val="00BF7F4F"/>
    <w:rsid w:val="00C03F2D"/>
    <w:rsid w:val="00C04138"/>
    <w:rsid w:val="00C10CA4"/>
    <w:rsid w:val="00C11060"/>
    <w:rsid w:val="00C15C36"/>
    <w:rsid w:val="00C17988"/>
    <w:rsid w:val="00C21A30"/>
    <w:rsid w:val="00C2583B"/>
    <w:rsid w:val="00C3008F"/>
    <w:rsid w:val="00C3393A"/>
    <w:rsid w:val="00C349E7"/>
    <w:rsid w:val="00C351E7"/>
    <w:rsid w:val="00C36BB8"/>
    <w:rsid w:val="00C4117F"/>
    <w:rsid w:val="00C512D9"/>
    <w:rsid w:val="00C51CBA"/>
    <w:rsid w:val="00C5235D"/>
    <w:rsid w:val="00C53B3A"/>
    <w:rsid w:val="00C56636"/>
    <w:rsid w:val="00C61629"/>
    <w:rsid w:val="00C62F53"/>
    <w:rsid w:val="00C646B8"/>
    <w:rsid w:val="00C6725F"/>
    <w:rsid w:val="00C7623E"/>
    <w:rsid w:val="00C80027"/>
    <w:rsid w:val="00C804B6"/>
    <w:rsid w:val="00C80AE9"/>
    <w:rsid w:val="00C8300F"/>
    <w:rsid w:val="00C920ED"/>
    <w:rsid w:val="00C94A92"/>
    <w:rsid w:val="00C96127"/>
    <w:rsid w:val="00C9624F"/>
    <w:rsid w:val="00CA0193"/>
    <w:rsid w:val="00CA35E7"/>
    <w:rsid w:val="00CB5705"/>
    <w:rsid w:val="00CB5B5E"/>
    <w:rsid w:val="00CB6CE9"/>
    <w:rsid w:val="00CC0841"/>
    <w:rsid w:val="00CC0DD9"/>
    <w:rsid w:val="00CC463F"/>
    <w:rsid w:val="00CC59F2"/>
    <w:rsid w:val="00CC5BC6"/>
    <w:rsid w:val="00CC60A2"/>
    <w:rsid w:val="00CC7192"/>
    <w:rsid w:val="00CD1D5F"/>
    <w:rsid w:val="00CD41F1"/>
    <w:rsid w:val="00CE2E4F"/>
    <w:rsid w:val="00CE650B"/>
    <w:rsid w:val="00CF38A9"/>
    <w:rsid w:val="00D01ED0"/>
    <w:rsid w:val="00D02246"/>
    <w:rsid w:val="00D03D3E"/>
    <w:rsid w:val="00D1175E"/>
    <w:rsid w:val="00D1441B"/>
    <w:rsid w:val="00D1725A"/>
    <w:rsid w:val="00D2255D"/>
    <w:rsid w:val="00D26AE4"/>
    <w:rsid w:val="00D279E1"/>
    <w:rsid w:val="00D34E9E"/>
    <w:rsid w:val="00D3562A"/>
    <w:rsid w:val="00D37382"/>
    <w:rsid w:val="00D44047"/>
    <w:rsid w:val="00D45177"/>
    <w:rsid w:val="00D45D4F"/>
    <w:rsid w:val="00D50098"/>
    <w:rsid w:val="00D5062C"/>
    <w:rsid w:val="00D50EA1"/>
    <w:rsid w:val="00D52B0B"/>
    <w:rsid w:val="00D55555"/>
    <w:rsid w:val="00D5597D"/>
    <w:rsid w:val="00D5767C"/>
    <w:rsid w:val="00D64E10"/>
    <w:rsid w:val="00D66A4E"/>
    <w:rsid w:val="00D735D7"/>
    <w:rsid w:val="00D775A0"/>
    <w:rsid w:val="00D802ED"/>
    <w:rsid w:val="00D81DAF"/>
    <w:rsid w:val="00D834E1"/>
    <w:rsid w:val="00D84198"/>
    <w:rsid w:val="00D85709"/>
    <w:rsid w:val="00D87A06"/>
    <w:rsid w:val="00D9567C"/>
    <w:rsid w:val="00D95CBA"/>
    <w:rsid w:val="00D96B74"/>
    <w:rsid w:val="00DB0176"/>
    <w:rsid w:val="00DB4CD8"/>
    <w:rsid w:val="00DB5114"/>
    <w:rsid w:val="00DB5115"/>
    <w:rsid w:val="00DB6CED"/>
    <w:rsid w:val="00DC25FB"/>
    <w:rsid w:val="00DC2F56"/>
    <w:rsid w:val="00DD069D"/>
    <w:rsid w:val="00DD0D0C"/>
    <w:rsid w:val="00DD30C4"/>
    <w:rsid w:val="00DE145A"/>
    <w:rsid w:val="00DE294F"/>
    <w:rsid w:val="00DE2D63"/>
    <w:rsid w:val="00DE4BE6"/>
    <w:rsid w:val="00DE4DE2"/>
    <w:rsid w:val="00DE5AE4"/>
    <w:rsid w:val="00DE6038"/>
    <w:rsid w:val="00DE69DB"/>
    <w:rsid w:val="00DF2344"/>
    <w:rsid w:val="00DF6F81"/>
    <w:rsid w:val="00E0015C"/>
    <w:rsid w:val="00E0324A"/>
    <w:rsid w:val="00E0554D"/>
    <w:rsid w:val="00E060BC"/>
    <w:rsid w:val="00E07ED5"/>
    <w:rsid w:val="00E1012E"/>
    <w:rsid w:val="00E14F88"/>
    <w:rsid w:val="00E20726"/>
    <w:rsid w:val="00E20AED"/>
    <w:rsid w:val="00E241FF"/>
    <w:rsid w:val="00E25903"/>
    <w:rsid w:val="00E264D5"/>
    <w:rsid w:val="00E26E96"/>
    <w:rsid w:val="00E32781"/>
    <w:rsid w:val="00E33A7F"/>
    <w:rsid w:val="00E358BB"/>
    <w:rsid w:val="00E36C58"/>
    <w:rsid w:val="00E37E72"/>
    <w:rsid w:val="00E44F3D"/>
    <w:rsid w:val="00E45C91"/>
    <w:rsid w:val="00E45CD3"/>
    <w:rsid w:val="00E51757"/>
    <w:rsid w:val="00E53FB9"/>
    <w:rsid w:val="00E569FA"/>
    <w:rsid w:val="00E570D3"/>
    <w:rsid w:val="00E65E98"/>
    <w:rsid w:val="00E6665D"/>
    <w:rsid w:val="00E67EA1"/>
    <w:rsid w:val="00E7609D"/>
    <w:rsid w:val="00E82983"/>
    <w:rsid w:val="00E82B0F"/>
    <w:rsid w:val="00E84A79"/>
    <w:rsid w:val="00E855D4"/>
    <w:rsid w:val="00E90995"/>
    <w:rsid w:val="00E916F2"/>
    <w:rsid w:val="00E919CA"/>
    <w:rsid w:val="00E91B82"/>
    <w:rsid w:val="00E93101"/>
    <w:rsid w:val="00E97452"/>
    <w:rsid w:val="00EA1AFC"/>
    <w:rsid w:val="00EA3E52"/>
    <w:rsid w:val="00EB3121"/>
    <w:rsid w:val="00EC134D"/>
    <w:rsid w:val="00EC2FB8"/>
    <w:rsid w:val="00EF05BB"/>
    <w:rsid w:val="00EF168C"/>
    <w:rsid w:val="00EF33F7"/>
    <w:rsid w:val="00EF4B2D"/>
    <w:rsid w:val="00EF4EBC"/>
    <w:rsid w:val="00F01E02"/>
    <w:rsid w:val="00F02452"/>
    <w:rsid w:val="00F02555"/>
    <w:rsid w:val="00F05F2B"/>
    <w:rsid w:val="00F06D75"/>
    <w:rsid w:val="00F1063A"/>
    <w:rsid w:val="00F10A81"/>
    <w:rsid w:val="00F11278"/>
    <w:rsid w:val="00F15A4C"/>
    <w:rsid w:val="00F170AB"/>
    <w:rsid w:val="00F20792"/>
    <w:rsid w:val="00F30085"/>
    <w:rsid w:val="00F30216"/>
    <w:rsid w:val="00F33615"/>
    <w:rsid w:val="00F357E2"/>
    <w:rsid w:val="00F367C5"/>
    <w:rsid w:val="00F37890"/>
    <w:rsid w:val="00F461DE"/>
    <w:rsid w:val="00F51629"/>
    <w:rsid w:val="00F5265F"/>
    <w:rsid w:val="00F53B9E"/>
    <w:rsid w:val="00F55551"/>
    <w:rsid w:val="00F55A69"/>
    <w:rsid w:val="00F55EC7"/>
    <w:rsid w:val="00F56CAE"/>
    <w:rsid w:val="00F61AE8"/>
    <w:rsid w:val="00F62194"/>
    <w:rsid w:val="00F64C82"/>
    <w:rsid w:val="00F66839"/>
    <w:rsid w:val="00F72A59"/>
    <w:rsid w:val="00F74E91"/>
    <w:rsid w:val="00F8062B"/>
    <w:rsid w:val="00F808DF"/>
    <w:rsid w:val="00F84CDC"/>
    <w:rsid w:val="00F85722"/>
    <w:rsid w:val="00F95EDC"/>
    <w:rsid w:val="00FA553B"/>
    <w:rsid w:val="00FB783D"/>
    <w:rsid w:val="00FC0F61"/>
    <w:rsid w:val="00FC107A"/>
    <w:rsid w:val="00FC6DF1"/>
    <w:rsid w:val="00FC7C85"/>
    <w:rsid w:val="00FD09FB"/>
    <w:rsid w:val="00FD2BED"/>
    <w:rsid w:val="00FD551D"/>
    <w:rsid w:val="00FD5D83"/>
    <w:rsid w:val="00FD768A"/>
    <w:rsid w:val="00FE00B6"/>
    <w:rsid w:val="00FE354F"/>
    <w:rsid w:val="00FE3B9B"/>
    <w:rsid w:val="00FF0FE2"/>
    <w:rsid w:val="00FF5F96"/>
    <w:rsid w:val="00FF68A1"/>
    <w:rsid w:val="00FF76FD"/>
    <w:rsid w:val="00FF78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Normal (Web)" w:uiPriority="9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rsid w:val="0002760E"/>
    <w:pPr>
      <w:spacing w:before="100" w:after="100"/>
    </w:pPr>
    <w:rPr>
      <w:rFonts w:ascii="Arial" w:hAnsi="Arial"/>
      <w:sz w:val="22"/>
      <w:szCs w:val="24"/>
    </w:rPr>
  </w:style>
  <w:style w:type="paragraph" w:styleId="Heading1">
    <w:name w:val="heading 1"/>
    <w:basedOn w:val="BodyText"/>
    <w:next w:val="BodyText"/>
    <w:semiHidden/>
    <w:locked/>
    <w:rsid w:val="003209E9"/>
    <w:pPr>
      <w:keepNext/>
      <w:spacing w:before="200" w:after="0"/>
      <w:outlineLvl w:val="0"/>
    </w:pPr>
    <w:rPr>
      <w:b/>
      <w:color w:val="3B6E8F"/>
      <w:sz w:val="32"/>
    </w:rPr>
  </w:style>
  <w:style w:type="paragraph" w:styleId="Heading2">
    <w:name w:val="heading 2"/>
    <w:basedOn w:val="BodyText"/>
    <w:next w:val="BodyText"/>
    <w:link w:val="Heading2Char"/>
    <w:qFormat/>
    <w:locked/>
    <w:rsid w:val="000A529D"/>
    <w:pPr>
      <w:keepNext/>
      <w:spacing w:before="200" w:after="0"/>
      <w:outlineLvl w:val="1"/>
    </w:pPr>
    <w:rPr>
      <w:b/>
      <w:color w:val="3B6E8F"/>
      <w:sz w:val="26"/>
    </w:rPr>
  </w:style>
  <w:style w:type="paragraph" w:styleId="Heading3">
    <w:name w:val="heading 3"/>
    <w:basedOn w:val="BodyText"/>
    <w:next w:val="BodyText"/>
    <w:link w:val="Heading3Char"/>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locked/>
    <w:rsid w:val="003209E9"/>
    <w:pPr>
      <w:keepNext/>
      <w:spacing w:before="200" w:after="0"/>
      <w:outlineLvl w:val="3"/>
    </w:pPr>
    <w:rPr>
      <w:i/>
    </w:rPr>
  </w:style>
  <w:style w:type="paragraph" w:styleId="Heading5">
    <w:name w:val="heading 5"/>
    <w:basedOn w:val="Normal"/>
    <w:next w:val="Normal"/>
    <w:semiHidden/>
    <w:locked/>
    <w:rsid w:val="000422F6"/>
    <w:pPr>
      <w:spacing w:before="240" w:after="60"/>
      <w:outlineLvl w:val="4"/>
    </w:pPr>
    <w:rPr>
      <w:b/>
      <w:bCs/>
      <w:i/>
      <w:iCs/>
      <w:sz w:val="26"/>
      <w:szCs w:val="26"/>
    </w:rPr>
  </w:style>
  <w:style w:type="paragraph" w:styleId="Heading6">
    <w:name w:val="heading 6"/>
    <w:basedOn w:val="Normal"/>
    <w:next w:val="Normal"/>
    <w:semiHidden/>
    <w:locked/>
    <w:rsid w:val="000422F6"/>
    <w:pPr>
      <w:spacing w:before="240" w:after="60"/>
      <w:outlineLvl w:val="5"/>
    </w:pPr>
    <w:rPr>
      <w:b/>
      <w:bCs/>
      <w:szCs w:val="22"/>
    </w:rPr>
  </w:style>
  <w:style w:type="paragraph" w:styleId="Heading7">
    <w:name w:val="heading 7"/>
    <w:basedOn w:val="Normal"/>
    <w:next w:val="Normal"/>
    <w:semiHidden/>
    <w:locked/>
    <w:rsid w:val="000422F6"/>
    <w:pPr>
      <w:spacing w:before="240" w:after="60"/>
      <w:outlineLvl w:val="6"/>
    </w:pPr>
  </w:style>
  <w:style w:type="paragraph" w:styleId="Heading8">
    <w:name w:val="heading 8"/>
    <w:basedOn w:val="Normal"/>
    <w:next w:val="Normal"/>
    <w:semiHidden/>
    <w:locked/>
    <w:rsid w:val="000422F6"/>
    <w:pPr>
      <w:spacing w:before="240" w:after="60"/>
      <w:outlineLvl w:val="7"/>
    </w:pPr>
    <w:rPr>
      <w:i/>
      <w:iCs/>
    </w:rPr>
  </w:style>
  <w:style w:type="paragraph" w:styleId="Heading9">
    <w:name w:val="heading 9"/>
    <w:basedOn w:val="Normal"/>
    <w:next w:val="Normal"/>
    <w:semiHidden/>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locked/>
    <w:rsid w:val="00726E42"/>
    <w:pPr>
      <w:spacing w:before="40" w:after="40"/>
    </w:pPr>
    <w:rPr>
      <w:bCs/>
      <w:sz w:val="18"/>
      <w:szCs w:val="20"/>
    </w:rPr>
  </w:style>
  <w:style w:type="paragraph" w:customStyle="1" w:styleId="Heading1TOPSCC">
    <w:name w:val="Heading 1 TOP (SCC)"/>
    <w:basedOn w:val="Heading1SCC"/>
    <w:rsid w:val="000A529D"/>
    <w:pPr>
      <w:pageBreakBefore/>
      <w:spacing w:before="0"/>
    </w:pPr>
  </w:style>
  <w:style w:type="paragraph" w:customStyle="1" w:styleId="Heading2TOPSCC">
    <w:name w:val="Heading 2 TOP (SCC)"/>
    <w:basedOn w:val="Heading2SCC"/>
    <w:rsid w:val="00624B10"/>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customStyle="1" w:styleId="FooterSCC">
    <w:name w:val="Footer (SCC)"/>
    <w:basedOn w:val="Footer"/>
    <w:rsid w:val="001F5094"/>
    <w:pPr>
      <w:tabs>
        <w:tab w:val="clear" w:pos="567"/>
        <w:tab w:val="right" w:pos="9072"/>
        <w:tab w:val="right" w:pos="9639"/>
      </w:tabs>
      <w:jc w:val="right"/>
    </w:pPr>
    <w:rPr>
      <w:color w:val="auto"/>
    </w:rPr>
  </w:style>
  <w:style w:type="paragraph" w:styleId="Footer">
    <w:name w:val="footer"/>
    <w:aliases w:val="even (SCC)"/>
    <w:basedOn w:val="BodyText"/>
    <w:semiHidden/>
    <w:rsid w:val="00D01ED0"/>
    <w:pPr>
      <w:tabs>
        <w:tab w:val="left" w:pos="567"/>
      </w:tabs>
    </w:pPr>
    <w:rPr>
      <w:color w:val="3B6E8F"/>
      <w:sz w:val="18"/>
    </w:rPr>
  </w:style>
  <w:style w:type="paragraph" w:customStyle="1" w:styleId="TableTextSCC">
    <w:name w:val="Table Text (SCC)"/>
    <w:basedOn w:val="BodyText"/>
    <w:qFormat/>
    <w:rsid w:val="00FC0F61"/>
    <w:pPr>
      <w:spacing w:before="40" w:after="40"/>
    </w:pPr>
    <w:rPr>
      <w:sz w:val="20"/>
    </w:rPr>
  </w:style>
  <w:style w:type="paragraph" w:customStyle="1" w:styleId="BodyTextIntroSCC">
    <w:name w:val="Body Text_Intro (SCC)"/>
    <w:basedOn w:val="BodyTextSCC"/>
    <w:qFormat/>
    <w:rsid w:val="00A72F75"/>
    <w:rPr>
      <w:b/>
      <w:bCs/>
      <w:color w:val="00629B" w:themeColor="text1"/>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basedOn w:val="DefaultParagraphFont"/>
    <w:link w:val="TableTextListBullet2SCC"/>
    <w:rsid w:val="00BF5F78"/>
    <w:rPr>
      <w:rFonts w:ascii="Arial" w:hAnsi="Arial"/>
      <w:szCs w:val="24"/>
      <w:lang w:val="en-AU" w:eastAsia="en-AU" w:bidi="ar-SA"/>
    </w:rPr>
  </w:style>
  <w:style w:type="paragraph" w:customStyle="1" w:styleId="SubjectNoCoverSCC">
    <w:name w:val="Subject_No Cover (SCC)"/>
    <w:basedOn w:val="TitleSCC"/>
    <w:rsid w:val="00595421"/>
    <w:pPr>
      <w:spacing w:before="0" w:after="600"/>
      <w:jc w:val="left"/>
    </w:pPr>
    <w:rPr>
      <w:b w:val="0"/>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basedOn w:val="DefaultParagraphFont"/>
    <w:semiHidden/>
    <w:rsid w:val="00DE4BE6"/>
    <w:rPr>
      <w:i/>
      <w:iCs/>
    </w:rPr>
  </w:style>
  <w:style w:type="character" w:customStyle="1" w:styleId="EndnoteTextChar">
    <w:name w:val="Endnote Text Char"/>
    <w:basedOn w:val="DefaultParagraphFont"/>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basedOn w:val="DefaultParagraphFont"/>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basedOn w:val="DefaultParagraphFont"/>
    <w:link w:val="Heading3"/>
    <w:rsid w:val="0002760E"/>
    <w:rPr>
      <w:rFonts w:ascii="Arial" w:hAnsi="Arial"/>
      <w:color w:val="3B6E8F"/>
      <w:sz w:val="24"/>
      <w:szCs w:val="24"/>
    </w:rPr>
  </w:style>
  <w:style w:type="character" w:customStyle="1" w:styleId="Heading3TOPSCCCharChar">
    <w:name w:val="Heading 3 TOP (SCC) Char Char"/>
    <w:basedOn w:val="Heading3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basedOn w:val="DefaultParagraphFont"/>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basedOn w:val="DefaultParagraphFont"/>
    <w:locked/>
    <w:rsid w:val="008140CA"/>
    <w:rPr>
      <w:sz w:val="16"/>
      <w:szCs w:val="16"/>
    </w:rPr>
  </w:style>
  <w:style w:type="paragraph" w:styleId="CommentText">
    <w:name w:val="annotation text"/>
    <w:basedOn w:val="Normal"/>
    <w:link w:val="CommentTextChar"/>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basedOn w:val="DefaultParagraphFont"/>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basedOn w:val="DefaultParagraphFont"/>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basedOn w:val="DefaultParagraphFont"/>
    <w:link w:val="Caption"/>
    <w:semiHidden/>
    <w:rsid w:val="0002760E"/>
    <w:rPr>
      <w:rFonts w:ascii="Arial" w:hAnsi="Arial"/>
      <w:bCs/>
      <w:sz w:val="18"/>
    </w:rPr>
  </w:style>
  <w:style w:type="character" w:styleId="FollowedHyperlink">
    <w:name w:val="FollowedHyperlink"/>
    <w:basedOn w:val="DefaultParagraphFont"/>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basedOn w:val="BodyTextChar"/>
    <w:link w:val="Heading2"/>
    <w:semiHidden/>
    <w:rsid w:val="0002760E"/>
    <w:rPr>
      <w:rFonts w:ascii="Arial" w:hAnsi="Arial"/>
      <w:b/>
      <w:color w:val="3B6E8F"/>
      <w:sz w:val="26"/>
      <w:szCs w:val="24"/>
      <w:lang w:val="en-AU" w:eastAsia="en-AU" w:bidi="ar-SA"/>
    </w:rPr>
  </w:style>
  <w:style w:type="character" w:customStyle="1" w:styleId="Heading4Char">
    <w:name w:val="Heading 4 Char"/>
    <w:basedOn w:val="BodyTextChar"/>
    <w:link w:val="Heading4"/>
    <w:semiHidden/>
    <w:rsid w:val="0002760E"/>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basedOn w:val="DefaultParagraphFont"/>
    <w:semiHidden/>
    <w:locked/>
    <w:rsid w:val="00837158"/>
    <w:rPr>
      <w:i/>
      <w:iCs/>
    </w:rPr>
  </w:style>
  <w:style w:type="character" w:styleId="HTMLCode">
    <w:name w:val="HTML Code"/>
    <w:basedOn w:val="DefaultParagraphFont"/>
    <w:semiHidden/>
    <w:locked/>
    <w:rsid w:val="00837158"/>
    <w:rPr>
      <w:rFonts w:ascii="Courier New" w:hAnsi="Courier New" w:cs="Courier New"/>
      <w:sz w:val="20"/>
      <w:szCs w:val="20"/>
    </w:rPr>
  </w:style>
  <w:style w:type="character" w:styleId="HTMLDefinition">
    <w:name w:val="HTML Definition"/>
    <w:basedOn w:val="DefaultParagraphFont"/>
    <w:semiHidden/>
    <w:locked/>
    <w:rsid w:val="00837158"/>
    <w:rPr>
      <w:i/>
      <w:iCs/>
    </w:rPr>
  </w:style>
  <w:style w:type="character" w:styleId="HTMLKeyboard">
    <w:name w:val="HTML Keyboard"/>
    <w:basedOn w:val="DefaultParagraphFont"/>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basedOn w:val="DefaultParagraphFont"/>
    <w:semiHidden/>
    <w:locked/>
    <w:rsid w:val="00837158"/>
    <w:rPr>
      <w:rFonts w:ascii="Courier New" w:hAnsi="Courier New" w:cs="Courier New"/>
    </w:rPr>
  </w:style>
  <w:style w:type="character" w:styleId="HTMLTypewriter">
    <w:name w:val="HTML Typewriter"/>
    <w:basedOn w:val="DefaultParagraphFont"/>
    <w:semiHidden/>
    <w:locked/>
    <w:rsid w:val="00837158"/>
    <w:rPr>
      <w:rFonts w:ascii="Courier New" w:hAnsi="Courier New" w:cs="Courier New"/>
      <w:sz w:val="20"/>
      <w:szCs w:val="20"/>
    </w:rPr>
  </w:style>
  <w:style w:type="character" w:styleId="HTMLVariable">
    <w:name w:val="HTML Variable"/>
    <w:basedOn w:val="DefaultParagraphFont"/>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basedOn w:val="DefaultParagraphFont"/>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basedOn w:val="DefaultParagraphFont"/>
    <w:semiHidden/>
    <w:rsid w:val="00E0554D"/>
    <w:rPr>
      <w:b/>
      <w:bCs/>
    </w:rPr>
  </w:style>
  <w:style w:type="paragraph" w:styleId="Subtitle">
    <w:name w:val="Subtitle"/>
    <w:basedOn w:val="Normal"/>
    <w:semiHidden/>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basedOn w:val="BodyTextChar"/>
    <w:link w:val="TOC1"/>
    <w:rsid w:val="00EA1AFC"/>
    <w:rPr>
      <w:rFonts w:ascii="Arial" w:hAnsi="Arial"/>
      <w:b/>
      <w:sz w:val="22"/>
      <w:szCs w:val="24"/>
      <w:lang w:val="en-AU" w:eastAsia="en-AU" w:bidi="ar-SA"/>
    </w:rPr>
  </w:style>
  <w:style w:type="table" w:customStyle="1" w:styleId="TableStyle1SCCReversedHeader">
    <w:name w:val="Table Style 1 (SCC) Reversed Header"/>
    <w:basedOn w:val="TableNormal"/>
    <w:rsid w:val="00A72F75"/>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00629B" w:themeFill="text1"/>
      </w:tcPr>
    </w:tblStylePr>
  </w:style>
  <w:style w:type="table" w:customStyle="1" w:styleId="TableStyle2SCCLeftColumnPullout">
    <w:name w:val="Table Style 2 (SCC) Left Column/Pullout"/>
    <w:basedOn w:val="TableNormal"/>
    <w:rsid w:val="00A72F75"/>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F2F2F2" w:themeFill="background1" w:themeFillShade="F2"/>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qFormat/>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link w:val="BodyTextSCCChar"/>
    <w:uiPriority w:val="99"/>
    <w:qFormat/>
    <w:rsid w:val="00517728"/>
    <w:pPr>
      <w:spacing w:before="100" w:after="100"/>
    </w:pPr>
    <w:rPr>
      <w:rFonts w:ascii="Arial" w:hAnsi="Arial"/>
      <w:sz w:val="22"/>
      <w:szCs w:val="24"/>
    </w:rPr>
  </w:style>
  <w:style w:type="paragraph" w:customStyle="1" w:styleId="Heading1SCC">
    <w:name w:val="Heading 1 (SCC)"/>
    <w:qFormat/>
    <w:rsid w:val="00A72F75"/>
    <w:pPr>
      <w:keepNext/>
      <w:spacing w:before="200"/>
    </w:pPr>
    <w:rPr>
      <w:rFonts w:ascii="Arial" w:hAnsi="Arial"/>
      <w:b/>
      <w:color w:val="00629B" w:themeColor="text1"/>
      <w:sz w:val="32"/>
      <w:szCs w:val="24"/>
    </w:rPr>
  </w:style>
  <w:style w:type="paragraph" w:customStyle="1" w:styleId="Heading2SCC">
    <w:name w:val="Heading 2 (SCC)"/>
    <w:qFormat/>
    <w:rsid w:val="00A72F75"/>
    <w:pPr>
      <w:keepNext/>
      <w:spacing w:before="200"/>
    </w:pPr>
    <w:rPr>
      <w:rFonts w:ascii="Arial" w:hAnsi="Arial"/>
      <w:b/>
      <w:color w:val="00629B" w:themeColor="text1"/>
      <w:sz w:val="26"/>
      <w:szCs w:val="24"/>
    </w:rPr>
  </w:style>
  <w:style w:type="paragraph" w:customStyle="1" w:styleId="Heading3SCC">
    <w:name w:val="Heading 3 (SCC)"/>
    <w:qFormat/>
    <w:rsid w:val="00A72F75"/>
    <w:pPr>
      <w:keepNext/>
      <w:spacing w:before="200"/>
    </w:pPr>
    <w:rPr>
      <w:rFonts w:ascii="Arial" w:hAnsi="Arial"/>
      <w:color w:val="00629B" w:themeColor="text1"/>
      <w:sz w:val="24"/>
      <w:szCs w:val="24"/>
    </w:rPr>
  </w:style>
  <w:style w:type="paragraph" w:customStyle="1" w:styleId="Heading4SCC">
    <w:name w:val="Heading 4 (SCC)"/>
    <w:qFormat/>
    <w:rsid w:val="0084687C"/>
    <w:pPr>
      <w:keepNext/>
      <w:spacing w:before="200"/>
    </w:pPr>
    <w:rPr>
      <w:rFonts w:ascii="Arial" w:hAnsi="Arial"/>
      <w:i/>
      <w:sz w:val="22"/>
      <w:szCs w:val="24"/>
    </w:rPr>
  </w:style>
  <w:style w:type="paragraph" w:customStyle="1" w:styleId="ListNumberSCC">
    <w:name w:val="List Number (SCC)"/>
    <w:rsid w:val="00EC134D"/>
    <w:pPr>
      <w:numPr>
        <w:numId w:val="23"/>
      </w:numPr>
      <w:spacing w:after="100"/>
    </w:pPr>
    <w:rPr>
      <w:rFonts w:ascii="Arial" w:hAnsi="Arial"/>
      <w:sz w:val="22"/>
      <w:szCs w:val="24"/>
    </w:rPr>
  </w:style>
  <w:style w:type="paragraph" w:customStyle="1" w:styleId="TitleNoCoverSCC">
    <w:name w:val="Title_No Cover (SCC)"/>
    <w:basedOn w:val="TitleSCC"/>
    <w:rsid w:val="00595421"/>
    <w:pPr>
      <w:spacing w:before="0"/>
      <w:jc w:val="left"/>
    </w:pPr>
    <w:rPr>
      <w:color w:val="FFFFFF" w:themeColor="background1"/>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rsid w:val="00EC134D"/>
    <w:pPr>
      <w:numPr>
        <w:numId w:val="21"/>
      </w:numPr>
      <w:spacing w:after="100"/>
    </w:pPr>
    <w:rPr>
      <w:rFonts w:ascii="Arial" w:hAnsi="Arial"/>
      <w:sz w:val="22"/>
      <w:szCs w:val="24"/>
    </w:rPr>
  </w:style>
  <w:style w:type="paragraph" w:customStyle="1" w:styleId="ListBullet2SCC">
    <w:name w:val="List Bullet 2 (SCC)"/>
    <w:rsid w:val="00EC134D"/>
    <w:pPr>
      <w:numPr>
        <w:numId w:val="22"/>
      </w:numPr>
      <w:spacing w:after="100"/>
    </w:pPr>
    <w:rPr>
      <w:rFonts w:ascii="Arial" w:hAnsi="Arial"/>
      <w:sz w:val="22"/>
      <w:szCs w:val="24"/>
    </w:rPr>
  </w:style>
  <w:style w:type="paragraph" w:customStyle="1" w:styleId="ListNumber2SCC">
    <w:name w:val="List Number 2 (SCC)"/>
    <w:rsid w:val="00AD7997"/>
    <w:pPr>
      <w:numPr>
        <w:numId w:val="24"/>
      </w:numPr>
      <w:spacing w:after="100"/>
    </w:pPr>
    <w:rPr>
      <w:rFonts w:ascii="Arial" w:hAnsi="Arial"/>
      <w:sz w:val="22"/>
      <w:szCs w:val="24"/>
    </w:rPr>
  </w:style>
  <w:style w:type="character" w:customStyle="1" w:styleId="FootnoteReferenceSCC">
    <w:name w:val="Footnote Reference (SCC)"/>
    <w:basedOn w:val="DefaultParagraphFont"/>
    <w:rsid w:val="00B517C2"/>
    <w:rPr>
      <w:vertAlign w:val="superscript"/>
    </w:rPr>
  </w:style>
  <w:style w:type="paragraph" w:customStyle="1" w:styleId="FootnoteTextSCC">
    <w:name w:val="Footnote Text (SCC)"/>
    <w:basedOn w:val="CaptionSCC"/>
    <w:rsid w:val="00F55551"/>
  </w:style>
  <w:style w:type="paragraph" w:customStyle="1" w:styleId="Summarybullets">
    <w:name w:val="Summary bullets"/>
    <w:basedOn w:val="Normal"/>
    <w:rsid w:val="00A04970"/>
    <w:pPr>
      <w:tabs>
        <w:tab w:val="num" w:pos="360"/>
      </w:tabs>
      <w:spacing w:before="0" w:after="200"/>
      <w:ind w:left="360" w:hanging="360"/>
      <w:jc w:val="both"/>
    </w:pPr>
    <w:rPr>
      <w:sz w:val="20"/>
    </w:rPr>
  </w:style>
  <w:style w:type="paragraph" w:customStyle="1" w:styleId="Mainbullets">
    <w:name w:val="Main bullets"/>
    <w:basedOn w:val="Normal"/>
    <w:rsid w:val="001B5E5A"/>
    <w:pPr>
      <w:tabs>
        <w:tab w:val="num" w:pos="643"/>
      </w:tabs>
      <w:spacing w:before="0" w:after="200"/>
      <w:ind w:left="643" w:hanging="360"/>
      <w:jc w:val="both"/>
    </w:pPr>
    <w:rPr>
      <w:sz w:val="20"/>
    </w:rPr>
  </w:style>
  <w:style w:type="character" w:customStyle="1" w:styleId="BodyTextSCCChar">
    <w:name w:val="Body Text (SCC) Char"/>
    <w:link w:val="BodyTextSCC"/>
    <w:uiPriority w:val="99"/>
    <w:locked/>
    <w:rsid w:val="001B5E5A"/>
    <w:rPr>
      <w:rFonts w:ascii="Arial" w:hAnsi="Arial"/>
      <w:sz w:val="22"/>
      <w:szCs w:val="24"/>
    </w:rPr>
  </w:style>
  <w:style w:type="character" w:customStyle="1" w:styleId="CommentTextChar">
    <w:name w:val="Comment Text Char"/>
    <w:link w:val="CommentText"/>
    <w:rsid w:val="001B5E5A"/>
    <w:rPr>
      <w:rFonts w:ascii="Arial" w:hAnsi="Arial"/>
    </w:rPr>
  </w:style>
  <w:style w:type="paragraph" w:styleId="ListParagraph">
    <w:name w:val="List Paragraph"/>
    <w:basedOn w:val="Normal"/>
    <w:uiPriority w:val="34"/>
    <w:semiHidden/>
    <w:rsid w:val="00216D40"/>
    <w:pPr>
      <w:ind w:left="720"/>
      <w:contextualSpacing/>
    </w:pPr>
  </w:style>
  <w:style w:type="paragraph" w:customStyle="1" w:styleId="Default">
    <w:name w:val="Default"/>
    <w:rsid w:val="00430088"/>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C0841"/>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2" w:qFormat="1"/>
    <w:lsdException w:name="heading 3" w:qFormat="1"/>
    <w:lsdException w:name="Normal (Web)" w:uiPriority="9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rsid w:val="0002760E"/>
    <w:pPr>
      <w:spacing w:before="100" w:after="100"/>
    </w:pPr>
    <w:rPr>
      <w:rFonts w:ascii="Arial" w:hAnsi="Arial"/>
      <w:sz w:val="22"/>
      <w:szCs w:val="24"/>
    </w:rPr>
  </w:style>
  <w:style w:type="paragraph" w:styleId="Heading1">
    <w:name w:val="heading 1"/>
    <w:basedOn w:val="BodyText"/>
    <w:next w:val="BodyText"/>
    <w:semiHidden/>
    <w:locked/>
    <w:rsid w:val="003209E9"/>
    <w:pPr>
      <w:keepNext/>
      <w:spacing w:before="200" w:after="0"/>
      <w:outlineLvl w:val="0"/>
    </w:pPr>
    <w:rPr>
      <w:b/>
      <w:color w:val="3B6E8F"/>
      <w:sz w:val="32"/>
    </w:rPr>
  </w:style>
  <w:style w:type="paragraph" w:styleId="Heading2">
    <w:name w:val="heading 2"/>
    <w:basedOn w:val="BodyText"/>
    <w:next w:val="BodyText"/>
    <w:link w:val="Heading2Char"/>
    <w:qFormat/>
    <w:locked/>
    <w:rsid w:val="000A529D"/>
    <w:pPr>
      <w:keepNext/>
      <w:spacing w:before="200" w:after="0"/>
      <w:outlineLvl w:val="1"/>
    </w:pPr>
    <w:rPr>
      <w:b/>
      <w:color w:val="3B6E8F"/>
      <w:sz w:val="26"/>
    </w:rPr>
  </w:style>
  <w:style w:type="paragraph" w:styleId="Heading3">
    <w:name w:val="heading 3"/>
    <w:basedOn w:val="BodyText"/>
    <w:next w:val="BodyText"/>
    <w:link w:val="Heading3Char"/>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locked/>
    <w:rsid w:val="003209E9"/>
    <w:pPr>
      <w:keepNext/>
      <w:spacing w:before="200" w:after="0"/>
      <w:outlineLvl w:val="3"/>
    </w:pPr>
    <w:rPr>
      <w:i/>
    </w:rPr>
  </w:style>
  <w:style w:type="paragraph" w:styleId="Heading5">
    <w:name w:val="heading 5"/>
    <w:basedOn w:val="Normal"/>
    <w:next w:val="Normal"/>
    <w:semiHidden/>
    <w:locked/>
    <w:rsid w:val="000422F6"/>
    <w:pPr>
      <w:spacing w:before="240" w:after="60"/>
      <w:outlineLvl w:val="4"/>
    </w:pPr>
    <w:rPr>
      <w:b/>
      <w:bCs/>
      <w:i/>
      <w:iCs/>
      <w:sz w:val="26"/>
      <w:szCs w:val="26"/>
    </w:rPr>
  </w:style>
  <w:style w:type="paragraph" w:styleId="Heading6">
    <w:name w:val="heading 6"/>
    <w:basedOn w:val="Normal"/>
    <w:next w:val="Normal"/>
    <w:semiHidden/>
    <w:locked/>
    <w:rsid w:val="000422F6"/>
    <w:pPr>
      <w:spacing w:before="240" w:after="60"/>
      <w:outlineLvl w:val="5"/>
    </w:pPr>
    <w:rPr>
      <w:b/>
      <w:bCs/>
      <w:szCs w:val="22"/>
    </w:rPr>
  </w:style>
  <w:style w:type="paragraph" w:styleId="Heading7">
    <w:name w:val="heading 7"/>
    <w:basedOn w:val="Normal"/>
    <w:next w:val="Normal"/>
    <w:semiHidden/>
    <w:locked/>
    <w:rsid w:val="000422F6"/>
    <w:pPr>
      <w:spacing w:before="240" w:after="60"/>
      <w:outlineLvl w:val="6"/>
    </w:pPr>
  </w:style>
  <w:style w:type="paragraph" w:styleId="Heading8">
    <w:name w:val="heading 8"/>
    <w:basedOn w:val="Normal"/>
    <w:next w:val="Normal"/>
    <w:semiHidden/>
    <w:locked/>
    <w:rsid w:val="000422F6"/>
    <w:pPr>
      <w:spacing w:before="240" w:after="60"/>
      <w:outlineLvl w:val="7"/>
    </w:pPr>
    <w:rPr>
      <w:i/>
      <w:iCs/>
    </w:rPr>
  </w:style>
  <w:style w:type="paragraph" w:styleId="Heading9">
    <w:name w:val="heading 9"/>
    <w:basedOn w:val="Normal"/>
    <w:next w:val="Normal"/>
    <w:semiHidden/>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locked/>
    <w:rsid w:val="00726E42"/>
    <w:pPr>
      <w:spacing w:before="40" w:after="40"/>
    </w:pPr>
    <w:rPr>
      <w:bCs/>
      <w:sz w:val="18"/>
      <w:szCs w:val="20"/>
    </w:rPr>
  </w:style>
  <w:style w:type="paragraph" w:customStyle="1" w:styleId="Heading1TOPSCC">
    <w:name w:val="Heading 1 TOP (SCC)"/>
    <w:basedOn w:val="Heading1SCC"/>
    <w:rsid w:val="000A529D"/>
    <w:pPr>
      <w:pageBreakBefore/>
      <w:spacing w:before="0"/>
    </w:pPr>
  </w:style>
  <w:style w:type="paragraph" w:customStyle="1" w:styleId="Heading2TOPSCC">
    <w:name w:val="Heading 2 TOP (SCC)"/>
    <w:basedOn w:val="Heading2SCC"/>
    <w:rsid w:val="00624B10"/>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customStyle="1" w:styleId="FooterSCC">
    <w:name w:val="Footer (SCC)"/>
    <w:basedOn w:val="Footer"/>
    <w:rsid w:val="001F5094"/>
    <w:pPr>
      <w:tabs>
        <w:tab w:val="clear" w:pos="567"/>
        <w:tab w:val="right" w:pos="9072"/>
        <w:tab w:val="right" w:pos="9639"/>
      </w:tabs>
      <w:jc w:val="right"/>
    </w:pPr>
    <w:rPr>
      <w:color w:val="auto"/>
    </w:rPr>
  </w:style>
  <w:style w:type="paragraph" w:styleId="Footer">
    <w:name w:val="footer"/>
    <w:aliases w:val="even (SCC)"/>
    <w:basedOn w:val="BodyText"/>
    <w:semiHidden/>
    <w:rsid w:val="00D01ED0"/>
    <w:pPr>
      <w:tabs>
        <w:tab w:val="left" w:pos="567"/>
      </w:tabs>
    </w:pPr>
    <w:rPr>
      <w:color w:val="3B6E8F"/>
      <w:sz w:val="18"/>
    </w:rPr>
  </w:style>
  <w:style w:type="paragraph" w:customStyle="1" w:styleId="TableTextSCC">
    <w:name w:val="Table Text (SCC)"/>
    <w:basedOn w:val="BodyText"/>
    <w:qFormat/>
    <w:rsid w:val="00FC0F61"/>
    <w:pPr>
      <w:spacing w:before="40" w:after="40"/>
    </w:pPr>
    <w:rPr>
      <w:sz w:val="20"/>
    </w:rPr>
  </w:style>
  <w:style w:type="paragraph" w:customStyle="1" w:styleId="BodyTextIntroSCC">
    <w:name w:val="Body Text_Intro (SCC)"/>
    <w:basedOn w:val="BodyTextSCC"/>
    <w:qFormat/>
    <w:rsid w:val="00A72F75"/>
    <w:rPr>
      <w:b/>
      <w:bCs/>
      <w:color w:val="00629B" w:themeColor="text1"/>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basedOn w:val="DefaultParagraphFont"/>
    <w:link w:val="TableTextListBullet2SCC"/>
    <w:rsid w:val="00BF5F78"/>
    <w:rPr>
      <w:rFonts w:ascii="Arial" w:hAnsi="Arial"/>
      <w:szCs w:val="24"/>
      <w:lang w:val="en-AU" w:eastAsia="en-AU" w:bidi="ar-SA"/>
    </w:rPr>
  </w:style>
  <w:style w:type="paragraph" w:customStyle="1" w:styleId="SubjectNoCoverSCC">
    <w:name w:val="Subject_No Cover (SCC)"/>
    <w:basedOn w:val="TitleSCC"/>
    <w:rsid w:val="00595421"/>
    <w:pPr>
      <w:spacing w:before="0" w:after="600"/>
      <w:jc w:val="left"/>
    </w:pPr>
    <w:rPr>
      <w:b w:val="0"/>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basedOn w:val="DefaultParagraphFont"/>
    <w:semiHidden/>
    <w:rsid w:val="00DE4BE6"/>
    <w:rPr>
      <w:i/>
      <w:iCs/>
    </w:rPr>
  </w:style>
  <w:style w:type="character" w:customStyle="1" w:styleId="EndnoteTextChar">
    <w:name w:val="Endnote Text Char"/>
    <w:basedOn w:val="DefaultParagraphFont"/>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basedOn w:val="DefaultParagraphFont"/>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basedOn w:val="DefaultParagraphFont"/>
    <w:link w:val="Heading3"/>
    <w:rsid w:val="0002760E"/>
    <w:rPr>
      <w:rFonts w:ascii="Arial" w:hAnsi="Arial"/>
      <w:color w:val="3B6E8F"/>
      <w:sz w:val="24"/>
      <w:szCs w:val="24"/>
    </w:rPr>
  </w:style>
  <w:style w:type="character" w:customStyle="1" w:styleId="Heading3TOPSCCCharChar">
    <w:name w:val="Heading 3 TOP (SCC) Char Char"/>
    <w:basedOn w:val="Heading3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basedOn w:val="DefaultParagraphFont"/>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basedOn w:val="DefaultParagraphFont"/>
    <w:locked/>
    <w:rsid w:val="008140CA"/>
    <w:rPr>
      <w:sz w:val="16"/>
      <w:szCs w:val="16"/>
    </w:rPr>
  </w:style>
  <w:style w:type="paragraph" w:styleId="CommentText">
    <w:name w:val="annotation text"/>
    <w:basedOn w:val="Normal"/>
    <w:link w:val="CommentTextChar"/>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basedOn w:val="DefaultParagraphFont"/>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basedOn w:val="DefaultParagraphFont"/>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basedOn w:val="DefaultParagraphFont"/>
    <w:link w:val="Caption"/>
    <w:semiHidden/>
    <w:rsid w:val="0002760E"/>
    <w:rPr>
      <w:rFonts w:ascii="Arial" w:hAnsi="Arial"/>
      <w:bCs/>
      <w:sz w:val="18"/>
    </w:rPr>
  </w:style>
  <w:style w:type="character" w:styleId="FollowedHyperlink">
    <w:name w:val="FollowedHyperlink"/>
    <w:basedOn w:val="DefaultParagraphFont"/>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basedOn w:val="BodyTextChar"/>
    <w:link w:val="Heading2"/>
    <w:semiHidden/>
    <w:rsid w:val="0002760E"/>
    <w:rPr>
      <w:rFonts w:ascii="Arial" w:hAnsi="Arial"/>
      <w:b/>
      <w:color w:val="3B6E8F"/>
      <w:sz w:val="26"/>
      <w:szCs w:val="24"/>
      <w:lang w:val="en-AU" w:eastAsia="en-AU" w:bidi="ar-SA"/>
    </w:rPr>
  </w:style>
  <w:style w:type="character" w:customStyle="1" w:styleId="Heading4Char">
    <w:name w:val="Heading 4 Char"/>
    <w:basedOn w:val="BodyTextChar"/>
    <w:link w:val="Heading4"/>
    <w:semiHidden/>
    <w:rsid w:val="0002760E"/>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basedOn w:val="DefaultParagraphFont"/>
    <w:semiHidden/>
    <w:locked/>
    <w:rsid w:val="00837158"/>
    <w:rPr>
      <w:i/>
      <w:iCs/>
    </w:rPr>
  </w:style>
  <w:style w:type="character" w:styleId="HTMLCode">
    <w:name w:val="HTML Code"/>
    <w:basedOn w:val="DefaultParagraphFont"/>
    <w:semiHidden/>
    <w:locked/>
    <w:rsid w:val="00837158"/>
    <w:rPr>
      <w:rFonts w:ascii="Courier New" w:hAnsi="Courier New" w:cs="Courier New"/>
      <w:sz w:val="20"/>
      <w:szCs w:val="20"/>
    </w:rPr>
  </w:style>
  <w:style w:type="character" w:styleId="HTMLDefinition">
    <w:name w:val="HTML Definition"/>
    <w:basedOn w:val="DefaultParagraphFont"/>
    <w:semiHidden/>
    <w:locked/>
    <w:rsid w:val="00837158"/>
    <w:rPr>
      <w:i/>
      <w:iCs/>
    </w:rPr>
  </w:style>
  <w:style w:type="character" w:styleId="HTMLKeyboard">
    <w:name w:val="HTML Keyboard"/>
    <w:basedOn w:val="DefaultParagraphFont"/>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basedOn w:val="DefaultParagraphFont"/>
    <w:semiHidden/>
    <w:locked/>
    <w:rsid w:val="00837158"/>
    <w:rPr>
      <w:rFonts w:ascii="Courier New" w:hAnsi="Courier New" w:cs="Courier New"/>
    </w:rPr>
  </w:style>
  <w:style w:type="character" w:styleId="HTMLTypewriter">
    <w:name w:val="HTML Typewriter"/>
    <w:basedOn w:val="DefaultParagraphFont"/>
    <w:semiHidden/>
    <w:locked/>
    <w:rsid w:val="00837158"/>
    <w:rPr>
      <w:rFonts w:ascii="Courier New" w:hAnsi="Courier New" w:cs="Courier New"/>
      <w:sz w:val="20"/>
      <w:szCs w:val="20"/>
    </w:rPr>
  </w:style>
  <w:style w:type="character" w:styleId="HTMLVariable">
    <w:name w:val="HTML Variable"/>
    <w:basedOn w:val="DefaultParagraphFont"/>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basedOn w:val="DefaultParagraphFont"/>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basedOn w:val="DefaultParagraphFont"/>
    <w:semiHidden/>
    <w:rsid w:val="00E0554D"/>
    <w:rPr>
      <w:b/>
      <w:bCs/>
    </w:rPr>
  </w:style>
  <w:style w:type="paragraph" w:styleId="Subtitle">
    <w:name w:val="Subtitle"/>
    <w:basedOn w:val="Normal"/>
    <w:semiHidden/>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basedOn w:val="BodyTextChar"/>
    <w:link w:val="TOC1"/>
    <w:rsid w:val="00EA1AFC"/>
    <w:rPr>
      <w:rFonts w:ascii="Arial" w:hAnsi="Arial"/>
      <w:b/>
      <w:sz w:val="22"/>
      <w:szCs w:val="24"/>
      <w:lang w:val="en-AU" w:eastAsia="en-AU" w:bidi="ar-SA"/>
    </w:rPr>
  </w:style>
  <w:style w:type="table" w:customStyle="1" w:styleId="TableStyle1SCCReversedHeader">
    <w:name w:val="Table Style 1 (SCC) Reversed Header"/>
    <w:basedOn w:val="TableNormal"/>
    <w:rsid w:val="00A72F75"/>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00629B" w:themeFill="text1"/>
      </w:tcPr>
    </w:tblStylePr>
  </w:style>
  <w:style w:type="table" w:customStyle="1" w:styleId="TableStyle2SCCLeftColumnPullout">
    <w:name w:val="Table Style 2 (SCC) Left Column/Pullout"/>
    <w:basedOn w:val="TableNormal"/>
    <w:rsid w:val="00A72F75"/>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F2F2F2" w:themeFill="background1" w:themeFillShade="F2"/>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qFormat/>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link w:val="BodyTextSCCChar"/>
    <w:uiPriority w:val="99"/>
    <w:qFormat/>
    <w:rsid w:val="00517728"/>
    <w:pPr>
      <w:spacing w:before="100" w:after="100"/>
    </w:pPr>
    <w:rPr>
      <w:rFonts w:ascii="Arial" w:hAnsi="Arial"/>
      <w:sz w:val="22"/>
      <w:szCs w:val="24"/>
    </w:rPr>
  </w:style>
  <w:style w:type="paragraph" w:customStyle="1" w:styleId="Heading1SCC">
    <w:name w:val="Heading 1 (SCC)"/>
    <w:qFormat/>
    <w:rsid w:val="00A72F75"/>
    <w:pPr>
      <w:keepNext/>
      <w:spacing w:before="200"/>
    </w:pPr>
    <w:rPr>
      <w:rFonts w:ascii="Arial" w:hAnsi="Arial"/>
      <w:b/>
      <w:color w:val="00629B" w:themeColor="text1"/>
      <w:sz w:val="32"/>
      <w:szCs w:val="24"/>
    </w:rPr>
  </w:style>
  <w:style w:type="paragraph" w:customStyle="1" w:styleId="Heading2SCC">
    <w:name w:val="Heading 2 (SCC)"/>
    <w:qFormat/>
    <w:rsid w:val="00A72F75"/>
    <w:pPr>
      <w:keepNext/>
      <w:spacing w:before="200"/>
    </w:pPr>
    <w:rPr>
      <w:rFonts w:ascii="Arial" w:hAnsi="Arial"/>
      <w:b/>
      <w:color w:val="00629B" w:themeColor="text1"/>
      <w:sz w:val="26"/>
      <w:szCs w:val="24"/>
    </w:rPr>
  </w:style>
  <w:style w:type="paragraph" w:customStyle="1" w:styleId="Heading3SCC">
    <w:name w:val="Heading 3 (SCC)"/>
    <w:qFormat/>
    <w:rsid w:val="00A72F75"/>
    <w:pPr>
      <w:keepNext/>
      <w:spacing w:before="200"/>
    </w:pPr>
    <w:rPr>
      <w:rFonts w:ascii="Arial" w:hAnsi="Arial"/>
      <w:color w:val="00629B" w:themeColor="text1"/>
      <w:sz w:val="24"/>
      <w:szCs w:val="24"/>
    </w:rPr>
  </w:style>
  <w:style w:type="paragraph" w:customStyle="1" w:styleId="Heading4SCC">
    <w:name w:val="Heading 4 (SCC)"/>
    <w:qFormat/>
    <w:rsid w:val="0084687C"/>
    <w:pPr>
      <w:keepNext/>
      <w:spacing w:before="200"/>
    </w:pPr>
    <w:rPr>
      <w:rFonts w:ascii="Arial" w:hAnsi="Arial"/>
      <w:i/>
      <w:sz w:val="22"/>
      <w:szCs w:val="24"/>
    </w:rPr>
  </w:style>
  <w:style w:type="paragraph" w:customStyle="1" w:styleId="ListNumberSCC">
    <w:name w:val="List Number (SCC)"/>
    <w:rsid w:val="00EC134D"/>
    <w:pPr>
      <w:numPr>
        <w:numId w:val="23"/>
      </w:numPr>
      <w:spacing w:after="100"/>
    </w:pPr>
    <w:rPr>
      <w:rFonts w:ascii="Arial" w:hAnsi="Arial"/>
      <w:sz w:val="22"/>
      <w:szCs w:val="24"/>
    </w:rPr>
  </w:style>
  <w:style w:type="paragraph" w:customStyle="1" w:styleId="TitleNoCoverSCC">
    <w:name w:val="Title_No Cover (SCC)"/>
    <w:basedOn w:val="TitleSCC"/>
    <w:rsid w:val="00595421"/>
    <w:pPr>
      <w:spacing w:before="0"/>
      <w:jc w:val="left"/>
    </w:pPr>
    <w:rPr>
      <w:color w:val="FFFFFF" w:themeColor="background1"/>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rsid w:val="00EC134D"/>
    <w:pPr>
      <w:numPr>
        <w:numId w:val="21"/>
      </w:numPr>
      <w:spacing w:after="100"/>
    </w:pPr>
    <w:rPr>
      <w:rFonts w:ascii="Arial" w:hAnsi="Arial"/>
      <w:sz w:val="22"/>
      <w:szCs w:val="24"/>
    </w:rPr>
  </w:style>
  <w:style w:type="paragraph" w:customStyle="1" w:styleId="ListBullet2SCC">
    <w:name w:val="List Bullet 2 (SCC)"/>
    <w:rsid w:val="00EC134D"/>
    <w:pPr>
      <w:numPr>
        <w:numId w:val="22"/>
      </w:numPr>
      <w:spacing w:after="100"/>
    </w:pPr>
    <w:rPr>
      <w:rFonts w:ascii="Arial" w:hAnsi="Arial"/>
      <w:sz w:val="22"/>
      <w:szCs w:val="24"/>
    </w:rPr>
  </w:style>
  <w:style w:type="paragraph" w:customStyle="1" w:styleId="ListNumber2SCC">
    <w:name w:val="List Number 2 (SCC)"/>
    <w:rsid w:val="00AD7997"/>
    <w:pPr>
      <w:numPr>
        <w:numId w:val="24"/>
      </w:numPr>
      <w:spacing w:after="100"/>
    </w:pPr>
    <w:rPr>
      <w:rFonts w:ascii="Arial" w:hAnsi="Arial"/>
      <w:sz w:val="22"/>
      <w:szCs w:val="24"/>
    </w:rPr>
  </w:style>
  <w:style w:type="character" w:customStyle="1" w:styleId="FootnoteReferenceSCC">
    <w:name w:val="Footnote Reference (SCC)"/>
    <w:basedOn w:val="DefaultParagraphFont"/>
    <w:rsid w:val="00B517C2"/>
    <w:rPr>
      <w:vertAlign w:val="superscript"/>
    </w:rPr>
  </w:style>
  <w:style w:type="paragraph" w:customStyle="1" w:styleId="FootnoteTextSCC">
    <w:name w:val="Footnote Text (SCC)"/>
    <w:basedOn w:val="CaptionSCC"/>
    <w:rsid w:val="00F55551"/>
  </w:style>
  <w:style w:type="paragraph" w:customStyle="1" w:styleId="Summarybullets">
    <w:name w:val="Summary bullets"/>
    <w:basedOn w:val="Normal"/>
    <w:rsid w:val="00A04970"/>
    <w:pPr>
      <w:tabs>
        <w:tab w:val="num" w:pos="360"/>
      </w:tabs>
      <w:spacing w:before="0" w:after="200"/>
      <w:ind w:left="360" w:hanging="360"/>
      <w:jc w:val="both"/>
    </w:pPr>
    <w:rPr>
      <w:sz w:val="20"/>
    </w:rPr>
  </w:style>
  <w:style w:type="paragraph" w:customStyle="1" w:styleId="Mainbullets">
    <w:name w:val="Main bullets"/>
    <w:basedOn w:val="Normal"/>
    <w:rsid w:val="001B5E5A"/>
    <w:pPr>
      <w:tabs>
        <w:tab w:val="num" w:pos="643"/>
      </w:tabs>
      <w:spacing w:before="0" w:after="200"/>
      <w:ind w:left="643" w:hanging="360"/>
      <w:jc w:val="both"/>
    </w:pPr>
    <w:rPr>
      <w:sz w:val="20"/>
    </w:rPr>
  </w:style>
  <w:style w:type="character" w:customStyle="1" w:styleId="BodyTextSCCChar">
    <w:name w:val="Body Text (SCC) Char"/>
    <w:link w:val="BodyTextSCC"/>
    <w:uiPriority w:val="99"/>
    <w:locked/>
    <w:rsid w:val="001B5E5A"/>
    <w:rPr>
      <w:rFonts w:ascii="Arial" w:hAnsi="Arial"/>
      <w:sz w:val="22"/>
      <w:szCs w:val="24"/>
    </w:rPr>
  </w:style>
  <w:style w:type="character" w:customStyle="1" w:styleId="CommentTextChar">
    <w:name w:val="Comment Text Char"/>
    <w:link w:val="CommentText"/>
    <w:rsid w:val="001B5E5A"/>
    <w:rPr>
      <w:rFonts w:ascii="Arial" w:hAnsi="Arial"/>
    </w:rPr>
  </w:style>
  <w:style w:type="paragraph" w:styleId="ListParagraph">
    <w:name w:val="List Paragraph"/>
    <w:basedOn w:val="Normal"/>
    <w:uiPriority w:val="34"/>
    <w:semiHidden/>
    <w:rsid w:val="00216D40"/>
    <w:pPr>
      <w:ind w:left="720"/>
      <w:contextualSpacing/>
    </w:pPr>
  </w:style>
  <w:style w:type="paragraph" w:customStyle="1" w:styleId="Default">
    <w:name w:val="Default"/>
    <w:rsid w:val="00430088"/>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C0841"/>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624870">
      <w:bodyDiv w:val="1"/>
      <w:marLeft w:val="0"/>
      <w:marRight w:val="0"/>
      <w:marTop w:val="0"/>
      <w:marBottom w:val="0"/>
      <w:divBdr>
        <w:top w:val="none" w:sz="0" w:space="0" w:color="auto"/>
        <w:left w:val="none" w:sz="0" w:space="0" w:color="auto"/>
        <w:bottom w:val="none" w:sz="0" w:space="0" w:color="auto"/>
        <w:right w:val="none" w:sz="0" w:space="0" w:color="auto"/>
      </w:divBdr>
    </w:div>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53725594">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image" Target="media/image2.emf"/><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eader" Target="header3.xml"/><Relationship Id="rId10" Type="http://schemas.microsoft.com/office/2007/relationships/stylesWithEffects" Target="stylesWithEffect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C–OceanBlue">
  <a:themeElements>
    <a:clrScheme name="SCC 2014">
      <a:dk1>
        <a:srgbClr val="00629B"/>
      </a:dk1>
      <a:lt1>
        <a:sysClr val="window" lastClr="FFFFFF"/>
      </a:lt1>
      <a:dk2>
        <a:srgbClr val="00857D"/>
      </a:dk2>
      <a:lt2>
        <a:srgbClr val="C4D600"/>
      </a:lt2>
      <a:accent1>
        <a:srgbClr val="00B2A9"/>
      </a:accent1>
      <a:accent2>
        <a:srgbClr val="8246AF"/>
      </a:accent2>
      <a:accent3>
        <a:srgbClr val="BE531C"/>
      </a:accent3>
      <a:accent4>
        <a:srgbClr val="CC8A00"/>
      </a:accent4>
      <a:accent5>
        <a:srgbClr val="7A9A01"/>
      </a:accent5>
      <a:accent6>
        <a:srgbClr val="007FA3"/>
      </a:accent6>
      <a:hlink>
        <a:srgbClr val="000000"/>
      </a:hlink>
      <a:folHlink>
        <a:srgbClr val="00000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chemeClr val="bg1">
              <a:lumMod val="65000"/>
            </a:schemeClr>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2.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uthority xmlns="e15680ac-9504-4bb7-a7da-c1e3bedfd98f" xsi:nil="true"/>
    <Review_x0020_Date xmlns="e15680ac-9504-4bb7-a7da-c1e3bedfd98f" xsi:nil="true"/>
    <Category xmlns="e15680ac-9504-4bb7-a7da-c1e3bedfd98f">External Template</Category>
    <Colour xmlns="e15680ac-9504-4bb7-a7da-c1e3bedfd98f">CMYK</Colour>
    <User_x0020_Guide xmlns="e15680ac-9504-4bb7-a7da-c1e3bedfd98f">
      <Url xsi:nil="true"/>
      <Description xsi:nil="true"/>
    </User_x0020_Guide>
    <Category0 xmlns="e15680ac-9504-4bb7-a7da-c1e3bedfd98f">External Template</Category0>
    <Status xmlns="965ce365-d84c-4ec0-8214-321d6cb039c5">New</Status>
    <Document_x0020_Type xmlns="e15680ac-9504-4bb7-a7da-c1e3bedfd98f">Document</Document_x0020_Type>
    <Document_x0020_URL xmlns="965ce365-d84c-4ec0-8214-321d6cb039c5">
      <Url>http://collaboration/sites/topics/graphic_design/Graphic%20Design/SCC%20document_blue.dotx</Url>
      <Description>SCC document_blue</Description>
    </Document_x0020_URL>
    <Currency xmlns="e15680ac-9504-4bb7-a7da-c1e3bedfd98f">2014-05-18T14:00:00+00:00</Currency>
  </documentManagement>
</p:properties>
</file>

<file path=customXml/item5.xml><?xml version="1.0" encoding="utf-8"?>
<ct:contentTypeSchema xmlns:ct="http://schemas.microsoft.com/office/2006/metadata/contentType" xmlns:ma="http://schemas.microsoft.com/office/2006/metadata/properties/metaAttributes" ct:_="" ma:_="" ma:contentTypeName="Template (SCC)" ma:contentTypeID="0x010100B94B636CD8667048949DBA2EDE06116700312BBE0EE5744640AB108813562C47C5" ma:contentTypeVersion="19" ma:contentTypeDescription="An adopted document that serves as a model for others to copy." ma:contentTypeScope="" ma:versionID="1c92b0fba5c57759b403ce5d414d35f4">
  <xsd:schema xmlns:xsd="http://www.w3.org/2001/XMLSchema" xmlns:xs="http://www.w3.org/2001/XMLSchema" xmlns:p="http://schemas.microsoft.com/office/2006/metadata/properties" xmlns:ns1="http://schemas.microsoft.com/sharepoint/v3" xmlns:ns2="965ce365-d84c-4ec0-8214-321d6cb039c5" xmlns:ns3="e15680ac-9504-4bb7-a7da-c1e3bedfd98f" targetNamespace="http://schemas.microsoft.com/office/2006/metadata/properties" ma:root="true" ma:fieldsID="17da9fde39a331127f4f1abb4e07ef6f" ns1:_="" ns2:_="" ns3:_="">
    <xsd:import namespace="http://schemas.microsoft.com/sharepoint/v3"/>
    <xsd:import namespace="965ce365-d84c-4ec0-8214-321d6cb039c5"/>
    <xsd:import namespace="e15680ac-9504-4bb7-a7da-c1e3bedfd98f"/>
    <xsd:element name="properties">
      <xsd:complexType>
        <xsd:sequence>
          <xsd:element name="documentManagement">
            <xsd:complexType>
              <xsd:all>
                <xsd:element ref="ns2:Document_x0020_URL" minOccurs="0"/>
                <xsd:element ref="ns3:Colour" minOccurs="0"/>
                <xsd:element ref="ns3:Currency" minOccurs="0"/>
                <xsd:element ref="ns3:User_x0020_Guide" minOccurs="0"/>
                <xsd:element ref="ns3:Document_x0020_Type" minOccurs="0"/>
                <xsd:element ref="ns3:Category" minOccurs="0"/>
                <xsd:element ref="ns3:Category0" minOccurs="0"/>
                <xsd:element ref="ns3:Review_x0020_Date" minOccurs="0"/>
                <xsd:element ref="ns3:Authority" minOccurs="0"/>
                <xsd:element ref="ns1:_dlc_Exemp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5ce365-d84c-4ec0-8214-321d6cb039c5" elementFormDefault="qualified">
    <xsd:import namespace="http://schemas.microsoft.com/office/2006/documentManagement/types"/>
    <xsd:import namespace="http://schemas.microsoft.com/office/infopath/2007/PartnerControls"/>
    <xsd:element name="Document_x0020_URL" ma:index="1" nillable="true" ma:displayName="Document Title" ma:format="Hyperlink" ma:internalName="Document_x0020_URL">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8" nillable="true" ma:displayName="Status" ma:default="Old" ma:format="Dropdown" ma:internalName="Status">
      <xsd:simpleType>
        <xsd:restriction base="dms:Choice">
          <xsd:enumeration value="Old"/>
          <xsd:enumeration value="New"/>
        </xsd:restriction>
      </xsd:simpleType>
    </xsd:element>
  </xsd:schema>
  <xsd:schema xmlns:xsd="http://www.w3.org/2001/XMLSchema" xmlns:xs="http://www.w3.org/2001/XMLSchema" xmlns:dms="http://schemas.microsoft.com/office/2006/documentManagement/types" xmlns:pc="http://schemas.microsoft.com/office/infopath/2007/PartnerControls" targetNamespace="e15680ac-9504-4bb7-a7da-c1e3bedfd98f" elementFormDefault="qualified">
    <xsd:import namespace="http://schemas.microsoft.com/office/2006/documentManagement/types"/>
    <xsd:import namespace="http://schemas.microsoft.com/office/infopath/2007/PartnerControls"/>
    <xsd:element name="Colour" ma:index="3" nillable="true" ma:displayName="Colour" ma:default="CMYK" ma:format="Dropdown" ma:internalName="Colour">
      <xsd:simpleType>
        <xsd:restriction base="dms:Choice">
          <xsd:enumeration value="CMYK"/>
          <xsd:enumeration value="RGB"/>
          <xsd:enumeration value="Black"/>
        </xsd:restriction>
      </xsd:simpleType>
    </xsd:element>
    <xsd:element name="Currency" ma:index="4" nillable="true" ma:displayName="Currency" ma:format="DateOnly" ma:internalName="Currency">
      <xsd:simpleType>
        <xsd:restriction base="dms:DateTime"/>
      </xsd:simpleType>
    </xsd:element>
    <xsd:element name="User_x0020_Guide" ma:index="5"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6" nillable="true" ma:displayName="Template Type" ma:default="Document" ma:description="If this document is an external template, please select which type." ma:format="Dropdown" ma:internalName="Document_x0020_Type" ma:readOnly="false">
      <xsd:simpleType>
        <xsd:restriction base="dms:Choice">
          <xsd:enumeration value="Document"/>
          <xsd:enumeration value="Fact Sheet"/>
          <xsd:enumeration value="Corporate"/>
          <xsd:enumeration value="PowerPoint"/>
          <xsd:enumeration value="Form"/>
          <xsd:enumeration value="Certificate"/>
        </xsd:restriction>
      </xsd:simpleType>
    </xsd:element>
    <xsd:element name="Category" ma:index="7" nillable="true" ma:displayName="Views" ma:default="Internal Template" ma:description="Select which library this document should appear in." ma:format="Dropdown" ma:internalName="Category">
      <xsd:simpleType>
        <xsd:restriction base="dms:Choice">
          <xsd:enumeration value="Internal Template"/>
          <xsd:enumeration value="External Template"/>
          <xsd:enumeration value="SCC Brand"/>
          <xsd:enumeration value="Campaign Brands"/>
          <xsd:enumeration value="Resources"/>
        </xsd:restriction>
      </xsd:simpleType>
    </xsd:element>
    <xsd:element name="Category0" ma:index="8" nillable="true" ma:displayName="Category" ma:default="Policy" ma:description="This field is used to filter the Resources, Brand and Campaign library views." ma:format="Dropdown" ma:internalName="Category0">
      <xsd:simpleType>
        <xsd:restriction base="dms:Choice">
          <xsd:enumeration value="Policy"/>
          <xsd:enumeration value="Guidelines"/>
          <xsd:enumeration value="Guidelines_RCB"/>
          <xsd:enumeration value="Internal Template"/>
          <xsd:enumeration value="External Template"/>
          <xsd:enumeration value="User Guide"/>
          <xsd:enumeration value="Fact Sheet"/>
          <xsd:enumeration value="Admin"/>
          <xsd:enumeration value="Other"/>
        </xsd:restriction>
      </xsd:simpleType>
    </xsd:element>
    <xsd:element name="Review_x0020_Date" ma:index="9" nillable="true" ma:displayName="Review Date" ma:format="DateOnly" ma:internalName="Review_x0020_Date">
      <xsd:simpleType>
        <xsd:restriction base="dms:DateTime"/>
      </xsd:simpleType>
    </xsd:element>
    <xsd:element name="Authority" ma:index="10" nillable="true" ma:displayName="Authority" ma:internalName="Author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98636-32E7-41BA-B815-C59A06C3289B}">
  <ds:schemaRefs>
    <ds:schemaRef ds:uri="http://schemas.microsoft.com/sharepoint/events"/>
  </ds:schemaRefs>
</ds:datastoreItem>
</file>

<file path=customXml/itemProps2.xml><?xml version="1.0" encoding="utf-8"?>
<ds:datastoreItem xmlns:ds="http://schemas.openxmlformats.org/officeDocument/2006/customXml" ds:itemID="{C403B0DF-9FA5-4568-84BB-E9DA1320AD22}">
  <ds:schemaRefs>
    <ds:schemaRef ds:uri="office.server.policy"/>
  </ds:schemaRefs>
</ds:datastoreItem>
</file>

<file path=customXml/itemProps3.xml><?xml version="1.0" encoding="utf-8"?>
<ds:datastoreItem xmlns:ds="http://schemas.openxmlformats.org/officeDocument/2006/customXml" ds:itemID="{35B08CD3-9919-485A-9B63-C28E8FAF81F2}">
  <ds:schemaRefs>
    <ds:schemaRef ds:uri="http://schemas.microsoft.com/sharepoint/v3/contenttype/forms"/>
  </ds:schemaRefs>
</ds:datastoreItem>
</file>

<file path=customXml/itemProps4.xml><?xml version="1.0" encoding="utf-8"?>
<ds:datastoreItem xmlns:ds="http://schemas.openxmlformats.org/officeDocument/2006/customXml" ds:itemID="{5F65D878-E598-4356-B46F-950897054A31}">
  <ds:schemaRefs>
    <ds:schemaRef ds:uri="http://purl.org/dc/dcmitype/"/>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e15680ac-9504-4bb7-a7da-c1e3bedfd98f"/>
    <ds:schemaRef ds:uri="http://schemas.microsoft.com/sharepoint/v3"/>
    <ds:schemaRef ds:uri="http://purl.org/dc/terms/"/>
    <ds:schemaRef ds:uri="965ce365-d84c-4ec0-8214-321d6cb039c5"/>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60DBC25F-76CF-490C-9C8F-A36A05288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5ce365-d84c-4ec0-8214-321d6cb039c5"/>
    <ds:schemaRef ds:uri="e15680ac-9504-4bb7-a7da-c1e3bedfd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5336690-7D73-4D4D-8438-A6F4FD964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3452</Words>
  <Characters>18335</Characters>
  <Application>Microsoft Office Word</Application>
  <DocSecurity>0</DocSecurity>
  <Lines>301</Lines>
  <Paragraphs>108</Paragraphs>
  <ScaleCrop>false</ScaleCrop>
  <HeadingPairs>
    <vt:vector size="2" baseType="variant">
      <vt:variant>
        <vt:lpstr>Title</vt:lpstr>
      </vt:variant>
      <vt:variant>
        <vt:i4>1</vt:i4>
      </vt:variant>
    </vt:vector>
  </HeadingPairs>
  <TitlesOfParts>
    <vt:vector size="1" baseType="lpstr">
      <vt:lpstr>SCC document_blue</vt:lpstr>
    </vt:vector>
  </TitlesOfParts>
  <Company>SCC 190514</Company>
  <LinksUpToDate>false</LinksUpToDate>
  <CharactersWithSpaces>21713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document_blue</dc:title>
  <dc:creator>Simon Crock</dc:creator>
  <cp:lastModifiedBy>Robyn Humphreyes-Reid</cp:lastModifiedBy>
  <cp:revision>3</cp:revision>
  <cp:lastPrinted>2015-01-22T04:01:00Z</cp:lastPrinted>
  <dcterms:created xsi:type="dcterms:W3CDTF">2015-01-30T05:55:00Z</dcterms:created>
  <dcterms:modified xsi:type="dcterms:W3CDTF">2015-01-30T05:55:00Z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0x010100B94B636CD8667048949DBA2EDE06116700312BBE0EE5744640AB108813562C47C5</vt:lpwstr>
  </property>
  <property fmtid="{D5CDD505-2E9C-101B-9397-08002B2CF9AE}" pid="3" name="DWDocAuthor">
    <vt:lpwstr/>
  </property>
  <property fmtid="{D5CDD505-2E9C-101B-9397-08002B2CF9AE}" pid="4" name="DWDocClass">
    <vt:lpwstr/>
  </property>
  <property fmtid="{D5CDD505-2E9C-101B-9397-08002B2CF9AE}" pid="5" name="DWDocClassId">
    <vt:lpwstr/>
  </property>
  <property fmtid="{D5CDD505-2E9C-101B-9397-08002B2CF9AE}" pid="6" name="DWDocPrecis">
    <vt:lpwstr/>
  </property>
  <property fmtid="{D5CDD505-2E9C-101B-9397-08002B2CF9AE}" pid="7" name="DWDocNo">
    <vt:lpwstr/>
  </property>
  <property fmtid="{D5CDD505-2E9C-101B-9397-08002B2CF9AE}" pid="8" name="DWDocSetID">
    <vt:lpwstr/>
  </property>
  <property fmtid="{D5CDD505-2E9C-101B-9397-08002B2CF9AE}" pid="9" name="DWDocType">
    <vt:lpwstr/>
  </property>
  <property fmtid="{D5CDD505-2E9C-101B-9397-08002B2CF9AE}" pid="10" name="DWDocVersion">
    <vt:lpwstr/>
  </property>
</Properties>
</file>