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eastAsiaTheme="majorEastAsia" w:cstheme="majorBidi"/>
          <w:noProof/>
          <w:sz w:val="36"/>
          <w:szCs w:val="36"/>
          <w:lang w:eastAsia="en-AU"/>
        </w:rPr>
        <w:id w:val="1021519724"/>
        <w:docPartObj>
          <w:docPartGallery w:val="Cover Pages"/>
          <w:docPartUnique/>
        </w:docPartObj>
      </w:sdtPr>
      <w:sdtEndPr/>
      <w:sdtContent>
        <w:p w:rsidR="000A6C7B" w:rsidRPr="00290C63" w:rsidRDefault="000A6C7B" w:rsidP="00290C63">
          <w:r w:rsidRPr="00290C63">
            <w:rPr>
              <w:noProof/>
              <w:lang w:eastAsia="en-AU"/>
            </w:rPr>
            <w:drawing>
              <wp:anchor distT="0" distB="0" distL="114300" distR="114300" simplePos="0" relativeHeight="251659264" behindDoc="1" locked="0" layoutInCell="1" allowOverlap="1" wp14:anchorId="6651F24C" wp14:editId="70C939E1">
                <wp:simplePos x="0" y="0"/>
                <wp:positionH relativeFrom="column">
                  <wp:posOffset>-1104900</wp:posOffset>
                </wp:positionH>
                <wp:positionV relativeFrom="paragraph">
                  <wp:posOffset>-927735</wp:posOffset>
                </wp:positionV>
                <wp:extent cx="7591425" cy="10728960"/>
                <wp:effectExtent l="0" t="0" r="9525" b="0"/>
                <wp:wrapNone/>
                <wp:docPr id="2" name="Picture 2" descr="Australian Energy Regulator Report C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ER report front cover_D0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91425" cy="10728960"/>
                        </a:xfrm>
                        <a:prstGeom prst="rect">
                          <a:avLst/>
                        </a:prstGeom>
                        <a:noFill/>
                      </pic:spPr>
                    </pic:pic>
                  </a:graphicData>
                </a:graphic>
                <wp14:sizeRelH relativeFrom="page">
                  <wp14:pctWidth>0</wp14:pctWidth>
                </wp14:sizeRelH>
                <wp14:sizeRelV relativeFrom="page">
                  <wp14:pctHeight>0</wp14:pctHeight>
                </wp14:sizeRelV>
              </wp:anchor>
            </w:drawing>
          </w:r>
        </w:p>
        <w:p w:rsidR="00F171E0" w:rsidRDefault="00F171E0" w:rsidP="00F171E0"/>
        <w:p w:rsidR="00F171E0" w:rsidRDefault="00F171E0" w:rsidP="00F171E0"/>
        <w:p w:rsidR="00F171E0" w:rsidRDefault="00F171E0" w:rsidP="00F171E0"/>
        <w:p w:rsidR="00F171E0" w:rsidRDefault="00F171E0" w:rsidP="00F171E0"/>
        <w:p w:rsidR="00F171E0" w:rsidRDefault="00F171E0" w:rsidP="00F171E0"/>
        <w:p w:rsidR="00F171E0" w:rsidRDefault="00F171E0" w:rsidP="00F171E0"/>
        <w:p w:rsidR="00F171E0" w:rsidRDefault="00F171E0" w:rsidP="00F171E0"/>
        <w:p w:rsidR="00327A1E" w:rsidRDefault="001754EE" w:rsidP="001754EE">
          <w:pPr>
            <w:pStyle w:val="ReportSubtitle"/>
            <w:tabs>
              <w:tab w:val="left" w:pos="1122"/>
              <w:tab w:val="center" w:pos="4238"/>
            </w:tabs>
            <w:jc w:val="left"/>
          </w:pPr>
          <w:r>
            <w:tab/>
          </w:r>
          <w:r>
            <w:tab/>
          </w:r>
          <w:r w:rsidR="00CF2C05">
            <w:t>DRAFT</w:t>
          </w:r>
          <w:r w:rsidR="00DA4752">
            <w:t xml:space="preserve"> DECISION</w:t>
          </w:r>
        </w:p>
        <w:p w:rsidR="00DA0214" w:rsidRDefault="000D64F2" w:rsidP="008F07A3">
          <w:pPr>
            <w:pStyle w:val="ReportSubtitle"/>
          </w:pPr>
          <w:r>
            <w:t>Amadeus</w:t>
          </w:r>
          <w:r w:rsidR="00A06085">
            <w:t xml:space="preserve"> </w:t>
          </w:r>
          <w:r w:rsidR="00B62E64">
            <w:t xml:space="preserve">Gas Pipeline </w:t>
          </w:r>
        </w:p>
        <w:p w:rsidR="00415F31" w:rsidRDefault="00CF2C05" w:rsidP="008F07A3">
          <w:pPr>
            <w:pStyle w:val="ReportSubtitle"/>
          </w:pPr>
          <w:r>
            <w:t>Access Arrangement</w:t>
          </w:r>
        </w:p>
        <w:p w:rsidR="000A6C7B" w:rsidRDefault="005C0A7F" w:rsidP="008F07A3">
          <w:pPr>
            <w:pStyle w:val="ReportSubtitle"/>
          </w:pPr>
          <w:r>
            <w:t>20</w:t>
          </w:r>
          <w:r w:rsidR="00DA4752">
            <w:t xml:space="preserve">16 to </w:t>
          </w:r>
          <w:r w:rsidR="00A06085">
            <w:t>2021</w:t>
          </w:r>
        </w:p>
        <w:p w:rsidR="008F07A3" w:rsidRPr="000A6C7B" w:rsidRDefault="008F07A3" w:rsidP="008F07A3">
          <w:pPr>
            <w:pStyle w:val="ReportSubtitle"/>
          </w:pPr>
        </w:p>
        <w:p w:rsidR="000A6C7B" w:rsidRPr="000A6C7B" w:rsidRDefault="0070011E" w:rsidP="008F07A3">
          <w:pPr>
            <w:pStyle w:val="ReportSubtitle"/>
          </w:pPr>
          <w:r>
            <w:t xml:space="preserve">Attachment </w:t>
          </w:r>
          <w:r w:rsidR="008C5970">
            <w:t>12</w:t>
          </w:r>
          <w:r w:rsidR="00DA4752">
            <w:t xml:space="preserve"> </w:t>
          </w:r>
          <w:r w:rsidR="00415F31">
            <w:rPr>
              <w:rFonts w:cs="Arial"/>
            </w:rPr>
            <w:t>–</w:t>
          </w:r>
          <w:r w:rsidR="00DA4752">
            <w:t xml:space="preserve"> </w:t>
          </w:r>
          <w:r w:rsidR="008C5970">
            <w:t>Non-tariff components</w:t>
          </w:r>
        </w:p>
        <w:p w:rsidR="000A6C7B" w:rsidRPr="00327A1E" w:rsidRDefault="00A06085" w:rsidP="00327A1E">
          <w:pPr>
            <w:pStyle w:val="ReportDate"/>
          </w:pPr>
          <w:r>
            <w:t>November</w:t>
          </w:r>
          <w:r w:rsidR="005C0A7F">
            <w:t xml:space="preserve"> </w:t>
          </w:r>
          <w:r w:rsidR="00DA4752">
            <w:t>2015</w:t>
          </w:r>
        </w:p>
      </w:sdtContent>
    </w:sdt>
    <w:p w:rsidR="00327A1E" w:rsidRPr="00290C63" w:rsidRDefault="00327A1E" w:rsidP="00290C63">
      <w:r>
        <w:br w:type="page"/>
      </w:r>
    </w:p>
    <w:p w:rsidR="000A6C7B" w:rsidRDefault="008F07A3" w:rsidP="00961A4A">
      <w:pPr>
        <w:pStyle w:val="Copyright"/>
      </w:pPr>
      <w:r>
        <w:lastRenderedPageBreak/>
        <w:t>© Commonwealth of Australia 2015</w:t>
      </w:r>
    </w:p>
    <w:p w:rsidR="000A6C7B" w:rsidRDefault="000A6C7B" w:rsidP="000A6C7B">
      <w:pPr>
        <w:pStyle w:val="Copyright"/>
      </w:pPr>
      <w:r>
        <w:t>This work is copyright. In addition to any use permitted under the Copyright Act 1968, all material contained within this work is provided under a Creative Commons Attributions 3.0 Australia licence, with the exception of:</w:t>
      </w:r>
    </w:p>
    <w:p w:rsidR="000A6C7B" w:rsidRPr="00983C25" w:rsidRDefault="000A6C7B" w:rsidP="00983C25">
      <w:pPr>
        <w:pStyle w:val="AERbulletlistfirststyle"/>
        <w:rPr>
          <w:sz w:val="20"/>
          <w:szCs w:val="20"/>
        </w:rPr>
      </w:pPr>
      <w:r w:rsidRPr="00A30AE9">
        <w:rPr>
          <w:sz w:val="20"/>
          <w:szCs w:val="20"/>
        </w:rPr>
        <w:t>the</w:t>
      </w:r>
      <w:r>
        <w:t xml:space="preserve"> </w:t>
      </w:r>
      <w:r w:rsidRPr="00983C25">
        <w:rPr>
          <w:sz w:val="20"/>
          <w:szCs w:val="20"/>
        </w:rPr>
        <w:t>Commonwealth Coat of Arms</w:t>
      </w:r>
    </w:p>
    <w:p w:rsidR="000A6C7B" w:rsidRPr="00983C25" w:rsidRDefault="000A6C7B" w:rsidP="00983C25">
      <w:pPr>
        <w:pStyle w:val="AERbulletlistfirststyle"/>
        <w:rPr>
          <w:sz w:val="20"/>
          <w:szCs w:val="20"/>
        </w:rPr>
      </w:pPr>
      <w:r w:rsidRPr="00983C25">
        <w:rPr>
          <w:sz w:val="20"/>
          <w:szCs w:val="20"/>
        </w:rPr>
        <w:t>the ACCC and AER logos</w:t>
      </w:r>
    </w:p>
    <w:p w:rsidR="000A6C7B" w:rsidRPr="00983C25" w:rsidRDefault="000A6C7B" w:rsidP="00983C25">
      <w:pPr>
        <w:pStyle w:val="AERbulletlistfirststyle"/>
        <w:rPr>
          <w:sz w:val="20"/>
        </w:rPr>
      </w:pPr>
      <w:r w:rsidRPr="00983C25">
        <w:rPr>
          <w:sz w:val="20"/>
        </w:rPr>
        <w:t>any illustration, diagram, photograph or graphic over which the Australian Competition and Consumer Commission does not hold copyright, but which may be part of or contained within this publication. The details of the relevant licence conditions are available on the Creative Commons website, as is the full legal code for the CC BY 3.0 AU licence.</w:t>
      </w:r>
    </w:p>
    <w:p w:rsidR="009D3906" w:rsidRDefault="000A6C7B" w:rsidP="000A6C7B">
      <w:pPr>
        <w:pStyle w:val="Copyright"/>
      </w:pPr>
      <w:r>
        <w:t>Requests and inquiries concerning reproduction and rights should be addressed to the</w:t>
      </w:r>
      <w:r w:rsidR="009D3906">
        <w:t>:</w:t>
      </w:r>
    </w:p>
    <w:p w:rsidR="009D3906" w:rsidRDefault="000A6C7B" w:rsidP="000A6C7B">
      <w:pPr>
        <w:pStyle w:val="Copyright"/>
      </w:pPr>
      <w:r>
        <w:t>Dir</w:t>
      </w:r>
      <w:r w:rsidR="009D3906">
        <w:t>ector, Corporate Communications</w:t>
      </w:r>
      <w:r w:rsidR="00983C25">
        <w:br/>
      </w:r>
      <w:r>
        <w:t>Australian Comp</w:t>
      </w:r>
      <w:r w:rsidR="009D3906">
        <w:t>etition and Consumer Commission</w:t>
      </w:r>
      <w:r>
        <w:t xml:space="preserve"> </w:t>
      </w:r>
      <w:r w:rsidR="00983C25">
        <w:br/>
      </w:r>
      <w:r>
        <w:t>GPO Box 4141, Canberra ACT 2601</w:t>
      </w:r>
    </w:p>
    <w:p w:rsidR="000A6C7B" w:rsidRDefault="000A6C7B" w:rsidP="000A6C7B">
      <w:pPr>
        <w:pStyle w:val="Copyright"/>
      </w:pPr>
      <w:r>
        <w:t>or publishing.unit@accc.gov.au.</w:t>
      </w:r>
    </w:p>
    <w:p w:rsidR="00951978" w:rsidRDefault="000A6C7B" w:rsidP="00961A4A">
      <w:pPr>
        <w:pStyle w:val="Copyright"/>
      </w:pPr>
      <w:r>
        <w:t>Inquiries about this publication should be addressed to:</w:t>
      </w:r>
    </w:p>
    <w:p w:rsidR="000A6C7B" w:rsidRDefault="000A6C7B" w:rsidP="000A6C7B">
      <w:pPr>
        <w:pStyle w:val="Copyright"/>
      </w:pPr>
      <w:r>
        <w:t xml:space="preserve">Australian Energy </w:t>
      </w:r>
      <w:r w:rsidRPr="00F171E0">
        <w:t>Regulator</w:t>
      </w:r>
      <w:r w:rsidR="00951978">
        <w:br/>
      </w:r>
      <w:r>
        <w:t>GPO Box 520</w:t>
      </w:r>
      <w:r w:rsidR="00951978">
        <w:br/>
      </w:r>
      <w:r>
        <w:t>Melbourne  Vic  3001</w:t>
      </w:r>
    </w:p>
    <w:p w:rsidR="000A6C7B" w:rsidRDefault="000A6C7B" w:rsidP="00961A4A">
      <w:pPr>
        <w:pStyle w:val="Copyright"/>
      </w:pPr>
      <w:r>
        <w:t>Tel: (03) 9290 1444</w:t>
      </w:r>
      <w:r w:rsidR="00951978">
        <w:br/>
      </w:r>
      <w:r>
        <w:t>Fax: (03) 9290 1457</w:t>
      </w:r>
    </w:p>
    <w:p w:rsidR="00B9562D" w:rsidRDefault="000A6C7B" w:rsidP="00B9562D">
      <w:pPr>
        <w:pStyle w:val="Copyright"/>
      </w:pPr>
      <w:r>
        <w:t xml:space="preserve">Email: </w:t>
      </w:r>
      <w:hyperlink r:id="rId11" w:history="1">
        <w:r w:rsidRPr="00D64888">
          <w:rPr>
            <w:rStyle w:val="Hyperlink"/>
          </w:rPr>
          <w:t>AERInquiry@aer.gov.au</w:t>
        </w:r>
      </w:hyperlink>
      <w:r w:rsidR="00951978">
        <w:rPr>
          <w:rStyle w:val="Hyperlink"/>
        </w:rPr>
        <w:br/>
      </w:r>
    </w:p>
    <w:p w:rsidR="009001B6" w:rsidRDefault="009001B6">
      <w:pPr>
        <w:spacing w:line="240" w:lineRule="auto"/>
      </w:pPr>
      <w:bookmarkStart w:id="1" w:name="_Toc404354899"/>
      <w:bookmarkStart w:id="2" w:name="_Toc404353070"/>
      <w:bookmarkStart w:id="3" w:name="_Toc404684201"/>
      <w:bookmarkStart w:id="4" w:name="_Toc404700923"/>
      <w:r>
        <w:br w:type="page"/>
      </w:r>
    </w:p>
    <w:p w:rsidR="008F07A3" w:rsidRDefault="00DA61F3" w:rsidP="00DE772C">
      <w:pPr>
        <w:pStyle w:val="UnnumberedHeading"/>
        <w:numPr>
          <w:ilvl w:val="0"/>
          <w:numId w:val="23"/>
        </w:numPr>
      </w:pPr>
      <w:bookmarkStart w:id="5" w:name="_Toc436044719"/>
      <w:r>
        <w:lastRenderedPageBreak/>
        <w:t>N</w:t>
      </w:r>
      <w:r w:rsidR="008F07A3">
        <w:t>ote</w:t>
      </w:r>
      <w:bookmarkEnd w:id="1"/>
      <w:bookmarkEnd w:id="2"/>
      <w:bookmarkEnd w:id="3"/>
      <w:bookmarkEnd w:id="4"/>
      <w:bookmarkEnd w:id="5"/>
    </w:p>
    <w:p w:rsidR="00415F31" w:rsidRDefault="00415F31" w:rsidP="00DE772C">
      <w:pPr>
        <w:numPr>
          <w:ilvl w:val="0"/>
          <w:numId w:val="24"/>
        </w:numPr>
        <w:spacing w:before="0" w:after="240" w:line="288" w:lineRule="auto"/>
        <w:jc w:val="both"/>
      </w:pPr>
    </w:p>
    <w:p w:rsidR="00415F31" w:rsidRDefault="008F07A3" w:rsidP="00DE772C">
      <w:pPr>
        <w:numPr>
          <w:ilvl w:val="0"/>
          <w:numId w:val="24"/>
        </w:numPr>
        <w:spacing w:before="0" w:after="240" w:line="288" w:lineRule="auto"/>
        <w:jc w:val="both"/>
      </w:pPr>
      <w:r>
        <w:t xml:space="preserve">This </w:t>
      </w:r>
      <w:r w:rsidR="00415F31">
        <w:t xml:space="preserve">attachment forms part of the AER's </w:t>
      </w:r>
      <w:r w:rsidR="00CF2C05">
        <w:t>draft</w:t>
      </w:r>
      <w:r w:rsidR="00415F31">
        <w:t xml:space="preserve"> decision on </w:t>
      </w:r>
      <w:r w:rsidR="00E5609D">
        <w:t xml:space="preserve">the access arrangement for the </w:t>
      </w:r>
      <w:r w:rsidR="000D64F2">
        <w:t>Amadeus</w:t>
      </w:r>
      <w:r w:rsidR="00B62E64">
        <w:t xml:space="preserve"> Gas Pipeline</w:t>
      </w:r>
      <w:r w:rsidR="00CF2C05">
        <w:t xml:space="preserve"> for</w:t>
      </w:r>
      <w:r w:rsidR="00415F31">
        <w:t xml:space="preserve"> 201</w:t>
      </w:r>
      <w:r w:rsidR="005C0A7F">
        <w:t>6</w:t>
      </w:r>
      <w:r w:rsidR="00415F31" w:rsidRPr="00D904FA">
        <w:t>–</w:t>
      </w:r>
      <w:r w:rsidR="00103A67">
        <w:t>21</w:t>
      </w:r>
      <w:r w:rsidR="00415F31">
        <w:t xml:space="preserve">. It should be read with </w:t>
      </w:r>
      <w:r w:rsidR="005C0A7F">
        <w:t xml:space="preserve">all </w:t>
      </w:r>
      <w:r w:rsidR="00415F31">
        <w:t xml:space="preserve">other parts of the </w:t>
      </w:r>
      <w:r w:rsidR="00CF2C05">
        <w:t>draft</w:t>
      </w:r>
      <w:r w:rsidR="005C0A7F">
        <w:t xml:space="preserve"> </w:t>
      </w:r>
      <w:r w:rsidR="00415F31">
        <w:t>decision.</w:t>
      </w:r>
    </w:p>
    <w:p w:rsidR="00415F31" w:rsidRDefault="00415F31" w:rsidP="00DE772C">
      <w:pPr>
        <w:numPr>
          <w:ilvl w:val="0"/>
          <w:numId w:val="24"/>
        </w:numPr>
        <w:spacing w:before="0" w:after="240" w:line="288" w:lineRule="auto"/>
        <w:jc w:val="both"/>
      </w:pPr>
      <w:r>
        <w:t xml:space="preserve">The </w:t>
      </w:r>
      <w:r w:rsidR="00CF2C05">
        <w:t>draft</w:t>
      </w:r>
      <w:r w:rsidR="005C0A7F">
        <w:t xml:space="preserve"> </w:t>
      </w:r>
      <w:r>
        <w:t>decision includes the following documents:</w:t>
      </w:r>
    </w:p>
    <w:p w:rsidR="00415F31" w:rsidRDefault="00415F31" w:rsidP="00DE772C">
      <w:pPr>
        <w:numPr>
          <w:ilvl w:val="0"/>
          <w:numId w:val="24"/>
        </w:numPr>
        <w:spacing w:before="0" w:after="240" w:line="288" w:lineRule="auto"/>
        <w:jc w:val="both"/>
      </w:pPr>
      <w:r>
        <w:t>Overview</w:t>
      </w:r>
    </w:p>
    <w:p w:rsidR="0070011E" w:rsidRDefault="0070011E" w:rsidP="0070011E">
      <w:r>
        <w:t xml:space="preserve">Attachment 1 - </w:t>
      </w:r>
      <w:r w:rsidR="00EE77FA">
        <w:t>Services covered by the access arrangement</w:t>
      </w:r>
    </w:p>
    <w:p w:rsidR="0070011E" w:rsidRDefault="0070011E" w:rsidP="0070011E">
      <w:r>
        <w:t xml:space="preserve">Attachment 2 - </w:t>
      </w:r>
      <w:r w:rsidR="00EE77FA">
        <w:t>Capital base</w:t>
      </w:r>
    </w:p>
    <w:p w:rsidR="0070011E" w:rsidRDefault="0070011E" w:rsidP="0070011E">
      <w:r>
        <w:t xml:space="preserve">Attachment 3 - </w:t>
      </w:r>
      <w:r w:rsidR="00EE77FA">
        <w:t>R</w:t>
      </w:r>
      <w:r>
        <w:t>ate of return</w:t>
      </w:r>
    </w:p>
    <w:p w:rsidR="0070011E" w:rsidRDefault="0070011E" w:rsidP="0070011E">
      <w:r>
        <w:t>Attachment 4 - Value of imputation credits</w:t>
      </w:r>
    </w:p>
    <w:p w:rsidR="0070011E" w:rsidRDefault="0070011E" w:rsidP="0070011E">
      <w:r>
        <w:t>Attachment 5 - Regulatory depreciation</w:t>
      </w:r>
    </w:p>
    <w:p w:rsidR="0070011E" w:rsidRDefault="0070011E" w:rsidP="0070011E">
      <w:r>
        <w:t xml:space="preserve">Attachment 6 - Capital expenditure </w:t>
      </w:r>
    </w:p>
    <w:p w:rsidR="0070011E" w:rsidRDefault="0070011E" w:rsidP="0070011E">
      <w:r>
        <w:t>Attachment 7 - Operating expenditure</w:t>
      </w:r>
    </w:p>
    <w:p w:rsidR="0070011E" w:rsidRDefault="0070011E" w:rsidP="0070011E">
      <w:r>
        <w:t>Attachment 8 - Corporate income tax</w:t>
      </w:r>
    </w:p>
    <w:p w:rsidR="0070011E" w:rsidRDefault="0070011E" w:rsidP="0070011E">
      <w:r>
        <w:t xml:space="preserve">Attachment 9 - Efficiency </w:t>
      </w:r>
      <w:r w:rsidR="00EE77FA">
        <w:t>carryover mechanism</w:t>
      </w:r>
    </w:p>
    <w:p w:rsidR="0070011E" w:rsidRDefault="0070011E" w:rsidP="0070011E">
      <w:r>
        <w:t xml:space="preserve">Attachment 10 - </w:t>
      </w:r>
      <w:r w:rsidR="00EE77FA">
        <w:t>Reference tariff setting</w:t>
      </w:r>
    </w:p>
    <w:p w:rsidR="0070011E" w:rsidRDefault="0070011E" w:rsidP="0070011E">
      <w:r>
        <w:t xml:space="preserve">Attachment 11 - </w:t>
      </w:r>
      <w:r w:rsidR="00EE77FA">
        <w:t>Reference tariff variation mechanism</w:t>
      </w:r>
    </w:p>
    <w:p w:rsidR="0070011E" w:rsidRDefault="0070011E" w:rsidP="0070011E">
      <w:r>
        <w:t xml:space="preserve">Attachment 12 - </w:t>
      </w:r>
      <w:r w:rsidR="00EE77FA">
        <w:t>Non-tariff components</w:t>
      </w:r>
    </w:p>
    <w:p w:rsidR="0070011E" w:rsidRDefault="0070011E" w:rsidP="0070011E">
      <w:r>
        <w:t xml:space="preserve">Attachment 13 - </w:t>
      </w:r>
      <w:r w:rsidR="00EE77FA">
        <w:t>Demand</w:t>
      </w:r>
    </w:p>
    <w:p w:rsidR="00DE563D" w:rsidRPr="00A72B34" w:rsidRDefault="00DE563D" w:rsidP="00DE772C">
      <w:pPr>
        <w:pStyle w:val="UnnumberedHeading"/>
        <w:numPr>
          <w:ilvl w:val="0"/>
          <w:numId w:val="23"/>
        </w:numPr>
      </w:pPr>
      <w:bookmarkStart w:id="6" w:name="_Toc403144133"/>
      <w:bookmarkStart w:id="7" w:name="_Toc436044720"/>
      <w:r>
        <w:lastRenderedPageBreak/>
        <w:t>Contents</w:t>
      </w:r>
      <w:bookmarkEnd w:id="6"/>
      <w:bookmarkEnd w:id="7"/>
    </w:p>
    <w:p w:rsidR="005D7BA2" w:rsidRDefault="005D7BA2">
      <w:pPr>
        <w:spacing w:line="240" w:lineRule="auto"/>
      </w:pPr>
    </w:p>
    <w:sdt>
      <w:sdtPr>
        <w:rPr>
          <w:b w:val="0"/>
          <w:noProof w:val="0"/>
          <w:color w:val="auto"/>
          <w:sz w:val="22"/>
          <w:lang w:val="en-AU" w:eastAsia="en-US"/>
        </w:rPr>
        <w:id w:val="1269200322"/>
        <w:docPartObj>
          <w:docPartGallery w:val="Table of Contents"/>
          <w:docPartUnique/>
        </w:docPartObj>
      </w:sdtPr>
      <w:sdtEndPr>
        <w:rPr>
          <w:b/>
          <w:noProof/>
          <w:color w:val="70635A" w:themeColor="text2"/>
          <w:sz w:val="24"/>
          <w:lang w:val="en-US" w:eastAsia="ja-JP"/>
        </w:rPr>
      </w:sdtEndPr>
      <w:sdtContent>
        <w:p w:rsidR="00ED0A58" w:rsidRDefault="00BB71AD">
          <w:pPr>
            <w:pStyle w:val="TOC1"/>
            <w:rPr>
              <w:rFonts w:asciiTheme="minorHAnsi" w:eastAsiaTheme="minorEastAsia" w:hAnsiTheme="minorHAnsi"/>
              <w:b w:val="0"/>
              <w:color w:val="auto"/>
              <w:sz w:val="22"/>
              <w:lang w:val="en-AU" w:eastAsia="en-AU"/>
            </w:rPr>
          </w:pPr>
          <w:r>
            <w:rPr>
              <w:color w:val="auto"/>
              <w:sz w:val="22"/>
            </w:rPr>
            <w:fldChar w:fldCharType="begin"/>
          </w:r>
          <w:r>
            <w:rPr>
              <w:color w:val="auto"/>
              <w:sz w:val="22"/>
            </w:rPr>
            <w:instrText xml:space="preserve"> TOC \o "1-2" \h \z \t "Heading 3,3" </w:instrText>
          </w:r>
          <w:r>
            <w:rPr>
              <w:color w:val="auto"/>
              <w:sz w:val="22"/>
            </w:rPr>
            <w:fldChar w:fldCharType="separate"/>
          </w:r>
          <w:hyperlink w:anchor="_Toc436044719" w:history="1">
            <w:r w:rsidR="00ED0A58" w:rsidRPr="001502B1">
              <w:rPr>
                <w:rStyle w:val="Hyperlink"/>
              </w:rPr>
              <w:t>Note</w:t>
            </w:r>
            <w:r w:rsidR="00ED0A58">
              <w:rPr>
                <w:webHidden/>
              </w:rPr>
              <w:tab/>
            </w:r>
            <w:r w:rsidR="00ED0A58">
              <w:rPr>
                <w:webHidden/>
              </w:rPr>
              <w:fldChar w:fldCharType="begin"/>
            </w:r>
            <w:r w:rsidR="00ED0A58">
              <w:rPr>
                <w:webHidden/>
              </w:rPr>
              <w:instrText xml:space="preserve"> PAGEREF _Toc436044719 \h </w:instrText>
            </w:r>
            <w:r w:rsidR="00ED0A58">
              <w:rPr>
                <w:webHidden/>
              </w:rPr>
            </w:r>
            <w:r w:rsidR="00ED0A58">
              <w:rPr>
                <w:webHidden/>
              </w:rPr>
              <w:fldChar w:fldCharType="separate"/>
            </w:r>
            <w:r w:rsidR="00ED0A58">
              <w:rPr>
                <w:webHidden/>
              </w:rPr>
              <w:t>12-2</w:t>
            </w:r>
            <w:r w:rsidR="00ED0A58">
              <w:rPr>
                <w:webHidden/>
              </w:rPr>
              <w:fldChar w:fldCharType="end"/>
            </w:r>
          </w:hyperlink>
        </w:p>
        <w:p w:rsidR="00ED0A58" w:rsidRDefault="002A2012">
          <w:pPr>
            <w:pStyle w:val="TOC1"/>
            <w:rPr>
              <w:rFonts w:asciiTheme="minorHAnsi" w:eastAsiaTheme="minorEastAsia" w:hAnsiTheme="minorHAnsi"/>
              <w:b w:val="0"/>
              <w:color w:val="auto"/>
              <w:sz w:val="22"/>
              <w:lang w:val="en-AU" w:eastAsia="en-AU"/>
            </w:rPr>
          </w:pPr>
          <w:hyperlink w:anchor="_Toc436044720" w:history="1">
            <w:r w:rsidR="00ED0A58" w:rsidRPr="001502B1">
              <w:rPr>
                <w:rStyle w:val="Hyperlink"/>
              </w:rPr>
              <w:t>Contents</w:t>
            </w:r>
            <w:r w:rsidR="00ED0A58">
              <w:rPr>
                <w:webHidden/>
              </w:rPr>
              <w:tab/>
            </w:r>
            <w:r w:rsidR="00ED0A58">
              <w:rPr>
                <w:webHidden/>
              </w:rPr>
              <w:fldChar w:fldCharType="begin"/>
            </w:r>
            <w:r w:rsidR="00ED0A58">
              <w:rPr>
                <w:webHidden/>
              </w:rPr>
              <w:instrText xml:space="preserve"> PAGEREF _Toc436044720 \h </w:instrText>
            </w:r>
            <w:r w:rsidR="00ED0A58">
              <w:rPr>
                <w:webHidden/>
              </w:rPr>
            </w:r>
            <w:r w:rsidR="00ED0A58">
              <w:rPr>
                <w:webHidden/>
              </w:rPr>
              <w:fldChar w:fldCharType="separate"/>
            </w:r>
            <w:r w:rsidR="00ED0A58">
              <w:rPr>
                <w:webHidden/>
              </w:rPr>
              <w:t>12-3</w:t>
            </w:r>
            <w:r w:rsidR="00ED0A58">
              <w:rPr>
                <w:webHidden/>
              </w:rPr>
              <w:fldChar w:fldCharType="end"/>
            </w:r>
          </w:hyperlink>
        </w:p>
        <w:p w:rsidR="00ED0A58" w:rsidRDefault="002A2012">
          <w:pPr>
            <w:pStyle w:val="TOC1"/>
            <w:rPr>
              <w:rFonts w:asciiTheme="minorHAnsi" w:eastAsiaTheme="minorEastAsia" w:hAnsiTheme="minorHAnsi"/>
              <w:b w:val="0"/>
              <w:color w:val="auto"/>
              <w:sz w:val="22"/>
              <w:lang w:val="en-AU" w:eastAsia="en-AU"/>
            </w:rPr>
          </w:pPr>
          <w:hyperlink w:anchor="_Toc436044721" w:history="1">
            <w:r w:rsidR="00ED0A58" w:rsidRPr="001502B1">
              <w:rPr>
                <w:rStyle w:val="Hyperlink"/>
              </w:rPr>
              <w:t>Shortened forms</w:t>
            </w:r>
            <w:r w:rsidR="00ED0A58">
              <w:rPr>
                <w:webHidden/>
              </w:rPr>
              <w:tab/>
            </w:r>
            <w:r w:rsidR="00ED0A58">
              <w:rPr>
                <w:webHidden/>
              </w:rPr>
              <w:fldChar w:fldCharType="begin"/>
            </w:r>
            <w:r w:rsidR="00ED0A58">
              <w:rPr>
                <w:webHidden/>
              </w:rPr>
              <w:instrText xml:space="preserve"> PAGEREF _Toc436044721 \h </w:instrText>
            </w:r>
            <w:r w:rsidR="00ED0A58">
              <w:rPr>
                <w:webHidden/>
              </w:rPr>
            </w:r>
            <w:r w:rsidR="00ED0A58">
              <w:rPr>
                <w:webHidden/>
              </w:rPr>
              <w:fldChar w:fldCharType="separate"/>
            </w:r>
            <w:r w:rsidR="00ED0A58">
              <w:rPr>
                <w:webHidden/>
              </w:rPr>
              <w:t>12-5</w:t>
            </w:r>
            <w:r w:rsidR="00ED0A58">
              <w:rPr>
                <w:webHidden/>
              </w:rPr>
              <w:fldChar w:fldCharType="end"/>
            </w:r>
          </w:hyperlink>
        </w:p>
        <w:p w:rsidR="00ED0A58" w:rsidRDefault="002A2012">
          <w:pPr>
            <w:pStyle w:val="TOC1"/>
            <w:rPr>
              <w:rFonts w:asciiTheme="minorHAnsi" w:eastAsiaTheme="minorEastAsia" w:hAnsiTheme="minorHAnsi"/>
              <w:b w:val="0"/>
              <w:color w:val="auto"/>
              <w:sz w:val="22"/>
              <w:lang w:val="en-AU" w:eastAsia="en-AU"/>
            </w:rPr>
          </w:pPr>
          <w:hyperlink w:anchor="_Toc436044722" w:history="1">
            <w:r w:rsidR="00ED0A58" w:rsidRPr="001502B1">
              <w:rPr>
                <w:rStyle w:val="Hyperlink"/>
              </w:rPr>
              <w:t>12</w:t>
            </w:r>
            <w:r w:rsidR="00ED0A58">
              <w:rPr>
                <w:rFonts w:asciiTheme="minorHAnsi" w:eastAsiaTheme="minorEastAsia" w:hAnsiTheme="minorHAnsi"/>
                <w:b w:val="0"/>
                <w:color w:val="auto"/>
                <w:sz w:val="22"/>
                <w:lang w:val="en-AU" w:eastAsia="en-AU"/>
              </w:rPr>
              <w:tab/>
            </w:r>
            <w:r w:rsidR="00ED0A58" w:rsidRPr="001502B1">
              <w:rPr>
                <w:rStyle w:val="Hyperlink"/>
              </w:rPr>
              <w:t>Non-tariff components</w:t>
            </w:r>
            <w:r w:rsidR="00ED0A58">
              <w:rPr>
                <w:webHidden/>
              </w:rPr>
              <w:tab/>
            </w:r>
            <w:r w:rsidR="00ED0A58">
              <w:rPr>
                <w:webHidden/>
              </w:rPr>
              <w:fldChar w:fldCharType="begin"/>
            </w:r>
            <w:r w:rsidR="00ED0A58">
              <w:rPr>
                <w:webHidden/>
              </w:rPr>
              <w:instrText xml:space="preserve"> PAGEREF _Toc436044722 \h </w:instrText>
            </w:r>
            <w:r w:rsidR="00ED0A58">
              <w:rPr>
                <w:webHidden/>
              </w:rPr>
            </w:r>
            <w:r w:rsidR="00ED0A58">
              <w:rPr>
                <w:webHidden/>
              </w:rPr>
              <w:fldChar w:fldCharType="separate"/>
            </w:r>
            <w:r w:rsidR="00ED0A58">
              <w:rPr>
                <w:webHidden/>
              </w:rPr>
              <w:t>12-7</w:t>
            </w:r>
            <w:r w:rsidR="00ED0A58">
              <w:rPr>
                <w:webHidden/>
              </w:rPr>
              <w:fldChar w:fldCharType="end"/>
            </w:r>
          </w:hyperlink>
        </w:p>
        <w:p w:rsidR="00ED0A58" w:rsidRDefault="002A2012">
          <w:pPr>
            <w:pStyle w:val="TOC2"/>
            <w:tabs>
              <w:tab w:val="left" w:pos="1276"/>
            </w:tabs>
            <w:rPr>
              <w:rFonts w:asciiTheme="minorHAnsi" w:eastAsiaTheme="minorEastAsia" w:hAnsiTheme="minorHAnsi"/>
              <w:b w:val="0"/>
              <w:color w:val="auto"/>
              <w:sz w:val="22"/>
              <w:lang w:eastAsia="en-AU"/>
            </w:rPr>
          </w:pPr>
          <w:hyperlink w:anchor="_Toc436044723" w:history="1">
            <w:r w:rsidR="00ED0A58" w:rsidRPr="001502B1">
              <w:rPr>
                <w:rStyle w:val="Hyperlink"/>
              </w:rPr>
              <w:t>12.1</w:t>
            </w:r>
            <w:r w:rsidR="00ED0A58">
              <w:rPr>
                <w:rFonts w:asciiTheme="minorHAnsi" w:eastAsiaTheme="minorEastAsia" w:hAnsiTheme="minorHAnsi"/>
                <w:b w:val="0"/>
                <w:color w:val="auto"/>
                <w:sz w:val="22"/>
                <w:lang w:eastAsia="en-AU"/>
              </w:rPr>
              <w:tab/>
            </w:r>
            <w:r w:rsidR="00ED0A58" w:rsidRPr="001502B1">
              <w:rPr>
                <w:rStyle w:val="Hyperlink"/>
              </w:rPr>
              <w:t>Terms and conditions</w:t>
            </w:r>
            <w:r w:rsidR="00ED0A58">
              <w:rPr>
                <w:webHidden/>
              </w:rPr>
              <w:tab/>
            </w:r>
            <w:r w:rsidR="00ED0A58">
              <w:rPr>
                <w:webHidden/>
              </w:rPr>
              <w:fldChar w:fldCharType="begin"/>
            </w:r>
            <w:r w:rsidR="00ED0A58">
              <w:rPr>
                <w:webHidden/>
              </w:rPr>
              <w:instrText xml:space="preserve"> PAGEREF _Toc436044723 \h </w:instrText>
            </w:r>
            <w:r w:rsidR="00ED0A58">
              <w:rPr>
                <w:webHidden/>
              </w:rPr>
            </w:r>
            <w:r w:rsidR="00ED0A58">
              <w:rPr>
                <w:webHidden/>
              </w:rPr>
              <w:fldChar w:fldCharType="separate"/>
            </w:r>
            <w:r w:rsidR="00ED0A58">
              <w:rPr>
                <w:webHidden/>
              </w:rPr>
              <w:t>12-7</w:t>
            </w:r>
            <w:r w:rsidR="00ED0A58">
              <w:rPr>
                <w:webHidden/>
              </w:rPr>
              <w:fldChar w:fldCharType="end"/>
            </w:r>
          </w:hyperlink>
        </w:p>
        <w:p w:rsidR="00ED0A58" w:rsidRDefault="002A2012">
          <w:pPr>
            <w:pStyle w:val="TOC3"/>
            <w:rPr>
              <w:rFonts w:asciiTheme="minorHAnsi" w:eastAsiaTheme="minorEastAsia" w:hAnsiTheme="minorHAnsi"/>
              <w:lang w:eastAsia="en-AU"/>
            </w:rPr>
          </w:pPr>
          <w:hyperlink w:anchor="_Toc436044724" w:history="1">
            <w:r w:rsidR="00ED0A58" w:rsidRPr="001502B1">
              <w:rPr>
                <w:rStyle w:val="Hyperlink"/>
              </w:rPr>
              <w:t>12.1.1</w:t>
            </w:r>
            <w:r w:rsidR="00ED0A58">
              <w:rPr>
                <w:rFonts w:asciiTheme="minorHAnsi" w:eastAsiaTheme="minorEastAsia" w:hAnsiTheme="minorHAnsi"/>
                <w:lang w:eastAsia="en-AU"/>
              </w:rPr>
              <w:tab/>
            </w:r>
            <w:r w:rsidR="00ED0A58" w:rsidRPr="001502B1">
              <w:rPr>
                <w:rStyle w:val="Hyperlink"/>
              </w:rPr>
              <w:t>Draft decision</w:t>
            </w:r>
            <w:r w:rsidR="00ED0A58">
              <w:rPr>
                <w:webHidden/>
              </w:rPr>
              <w:tab/>
            </w:r>
            <w:r w:rsidR="00ED0A58">
              <w:rPr>
                <w:webHidden/>
              </w:rPr>
              <w:fldChar w:fldCharType="begin"/>
            </w:r>
            <w:r w:rsidR="00ED0A58">
              <w:rPr>
                <w:webHidden/>
              </w:rPr>
              <w:instrText xml:space="preserve"> PAGEREF _Toc436044724 \h </w:instrText>
            </w:r>
            <w:r w:rsidR="00ED0A58">
              <w:rPr>
                <w:webHidden/>
              </w:rPr>
            </w:r>
            <w:r w:rsidR="00ED0A58">
              <w:rPr>
                <w:webHidden/>
              </w:rPr>
              <w:fldChar w:fldCharType="separate"/>
            </w:r>
            <w:r w:rsidR="00ED0A58">
              <w:rPr>
                <w:webHidden/>
              </w:rPr>
              <w:t>12-8</w:t>
            </w:r>
            <w:r w:rsidR="00ED0A58">
              <w:rPr>
                <w:webHidden/>
              </w:rPr>
              <w:fldChar w:fldCharType="end"/>
            </w:r>
          </w:hyperlink>
        </w:p>
        <w:p w:rsidR="00ED0A58" w:rsidRDefault="002A2012">
          <w:pPr>
            <w:pStyle w:val="TOC3"/>
            <w:rPr>
              <w:rFonts w:asciiTheme="minorHAnsi" w:eastAsiaTheme="minorEastAsia" w:hAnsiTheme="minorHAnsi"/>
              <w:lang w:eastAsia="en-AU"/>
            </w:rPr>
          </w:pPr>
          <w:hyperlink w:anchor="_Toc436044725" w:history="1">
            <w:r w:rsidR="00ED0A58" w:rsidRPr="001502B1">
              <w:rPr>
                <w:rStyle w:val="Hyperlink"/>
              </w:rPr>
              <w:t>12.1.2</w:t>
            </w:r>
            <w:r w:rsidR="00ED0A58">
              <w:rPr>
                <w:rFonts w:asciiTheme="minorHAnsi" w:eastAsiaTheme="minorEastAsia" w:hAnsiTheme="minorHAnsi"/>
                <w:lang w:eastAsia="en-AU"/>
              </w:rPr>
              <w:tab/>
            </w:r>
            <w:r w:rsidR="00ED0A58" w:rsidRPr="001502B1">
              <w:rPr>
                <w:rStyle w:val="Hyperlink"/>
              </w:rPr>
              <w:t>APTNT’s proposal</w:t>
            </w:r>
            <w:r w:rsidR="00ED0A58">
              <w:rPr>
                <w:webHidden/>
              </w:rPr>
              <w:tab/>
            </w:r>
            <w:r w:rsidR="00ED0A58">
              <w:rPr>
                <w:webHidden/>
              </w:rPr>
              <w:fldChar w:fldCharType="begin"/>
            </w:r>
            <w:r w:rsidR="00ED0A58">
              <w:rPr>
                <w:webHidden/>
              </w:rPr>
              <w:instrText xml:space="preserve"> PAGEREF _Toc436044725 \h </w:instrText>
            </w:r>
            <w:r w:rsidR="00ED0A58">
              <w:rPr>
                <w:webHidden/>
              </w:rPr>
            </w:r>
            <w:r w:rsidR="00ED0A58">
              <w:rPr>
                <w:webHidden/>
              </w:rPr>
              <w:fldChar w:fldCharType="separate"/>
            </w:r>
            <w:r w:rsidR="00ED0A58">
              <w:rPr>
                <w:webHidden/>
              </w:rPr>
              <w:t>12-8</w:t>
            </w:r>
            <w:r w:rsidR="00ED0A58">
              <w:rPr>
                <w:webHidden/>
              </w:rPr>
              <w:fldChar w:fldCharType="end"/>
            </w:r>
          </w:hyperlink>
        </w:p>
        <w:p w:rsidR="00ED0A58" w:rsidRDefault="002A2012">
          <w:pPr>
            <w:pStyle w:val="TOC3"/>
            <w:rPr>
              <w:rFonts w:asciiTheme="minorHAnsi" w:eastAsiaTheme="minorEastAsia" w:hAnsiTheme="minorHAnsi"/>
              <w:lang w:eastAsia="en-AU"/>
            </w:rPr>
          </w:pPr>
          <w:hyperlink w:anchor="_Toc436044726" w:history="1">
            <w:r w:rsidR="00ED0A58" w:rsidRPr="001502B1">
              <w:rPr>
                <w:rStyle w:val="Hyperlink"/>
              </w:rPr>
              <w:t>12.1.3</w:t>
            </w:r>
            <w:r w:rsidR="00ED0A58">
              <w:rPr>
                <w:rFonts w:asciiTheme="minorHAnsi" w:eastAsiaTheme="minorEastAsia" w:hAnsiTheme="minorHAnsi"/>
                <w:lang w:eastAsia="en-AU"/>
              </w:rPr>
              <w:tab/>
            </w:r>
            <w:r w:rsidR="00ED0A58" w:rsidRPr="001502B1">
              <w:rPr>
                <w:rStyle w:val="Hyperlink"/>
              </w:rPr>
              <w:t>AER’s assessment approach</w:t>
            </w:r>
            <w:r w:rsidR="00ED0A58">
              <w:rPr>
                <w:webHidden/>
              </w:rPr>
              <w:tab/>
            </w:r>
            <w:r w:rsidR="00ED0A58">
              <w:rPr>
                <w:webHidden/>
              </w:rPr>
              <w:fldChar w:fldCharType="begin"/>
            </w:r>
            <w:r w:rsidR="00ED0A58">
              <w:rPr>
                <w:webHidden/>
              </w:rPr>
              <w:instrText xml:space="preserve"> PAGEREF _Toc436044726 \h </w:instrText>
            </w:r>
            <w:r w:rsidR="00ED0A58">
              <w:rPr>
                <w:webHidden/>
              </w:rPr>
            </w:r>
            <w:r w:rsidR="00ED0A58">
              <w:rPr>
                <w:webHidden/>
              </w:rPr>
              <w:fldChar w:fldCharType="separate"/>
            </w:r>
            <w:r w:rsidR="00ED0A58">
              <w:rPr>
                <w:webHidden/>
              </w:rPr>
              <w:t>12-8</w:t>
            </w:r>
            <w:r w:rsidR="00ED0A58">
              <w:rPr>
                <w:webHidden/>
              </w:rPr>
              <w:fldChar w:fldCharType="end"/>
            </w:r>
          </w:hyperlink>
        </w:p>
        <w:p w:rsidR="00ED0A58" w:rsidRDefault="002A2012">
          <w:pPr>
            <w:pStyle w:val="TOC3"/>
            <w:rPr>
              <w:rFonts w:asciiTheme="minorHAnsi" w:eastAsiaTheme="minorEastAsia" w:hAnsiTheme="minorHAnsi"/>
              <w:lang w:eastAsia="en-AU"/>
            </w:rPr>
          </w:pPr>
          <w:hyperlink w:anchor="_Toc436044727" w:history="1">
            <w:r w:rsidR="00ED0A58" w:rsidRPr="001502B1">
              <w:rPr>
                <w:rStyle w:val="Hyperlink"/>
              </w:rPr>
              <w:t>12.1.4</w:t>
            </w:r>
            <w:r w:rsidR="00ED0A58">
              <w:rPr>
                <w:rFonts w:asciiTheme="minorHAnsi" w:eastAsiaTheme="minorEastAsia" w:hAnsiTheme="minorHAnsi"/>
                <w:lang w:eastAsia="en-AU"/>
              </w:rPr>
              <w:tab/>
            </w:r>
            <w:r w:rsidR="00ED0A58" w:rsidRPr="001502B1">
              <w:rPr>
                <w:rStyle w:val="Hyperlink"/>
              </w:rPr>
              <w:t>Reasons for draft decision</w:t>
            </w:r>
            <w:r w:rsidR="00ED0A58">
              <w:rPr>
                <w:webHidden/>
              </w:rPr>
              <w:tab/>
            </w:r>
            <w:r w:rsidR="00ED0A58">
              <w:rPr>
                <w:webHidden/>
              </w:rPr>
              <w:fldChar w:fldCharType="begin"/>
            </w:r>
            <w:r w:rsidR="00ED0A58">
              <w:rPr>
                <w:webHidden/>
              </w:rPr>
              <w:instrText xml:space="preserve"> PAGEREF _Toc436044727 \h </w:instrText>
            </w:r>
            <w:r w:rsidR="00ED0A58">
              <w:rPr>
                <w:webHidden/>
              </w:rPr>
            </w:r>
            <w:r w:rsidR="00ED0A58">
              <w:rPr>
                <w:webHidden/>
              </w:rPr>
              <w:fldChar w:fldCharType="separate"/>
            </w:r>
            <w:r w:rsidR="00ED0A58">
              <w:rPr>
                <w:webHidden/>
              </w:rPr>
              <w:t>12-10</w:t>
            </w:r>
            <w:r w:rsidR="00ED0A58">
              <w:rPr>
                <w:webHidden/>
              </w:rPr>
              <w:fldChar w:fldCharType="end"/>
            </w:r>
          </w:hyperlink>
        </w:p>
        <w:p w:rsidR="00ED0A58" w:rsidRDefault="002A2012">
          <w:pPr>
            <w:pStyle w:val="TOC2"/>
            <w:tabs>
              <w:tab w:val="left" w:pos="1276"/>
            </w:tabs>
            <w:rPr>
              <w:rFonts w:asciiTheme="minorHAnsi" w:eastAsiaTheme="minorEastAsia" w:hAnsiTheme="minorHAnsi"/>
              <w:b w:val="0"/>
              <w:color w:val="auto"/>
              <w:sz w:val="22"/>
              <w:lang w:eastAsia="en-AU"/>
            </w:rPr>
          </w:pPr>
          <w:hyperlink w:anchor="_Toc436044728" w:history="1">
            <w:r w:rsidR="00ED0A58" w:rsidRPr="001502B1">
              <w:rPr>
                <w:rStyle w:val="Hyperlink"/>
              </w:rPr>
              <w:t>12.2</w:t>
            </w:r>
            <w:r w:rsidR="00ED0A58">
              <w:rPr>
                <w:rFonts w:asciiTheme="minorHAnsi" w:eastAsiaTheme="minorEastAsia" w:hAnsiTheme="minorHAnsi"/>
                <w:b w:val="0"/>
                <w:color w:val="auto"/>
                <w:sz w:val="22"/>
                <w:lang w:eastAsia="en-AU"/>
              </w:rPr>
              <w:tab/>
            </w:r>
            <w:r w:rsidR="00ED0A58" w:rsidRPr="001502B1">
              <w:rPr>
                <w:rStyle w:val="Hyperlink"/>
              </w:rPr>
              <w:t>Queuing requirements</w:t>
            </w:r>
            <w:r w:rsidR="00ED0A58">
              <w:rPr>
                <w:webHidden/>
              </w:rPr>
              <w:tab/>
            </w:r>
            <w:r w:rsidR="00ED0A58">
              <w:rPr>
                <w:webHidden/>
              </w:rPr>
              <w:fldChar w:fldCharType="begin"/>
            </w:r>
            <w:r w:rsidR="00ED0A58">
              <w:rPr>
                <w:webHidden/>
              </w:rPr>
              <w:instrText xml:space="preserve"> PAGEREF _Toc436044728 \h </w:instrText>
            </w:r>
            <w:r w:rsidR="00ED0A58">
              <w:rPr>
                <w:webHidden/>
              </w:rPr>
            </w:r>
            <w:r w:rsidR="00ED0A58">
              <w:rPr>
                <w:webHidden/>
              </w:rPr>
              <w:fldChar w:fldCharType="separate"/>
            </w:r>
            <w:r w:rsidR="00ED0A58">
              <w:rPr>
                <w:webHidden/>
              </w:rPr>
              <w:t>12-14</w:t>
            </w:r>
            <w:r w:rsidR="00ED0A58">
              <w:rPr>
                <w:webHidden/>
              </w:rPr>
              <w:fldChar w:fldCharType="end"/>
            </w:r>
          </w:hyperlink>
        </w:p>
        <w:p w:rsidR="00ED0A58" w:rsidRDefault="002A2012">
          <w:pPr>
            <w:pStyle w:val="TOC3"/>
            <w:rPr>
              <w:rFonts w:asciiTheme="minorHAnsi" w:eastAsiaTheme="minorEastAsia" w:hAnsiTheme="minorHAnsi"/>
              <w:lang w:eastAsia="en-AU"/>
            </w:rPr>
          </w:pPr>
          <w:hyperlink w:anchor="_Toc436044729" w:history="1">
            <w:r w:rsidR="00ED0A58" w:rsidRPr="001502B1">
              <w:rPr>
                <w:rStyle w:val="Hyperlink"/>
              </w:rPr>
              <w:t>12.2.1</w:t>
            </w:r>
            <w:r w:rsidR="00ED0A58">
              <w:rPr>
                <w:rFonts w:asciiTheme="minorHAnsi" w:eastAsiaTheme="minorEastAsia" w:hAnsiTheme="minorHAnsi"/>
                <w:lang w:eastAsia="en-AU"/>
              </w:rPr>
              <w:tab/>
            </w:r>
            <w:r w:rsidR="00ED0A58" w:rsidRPr="001502B1">
              <w:rPr>
                <w:rStyle w:val="Hyperlink"/>
              </w:rPr>
              <w:t>Draft decision</w:t>
            </w:r>
            <w:r w:rsidR="00ED0A58">
              <w:rPr>
                <w:webHidden/>
              </w:rPr>
              <w:tab/>
            </w:r>
            <w:r w:rsidR="00ED0A58">
              <w:rPr>
                <w:webHidden/>
              </w:rPr>
              <w:fldChar w:fldCharType="begin"/>
            </w:r>
            <w:r w:rsidR="00ED0A58">
              <w:rPr>
                <w:webHidden/>
              </w:rPr>
              <w:instrText xml:space="preserve"> PAGEREF _Toc436044729 \h </w:instrText>
            </w:r>
            <w:r w:rsidR="00ED0A58">
              <w:rPr>
                <w:webHidden/>
              </w:rPr>
            </w:r>
            <w:r w:rsidR="00ED0A58">
              <w:rPr>
                <w:webHidden/>
              </w:rPr>
              <w:fldChar w:fldCharType="separate"/>
            </w:r>
            <w:r w:rsidR="00ED0A58">
              <w:rPr>
                <w:webHidden/>
              </w:rPr>
              <w:t>12-14</w:t>
            </w:r>
            <w:r w:rsidR="00ED0A58">
              <w:rPr>
                <w:webHidden/>
              </w:rPr>
              <w:fldChar w:fldCharType="end"/>
            </w:r>
          </w:hyperlink>
        </w:p>
        <w:p w:rsidR="00ED0A58" w:rsidRDefault="002A2012">
          <w:pPr>
            <w:pStyle w:val="TOC3"/>
            <w:rPr>
              <w:rFonts w:asciiTheme="minorHAnsi" w:eastAsiaTheme="minorEastAsia" w:hAnsiTheme="minorHAnsi"/>
              <w:lang w:eastAsia="en-AU"/>
            </w:rPr>
          </w:pPr>
          <w:hyperlink w:anchor="_Toc436044730" w:history="1">
            <w:r w:rsidR="00ED0A58" w:rsidRPr="001502B1">
              <w:rPr>
                <w:rStyle w:val="Hyperlink"/>
              </w:rPr>
              <w:t>12.2.2</w:t>
            </w:r>
            <w:r w:rsidR="00ED0A58">
              <w:rPr>
                <w:rFonts w:asciiTheme="minorHAnsi" w:eastAsiaTheme="minorEastAsia" w:hAnsiTheme="minorHAnsi"/>
                <w:lang w:eastAsia="en-AU"/>
              </w:rPr>
              <w:tab/>
            </w:r>
            <w:r w:rsidR="00ED0A58" w:rsidRPr="001502B1">
              <w:rPr>
                <w:rStyle w:val="Hyperlink"/>
              </w:rPr>
              <w:t>APTNT’s proposal</w:t>
            </w:r>
            <w:r w:rsidR="00ED0A58">
              <w:rPr>
                <w:webHidden/>
              </w:rPr>
              <w:tab/>
            </w:r>
            <w:r w:rsidR="00ED0A58">
              <w:rPr>
                <w:webHidden/>
              </w:rPr>
              <w:fldChar w:fldCharType="begin"/>
            </w:r>
            <w:r w:rsidR="00ED0A58">
              <w:rPr>
                <w:webHidden/>
              </w:rPr>
              <w:instrText xml:space="preserve"> PAGEREF _Toc436044730 \h </w:instrText>
            </w:r>
            <w:r w:rsidR="00ED0A58">
              <w:rPr>
                <w:webHidden/>
              </w:rPr>
            </w:r>
            <w:r w:rsidR="00ED0A58">
              <w:rPr>
                <w:webHidden/>
              </w:rPr>
              <w:fldChar w:fldCharType="separate"/>
            </w:r>
            <w:r w:rsidR="00ED0A58">
              <w:rPr>
                <w:webHidden/>
              </w:rPr>
              <w:t>12-14</w:t>
            </w:r>
            <w:r w:rsidR="00ED0A58">
              <w:rPr>
                <w:webHidden/>
              </w:rPr>
              <w:fldChar w:fldCharType="end"/>
            </w:r>
          </w:hyperlink>
        </w:p>
        <w:p w:rsidR="00ED0A58" w:rsidRDefault="002A2012">
          <w:pPr>
            <w:pStyle w:val="TOC3"/>
            <w:rPr>
              <w:rFonts w:asciiTheme="minorHAnsi" w:eastAsiaTheme="minorEastAsia" w:hAnsiTheme="minorHAnsi"/>
              <w:lang w:eastAsia="en-AU"/>
            </w:rPr>
          </w:pPr>
          <w:hyperlink w:anchor="_Toc436044731" w:history="1">
            <w:r w:rsidR="00ED0A58" w:rsidRPr="001502B1">
              <w:rPr>
                <w:rStyle w:val="Hyperlink"/>
              </w:rPr>
              <w:t>12.2.3</w:t>
            </w:r>
            <w:r w:rsidR="00ED0A58">
              <w:rPr>
                <w:rFonts w:asciiTheme="minorHAnsi" w:eastAsiaTheme="minorEastAsia" w:hAnsiTheme="minorHAnsi"/>
                <w:lang w:eastAsia="en-AU"/>
              </w:rPr>
              <w:tab/>
            </w:r>
            <w:r w:rsidR="00ED0A58" w:rsidRPr="001502B1">
              <w:rPr>
                <w:rStyle w:val="Hyperlink"/>
              </w:rPr>
              <w:t>AER’s assessment approach</w:t>
            </w:r>
            <w:r w:rsidR="00ED0A58">
              <w:rPr>
                <w:webHidden/>
              </w:rPr>
              <w:tab/>
            </w:r>
            <w:r w:rsidR="00ED0A58">
              <w:rPr>
                <w:webHidden/>
              </w:rPr>
              <w:fldChar w:fldCharType="begin"/>
            </w:r>
            <w:r w:rsidR="00ED0A58">
              <w:rPr>
                <w:webHidden/>
              </w:rPr>
              <w:instrText xml:space="preserve"> PAGEREF _Toc436044731 \h </w:instrText>
            </w:r>
            <w:r w:rsidR="00ED0A58">
              <w:rPr>
                <w:webHidden/>
              </w:rPr>
            </w:r>
            <w:r w:rsidR="00ED0A58">
              <w:rPr>
                <w:webHidden/>
              </w:rPr>
              <w:fldChar w:fldCharType="separate"/>
            </w:r>
            <w:r w:rsidR="00ED0A58">
              <w:rPr>
                <w:webHidden/>
              </w:rPr>
              <w:t>12-14</w:t>
            </w:r>
            <w:r w:rsidR="00ED0A58">
              <w:rPr>
                <w:webHidden/>
              </w:rPr>
              <w:fldChar w:fldCharType="end"/>
            </w:r>
          </w:hyperlink>
        </w:p>
        <w:p w:rsidR="00ED0A58" w:rsidRDefault="002A2012">
          <w:pPr>
            <w:pStyle w:val="TOC3"/>
            <w:rPr>
              <w:rFonts w:asciiTheme="minorHAnsi" w:eastAsiaTheme="minorEastAsia" w:hAnsiTheme="minorHAnsi"/>
              <w:lang w:eastAsia="en-AU"/>
            </w:rPr>
          </w:pPr>
          <w:hyperlink w:anchor="_Toc436044732" w:history="1">
            <w:r w:rsidR="00ED0A58" w:rsidRPr="001502B1">
              <w:rPr>
                <w:rStyle w:val="Hyperlink"/>
              </w:rPr>
              <w:t>12.2.4</w:t>
            </w:r>
            <w:r w:rsidR="00ED0A58">
              <w:rPr>
                <w:rFonts w:asciiTheme="minorHAnsi" w:eastAsiaTheme="minorEastAsia" w:hAnsiTheme="minorHAnsi"/>
                <w:lang w:eastAsia="en-AU"/>
              </w:rPr>
              <w:tab/>
            </w:r>
            <w:r w:rsidR="00ED0A58" w:rsidRPr="001502B1">
              <w:rPr>
                <w:rStyle w:val="Hyperlink"/>
              </w:rPr>
              <w:t>Reasons for draft decision</w:t>
            </w:r>
            <w:r w:rsidR="00ED0A58">
              <w:rPr>
                <w:webHidden/>
              </w:rPr>
              <w:tab/>
            </w:r>
            <w:r w:rsidR="00ED0A58">
              <w:rPr>
                <w:webHidden/>
              </w:rPr>
              <w:fldChar w:fldCharType="begin"/>
            </w:r>
            <w:r w:rsidR="00ED0A58">
              <w:rPr>
                <w:webHidden/>
              </w:rPr>
              <w:instrText xml:space="preserve"> PAGEREF _Toc436044732 \h </w:instrText>
            </w:r>
            <w:r w:rsidR="00ED0A58">
              <w:rPr>
                <w:webHidden/>
              </w:rPr>
            </w:r>
            <w:r w:rsidR="00ED0A58">
              <w:rPr>
                <w:webHidden/>
              </w:rPr>
              <w:fldChar w:fldCharType="separate"/>
            </w:r>
            <w:r w:rsidR="00ED0A58">
              <w:rPr>
                <w:webHidden/>
              </w:rPr>
              <w:t>12-15</w:t>
            </w:r>
            <w:r w:rsidR="00ED0A58">
              <w:rPr>
                <w:webHidden/>
              </w:rPr>
              <w:fldChar w:fldCharType="end"/>
            </w:r>
          </w:hyperlink>
        </w:p>
        <w:p w:rsidR="00ED0A58" w:rsidRDefault="002A2012">
          <w:pPr>
            <w:pStyle w:val="TOC2"/>
            <w:tabs>
              <w:tab w:val="left" w:pos="1276"/>
            </w:tabs>
            <w:rPr>
              <w:rFonts w:asciiTheme="minorHAnsi" w:eastAsiaTheme="minorEastAsia" w:hAnsiTheme="minorHAnsi"/>
              <w:b w:val="0"/>
              <w:color w:val="auto"/>
              <w:sz w:val="22"/>
              <w:lang w:eastAsia="en-AU"/>
            </w:rPr>
          </w:pPr>
          <w:hyperlink w:anchor="_Toc436044733" w:history="1">
            <w:r w:rsidR="00ED0A58" w:rsidRPr="001502B1">
              <w:rPr>
                <w:rStyle w:val="Hyperlink"/>
              </w:rPr>
              <w:t>12.3</w:t>
            </w:r>
            <w:r w:rsidR="00ED0A58">
              <w:rPr>
                <w:rFonts w:asciiTheme="minorHAnsi" w:eastAsiaTheme="minorEastAsia" w:hAnsiTheme="minorHAnsi"/>
                <w:b w:val="0"/>
                <w:color w:val="auto"/>
                <w:sz w:val="22"/>
                <w:lang w:eastAsia="en-AU"/>
              </w:rPr>
              <w:tab/>
            </w:r>
            <w:r w:rsidR="00ED0A58" w:rsidRPr="001502B1">
              <w:rPr>
                <w:rStyle w:val="Hyperlink"/>
              </w:rPr>
              <w:t>Capacity trading requirements</w:t>
            </w:r>
            <w:r w:rsidR="00ED0A58">
              <w:rPr>
                <w:webHidden/>
              </w:rPr>
              <w:tab/>
            </w:r>
            <w:r w:rsidR="00ED0A58">
              <w:rPr>
                <w:webHidden/>
              </w:rPr>
              <w:fldChar w:fldCharType="begin"/>
            </w:r>
            <w:r w:rsidR="00ED0A58">
              <w:rPr>
                <w:webHidden/>
              </w:rPr>
              <w:instrText xml:space="preserve"> PAGEREF _Toc436044733 \h </w:instrText>
            </w:r>
            <w:r w:rsidR="00ED0A58">
              <w:rPr>
                <w:webHidden/>
              </w:rPr>
            </w:r>
            <w:r w:rsidR="00ED0A58">
              <w:rPr>
                <w:webHidden/>
              </w:rPr>
              <w:fldChar w:fldCharType="separate"/>
            </w:r>
            <w:r w:rsidR="00ED0A58">
              <w:rPr>
                <w:webHidden/>
              </w:rPr>
              <w:t>12-15</w:t>
            </w:r>
            <w:r w:rsidR="00ED0A58">
              <w:rPr>
                <w:webHidden/>
              </w:rPr>
              <w:fldChar w:fldCharType="end"/>
            </w:r>
          </w:hyperlink>
        </w:p>
        <w:p w:rsidR="00ED0A58" w:rsidRDefault="002A2012">
          <w:pPr>
            <w:pStyle w:val="TOC3"/>
            <w:rPr>
              <w:rFonts w:asciiTheme="minorHAnsi" w:eastAsiaTheme="minorEastAsia" w:hAnsiTheme="minorHAnsi"/>
              <w:lang w:eastAsia="en-AU"/>
            </w:rPr>
          </w:pPr>
          <w:hyperlink w:anchor="_Toc436044734" w:history="1">
            <w:r w:rsidR="00ED0A58" w:rsidRPr="001502B1">
              <w:rPr>
                <w:rStyle w:val="Hyperlink"/>
              </w:rPr>
              <w:t>12.3.1</w:t>
            </w:r>
            <w:r w:rsidR="00ED0A58">
              <w:rPr>
                <w:rFonts w:asciiTheme="minorHAnsi" w:eastAsiaTheme="minorEastAsia" w:hAnsiTheme="minorHAnsi"/>
                <w:lang w:eastAsia="en-AU"/>
              </w:rPr>
              <w:tab/>
            </w:r>
            <w:r w:rsidR="00ED0A58" w:rsidRPr="001502B1">
              <w:rPr>
                <w:rStyle w:val="Hyperlink"/>
              </w:rPr>
              <w:t>Draft decision</w:t>
            </w:r>
            <w:r w:rsidR="00ED0A58">
              <w:rPr>
                <w:webHidden/>
              </w:rPr>
              <w:tab/>
            </w:r>
            <w:r w:rsidR="00ED0A58">
              <w:rPr>
                <w:webHidden/>
              </w:rPr>
              <w:fldChar w:fldCharType="begin"/>
            </w:r>
            <w:r w:rsidR="00ED0A58">
              <w:rPr>
                <w:webHidden/>
              </w:rPr>
              <w:instrText xml:space="preserve"> PAGEREF _Toc436044734 \h </w:instrText>
            </w:r>
            <w:r w:rsidR="00ED0A58">
              <w:rPr>
                <w:webHidden/>
              </w:rPr>
            </w:r>
            <w:r w:rsidR="00ED0A58">
              <w:rPr>
                <w:webHidden/>
              </w:rPr>
              <w:fldChar w:fldCharType="separate"/>
            </w:r>
            <w:r w:rsidR="00ED0A58">
              <w:rPr>
                <w:webHidden/>
              </w:rPr>
              <w:t>12-16</w:t>
            </w:r>
            <w:r w:rsidR="00ED0A58">
              <w:rPr>
                <w:webHidden/>
              </w:rPr>
              <w:fldChar w:fldCharType="end"/>
            </w:r>
          </w:hyperlink>
        </w:p>
        <w:p w:rsidR="00ED0A58" w:rsidRDefault="002A2012">
          <w:pPr>
            <w:pStyle w:val="TOC3"/>
            <w:rPr>
              <w:rFonts w:asciiTheme="minorHAnsi" w:eastAsiaTheme="minorEastAsia" w:hAnsiTheme="minorHAnsi"/>
              <w:lang w:eastAsia="en-AU"/>
            </w:rPr>
          </w:pPr>
          <w:hyperlink w:anchor="_Toc436044735" w:history="1">
            <w:r w:rsidR="00ED0A58" w:rsidRPr="001502B1">
              <w:rPr>
                <w:rStyle w:val="Hyperlink"/>
              </w:rPr>
              <w:t>12.3.2</w:t>
            </w:r>
            <w:r w:rsidR="00ED0A58">
              <w:rPr>
                <w:rFonts w:asciiTheme="minorHAnsi" w:eastAsiaTheme="minorEastAsia" w:hAnsiTheme="minorHAnsi"/>
                <w:lang w:eastAsia="en-AU"/>
              </w:rPr>
              <w:tab/>
            </w:r>
            <w:r w:rsidR="00ED0A58" w:rsidRPr="001502B1">
              <w:rPr>
                <w:rStyle w:val="Hyperlink"/>
              </w:rPr>
              <w:t>APTNT’s proposal</w:t>
            </w:r>
            <w:r w:rsidR="00ED0A58">
              <w:rPr>
                <w:webHidden/>
              </w:rPr>
              <w:tab/>
            </w:r>
            <w:r w:rsidR="00ED0A58">
              <w:rPr>
                <w:webHidden/>
              </w:rPr>
              <w:fldChar w:fldCharType="begin"/>
            </w:r>
            <w:r w:rsidR="00ED0A58">
              <w:rPr>
                <w:webHidden/>
              </w:rPr>
              <w:instrText xml:space="preserve"> PAGEREF _Toc436044735 \h </w:instrText>
            </w:r>
            <w:r w:rsidR="00ED0A58">
              <w:rPr>
                <w:webHidden/>
              </w:rPr>
            </w:r>
            <w:r w:rsidR="00ED0A58">
              <w:rPr>
                <w:webHidden/>
              </w:rPr>
              <w:fldChar w:fldCharType="separate"/>
            </w:r>
            <w:r w:rsidR="00ED0A58">
              <w:rPr>
                <w:webHidden/>
              </w:rPr>
              <w:t>12-16</w:t>
            </w:r>
            <w:r w:rsidR="00ED0A58">
              <w:rPr>
                <w:webHidden/>
              </w:rPr>
              <w:fldChar w:fldCharType="end"/>
            </w:r>
          </w:hyperlink>
        </w:p>
        <w:p w:rsidR="00ED0A58" w:rsidRDefault="002A2012">
          <w:pPr>
            <w:pStyle w:val="TOC3"/>
            <w:rPr>
              <w:rFonts w:asciiTheme="minorHAnsi" w:eastAsiaTheme="minorEastAsia" w:hAnsiTheme="minorHAnsi"/>
              <w:lang w:eastAsia="en-AU"/>
            </w:rPr>
          </w:pPr>
          <w:hyperlink w:anchor="_Toc436044736" w:history="1">
            <w:r w:rsidR="00ED0A58" w:rsidRPr="001502B1">
              <w:rPr>
                <w:rStyle w:val="Hyperlink"/>
              </w:rPr>
              <w:t>12.3.3</w:t>
            </w:r>
            <w:r w:rsidR="00ED0A58">
              <w:rPr>
                <w:rFonts w:asciiTheme="minorHAnsi" w:eastAsiaTheme="minorEastAsia" w:hAnsiTheme="minorHAnsi"/>
                <w:lang w:eastAsia="en-AU"/>
              </w:rPr>
              <w:tab/>
            </w:r>
            <w:r w:rsidR="00ED0A58" w:rsidRPr="001502B1">
              <w:rPr>
                <w:rStyle w:val="Hyperlink"/>
              </w:rPr>
              <w:t>AER’s assessment approach</w:t>
            </w:r>
            <w:r w:rsidR="00ED0A58">
              <w:rPr>
                <w:webHidden/>
              </w:rPr>
              <w:tab/>
            </w:r>
            <w:r w:rsidR="00ED0A58">
              <w:rPr>
                <w:webHidden/>
              </w:rPr>
              <w:fldChar w:fldCharType="begin"/>
            </w:r>
            <w:r w:rsidR="00ED0A58">
              <w:rPr>
                <w:webHidden/>
              </w:rPr>
              <w:instrText xml:space="preserve"> PAGEREF _Toc436044736 \h </w:instrText>
            </w:r>
            <w:r w:rsidR="00ED0A58">
              <w:rPr>
                <w:webHidden/>
              </w:rPr>
            </w:r>
            <w:r w:rsidR="00ED0A58">
              <w:rPr>
                <w:webHidden/>
              </w:rPr>
              <w:fldChar w:fldCharType="separate"/>
            </w:r>
            <w:r w:rsidR="00ED0A58">
              <w:rPr>
                <w:webHidden/>
              </w:rPr>
              <w:t>12-16</w:t>
            </w:r>
            <w:r w:rsidR="00ED0A58">
              <w:rPr>
                <w:webHidden/>
              </w:rPr>
              <w:fldChar w:fldCharType="end"/>
            </w:r>
          </w:hyperlink>
        </w:p>
        <w:p w:rsidR="00ED0A58" w:rsidRDefault="002A2012">
          <w:pPr>
            <w:pStyle w:val="TOC3"/>
            <w:rPr>
              <w:rFonts w:asciiTheme="minorHAnsi" w:eastAsiaTheme="minorEastAsia" w:hAnsiTheme="minorHAnsi"/>
              <w:lang w:eastAsia="en-AU"/>
            </w:rPr>
          </w:pPr>
          <w:hyperlink w:anchor="_Toc436044737" w:history="1">
            <w:r w:rsidR="00ED0A58" w:rsidRPr="001502B1">
              <w:rPr>
                <w:rStyle w:val="Hyperlink"/>
              </w:rPr>
              <w:t>12.3.4</w:t>
            </w:r>
            <w:r w:rsidR="00ED0A58">
              <w:rPr>
                <w:rFonts w:asciiTheme="minorHAnsi" w:eastAsiaTheme="minorEastAsia" w:hAnsiTheme="minorHAnsi"/>
                <w:lang w:eastAsia="en-AU"/>
              </w:rPr>
              <w:tab/>
            </w:r>
            <w:r w:rsidR="00ED0A58" w:rsidRPr="001502B1">
              <w:rPr>
                <w:rStyle w:val="Hyperlink"/>
              </w:rPr>
              <w:t>Reasons for draft decision</w:t>
            </w:r>
            <w:r w:rsidR="00ED0A58">
              <w:rPr>
                <w:webHidden/>
              </w:rPr>
              <w:tab/>
            </w:r>
            <w:r w:rsidR="00ED0A58">
              <w:rPr>
                <w:webHidden/>
              </w:rPr>
              <w:fldChar w:fldCharType="begin"/>
            </w:r>
            <w:r w:rsidR="00ED0A58">
              <w:rPr>
                <w:webHidden/>
              </w:rPr>
              <w:instrText xml:space="preserve"> PAGEREF _Toc436044737 \h </w:instrText>
            </w:r>
            <w:r w:rsidR="00ED0A58">
              <w:rPr>
                <w:webHidden/>
              </w:rPr>
            </w:r>
            <w:r w:rsidR="00ED0A58">
              <w:rPr>
                <w:webHidden/>
              </w:rPr>
              <w:fldChar w:fldCharType="separate"/>
            </w:r>
            <w:r w:rsidR="00ED0A58">
              <w:rPr>
                <w:webHidden/>
              </w:rPr>
              <w:t>12-17</w:t>
            </w:r>
            <w:r w:rsidR="00ED0A58">
              <w:rPr>
                <w:webHidden/>
              </w:rPr>
              <w:fldChar w:fldCharType="end"/>
            </w:r>
          </w:hyperlink>
        </w:p>
        <w:p w:rsidR="00ED0A58" w:rsidRDefault="002A2012">
          <w:pPr>
            <w:pStyle w:val="TOC2"/>
            <w:tabs>
              <w:tab w:val="left" w:pos="1276"/>
            </w:tabs>
            <w:rPr>
              <w:rFonts w:asciiTheme="minorHAnsi" w:eastAsiaTheme="minorEastAsia" w:hAnsiTheme="minorHAnsi"/>
              <w:b w:val="0"/>
              <w:color w:val="auto"/>
              <w:sz w:val="22"/>
              <w:lang w:eastAsia="en-AU"/>
            </w:rPr>
          </w:pPr>
          <w:hyperlink w:anchor="_Toc436044738" w:history="1">
            <w:r w:rsidR="00ED0A58" w:rsidRPr="001502B1">
              <w:rPr>
                <w:rStyle w:val="Hyperlink"/>
              </w:rPr>
              <w:t>12.4</w:t>
            </w:r>
            <w:r w:rsidR="00ED0A58">
              <w:rPr>
                <w:rFonts w:asciiTheme="minorHAnsi" w:eastAsiaTheme="minorEastAsia" w:hAnsiTheme="minorHAnsi"/>
                <w:b w:val="0"/>
                <w:color w:val="auto"/>
                <w:sz w:val="22"/>
                <w:lang w:eastAsia="en-AU"/>
              </w:rPr>
              <w:tab/>
            </w:r>
            <w:r w:rsidR="00ED0A58" w:rsidRPr="001502B1">
              <w:rPr>
                <w:rStyle w:val="Hyperlink"/>
              </w:rPr>
              <w:t>Changing receipt or delivery points</w:t>
            </w:r>
            <w:r w:rsidR="00ED0A58">
              <w:rPr>
                <w:webHidden/>
              </w:rPr>
              <w:tab/>
            </w:r>
            <w:r w:rsidR="00ED0A58">
              <w:rPr>
                <w:webHidden/>
              </w:rPr>
              <w:fldChar w:fldCharType="begin"/>
            </w:r>
            <w:r w:rsidR="00ED0A58">
              <w:rPr>
                <w:webHidden/>
              </w:rPr>
              <w:instrText xml:space="preserve"> PAGEREF _Toc436044738 \h </w:instrText>
            </w:r>
            <w:r w:rsidR="00ED0A58">
              <w:rPr>
                <w:webHidden/>
              </w:rPr>
            </w:r>
            <w:r w:rsidR="00ED0A58">
              <w:rPr>
                <w:webHidden/>
              </w:rPr>
              <w:fldChar w:fldCharType="separate"/>
            </w:r>
            <w:r w:rsidR="00ED0A58">
              <w:rPr>
                <w:webHidden/>
              </w:rPr>
              <w:t>12-17</w:t>
            </w:r>
            <w:r w:rsidR="00ED0A58">
              <w:rPr>
                <w:webHidden/>
              </w:rPr>
              <w:fldChar w:fldCharType="end"/>
            </w:r>
          </w:hyperlink>
        </w:p>
        <w:p w:rsidR="00ED0A58" w:rsidRDefault="002A2012">
          <w:pPr>
            <w:pStyle w:val="TOC3"/>
            <w:rPr>
              <w:rFonts w:asciiTheme="minorHAnsi" w:eastAsiaTheme="minorEastAsia" w:hAnsiTheme="minorHAnsi"/>
              <w:lang w:eastAsia="en-AU"/>
            </w:rPr>
          </w:pPr>
          <w:hyperlink w:anchor="_Toc436044739" w:history="1">
            <w:r w:rsidR="00ED0A58" w:rsidRPr="001502B1">
              <w:rPr>
                <w:rStyle w:val="Hyperlink"/>
              </w:rPr>
              <w:t>12.4.1</w:t>
            </w:r>
            <w:r w:rsidR="00ED0A58">
              <w:rPr>
                <w:rFonts w:asciiTheme="minorHAnsi" w:eastAsiaTheme="minorEastAsia" w:hAnsiTheme="minorHAnsi"/>
                <w:lang w:eastAsia="en-AU"/>
              </w:rPr>
              <w:tab/>
            </w:r>
            <w:r w:rsidR="00ED0A58" w:rsidRPr="001502B1">
              <w:rPr>
                <w:rStyle w:val="Hyperlink"/>
              </w:rPr>
              <w:t>Draft decision</w:t>
            </w:r>
            <w:r w:rsidR="00ED0A58">
              <w:rPr>
                <w:webHidden/>
              </w:rPr>
              <w:tab/>
            </w:r>
            <w:r w:rsidR="00ED0A58">
              <w:rPr>
                <w:webHidden/>
              </w:rPr>
              <w:fldChar w:fldCharType="begin"/>
            </w:r>
            <w:r w:rsidR="00ED0A58">
              <w:rPr>
                <w:webHidden/>
              </w:rPr>
              <w:instrText xml:space="preserve"> PAGEREF _Toc436044739 \h </w:instrText>
            </w:r>
            <w:r w:rsidR="00ED0A58">
              <w:rPr>
                <w:webHidden/>
              </w:rPr>
            </w:r>
            <w:r w:rsidR="00ED0A58">
              <w:rPr>
                <w:webHidden/>
              </w:rPr>
              <w:fldChar w:fldCharType="separate"/>
            </w:r>
            <w:r w:rsidR="00ED0A58">
              <w:rPr>
                <w:webHidden/>
              </w:rPr>
              <w:t>12-17</w:t>
            </w:r>
            <w:r w:rsidR="00ED0A58">
              <w:rPr>
                <w:webHidden/>
              </w:rPr>
              <w:fldChar w:fldCharType="end"/>
            </w:r>
          </w:hyperlink>
        </w:p>
        <w:p w:rsidR="00ED0A58" w:rsidRDefault="002A2012">
          <w:pPr>
            <w:pStyle w:val="TOC3"/>
            <w:rPr>
              <w:rFonts w:asciiTheme="minorHAnsi" w:eastAsiaTheme="minorEastAsia" w:hAnsiTheme="minorHAnsi"/>
              <w:lang w:eastAsia="en-AU"/>
            </w:rPr>
          </w:pPr>
          <w:hyperlink w:anchor="_Toc436044740" w:history="1">
            <w:r w:rsidR="00ED0A58" w:rsidRPr="001502B1">
              <w:rPr>
                <w:rStyle w:val="Hyperlink"/>
              </w:rPr>
              <w:t>12.4.2</w:t>
            </w:r>
            <w:r w:rsidR="00ED0A58">
              <w:rPr>
                <w:rFonts w:asciiTheme="minorHAnsi" w:eastAsiaTheme="minorEastAsia" w:hAnsiTheme="minorHAnsi"/>
                <w:lang w:eastAsia="en-AU"/>
              </w:rPr>
              <w:tab/>
            </w:r>
            <w:r w:rsidR="00ED0A58" w:rsidRPr="001502B1">
              <w:rPr>
                <w:rStyle w:val="Hyperlink"/>
              </w:rPr>
              <w:t>APTNT’s proposal</w:t>
            </w:r>
            <w:r w:rsidR="00ED0A58">
              <w:rPr>
                <w:webHidden/>
              </w:rPr>
              <w:tab/>
            </w:r>
            <w:r w:rsidR="00ED0A58">
              <w:rPr>
                <w:webHidden/>
              </w:rPr>
              <w:fldChar w:fldCharType="begin"/>
            </w:r>
            <w:r w:rsidR="00ED0A58">
              <w:rPr>
                <w:webHidden/>
              </w:rPr>
              <w:instrText xml:space="preserve"> PAGEREF _Toc436044740 \h </w:instrText>
            </w:r>
            <w:r w:rsidR="00ED0A58">
              <w:rPr>
                <w:webHidden/>
              </w:rPr>
            </w:r>
            <w:r w:rsidR="00ED0A58">
              <w:rPr>
                <w:webHidden/>
              </w:rPr>
              <w:fldChar w:fldCharType="separate"/>
            </w:r>
            <w:r w:rsidR="00ED0A58">
              <w:rPr>
                <w:webHidden/>
              </w:rPr>
              <w:t>12-17</w:t>
            </w:r>
            <w:r w:rsidR="00ED0A58">
              <w:rPr>
                <w:webHidden/>
              </w:rPr>
              <w:fldChar w:fldCharType="end"/>
            </w:r>
          </w:hyperlink>
        </w:p>
        <w:p w:rsidR="00ED0A58" w:rsidRDefault="002A2012">
          <w:pPr>
            <w:pStyle w:val="TOC3"/>
            <w:rPr>
              <w:rFonts w:asciiTheme="minorHAnsi" w:eastAsiaTheme="minorEastAsia" w:hAnsiTheme="minorHAnsi"/>
              <w:lang w:eastAsia="en-AU"/>
            </w:rPr>
          </w:pPr>
          <w:hyperlink w:anchor="_Toc436044741" w:history="1">
            <w:r w:rsidR="00ED0A58" w:rsidRPr="001502B1">
              <w:rPr>
                <w:rStyle w:val="Hyperlink"/>
              </w:rPr>
              <w:t>12.4.3</w:t>
            </w:r>
            <w:r w:rsidR="00ED0A58">
              <w:rPr>
                <w:rFonts w:asciiTheme="minorHAnsi" w:eastAsiaTheme="minorEastAsia" w:hAnsiTheme="minorHAnsi"/>
                <w:lang w:eastAsia="en-AU"/>
              </w:rPr>
              <w:tab/>
            </w:r>
            <w:r w:rsidR="00ED0A58" w:rsidRPr="001502B1">
              <w:rPr>
                <w:rStyle w:val="Hyperlink"/>
              </w:rPr>
              <w:t>AER’s assessment approach</w:t>
            </w:r>
            <w:r w:rsidR="00ED0A58">
              <w:rPr>
                <w:webHidden/>
              </w:rPr>
              <w:tab/>
            </w:r>
            <w:r w:rsidR="00ED0A58">
              <w:rPr>
                <w:webHidden/>
              </w:rPr>
              <w:fldChar w:fldCharType="begin"/>
            </w:r>
            <w:r w:rsidR="00ED0A58">
              <w:rPr>
                <w:webHidden/>
              </w:rPr>
              <w:instrText xml:space="preserve"> PAGEREF _Toc436044741 \h </w:instrText>
            </w:r>
            <w:r w:rsidR="00ED0A58">
              <w:rPr>
                <w:webHidden/>
              </w:rPr>
            </w:r>
            <w:r w:rsidR="00ED0A58">
              <w:rPr>
                <w:webHidden/>
              </w:rPr>
              <w:fldChar w:fldCharType="separate"/>
            </w:r>
            <w:r w:rsidR="00ED0A58">
              <w:rPr>
                <w:webHidden/>
              </w:rPr>
              <w:t>12-17</w:t>
            </w:r>
            <w:r w:rsidR="00ED0A58">
              <w:rPr>
                <w:webHidden/>
              </w:rPr>
              <w:fldChar w:fldCharType="end"/>
            </w:r>
          </w:hyperlink>
        </w:p>
        <w:p w:rsidR="00ED0A58" w:rsidRDefault="002A2012">
          <w:pPr>
            <w:pStyle w:val="TOC3"/>
            <w:rPr>
              <w:rFonts w:asciiTheme="minorHAnsi" w:eastAsiaTheme="minorEastAsia" w:hAnsiTheme="minorHAnsi"/>
              <w:lang w:eastAsia="en-AU"/>
            </w:rPr>
          </w:pPr>
          <w:hyperlink w:anchor="_Toc436044742" w:history="1">
            <w:r w:rsidR="00ED0A58" w:rsidRPr="001502B1">
              <w:rPr>
                <w:rStyle w:val="Hyperlink"/>
              </w:rPr>
              <w:t>12.4.4</w:t>
            </w:r>
            <w:r w:rsidR="00ED0A58">
              <w:rPr>
                <w:rFonts w:asciiTheme="minorHAnsi" w:eastAsiaTheme="minorEastAsia" w:hAnsiTheme="minorHAnsi"/>
                <w:lang w:eastAsia="en-AU"/>
              </w:rPr>
              <w:tab/>
            </w:r>
            <w:r w:rsidR="00ED0A58" w:rsidRPr="001502B1">
              <w:rPr>
                <w:rStyle w:val="Hyperlink"/>
              </w:rPr>
              <w:t>Reasons for draft decision</w:t>
            </w:r>
            <w:r w:rsidR="00ED0A58">
              <w:rPr>
                <w:webHidden/>
              </w:rPr>
              <w:tab/>
            </w:r>
            <w:r w:rsidR="00ED0A58">
              <w:rPr>
                <w:webHidden/>
              </w:rPr>
              <w:fldChar w:fldCharType="begin"/>
            </w:r>
            <w:r w:rsidR="00ED0A58">
              <w:rPr>
                <w:webHidden/>
              </w:rPr>
              <w:instrText xml:space="preserve"> PAGEREF _Toc436044742 \h </w:instrText>
            </w:r>
            <w:r w:rsidR="00ED0A58">
              <w:rPr>
                <w:webHidden/>
              </w:rPr>
            </w:r>
            <w:r w:rsidR="00ED0A58">
              <w:rPr>
                <w:webHidden/>
              </w:rPr>
              <w:fldChar w:fldCharType="separate"/>
            </w:r>
            <w:r w:rsidR="00ED0A58">
              <w:rPr>
                <w:webHidden/>
              </w:rPr>
              <w:t>12-18</w:t>
            </w:r>
            <w:r w:rsidR="00ED0A58">
              <w:rPr>
                <w:webHidden/>
              </w:rPr>
              <w:fldChar w:fldCharType="end"/>
            </w:r>
          </w:hyperlink>
        </w:p>
        <w:p w:rsidR="00ED0A58" w:rsidRDefault="002A2012">
          <w:pPr>
            <w:pStyle w:val="TOC2"/>
            <w:tabs>
              <w:tab w:val="left" w:pos="1276"/>
            </w:tabs>
            <w:rPr>
              <w:rFonts w:asciiTheme="minorHAnsi" w:eastAsiaTheme="minorEastAsia" w:hAnsiTheme="minorHAnsi"/>
              <w:b w:val="0"/>
              <w:color w:val="auto"/>
              <w:sz w:val="22"/>
              <w:lang w:eastAsia="en-AU"/>
            </w:rPr>
          </w:pPr>
          <w:hyperlink w:anchor="_Toc436044743" w:history="1">
            <w:r w:rsidR="00ED0A58" w:rsidRPr="001502B1">
              <w:rPr>
                <w:rStyle w:val="Hyperlink"/>
              </w:rPr>
              <w:t>12.5</w:t>
            </w:r>
            <w:r w:rsidR="00ED0A58">
              <w:rPr>
                <w:rFonts w:asciiTheme="minorHAnsi" w:eastAsiaTheme="minorEastAsia" w:hAnsiTheme="minorHAnsi"/>
                <w:b w:val="0"/>
                <w:color w:val="auto"/>
                <w:sz w:val="22"/>
                <w:lang w:eastAsia="en-AU"/>
              </w:rPr>
              <w:tab/>
            </w:r>
            <w:r w:rsidR="00ED0A58" w:rsidRPr="001502B1">
              <w:rPr>
                <w:rStyle w:val="Hyperlink"/>
              </w:rPr>
              <w:t>Extension and expansion requirements</w:t>
            </w:r>
            <w:r w:rsidR="00ED0A58">
              <w:rPr>
                <w:webHidden/>
              </w:rPr>
              <w:tab/>
            </w:r>
            <w:r w:rsidR="00ED0A58">
              <w:rPr>
                <w:webHidden/>
              </w:rPr>
              <w:fldChar w:fldCharType="begin"/>
            </w:r>
            <w:r w:rsidR="00ED0A58">
              <w:rPr>
                <w:webHidden/>
              </w:rPr>
              <w:instrText xml:space="preserve"> PAGEREF _Toc436044743 \h </w:instrText>
            </w:r>
            <w:r w:rsidR="00ED0A58">
              <w:rPr>
                <w:webHidden/>
              </w:rPr>
            </w:r>
            <w:r w:rsidR="00ED0A58">
              <w:rPr>
                <w:webHidden/>
              </w:rPr>
              <w:fldChar w:fldCharType="separate"/>
            </w:r>
            <w:r w:rsidR="00ED0A58">
              <w:rPr>
                <w:webHidden/>
              </w:rPr>
              <w:t>12-18</w:t>
            </w:r>
            <w:r w:rsidR="00ED0A58">
              <w:rPr>
                <w:webHidden/>
              </w:rPr>
              <w:fldChar w:fldCharType="end"/>
            </w:r>
          </w:hyperlink>
        </w:p>
        <w:p w:rsidR="00ED0A58" w:rsidRDefault="002A2012">
          <w:pPr>
            <w:pStyle w:val="TOC3"/>
            <w:rPr>
              <w:rFonts w:asciiTheme="minorHAnsi" w:eastAsiaTheme="minorEastAsia" w:hAnsiTheme="minorHAnsi"/>
              <w:lang w:eastAsia="en-AU"/>
            </w:rPr>
          </w:pPr>
          <w:hyperlink w:anchor="_Toc436044744" w:history="1">
            <w:r w:rsidR="00ED0A58" w:rsidRPr="001502B1">
              <w:rPr>
                <w:rStyle w:val="Hyperlink"/>
              </w:rPr>
              <w:t>12.5.1</w:t>
            </w:r>
            <w:r w:rsidR="00ED0A58">
              <w:rPr>
                <w:rFonts w:asciiTheme="minorHAnsi" w:eastAsiaTheme="minorEastAsia" w:hAnsiTheme="minorHAnsi"/>
                <w:lang w:eastAsia="en-AU"/>
              </w:rPr>
              <w:tab/>
            </w:r>
            <w:r w:rsidR="00ED0A58" w:rsidRPr="001502B1">
              <w:rPr>
                <w:rStyle w:val="Hyperlink"/>
              </w:rPr>
              <w:t>Draft decision</w:t>
            </w:r>
            <w:r w:rsidR="00ED0A58">
              <w:rPr>
                <w:webHidden/>
              </w:rPr>
              <w:tab/>
            </w:r>
            <w:r w:rsidR="00ED0A58">
              <w:rPr>
                <w:webHidden/>
              </w:rPr>
              <w:fldChar w:fldCharType="begin"/>
            </w:r>
            <w:r w:rsidR="00ED0A58">
              <w:rPr>
                <w:webHidden/>
              </w:rPr>
              <w:instrText xml:space="preserve"> PAGEREF _Toc436044744 \h </w:instrText>
            </w:r>
            <w:r w:rsidR="00ED0A58">
              <w:rPr>
                <w:webHidden/>
              </w:rPr>
            </w:r>
            <w:r w:rsidR="00ED0A58">
              <w:rPr>
                <w:webHidden/>
              </w:rPr>
              <w:fldChar w:fldCharType="separate"/>
            </w:r>
            <w:r w:rsidR="00ED0A58">
              <w:rPr>
                <w:webHidden/>
              </w:rPr>
              <w:t>12-18</w:t>
            </w:r>
            <w:r w:rsidR="00ED0A58">
              <w:rPr>
                <w:webHidden/>
              </w:rPr>
              <w:fldChar w:fldCharType="end"/>
            </w:r>
          </w:hyperlink>
        </w:p>
        <w:p w:rsidR="00ED0A58" w:rsidRDefault="002A2012">
          <w:pPr>
            <w:pStyle w:val="TOC3"/>
            <w:rPr>
              <w:rFonts w:asciiTheme="minorHAnsi" w:eastAsiaTheme="minorEastAsia" w:hAnsiTheme="minorHAnsi"/>
              <w:lang w:eastAsia="en-AU"/>
            </w:rPr>
          </w:pPr>
          <w:hyperlink w:anchor="_Toc436044745" w:history="1">
            <w:r w:rsidR="00ED0A58" w:rsidRPr="001502B1">
              <w:rPr>
                <w:rStyle w:val="Hyperlink"/>
              </w:rPr>
              <w:t>12.5.2</w:t>
            </w:r>
            <w:r w:rsidR="00ED0A58">
              <w:rPr>
                <w:rFonts w:asciiTheme="minorHAnsi" w:eastAsiaTheme="minorEastAsia" w:hAnsiTheme="minorHAnsi"/>
                <w:lang w:eastAsia="en-AU"/>
              </w:rPr>
              <w:tab/>
            </w:r>
            <w:r w:rsidR="00ED0A58" w:rsidRPr="001502B1">
              <w:rPr>
                <w:rStyle w:val="Hyperlink"/>
              </w:rPr>
              <w:t>APTNT’s proposal</w:t>
            </w:r>
            <w:r w:rsidR="00ED0A58">
              <w:rPr>
                <w:webHidden/>
              </w:rPr>
              <w:tab/>
            </w:r>
            <w:r w:rsidR="00ED0A58">
              <w:rPr>
                <w:webHidden/>
              </w:rPr>
              <w:fldChar w:fldCharType="begin"/>
            </w:r>
            <w:r w:rsidR="00ED0A58">
              <w:rPr>
                <w:webHidden/>
              </w:rPr>
              <w:instrText xml:space="preserve"> PAGEREF _Toc436044745 \h </w:instrText>
            </w:r>
            <w:r w:rsidR="00ED0A58">
              <w:rPr>
                <w:webHidden/>
              </w:rPr>
            </w:r>
            <w:r w:rsidR="00ED0A58">
              <w:rPr>
                <w:webHidden/>
              </w:rPr>
              <w:fldChar w:fldCharType="separate"/>
            </w:r>
            <w:r w:rsidR="00ED0A58">
              <w:rPr>
                <w:webHidden/>
              </w:rPr>
              <w:t>12-18</w:t>
            </w:r>
            <w:r w:rsidR="00ED0A58">
              <w:rPr>
                <w:webHidden/>
              </w:rPr>
              <w:fldChar w:fldCharType="end"/>
            </w:r>
          </w:hyperlink>
        </w:p>
        <w:p w:rsidR="00ED0A58" w:rsidRDefault="002A2012">
          <w:pPr>
            <w:pStyle w:val="TOC3"/>
            <w:rPr>
              <w:rFonts w:asciiTheme="minorHAnsi" w:eastAsiaTheme="minorEastAsia" w:hAnsiTheme="minorHAnsi"/>
              <w:lang w:eastAsia="en-AU"/>
            </w:rPr>
          </w:pPr>
          <w:hyperlink w:anchor="_Toc436044746" w:history="1">
            <w:r w:rsidR="00ED0A58" w:rsidRPr="001502B1">
              <w:rPr>
                <w:rStyle w:val="Hyperlink"/>
              </w:rPr>
              <w:t>12.5.3</w:t>
            </w:r>
            <w:r w:rsidR="00ED0A58">
              <w:rPr>
                <w:rFonts w:asciiTheme="minorHAnsi" w:eastAsiaTheme="minorEastAsia" w:hAnsiTheme="minorHAnsi"/>
                <w:lang w:eastAsia="en-AU"/>
              </w:rPr>
              <w:tab/>
            </w:r>
            <w:r w:rsidR="00ED0A58" w:rsidRPr="001502B1">
              <w:rPr>
                <w:rStyle w:val="Hyperlink"/>
              </w:rPr>
              <w:t>AER’s assessment approach</w:t>
            </w:r>
            <w:r w:rsidR="00ED0A58">
              <w:rPr>
                <w:webHidden/>
              </w:rPr>
              <w:tab/>
            </w:r>
            <w:r w:rsidR="00ED0A58">
              <w:rPr>
                <w:webHidden/>
              </w:rPr>
              <w:fldChar w:fldCharType="begin"/>
            </w:r>
            <w:r w:rsidR="00ED0A58">
              <w:rPr>
                <w:webHidden/>
              </w:rPr>
              <w:instrText xml:space="preserve"> PAGEREF _Toc436044746 \h </w:instrText>
            </w:r>
            <w:r w:rsidR="00ED0A58">
              <w:rPr>
                <w:webHidden/>
              </w:rPr>
            </w:r>
            <w:r w:rsidR="00ED0A58">
              <w:rPr>
                <w:webHidden/>
              </w:rPr>
              <w:fldChar w:fldCharType="separate"/>
            </w:r>
            <w:r w:rsidR="00ED0A58">
              <w:rPr>
                <w:webHidden/>
              </w:rPr>
              <w:t>12-19</w:t>
            </w:r>
            <w:r w:rsidR="00ED0A58">
              <w:rPr>
                <w:webHidden/>
              </w:rPr>
              <w:fldChar w:fldCharType="end"/>
            </w:r>
          </w:hyperlink>
        </w:p>
        <w:p w:rsidR="00ED0A58" w:rsidRDefault="002A2012">
          <w:pPr>
            <w:pStyle w:val="TOC3"/>
            <w:rPr>
              <w:rFonts w:asciiTheme="minorHAnsi" w:eastAsiaTheme="minorEastAsia" w:hAnsiTheme="minorHAnsi"/>
              <w:lang w:eastAsia="en-AU"/>
            </w:rPr>
          </w:pPr>
          <w:hyperlink w:anchor="_Toc436044747" w:history="1">
            <w:r w:rsidR="00ED0A58" w:rsidRPr="001502B1">
              <w:rPr>
                <w:rStyle w:val="Hyperlink"/>
              </w:rPr>
              <w:t>12.5.4</w:t>
            </w:r>
            <w:r w:rsidR="00ED0A58">
              <w:rPr>
                <w:rFonts w:asciiTheme="minorHAnsi" w:eastAsiaTheme="minorEastAsia" w:hAnsiTheme="minorHAnsi"/>
                <w:lang w:eastAsia="en-AU"/>
              </w:rPr>
              <w:tab/>
            </w:r>
            <w:r w:rsidR="00ED0A58" w:rsidRPr="001502B1">
              <w:rPr>
                <w:rStyle w:val="Hyperlink"/>
              </w:rPr>
              <w:t>Reasons for draft decision</w:t>
            </w:r>
            <w:r w:rsidR="00ED0A58">
              <w:rPr>
                <w:webHidden/>
              </w:rPr>
              <w:tab/>
            </w:r>
            <w:r w:rsidR="00ED0A58">
              <w:rPr>
                <w:webHidden/>
              </w:rPr>
              <w:fldChar w:fldCharType="begin"/>
            </w:r>
            <w:r w:rsidR="00ED0A58">
              <w:rPr>
                <w:webHidden/>
              </w:rPr>
              <w:instrText xml:space="preserve"> PAGEREF _Toc436044747 \h </w:instrText>
            </w:r>
            <w:r w:rsidR="00ED0A58">
              <w:rPr>
                <w:webHidden/>
              </w:rPr>
            </w:r>
            <w:r w:rsidR="00ED0A58">
              <w:rPr>
                <w:webHidden/>
              </w:rPr>
              <w:fldChar w:fldCharType="separate"/>
            </w:r>
            <w:r w:rsidR="00ED0A58">
              <w:rPr>
                <w:webHidden/>
              </w:rPr>
              <w:t>12-19</w:t>
            </w:r>
            <w:r w:rsidR="00ED0A58">
              <w:rPr>
                <w:webHidden/>
              </w:rPr>
              <w:fldChar w:fldCharType="end"/>
            </w:r>
          </w:hyperlink>
        </w:p>
        <w:p w:rsidR="00ED0A58" w:rsidRDefault="002A2012">
          <w:pPr>
            <w:pStyle w:val="TOC2"/>
            <w:tabs>
              <w:tab w:val="left" w:pos="1276"/>
            </w:tabs>
            <w:rPr>
              <w:rFonts w:asciiTheme="minorHAnsi" w:eastAsiaTheme="minorEastAsia" w:hAnsiTheme="minorHAnsi"/>
              <w:b w:val="0"/>
              <w:color w:val="auto"/>
              <w:sz w:val="22"/>
              <w:lang w:eastAsia="en-AU"/>
            </w:rPr>
          </w:pPr>
          <w:hyperlink w:anchor="_Toc436044748" w:history="1">
            <w:r w:rsidR="00ED0A58" w:rsidRPr="001502B1">
              <w:rPr>
                <w:rStyle w:val="Hyperlink"/>
              </w:rPr>
              <w:t>12.6</w:t>
            </w:r>
            <w:r w:rsidR="00ED0A58">
              <w:rPr>
                <w:rFonts w:asciiTheme="minorHAnsi" w:eastAsiaTheme="minorEastAsia" w:hAnsiTheme="minorHAnsi"/>
                <w:b w:val="0"/>
                <w:color w:val="auto"/>
                <w:sz w:val="22"/>
                <w:lang w:eastAsia="en-AU"/>
              </w:rPr>
              <w:tab/>
            </w:r>
            <w:r w:rsidR="00ED0A58" w:rsidRPr="001502B1">
              <w:rPr>
                <w:rStyle w:val="Hyperlink"/>
              </w:rPr>
              <w:t>Review submission date and revision commencement date</w:t>
            </w:r>
            <w:r w:rsidR="00ED0A58">
              <w:rPr>
                <w:webHidden/>
              </w:rPr>
              <w:tab/>
            </w:r>
            <w:r w:rsidR="00ED0A58">
              <w:rPr>
                <w:webHidden/>
              </w:rPr>
              <w:fldChar w:fldCharType="begin"/>
            </w:r>
            <w:r w:rsidR="00ED0A58">
              <w:rPr>
                <w:webHidden/>
              </w:rPr>
              <w:instrText xml:space="preserve"> PAGEREF _Toc436044748 \h </w:instrText>
            </w:r>
            <w:r w:rsidR="00ED0A58">
              <w:rPr>
                <w:webHidden/>
              </w:rPr>
            </w:r>
            <w:r w:rsidR="00ED0A58">
              <w:rPr>
                <w:webHidden/>
              </w:rPr>
              <w:fldChar w:fldCharType="separate"/>
            </w:r>
            <w:r w:rsidR="00ED0A58">
              <w:rPr>
                <w:webHidden/>
              </w:rPr>
              <w:t>12-22</w:t>
            </w:r>
            <w:r w:rsidR="00ED0A58">
              <w:rPr>
                <w:webHidden/>
              </w:rPr>
              <w:fldChar w:fldCharType="end"/>
            </w:r>
          </w:hyperlink>
        </w:p>
        <w:p w:rsidR="00ED0A58" w:rsidRDefault="002A2012">
          <w:pPr>
            <w:pStyle w:val="TOC3"/>
            <w:rPr>
              <w:rFonts w:asciiTheme="minorHAnsi" w:eastAsiaTheme="minorEastAsia" w:hAnsiTheme="minorHAnsi"/>
              <w:lang w:eastAsia="en-AU"/>
            </w:rPr>
          </w:pPr>
          <w:hyperlink w:anchor="_Toc436044749" w:history="1">
            <w:r w:rsidR="00ED0A58" w:rsidRPr="001502B1">
              <w:rPr>
                <w:rStyle w:val="Hyperlink"/>
              </w:rPr>
              <w:t>12.6.1</w:t>
            </w:r>
            <w:r w:rsidR="00ED0A58">
              <w:rPr>
                <w:rFonts w:asciiTheme="minorHAnsi" w:eastAsiaTheme="minorEastAsia" w:hAnsiTheme="minorHAnsi"/>
                <w:lang w:eastAsia="en-AU"/>
              </w:rPr>
              <w:tab/>
            </w:r>
            <w:r w:rsidR="00ED0A58" w:rsidRPr="001502B1">
              <w:rPr>
                <w:rStyle w:val="Hyperlink"/>
              </w:rPr>
              <w:t>Draft decision</w:t>
            </w:r>
            <w:r w:rsidR="00ED0A58">
              <w:rPr>
                <w:webHidden/>
              </w:rPr>
              <w:tab/>
            </w:r>
            <w:r w:rsidR="00ED0A58">
              <w:rPr>
                <w:webHidden/>
              </w:rPr>
              <w:fldChar w:fldCharType="begin"/>
            </w:r>
            <w:r w:rsidR="00ED0A58">
              <w:rPr>
                <w:webHidden/>
              </w:rPr>
              <w:instrText xml:space="preserve"> PAGEREF _Toc436044749 \h </w:instrText>
            </w:r>
            <w:r w:rsidR="00ED0A58">
              <w:rPr>
                <w:webHidden/>
              </w:rPr>
            </w:r>
            <w:r w:rsidR="00ED0A58">
              <w:rPr>
                <w:webHidden/>
              </w:rPr>
              <w:fldChar w:fldCharType="separate"/>
            </w:r>
            <w:r w:rsidR="00ED0A58">
              <w:rPr>
                <w:webHidden/>
              </w:rPr>
              <w:t>12-22</w:t>
            </w:r>
            <w:r w:rsidR="00ED0A58">
              <w:rPr>
                <w:webHidden/>
              </w:rPr>
              <w:fldChar w:fldCharType="end"/>
            </w:r>
          </w:hyperlink>
        </w:p>
        <w:p w:rsidR="00ED0A58" w:rsidRDefault="002A2012">
          <w:pPr>
            <w:pStyle w:val="TOC3"/>
            <w:rPr>
              <w:rFonts w:asciiTheme="minorHAnsi" w:eastAsiaTheme="minorEastAsia" w:hAnsiTheme="minorHAnsi"/>
              <w:lang w:eastAsia="en-AU"/>
            </w:rPr>
          </w:pPr>
          <w:hyperlink w:anchor="_Toc436044750" w:history="1">
            <w:r w:rsidR="00ED0A58" w:rsidRPr="001502B1">
              <w:rPr>
                <w:rStyle w:val="Hyperlink"/>
              </w:rPr>
              <w:t>12.6.2</w:t>
            </w:r>
            <w:r w:rsidR="00ED0A58">
              <w:rPr>
                <w:rFonts w:asciiTheme="minorHAnsi" w:eastAsiaTheme="minorEastAsia" w:hAnsiTheme="minorHAnsi"/>
                <w:lang w:eastAsia="en-AU"/>
              </w:rPr>
              <w:tab/>
            </w:r>
            <w:r w:rsidR="00ED0A58" w:rsidRPr="001502B1">
              <w:rPr>
                <w:rStyle w:val="Hyperlink"/>
              </w:rPr>
              <w:t>APTNT’s proposal</w:t>
            </w:r>
            <w:r w:rsidR="00ED0A58">
              <w:rPr>
                <w:webHidden/>
              </w:rPr>
              <w:tab/>
            </w:r>
            <w:r w:rsidR="00ED0A58">
              <w:rPr>
                <w:webHidden/>
              </w:rPr>
              <w:fldChar w:fldCharType="begin"/>
            </w:r>
            <w:r w:rsidR="00ED0A58">
              <w:rPr>
                <w:webHidden/>
              </w:rPr>
              <w:instrText xml:space="preserve"> PAGEREF _Toc436044750 \h </w:instrText>
            </w:r>
            <w:r w:rsidR="00ED0A58">
              <w:rPr>
                <w:webHidden/>
              </w:rPr>
            </w:r>
            <w:r w:rsidR="00ED0A58">
              <w:rPr>
                <w:webHidden/>
              </w:rPr>
              <w:fldChar w:fldCharType="separate"/>
            </w:r>
            <w:r w:rsidR="00ED0A58">
              <w:rPr>
                <w:webHidden/>
              </w:rPr>
              <w:t>12-22</w:t>
            </w:r>
            <w:r w:rsidR="00ED0A58">
              <w:rPr>
                <w:webHidden/>
              </w:rPr>
              <w:fldChar w:fldCharType="end"/>
            </w:r>
          </w:hyperlink>
        </w:p>
        <w:p w:rsidR="00ED0A58" w:rsidRDefault="002A2012">
          <w:pPr>
            <w:pStyle w:val="TOC3"/>
            <w:rPr>
              <w:rFonts w:asciiTheme="minorHAnsi" w:eastAsiaTheme="minorEastAsia" w:hAnsiTheme="minorHAnsi"/>
              <w:lang w:eastAsia="en-AU"/>
            </w:rPr>
          </w:pPr>
          <w:hyperlink w:anchor="_Toc436044751" w:history="1">
            <w:r w:rsidR="00ED0A58" w:rsidRPr="001502B1">
              <w:rPr>
                <w:rStyle w:val="Hyperlink"/>
              </w:rPr>
              <w:t>12.6.3</w:t>
            </w:r>
            <w:r w:rsidR="00ED0A58">
              <w:rPr>
                <w:rFonts w:asciiTheme="minorHAnsi" w:eastAsiaTheme="minorEastAsia" w:hAnsiTheme="minorHAnsi"/>
                <w:lang w:eastAsia="en-AU"/>
              </w:rPr>
              <w:tab/>
            </w:r>
            <w:r w:rsidR="00ED0A58" w:rsidRPr="001502B1">
              <w:rPr>
                <w:rStyle w:val="Hyperlink"/>
              </w:rPr>
              <w:t>AER’s assessment approach</w:t>
            </w:r>
            <w:r w:rsidR="00ED0A58">
              <w:rPr>
                <w:webHidden/>
              </w:rPr>
              <w:tab/>
            </w:r>
            <w:r w:rsidR="00ED0A58">
              <w:rPr>
                <w:webHidden/>
              </w:rPr>
              <w:fldChar w:fldCharType="begin"/>
            </w:r>
            <w:r w:rsidR="00ED0A58">
              <w:rPr>
                <w:webHidden/>
              </w:rPr>
              <w:instrText xml:space="preserve"> PAGEREF _Toc436044751 \h </w:instrText>
            </w:r>
            <w:r w:rsidR="00ED0A58">
              <w:rPr>
                <w:webHidden/>
              </w:rPr>
            </w:r>
            <w:r w:rsidR="00ED0A58">
              <w:rPr>
                <w:webHidden/>
              </w:rPr>
              <w:fldChar w:fldCharType="separate"/>
            </w:r>
            <w:r w:rsidR="00ED0A58">
              <w:rPr>
                <w:webHidden/>
              </w:rPr>
              <w:t>12-23</w:t>
            </w:r>
            <w:r w:rsidR="00ED0A58">
              <w:rPr>
                <w:webHidden/>
              </w:rPr>
              <w:fldChar w:fldCharType="end"/>
            </w:r>
          </w:hyperlink>
        </w:p>
        <w:p w:rsidR="00ED0A58" w:rsidRDefault="002A2012">
          <w:pPr>
            <w:pStyle w:val="TOC3"/>
            <w:rPr>
              <w:rFonts w:asciiTheme="minorHAnsi" w:eastAsiaTheme="minorEastAsia" w:hAnsiTheme="minorHAnsi"/>
              <w:lang w:eastAsia="en-AU"/>
            </w:rPr>
          </w:pPr>
          <w:hyperlink w:anchor="_Toc436044752" w:history="1">
            <w:r w:rsidR="00ED0A58" w:rsidRPr="001502B1">
              <w:rPr>
                <w:rStyle w:val="Hyperlink"/>
              </w:rPr>
              <w:t>12.6.4</w:t>
            </w:r>
            <w:r w:rsidR="00ED0A58">
              <w:rPr>
                <w:rFonts w:asciiTheme="minorHAnsi" w:eastAsiaTheme="minorEastAsia" w:hAnsiTheme="minorHAnsi"/>
                <w:lang w:eastAsia="en-AU"/>
              </w:rPr>
              <w:tab/>
            </w:r>
            <w:r w:rsidR="00ED0A58" w:rsidRPr="001502B1">
              <w:rPr>
                <w:rStyle w:val="Hyperlink"/>
              </w:rPr>
              <w:t>Reasons for draft decision</w:t>
            </w:r>
            <w:r w:rsidR="00ED0A58">
              <w:rPr>
                <w:webHidden/>
              </w:rPr>
              <w:tab/>
            </w:r>
            <w:r w:rsidR="00ED0A58">
              <w:rPr>
                <w:webHidden/>
              </w:rPr>
              <w:fldChar w:fldCharType="begin"/>
            </w:r>
            <w:r w:rsidR="00ED0A58">
              <w:rPr>
                <w:webHidden/>
              </w:rPr>
              <w:instrText xml:space="preserve"> PAGEREF _Toc436044752 \h </w:instrText>
            </w:r>
            <w:r w:rsidR="00ED0A58">
              <w:rPr>
                <w:webHidden/>
              </w:rPr>
            </w:r>
            <w:r w:rsidR="00ED0A58">
              <w:rPr>
                <w:webHidden/>
              </w:rPr>
              <w:fldChar w:fldCharType="separate"/>
            </w:r>
            <w:r w:rsidR="00ED0A58">
              <w:rPr>
                <w:webHidden/>
              </w:rPr>
              <w:t>12-24</w:t>
            </w:r>
            <w:r w:rsidR="00ED0A58">
              <w:rPr>
                <w:webHidden/>
              </w:rPr>
              <w:fldChar w:fldCharType="end"/>
            </w:r>
          </w:hyperlink>
        </w:p>
        <w:p w:rsidR="00ED0A58" w:rsidRDefault="002A2012">
          <w:pPr>
            <w:pStyle w:val="TOC2"/>
            <w:tabs>
              <w:tab w:val="left" w:pos="1276"/>
            </w:tabs>
            <w:rPr>
              <w:rFonts w:asciiTheme="minorHAnsi" w:eastAsiaTheme="minorEastAsia" w:hAnsiTheme="minorHAnsi"/>
              <w:b w:val="0"/>
              <w:color w:val="auto"/>
              <w:sz w:val="22"/>
              <w:lang w:eastAsia="en-AU"/>
            </w:rPr>
          </w:pPr>
          <w:hyperlink w:anchor="_Toc436044753" w:history="1">
            <w:r w:rsidR="00ED0A58" w:rsidRPr="001502B1">
              <w:rPr>
                <w:rStyle w:val="Hyperlink"/>
              </w:rPr>
              <w:t>12.7</w:t>
            </w:r>
            <w:r w:rsidR="00ED0A58">
              <w:rPr>
                <w:rFonts w:asciiTheme="minorHAnsi" w:eastAsiaTheme="minorEastAsia" w:hAnsiTheme="minorHAnsi"/>
                <w:b w:val="0"/>
                <w:color w:val="auto"/>
                <w:sz w:val="22"/>
                <w:lang w:eastAsia="en-AU"/>
              </w:rPr>
              <w:tab/>
            </w:r>
            <w:r w:rsidR="00ED0A58" w:rsidRPr="001502B1">
              <w:rPr>
                <w:rStyle w:val="Hyperlink"/>
              </w:rPr>
              <w:t>Revisions</w:t>
            </w:r>
            <w:r w:rsidR="00ED0A58">
              <w:rPr>
                <w:webHidden/>
              </w:rPr>
              <w:tab/>
            </w:r>
            <w:r w:rsidR="00ED0A58">
              <w:rPr>
                <w:webHidden/>
              </w:rPr>
              <w:fldChar w:fldCharType="begin"/>
            </w:r>
            <w:r w:rsidR="00ED0A58">
              <w:rPr>
                <w:webHidden/>
              </w:rPr>
              <w:instrText xml:space="preserve"> PAGEREF _Toc436044753 \h </w:instrText>
            </w:r>
            <w:r w:rsidR="00ED0A58">
              <w:rPr>
                <w:webHidden/>
              </w:rPr>
            </w:r>
            <w:r w:rsidR="00ED0A58">
              <w:rPr>
                <w:webHidden/>
              </w:rPr>
              <w:fldChar w:fldCharType="separate"/>
            </w:r>
            <w:r w:rsidR="00ED0A58">
              <w:rPr>
                <w:webHidden/>
              </w:rPr>
              <w:t>12-28</w:t>
            </w:r>
            <w:r w:rsidR="00ED0A58">
              <w:rPr>
                <w:webHidden/>
              </w:rPr>
              <w:fldChar w:fldCharType="end"/>
            </w:r>
          </w:hyperlink>
        </w:p>
        <w:p w:rsidR="00ED0A58" w:rsidRDefault="002A2012">
          <w:pPr>
            <w:pStyle w:val="TOC3"/>
            <w:rPr>
              <w:rFonts w:asciiTheme="minorHAnsi" w:eastAsiaTheme="minorEastAsia" w:hAnsiTheme="minorHAnsi"/>
              <w:lang w:eastAsia="en-AU"/>
            </w:rPr>
          </w:pPr>
          <w:hyperlink w:anchor="_Toc436044754" w:history="1">
            <w:r w:rsidR="00ED0A58" w:rsidRPr="001502B1">
              <w:rPr>
                <w:rStyle w:val="Hyperlink"/>
              </w:rPr>
              <w:t>12.7.1</w:t>
            </w:r>
            <w:r w:rsidR="00ED0A58">
              <w:rPr>
                <w:rFonts w:asciiTheme="minorHAnsi" w:eastAsiaTheme="minorEastAsia" w:hAnsiTheme="minorHAnsi"/>
                <w:lang w:eastAsia="en-AU"/>
              </w:rPr>
              <w:tab/>
            </w:r>
            <w:r w:rsidR="00ED0A58" w:rsidRPr="001502B1">
              <w:rPr>
                <w:rStyle w:val="Hyperlink"/>
              </w:rPr>
              <w:t>Revisions to the terms and conditions</w:t>
            </w:r>
            <w:r w:rsidR="00ED0A58">
              <w:rPr>
                <w:webHidden/>
              </w:rPr>
              <w:tab/>
            </w:r>
            <w:r w:rsidR="00ED0A58">
              <w:rPr>
                <w:webHidden/>
              </w:rPr>
              <w:fldChar w:fldCharType="begin"/>
            </w:r>
            <w:r w:rsidR="00ED0A58">
              <w:rPr>
                <w:webHidden/>
              </w:rPr>
              <w:instrText xml:space="preserve"> PAGEREF _Toc436044754 \h </w:instrText>
            </w:r>
            <w:r w:rsidR="00ED0A58">
              <w:rPr>
                <w:webHidden/>
              </w:rPr>
            </w:r>
            <w:r w:rsidR="00ED0A58">
              <w:rPr>
                <w:webHidden/>
              </w:rPr>
              <w:fldChar w:fldCharType="separate"/>
            </w:r>
            <w:r w:rsidR="00ED0A58">
              <w:rPr>
                <w:webHidden/>
              </w:rPr>
              <w:t>12-28</w:t>
            </w:r>
            <w:r w:rsidR="00ED0A58">
              <w:rPr>
                <w:webHidden/>
              </w:rPr>
              <w:fldChar w:fldCharType="end"/>
            </w:r>
          </w:hyperlink>
        </w:p>
        <w:p w:rsidR="00ED0A58" w:rsidRDefault="002A2012">
          <w:pPr>
            <w:pStyle w:val="TOC3"/>
            <w:rPr>
              <w:rFonts w:asciiTheme="minorHAnsi" w:eastAsiaTheme="minorEastAsia" w:hAnsiTheme="minorHAnsi"/>
              <w:lang w:eastAsia="en-AU"/>
            </w:rPr>
          </w:pPr>
          <w:hyperlink w:anchor="_Toc436044755" w:history="1">
            <w:r w:rsidR="00ED0A58" w:rsidRPr="001502B1">
              <w:rPr>
                <w:rStyle w:val="Hyperlink"/>
              </w:rPr>
              <w:t>12.7.2</w:t>
            </w:r>
            <w:r w:rsidR="00ED0A58">
              <w:rPr>
                <w:rFonts w:asciiTheme="minorHAnsi" w:eastAsiaTheme="minorEastAsia" w:hAnsiTheme="minorHAnsi"/>
                <w:lang w:eastAsia="en-AU"/>
              </w:rPr>
              <w:tab/>
            </w:r>
            <w:r w:rsidR="00ED0A58" w:rsidRPr="001502B1">
              <w:rPr>
                <w:rStyle w:val="Hyperlink"/>
              </w:rPr>
              <w:t>Revisions to the access arrangement</w:t>
            </w:r>
            <w:r w:rsidR="00ED0A58">
              <w:rPr>
                <w:webHidden/>
              </w:rPr>
              <w:tab/>
            </w:r>
            <w:r w:rsidR="00ED0A58">
              <w:rPr>
                <w:webHidden/>
              </w:rPr>
              <w:fldChar w:fldCharType="begin"/>
            </w:r>
            <w:r w:rsidR="00ED0A58">
              <w:rPr>
                <w:webHidden/>
              </w:rPr>
              <w:instrText xml:space="preserve"> PAGEREF _Toc436044755 \h </w:instrText>
            </w:r>
            <w:r w:rsidR="00ED0A58">
              <w:rPr>
                <w:webHidden/>
              </w:rPr>
            </w:r>
            <w:r w:rsidR="00ED0A58">
              <w:rPr>
                <w:webHidden/>
              </w:rPr>
              <w:fldChar w:fldCharType="separate"/>
            </w:r>
            <w:r w:rsidR="00ED0A58">
              <w:rPr>
                <w:webHidden/>
              </w:rPr>
              <w:t>12-30</w:t>
            </w:r>
            <w:r w:rsidR="00ED0A58">
              <w:rPr>
                <w:webHidden/>
              </w:rPr>
              <w:fldChar w:fldCharType="end"/>
            </w:r>
          </w:hyperlink>
        </w:p>
        <w:p w:rsidR="00DE563D" w:rsidRDefault="00BB71AD" w:rsidP="00BB71AD">
          <w:pPr>
            <w:pStyle w:val="TOC1"/>
          </w:pPr>
          <w:r>
            <w:rPr>
              <w:color w:val="auto"/>
              <w:sz w:val="22"/>
            </w:rPr>
            <w:fldChar w:fldCharType="end"/>
          </w:r>
        </w:p>
      </w:sdtContent>
    </w:sdt>
    <w:p w:rsidR="00DE563D" w:rsidRDefault="00C84560">
      <w:pPr>
        <w:spacing w:line="240" w:lineRule="auto"/>
      </w:pPr>
      <w:r>
        <w:t xml:space="preserve"> </w:t>
      </w:r>
    </w:p>
    <w:p w:rsidR="00EE77FA" w:rsidRDefault="00DE563D" w:rsidP="00DE772C">
      <w:pPr>
        <w:pStyle w:val="UnnumberedHeading"/>
        <w:numPr>
          <w:ilvl w:val="0"/>
          <w:numId w:val="23"/>
        </w:numPr>
      </w:pPr>
      <w:bookmarkStart w:id="8" w:name="_Toc404700925"/>
      <w:bookmarkStart w:id="9" w:name="_Toc436044721"/>
      <w:r>
        <w:lastRenderedPageBreak/>
        <w:t>Shortened forms</w:t>
      </w:r>
      <w:bookmarkEnd w:id="8"/>
      <w:bookmarkEnd w:id="9"/>
    </w:p>
    <w:tbl>
      <w:tblPr>
        <w:tblStyle w:val="AERtable-numbers"/>
        <w:tblW w:w="0" w:type="auto"/>
        <w:tblLook w:val="04A0" w:firstRow="1" w:lastRow="0" w:firstColumn="1" w:lastColumn="0" w:noHBand="0" w:noVBand="1"/>
      </w:tblPr>
      <w:tblGrid>
        <w:gridCol w:w="3652"/>
        <w:gridCol w:w="5041"/>
      </w:tblGrid>
      <w:tr w:rsidR="005A1848" w:rsidTr="005A184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5A1848" w:rsidRPr="005A1848" w:rsidRDefault="005A1848" w:rsidP="005A1848">
            <w:pPr>
              <w:numPr>
                <w:ilvl w:val="0"/>
                <w:numId w:val="24"/>
              </w:numPr>
            </w:pPr>
            <w:r w:rsidRPr="005A1848">
              <w:t>Shortened form</w:t>
            </w:r>
          </w:p>
        </w:tc>
        <w:tc>
          <w:tcPr>
            <w:tcW w:w="5041" w:type="dxa"/>
            <w:tcBorders>
              <w:top w:val="nil"/>
              <w:left w:val="nil"/>
              <w:bottom w:val="nil"/>
              <w:right w:val="nil"/>
            </w:tcBorders>
            <w:hideMark/>
          </w:tcPr>
          <w:p w:rsidR="005A1848" w:rsidRPr="005A1848" w:rsidRDefault="005A1848" w:rsidP="005A1848">
            <w:pPr>
              <w:numPr>
                <w:ilvl w:val="0"/>
                <w:numId w:val="24"/>
              </w:numPr>
              <w:cnfStyle w:val="100000000000" w:firstRow="1" w:lastRow="0" w:firstColumn="0" w:lastColumn="0" w:oddVBand="0" w:evenVBand="0" w:oddHBand="0" w:evenHBand="0" w:firstRowFirstColumn="0" w:firstRowLastColumn="0" w:lastRowFirstColumn="0" w:lastRowLastColumn="0"/>
            </w:pPr>
            <w:r w:rsidRPr="005A1848">
              <w:t>Extended form</w:t>
            </w:r>
          </w:p>
        </w:tc>
      </w:tr>
      <w:tr w:rsidR="005A1848" w:rsidTr="005A1848">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5A1848" w:rsidRPr="005A1848" w:rsidRDefault="005A1848" w:rsidP="005A1848">
            <w:pPr>
              <w:numPr>
                <w:ilvl w:val="0"/>
                <w:numId w:val="24"/>
              </w:numPr>
            </w:pPr>
            <w:r w:rsidRPr="005A1848">
              <w:t>AA</w:t>
            </w:r>
          </w:p>
        </w:tc>
        <w:tc>
          <w:tcPr>
            <w:tcW w:w="5041" w:type="dxa"/>
            <w:tcBorders>
              <w:top w:val="nil"/>
              <w:left w:val="nil"/>
              <w:bottom w:val="nil"/>
              <w:right w:val="nil"/>
            </w:tcBorders>
            <w:hideMark/>
          </w:tcPr>
          <w:p w:rsidR="005A1848" w:rsidRPr="005A1848" w:rsidRDefault="005A1848" w:rsidP="005A1848">
            <w:pPr>
              <w:cnfStyle w:val="000000000000" w:firstRow="0" w:lastRow="0" w:firstColumn="0" w:lastColumn="0" w:oddVBand="0" w:evenVBand="0" w:oddHBand="0" w:evenHBand="0" w:firstRowFirstColumn="0" w:firstRowLastColumn="0" w:lastRowFirstColumn="0" w:lastRowLastColumn="0"/>
            </w:pPr>
            <w:r w:rsidRPr="005A1848">
              <w:t>Access Arrangement</w:t>
            </w:r>
          </w:p>
        </w:tc>
      </w:tr>
      <w:tr w:rsidR="005A1848" w:rsidTr="005A184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5A1848" w:rsidRPr="005A1848" w:rsidRDefault="005A1848" w:rsidP="005A1848">
            <w:pPr>
              <w:numPr>
                <w:ilvl w:val="0"/>
                <w:numId w:val="24"/>
              </w:numPr>
            </w:pPr>
            <w:r w:rsidRPr="005A1848">
              <w:t>AAI</w:t>
            </w:r>
          </w:p>
        </w:tc>
        <w:tc>
          <w:tcPr>
            <w:tcW w:w="5041" w:type="dxa"/>
            <w:tcBorders>
              <w:top w:val="nil"/>
              <w:left w:val="nil"/>
              <w:bottom w:val="nil"/>
              <w:right w:val="nil"/>
            </w:tcBorders>
            <w:hideMark/>
          </w:tcPr>
          <w:p w:rsidR="005A1848" w:rsidRPr="005A1848" w:rsidRDefault="005A1848" w:rsidP="005A1848">
            <w:pPr>
              <w:cnfStyle w:val="000000010000" w:firstRow="0" w:lastRow="0" w:firstColumn="0" w:lastColumn="0" w:oddVBand="0" w:evenVBand="0" w:oddHBand="0" w:evenHBand="1" w:firstRowFirstColumn="0" w:firstRowLastColumn="0" w:lastRowFirstColumn="0" w:lastRowLastColumn="0"/>
            </w:pPr>
            <w:r w:rsidRPr="005A1848">
              <w:t>Access Arrangement Information</w:t>
            </w:r>
          </w:p>
        </w:tc>
      </w:tr>
      <w:tr w:rsidR="005A1848" w:rsidTr="005A1848">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5A1848" w:rsidRPr="005A1848" w:rsidRDefault="005A1848" w:rsidP="005A1848">
            <w:pPr>
              <w:numPr>
                <w:ilvl w:val="0"/>
                <w:numId w:val="24"/>
              </w:numPr>
            </w:pPr>
            <w:r w:rsidRPr="005A1848">
              <w:t>AER</w:t>
            </w:r>
          </w:p>
        </w:tc>
        <w:tc>
          <w:tcPr>
            <w:tcW w:w="5041" w:type="dxa"/>
            <w:tcBorders>
              <w:top w:val="nil"/>
              <w:left w:val="nil"/>
              <w:bottom w:val="nil"/>
              <w:right w:val="nil"/>
            </w:tcBorders>
            <w:hideMark/>
          </w:tcPr>
          <w:p w:rsidR="005A1848" w:rsidRPr="005A1848" w:rsidRDefault="005A1848" w:rsidP="005A1848">
            <w:pPr>
              <w:numPr>
                <w:ilvl w:val="0"/>
                <w:numId w:val="24"/>
              </w:numPr>
              <w:cnfStyle w:val="000000000000" w:firstRow="0" w:lastRow="0" w:firstColumn="0" w:lastColumn="0" w:oddVBand="0" w:evenVBand="0" w:oddHBand="0" w:evenHBand="0" w:firstRowFirstColumn="0" w:firstRowLastColumn="0" w:lastRowFirstColumn="0" w:lastRowLastColumn="0"/>
            </w:pPr>
            <w:r w:rsidRPr="005A1848">
              <w:t>Australian Energy Regulator</w:t>
            </w:r>
          </w:p>
        </w:tc>
      </w:tr>
      <w:tr w:rsidR="005A1848" w:rsidTr="005A184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5A1848" w:rsidRPr="005A1848" w:rsidRDefault="005A1848" w:rsidP="005A1848">
            <w:pPr>
              <w:numPr>
                <w:ilvl w:val="0"/>
                <w:numId w:val="24"/>
              </w:numPr>
            </w:pPr>
            <w:r w:rsidRPr="005A1848">
              <w:t>AGP</w:t>
            </w:r>
          </w:p>
        </w:tc>
        <w:tc>
          <w:tcPr>
            <w:tcW w:w="5041" w:type="dxa"/>
            <w:tcBorders>
              <w:top w:val="nil"/>
              <w:left w:val="nil"/>
              <w:bottom w:val="nil"/>
              <w:right w:val="nil"/>
            </w:tcBorders>
            <w:hideMark/>
          </w:tcPr>
          <w:p w:rsidR="005A1848" w:rsidRPr="005A1848" w:rsidRDefault="005A1848" w:rsidP="005A1848">
            <w:pPr>
              <w:cnfStyle w:val="000000010000" w:firstRow="0" w:lastRow="0" w:firstColumn="0" w:lastColumn="0" w:oddVBand="0" w:evenVBand="0" w:oddHBand="0" w:evenHBand="1" w:firstRowFirstColumn="0" w:firstRowLastColumn="0" w:lastRowFirstColumn="0" w:lastRowLastColumn="0"/>
            </w:pPr>
            <w:r w:rsidRPr="005A1848">
              <w:t>Amadeus Gas Pipeline</w:t>
            </w:r>
          </w:p>
        </w:tc>
      </w:tr>
      <w:tr w:rsidR="005A1848" w:rsidTr="005A1848">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5A1848" w:rsidRPr="005A1848" w:rsidRDefault="005A1848" w:rsidP="005A1848">
            <w:pPr>
              <w:numPr>
                <w:ilvl w:val="0"/>
                <w:numId w:val="24"/>
              </w:numPr>
            </w:pPr>
            <w:r w:rsidRPr="005A1848">
              <w:t>ATO</w:t>
            </w:r>
          </w:p>
        </w:tc>
        <w:tc>
          <w:tcPr>
            <w:tcW w:w="5041" w:type="dxa"/>
            <w:tcBorders>
              <w:top w:val="nil"/>
              <w:left w:val="nil"/>
              <w:bottom w:val="nil"/>
              <w:right w:val="nil"/>
            </w:tcBorders>
            <w:hideMark/>
          </w:tcPr>
          <w:p w:rsidR="005A1848" w:rsidRPr="005A1848" w:rsidRDefault="005A1848" w:rsidP="005A1848">
            <w:pPr>
              <w:cnfStyle w:val="000000000000" w:firstRow="0" w:lastRow="0" w:firstColumn="0" w:lastColumn="0" w:oddVBand="0" w:evenVBand="0" w:oddHBand="0" w:evenHBand="0" w:firstRowFirstColumn="0" w:firstRowLastColumn="0" w:lastRowFirstColumn="0" w:lastRowLastColumn="0"/>
            </w:pPr>
            <w:r w:rsidRPr="005A1848">
              <w:t>Australian Tax Office</w:t>
            </w:r>
          </w:p>
        </w:tc>
      </w:tr>
      <w:tr w:rsidR="005A1848" w:rsidTr="005A184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5A1848" w:rsidRPr="005A1848" w:rsidRDefault="005A1848" w:rsidP="005A1848">
            <w:pPr>
              <w:numPr>
                <w:ilvl w:val="0"/>
                <w:numId w:val="24"/>
              </w:numPr>
            </w:pPr>
            <w:r w:rsidRPr="005A1848">
              <w:t>capex</w:t>
            </w:r>
          </w:p>
        </w:tc>
        <w:tc>
          <w:tcPr>
            <w:tcW w:w="5041" w:type="dxa"/>
            <w:tcBorders>
              <w:top w:val="nil"/>
              <w:left w:val="nil"/>
              <w:bottom w:val="nil"/>
              <w:right w:val="nil"/>
            </w:tcBorders>
            <w:hideMark/>
          </w:tcPr>
          <w:p w:rsidR="005A1848" w:rsidRPr="005A1848" w:rsidRDefault="005A1848" w:rsidP="005A1848">
            <w:pPr>
              <w:numPr>
                <w:ilvl w:val="0"/>
                <w:numId w:val="24"/>
              </w:numPr>
              <w:cnfStyle w:val="000000010000" w:firstRow="0" w:lastRow="0" w:firstColumn="0" w:lastColumn="0" w:oddVBand="0" w:evenVBand="0" w:oddHBand="0" w:evenHBand="1" w:firstRowFirstColumn="0" w:firstRowLastColumn="0" w:lastRowFirstColumn="0" w:lastRowLastColumn="0"/>
            </w:pPr>
            <w:r w:rsidRPr="005A1848">
              <w:t>capital expenditure</w:t>
            </w:r>
          </w:p>
        </w:tc>
      </w:tr>
      <w:tr w:rsidR="005A1848" w:rsidTr="005A1848">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5A1848" w:rsidRPr="005A1848" w:rsidRDefault="005A1848" w:rsidP="005A1848">
            <w:pPr>
              <w:numPr>
                <w:ilvl w:val="0"/>
                <w:numId w:val="24"/>
              </w:numPr>
            </w:pPr>
            <w:r w:rsidRPr="005A1848">
              <w:t>CAPM</w:t>
            </w:r>
          </w:p>
        </w:tc>
        <w:tc>
          <w:tcPr>
            <w:tcW w:w="5041" w:type="dxa"/>
            <w:tcBorders>
              <w:top w:val="nil"/>
              <w:left w:val="nil"/>
              <w:bottom w:val="nil"/>
              <w:right w:val="nil"/>
            </w:tcBorders>
            <w:hideMark/>
          </w:tcPr>
          <w:p w:rsidR="005A1848" w:rsidRPr="005A1848" w:rsidRDefault="005A1848" w:rsidP="005A1848">
            <w:pPr>
              <w:numPr>
                <w:ilvl w:val="0"/>
                <w:numId w:val="24"/>
              </w:numPr>
              <w:cnfStyle w:val="000000000000" w:firstRow="0" w:lastRow="0" w:firstColumn="0" w:lastColumn="0" w:oddVBand="0" w:evenVBand="0" w:oddHBand="0" w:evenHBand="0" w:firstRowFirstColumn="0" w:firstRowLastColumn="0" w:lastRowFirstColumn="0" w:lastRowLastColumn="0"/>
            </w:pPr>
            <w:r w:rsidRPr="005A1848">
              <w:t>capital asset pricing model</w:t>
            </w:r>
          </w:p>
        </w:tc>
      </w:tr>
      <w:tr w:rsidR="005A1848" w:rsidTr="005A184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5A1848" w:rsidRPr="005A1848" w:rsidRDefault="005A1848" w:rsidP="005A1848">
            <w:pPr>
              <w:numPr>
                <w:ilvl w:val="0"/>
                <w:numId w:val="24"/>
              </w:numPr>
            </w:pPr>
            <w:r w:rsidRPr="005A1848">
              <w:t>CESS</w:t>
            </w:r>
          </w:p>
        </w:tc>
        <w:tc>
          <w:tcPr>
            <w:tcW w:w="5041" w:type="dxa"/>
            <w:tcBorders>
              <w:top w:val="nil"/>
              <w:left w:val="nil"/>
              <w:bottom w:val="nil"/>
              <w:right w:val="nil"/>
            </w:tcBorders>
            <w:hideMark/>
          </w:tcPr>
          <w:p w:rsidR="005A1848" w:rsidRPr="005A1848" w:rsidRDefault="005A1848" w:rsidP="005A1848">
            <w:pPr>
              <w:numPr>
                <w:ilvl w:val="0"/>
                <w:numId w:val="24"/>
              </w:numPr>
              <w:cnfStyle w:val="000000010000" w:firstRow="0" w:lastRow="0" w:firstColumn="0" w:lastColumn="0" w:oddVBand="0" w:evenVBand="0" w:oddHBand="0" w:evenHBand="1" w:firstRowFirstColumn="0" w:firstRowLastColumn="0" w:lastRowFirstColumn="0" w:lastRowLastColumn="0"/>
            </w:pPr>
            <w:r w:rsidRPr="005A1848">
              <w:t>Capital Expenditure Sharing Scheme</w:t>
            </w:r>
          </w:p>
        </w:tc>
      </w:tr>
      <w:tr w:rsidR="005A1848" w:rsidTr="005A1848">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5A1848" w:rsidRPr="005A1848" w:rsidRDefault="005A1848" w:rsidP="005A1848">
            <w:pPr>
              <w:numPr>
                <w:ilvl w:val="0"/>
                <w:numId w:val="24"/>
              </w:numPr>
            </w:pPr>
            <w:r w:rsidRPr="005A1848">
              <w:t>CPI</w:t>
            </w:r>
          </w:p>
        </w:tc>
        <w:tc>
          <w:tcPr>
            <w:tcW w:w="5041" w:type="dxa"/>
            <w:tcBorders>
              <w:top w:val="nil"/>
              <w:left w:val="nil"/>
              <w:bottom w:val="nil"/>
              <w:right w:val="nil"/>
            </w:tcBorders>
            <w:hideMark/>
          </w:tcPr>
          <w:p w:rsidR="005A1848" w:rsidRPr="005A1848" w:rsidRDefault="005A1848" w:rsidP="005A1848">
            <w:pPr>
              <w:numPr>
                <w:ilvl w:val="0"/>
                <w:numId w:val="24"/>
              </w:numPr>
              <w:cnfStyle w:val="000000000000" w:firstRow="0" w:lastRow="0" w:firstColumn="0" w:lastColumn="0" w:oddVBand="0" w:evenVBand="0" w:oddHBand="0" w:evenHBand="0" w:firstRowFirstColumn="0" w:firstRowLastColumn="0" w:lastRowFirstColumn="0" w:lastRowLastColumn="0"/>
            </w:pPr>
            <w:r w:rsidRPr="005A1848">
              <w:t>consumer price index</w:t>
            </w:r>
          </w:p>
        </w:tc>
      </w:tr>
      <w:tr w:rsidR="005A1848" w:rsidTr="005A184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5A1848" w:rsidRPr="005A1848" w:rsidRDefault="005A1848" w:rsidP="005A1848">
            <w:pPr>
              <w:numPr>
                <w:ilvl w:val="0"/>
                <w:numId w:val="24"/>
              </w:numPr>
            </w:pPr>
            <w:r w:rsidRPr="005A1848">
              <w:t>DRP</w:t>
            </w:r>
          </w:p>
        </w:tc>
        <w:tc>
          <w:tcPr>
            <w:tcW w:w="5041" w:type="dxa"/>
            <w:tcBorders>
              <w:top w:val="nil"/>
              <w:left w:val="nil"/>
              <w:bottom w:val="nil"/>
              <w:right w:val="nil"/>
            </w:tcBorders>
            <w:hideMark/>
          </w:tcPr>
          <w:p w:rsidR="005A1848" w:rsidRPr="005A1848" w:rsidRDefault="005A1848" w:rsidP="005A1848">
            <w:pPr>
              <w:numPr>
                <w:ilvl w:val="0"/>
                <w:numId w:val="24"/>
              </w:numPr>
              <w:cnfStyle w:val="000000010000" w:firstRow="0" w:lastRow="0" w:firstColumn="0" w:lastColumn="0" w:oddVBand="0" w:evenVBand="0" w:oddHBand="0" w:evenHBand="1" w:firstRowFirstColumn="0" w:firstRowLastColumn="0" w:lastRowFirstColumn="0" w:lastRowLastColumn="0"/>
            </w:pPr>
            <w:r w:rsidRPr="005A1848">
              <w:t>debt risk premium</w:t>
            </w:r>
          </w:p>
        </w:tc>
      </w:tr>
      <w:tr w:rsidR="005A1848" w:rsidTr="005A1848">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5A1848" w:rsidRPr="005A1848" w:rsidRDefault="005A1848" w:rsidP="005A1848">
            <w:pPr>
              <w:numPr>
                <w:ilvl w:val="0"/>
                <w:numId w:val="24"/>
              </w:numPr>
            </w:pPr>
            <w:r w:rsidRPr="005A1848">
              <w:t>EBSS</w:t>
            </w:r>
          </w:p>
        </w:tc>
        <w:tc>
          <w:tcPr>
            <w:tcW w:w="5041" w:type="dxa"/>
            <w:tcBorders>
              <w:top w:val="nil"/>
              <w:left w:val="nil"/>
              <w:bottom w:val="nil"/>
              <w:right w:val="nil"/>
            </w:tcBorders>
            <w:hideMark/>
          </w:tcPr>
          <w:p w:rsidR="005A1848" w:rsidRPr="005A1848" w:rsidRDefault="005A1848" w:rsidP="005A1848">
            <w:pPr>
              <w:cnfStyle w:val="000000000000" w:firstRow="0" w:lastRow="0" w:firstColumn="0" w:lastColumn="0" w:oddVBand="0" w:evenVBand="0" w:oddHBand="0" w:evenHBand="0" w:firstRowFirstColumn="0" w:firstRowLastColumn="0" w:lastRowFirstColumn="0" w:lastRowLastColumn="0"/>
            </w:pPr>
            <w:r w:rsidRPr="005A1848">
              <w:t>Efficiency Benefit Sharing Scheme</w:t>
            </w:r>
          </w:p>
        </w:tc>
      </w:tr>
      <w:tr w:rsidR="005A1848" w:rsidTr="005A184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5A1848" w:rsidRPr="005A1848" w:rsidRDefault="005A1848" w:rsidP="005A1848">
            <w:pPr>
              <w:numPr>
                <w:ilvl w:val="0"/>
                <w:numId w:val="24"/>
              </w:numPr>
            </w:pPr>
            <w:r w:rsidRPr="005A1848">
              <w:t>ERP</w:t>
            </w:r>
          </w:p>
        </w:tc>
        <w:tc>
          <w:tcPr>
            <w:tcW w:w="5041" w:type="dxa"/>
            <w:tcBorders>
              <w:top w:val="nil"/>
              <w:left w:val="nil"/>
              <w:bottom w:val="nil"/>
              <w:right w:val="nil"/>
            </w:tcBorders>
            <w:hideMark/>
          </w:tcPr>
          <w:p w:rsidR="005A1848" w:rsidRPr="005A1848" w:rsidRDefault="005A1848" w:rsidP="005A1848">
            <w:pPr>
              <w:numPr>
                <w:ilvl w:val="0"/>
                <w:numId w:val="24"/>
              </w:numPr>
              <w:cnfStyle w:val="000000010000" w:firstRow="0" w:lastRow="0" w:firstColumn="0" w:lastColumn="0" w:oddVBand="0" w:evenVBand="0" w:oddHBand="0" w:evenHBand="1" w:firstRowFirstColumn="0" w:firstRowLastColumn="0" w:lastRowFirstColumn="0" w:lastRowLastColumn="0"/>
            </w:pPr>
            <w:r w:rsidRPr="005A1848">
              <w:t>equity risk premium</w:t>
            </w:r>
          </w:p>
        </w:tc>
      </w:tr>
      <w:tr w:rsidR="005A1848" w:rsidTr="005A1848">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5A1848" w:rsidRPr="005A1848" w:rsidRDefault="005A1848" w:rsidP="005A1848">
            <w:pPr>
              <w:numPr>
                <w:ilvl w:val="0"/>
                <w:numId w:val="24"/>
              </w:numPr>
            </w:pPr>
            <w:r w:rsidRPr="005A1848">
              <w:t>Expenditure Guideline</w:t>
            </w:r>
          </w:p>
        </w:tc>
        <w:tc>
          <w:tcPr>
            <w:tcW w:w="5041" w:type="dxa"/>
            <w:tcBorders>
              <w:top w:val="nil"/>
              <w:left w:val="nil"/>
              <w:bottom w:val="nil"/>
              <w:right w:val="nil"/>
            </w:tcBorders>
            <w:hideMark/>
          </w:tcPr>
          <w:p w:rsidR="005A1848" w:rsidRPr="005A1848" w:rsidRDefault="005A1848" w:rsidP="005A1848">
            <w:pPr>
              <w:cnfStyle w:val="000000000000" w:firstRow="0" w:lastRow="0" w:firstColumn="0" w:lastColumn="0" w:oddVBand="0" w:evenVBand="0" w:oddHBand="0" w:evenHBand="0" w:firstRowFirstColumn="0" w:firstRowLastColumn="0" w:lastRowFirstColumn="0" w:lastRowLastColumn="0"/>
            </w:pPr>
            <w:r w:rsidRPr="005A1848">
              <w:t>Expenditure Forecast Assessment Guideline</w:t>
            </w:r>
          </w:p>
        </w:tc>
      </w:tr>
      <w:tr w:rsidR="005A1848" w:rsidTr="005A184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5A1848" w:rsidRPr="005A1848" w:rsidRDefault="005A1848" w:rsidP="005A1848">
            <w:pPr>
              <w:numPr>
                <w:ilvl w:val="0"/>
                <w:numId w:val="24"/>
              </w:numPr>
            </w:pPr>
            <w:r w:rsidRPr="005A1848">
              <w:t>gamma</w:t>
            </w:r>
          </w:p>
        </w:tc>
        <w:tc>
          <w:tcPr>
            <w:tcW w:w="5041" w:type="dxa"/>
            <w:tcBorders>
              <w:top w:val="nil"/>
              <w:left w:val="nil"/>
              <w:bottom w:val="nil"/>
              <w:right w:val="nil"/>
            </w:tcBorders>
            <w:hideMark/>
          </w:tcPr>
          <w:p w:rsidR="005A1848" w:rsidRPr="005A1848" w:rsidRDefault="005A1848" w:rsidP="005A1848">
            <w:pPr>
              <w:cnfStyle w:val="000000010000" w:firstRow="0" w:lastRow="0" w:firstColumn="0" w:lastColumn="0" w:oddVBand="0" w:evenVBand="0" w:oddHBand="0" w:evenHBand="1" w:firstRowFirstColumn="0" w:firstRowLastColumn="0" w:lastRowFirstColumn="0" w:lastRowLastColumn="0"/>
            </w:pPr>
            <w:r w:rsidRPr="005A1848">
              <w:t>Value of Imputation Credits</w:t>
            </w:r>
          </w:p>
        </w:tc>
      </w:tr>
      <w:tr w:rsidR="005A1848" w:rsidTr="005A1848">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5A1848" w:rsidRPr="005A1848" w:rsidRDefault="005A1848" w:rsidP="005A1848">
            <w:pPr>
              <w:numPr>
                <w:ilvl w:val="0"/>
                <w:numId w:val="24"/>
              </w:numPr>
            </w:pPr>
            <w:r w:rsidRPr="005A1848">
              <w:t>GSL</w:t>
            </w:r>
          </w:p>
        </w:tc>
        <w:tc>
          <w:tcPr>
            <w:tcW w:w="5041" w:type="dxa"/>
            <w:tcBorders>
              <w:top w:val="nil"/>
              <w:left w:val="nil"/>
              <w:bottom w:val="nil"/>
              <w:right w:val="nil"/>
            </w:tcBorders>
            <w:hideMark/>
          </w:tcPr>
          <w:p w:rsidR="005A1848" w:rsidRPr="005A1848" w:rsidRDefault="005A1848" w:rsidP="005A1848">
            <w:pPr>
              <w:cnfStyle w:val="000000000000" w:firstRow="0" w:lastRow="0" w:firstColumn="0" w:lastColumn="0" w:oddVBand="0" w:evenVBand="0" w:oddHBand="0" w:evenHBand="0" w:firstRowFirstColumn="0" w:firstRowLastColumn="0" w:lastRowFirstColumn="0" w:lastRowLastColumn="0"/>
            </w:pPr>
            <w:r w:rsidRPr="005A1848">
              <w:t>Guaranteed Service Level</w:t>
            </w:r>
          </w:p>
        </w:tc>
      </w:tr>
      <w:tr w:rsidR="005A1848" w:rsidTr="005A184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5A1848" w:rsidRPr="005A1848" w:rsidRDefault="005A1848" w:rsidP="005A1848">
            <w:pPr>
              <w:numPr>
                <w:ilvl w:val="0"/>
                <w:numId w:val="24"/>
              </w:numPr>
            </w:pPr>
            <w:r w:rsidRPr="005A1848">
              <w:t>MRP</w:t>
            </w:r>
          </w:p>
        </w:tc>
        <w:tc>
          <w:tcPr>
            <w:tcW w:w="5041" w:type="dxa"/>
            <w:tcBorders>
              <w:top w:val="nil"/>
              <w:left w:val="nil"/>
              <w:bottom w:val="nil"/>
              <w:right w:val="nil"/>
            </w:tcBorders>
            <w:hideMark/>
          </w:tcPr>
          <w:p w:rsidR="005A1848" w:rsidRPr="005A1848" w:rsidRDefault="005A1848" w:rsidP="005A1848">
            <w:pPr>
              <w:numPr>
                <w:ilvl w:val="0"/>
                <w:numId w:val="24"/>
              </w:numPr>
              <w:cnfStyle w:val="000000010000" w:firstRow="0" w:lastRow="0" w:firstColumn="0" w:lastColumn="0" w:oddVBand="0" w:evenVBand="0" w:oddHBand="0" w:evenHBand="1" w:firstRowFirstColumn="0" w:firstRowLastColumn="0" w:lastRowFirstColumn="0" w:lastRowLastColumn="0"/>
            </w:pPr>
            <w:r w:rsidRPr="005A1848">
              <w:t>market risk premium</w:t>
            </w:r>
          </w:p>
        </w:tc>
      </w:tr>
      <w:tr w:rsidR="005A1848" w:rsidTr="005A1848">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5A1848" w:rsidRPr="005A1848" w:rsidRDefault="005A1848" w:rsidP="005A1848">
            <w:pPr>
              <w:numPr>
                <w:ilvl w:val="0"/>
                <w:numId w:val="24"/>
              </w:numPr>
            </w:pPr>
            <w:r w:rsidRPr="005A1848">
              <w:t>NEGI</w:t>
            </w:r>
          </w:p>
        </w:tc>
        <w:tc>
          <w:tcPr>
            <w:tcW w:w="5041" w:type="dxa"/>
            <w:tcBorders>
              <w:top w:val="nil"/>
              <w:left w:val="nil"/>
              <w:bottom w:val="nil"/>
              <w:right w:val="nil"/>
            </w:tcBorders>
            <w:hideMark/>
          </w:tcPr>
          <w:p w:rsidR="005A1848" w:rsidRPr="005A1848" w:rsidRDefault="005A1848" w:rsidP="005A1848">
            <w:pPr>
              <w:numPr>
                <w:ilvl w:val="0"/>
                <w:numId w:val="24"/>
              </w:numPr>
              <w:cnfStyle w:val="000000000000" w:firstRow="0" w:lastRow="0" w:firstColumn="0" w:lastColumn="0" w:oddVBand="0" w:evenVBand="0" w:oddHBand="0" w:evenHBand="0" w:firstRowFirstColumn="0" w:firstRowLastColumn="0" w:lastRowFirstColumn="0" w:lastRowLastColumn="0"/>
            </w:pPr>
            <w:r w:rsidRPr="005A1848">
              <w:t>north eastern gas interconnector</w:t>
            </w:r>
          </w:p>
        </w:tc>
      </w:tr>
      <w:tr w:rsidR="005A1848" w:rsidTr="005A184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5A1848" w:rsidRPr="005A1848" w:rsidRDefault="005A1848" w:rsidP="005A1848">
            <w:pPr>
              <w:numPr>
                <w:ilvl w:val="0"/>
                <w:numId w:val="24"/>
              </w:numPr>
            </w:pPr>
            <w:r w:rsidRPr="005A1848">
              <w:t>NGL</w:t>
            </w:r>
          </w:p>
        </w:tc>
        <w:tc>
          <w:tcPr>
            <w:tcW w:w="5041" w:type="dxa"/>
            <w:tcBorders>
              <w:top w:val="nil"/>
              <w:left w:val="nil"/>
              <w:bottom w:val="nil"/>
              <w:right w:val="nil"/>
            </w:tcBorders>
            <w:hideMark/>
          </w:tcPr>
          <w:p w:rsidR="005A1848" w:rsidRPr="005A1848" w:rsidRDefault="005A1848" w:rsidP="005A1848">
            <w:pPr>
              <w:numPr>
                <w:ilvl w:val="0"/>
                <w:numId w:val="24"/>
              </w:numPr>
              <w:cnfStyle w:val="000000010000" w:firstRow="0" w:lastRow="0" w:firstColumn="0" w:lastColumn="0" w:oddVBand="0" w:evenVBand="0" w:oddHBand="0" w:evenHBand="1" w:firstRowFirstColumn="0" w:firstRowLastColumn="0" w:lastRowFirstColumn="0" w:lastRowLastColumn="0"/>
            </w:pPr>
            <w:r w:rsidRPr="005A1848">
              <w:t>national gas law</w:t>
            </w:r>
          </w:p>
        </w:tc>
      </w:tr>
      <w:tr w:rsidR="005A1848" w:rsidTr="005A1848">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5A1848" w:rsidRPr="005A1848" w:rsidRDefault="005A1848" w:rsidP="005A1848">
            <w:pPr>
              <w:numPr>
                <w:ilvl w:val="0"/>
                <w:numId w:val="24"/>
              </w:numPr>
            </w:pPr>
            <w:r w:rsidRPr="005A1848">
              <w:t>NGO</w:t>
            </w:r>
          </w:p>
        </w:tc>
        <w:tc>
          <w:tcPr>
            <w:tcW w:w="5041" w:type="dxa"/>
            <w:tcBorders>
              <w:top w:val="nil"/>
              <w:left w:val="nil"/>
              <w:bottom w:val="nil"/>
              <w:right w:val="nil"/>
            </w:tcBorders>
            <w:hideMark/>
          </w:tcPr>
          <w:p w:rsidR="005A1848" w:rsidRPr="005A1848" w:rsidRDefault="005A1848" w:rsidP="005A1848">
            <w:pPr>
              <w:numPr>
                <w:ilvl w:val="0"/>
                <w:numId w:val="24"/>
              </w:numPr>
              <w:cnfStyle w:val="000000000000" w:firstRow="0" w:lastRow="0" w:firstColumn="0" w:lastColumn="0" w:oddVBand="0" w:evenVBand="0" w:oddHBand="0" w:evenHBand="0" w:firstRowFirstColumn="0" w:firstRowLastColumn="0" w:lastRowFirstColumn="0" w:lastRowLastColumn="0"/>
            </w:pPr>
            <w:r w:rsidRPr="005A1848">
              <w:t>national gas objective</w:t>
            </w:r>
          </w:p>
        </w:tc>
      </w:tr>
      <w:tr w:rsidR="005A1848" w:rsidTr="005A184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5A1848" w:rsidRPr="005A1848" w:rsidRDefault="005A1848" w:rsidP="005A1848">
            <w:pPr>
              <w:numPr>
                <w:ilvl w:val="0"/>
                <w:numId w:val="24"/>
              </w:numPr>
            </w:pPr>
            <w:r w:rsidRPr="005A1848">
              <w:t>NGR</w:t>
            </w:r>
          </w:p>
        </w:tc>
        <w:tc>
          <w:tcPr>
            <w:tcW w:w="5041" w:type="dxa"/>
            <w:tcBorders>
              <w:top w:val="nil"/>
              <w:left w:val="nil"/>
              <w:bottom w:val="nil"/>
              <w:right w:val="nil"/>
            </w:tcBorders>
            <w:hideMark/>
          </w:tcPr>
          <w:p w:rsidR="005A1848" w:rsidRPr="005A1848" w:rsidRDefault="005A1848" w:rsidP="005A1848">
            <w:pPr>
              <w:numPr>
                <w:ilvl w:val="0"/>
                <w:numId w:val="24"/>
              </w:numPr>
              <w:cnfStyle w:val="000000010000" w:firstRow="0" w:lastRow="0" w:firstColumn="0" w:lastColumn="0" w:oddVBand="0" w:evenVBand="0" w:oddHBand="0" w:evenHBand="1" w:firstRowFirstColumn="0" w:firstRowLastColumn="0" w:lastRowFirstColumn="0" w:lastRowLastColumn="0"/>
            </w:pPr>
            <w:r w:rsidRPr="005A1848">
              <w:t>national gas rules</w:t>
            </w:r>
          </w:p>
        </w:tc>
      </w:tr>
      <w:tr w:rsidR="005A1848" w:rsidTr="005A1848">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5A1848" w:rsidRPr="005A1848" w:rsidRDefault="005A1848" w:rsidP="005A1848">
            <w:pPr>
              <w:numPr>
                <w:ilvl w:val="0"/>
                <w:numId w:val="24"/>
              </w:numPr>
            </w:pPr>
            <w:r w:rsidRPr="005A1848">
              <w:t>NPV</w:t>
            </w:r>
          </w:p>
        </w:tc>
        <w:tc>
          <w:tcPr>
            <w:tcW w:w="5041" w:type="dxa"/>
            <w:tcBorders>
              <w:top w:val="nil"/>
              <w:left w:val="nil"/>
              <w:bottom w:val="nil"/>
              <w:right w:val="nil"/>
            </w:tcBorders>
            <w:hideMark/>
          </w:tcPr>
          <w:p w:rsidR="005A1848" w:rsidRPr="005A1848" w:rsidRDefault="005A1848" w:rsidP="005A1848">
            <w:pPr>
              <w:cnfStyle w:val="000000000000" w:firstRow="0" w:lastRow="0" w:firstColumn="0" w:lastColumn="0" w:oddVBand="0" w:evenVBand="0" w:oddHBand="0" w:evenHBand="0" w:firstRowFirstColumn="0" w:firstRowLastColumn="0" w:lastRowFirstColumn="0" w:lastRowLastColumn="0"/>
            </w:pPr>
            <w:r w:rsidRPr="005A1848">
              <w:t>net present value</w:t>
            </w:r>
          </w:p>
        </w:tc>
      </w:tr>
      <w:tr w:rsidR="005A1848" w:rsidTr="005A184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5A1848" w:rsidRPr="005A1848" w:rsidRDefault="005A1848" w:rsidP="005A1848">
            <w:pPr>
              <w:numPr>
                <w:ilvl w:val="0"/>
                <w:numId w:val="24"/>
              </w:numPr>
            </w:pPr>
            <w:r w:rsidRPr="005A1848">
              <w:t>opex</w:t>
            </w:r>
          </w:p>
        </w:tc>
        <w:tc>
          <w:tcPr>
            <w:tcW w:w="5041" w:type="dxa"/>
            <w:tcBorders>
              <w:top w:val="nil"/>
              <w:left w:val="nil"/>
              <w:bottom w:val="nil"/>
              <w:right w:val="nil"/>
            </w:tcBorders>
            <w:hideMark/>
          </w:tcPr>
          <w:p w:rsidR="005A1848" w:rsidRPr="005A1848" w:rsidRDefault="005A1848" w:rsidP="005A1848">
            <w:pPr>
              <w:numPr>
                <w:ilvl w:val="0"/>
                <w:numId w:val="24"/>
              </w:numPr>
              <w:cnfStyle w:val="000000010000" w:firstRow="0" w:lastRow="0" w:firstColumn="0" w:lastColumn="0" w:oddVBand="0" w:evenVBand="0" w:oddHBand="0" w:evenHBand="1" w:firstRowFirstColumn="0" w:firstRowLastColumn="0" w:lastRowFirstColumn="0" w:lastRowLastColumn="0"/>
            </w:pPr>
            <w:r w:rsidRPr="005A1848">
              <w:t>operating expenditure</w:t>
            </w:r>
          </w:p>
        </w:tc>
      </w:tr>
      <w:tr w:rsidR="005A1848" w:rsidTr="005A1848">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5A1848" w:rsidRPr="005A1848" w:rsidRDefault="005A1848" w:rsidP="005A1848">
            <w:pPr>
              <w:numPr>
                <w:ilvl w:val="0"/>
                <w:numId w:val="24"/>
              </w:numPr>
            </w:pPr>
            <w:r w:rsidRPr="005A1848">
              <w:t>PFP</w:t>
            </w:r>
          </w:p>
        </w:tc>
        <w:tc>
          <w:tcPr>
            <w:tcW w:w="5041" w:type="dxa"/>
            <w:tcBorders>
              <w:top w:val="nil"/>
              <w:left w:val="nil"/>
              <w:bottom w:val="nil"/>
              <w:right w:val="nil"/>
            </w:tcBorders>
            <w:hideMark/>
          </w:tcPr>
          <w:p w:rsidR="005A1848" w:rsidRPr="005A1848" w:rsidRDefault="005A1848" w:rsidP="005A1848">
            <w:pPr>
              <w:cnfStyle w:val="000000000000" w:firstRow="0" w:lastRow="0" w:firstColumn="0" w:lastColumn="0" w:oddVBand="0" w:evenVBand="0" w:oddHBand="0" w:evenHBand="0" w:firstRowFirstColumn="0" w:firstRowLastColumn="0" w:lastRowFirstColumn="0" w:lastRowLastColumn="0"/>
            </w:pPr>
            <w:r w:rsidRPr="005A1848">
              <w:t>partial factor productivity</w:t>
            </w:r>
          </w:p>
        </w:tc>
      </w:tr>
      <w:tr w:rsidR="005A1848" w:rsidTr="005A184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5A1848" w:rsidRPr="005A1848" w:rsidRDefault="005A1848" w:rsidP="005A1848">
            <w:pPr>
              <w:numPr>
                <w:ilvl w:val="0"/>
                <w:numId w:val="24"/>
              </w:numPr>
            </w:pPr>
            <w:r w:rsidRPr="005A1848">
              <w:t>PPI</w:t>
            </w:r>
          </w:p>
        </w:tc>
        <w:tc>
          <w:tcPr>
            <w:tcW w:w="5041" w:type="dxa"/>
            <w:tcBorders>
              <w:top w:val="nil"/>
              <w:left w:val="nil"/>
              <w:bottom w:val="nil"/>
              <w:right w:val="nil"/>
            </w:tcBorders>
            <w:hideMark/>
          </w:tcPr>
          <w:p w:rsidR="005A1848" w:rsidRPr="005A1848" w:rsidRDefault="005A1848" w:rsidP="005A1848">
            <w:pPr>
              <w:numPr>
                <w:ilvl w:val="0"/>
                <w:numId w:val="24"/>
              </w:numPr>
              <w:cnfStyle w:val="000000010000" w:firstRow="0" w:lastRow="0" w:firstColumn="0" w:lastColumn="0" w:oddVBand="0" w:evenVBand="0" w:oddHBand="0" w:evenHBand="1" w:firstRowFirstColumn="0" w:firstRowLastColumn="0" w:lastRowFirstColumn="0" w:lastRowLastColumn="0"/>
            </w:pPr>
            <w:r w:rsidRPr="005A1848">
              <w:t>partial performance indicators</w:t>
            </w:r>
          </w:p>
        </w:tc>
      </w:tr>
      <w:tr w:rsidR="005A1848" w:rsidTr="005A1848">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5A1848" w:rsidRPr="005A1848" w:rsidRDefault="005A1848" w:rsidP="005A1848">
            <w:pPr>
              <w:numPr>
                <w:ilvl w:val="0"/>
                <w:numId w:val="24"/>
              </w:numPr>
            </w:pPr>
            <w:r w:rsidRPr="005A1848">
              <w:t>PTRM</w:t>
            </w:r>
          </w:p>
        </w:tc>
        <w:tc>
          <w:tcPr>
            <w:tcW w:w="5041" w:type="dxa"/>
            <w:tcBorders>
              <w:top w:val="nil"/>
              <w:left w:val="nil"/>
              <w:bottom w:val="nil"/>
              <w:right w:val="nil"/>
            </w:tcBorders>
            <w:hideMark/>
          </w:tcPr>
          <w:p w:rsidR="005A1848" w:rsidRPr="005A1848" w:rsidRDefault="005A1848" w:rsidP="005A1848">
            <w:pPr>
              <w:numPr>
                <w:ilvl w:val="0"/>
                <w:numId w:val="24"/>
              </w:numPr>
              <w:cnfStyle w:val="000000000000" w:firstRow="0" w:lastRow="0" w:firstColumn="0" w:lastColumn="0" w:oddVBand="0" w:evenVBand="0" w:oddHBand="0" w:evenHBand="0" w:firstRowFirstColumn="0" w:firstRowLastColumn="0" w:lastRowFirstColumn="0" w:lastRowLastColumn="0"/>
            </w:pPr>
            <w:r w:rsidRPr="005A1848">
              <w:t>post-tax revenue model</w:t>
            </w:r>
          </w:p>
        </w:tc>
      </w:tr>
      <w:tr w:rsidR="005A1848" w:rsidTr="005A184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5A1848" w:rsidRPr="005A1848" w:rsidRDefault="005A1848" w:rsidP="005A1848">
            <w:pPr>
              <w:numPr>
                <w:ilvl w:val="0"/>
                <w:numId w:val="24"/>
              </w:numPr>
            </w:pPr>
            <w:r w:rsidRPr="005A1848">
              <w:t>RBA</w:t>
            </w:r>
          </w:p>
        </w:tc>
        <w:tc>
          <w:tcPr>
            <w:tcW w:w="5041" w:type="dxa"/>
            <w:tcBorders>
              <w:top w:val="nil"/>
              <w:left w:val="nil"/>
              <w:bottom w:val="nil"/>
              <w:right w:val="nil"/>
            </w:tcBorders>
            <w:hideMark/>
          </w:tcPr>
          <w:p w:rsidR="005A1848" w:rsidRPr="005A1848" w:rsidRDefault="005A1848" w:rsidP="005A1848">
            <w:pPr>
              <w:numPr>
                <w:ilvl w:val="0"/>
                <w:numId w:val="24"/>
              </w:numPr>
              <w:cnfStyle w:val="000000010000" w:firstRow="0" w:lastRow="0" w:firstColumn="0" w:lastColumn="0" w:oddVBand="0" w:evenVBand="0" w:oddHBand="0" w:evenHBand="1" w:firstRowFirstColumn="0" w:firstRowLastColumn="0" w:lastRowFirstColumn="0" w:lastRowLastColumn="0"/>
            </w:pPr>
            <w:r w:rsidRPr="005A1848">
              <w:t>Reserve Bank of Australia</w:t>
            </w:r>
          </w:p>
        </w:tc>
      </w:tr>
      <w:tr w:rsidR="005A1848" w:rsidTr="005A1848">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5A1848" w:rsidRPr="005A1848" w:rsidRDefault="005A1848" w:rsidP="005A1848">
            <w:pPr>
              <w:numPr>
                <w:ilvl w:val="0"/>
                <w:numId w:val="24"/>
              </w:numPr>
            </w:pPr>
            <w:r w:rsidRPr="005A1848">
              <w:t>RFM</w:t>
            </w:r>
          </w:p>
        </w:tc>
        <w:tc>
          <w:tcPr>
            <w:tcW w:w="5041" w:type="dxa"/>
            <w:tcBorders>
              <w:top w:val="nil"/>
              <w:left w:val="nil"/>
              <w:bottom w:val="nil"/>
              <w:right w:val="nil"/>
            </w:tcBorders>
            <w:hideMark/>
          </w:tcPr>
          <w:p w:rsidR="005A1848" w:rsidRPr="005A1848" w:rsidRDefault="005A1848" w:rsidP="005A1848">
            <w:pPr>
              <w:numPr>
                <w:ilvl w:val="0"/>
                <w:numId w:val="24"/>
              </w:numPr>
              <w:cnfStyle w:val="000000000000" w:firstRow="0" w:lastRow="0" w:firstColumn="0" w:lastColumn="0" w:oddVBand="0" w:evenVBand="0" w:oddHBand="0" w:evenHBand="0" w:firstRowFirstColumn="0" w:firstRowLastColumn="0" w:lastRowFirstColumn="0" w:lastRowLastColumn="0"/>
            </w:pPr>
            <w:r w:rsidRPr="005A1848">
              <w:t>roll forward model</w:t>
            </w:r>
          </w:p>
        </w:tc>
      </w:tr>
      <w:tr w:rsidR="005A1848" w:rsidTr="005A184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5A1848" w:rsidRPr="005A1848" w:rsidRDefault="005A1848" w:rsidP="005A1848">
            <w:pPr>
              <w:numPr>
                <w:ilvl w:val="0"/>
                <w:numId w:val="24"/>
              </w:numPr>
            </w:pPr>
            <w:r w:rsidRPr="005A1848">
              <w:t>RIN</w:t>
            </w:r>
          </w:p>
        </w:tc>
        <w:tc>
          <w:tcPr>
            <w:tcW w:w="5041" w:type="dxa"/>
            <w:tcBorders>
              <w:top w:val="nil"/>
              <w:left w:val="nil"/>
              <w:bottom w:val="nil"/>
              <w:right w:val="nil"/>
            </w:tcBorders>
            <w:hideMark/>
          </w:tcPr>
          <w:p w:rsidR="005A1848" w:rsidRPr="005A1848" w:rsidRDefault="005A1848" w:rsidP="005A1848">
            <w:pPr>
              <w:numPr>
                <w:ilvl w:val="0"/>
                <w:numId w:val="24"/>
              </w:numPr>
              <w:cnfStyle w:val="000000010000" w:firstRow="0" w:lastRow="0" w:firstColumn="0" w:lastColumn="0" w:oddVBand="0" w:evenVBand="0" w:oddHBand="0" w:evenHBand="1" w:firstRowFirstColumn="0" w:firstRowLastColumn="0" w:lastRowFirstColumn="0" w:lastRowLastColumn="0"/>
            </w:pPr>
            <w:r w:rsidRPr="005A1848">
              <w:t>regulatory information notice</w:t>
            </w:r>
          </w:p>
        </w:tc>
      </w:tr>
      <w:tr w:rsidR="005A1848" w:rsidTr="005A1848">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5A1848" w:rsidRPr="005A1848" w:rsidRDefault="005A1848" w:rsidP="005A1848">
            <w:pPr>
              <w:numPr>
                <w:ilvl w:val="0"/>
                <w:numId w:val="24"/>
              </w:numPr>
            </w:pPr>
            <w:r w:rsidRPr="005A1848">
              <w:t>RPP</w:t>
            </w:r>
          </w:p>
        </w:tc>
        <w:tc>
          <w:tcPr>
            <w:tcW w:w="5041" w:type="dxa"/>
            <w:tcBorders>
              <w:top w:val="nil"/>
              <w:left w:val="nil"/>
              <w:bottom w:val="nil"/>
              <w:right w:val="nil"/>
            </w:tcBorders>
            <w:hideMark/>
          </w:tcPr>
          <w:p w:rsidR="005A1848" w:rsidRPr="005A1848" w:rsidRDefault="005A1848" w:rsidP="005A1848">
            <w:pPr>
              <w:numPr>
                <w:ilvl w:val="0"/>
                <w:numId w:val="24"/>
              </w:numPr>
              <w:cnfStyle w:val="000000000000" w:firstRow="0" w:lastRow="0" w:firstColumn="0" w:lastColumn="0" w:oddVBand="0" w:evenVBand="0" w:oddHBand="0" w:evenHBand="0" w:firstRowFirstColumn="0" w:firstRowLastColumn="0" w:lastRowFirstColumn="0" w:lastRowLastColumn="0"/>
            </w:pPr>
            <w:r w:rsidRPr="005A1848">
              <w:t>revenue and pricing principles</w:t>
            </w:r>
          </w:p>
        </w:tc>
      </w:tr>
      <w:tr w:rsidR="005A1848" w:rsidTr="005A184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5A1848" w:rsidRPr="005A1848" w:rsidRDefault="005A1848" w:rsidP="005A1848">
            <w:pPr>
              <w:numPr>
                <w:ilvl w:val="0"/>
                <w:numId w:val="24"/>
              </w:numPr>
            </w:pPr>
            <w:r w:rsidRPr="005A1848">
              <w:t>SLCAPM</w:t>
            </w:r>
          </w:p>
        </w:tc>
        <w:tc>
          <w:tcPr>
            <w:tcW w:w="5041" w:type="dxa"/>
            <w:tcBorders>
              <w:top w:val="nil"/>
              <w:left w:val="nil"/>
              <w:bottom w:val="nil"/>
              <w:right w:val="nil"/>
            </w:tcBorders>
            <w:hideMark/>
          </w:tcPr>
          <w:p w:rsidR="005A1848" w:rsidRPr="005A1848" w:rsidRDefault="005A1848" w:rsidP="005A1848">
            <w:pPr>
              <w:numPr>
                <w:ilvl w:val="0"/>
                <w:numId w:val="24"/>
              </w:numPr>
              <w:cnfStyle w:val="000000010000" w:firstRow="0" w:lastRow="0" w:firstColumn="0" w:lastColumn="0" w:oddVBand="0" w:evenVBand="0" w:oddHBand="0" w:evenHBand="1" w:firstRowFirstColumn="0" w:firstRowLastColumn="0" w:lastRowFirstColumn="0" w:lastRowLastColumn="0"/>
            </w:pPr>
            <w:r w:rsidRPr="005A1848">
              <w:t>Sharpe-Lintner capital asset pricing model</w:t>
            </w:r>
          </w:p>
        </w:tc>
      </w:tr>
      <w:tr w:rsidR="005A1848" w:rsidTr="005A1848">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5A1848" w:rsidRPr="005A1848" w:rsidRDefault="005A1848" w:rsidP="005A1848">
            <w:pPr>
              <w:numPr>
                <w:ilvl w:val="0"/>
                <w:numId w:val="24"/>
              </w:numPr>
            </w:pPr>
            <w:r w:rsidRPr="005A1848">
              <w:lastRenderedPageBreak/>
              <w:t>TAB</w:t>
            </w:r>
          </w:p>
        </w:tc>
        <w:tc>
          <w:tcPr>
            <w:tcW w:w="5041" w:type="dxa"/>
            <w:tcBorders>
              <w:top w:val="nil"/>
              <w:left w:val="nil"/>
              <w:bottom w:val="nil"/>
              <w:right w:val="nil"/>
            </w:tcBorders>
            <w:hideMark/>
          </w:tcPr>
          <w:p w:rsidR="005A1848" w:rsidRPr="005A1848" w:rsidRDefault="005A1848" w:rsidP="005A1848">
            <w:pPr>
              <w:cnfStyle w:val="000000000000" w:firstRow="0" w:lastRow="0" w:firstColumn="0" w:lastColumn="0" w:oddVBand="0" w:evenVBand="0" w:oddHBand="0" w:evenHBand="0" w:firstRowFirstColumn="0" w:firstRowLastColumn="0" w:lastRowFirstColumn="0" w:lastRowLastColumn="0"/>
            </w:pPr>
            <w:r w:rsidRPr="005A1848">
              <w:t>Tax asset base</w:t>
            </w:r>
          </w:p>
        </w:tc>
      </w:tr>
      <w:tr w:rsidR="005A1848" w:rsidTr="005A184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5A1848" w:rsidRPr="005A1848" w:rsidRDefault="005A1848" w:rsidP="005A1848">
            <w:pPr>
              <w:numPr>
                <w:ilvl w:val="0"/>
                <w:numId w:val="24"/>
              </w:numPr>
            </w:pPr>
            <w:r w:rsidRPr="005A1848">
              <w:t>UAFG</w:t>
            </w:r>
          </w:p>
        </w:tc>
        <w:tc>
          <w:tcPr>
            <w:tcW w:w="5041" w:type="dxa"/>
            <w:tcBorders>
              <w:top w:val="nil"/>
              <w:left w:val="nil"/>
              <w:bottom w:val="nil"/>
              <w:right w:val="nil"/>
            </w:tcBorders>
            <w:hideMark/>
          </w:tcPr>
          <w:p w:rsidR="005A1848" w:rsidRPr="005A1848" w:rsidRDefault="005A1848" w:rsidP="005A1848">
            <w:pPr>
              <w:cnfStyle w:val="000000010000" w:firstRow="0" w:lastRow="0" w:firstColumn="0" w:lastColumn="0" w:oddVBand="0" w:evenVBand="0" w:oddHBand="0" w:evenHBand="1" w:firstRowFirstColumn="0" w:firstRowLastColumn="0" w:lastRowFirstColumn="0" w:lastRowLastColumn="0"/>
            </w:pPr>
            <w:r w:rsidRPr="005A1848">
              <w:t>Unaccounted for gas</w:t>
            </w:r>
          </w:p>
        </w:tc>
      </w:tr>
      <w:tr w:rsidR="005A1848" w:rsidTr="005A1848">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5A1848" w:rsidRPr="005A1848" w:rsidRDefault="005A1848" w:rsidP="005A1848">
            <w:pPr>
              <w:numPr>
                <w:ilvl w:val="0"/>
                <w:numId w:val="24"/>
              </w:numPr>
            </w:pPr>
            <w:r w:rsidRPr="005A1848">
              <w:t>WACC</w:t>
            </w:r>
          </w:p>
        </w:tc>
        <w:tc>
          <w:tcPr>
            <w:tcW w:w="5041" w:type="dxa"/>
            <w:tcBorders>
              <w:top w:val="nil"/>
              <w:left w:val="nil"/>
              <w:bottom w:val="nil"/>
              <w:right w:val="nil"/>
            </w:tcBorders>
            <w:hideMark/>
          </w:tcPr>
          <w:p w:rsidR="005A1848" w:rsidRPr="005A1848" w:rsidRDefault="005A1848" w:rsidP="005A1848">
            <w:pPr>
              <w:numPr>
                <w:ilvl w:val="0"/>
                <w:numId w:val="24"/>
              </w:numPr>
              <w:cnfStyle w:val="000000000000" w:firstRow="0" w:lastRow="0" w:firstColumn="0" w:lastColumn="0" w:oddVBand="0" w:evenVBand="0" w:oddHBand="0" w:evenHBand="0" w:firstRowFirstColumn="0" w:firstRowLastColumn="0" w:lastRowFirstColumn="0" w:lastRowLastColumn="0"/>
            </w:pPr>
            <w:r w:rsidRPr="005A1848">
              <w:t>weighted average cost of capital</w:t>
            </w:r>
          </w:p>
        </w:tc>
      </w:tr>
      <w:tr w:rsidR="005A1848" w:rsidTr="005A184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single" w:sz="4" w:space="0" w:color="365F91"/>
              <w:right w:val="nil"/>
            </w:tcBorders>
            <w:hideMark/>
          </w:tcPr>
          <w:p w:rsidR="005A1848" w:rsidRPr="005A1848" w:rsidRDefault="005A1848" w:rsidP="005A1848">
            <w:pPr>
              <w:numPr>
                <w:ilvl w:val="0"/>
                <w:numId w:val="24"/>
              </w:numPr>
            </w:pPr>
            <w:r w:rsidRPr="005A1848">
              <w:t>WPI</w:t>
            </w:r>
          </w:p>
        </w:tc>
        <w:tc>
          <w:tcPr>
            <w:tcW w:w="5041" w:type="dxa"/>
            <w:tcBorders>
              <w:top w:val="nil"/>
              <w:left w:val="nil"/>
              <w:bottom w:val="single" w:sz="4" w:space="0" w:color="365F91"/>
              <w:right w:val="nil"/>
            </w:tcBorders>
            <w:hideMark/>
          </w:tcPr>
          <w:p w:rsidR="005A1848" w:rsidRPr="005A1848" w:rsidRDefault="005A1848" w:rsidP="005A1848">
            <w:pPr>
              <w:cnfStyle w:val="000000010000" w:firstRow="0" w:lastRow="0" w:firstColumn="0" w:lastColumn="0" w:oddVBand="0" w:evenVBand="0" w:oddHBand="0" w:evenHBand="1" w:firstRowFirstColumn="0" w:firstRowLastColumn="0" w:lastRowFirstColumn="0" w:lastRowLastColumn="0"/>
            </w:pPr>
            <w:r w:rsidRPr="005A1848">
              <w:t>Wage Price Index</w:t>
            </w:r>
          </w:p>
        </w:tc>
      </w:tr>
    </w:tbl>
    <w:p w:rsidR="005A1848" w:rsidRPr="005A1848" w:rsidRDefault="005A1848" w:rsidP="005A1848"/>
    <w:p w:rsidR="00DE563D" w:rsidRDefault="008C5970" w:rsidP="008C5970">
      <w:pPr>
        <w:pStyle w:val="Heading1"/>
      </w:pPr>
      <w:bookmarkStart w:id="10" w:name="_Toc436044722"/>
      <w:r>
        <w:lastRenderedPageBreak/>
        <w:t>Non-tariff components</w:t>
      </w:r>
      <w:bookmarkEnd w:id="10"/>
    </w:p>
    <w:p w:rsidR="00221D0A" w:rsidRDefault="00221D0A" w:rsidP="00261D5B">
      <w:r>
        <w:t xml:space="preserve">APT Pipelines (NT) Pty Limited (APTNT) proposed a revised access arrangement to apply </w:t>
      </w:r>
      <w:r w:rsidR="00A506A5">
        <w:t>to</w:t>
      </w:r>
      <w:r>
        <w:t xml:space="preserve"> its Amadeus Gas Pipeline (AGP) for the 2016</w:t>
      </w:r>
      <w:r w:rsidR="009E11D5">
        <w:t>–</w:t>
      </w:r>
      <w:r>
        <w:t xml:space="preserve">21 access arrangement period. </w:t>
      </w:r>
    </w:p>
    <w:p w:rsidR="00A30AE9" w:rsidRDefault="00FA1C9D" w:rsidP="00A30AE9">
      <w:r>
        <w:t>APTNT’s</w:t>
      </w:r>
      <w:r w:rsidR="00B16798">
        <w:t xml:space="preserve"> </w:t>
      </w:r>
      <w:r w:rsidR="00221D0A">
        <w:t>2016</w:t>
      </w:r>
      <w:r w:rsidR="009E11D5">
        <w:t>–</w:t>
      </w:r>
      <w:r w:rsidR="00221D0A">
        <w:t>21</w:t>
      </w:r>
      <w:r w:rsidR="00221D0A" w:rsidRPr="00F5072A">
        <w:t xml:space="preserve"> access arrangement proposal sets out terms and conditions </w:t>
      </w:r>
      <w:r w:rsidR="00221D0A">
        <w:t>on</w:t>
      </w:r>
      <w:r w:rsidR="00221D0A" w:rsidRPr="00F5072A">
        <w:t xml:space="preserve"> which </w:t>
      </w:r>
      <w:r>
        <w:t>APTNT</w:t>
      </w:r>
      <w:r w:rsidR="00221D0A" w:rsidRPr="00F5072A">
        <w:t xml:space="preserve"> </w:t>
      </w:r>
      <w:r w:rsidR="00221D0A">
        <w:t xml:space="preserve">offers to </w:t>
      </w:r>
      <w:r w:rsidR="00221D0A" w:rsidRPr="00F5072A">
        <w:t xml:space="preserve">supply </w:t>
      </w:r>
      <w:r w:rsidR="00B16798">
        <w:t>its</w:t>
      </w:r>
      <w:r w:rsidR="00221D0A" w:rsidRPr="004E046B">
        <w:t xml:space="preserve"> </w:t>
      </w:r>
      <w:r w:rsidR="00CF34E2">
        <w:t>Firm</w:t>
      </w:r>
      <w:r w:rsidR="00CF34E2" w:rsidRPr="004E046B">
        <w:t xml:space="preserve"> </w:t>
      </w:r>
      <w:r w:rsidR="00B16E77">
        <w:t xml:space="preserve">(reference) </w:t>
      </w:r>
      <w:r w:rsidR="00221D0A" w:rsidRPr="004E046B">
        <w:t>Service.</w:t>
      </w:r>
      <w:r w:rsidR="00221D0A">
        <w:t xml:space="preserve"> T</w:t>
      </w:r>
      <w:r w:rsidR="00A30AE9">
        <w:t>hey are important because they describe the relationship between APTNT and users, including setting out, amongst other things, their obligations and liabilities under the agreement.</w:t>
      </w:r>
    </w:p>
    <w:p w:rsidR="00221D0A" w:rsidRDefault="00A30AE9" w:rsidP="00A30AE9">
      <w:r>
        <w:t>APTNT’s access arrangement</w:t>
      </w:r>
      <w:r w:rsidRPr="00F5072A">
        <w:t xml:space="preserve"> also </w:t>
      </w:r>
      <w:r>
        <w:t>includes specific provisions around the following, which are considered in further detail in this attachment</w:t>
      </w:r>
      <w:r w:rsidR="00221D0A" w:rsidRPr="00F5072A">
        <w:t>:</w:t>
      </w:r>
    </w:p>
    <w:p w:rsidR="00221D0A" w:rsidRPr="00A12508" w:rsidRDefault="00221D0A" w:rsidP="00221D0A">
      <w:pPr>
        <w:pStyle w:val="AERbulletlistfirststyle"/>
      </w:pPr>
      <w:r w:rsidRPr="000707C1">
        <w:t>queuing</w:t>
      </w:r>
      <w:r w:rsidRPr="00A12508">
        <w:t xml:space="preserve"> requirements—a process or mechanism for establishing an order of priority between prospective users of spare and/or developable capacity  </w:t>
      </w:r>
    </w:p>
    <w:p w:rsidR="00221D0A" w:rsidRPr="000707C1" w:rsidRDefault="00221D0A" w:rsidP="00221D0A">
      <w:pPr>
        <w:pStyle w:val="AERbulletlistfirststyle"/>
      </w:pPr>
      <w:r w:rsidRPr="000707C1">
        <w:t>extension and expansion requirements—the method for determining whether an extension or exp</w:t>
      </w:r>
      <w:r w:rsidRPr="0065736C">
        <w:t>ansion is a part of the covere</w:t>
      </w:r>
      <w:r w:rsidRPr="000707C1">
        <w:t>d pipeline and the effect this will have on tariffs. These requirements are relevant when identifying the covered pipeline and pipeline services that will be regulated through the access arrangement.</w:t>
      </w:r>
    </w:p>
    <w:p w:rsidR="00221D0A" w:rsidRPr="000707C1" w:rsidRDefault="00221D0A" w:rsidP="00221D0A">
      <w:pPr>
        <w:pStyle w:val="AERbulletlistfirststyle"/>
      </w:pPr>
      <w:r w:rsidRPr="000707C1">
        <w:t xml:space="preserve">capacity trading requirements—how users may assign contracted capacity and change delivery and receipt points </w:t>
      </w:r>
    </w:p>
    <w:p w:rsidR="00221D0A" w:rsidRPr="000707C1" w:rsidRDefault="00221D0A" w:rsidP="00221D0A">
      <w:pPr>
        <w:pStyle w:val="AERbulletlistfirststyle"/>
      </w:pPr>
      <w:r w:rsidRPr="000707C1">
        <w:t>changing receipt and delivery points—the process or mechanism for changing a user's receipt or delivery point</w:t>
      </w:r>
    </w:p>
    <w:p w:rsidR="00221D0A" w:rsidRPr="00A12508" w:rsidRDefault="00221D0A" w:rsidP="00221D0A">
      <w:pPr>
        <w:pStyle w:val="AERbulletlistfirststyle"/>
      </w:pPr>
      <w:r w:rsidRPr="000707C1">
        <w:t>review</w:t>
      </w:r>
      <w:r>
        <w:t xml:space="preserve"> submission date and revision commencement date.</w:t>
      </w:r>
    </w:p>
    <w:p w:rsidR="00221D0A" w:rsidRDefault="00221D0A" w:rsidP="00221D0A">
      <w:r w:rsidRPr="00F5072A">
        <w:t xml:space="preserve">Together </w:t>
      </w:r>
      <w:r>
        <w:t xml:space="preserve">we refer to </w:t>
      </w:r>
      <w:r w:rsidRPr="00F5072A">
        <w:t xml:space="preserve">these as </w:t>
      </w:r>
      <w:r>
        <w:t xml:space="preserve">the </w:t>
      </w:r>
      <w:r w:rsidRPr="00F5072A">
        <w:t>non-tariff components of the access arrangement</w:t>
      </w:r>
      <w:r>
        <w:t>. Our</w:t>
      </w:r>
      <w:r w:rsidRPr="00A12508">
        <w:t xml:space="preserve"> </w:t>
      </w:r>
      <w:r>
        <w:t>assessment</w:t>
      </w:r>
      <w:r w:rsidRPr="00A12508">
        <w:t xml:space="preserve"> of each non-tariff component is set out below.</w:t>
      </w:r>
    </w:p>
    <w:p w:rsidR="00970E7D" w:rsidRDefault="00970E7D" w:rsidP="00970E7D">
      <w:pPr>
        <w:pStyle w:val="Heading2"/>
      </w:pPr>
      <w:bookmarkStart w:id="11" w:name="_Toc436044723"/>
      <w:r>
        <w:t>Terms and conditions</w:t>
      </w:r>
      <w:bookmarkEnd w:id="11"/>
    </w:p>
    <w:p w:rsidR="001F2CC6" w:rsidRDefault="001F2CC6" w:rsidP="001F2CC6">
      <w:r>
        <w:t xml:space="preserve">Rule 48(d)(ii) of the NGR requires an access arrangement to specify the terms and conditions on which each reference service will be provided. </w:t>
      </w:r>
    </w:p>
    <w:p w:rsidR="001F2CC6" w:rsidRPr="001F2CC6" w:rsidRDefault="001F2CC6" w:rsidP="001F2CC6">
      <w:r>
        <w:t>The terms and conditions specified in an access arrangement do not exhaustively set out the contractual arrangements between a service provider and a user for access to a pipeline service. Many aspects of these contractual arrangements are negotiated commercially between the parties. The NGL permits both the service provider and the user to negotiate and enter into an agreement on terms and conditions that differ to those specified in the applicable access arrangement.</w:t>
      </w:r>
      <w:r>
        <w:rPr>
          <w:rStyle w:val="FootnoteReference"/>
        </w:rPr>
        <w:footnoteReference w:id="1"/>
      </w:r>
      <w:r>
        <w:t xml:space="preserve">  </w:t>
      </w:r>
    </w:p>
    <w:p w:rsidR="009A5113" w:rsidRDefault="00CF2C05" w:rsidP="006C1B37">
      <w:pPr>
        <w:pStyle w:val="Heading3"/>
        <w:keepNext/>
      </w:pPr>
      <w:bookmarkStart w:id="12" w:name="_Toc408404320"/>
      <w:bookmarkStart w:id="13" w:name="_Toc436044724"/>
      <w:r>
        <w:lastRenderedPageBreak/>
        <w:t>Draft</w:t>
      </w:r>
      <w:r w:rsidR="009A5113" w:rsidRPr="0074565D">
        <w:t xml:space="preserve"> decision</w:t>
      </w:r>
      <w:bookmarkEnd w:id="12"/>
      <w:bookmarkEnd w:id="13"/>
    </w:p>
    <w:p w:rsidR="001F2CC6" w:rsidRPr="001F2CC6" w:rsidRDefault="001A6E7B" w:rsidP="001F2CC6">
      <w:r>
        <w:t>Our draft decision is to</w:t>
      </w:r>
      <w:r w:rsidR="002903D5">
        <w:t xml:space="preserve"> not </w:t>
      </w:r>
      <w:r w:rsidR="001F2CC6">
        <w:t>approve APTNT’s proposed terms and conditions</w:t>
      </w:r>
      <w:r>
        <w:t xml:space="preserve"> as filed</w:t>
      </w:r>
      <w:r w:rsidR="001F2CC6">
        <w:t xml:space="preserve">. </w:t>
      </w:r>
      <w:r w:rsidR="002903D5">
        <w:t xml:space="preserve">We require APTNT to make the amendments specified in section </w:t>
      </w:r>
      <w:r w:rsidR="0051571A">
        <w:fldChar w:fldCharType="begin"/>
      </w:r>
      <w:r w:rsidR="0051571A">
        <w:instrText xml:space="preserve"> REF _Ref430005724 \r \h </w:instrText>
      </w:r>
      <w:r w:rsidR="0051571A">
        <w:fldChar w:fldCharType="separate"/>
      </w:r>
      <w:r w:rsidR="00C56761">
        <w:t>12.7</w:t>
      </w:r>
      <w:r w:rsidR="0051571A">
        <w:fldChar w:fldCharType="end"/>
      </w:r>
      <w:r w:rsidR="0051571A">
        <w:t xml:space="preserve"> </w:t>
      </w:r>
      <w:r w:rsidR="002903D5">
        <w:t xml:space="preserve">below. </w:t>
      </w:r>
      <w:r w:rsidR="001F2CC6" w:rsidRPr="001F2CC6">
        <w:t xml:space="preserve">In our view, </w:t>
      </w:r>
      <w:r w:rsidR="001F2CC6">
        <w:t>the</w:t>
      </w:r>
      <w:r w:rsidR="002903D5">
        <w:t xml:space="preserve"> amendments will make the</w:t>
      </w:r>
      <w:r w:rsidR="001F2CC6">
        <w:t xml:space="preserve"> terms and conditions </w:t>
      </w:r>
      <w:r w:rsidR="001F2CC6" w:rsidRPr="001F2CC6">
        <w:t>consistent with the NGL and the applicable criteria.</w:t>
      </w:r>
      <w:r w:rsidR="00D93E20">
        <w:rPr>
          <w:rStyle w:val="FootnoteReference"/>
        </w:rPr>
        <w:footnoteReference w:id="2"/>
      </w:r>
      <w:r w:rsidR="001F2CC6" w:rsidRPr="001F2CC6">
        <w:t xml:space="preserve"> </w:t>
      </w:r>
    </w:p>
    <w:p w:rsidR="00970E7D" w:rsidRDefault="00340119" w:rsidP="00970E7D">
      <w:pPr>
        <w:pStyle w:val="Heading3"/>
      </w:pPr>
      <w:bookmarkStart w:id="14" w:name="_Toc436044725"/>
      <w:r>
        <w:t>APTNT</w:t>
      </w:r>
      <w:r w:rsidR="00970E7D">
        <w:t>’s proposal</w:t>
      </w:r>
      <w:bookmarkEnd w:id="14"/>
    </w:p>
    <w:p w:rsidR="00564FA9" w:rsidRDefault="00296D82" w:rsidP="00564FA9">
      <w:r w:rsidRPr="00296D82">
        <w:t>APTNT propose</w:t>
      </w:r>
      <w:r>
        <w:t>d</w:t>
      </w:r>
      <w:r w:rsidR="00D93E20">
        <w:t xml:space="preserve"> limited</w:t>
      </w:r>
      <w:r w:rsidRPr="00296D82">
        <w:t xml:space="preserve"> changes to</w:t>
      </w:r>
      <w:r w:rsidR="00D93E20">
        <w:t xml:space="preserve"> its </w:t>
      </w:r>
      <w:r w:rsidRPr="00296D82">
        <w:t>current non-price terms and conditions</w:t>
      </w:r>
      <w:r w:rsidR="00D93E20">
        <w:t>. It stated that the key changes are in the following sections:</w:t>
      </w:r>
    </w:p>
    <w:p w:rsidR="00564FA9" w:rsidRDefault="00564FA9" w:rsidP="00835021">
      <w:pPr>
        <w:pStyle w:val="AERbulletlistfirststyle"/>
      </w:pPr>
      <w:r>
        <w:t xml:space="preserve">Scheduling </w:t>
      </w:r>
      <w:r w:rsidR="00487EEB">
        <w:t>— clause 8</w:t>
      </w:r>
    </w:p>
    <w:p w:rsidR="00564FA9" w:rsidRDefault="00564FA9" w:rsidP="00835021">
      <w:pPr>
        <w:pStyle w:val="AERbulletlistfirststyle"/>
      </w:pPr>
      <w:r>
        <w:t xml:space="preserve">Curtailment </w:t>
      </w:r>
      <w:r w:rsidR="00487EEB">
        <w:t>— clause 11</w:t>
      </w:r>
    </w:p>
    <w:p w:rsidR="00564FA9" w:rsidRDefault="00564FA9" w:rsidP="00835021">
      <w:pPr>
        <w:pStyle w:val="AERbulletlistfirststyle"/>
      </w:pPr>
      <w:r>
        <w:t>Adjustment to Rates and Charges</w:t>
      </w:r>
      <w:r w:rsidR="00487EEB">
        <w:t xml:space="preserve"> — clause 21</w:t>
      </w:r>
    </w:p>
    <w:p w:rsidR="00564FA9" w:rsidRDefault="00564FA9" w:rsidP="00835021">
      <w:pPr>
        <w:pStyle w:val="AERbulletlistfirststyle"/>
      </w:pPr>
      <w:r>
        <w:t>System use gas and linepack</w:t>
      </w:r>
      <w:r w:rsidR="00487EEB">
        <w:t xml:space="preserve"> — clause 23</w:t>
      </w:r>
    </w:p>
    <w:p w:rsidR="00564FA9" w:rsidRDefault="00564FA9" w:rsidP="00835021">
      <w:pPr>
        <w:pStyle w:val="AERbulletlistfirststyle"/>
      </w:pPr>
      <w:r>
        <w:t xml:space="preserve">Metering </w:t>
      </w:r>
      <w:r w:rsidR="00487EEB">
        <w:t>— clause 35</w:t>
      </w:r>
    </w:p>
    <w:p w:rsidR="00564FA9" w:rsidRDefault="00564FA9" w:rsidP="00835021">
      <w:pPr>
        <w:pStyle w:val="AERbulletlistfirststyle"/>
      </w:pPr>
      <w:r>
        <w:t>Possession of gas and responsibility</w:t>
      </w:r>
      <w:r w:rsidR="00487EEB">
        <w:t xml:space="preserve"> — clause </w:t>
      </w:r>
      <w:r w:rsidR="00A20C46">
        <w:t>53</w:t>
      </w:r>
    </w:p>
    <w:p w:rsidR="00564FA9" w:rsidRDefault="00564FA9" w:rsidP="00835021">
      <w:pPr>
        <w:pStyle w:val="AERbulletlistfirststyle"/>
      </w:pPr>
      <w:r>
        <w:t xml:space="preserve">Title </w:t>
      </w:r>
      <w:r w:rsidR="00487EEB">
        <w:t>— clauses 55 and 56</w:t>
      </w:r>
    </w:p>
    <w:p w:rsidR="00564FA9" w:rsidRDefault="00564FA9" w:rsidP="00835021">
      <w:pPr>
        <w:pStyle w:val="AERbulletlistfirststyle"/>
      </w:pPr>
      <w:r>
        <w:t xml:space="preserve">Billing and Payment </w:t>
      </w:r>
      <w:r w:rsidR="00487EEB">
        <w:t xml:space="preserve">— clause </w:t>
      </w:r>
      <w:r w:rsidR="00C17242">
        <w:t>73</w:t>
      </w:r>
    </w:p>
    <w:p w:rsidR="00564FA9" w:rsidRDefault="00564FA9" w:rsidP="00835021">
      <w:pPr>
        <w:pStyle w:val="AERbulletlistfirststyle"/>
      </w:pPr>
      <w:r>
        <w:t>Limitation of Liability and Indemnity</w:t>
      </w:r>
      <w:r w:rsidR="00487EEB">
        <w:t xml:space="preserve"> — clause</w:t>
      </w:r>
      <w:r w:rsidR="00C17242">
        <w:t>s 78 and 79</w:t>
      </w:r>
    </w:p>
    <w:p w:rsidR="00564FA9" w:rsidRDefault="00564FA9" w:rsidP="00835021">
      <w:pPr>
        <w:pStyle w:val="AERbulletlistfirststyle"/>
      </w:pPr>
      <w:r>
        <w:t>Force majeure</w:t>
      </w:r>
      <w:r w:rsidR="00487EEB">
        <w:t xml:space="preserve"> — clause</w:t>
      </w:r>
      <w:r w:rsidR="00C17242">
        <w:t xml:space="preserve"> 83</w:t>
      </w:r>
    </w:p>
    <w:p w:rsidR="00564FA9" w:rsidRDefault="00564FA9" w:rsidP="00835021">
      <w:pPr>
        <w:pStyle w:val="AERbulletlistfirststyle"/>
      </w:pPr>
      <w:r>
        <w:t>Assignment</w:t>
      </w:r>
      <w:r w:rsidR="00487EEB">
        <w:t xml:space="preserve"> — clause</w:t>
      </w:r>
      <w:r w:rsidR="00C17242">
        <w:t xml:space="preserve"> 93.</w:t>
      </w:r>
    </w:p>
    <w:p w:rsidR="00970E7D" w:rsidRDefault="00970E7D" w:rsidP="00970E7D">
      <w:pPr>
        <w:pStyle w:val="Heading3"/>
      </w:pPr>
      <w:bookmarkStart w:id="15" w:name="_Toc436044726"/>
      <w:r>
        <w:t>AER’s assessment approach</w:t>
      </w:r>
      <w:bookmarkEnd w:id="15"/>
    </w:p>
    <w:p w:rsidR="002165DB" w:rsidRDefault="002165DB" w:rsidP="002165DB">
      <w:r>
        <w:t xml:space="preserve">The NGR require us to assess the terms and conditions in the proposed access arrangement and terms and conditions for consistency against </w:t>
      </w:r>
      <w:r w:rsidRPr="00BE20EA">
        <w:t>the N</w:t>
      </w:r>
      <w:r>
        <w:t xml:space="preserve">ational </w:t>
      </w:r>
      <w:r w:rsidRPr="00BE20EA">
        <w:t>G</w:t>
      </w:r>
      <w:r>
        <w:t xml:space="preserve">as </w:t>
      </w:r>
      <w:r w:rsidRPr="00BE20EA">
        <w:t>O</w:t>
      </w:r>
      <w:r>
        <w:t>bjective (NGO)</w:t>
      </w:r>
      <w:r w:rsidR="0060587C">
        <w:t>, the NGR</w:t>
      </w:r>
      <w:r w:rsidRPr="00BE20EA">
        <w:t xml:space="preserve"> and the </w:t>
      </w:r>
      <w:r w:rsidR="00A30AE9">
        <w:t>‘P</w:t>
      </w:r>
      <w:r w:rsidR="00A30AE9" w:rsidRPr="00BE20EA">
        <w:t>rocedures</w:t>
      </w:r>
      <w:r w:rsidR="00A30AE9">
        <w:t xml:space="preserve"> as</w:t>
      </w:r>
      <w:r w:rsidR="00A30AE9" w:rsidRPr="00BE20EA">
        <w:t xml:space="preserve"> in force</w:t>
      </w:r>
      <w:r w:rsidR="00A30AE9">
        <w:t xml:space="preserve"> when the terms and conditions of the access arrangement are determined or revised’</w:t>
      </w:r>
      <w:r w:rsidR="00A30AE9" w:rsidRPr="00BE20EA">
        <w:t>.</w:t>
      </w:r>
      <w:r w:rsidR="00A30AE9">
        <w:rPr>
          <w:rStyle w:val="FootnoteReference"/>
        </w:rPr>
        <w:footnoteReference w:id="3"/>
      </w:r>
      <w:r w:rsidR="00A30AE9">
        <w:t xml:space="preserve"> </w:t>
      </w:r>
      <w:r w:rsidRPr="00F82965">
        <w:t>The NGO states that the objective of the NGL is to promote efficient investment in and efficient operation and use of natural gas pipeline services for the long term interest of consumers.</w:t>
      </w:r>
      <w:r>
        <w:t xml:space="preserve"> </w:t>
      </w:r>
    </w:p>
    <w:p w:rsidR="002165DB" w:rsidRDefault="002165DB" w:rsidP="002165DB">
      <w:r>
        <w:t>This is an area in which we have full discretion. This means that we are able to withhold our approval of any aspect of the proposed terms and conditions if, in our opinion, a preferable alternative exists that complies with the requirements of the NGL and is consistent with the applicable criteria.</w:t>
      </w:r>
      <w:r w:rsidRPr="00B75C1F">
        <w:rPr>
          <w:rStyle w:val="FootnoteReference"/>
        </w:rPr>
        <w:footnoteReference w:id="4"/>
      </w:r>
    </w:p>
    <w:p w:rsidR="002165DB" w:rsidRPr="00B75C1F" w:rsidRDefault="002165DB" w:rsidP="002165DB">
      <w:r>
        <w:lastRenderedPageBreak/>
        <w:t xml:space="preserve">We assess the terms and conditions in the proposed access arrangement </w:t>
      </w:r>
      <w:r w:rsidRPr="00B75C1F">
        <w:t>for consistency against the NGO</w:t>
      </w:r>
      <w:r>
        <w:t xml:space="preserve"> </w:t>
      </w:r>
      <w:r w:rsidRPr="00B75C1F">
        <w:t>and the relevant procedures</w:t>
      </w:r>
      <w:r w:rsidR="001A6E7B">
        <w:t xml:space="preserve"> and taking into account submissions we have received from stakeholders</w:t>
      </w:r>
      <w:r>
        <w:t>.</w:t>
      </w:r>
      <w:r>
        <w:rPr>
          <w:rStyle w:val="FootnoteReference"/>
        </w:rPr>
        <w:footnoteReference w:id="5"/>
      </w:r>
      <w:r w:rsidRPr="00B75C1F">
        <w:t xml:space="preserve"> In </w:t>
      </w:r>
      <w:r>
        <w:t xml:space="preserve">so doing </w:t>
      </w:r>
      <w:r w:rsidRPr="00B75C1F">
        <w:t xml:space="preserve">we </w:t>
      </w:r>
      <w:r w:rsidR="001A6E7B">
        <w:t>have</w:t>
      </w:r>
      <w:r w:rsidRPr="00B75C1F">
        <w:t xml:space="preserve"> balance</w:t>
      </w:r>
      <w:r w:rsidR="001A6E7B">
        <w:t>d</w:t>
      </w:r>
      <w:r w:rsidRPr="00B75C1F">
        <w:t xml:space="preserve"> the competing interests of </w:t>
      </w:r>
      <w:r>
        <w:t>APTNT</w:t>
      </w:r>
      <w:r w:rsidRPr="00B75C1F">
        <w:t xml:space="preserve">, </w:t>
      </w:r>
      <w:r>
        <w:t>u</w:t>
      </w:r>
      <w:r w:rsidRPr="00B75C1F">
        <w:t xml:space="preserve">sers and consumers </w:t>
      </w:r>
      <w:r>
        <w:t>by</w:t>
      </w:r>
      <w:r w:rsidRPr="00B75C1F">
        <w:t xml:space="preserve"> considering whether the terms and conditions: </w:t>
      </w:r>
    </w:p>
    <w:p w:rsidR="002165DB" w:rsidRPr="00007157" w:rsidRDefault="002165DB" w:rsidP="002165DB">
      <w:pPr>
        <w:pStyle w:val="AERbulletlistfirststyle"/>
      </w:pPr>
      <w:r w:rsidRPr="00007157">
        <w:t xml:space="preserve">appropriately allocate risk between </w:t>
      </w:r>
      <w:r>
        <w:t>APTNT</w:t>
      </w:r>
      <w:r w:rsidRPr="00007157">
        <w:t>, users and consumers</w:t>
      </w:r>
    </w:p>
    <w:p w:rsidR="002165DB" w:rsidRPr="00007157" w:rsidRDefault="002165DB" w:rsidP="002165DB">
      <w:pPr>
        <w:pStyle w:val="AERbulletlistfirststyle"/>
      </w:pPr>
      <w:r w:rsidRPr="00007157">
        <w:t xml:space="preserve">are clear and legally certain </w:t>
      </w:r>
    </w:p>
    <w:p w:rsidR="002165DB" w:rsidRPr="00007157" w:rsidRDefault="002165DB" w:rsidP="002165DB">
      <w:pPr>
        <w:pStyle w:val="AERbulletlistfirststyle"/>
      </w:pPr>
      <w:r w:rsidRPr="00007157">
        <w:t xml:space="preserve">are consistent with the relevant requirements in the NGL, NGR, and the relevant procedures in force. </w:t>
      </w:r>
    </w:p>
    <w:p w:rsidR="002165DB" w:rsidRDefault="002165DB" w:rsidP="002165DB">
      <w:r w:rsidRPr="00653A62">
        <w:t>The terms and conditions should allocate risk to the party that is best able to control or manage that risk. Importantly, that party has the ability to control or manage the likelihood of the risk occurring and the consequences of the risk if it occurs. The incentive to mitigate that risk is therefore best placed with that party. Effective risk mitigation is likely to reduce the total costs of providing reference services to consumers</w:t>
      </w:r>
      <w:r>
        <w:t xml:space="preserve"> in the long-term</w:t>
      </w:r>
      <w:r w:rsidRPr="00653A62">
        <w:t xml:space="preserve">, and is </w:t>
      </w:r>
      <w:r>
        <w:t xml:space="preserve">therefore </w:t>
      </w:r>
      <w:r w:rsidRPr="00653A62">
        <w:t>consistent with the NGO.</w:t>
      </w:r>
    </w:p>
    <w:p w:rsidR="002165DB" w:rsidRDefault="002165DB" w:rsidP="002165DB">
      <w:r>
        <w:t>The terms and conditions also need to be c</w:t>
      </w:r>
      <w:r w:rsidRPr="00B75C1F">
        <w:t xml:space="preserve">lear and legally certain. </w:t>
      </w:r>
      <w:r>
        <w:t>T</w:t>
      </w:r>
      <w:r w:rsidRPr="00B75C1F">
        <w:t xml:space="preserve">his is because the terms and conditions </w:t>
      </w:r>
      <w:r>
        <w:t>would be used</w:t>
      </w:r>
      <w:r w:rsidRPr="00B75C1F">
        <w:t xml:space="preserve"> in resolving </w:t>
      </w:r>
      <w:r>
        <w:t xml:space="preserve">any access </w:t>
      </w:r>
      <w:r w:rsidRPr="00B75C1F">
        <w:t>dispute and in making an</w:t>
      </w:r>
      <w:r>
        <w:t>y</w:t>
      </w:r>
      <w:r w:rsidRPr="00B75C1F">
        <w:t xml:space="preserve"> access determination.</w:t>
      </w:r>
      <w:r>
        <w:rPr>
          <w:rStyle w:val="FootnoteReference"/>
        </w:rPr>
        <w:footnoteReference w:id="6"/>
      </w:r>
      <w:r w:rsidRPr="00B75C1F">
        <w:t xml:space="preserve"> </w:t>
      </w:r>
      <w:r>
        <w:t>Further, these</w:t>
      </w:r>
      <w:r w:rsidRPr="00B75C1F">
        <w:t xml:space="preserve"> terms and conditions </w:t>
      </w:r>
      <w:r>
        <w:t xml:space="preserve">are likely to form the </w:t>
      </w:r>
      <w:r w:rsidRPr="00B75C1F">
        <w:t xml:space="preserve">starting point for commercial negotiations between </w:t>
      </w:r>
      <w:r>
        <w:t>APTNT,</w:t>
      </w:r>
      <w:r w:rsidRPr="00B75C1F">
        <w:t xml:space="preserve"> </w:t>
      </w:r>
      <w:r>
        <w:t>retailers and other users</w:t>
      </w:r>
      <w:r w:rsidRPr="00B75C1F">
        <w:t>.</w:t>
      </w:r>
    </w:p>
    <w:p w:rsidR="002165DB" w:rsidRDefault="002165DB" w:rsidP="002165DB">
      <w:r>
        <w:t xml:space="preserve">Section 322 of the NGL provides that </w:t>
      </w:r>
      <w:r w:rsidR="001A6E7B">
        <w:t>“</w:t>
      </w:r>
      <w:r>
        <w:t xml:space="preserve">nothing in </w:t>
      </w:r>
      <w:r w:rsidR="001A6E7B">
        <w:t>[</w:t>
      </w:r>
      <w:r>
        <w:t>the NGL</w:t>
      </w:r>
      <w:r w:rsidR="001A6E7B">
        <w:t>] is to</w:t>
      </w:r>
      <w:r>
        <w:t xml:space="preserve"> be taken as preventing a service provider from entering into an agreement with a user or prospective user about access to a pipeline service by means of a scheme pipeline that is different from an applicable access arrangement that applies to that pipeline service.</w:t>
      </w:r>
      <w:r w:rsidR="00340AC0">
        <w:rPr>
          <w:rStyle w:val="FootnoteReference"/>
        </w:rPr>
        <w:footnoteReference w:id="7"/>
      </w:r>
      <w:r w:rsidR="00340AC0">
        <w:t xml:space="preserve"> </w:t>
      </w:r>
      <w:r w:rsidRPr="00D03DB2">
        <w:t xml:space="preserve">The parties may wish to reach agreement on aspects of their commercial relationship, separate from the access arrangement's terms and conditions. These aspects are likely to depend on the parties' particular circumstances. </w:t>
      </w:r>
    </w:p>
    <w:p w:rsidR="002165DB" w:rsidRDefault="002165DB" w:rsidP="002165DB">
      <w:r>
        <w:t>In some cases, greater prescription or intervention on our part in determining these terms and conditions may impede competitive market outcomes and be inefficient.</w:t>
      </w:r>
      <w:r w:rsidRPr="00576E68">
        <w:rPr>
          <w:rStyle w:val="FootnoteReference"/>
        </w:rPr>
        <w:footnoteReference w:id="8"/>
      </w:r>
      <w:r>
        <w:t xml:space="preserve"> There are two reasons for this: first, our lower level of information than that of APTNT and users and second, the user-specific nature of many issues</w:t>
      </w:r>
      <w:r w:rsidRPr="00F35ACC">
        <w:t xml:space="preserve">. </w:t>
      </w:r>
    </w:p>
    <w:p w:rsidR="001F2CC6" w:rsidRPr="001F2CC6" w:rsidRDefault="002165DB" w:rsidP="002165DB">
      <w:r w:rsidRPr="00D03DB2">
        <w:t xml:space="preserve">Accordingly, we will generally avoid proposing amendments in these cases where flexibility to negotiate commercial outcomes is desirable. We expect that </w:t>
      </w:r>
      <w:r>
        <w:t>both service providers and u</w:t>
      </w:r>
      <w:r w:rsidRPr="00D03DB2">
        <w:t xml:space="preserve">sers will negotiate in good faith on </w:t>
      </w:r>
      <w:r>
        <w:t>such</w:t>
      </w:r>
      <w:r w:rsidRPr="00D03DB2">
        <w:t xml:space="preserve"> matters.</w:t>
      </w:r>
      <w:r>
        <w:t xml:space="preserve"> </w:t>
      </w:r>
    </w:p>
    <w:p w:rsidR="00970E7D" w:rsidRDefault="00970E7D" w:rsidP="00970E7D">
      <w:pPr>
        <w:pStyle w:val="Heading3"/>
      </w:pPr>
      <w:bookmarkStart w:id="16" w:name="_Toc436044727"/>
      <w:r>
        <w:lastRenderedPageBreak/>
        <w:t>Reasons for draft decision</w:t>
      </w:r>
      <w:bookmarkEnd w:id="16"/>
    </w:p>
    <w:p w:rsidR="002903D5" w:rsidRDefault="002165DB" w:rsidP="0051571A">
      <w:r w:rsidRPr="009A33DB">
        <w:t>This section discusses the reasons for our draft dec</w:t>
      </w:r>
      <w:r>
        <w:t xml:space="preserve">ision. </w:t>
      </w:r>
      <w:r w:rsidR="002903D5">
        <w:t xml:space="preserve">APTNT proposed limited changes to its current terms and conditions. </w:t>
      </w:r>
      <w:r w:rsidR="006B190D">
        <w:t xml:space="preserve">The </w:t>
      </w:r>
      <w:r w:rsidR="002903D5">
        <w:t>reason</w:t>
      </w:r>
      <w:r w:rsidR="006B190D">
        <w:t>s</w:t>
      </w:r>
      <w:r w:rsidR="002903D5">
        <w:t xml:space="preserve"> for</w:t>
      </w:r>
      <w:r w:rsidR="006B190D">
        <w:t xml:space="preserve"> most of</w:t>
      </w:r>
      <w:r w:rsidR="002903D5">
        <w:t xml:space="preserve"> APTNT’s proposed revisions to the current terms and conditions </w:t>
      </w:r>
      <w:r w:rsidR="006B190D">
        <w:t>are</w:t>
      </w:r>
      <w:r w:rsidR="002903D5">
        <w:t xml:space="preserve"> to:</w:t>
      </w:r>
    </w:p>
    <w:p w:rsidR="006B190D" w:rsidRDefault="006B190D" w:rsidP="006B190D">
      <w:pPr>
        <w:pStyle w:val="AERbulletlistfirststyle"/>
      </w:pPr>
      <w:r>
        <w:t>align with APA Group’s standard form contracting arrangements</w:t>
      </w:r>
      <w:r w:rsidR="00335B6D">
        <w:t xml:space="preserve"> where relevant</w:t>
      </w:r>
      <w:r w:rsidR="0006288E">
        <w:rPr>
          <w:rStyle w:val="FootnoteReference"/>
        </w:rPr>
        <w:footnoteReference w:id="9"/>
      </w:r>
    </w:p>
    <w:p w:rsidR="00261D5B" w:rsidRDefault="00261D5B" w:rsidP="006B190D">
      <w:pPr>
        <w:pStyle w:val="AERbulletlistfirststyle"/>
      </w:pPr>
      <w:r>
        <w:t xml:space="preserve">remove </w:t>
      </w:r>
      <w:r w:rsidR="00F35D27">
        <w:t>pro</w:t>
      </w:r>
      <w:r>
        <w:t>visions</w:t>
      </w:r>
      <w:r w:rsidR="00F35D27">
        <w:t xml:space="preserve"> included for APA Group’s networks in NSW</w:t>
      </w:r>
      <w:r>
        <w:t xml:space="preserve"> </w:t>
      </w:r>
      <w:r w:rsidR="00F35D27">
        <w:t xml:space="preserve">and WA, </w:t>
      </w:r>
      <w:r>
        <w:t xml:space="preserve">which are not relevant to the </w:t>
      </w:r>
      <w:r w:rsidR="005C4885">
        <w:t>AGP</w:t>
      </w:r>
      <w:r w:rsidR="0006288E">
        <w:rPr>
          <w:rStyle w:val="FootnoteReference"/>
        </w:rPr>
        <w:footnoteReference w:id="10"/>
      </w:r>
    </w:p>
    <w:p w:rsidR="006B190D" w:rsidRDefault="006B190D" w:rsidP="002903D5">
      <w:pPr>
        <w:pStyle w:val="AERbulletlistfirststyle"/>
      </w:pPr>
      <w:r>
        <w:t>clarify the language and expression</w:t>
      </w:r>
      <w:r w:rsidR="00F82565">
        <w:t xml:space="preserve"> of the terms and conditions</w:t>
      </w:r>
      <w:r w:rsidR="0006288E">
        <w:rPr>
          <w:rStyle w:val="FootnoteReference"/>
        </w:rPr>
        <w:footnoteReference w:id="11"/>
      </w:r>
    </w:p>
    <w:p w:rsidR="002903D5" w:rsidRPr="00296D82" w:rsidRDefault="006B190D" w:rsidP="002903D5">
      <w:pPr>
        <w:pStyle w:val="AERbulletlistfirststyle"/>
      </w:pPr>
      <w:r>
        <w:t>incorporate new terminology.</w:t>
      </w:r>
      <w:r w:rsidR="0006288E">
        <w:rPr>
          <w:rStyle w:val="FootnoteReference"/>
        </w:rPr>
        <w:footnoteReference w:id="12"/>
      </w:r>
    </w:p>
    <w:p w:rsidR="0051571A" w:rsidRDefault="00A20C46" w:rsidP="002903D5">
      <w:r>
        <w:t>W</w:t>
      </w:r>
      <w:r w:rsidR="006B190D">
        <w:t>e are satisfied that</w:t>
      </w:r>
      <w:r w:rsidR="00487EEB">
        <w:t xml:space="preserve"> most of</w:t>
      </w:r>
      <w:r w:rsidR="006B190D">
        <w:t xml:space="preserve"> these</w:t>
      </w:r>
      <w:r w:rsidR="00F82565">
        <w:t xml:space="preserve"> changes </w:t>
      </w:r>
      <w:r w:rsidR="0051571A">
        <w:t xml:space="preserve">are consistent with </w:t>
      </w:r>
      <w:r w:rsidR="0060587C">
        <w:t>the NGO, the NGR and the Procedures as in force when the terms and conditions of the access arrangement are determined or revised</w:t>
      </w:r>
      <w:r w:rsidR="00F82565">
        <w:t>.</w:t>
      </w:r>
      <w:r w:rsidRPr="00A20C46">
        <w:t xml:space="preserve"> </w:t>
      </w:r>
    </w:p>
    <w:p w:rsidR="0051571A" w:rsidRDefault="0051571A" w:rsidP="0051571A">
      <w:r>
        <w:t>The key areas where we identified concerns with APTNT’s proposal are:</w:t>
      </w:r>
    </w:p>
    <w:p w:rsidR="0084182C" w:rsidRDefault="0084182C" w:rsidP="0051571A">
      <w:pPr>
        <w:pStyle w:val="AERbulletlistfirststyle"/>
      </w:pPr>
      <w:r>
        <w:t>termination for default</w:t>
      </w:r>
    </w:p>
    <w:p w:rsidR="0051571A" w:rsidRDefault="0051571A" w:rsidP="0051571A">
      <w:pPr>
        <w:pStyle w:val="AERbulletlistfirststyle"/>
      </w:pPr>
      <w:r>
        <w:t>liabilities and indemnities</w:t>
      </w:r>
    </w:p>
    <w:p w:rsidR="0051571A" w:rsidRDefault="0051571A" w:rsidP="0051571A">
      <w:pPr>
        <w:pStyle w:val="AERbulletlistfirststyle"/>
      </w:pPr>
      <w:r>
        <w:t>confidentiality.</w:t>
      </w:r>
    </w:p>
    <w:p w:rsidR="002903D5" w:rsidRPr="002903D5" w:rsidRDefault="0051571A" w:rsidP="002903D5">
      <w:r>
        <w:t>These are discussed below. We have also confirmed some minor drafting errors in the terms and conditions with APTNT.</w:t>
      </w:r>
    </w:p>
    <w:p w:rsidR="00757567" w:rsidRDefault="00757567" w:rsidP="00757567">
      <w:pPr>
        <w:pStyle w:val="HeadingBoldBlue"/>
      </w:pPr>
      <w:r>
        <w:t>Termination for default</w:t>
      </w:r>
    </w:p>
    <w:p w:rsidR="00757567" w:rsidRDefault="00757567" w:rsidP="00757567">
      <w:r>
        <w:t xml:space="preserve">Clauses 69 to 71 </w:t>
      </w:r>
      <w:r w:rsidR="00BB71AD">
        <w:t xml:space="preserve">of the proposed terms and conditions </w:t>
      </w:r>
      <w:r>
        <w:t xml:space="preserve">set out that either party may, by written notice, terminate the </w:t>
      </w:r>
      <w:r w:rsidR="00777052">
        <w:t xml:space="preserve">transportation </w:t>
      </w:r>
      <w:r>
        <w:t xml:space="preserve">agreement for a financial default or a non-financial default. </w:t>
      </w:r>
    </w:p>
    <w:p w:rsidR="00757567" w:rsidRDefault="00757567" w:rsidP="00757567">
      <w:r>
        <w:t>We consider</w:t>
      </w:r>
      <w:r w:rsidRPr="00757567">
        <w:t xml:space="preserve"> that it is not consistent with the NGO to permit </w:t>
      </w:r>
      <w:r w:rsidR="00BB71AD">
        <w:t xml:space="preserve">a party to terminate an agreement for default where that default is the subject of an ongoing dispute. </w:t>
      </w:r>
      <w:r>
        <w:t>We consider</w:t>
      </w:r>
      <w:r w:rsidRPr="00757567">
        <w:t xml:space="preserve"> that such a circumstance would not promote the efficient use and operation of gas services, an aspect of the NGO. </w:t>
      </w:r>
    </w:p>
    <w:p w:rsidR="00890B6B" w:rsidRPr="00757567" w:rsidRDefault="00757567" w:rsidP="00757567">
      <w:r w:rsidRPr="00AF186C">
        <w:t xml:space="preserve">We therefore </w:t>
      </w:r>
      <w:r w:rsidR="0003749F">
        <w:t xml:space="preserve">require APTNT to amend </w:t>
      </w:r>
      <w:r w:rsidRPr="00AF186C">
        <w:t xml:space="preserve">clause 69 to make clear that the agreement cannot be terminated </w:t>
      </w:r>
      <w:r w:rsidR="00732493">
        <w:t xml:space="preserve">for default </w:t>
      </w:r>
      <w:r w:rsidRPr="00AF186C">
        <w:t>wh</w:t>
      </w:r>
      <w:r w:rsidR="00D064F1" w:rsidRPr="00AF186C">
        <w:t xml:space="preserve">ere there </w:t>
      </w:r>
      <w:r w:rsidR="00126027">
        <w:t>is</w:t>
      </w:r>
      <w:r w:rsidR="0003749F">
        <w:t xml:space="preserve"> an ongoing d</w:t>
      </w:r>
      <w:r w:rsidR="00D064F1" w:rsidRPr="00AF186C">
        <w:t xml:space="preserve">ispute </w:t>
      </w:r>
      <w:r w:rsidR="00126027">
        <w:t>as to whether default has occurred</w:t>
      </w:r>
      <w:r w:rsidR="00777052">
        <w:t>. (See</w:t>
      </w:r>
      <w:r w:rsidR="003776B1">
        <w:t xml:space="preserve"> amendment 1</w:t>
      </w:r>
      <w:r w:rsidR="00777052">
        <w:t xml:space="preserve">, </w:t>
      </w:r>
      <w:r w:rsidR="00890B6B">
        <w:t xml:space="preserve">section </w:t>
      </w:r>
      <w:r w:rsidR="00890B6B">
        <w:rPr>
          <w:rFonts w:eastAsiaTheme="majorEastAsia" w:cstheme="majorBidi"/>
          <w:color w:val="70635A" w:themeColor="text2"/>
          <w:sz w:val="28"/>
        </w:rPr>
        <w:fldChar w:fldCharType="begin"/>
      </w:r>
      <w:r w:rsidR="00890B6B">
        <w:instrText xml:space="preserve"> REF _Ref430700469 \r \h </w:instrText>
      </w:r>
      <w:r w:rsidR="00890B6B">
        <w:rPr>
          <w:rFonts w:eastAsiaTheme="majorEastAsia" w:cstheme="majorBidi"/>
          <w:color w:val="70635A" w:themeColor="text2"/>
          <w:sz w:val="28"/>
        </w:rPr>
      </w:r>
      <w:r w:rsidR="00890B6B">
        <w:rPr>
          <w:rFonts w:eastAsiaTheme="majorEastAsia" w:cstheme="majorBidi"/>
          <w:color w:val="70635A" w:themeColor="text2"/>
          <w:sz w:val="28"/>
        </w:rPr>
        <w:fldChar w:fldCharType="separate"/>
      </w:r>
      <w:r w:rsidR="00C56761">
        <w:t>12.7.1</w:t>
      </w:r>
      <w:r w:rsidR="00890B6B">
        <w:rPr>
          <w:rFonts w:eastAsiaTheme="majorEastAsia" w:cstheme="majorBidi"/>
          <w:color w:val="70635A" w:themeColor="text2"/>
          <w:sz w:val="28"/>
        </w:rPr>
        <w:fldChar w:fldCharType="end"/>
      </w:r>
      <w:r w:rsidR="00777052">
        <w:t>.</w:t>
      </w:r>
      <w:r w:rsidR="007F0F4E">
        <w:t>)</w:t>
      </w:r>
    </w:p>
    <w:p w:rsidR="006B190D" w:rsidRDefault="006B190D" w:rsidP="006C1B37">
      <w:pPr>
        <w:pStyle w:val="HeadingBoldBlue"/>
        <w:keepNext/>
      </w:pPr>
      <w:r>
        <w:lastRenderedPageBreak/>
        <w:t>Liabilities and indemnities</w:t>
      </w:r>
    </w:p>
    <w:p w:rsidR="00FA4AE6" w:rsidRDefault="00FA4AE6" w:rsidP="00CD48E4">
      <w:pPr>
        <w:tabs>
          <w:tab w:val="left" w:pos="7938"/>
        </w:tabs>
      </w:pPr>
      <w:r>
        <w:t xml:space="preserve">Clause 78 </w:t>
      </w:r>
      <w:r w:rsidR="004E594C">
        <w:t>describes when</w:t>
      </w:r>
      <w:r w:rsidR="002A1CE1">
        <w:t xml:space="preserve"> </w:t>
      </w:r>
      <w:r>
        <w:t xml:space="preserve">APTNT </w:t>
      </w:r>
      <w:r w:rsidR="004E594C">
        <w:t xml:space="preserve">and </w:t>
      </w:r>
      <w:r>
        <w:t>the user will be liable for ‘</w:t>
      </w:r>
      <w:r w:rsidR="00C17774">
        <w:t>Consequential Loss or</w:t>
      </w:r>
      <w:r>
        <w:t xml:space="preserve"> for punitive or exemplary damages arising in respect of the Transportation Agreement’</w:t>
      </w:r>
      <w:r w:rsidR="005D20F5">
        <w:t>.</w:t>
      </w:r>
      <w:r>
        <w:t xml:space="preserve"> </w:t>
      </w:r>
    </w:p>
    <w:p w:rsidR="00373C46" w:rsidRDefault="00E50C6C" w:rsidP="00FA4AE6">
      <w:r>
        <w:t xml:space="preserve">Both APTNT and the user will be liable </w:t>
      </w:r>
      <w:r w:rsidR="004E594C">
        <w:t xml:space="preserve">under sub-clauses 78(a)–(b) </w:t>
      </w:r>
      <w:r>
        <w:t>for consequential loss or</w:t>
      </w:r>
      <w:r w:rsidR="004E594C">
        <w:t xml:space="preserve"> punitive or exemplary damages arising out of: </w:t>
      </w:r>
    </w:p>
    <w:p w:rsidR="00E50C6C" w:rsidRDefault="00E50C6C" w:rsidP="005D20F5">
      <w:pPr>
        <w:pStyle w:val="AERbulletlistfirststyle"/>
      </w:pPr>
      <w:r>
        <w:t>‘Gross Negligence or Wilful Misconduct’</w:t>
      </w:r>
    </w:p>
    <w:p w:rsidR="00373C46" w:rsidRDefault="00373C46" w:rsidP="005D20F5">
      <w:pPr>
        <w:pStyle w:val="AERbulletlistfirststyle"/>
      </w:pPr>
      <w:r>
        <w:t>the Service Provider’s or the User’s liability relating to rates, Charges and other payments under the Transportation Agreement</w:t>
      </w:r>
      <w:r w:rsidR="004E594C">
        <w:t>.</w:t>
      </w:r>
    </w:p>
    <w:p w:rsidR="00373C46" w:rsidRDefault="00EC196D" w:rsidP="00FA4AE6">
      <w:r>
        <w:t>I</w:t>
      </w:r>
      <w:r w:rsidR="00373C46">
        <w:t xml:space="preserve">n addition to the above, </w:t>
      </w:r>
      <w:r w:rsidR="005A60F2">
        <w:t xml:space="preserve">under clause 78(c) </w:t>
      </w:r>
      <w:r w:rsidR="00373C46">
        <w:t xml:space="preserve">the user </w:t>
      </w:r>
      <w:r w:rsidR="00FA4AE6">
        <w:t>i</w:t>
      </w:r>
      <w:r w:rsidR="00C17774">
        <w:t xml:space="preserve">s liable </w:t>
      </w:r>
      <w:r>
        <w:t xml:space="preserve">to APTNT </w:t>
      </w:r>
      <w:r w:rsidR="00C17774">
        <w:t>for consequential loss or</w:t>
      </w:r>
      <w:r w:rsidR="00FA4AE6">
        <w:t xml:space="preserve"> </w:t>
      </w:r>
      <w:r>
        <w:t xml:space="preserve">for </w:t>
      </w:r>
      <w:r w:rsidR="00FA4AE6">
        <w:t xml:space="preserve">punitive or exemplary damages </w:t>
      </w:r>
      <w:r>
        <w:t>arising out of the user’s liability relating to</w:t>
      </w:r>
      <w:r w:rsidR="00373C46">
        <w:t>:</w:t>
      </w:r>
    </w:p>
    <w:p w:rsidR="00373C46" w:rsidRDefault="00373C46" w:rsidP="005D20F5">
      <w:pPr>
        <w:pStyle w:val="AERbulletlistfirststyle"/>
      </w:pPr>
      <w:r>
        <w:t>imbalances</w:t>
      </w:r>
    </w:p>
    <w:p w:rsidR="00373C46" w:rsidRDefault="00373C46" w:rsidP="005D20F5">
      <w:pPr>
        <w:pStyle w:val="AERbulletlistfirststyle"/>
      </w:pPr>
      <w:r>
        <w:t>the receipt, transportation or delivery of Overrun Quantities</w:t>
      </w:r>
    </w:p>
    <w:p w:rsidR="00373C46" w:rsidRDefault="00373C46" w:rsidP="005D20F5">
      <w:pPr>
        <w:pStyle w:val="AERbulletlistfirststyle"/>
      </w:pPr>
      <w:r>
        <w:t>the User’s obligation to deliver gas which meets the quality required by the Gas Specification or any other quality as the law in the relevant jurisdiction requires</w:t>
      </w:r>
    </w:p>
    <w:p w:rsidR="00373C46" w:rsidRDefault="00373C46" w:rsidP="005D20F5">
      <w:pPr>
        <w:pStyle w:val="AERbulletlistfirststyle"/>
      </w:pPr>
      <w:r>
        <w:t>a failure to supply Gas at Receipt Points within a specified pressure range</w:t>
      </w:r>
    </w:p>
    <w:p w:rsidR="00373C46" w:rsidRDefault="00373C46" w:rsidP="005D20F5">
      <w:pPr>
        <w:pStyle w:val="AERbulletlistfirststyle"/>
      </w:pPr>
      <w:r>
        <w:t>the indemnity described in clause 81</w:t>
      </w:r>
    </w:p>
    <w:p w:rsidR="00373C46" w:rsidRDefault="00373C46" w:rsidP="005D20F5">
      <w:pPr>
        <w:pStyle w:val="AERbulletlistfirststyle"/>
      </w:pPr>
      <w:r>
        <w:t>the use of the Information Interface by the User’s employees who have been authorised for use by the Service Provider.</w:t>
      </w:r>
    </w:p>
    <w:p w:rsidR="0028006A" w:rsidRDefault="006C1B37" w:rsidP="00FA4AE6">
      <w:r>
        <w:t xml:space="preserve">We asked APTNT what it </w:t>
      </w:r>
      <w:r w:rsidR="0028006A">
        <w:t>considered the list of exceptions at 78(c) adds that would not be adequately captured under 78(a) and (b). In particular, we asked why it was appropriate and necessary that, in these additional circumstances, users are potentially liable for consequential loss or for punitive or exemplary damages absent gross negligence or wilful misconduct.</w:t>
      </w:r>
    </w:p>
    <w:p w:rsidR="007F58A0" w:rsidRDefault="00F92753" w:rsidP="00FA4AE6">
      <w:r>
        <w:t xml:space="preserve">APTNT </w:t>
      </w:r>
      <w:r w:rsidR="0028006A">
        <w:t xml:space="preserve">responded </w:t>
      </w:r>
      <w:r w:rsidR="00A22EB6">
        <w:t xml:space="preserve">that </w:t>
      </w:r>
      <w:r w:rsidR="00674EE5">
        <w:t>sub-</w:t>
      </w:r>
      <w:r w:rsidR="00A22EB6">
        <w:t xml:space="preserve">clause 78(c) </w:t>
      </w:r>
      <w:r w:rsidR="00A22EB6" w:rsidRPr="00A22EB6">
        <w:t xml:space="preserve">is intended to apply to circumstances of particular risk that </w:t>
      </w:r>
      <w:r w:rsidR="002857F1">
        <w:t>‘</w:t>
      </w:r>
      <w:r w:rsidR="00A22EB6" w:rsidRPr="00A22EB6">
        <w:t xml:space="preserve">may fall outside the narrow confines of </w:t>
      </w:r>
      <w:r w:rsidR="002857F1">
        <w:t>“G</w:t>
      </w:r>
      <w:r w:rsidR="00A22EB6" w:rsidRPr="00A22EB6">
        <w:t xml:space="preserve">ross </w:t>
      </w:r>
      <w:r w:rsidR="002857F1">
        <w:t>N</w:t>
      </w:r>
      <w:r w:rsidR="00A22EB6" w:rsidRPr="00A22EB6">
        <w:t>egligence</w:t>
      </w:r>
      <w:r w:rsidR="002857F1">
        <w:t>”</w:t>
      </w:r>
      <w:r w:rsidR="00A22EB6" w:rsidRPr="00A22EB6">
        <w:t xml:space="preserve"> and </w:t>
      </w:r>
      <w:r w:rsidR="002857F1">
        <w:t>“W</w:t>
      </w:r>
      <w:r w:rsidR="00A22EB6" w:rsidRPr="00A22EB6">
        <w:t xml:space="preserve">ilful </w:t>
      </w:r>
      <w:r w:rsidR="002857F1">
        <w:t>M</w:t>
      </w:r>
      <w:r w:rsidR="00A22EB6" w:rsidRPr="00A22EB6">
        <w:t>isconduct</w:t>
      </w:r>
      <w:r w:rsidR="002857F1">
        <w:t>”’</w:t>
      </w:r>
      <w:r w:rsidR="00A22EB6">
        <w:t>.</w:t>
      </w:r>
      <w:r>
        <w:rPr>
          <w:rStyle w:val="FootnoteReference"/>
        </w:rPr>
        <w:footnoteReference w:id="13"/>
      </w:r>
      <w:r w:rsidR="004E46A2">
        <w:t xml:space="preserve"> </w:t>
      </w:r>
      <w:r w:rsidR="007F58A0">
        <w:t xml:space="preserve">APTNT </w:t>
      </w:r>
      <w:r w:rsidR="002857F1">
        <w:t xml:space="preserve">also </w:t>
      </w:r>
      <w:r w:rsidR="00000525">
        <w:t>stated</w:t>
      </w:r>
      <w:r w:rsidR="007F58A0">
        <w:t xml:space="preserve"> that the</w:t>
      </w:r>
      <w:r w:rsidR="007F58A0" w:rsidRPr="007F58A0">
        <w:t xml:space="preserve"> indemnity </w:t>
      </w:r>
      <w:r w:rsidR="00000525">
        <w:t>is</w:t>
      </w:r>
      <w:r w:rsidR="007F58A0" w:rsidRPr="007F58A0">
        <w:t xml:space="preserve"> an incentive for </w:t>
      </w:r>
      <w:r w:rsidR="00000525">
        <w:t>users</w:t>
      </w:r>
      <w:r w:rsidR="007F58A0" w:rsidRPr="007F58A0">
        <w:t xml:space="preserve"> to manage their </w:t>
      </w:r>
      <w:r w:rsidR="007F58A0">
        <w:t>use</w:t>
      </w:r>
      <w:r w:rsidR="007F58A0" w:rsidRPr="007F58A0">
        <w:t xml:space="preserve"> responsibly for the benefit of all </w:t>
      </w:r>
      <w:r w:rsidR="007F58A0">
        <w:t>users</w:t>
      </w:r>
      <w:r w:rsidR="0028006A">
        <w:t xml:space="preserve">, and </w:t>
      </w:r>
      <w:r w:rsidR="00B16E77">
        <w:t xml:space="preserve">that </w:t>
      </w:r>
      <w:r w:rsidR="007F58A0">
        <w:t>it</w:t>
      </w:r>
      <w:r w:rsidR="007F58A0" w:rsidRPr="007F58A0">
        <w:t xml:space="preserve"> is a proportionate risk </w:t>
      </w:r>
      <w:r w:rsidR="007F58A0">
        <w:t>that</w:t>
      </w:r>
      <w:r w:rsidR="007F58A0" w:rsidRPr="007F58A0">
        <w:t xml:space="preserve"> the </w:t>
      </w:r>
      <w:r w:rsidR="00000525">
        <w:t>user</w:t>
      </w:r>
      <w:r w:rsidR="007F58A0" w:rsidRPr="007F58A0">
        <w:t xml:space="preserve"> </w:t>
      </w:r>
      <w:r w:rsidR="00000525">
        <w:t xml:space="preserve">is </w:t>
      </w:r>
      <w:r w:rsidR="007F58A0" w:rsidRPr="007F58A0">
        <w:t>in the best position to manage. AP</w:t>
      </w:r>
      <w:r w:rsidR="00B16E77">
        <w:t>TNT</w:t>
      </w:r>
      <w:r w:rsidR="007F58A0" w:rsidRPr="007F58A0">
        <w:t xml:space="preserve"> </w:t>
      </w:r>
      <w:r w:rsidR="007F58A0">
        <w:t>stated that it does</w:t>
      </w:r>
      <w:r w:rsidR="007F58A0" w:rsidRPr="007F58A0">
        <w:t xml:space="preserve"> not benefit from the provision other than being restored to its original position absent the shipper’s conduct.</w:t>
      </w:r>
      <w:r w:rsidR="007F58A0">
        <w:rPr>
          <w:rStyle w:val="FootnoteReference"/>
        </w:rPr>
        <w:footnoteReference w:id="14"/>
      </w:r>
    </w:p>
    <w:p w:rsidR="004E46A2" w:rsidRDefault="004E46A2" w:rsidP="004E46A2">
      <w:r>
        <w:t xml:space="preserve">The effect of this is that, while APTNT will only be liable for consequential loss or punitive or exemplary damages in the circumstances prescribed in sub-clauses 78(a) </w:t>
      </w:r>
      <w:r>
        <w:lastRenderedPageBreak/>
        <w:t>and (b), its users will be</w:t>
      </w:r>
      <w:r w:rsidR="0028006A">
        <w:t xml:space="preserve"> so</w:t>
      </w:r>
      <w:r>
        <w:t xml:space="preserve"> liable in respect of additional obligations.</w:t>
      </w:r>
      <w:r w:rsidR="00DF7352">
        <w:t xml:space="preserve"> When added to the cap on APTNT’s liability in clause 7.9 (discussed below) this creates an imbalance</w:t>
      </w:r>
      <w:r w:rsidR="00BF7044">
        <w:t xml:space="preserve"> between the parties</w:t>
      </w:r>
      <w:r w:rsidR="00DF7352">
        <w:t xml:space="preserve"> that we do not consider justified.</w:t>
      </w:r>
    </w:p>
    <w:p w:rsidR="007F58A0" w:rsidRDefault="002857F1" w:rsidP="00732493">
      <w:r>
        <w:t xml:space="preserve">We </w:t>
      </w:r>
      <w:r w:rsidR="00777052">
        <w:t>accept</w:t>
      </w:r>
      <w:r>
        <w:t xml:space="preserve"> that users </w:t>
      </w:r>
      <w:r w:rsidR="00B16E77">
        <w:t xml:space="preserve">may be </w:t>
      </w:r>
      <w:r>
        <w:t xml:space="preserve">in </w:t>
      </w:r>
      <w:r w:rsidR="00777052">
        <w:t>a better position than APTNT</w:t>
      </w:r>
      <w:r>
        <w:t xml:space="preserve"> to manage the risks identified at </w:t>
      </w:r>
      <w:r w:rsidR="00674EE5">
        <w:t>sub-</w:t>
      </w:r>
      <w:r>
        <w:t>clause 78(c).</w:t>
      </w:r>
      <w:r w:rsidR="00000525">
        <w:t xml:space="preserve"> </w:t>
      </w:r>
      <w:r w:rsidR="00777052">
        <w:t>However</w:t>
      </w:r>
      <w:r w:rsidR="007F0F4E">
        <w:t>, if the user is in breach of the agreement, then APTNT would be able to seek recourse</w:t>
      </w:r>
      <w:r w:rsidR="00B16E77">
        <w:t xml:space="preserve"> </w:t>
      </w:r>
      <w:r w:rsidR="00DF7352">
        <w:t xml:space="preserve">(including direct damages) </w:t>
      </w:r>
      <w:r w:rsidR="00B16E77">
        <w:t>under the transport agreement</w:t>
      </w:r>
      <w:r w:rsidR="007F0F4E">
        <w:t>.</w:t>
      </w:r>
      <w:r w:rsidR="00732493">
        <w:t xml:space="preserve"> </w:t>
      </w:r>
      <w:r w:rsidR="00000525">
        <w:t xml:space="preserve">We do not consider that an additional incentive on the user—by </w:t>
      </w:r>
      <w:r w:rsidR="007C7AA4">
        <w:t xml:space="preserve">also </w:t>
      </w:r>
      <w:r w:rsidR="00000525">
        <w:t xml:space="preserve">exposing the user to </w:t>
      </w:r>
      <w:r w:rsidR="00732493">
        <w:t xml:space="preserve">liability for </w:t>
      </w:r>
      <w:r>
        <w:t>consequential loss or for punitive or exemplary damages</w:t>
      </w:r>
      <w:r w:rsidR="00000525">
        <w:t>—is necessary.</w:t>
      </w:r>
    </w:p>
    <w:p w:rsidR="00353BDF" w:rsidRPr="00353BDF" w:rsidRDefault="00353BDF" w:rsidP="00353BDF">
      <w:r>
        <w:t xml:space="preserve">We therefore require </w:t>
      </w:r>
      <w:r w:rsidR="00890B6B">
        <w:t xml:space="preserve">APTNT to make </w:t>
      </w:r>
      <w:r>
        <w:t xml:space="preserve">amendment </w:t>
      </w:r>
      <w:r w:rsidR="00890B6B">
        <w:t xml:space="preserve">2 </w:t>
      </w:r>
      <w:r>
        <w:t xml:space="preserve">to </w:t>
      </w:r>
      <w:r w:rsidR="00890B6B">
        <w:t>clause 78</w:t>
      </w:r>
      <w:r>
        <w:t xml:space="preserve"> to </w:t>
      </w:r>
      <w:r w:rsidR="00652C31">
        <w:t>remove these additional exception</w:t>
      </w:r>
      <w:r w:rsidR="00732493">
        <w:t xml:space="preserve">s, </w:t>
      </w:r>
      <w:r w:rsidR="00890B6B">
        <w:t>as set out at section </w:t>
      </w:r>
      <w:r w:rsidR="00890B6B">
        <w:fldChar w:fldCharType="begin"/>
      </w:r>
      <w:r w:rsidR="00890B6B">
        <w:instrText xml:space="preserve"> REF _Ref430700469 \r \h </w:instrText>
      </w:r>
      <w:r w:rsidR="00890B6B">
        <w:fldChar w:fldCharType="separate"/>
      </w:r>
      <w:r w:rsidR="00C56761">
        <w:t>12.7.1</w:t>
      </w:r>
      <w:r w:rsidR="00890B6B">
        <w:fldChar w:fldCharType="end"/>
      </w:r>
      <w:r w:rsidR="00652C31">
        <w:t>.</w:t>
      </w:r>
    </w:p>
    <w:p w:rsidR="00171C30" w:rsidRDefault="00171C30" w:rsidP="002857F1">
      <w:r>
        <w:t>At clause 79, APTNT proposes the following</w:t>
      </w:r>
      <w:r w:rsidR="002857F1">
        <w:t xml:space="preserve"> cap</w:t>
      </w:r>
      <w:r>
        <w:t>s on its</w:t>
      </w:r>
      <w:r w:rsidR="002857F1">
        <w:t xml:space="preserve"> liability</w:t>
      </w:r>
      <w:r>
        <w:t>:</w:t>
      </w:r>
    </w:p>
    <w:p w:rsidR="00171C30" w:rsidRDefault="002857F1" w:rsidP="00BA160F">
      <w:pPr>
        <w:pStyle w:val="AERbulletlistfirststyle"/>
      </w:pPr>
      <w:r>
        <w:t>10 per cent of the contract value over the life of the agreement</w:t>
      </w:r>
    </w:p>
    <w:p w:rsidR="002857F1" w:rsidRDefault="002857F1" w:rsidP="00BA160F">
      <w:pPr>
        <w:pStyle w:val="AERbulletlistfirststyle"/>
      </w:pPr>
      <w:r>
        <w:t xml:space="preserve">2.5 per cent of the contract value in any one year. </w:t>
      </w:r>
    </w:p>
    <w:p w:rsidR="00AB042A" w:rsidRDefault="00171C30" w:rsidP="00353BDF">
      <w:r>
        <w:t xml:space="preserve">The current terms and conditions impose a cap on APTNT’s liability of 10 per cent of the contract value over the life of the agreement. </w:t>
      </w:r>
      <w:r w:rsidR="00353BDF">
        <w:t xml:space="preserve">A similar </w:t>
      </w:r>
      <w:r w:rsidR="00FD47A8">
        <w:t>provision exists in the terms and conditions of other gas networks, for example, the Roma to Brisbane Pipeline.</w:t>
      </w:r>
      <w:r w:rsidR="00FD47A8">
        <w:rPr>
          <w:rStyle w:val="FootnoteReference"/>
        </w:rPr>
        <w:footnoteReference w:id="15"/>
      </w:r>
      <w:r w:rsidR="00FD47A8">
        <w:t xml:space="preserve"> </w:t>
      </w:r>
    </w:p>
    <w:p w:rsidR="00AB042A" w:rsidRDefault="00AB042A" w:rsidP="00AB042A">
      <w:r>
        <w:t xml:space="preserve">APTNT stated the reason for including the additional cap </w:t>
      </w:r>
      <w:r w:rsidR="00BA160F">
        <w:t xml:space="preserve">of 2.5 per cent per annum </w:t>
      </w:r>
      <w:r>
        <w:t>is:</w:t>
      </w:r>
    </w:p>
    <w:p w:rsidR="00AB042A" w:rsidRDefault="00AB042A" w:rsidP="00AB042A">
      <w:pPr>
        <w:pStyle w:val="AERquote"/>
      </w:pPr>
      <w:r w:rsidRPr="00AB042A">
        <w:t>The annual cap is intended to permit a spreading of the availability of the aggregate cap over the life of the agreement with one quarter of the aggregate cap available to a shipper in any</w:t>
      </w:r>
      <w:r>
        <w:t xml:space="preserve"> one year regardless of the length of the term of the agreement. The provision provides benefits to both APA and shippers as it brings more certainty to exposure and potential recoveries creating an appropriately balanced allocation of risk. APA believes that this is an appropriate allocation of risk in a long term arrangement for this type of asset.</w:t>
      </w:r>
      <w:r>
        <w:rPr>
          <w:rStyle w:val="FootnoteReference"/>
        </w:rPr>
        <w:footnoteReference w:id="16"/>
      </w:r>
    </w:p>
    <w:p w:rsidR="00890B6B" w:rsidRDefault="00B16E77" w:rsidP="00353BDF">
      <w:r>
        <w:t>W</w:t>
      </w:r>
      <w:r w:rsidR="002D66F1">
        <w:t xml:space="preserve">e do not consider that the additional limitation of 2.5 per cent in any one year is necessary </w:t>
      </w:r>
      <w:r>
        <w:t>over and above the existing 10 per cent cap</w:t>
      </w:r>
      <w:r w:rsidR="00FD47A8">
        <w:t xml:space="preserve">. </w:t>
      </w:r>
      <w:r w:rsidR="00BA160F">
        <w:t>The existing constraint of 10 per cent over the life of the agreement provide</w:t>
      </w:r>
      <w:r>
        <w:t>s</w:t>
      </w:r>
      <w:r w:rsidR="00BA160F">
        <w:t xml:space="preserve"> adequate certainty </w:t>
      </w:r>
      <w:r>
        <w:t xml:space="preserve">to APTNT </w:t>
      </w:r>
      <w:r w:rsidR="00C6243C">
        <w:t xml:space="preserve">and its users, </w:t>
      </w:r>
      <w:r w:rsidR="00BA160F">
        <w:t xml:space="preserve">without further limiting a user’s options as to when it may </w:t>
      </w:r>
      <w:r w:rsidR="00C6243C">
        <w:t>‘use’ its 10 per cent limit over the period</w:t>
      </w:r>
      <w:r w:rsidR="00BA160F">
        <w:t>.</w:t>
      </w:r>
      <w:r w:rsidR="00A22EB6">
        <w:t xml:space="preserve"> </w:t>
      </w:r>
      <w:r w:rsidR="00C6243C">
        <w:t>This decision is one best made by the user with regard to its interests over the life of the agreement.</w:t>
      </w:r>
    </w:p>
    <w:p w:rsidR="00F82565" w:rsidRDefault="00B16E77" w:rsidP="00353BDF">
      <w:r>
        <w:t xml:space="preserve">Our draft decision is </w:t>
      </w:r>
      <w:r w:rsidR="00FD47A8">
        <w:t>therefore</w:t>
      </w:r>
      <w:r>
        <w:t xml:space="preserve"> to</w:t>
      </w:r>
      <w:r w:rsidR="00FD47A8">
        <w:t xml:space="preserve"> </w:t>
      </w:r>
      <w:r w:rsidR="00890B6B">
        <w:t>require APTNT to make</w:t>
      </w:r>
      <w:r w:rsidR="00FD47A8">
        <w:t xml:space="preserve"> amendment </w:t>
      </w:r>
      <w:r w:rsidR="00890B6B">
        <w:t xml:space="preserve">3 to clause 79 </w:t>
      </w:r>
      <w:r w:rsidR="00FD47A8">
        <w:t>to remove this additional</w:t>
      </w:r>
      <w:r w:rsidR="00F82565">
        <w:t xml:space="preserve"> cap on</w:t>
      </w:r>
      <w:r w:rsidR="002D66F1">
        <w:t xml:space="preserve"> APTNT’s</w:t>
      </w:r>
      <w:r w:rsidR="00F82565">
        <w:t xml:space="preserve"> liability of 2.5 per cent </w:t>
      </w:r>
      <w:r w:rsidR="002D66F1">
        <w:t>in any one year</w:t>
      </w:r>
      <w:r w:rsidR="00890B6B">
        <w:t xml:space="preserve"> as set out at section </w:t>
      </w:r>
      <w:r w:rsidR="00890B6B">
        <w:fldChar w:fldCharType="begin"/>
      </w:r>
      <w:r w:rsidR="00890B6B">
        <w:instrText xml:space="preserve"> REF _Ref430700469 \r \h </w:instrText>
      </w:r>
      <w:r w:rsidR="00890B6B">
        <w:fldChar w:fldCharType="separate"/>
      </w:r>
      <w:r w:rsidR="00C56761">
        <w:t>12.7.1</w:t>
      </w:r>
      <w:r w:rsidR="00890B6B">
        <w:fldChar w:fldCharType="end"/>
      </w:r>
      <w:r w:rsidR="002D66F1">
        <w:t xml:space="preserve">. </w:t>
      </w:r>
    </w:p>
    <w:p w:rsidR="00835021" w:rsidRDefault="00B11592" w:rsidP="006C1B37">
      <w:pPr>
        <w:pStyle w:val="HeadingBoldBlue"/>
        <w:keepNext/>
      </w:pPr>
      <w:r>
        <w:lastRenderedPageBreak/>
        <w:t>Confidentiality</w:t>
      </w:r>
    </w:p>
    <w:p w:rsidR="00B11592" w:rsidRDefault="00B11592" w:rsidP="00B11592">
      <w:r w:rsidRPr="00B11592">
        <w:t xml:space="preserve">Clause </w:t>
      </w:r>
      <w:r>
        <w:t>94</w:t>
      </w:r>
      <w:r w:rsidRPr="00B11592">
        <w:t xml:space="preserve"> of the terms and conditions provides that a party</w:t>
      </w:r>
      <w:r>
        <w:t xml:space="preserve"> receiving confidential information</w:t>
      </w:r>
      <w:r w:rsidRPr="00B11592">
        <w:t xml:space="preserve"> can only use </w:t>
      </w:r>
      <w:r>
        <w:t>it</w:t>
      </w:r>
      <w:r w:rsidRPr="00B11592">
        <w:t xml:space="preserve"> for the purposes of performing its obligations under the Transportation Agreement or for internal purposes related to the governance of the party or its related bodies corporate.</w:t>
      </w:r>
    </w:p>
    <w:p w:rsidR="00B11592" w:rsidRDefault="00B11592" w:rsidP="00B11592">
      <w:r>
        <w:t>Clause 95 requires a party to obtain the prior written consent of the other party in order to use or disclose confidential information for any other purpose except where:</w:t>
      </w:r>
    </w:p>
    <w:p w:rsidR="00B11592" w:rsidRDefault="00B11592" w:rsidP="00B11592">
      <w:pPr>
        <w:pStyle w:val="AERbulletlistfirststyle"/>
      </w:pPr>
      <w:r>
        <w:t>the disclosure is required by law or lawfully required by an Authority, or</w:t>
      </w:r>
    </w:p>
    <w:p w:rsidR="00B11592" w:rsidRDefault="00B11592" w:rsidP="00B11592">
      <w:pPr>
        <w:pStyle w:val="AERbulletlistfirststyle"/>
      </w:pPr>
      <w:r>
        <w:t>the information is at the time lawfully generally available to the public, other than as a result of a breach of the Transportation Agreement.</w:t>
      </w:r>
    </w:p>
    <w:p w:rsidR="00B11592" w:rsidRDefault="00B11592" w:rsidP="00B11592">
      <w:r>
        <w:t>Part 16 of the NGR contains specific obligations that apply to service providers in relation to confidential information. Rule 137(1)(b) sets out that a service provider must not use relevant confidential information for a purpose other than the purpose for which the information was given to the service provider. Rule 137(3) sets out exceptions to this rule. One exception is the disclosure or use of confidential information in order to comply with the listing rules of a recognised stock exchange (rule 137(3)(iii)).</w:t>
      </w:r>
    </w:p>
    <w:p w:rsidR="0029628C" w:rsidRDefault="00BA7BEC" w:rsidP="0029628C">
      <w:r>
        <w:t>We consider</w:t>
      </w:r>
      <w:r w:rsidR="00B11592">
        <w:t xml:space="preserve"> that it is appropriate to include an exception in clause 95 of the </w:t>
      </w:r>
      <w:r>
        <w:t>terms and conditions</w:t>
      </w:r>
      <w:r w:rsidR="00B11592">
        <w:t xml:space="preserve"> to allow a user (as well as</w:t>
      </w:r>
      <w:r>
        <w:t xml:space="preserve"> a service provider) to disclos</w:t>
      </w:r>
      <w:r w:rsidR="00B11592">
        <w:t xml:space="preserve">e confidential information for the purpose of complying with the listing rules of a recognised stock exchange. </w:t>
      </w:r>
      <w:r w:rsidR="00BE348D">
        <w:t>This is consistent with the access arrangement we approved for the APA Group’s Roma to Brisbane pipeline.</w:t>
      </w:r>
      <w:r w:rsidR="00BE348D">
        <w:rPr>
          <w:rStyle w:val="FootnoteReference"/>
        </w:rPr>
        <w:footnoteReference w:id="17"/>
      </w:r>
      <w:r w:rsidR="00BE348D">
        <w:t xml:space="preserve"> </w:t>
      </w:r>
      <w:r w:rsidR="00094961">
        <w:t>We</w:t>
      </w:r>
      <w:r w:rsidR="00861000">
        <w:t xml:space="preserve"> </w:t>
      </w:r>
      <w:r w:rsidR="00B11592">
        <w:t>consider that this proposed revision ensures that the rights of the user in relation to use and disclosure of confidential information are consistent with the rights of the service provider under Part 16 of the NGR.</w:t>
      </w:r>
      <w:r w:rsidR="00AC63C2">
        <w:t xml:space="preserve"> We approached APTNT to confirm that there were no reasons for a difference in approach in this instance. </w:t>
      </w:r>
      <w:r w:rsidR="0029628C">
        <w:t>APTNT agreed to the inclusion of the additional provision requiring disclosure of confidential information.</w:t>
      </w:r>
      <w:r w:rsidR="0029628C">
        <w:rPr>
          <w:rStyle w:val="FootnoteReference"/>
        </w:rPr>
        <w:footnoteReference w:id="18"/>
      </w:r>
    </w:p>
    <w:p w:rsidR="00B11592" w:rsidRDefault="00890B6B" w:rsidP="00CD48E4">
      <w:r w:rsidRPr="00890B6B">
        <w:t xml:space="preserve">We therefore require APTNT to make amendment </w:t>
      </w:r>
      <w:r>
        <w:t>4</w:t>
      </w:r>
      <w:r w:rsidRPr="00890B6B">
        <w:t xml:space="preserve"> to clause </w:t>
      </w:r>
      <w:r>
        <w:t>95 to include this additional provision</w:t>
      </w:r>
      <w:r w:rsidR="008F7C88">
        <w:t xml:space="preserve"> as set out at section </w:t>
      </w:r>
      <w:r w:rsidR="008F7C88">
        <w:fldChar w:fldCharType="begin"/>
      </w:r>
      <w:r w:rsidR="008F7C88">
        <w:instrText xml:space="preserve"> REF _Ref430700469 \r \h </w:instrText>
      </w:r>
      <w:r w:rsidR="008F7C88">
        <w:fldChar w:fldCharType="separate"/>
      </w:r>
      <w:r w:rsidR="00C56761">
        <w:t>12.7.1</w:t>
      </w:r>
      <w:r w:rsidR="008F7C88">
        <w:fldChar w:fldCharType="end"/>
      </w:r>
      <w:r>
        <w:t>.</w:t>
      </w:r>
    </w:p>
    <w:p w:rsidR="00564FA9" w:rsidRDefault="009301E9" w:rsidP="00835021">
      <w:pPr>
        <w:pStyle w:val="HeadingBoldBlue"/>
      </w:pPr>
      <w:r>
        <w:t>Minor drafting errors</w:t>
      </w:r>
    </w:p>
    <w:p w:rsidR="009301E9" w:rsidRDefault="009301E9" w:rsidP="00835021">
      <w:r w:rsidRPr="009301E9">
        <w:t xml:space="preserve">In the course of our review we identified </w:t>
      </w:r>
      <w:r>
        <w:t>the following</w:t>
      </w:r>
      <w:r w:rsidRPr="009301E9">
        <w:t xml:space="preserve"> minor drafting errors. We brought these to </w:t>
      </w:r>
      <w:r>
        <w:t>APTNT’s</w:t>
      </w:r>
      <w:r w:rsidRPr="009301E9">
        <w:t xml:space="preserve"> attention and confirmed</w:t>
      </w:r>
      <w:r w:rsidR="00F92753">
        <w:rPr>
          <w:rStyle w:val="FootnoteReference"/>
        </w:rPr>
        <w:footnoteReference w:id="19"/>
      </w:r>
      <w:r w:rsidRPr="009301E9">
        <w:t xml:space="preserve"> that</w:t>
      </w:r>
      <w:r w:rsidR="00AF186C">
        <w:t xml:space="preserve"> the following amendments should be made</w:t>
      </w:r>
      <w:r w:rsidRPr="009301E9">
        <w:t>:</w:t>
      </w:r>
    </w:p>
    <w:p w:rsidR="00432197" w:rsidRDefault="00432197" w:rsidP="00432197">
      <w:pPr>
        <w:pStyle w:val="AERbulletlistfirststyle"/>
      </w:pPr>
      <w:r>
        <w:t>Clause 53 previously included a reference to ‘clauses 55 and 56’. The reference to clause 56 has been removed. It should remain</w:t>
      </w:r>
      <w:r w:rsidR="00AF186C">
        <w:t xml:space="preserve"> — amendment 5</w:t>
      </w:r>
    </w:p>
    <w:p w:rsidR="009301E9" w:rsidRDefault="009B4979" w:rsidP="00835021">
      <w:pPr>
        <w:pStyle w:val="AERbulletlistfirststyle"/>
      </w:pPr>
      <w:r>
        <w:lastRenderedPageBreak/>
        <w:t>Clause 78(c)(v) includes a reference to ‘clause 81’. The reference should be to ‘clause 80’</w:t>
      </w:r>
      <w:r w:rsidR="00AF186C">
        <w:t xml:space="preserve"> — amendment 6</w:t>
      </w:r>
    </w:p>
    <w:p w:rsidR="00432197" w:rsidRDefault="00432197" w:rsidP="00432197">
      <w:pPr>
        <w:pStyle w:val="AERbulletlistfirststyle"/>
      </w:pPr>
      <w:r>
        <w:t xml:space="preserve">Clause 79 includes a reference to ‘gross negligence’. This </w:t>
      </w:r>
      <w:r w:rsidR="00ED3F6B">
        <w:t>is</w:t>
      </w:r>
      <w:r>
        <w:t xml:space="preserve"> a defined term. The access arrangement uses </w:t>
      </w:r>
      <w:r w:rsidR="00077FE2">
        <w:t>upper case</w:t>
      </w:r>
      <w:r>
        <w:t xml:space="preserve"> letters</w:t>
      </w:r>
      <w:r w:rsidR="00077FE2">
        <w:t xml:space="preserve"> for the first letter of words that are</w:t>
      </w:r>
      <w:r>
        <w:t xml:space="preserve"> defined term</w:t>
      </w:r>
      <w:r w:rsidR="00077FE2">
        <w:t>s</w:t>
      </w:r>
      <w:r>
        <w:t xml:space="preserve">. This </w:t>
      </w:r>
      <w:r w:rsidR="00077FE2">
        <w:t>first letter of each word in this term</w:t>
      </w:r>
      <w:r>
        <w:t xml:space="preserve"> should therefore be capitalised</w:t>
      </w:r>
      <w:r w:rsidR="006C1B37">
        <w:t xml:space="preserve"> </w:t>
      </w:r>
      <w:r w:rsidR="00AF186C">
        <w:t>— amendment 3</w:t>
      </w:r>
    </w:p>
    <w:p w:rsidR="009B4979" w:rsidRDefault="009B4979" w:rsidP="00835021">
      <w:pPr>
        <w:pStyle w:val="AERbulletlistfirststyle"/>
      </w:pPr>
      <w:r>
        <w:t>Clause 84 includes a reference to ‘clause 87’. The reference should be to ‘clause 86’</w:t>
      </w:r>
      <w:r w:rsidR="006C1B37">
        <w:t xml:space="preserve"> </w:t>
      </w:r>
      <w:r w:rsidR="00AF186C">
        <w:t>— amendment 7</w:t>
      </w:r>
    </w:p>
    <w:p w:rsidR="009B4979" w:rsidRDefault="009B4979" w:rsidP="009B4979">
      <w:pPr>
        <w:pStyle w:val="AERbulletlistfirststyle"/>
      </w:pPr>
      <w:r>
        <w:t>Schedule 2: Glossary defines ‘Force majeure event’ by reference to clause 83. The reference should be to clause</w:t>
      </w:r>
      <w:r w:rsidR="00F92753">
        <w:t>s</w:t>
      </w:r>
      <w:r>
        <w:t xml:space="preserve"> 82</w:t>
      </w:r>
      <w:r w:rsidR="00F92753">
        <w:t xml:space="preserve"> and 83</w:t>
      </w:r>
      <w:r w:rsidR="00AF186C">
        <w:t xml:space="preserve"> — amendment 9</w:t>
      </w:r>
    </w:p>
    <w:p w:rsidR="00877932" w:rsidRDefault="00877932" w:rsidP="00877932">
      <w:r w:rsidRPr="00877932">
        <w:t>We therefore require amendments</w:t>
      </w:r>
      <w:r w:rsidR="00AF186C">
        <w:t xml:space="preserve"> 5, 6, 3, 7 and 9</w:t>
      </w:r>
      <w:r w:rsidRPr="00877932">
        <w:t xml:space="preserve"> to rectify these minor drafting errors</w:t>
      </w:r>
      <w:r w:rsidR="00AF186C">
        <w:t xml:space="preserve"> as set out at section</w:t>
      </w:r>
      <w:r w:rsidR="00EC5E48">
        <w:t>s</w:t>
      </w:r>
      <w:r w:rsidR="00AF186C">
        <w:t xml:space="preserve"> </w:t>
      </w:r>
      <w:r w:rsidR="00AF186C">
        <w:fldChar w:fldCharType="begin"/>
      </w:r>
      <w:r w:rsidR="00AF186C">
        <w:instrText xml:space="preserve"> REF _Ref430700469 \r \h </w:instrText>
      </w:r>
      <w:r w:rsidR="00AF186C">
        <w:fldChar w:fldCharType="separate"/>
      </w:r>
      <w:r w:rsidR="00C56761">
        <w:t>12.7.1</w:t>
      </w:r>
      <w:r w:rsidR="00AF186C">
        <w:fldChar w:fldCharType="end"/>
      </w:r>
      <w:r w:rsidR="00EC5E48">
        <w:t xml:space="preserve"> and </w:t>
      </w:r>
      <w:r w:rsidR="00EC5E48">
        <w:fldChar w:fldCharType="begin"/>
      </w:r>
      <w:r w:rsidR="00EC5E48">
        <w:instrText xml:space="preserve"> REF _Ref430702129 \r \h </w:instrText>
      </w:r>
      <w:r w:rsidR="00EC5E48">
        <w:fldChar w:fldCharType="separate"/>
      </w:r>
      <w:r w:rsidR="00C56761">
        <w:t>12.7.2</w:t>
      </w:r>
      <w:r w:rsidR="00EC5E48">
        <w:fldChar w:fldCharType="end"/>
      </w:r>
      <w:r w:rsidRPr="00877932">
        <w:t>.</w:t>
      </w:r>
    </w:p>
    <w:p w:rsidR="00E06C55" w:rsidRDefault="00E06C55" w:rsidP="00E06C55">
      <w:pPr>
        <w:pStyle w:val="Heading2"/>
      </w:pPr>
      <w:bookmarkStart w:id="17" w:name="_Toc427767068"/>
      <w:bookmarkStart w:id="18" w:name="_Ref433880641"/>
      <w:bookmarkStart w:id="19" w:name="_Toc436044728"/>
      <w:r>
        <w:t>Queuing requirements</w:t>
      </w:r>
      <w:bookmarkEnd w:id="17"/>
      <w:bookmarkEnd w:id="18"/>
      <w:bookmarkEnd w:id="19"/>
    </w:p>
    <w:p w:rsidR="00E06C55" w:rsidRPr="00CC7BBC" w:rsidRDefault="00E06C55" w:rsidP="00E06C55">
      <w:pPr>
        <w:rPr>
          <w:rStyle w:val="AERbody"/>
        </w:rPr>
      </w:pPr>
      <w:r w:rsidRPr="00CC7BBC">
        <w:rPr>
          <w:rStyle w:val="AERbody"/>
        </w:rPr>
        <w:t>Queuing can be used to determine access to a pipeline that is fully, or close to being fully, utilised. Queuing requirements establish a process or mechanism for establishing an order of priority among prospective users to obtain access to spare and/or developable capacity on a covered pipeline.</w:t>
      </w:r>
      <w:r>
        <w:rPr>
          <w:rStyle w:val="FootnoteReference"/>
        </w:rPr>
        <w:footnoteReference w:id="20"/>
      </w:r>
    </w:p>
    <w:p w:rsidR="00E06C55" w:rsidRDefault="00E06C55" w:rsidP="00E06C55">
      <w:pPr>
        <w:pStyle w:val="Heading3"/>
      </w:pPr>
      <w:bookmarkStart w:id="20" w:name="_Toc427767069"/>
      <w:bookmarkStart w:id="21" w:name="_Toc436044729"/>
      <w:r>
        <w:t>Draft decision</w:t>
      </w:r>
      <w:bookmarkEnd w:id="20"/>
      <w:bookmarkEnd w:id="21"/>
    </w:p>
    <w:p w:rsidR="00E06C55" w:rsidRPr="009A6B1E" w:rsidRDefault="00E06C55" w:rsidP="00E06C55">
      <w:r w:rsidRPr="005441B2">
        <w:t xml:space="preserve">We approve </w:t>
      </w:r>
      <w:r>
        <w:t>APTNT’s</w:t>
      </w:r>
      <w:r w:rsidRPr="005441B2">
        <w:t xml:space="preserve"> proposed </w:t>
      </w:r>
      <w:r>
        <w:t>queuing</w:t>
      </w:r>
      <w:r w:rsidRPr="005441B2">
        <w:t xml:space="preserve"> requirements </w:t>
      </w:r>
      <w:r>
        <w:t>for the</w:t>
      </w:r>
      <w:r w:rsidRPr="005441B2">
        <w:t xml:space="preserve"> 2016</w:t>
      </w:r>
      <w:r w:rsidR="00402E85" w:rsidRPr="003776B1">
        <w:t>–</w:t>
      </w:r>
      <w:r w:rsidRPr="005441B2">
        <w:t>21 access arrangement</w:t>
      </w:r>
      <w:r>
        <w:t xml:space="preserve"> period</w:t>
      </w:r>
      <w:r w:rsidRPr="005441B2">
        <w:t>.</w:t>
      </w:r>
    </w:p>
    <w:p w:rsidR="00E06C55" w:rsidRDefault="00E06C55" w:rsidP="00E06C55">
      <w:pPr>
        <w:pStyle w:val="Heading3"/>
      </w:pPr>
      <w:bookmarkStart w:id="22" w:name="_Toc427767070"/>
      <w:bookmarkStart w:id="23" w:name="_Toc436044730"/>
      <w:r>
        <w:t>APTNT’s proposal</w:t>
      </w:r>
      <w:bookmarkEnd w:id="22"/>
      <w:bookmarkEnd w:id="23"/>
    </w:p>
    <w:p w:rsidR="00E06C55" w:rsidRDefault="00E06C55" w:rsidP="00E06C55">
      <w:r>
        <w:t>APTNT has not proposed any revisions to its queuing requirements under the current access arrangement.</w:t>
      </w:r>
      <w:r>
        <w:rPr>
          <w:rStyle w:val="FootnoteReference"/>
        </w:rPr>
        <w:footnoteReference w:id="21"/>
      </w:r>
    </w:p>
    <w:p w:rsidR="00E06C55" w:rsidRPr="00AD6E10" w:rsidRDefault="00E06C55" w:rsidP="00E06C55">
      <w:r>
        <w:t>APTNT stated that the queuing arrangements in its proposed access arrangement provide for a simple ‘first come, first served’ queue, and that these were updated in the last review process (in 2011) to align with the NGR.</w:t>
      </w:r>
      <w:r>
        <w:rPr>
          <w:rStyle w:val="FootnoteReference"/>
        </w:rPr>
        <w:footnoteReference w:id="22"/>
      </w:r>
    </w:p>
    <w:p w:rsidR="00E06C55" w:rsidRDefault="00E06C55" w:rsidP="00E06C55">
      <w:pPr>
        <w:pStyle w:val="Heading3"/>
      </w:pPr>
      <w:bookmarkStart w:id="24" w:name="_Toc427767071"/>
      <w:bookmarkStart w:id="25" w:name="_Toc436044731"/>
      <w:r>
        <w:t>AER’s assessment approach</w:t>
      </w:r>
      <w:bookmarkEnd w:id="24"/>
      <w:bookmarkEnd w:id="25"/>
    </w:p>
    <w:p w:rsidR="00E06C55" w:rsidRDefault="00E06C55" w:rsidP="00E06C55">
      <w:r>
        <w:t>The NGR require us to assess APTNT’s proposed queuing requirements for consistency with the NGO and rule 103 of the NGR.</w:t>
      </w:r>
    </w:p>
    <w:p w:rsidR="00E06C55" w:rsidRDefault="00E06C55" w:rsidP="00E06C55">
      <w:r w:rsidRPr="0072451B">
        <w:lastRenderedPageBreak/>
        <w:t>Rule 103 of the NGR has specific provisions on queuing requirements and provides that:</w:t>
      </w:r>
      <w:r>
        <w:rPr>
          <w:rStyle w:val="FootnoteReference"/>
        </w:rPr>
        <w:footnoteReference w:id="23"/>
      </w:r>
    </w:p>
    <w:p w:rsidR="00E06C55" w:rsidRDefault="00E06C55" w:rsidP="00E06C55">
      <w:pPr>
        <w:pStyle w:val="AERbulletlistfirststyle"/>
        <w:numPr>
          <w:ilvl w:val="0"/>
          <w:numId w:val="29"/>
        </w:numPr>
        <w:spacing w:before="0" w:after="200" w:line="288" w:lineRule="auto"/>
        <w:ind w:left="357" w:hanging="357"/>
        <w:jc w:val="both"/>
      </w:pPr>
      <w:r>
        <w:t>q</w:t>
      </w:r>
      <w:r w:rsidRPr="008F381E">
        <w:t>ueuing requirements must be included in an access arrangement for a gas distribution pipeline where the AER notifies the service provider that the access arrangement must contain queuing arrangements</w:t>
      </w:r>
      <w:r>
        <w:rPr>
          <w:rStyle w:val="FootnoteReference"/>
        </w:rPr>
        <w:footnoteReference w:id="24"/>
      </w:r>
    </w:p>
    <w:p w:rsidR="00E06C55" w:rsidRPr="00772104" w:rsidRDefault="00E06C55" w:rsidP="00E06C55">
      <w:pPr>
        <w:pStyle w:val="AERbulletlistfirststyle"/>
        <w:numPr>
          <w:ilvl w:val="0"/>
          <w:numId w:val="29"/>
        </w:numPr>
        <w:spacing w:before="0" w:after="200" w:line="288" w:lineRule="auto"/>
        <w:ind w:left="357" w:hanging="357"/>
        <w:jc w:val="both"/>
      </w:pPr>
      <w:r>
        <w:t xml:space="preserve">queuing requirements must establish a process or mechanism for establishing an order of priority between prospective users of spare or developable </w:t>
      </w:r>
      <w:r w:rsidRPr="00772104">
        <w:t>capacity in which all prospective users are treated on a fair and equal basis</w:t>
      </w:r>
    </w:p>
    <w:p w:rsidR="00E06C55" w:rsidRPr="009A6B1E" w:rsidRDefault="00E06C55" w:rsidP="00E06C55">
      <w:pPr>
        <w:pStyle w:val="AERbulletlistfirststyle"/>
        <w:numPr>
          <w:ilvl w:val="0"/>
          <w:numId w:val="29"/>
        </w:numPr>
        <w:spacing w:before="0" w:after="200" w:line="288" w:lineRule="auto"/>
        <w:ind w:left="357" w:hanging="357"/>
        <w:jc w:val="both"/>
      </w:pPr>
      <w:r>
        <w:t>queuing requirements must be sufficiently detailed</w:t>
      </w:r>
      <w:r w:rsidRPr="00772104">
        <w:t xml:space="preserve"> to enable prospective users to understand the basis of determining the order of priority and the prospective user’s position in the queue.</w:t>
      </w:r>
    </w:p>
    <w:p w:rsidR="00E06C55" w:rsidRDefault="00E06C55" w:rsidP="00E06C55">
      <w:pPr>
        <w:pStyle w:val="Heading3"/>
      </w:pPr>
      <w:bookmarkStart w:id="26" w:name="_Toc427767072"/>
      <w:bookmarkStart w:id="27" w:name="_Toc436044732"/>
      <w:r>
        <w:t>Reasons for draft decision</w:t>
      </w:r>
      <w:bookmarkEnd w:id="26"/>
      <w:bookmarkEnd w:id="27"/>
    </w:p>
    <w:p w:rsidR="00E06C55" w:rsidRDefault="00E06C55" w:rsidP="00E06C55">
      <w:r>
        <w:t xml:space="preserve">We </w:t>
      </w:r>
      <w:r w:rsidRPr="00772104">
        <w:t xml:space="preserve">assessed </w:t>
      </w:r>
      <w:r>
        <w:t>APTNT’s</w:t>
      </w:r>
      <w:r w:rsidRPr="00772104">
        <w:t xml:space="preserve"> proposed queuing requirements for the 201</w:t>
      </w:r>
      <w:r>
        <w:t>6</w:t>
      </w:r>
      <w:r w:rsidR="00402E85" w:rsidRPr="003776B1">
        <w:t>–</w:t>
      </w:r>
      <w:r>
        <w:t>21</w:t>
      </w:r>
      <w:r w:rsidRPr="00772104">
        <w:t xml:space="preserve"> period</w:t>
      </w:r>
      <w:r>
        <w:t>:</w:t>
      </w:r>
      <w:r>
        <w:rPr>
          <w:rStyle w:val="FootnoteReference"/>
        </w:rPr>
        <w:footnoteReference w:id="25"/>
      </w:r>
      <w:r>
        <w:t xml:space="preserve"> </w:t>
      </w:r>
    </w:p>
    <w:p w:rsidR="00E06C55" w:rsidRPr="00483332" w:rsidRDefault="00E06C55" w:rsidP="00E06C55">
      <w:pPr>
        <w:pStyle w:val="AERbulletlistfirststyle"/>
      </w:pPr>
      <w:r>
        <w:t>C</w:t>
      </w:r>
      <w:r w:rsidRPr="00772104">
        <w:t xml:space="preserve">lause </w:t>
      </w:r>
      <w:r>
        <w:t>6.1</w:t>
      </w:r>
      <w:r w:rsidRPr="000707C1">
        <w:t xml:space="preserve"> set</w:t>
      </w:r>
      <w:r>
        <w:t>s</w:t>
      </w:r>
      <w:r w:rsidRPr="000707C1">
        <w:t xml:space="preserve"> out how a queue is formed and how users are advised of their position in the queue, in</w:t>
      </w:r>
      <w:r w:rsidRPr="00483332">
        <w:t xml:space="preserve"> accordance with r. 103(3)–(5) of the NGR</w:t>
      </w:r>
      <w:r>
        <w:t>.</w:t>
      </w:r>
    </w:p>
    <w:p w:rsidR="00E06C55" w:rsidRPr="00483332" w:rsidRDefault="00E06C55" w:rsidP="00E06C55">
      <w:pPr>
        <w:pStyle w:val="AERbulletlistfirststyle"/>
      </w:pPr>
      <w:r>
        <w:t>C</w:t>
      </w:r>
      <w:r w:rsidRPr="00483332">
        <w:t>lause</w:t>
      </w:r>
      <w:r>
        <w:t xml:space="preserve"> 6.2</w:t>
      </w:r>
      <w:r w:rsidRPr="00483332">
        <w:t xml:space="preserve"> set</w:t>
      </w:r>
      <w:r>
        <w:t>s</w:t>
      </w:r>
      <w:r w:rsidRPr="00483332">
        <w:t xml:space="preserve"> out the conditions applicable to a queue. This satisfies the requirements of r. 103(3) and r. 103(5) of the NGR.</w:t>
      </w:r>
    </w:p>
    <w:p w:rsidR="00E06C55" w:rsidRPr="000707C1" w:rsidRDefault="00E06C55" w:rsidP="00E06C55">
      <w:pPr>
        <w:pStyle w:val="AERbulletlistfirststyle"/>
      </w:pPr>
      <w:r>
        <w:t>C</w:t>
      </w:r>
      <w:r w:rsidRPr="00483332">
        <w:t>lause</w:t>
      </w:r>
      <w:r>
        <w:t xml:space="preserve"> 6.3</w:t>
      </w:r>
      <w:r w:rsidRPr="00483332">
        <w:t xml:space="preserve"> sets out the procedure when capacity can be made available.</w:t>
      </w:r>
    </w:p>
    <w:p w:rsidR="00E06C55" w:rsidRPr="00483332" w:rsidRDefault="00E06C55" w:rsidP="00E06C55">
      <w:pPr>
        <w:pStyle w:val="AERbulletlistfirststyle"/>
      </w:pPr>
      <w:r>
        <w:t>C</w:t>
      </w:r>
      <w:r w:rsidRPr="00483332">
        <w:t xml:space="preserve">lause </w:t>
      </w:r>
      <w:r>
        <w:t>6.4</w:t>
      </w:r>
      <w:r w:rsidRPr="00483332">
        <w:t xml:space="preserve"> sets out the priority of prospective users in accordance with r. 103(4)of the NGR</w:t>
      </w:r>
      <w:r>
        <w:t>, and</w:t>
      </w:r>
    </w:p>
    <w:p w:rsidR="00E06C55" w:rsidRPr="00772104" w:rsidRDefault="00E06C55" w:rsidP="00E06C55">
      <w:pPr>
        <w:pStyle w:val="AERbulletlistfirststyle"/>
      </w:pPr>
      <w:r>
        <w:t>C</w:t>
      </w:r>
      <w:r w:rsidRPr="00483332">
        <w:t>lause</w:t>
      </w:r>
      <w:r>
        <w:t xml:space="preserve"> 6.5</w:t>
      </w:r>
      <w:r w:rsidRPr="00483332">
        <w:t xml:space="preserve"> set</w:t>
      </w:r>
      <w:r>
        <w:t>s</w:t>
      </w:r>
      <w:r w:rsidRPr="00483332">
        <w:t xml:space="preserve"> out general terms. These include the treatment of requests in the event of a dispute, and the </w:t>
      </w:r>
      <w:r>
        <w:t>requirement for</w:t>
      </w:r>
      <w:r w:rsidRPr="00483332">
        <w:t xml:space="preserve"> prospective users to </w:t>
      </w:r>
      <w:r>
        <w:t>demonstrate</w:t>
      </w:r>
      <w:r w:rsidRPr="00483332">
        <w:t xml:space="preserve"> access to gas supply at the</w:t>
      </w:r>
      <w:r w:rsidRPr="00772104">
        <w:t xml:space="preserve"> time </w:t>
      </w:r>
      <w:r>
        <w:t>APTNT’s</w:t>
      </w:r>
      <w:r w:rsidRPr="00772104">
        <w:t xml:space="preserve"> </w:t>
      </w:r>
      <w:r>
        <w:t>reference</w:t>
      </w:r>
      <w:r w:rsidRPr="00772104">
        <w:t xml:space="preserve"> service is to be provided.</w:t>
      </w:r>
    </w:p>
    <w:p w:rsidR="00E06C55" w:rsidRPr="00AD6E10" w:rsidRDefault="00E06C55" w:rsidP="00E06C55">
      <w:r>
        <w:t>T</w:t>
      </w:r>
      <w:r w:rsidRPr="00772104">
        <w:t xml:space="preserve">hese </w:t>
      </w:r>
      <w:r>
        <w:t xml:space="preserve">queuing requirements </w:t>
      </w:r>
      <w:r w:rsidRPr="00772104">
        <w:t xml:space="preserve">are </w:t>
      </w:r>
      <w:r>
        <w:t xml:space="preserve">the same as </w:t>
      </w:r>
      <w:r w:rsidRPr="00772104">
        <w:t xml:space="preserve">those </w:t>
      </w:r>
      <w:r>
        <w:t xml:space="preserve">we </w:t>
      </w:r>
      <w:r w:rsidRPr="00772104">
        <w:t xml:space="preserve">approved </w:t>
      </w:r>
      <w:r>
        <w:t>for</w:t>
      </w:r>
      <w:r w:rsidRPr="00772104">
        <w:t xml:space="preserve"> the </w:t>
      </w:r>
      <w:r>
        <w:t xml:space="preserve">current </w:t>
      </w:r>
      <w:r w:rsidR="00730BE4">
        <w:br/>
      </w:r>
      <w:r>
        <w:t>2011–16 access arrangement. We remain satisfied that clause 6 of the proposed access arrangement meets the requirements of r. 103 of the NGR.</w:t>
      </w:r>
      <w:r w:rsidRPr="00772104">
        <w:t xml:space="preserve"> </w:t>
      </w:r>
    </w:p>
    <w:p w:rsidR="00E06C55" w:rsidRDefault="00E06C55" w:rsidP="00E06C55">
      <w:pPr>
        <w:pStyle w:val="Heading2"/>
      </w:pPr>
      <w:bookmarkStart w:id="28" w:name="_Toc427767078"/>
      <w:bookmarkStart w:id="29" w:name="_Toc436044733"/>
      <w:r>
        <w:t>Capacity trading requirements</w:t>
      </w:r>
      <w:bookmarkEnd w:id="28"/>
      <w:bookmarkEnd w:id="29"/>
    </w:p>
    <w:p w:rsidR="00E06C55" w:rsidRPr="00397EC5" w:rsidRDefault="00E06C55" w:rsidP="00E06C55">
      <w:r w:rsidRPr="00772104">
        <w:t xml:space="preserve">The capacity trading requirements of an access arrangement may allow a user to transfer, by way of a subcontract, all or any of the user’s contracted capacity to another </w:t>
      </w:r>
      <w:r w:rsidRPr="00772104">
        <w:lastRenderedPageBreak/>
        <w:t>user.</w:t>
      </w:r>
      <w:r w:rsidRPr="007C78BC">
        <w:rPr>
          <w:rStyle w:val="AERsuperscript"/>
          <w:rFonts w:eastAsia="Calibri"/>
          <w:sz w:val="22"/>
        </w:rPr>
        <w:footnoteReference w:id="26"/>
      </w:r>
      <w:r w:rsidRPr="00772104">
        <w:t xml:space="preserve"> In doing so, it may enable a secondary market with more efficient price signals and levels of usage</w:t>
      </w:r>
      <w:r>
        <w:t>.</w:t>
      </w:r>
    </w:p>
    <w:p w:rsidR="00E06C55" w:rsidRDefault="00E06C55" w:rsidP="00E06C55">
      <w:pPr>
        <w:pStyle w:val="Heading3"/>
      </w:pPr>
      <w:bookmarkStart w:id="30" w:name="_Toc427767079"/>
      <w:bookmarkStart w:id="31" w:name="_Toc436044734"/>
      <w:r>
        <w:t>Draft decision</w:t>
      </w:r>
      <w:bookmarkEnd w:id="30"/>
      <w:bookmarkEnd w:id="31"/>
    </w:p>
    <w:p w:rsidR="00E06C55" w:rsidRPr="00AD6E10" w:rsidRDefault="00E06C55" w:rsidP="00E06C55">
      <w:r w:rsidRPr="005441B2">
        <w:t xml:space="preserve">We approve </w:t>
      </w:r>
      <w:r>
        <w:t>APTNT</w:t>
      </w:r>
      <w:r w:rsidRPr="005441B2">
        <w:t xml:space="preserve">’s proposed </w:t>
      </w:r>
      <w:r>
        <w:t>capacity</w:t>
      </w:r>
      <w:r w:rsidRPr="005441B2">
        <w:t xml:space="preserve"> requirements </w:t>
      </w:r>
      <w:r>
        <w:t>for the</w:t>
      </w:r>
      <w:r w:rsidRPr="005441B2">
        <w:t xml:space="preserve"> 2016</w:t>
      </w:r>
      <w:r w:rsidR="00730BE4">
        <w:t>–</w:t>
      </w:r>
      <w:r w:rsidRPr="005441B2">
        <w:t>21 access arrangement</w:t>
      </w:r>
      <w:r>
        <w:t xml:space="preserve"> period</w:t>
      </w:r>
      <w:r w:rsidRPr="005441B2">
        <w:t>.</w:t>
      </w:r>
    </w:p>
    <w:p w:rsidR="00E06C55" w:rsidRDefault="00E06C55" w:rsidP="00E06C55">
      <w:pPr>
        <w:pStyle w:val="Heading3"/>
      </w:pPr>
      <w:bookmarkStart w:id="32" w:name="_Toc427767080"/>
      <w:bookmarkStart w:id="33" w:name="_Toc436044735"/>
      <w:r>
        <w:t>APTNT’s proposal</w:t>
      </w:r>
      <w:bookmarkEnd w:id="32"/>
      <w:bookmarkEnd w:id="33"/>
    </w:p>
    <w:p w:rsidR="00E06C55" w:rsidRDefault="00E06C55" w:rsidP="00E06C55">
      <w:r>
        <w:t>APTNT submitted that it has not proposed any changes to the capacity trading requirements in the access arrangement.</w:t>
      </w:r>
      <w:r>
        <w:rPr>
          <w:rStyle w:val="FootnoteReference"/>
        </w:rPr>
        <w:footnoteReference w:id="27"/>
      </w:r>
    </w:p>
    <w:p w:rsidR="00E06C55" w:rsidRDefault="00E06C55" w:rsidP="00E06C55">
      <w:r>
        <w:t>As in the current access arrangement, the requirements for capacity trading and for changing receipt or delivery points are contained in clause 5 of the proposed access arrangement.</w:t>
      </w:r>
    </w:p>
    <w:p w:rsidR="00E06C55" w:rsidRDefault="00E06C55" w:rsidP="00E06C55">
      <w:pPr>
        <w:pStyle w:val="Heading3"/>
      </w:pPr>
      <w:bookmarkStart w:id="34" w:name="_Toc427767081"/>
      <w:bookmarkStart w:id="35" w:name="_Toc436044736"/>
      <w:r>
        <w:t>AER’s assessment approach</w:t>
      </w:r>
      <w:bookmarkEnd w:id="34"/>
      <w:bookmarkEnd w:id="35"/>
    </w:p>
    <w:p w:rsidR="00E06C55" w:rsidRDefault="00E06C55" w:rsidP="00E06C55">
      <w:r>
        <w:t>We assessed APTNT’s proposed capacity trading requirements for consistency with the NGO and r. 105 of the NGR.</w:t>
      </w:r>
    </w:p>
    <w:p w:rsidR="00E06C55" w:rsidRDefault="00E06C55" w:rsidP="00E06C55">
      <w:r>
        <w:t>Rule 105 has specific provisions on capacity trading requirements and, at a high level, provides that:</w:t>
      </w:r>
    </w:p>
    <w:p w:rsidR="00E06C55" w:rsidRPr="00736D7A" w:rsidRDefault="00E06C55" w:rsidP="00E06C55">
      <w:pPr>
        <w:pStyle w:val="AERbulletlistfirststyle"/>
      </w:pPr>
      <w:r w:rsidRPr="00CC7BBC">
        <w:t>the requirements must provide for capacity transfers in accordance with the rules or procedures of the relevant gas market, if the service provider is registered as a participant in a particular gas market</w:t>
      </w:r>
      <w:r>
        <w:t>: r. 105(1)</w:t>
      </w:r>
    </w:p>
    <w:p w:rsidR="00E06C55" w:rsidRPr="00736D7A" w:rsidRDefault="00E06C55" w:rsidP="00E06C55">
      <w:pPr>
        <w:pStyle w:val="AERbulletlistfirststyle"/>
      </w:pPr>
      <w:r w:rsidRPr="00736D7A">
        <w:t>a user may transfer all or part of its contracted capacity without the service provider’s consent, with particular consequences</w:t>
      </w:r>
      <w:r>
        <w:t>: r. 105(2)</w:t>
      </w:r>
    </w:p>
    <w:p w:rsidR="00E06C55" w:rsidRPr="00736D7A" w:rsidRDefault="00E06C55" w:rsidP="00E06C55">
      <w:pPr>
        <w:pStyle w:val="AERbulletlistfirststyle"/>
      </w:pPr>
      <w:r w:rsidRPr="00736D7A">
        <w:t>a user may transfer all or part of its contracted capacity with the service provider’s consent, with particular consequences</w:t>
      </w:r>
      <w:r>
        <w:t>: r. 105(3)</w:t>
      </w:r>
    </w:p>
    <w:p w:rsidR="00E06C55" w:rsidRDefault="00E06C55" w:rsidP="00E06C55">
      <w:pPr>
        <w:pStyle w:val="AERbulletlistfirststyle"/>
      </w:pPr>
      <w:r w:rsidRPr="00736D7A">
        <w:t>a service provider must not withhold its consent unless it has reasonable grounds, based on technical or commercial considerations, for doing so</w:t>
      </w:r>
      <w:r>
        <w:t>: r. 105(4)</w:t>
      </w:r>
    </w:p>
    <w:p w:rsidR="00E06C55" w:rsidRPr="00736D7A" w:rsidRDefault="00E06C55" w:rsidP="00E06C55">
      <w:pPr>
        <w:pStyle w:val="AERbulletlistfirststyle"/>
      </w:pPr>
      <w:r>
        <w:t>a capacity transfer does not affect a user’s rights and liabilities retrospectively: r. 105(5)</w:t>
      </w:r>
    </w:p>
    <w:p w:rsidR="00E06C55" w:rsidRPr="00AD6E10" w:rsidRDefault="00E06C55" w:rsidP="00E06C55">
      <w:pPr>
        <w:pStyle w:val="AERbulletlistfirststyle"/>
      </w:pPr>
      <w:r w:rsidRPr="00736D7A">
        <w:t>the requirements may specify in advance the conditions under which consent will or will not be given</w:t>
      </w:r>
      <w:r>
        <w:t>: r. 105(6).</w:t>
      </w:r>
    </w:p>
    <w:p w:rsidR="00E06C55" w:rsidRDefault="00E06C55" w:rsidP="006C1B37">
      <w:pPr>
        <w:pStyle w:val="Heading3"/>
        <w:keepNext/>
      </w:pPr>
      <w:bookmarkStart w:id="36" w:name="_Toc427767082"/>
      <w:bookmarkStart w:id="37" w:name="_Toc436044737"/>
      <w:r>
        <w:lastRenderedPageBreak/>
        <w:t>Reasons for draft decision</w:t>
      </w:r>
      <w:bookmarkEnd w:id="36"/>
      <w:bookmarkEnd w:id="37"/>
    </w:p>
    <w:p w:rsidR="00E06C55" w:rsidRDefault="00E06C55" w:rsidP="00E06C55">
      <w:r>
        <w:t>We</w:t>
      </w:r>
      <w:r w:rsidRPr="00DB4D32">
        <w:t xml:space="preserve"> assessed </w:t>
      </w:r>
      <w:r>
        <w:t>sub</w:t>
      </w:r>
      <w:r w:rsidRPr="00DB4D32">
        <w:t>clause</w:t>
      </w:r>
      <w:r>
        <w:t>s</w:t>
      </w:r>
      <w:r w:rsidRPr="00DB4D32">
        <w:t xml:space="preserve"> </w:t>
      </w:r>
      <w:r>
        <w:t>5.1 to</w:t>
      </w:r>
      <w:r w:rsidRPr="00DB4D32">
        <w:t xml:space="preserve"> </w:t>
      </w:r>
      <w:r>
        <w:t xml:space="preserve">5.3 </w:t>
      </w:r>
      <w:r w:rsidRPr="00DB4D32">
        <w:t>of the proposed access arrangement</w:t>
      </w:r>
      <w:r>
        <w:t xml:space="preserve"> which </w:t>
      </w:r>
      <w:r w:rsidRPr="00DB4D32">
        <w:t xml:space="preserve">set out the </w:t>
      </w:r>
      <w:r>
        <w:t xml:space="preserve">requirements on </w:t>
      </w:r>
      <w:r w:rsidRPr="00DB4D32">
        <w:t>capacity trading</w:t>
      </w:r>
      <w:r>
        <w:t xml:space="preserve">. </w:t>
      </w:r>
    </w:p>
    <w:p w:rsidR="00E06C55" w:rsidRDefault="00E06C55" w:rsidP="00E06C55">
      <w:pPr>
        <w:pStyle w:val="AERbulletlistfirststyle"/>
      </w:pPr>
      <w:r>
        <w:t>Subclauses 5.1 (a)-(b) address capacity transfers where parties are or are not registered participants in a gas market, in accordance with r. 105(1).</w:t>
      </w:r>
    </w:p>
    <w:p w:rsidR="00E06C55" w:rsidRDefault="00E06C55" w:rsidP="00E06C55">
      <w:pPr>
        <w:pStyle w:val="AERbulletlistfirststyle"/>
      </w:pPr>
      <w:r>
        <w:t>Subclause 5.2 addresses capacity transfers without the service provider’s consent, in accordance with r. 105(2).</w:t>
      </w:r>
    </w:p>
    <w:p w:rsidR="00E06C55" w:rsidRDefault="00E06C55" w:rsidP="00E06C55">
      <w:pPr>
        <w:pStyle w:val="AERbulletlistfirststyle"/>
      </w:pPr>
      <w:r>
        <w:t>Subclause 5.3 addresses capacity transfers with the service provider’s consent, in accordance with r. 105(3) to 105(6).</w:t>
      </w:r>
    </w:p>
    <w:p w:rsidR="00E06C55" w:rsidRDefault="00E06C55" w:rsidP="00E06C55">
      <w:r>
        <w:t>We remain satisfied that the capacity trading requirements provided in subclauses 5.1 to 5.3 of the proposed access arrangement satisfy r. 105 of the NGR.</w:t>
      </w:r>
    </w:p>
    <w:p w:rsidR="00E06C55" w:rsidRDefault="00E06C55" w:rsidP="00E06C55">
      <w:pPr>
        <w:pStyle w:val="Heading2"/>
      </w:pPr>
      <w:bookmarkStart w:id="38" w:name="_Toc427767083"/>
      <w:bookmarkStart w:id="39" w:name="_Toc436044738"/>
      <w:r>
        <w:t>Changing receipt or delivery points</w:t>
      </w:r>
      <w:bookmarkEnd w:id="38"/>
      <w:bookmarkEnd w:id="39"/>
    </w:p>
    <w:p w:rsidR="00E06C55" w:rsidRPr="00335918" w:rsidRDefault="00E06C55" w:rsidP="00E06C55">
      <w:r w:rsidRPr="00265BE9">
        <w:t>A receipt or delivery point</w:t>
      </w:r>
      <w:r>
        <w:t xml:space="preserve"> </w:t>
      </w:r>
      <w:r w:rsidRPr="00265BE9">
        <w:t>is a point on a pipeline at which a service provider takes delivery of natural gas, or delivers natural gas.</w:t>
      </w:r>
      <w:r>
        <w:rPr>
          <w:rStyle w:val="FootnoteReference"/>
        </w:rPr>
        <w:footnoteReference w:id="28"/>
      </w:r>
      <w:r w:rsidRPr="005F7477">
        <w:rPr>
          <w:rStyle w:val="AERsuperscript"/>
        </w:rPr>
        <w:t xml:space="preserve"> </w:t>
      </w:r>
      <w:r w:rsidRPr="00265BE9">
        <w:t xml:space="preserve">A user may wish to change the point at </w:t>
      </w:r>
      <w:r w:rsidRPr="00335918">
        <w:t xml:space="preserve">which they receive or take delivery of natural gas. </w:t>
      </w:r>
    </w:p>
    <w:p w:rsidR="00E06C55" w:rsidRDefault="00E06C55" w:rsidP="00E06C55">
      <w:pPr>
        <w:pStyle w:val="Heading3"/>
      </w:pPr>
      <w:bookmarkStart w:id="40" w:name="_Toc427767084"/>
      <w:bookmarkStart w:id="41" w:name="_Toc436044739"/>
      <w:r>
        <w:t>Draft decision</w:t>
      </w:r>
      <w:bookmarkEnd w:id="40"/>
      <w:bookmarkEnd w:id="41"/>
    </w:p>
    <w:p w:rsidR="00E06C55" w:rsidRPr="00AD6E10" w:rsidRDefault="00E06C55" w:rsidP="00E06C55">
      <w:r w:rsidRPr="005441B2">
        <w:t xml:space="preserve">We approve </w:t>
      </w:r>
      <w:r>
        <w:t>APTNT</w:t>
      </w:r>
      <w:r w:rsidRPr="005441B2">
        <w:t xml:space="preserve">’s proposed requirements </w:t>
      </w:r>
      <w:r>
        <w:t>for changing receipt or delivery points for the</w:t>
      </w:r>
      <w:r w:rsidR="00730BE4">
        <w:t xml:space="preserve"> 2016–</w:t>
      </w:r>
      <w:r w:rsidRPr="005441B2">
        <w:t>21 access arrangement</w:t>
      </w:r>
      <w:r>
        <w:t xml:space="preserve"> period</w:t>
      </w:r>
      <w:r w:rsidRPr="005441B2">
        <w:t>.</w:t>
      </w:r>
    </w:p>
    <w:p w:rsidR="00E06C55" w:rsidRDefault="00E06C55" w:rsidP="00E06C55">
      <w:pPr>
        <w:pStyle w:val="Heading3"/>
      </w:pPr>
      <w:bookmarkStart w:id="42" w:name="_Toc427767085"/>
      <w:bookmarkStart w:id="43" w:name="_Toc436044740"/>
      <w:r>
        <w:t>APTNT’s proposal</w:t>
      </w:r>
      <w:bookmarkEnd w:id="42"/>
      <w:bookmarkEnd w:id="43"/>
    </w:p>
    <w:p w:rsidR="00E06C55" w:rsidRPr="00AD6E10" w:rsidRDefault="00E06C55" w:rsidP="00E06C55">
      <w:r>
        <w:t>APTNT has not proposed any changes to its requirements for changing receipt or delivery points in its access arrangement.</w:t>
      </w:r>
    </w:p>
    <w:p w:rsidR="00E06C55" w:rsidRDefault="00E06C55" w:rsidP="00E06C55">
      <w:pPr>
        <w:pStyle w:val="Heading3"/>
      </w:pPr>
      <w:bookmarkStart w:id="44" w:name="_Toc427767086"/>
      <w:bookmarkStart w:id="45" w:name="_Toc436044741"/>
      <w:r>
        <w:t>AER’s assessment approach</w:t>
      </w:r>
      <w:bookmarkEnd w:id="44"/>
      <w:bookmarkEnd w:id="45"/>
    </w:p>
    <w:p w:rsidR="00E06C55" w:rsidRPr="00772104" w:rsidRDefault="00E06C55" w:rsidP="00E06C55">
      <w:r>
        <w:t xml:space="preserve">We </w:t>
      </w:r>
      <w:r w:rsidRPr="00772104">
        <w:t xml:space="preserve">assessed </w:t>
      </w:r>
      <w:r>
        <w:t>APTNT’s</w:t>
      </w:r>
      <w:r w:rsidRPr="00772104">
        <w:t xml:space="preserve"> terms and conditions for changing recei</w:t>
      </w:r>
      <w:r>
        <w:t>pt or delivery p</w:t>
      </w:r>
      <w:r w:rsidRPr="00772104">
        <w:t>oints against the NGO and rule</w:t>
      </w:r>
      <w:r>
        <w:t xml:space="preserve"> </w:t>
      </w:r>
      <w:r w:rsidRPr="00772104">
        <w:t>106 of the NGR.</w:t>
      </w:r>
    </w:p>
    <w:p w:rsidR="00094961" w:rsidRPr="00772104" w:rsidRDefault="00E06C55" w:rsidP="00E06C55">
      <w:r w:rsidRPr="00772104">
        <w:t>R</w:t>
      </w:r>
      <w:r>
        <w:t>ule</w:t>
      </w:r>
      <w:r w:rsidRPr="00772104">
        <w:t xml:space="preserve"> 106 of the NGR has specific provisions on the change of receipt or delivery point by user and provide</w:t>
      </w:r>
      <w:r>
        <w:t>s, at a high level,</w:t>
      </w:r>
      <w:r w:rsidRPr="00772104">
        <w:t xml:space="preserve"> that:</w:t>
      </w:r>
    </w:p>
    <w:p w:rsidR="00E06C55" w:rsidRPr="00A30AE9" w:rsidRDefault="00E06C55" w:rsidP="00A30AE9">
      <w:pPr>
        <w:pStyle w:val="AERbulletlistfirststyle"/>
      </w:pPr>
      <w:r w:rsidRPr="00A30AE9">
        <w:t>a user may change its receipt or delivery point with the service provider’s consent</w:t>
      </w:r>
    </w:p>
    <w:p w:rsidR="00E06C55" w:rsidRPr="00A30AE9" w:rsidRDefault="00E06C55" w:rsidP="00A30AE9">
      <w:pPr>
        <w:pStyle w:val="AERbulletlistfirststyle"/>
      </w:pPr>
      <w:r w:rsidRPr="00A30AE9">
        <w:t>the service provider must not withhold consent unless it has reasonable grounds, based on technical or commercial considerations, for doing so</w:t>
      </w:r>
    </w:p>
    <w:p w:rsidR="00E06C55" w:rsidRPr="00A30AE9" w:rsidRDefault="00E06C55" w:rsidP="00A30AE9">
      <w:pPr>
        <w:pStyle w:val="AERbulletlistfirststyle"/>
      </w:pPr>
      <w:r w:rsidRPr="00A30AE9">
        <w:t>the access arrangement may specify in advance conditions under which consent will or will not be given.</w:t>
      </w:r>
    </w:p>
    <w:p w:rsidR="00E06C55" w:rsidRDefault="00E06C55" w:rsidP="00E06C55">
      <w:pPr>
        <w:pStyle w:val="Heading3"/>
      </w:pPr>
      <w:bookmarkStart w:id="46" w:name="_Toc427767087"/>
      <w:bookmarkStart w:id="47" w:name="_Toc436044742"/>
      <w:r>
        <w:lastRenderedPageBreak/>
        <w:t>Reasons for draft decision</w:t>
      </w:r>
      <w:bookmarkEnd w:id="46"/>
      <w:bookmarkEnd w:id="47"/>
    </w:p>
    <w:p w:rsidR="00E06C55" w:rsidRDefault="00E06C55" w:rsidP="00E06C55">
      <w:r>
        <w:t>Sub</w:t>
      </w:r>
      <w:r w:rsidRPr="00DB4D32">
        <w:t xml:space="preserve">clause </w:t>
      </w:r>
      <w:r>
        <w:t xml:space="preserve">5.4 </w:t>
      </w:r>
      <w:r w:rsidRPr="00DB4D32">
        <w:t>of the proposed access arrangement</w:t>
      </w:r>
      <w:r>
        <w:t xml:space="preserve"> </w:t>
      </w:r>
      <w:r w:rsidRPr="00DB4D32">
        <w:t>set</w:t>
      </w:r>
      <w:r>
        <w:t>s</w:t>
      </w:r>
      <w:r w:rsidRPr="00DB4D32">
        <w:t xml:space="preserve"> out the </w:t>
      </w:r>
      <w:r>
        <w:t>requirements on changing receipt or delivery points.</w:t>
      </w:r>
    </w:p>
    <w:p w:rsidR="00E06C55" w:rsidRDefault="00E06C55" w:rsidP="00E06C55">
      <w:r>
        <w:t>Subclause 5.4 provides that a user, with proper notice to the service provider, may request for substitution of a delivery or receipt point. The service provider may withhold its consent to the request on reasonable commercial or technical grounds. An example of a ground for withholding consent is given.</w:t>
      </w:r>
    </w:p>
    <w:p w:rsidR="00E06C55" w:rsidRDefault="00E06C55" w:rsidP="00E06C55">
      <w:r>
        <w:t xml:space="preserve">We remain satisfied that APTNT’s proposed requirements for changing receipt or delivery points in subclause 5.4 align with the requirements of r. 106 of the NGR. </w:t>
      </w:r>
    </w:p>
    <w:p w:rsidR="00E06C55" w:rsidRDefault="00E06C55" w:rsidP="00E06C55">
      <w:pPr>
        <w:pStyle w:val="Heading2"/>
      </w:pPr>
      <w:bookmarkStart w:id="48" w:name="_Toc427767073"/>
      <w:bookmarkStart w:id="49" w:name="_Ref430091119"/>
      <w:bookmarkStart w:id="50" w:name="_Toc436044743"/>
      <w:r>
        <w:t>Extension and expansion requirements</w:t>
      </w:r>
      <w:bookmarkEnd w:id="48"/>
      <w:bookmarkEnd w:id="49"/>
      <w:bookmarkEnd w:id="50"/>
    </w:p>
    <w:p w:rsidR="00E06C55" w:rsidRPr="00AD6E10" w:rsidRDefault="00E06C55" w:rsidP="00E06C55">
      <w:r w:rsidRPr="0002283B">
        <w:t>All access arrangements must include requirements relating to extensions of, and expansions to, a pipeline.</w:t>
      </w:r>
      <w:r w:rsidRPr="005A6AA6">
        <w:rPr>
          <w:rStyle w:val="AERsuperscript"/>
          <w:sz w:val="22"/>
        </w:rPr>
        <w:footnoteReference w:id="29"/>
      </w:r>
      <w:r w:rsidRPr="0002283B">
        <w:t xml:space="preserve"> An extension relates to </w:t>
      </w:r>
      <w:r>
        <w:t>extending</w:t>
      </w:r>
      <w:r w:rsidRPr="0002283B">
        <w:t xml:space="preserve"> the pipeline </w:t>
      </w:r>
      <w:r>
        <w:t>to</w:t>
      </w:r>
      <w:r w:rsidRPr="0002283B">
        <w:t xml:space="preserve"> receive or deliver gas to or from new locations.</w:t>
      </w:r>
      <w:r>
        <w:t xml:space="preserve"> </w:t>
      </w:r>
      <w:r w:rsidRPr="0002283B">
        <w:t>An expansion relates to augment</w:t>
      </w:r>
      <w:r>
        <w:t>ing</w:t>
      </w:r>
      <w:r w:rsidRPr="0002283B">
        <w:t xml:space="preserve"> the </w:t>
      </w:r>
      <w:r>
        <w:t xml:space="preserve">pipeline's </w:t>
      </w:r>
      <w:r w:rsidRPr="0002283B">
        <w:t>capacity to deliver an increased volume of gas to users</w:t>
      </w:r>
      <w:r>
        <w:t>.</w:t>
      </w:r>
    </w:p>
    <w:p w:rsidR="00E06C55" w:rsidRDefault="00E06C55" w:rsidP="00E06C55">
      <w:pPr>
        <w:pStyle w:val="Heading3"/>
      </w:pPr>
      <w:bookmarkStart w:id="51" w:name="_Toc427767074"/>
      <w:bookmarkStart w:id="52" w:name="_Toc436044744"/>
      <w:r>
        <w:t>Draft decision</w:t>
      </w:r>
      <w:bookmarkEnd w:id="51"/>
      <w:bookmarkEnd w:id="52"/>
    </w:p>
    <w:p w:rsidR="00E06C55" w:rsidRPr="009A6B1E" w:rsidRDefault="00E06C55" w:rsidP="00E06C55">
      <w:r w:rsidRPr="005441B2">
        <w:t xml:space="preserve">We approve </w:t>
      </w:r>
      <w:r>
        <w:t>APTNT</w:t>
      </w:r>
      <w:r w:rsidRPr="005441B2">
        <w:t xml:space="preserve">’s proposed extension and expansion requirements </w:t>
      </w:r>
      <w:r>
        <w:t>for the</w:t>
      </w:r>
      <w:r w:rsidRPr="005441B2">
        <w:t xml:space="preserve"> </w:t>
      </w:r>
      <w:r w:rsidR="00730BE4">
        <w:br/>
      </w:r>
      <w:r w:rsidRPr="005441B2">
        <w:t>2016</w:t>
      </w:r>
      <w:r w:rsidR="00730BE4">
        <w:t>–</w:t>
      </w:r>
      <w:r w:rsidRPr="005441B2">
        <w:t>21 access arrangement</w:t>
      </w:r>
      <w:r>
        <w:t xml:space="preserve"> period</w:t>
      </w:r>
      <w:r w:rsidRPr="005441B2">
        <w:t>.</w:t>
      </w:r>
    </w:p>
    <w:p w:rsidR="00E06C55" w:rsidRDefault="00E06C55" w:rsidP="00E06C55">
      <w:pPr>
        <w:pStyle w:val="Heading3"/>
      </w:pPr>
      <w:bookmarkStart w:id="53" w:name="_Toc427767075"/>
      <w:bookmarkStart w:id="54" w:name="_Toc436044745"/>
      <w:r>
        <w:t>APTNT’s proposal</w:t>
      </w:r>
      <w:bookmarkEnd w:id="53"/>
      <w:bookmarkEnd w:id="54"/>
    </w:p>
    <w:p w:rsidR="00E06C55" w:rsidRDefault="00E06C55" w:rsidP="00E06C55">
      <w:r>
        <w:t>APTNT’s proposed extensions and expansions policy is set out in clause 7 of its proposed access arrangement. APTNT has not proposed any changes to the current extension and expansion arrangements, except for a correction to remove capitalisation of a term not defined in the access arrangement.</w:t>
      </w:r>
      <w:r>
        <w:rPr>
          <w:rStyle w:val="FootnoteReference"/>
        </w:rPr>
        <w:footnoteReference w:id="30"/>
      </w:r>
    </w:p>
    <w:p w:rsidR="00E06C55" w:rsidRDefault="00E06C55" w:rsidP="00E06C55">
      <w:r>
        <w:t>APTNT noted that, during the 2016</w:t>
      </w:r>
      <w:r w:rsidR="00402E85" w:rsidRPr="003776B1">
        <w:t>–</w:t>
      </w:r>
      <w:r>
        <w:t>21 access arrangement period, one potential area for change is the possible connection of the North East Gas Interconnector (NEGI). APTNT submitted that its proposed extension and expansion requirements remain appropriate and will be able to accommodate this possible connection:</w:t>
      </w:r>
    </w:p>
    <w:p w:rsidR="00E06C55" w:rsidRDefault="00E06C55" w:rsidP="00E06C55">
      <w:pPr>
        <w:pStyle w:val="AERquote"/>
      </w:pPr>
      <w:r>
        <w:t>APTNT expects to accommodate the potential connection of the NEGI to the AGP during the access arrangement period through the extensions and expansions policy set out in the prevailing Access Arrangement. Using the extensions</w:t>
      </w:r>
      <w:r w:rsidRPr="00411734">
        <w:t xml:space="preserve"> </w:t>
      </w:r>
      <w:r>
        <w:t xml:space="preserve">and expansion policy gives the AER appropriate oversight of the </w:t>
      </w:r>
      <w:r>
        <w:lastRenderedPageBreak/>
        <w:t>extension or expansion, while also addressing any uncertainty that may exist over future projects at the time of the regulatory decision.</w:t>
      </w:r>
      <w:r>
        <w:rPr>
          <w:rStyle w:val="FootnoteReference"/>
        </w:rPr>
        <w:footnoteReference w:id="31"/>
      </w:r>
    </w:p>
    <w:p w:rsidR="00E06C55" w:rsidRDefault="00E06C55" w:rsidP="00E06C55">
      <w:r>
        <w:t>APTNT submitted that if this interconnector to the east coast gas market does eventuate,</w:t>
      </w:r>
    </w:p>
    <w:p w:rsidR="00E06C55" w:rsidRDefault="00E06C55" w:rsidP="00E06C55">
      <w:pPr>
        <w:pStyle w:val="AERquote"/>
      </w:pPr>
      <w:r>
        <w:t>…</w:t>
      </w:r>
      <w:r w:rsidRPr="00250FC8">
        <w:t>incremental service provided by expansions will form part of the</w:t>
      </w:r>
      <w:r>
        <w:t xml:space="preserve"> </w:t>
      </w:r>
      <w:r w:rsidRPr="00250FC8">
        <w:t>covered pipeline unless APTNT elects, and the AER agrees, that the incremental</w:t>
      </w:r>
      <w:r>
        <w:t xml:space="preserve"> </w:t>
      </w:r>
      <w:r w:rsidRPr="00250FC8">
        <w:t>services should not form part of the covered pipeline.</w:t>
      </w:r>
      <w:r>
        <w:rPr>
          <w:rStyle w:val="FootnoteReference"/>
        </w:rPr>
        <w:footnoteReference w:id="32"/>
      </w:r>
    </w:p>
    <w:p w:rsidR="00E06C55" w:rsidRDefault="00E06C55" w:rsidP="00E06C55">
      <w:pPr>
        <w:pStyle w:val="Heading3"/>
      </w:pPr>
      <w:bookmarkStart w:id="55" w:name="_Toc427767076"/>
      <w:bookmarkStart w:id="56" w:name="_Toc436044746"/>
      <w:r>
        <w:t>AER’s assessment approach</w:t>
      </w:r>
      <w:bookmarkEnd w:id="55"/>
      <w:bookmarkEnd w:id="56"/>
    </w:p>
    <w:p w:rsidR="00E06C55" w:rsidRDefault="00094961" w:rsidP="00E06C55">
      <w:r>
        <w:t>We have</w:t>
      </w:r>
      <w:r w:rsidR="00861000">
        <w:t xml:space="preserve"> </w:t>
      </w:r>
      <w:r w:rsidR="00E06C55">
        <w:t>assessed APTNT’s extension and expansion requirements for consistency with the NGO and rule 104 of the NGR.</w:t>
      </w:r>
    </w:p>
    <w:p w:rsidR="00E06C55" w:rsidRDefault="00E06C55" w:rsidP="00E06C55">
      <w:r>
        <w:t>Rule 104 of the NGR specifies the extension and expansion requirements and provides that:</w:t>
      </w:r>
      <w:r>
        <w:rPr>
          <w:rStyle w:val="FootnoteReference"/>
        </w:rPr>
        <w:footnoteReference w:id="33"/>
      </w:r>
    </w:p>
    <w:p w:rsidR="00E06C55" w:rsidRPr="0014638E" w:rsidRDefault="00E06C55" w:rsidP="00E06C55">
      <w:pPr>
        <w:pStyle w:val="AERbulletlistfirststyle"/>
      </w:pPr>
      <w:r w:rsidRPr="0014638E">
        <w:t xml:space="preserve">the requirements may state whether the access arrangement will apply to incremental services to be provided as a result of a particular extension to, or expansion of the capacity of, the pipeline, or outline how this may be dealt with at a later time: r. 104(1) </w:t>
      </w:r>
    </w:p>
    <w:p w:rsidR="00E06C55" w:rsidRPr="0014638E" w:rsidRDefault="00E06C55" w:rsidP="00E06C55">
      <w:pPr>
        <w:pStyle w:val="AERbulletlistfirststyle"/>
      </w:pPr>
      <w:r w:rsidRPr="0014638E">
        <w:t xml:space="preserve">if an access arrangement is to apply to incremental services, the requirements must deal with the effect of the extension or expansion on tariffs: r. 104(2) </w:t>
      </w:r>
    </w:p>
    <w:p w:rsidR="00E06C55" w:rsidRPr="0014638E" w:rsidRDefault="00E06C55" w:rsidP="00E06C55">
      <w:pPr>
        <w:pStyle w:val="AERbulletlistfirststyle"/>
      </w:pPr>
      <w:r w:rsidRPr="0014638E">
        <w:t>the requirements cannot require the service provider to provide funds for extension or expansion works unless the service provider agrees: r. 104(3).</w:t>
      </w:r>
    </w:p>
    <w:p w:rsidR="00E06C55" w:rsidRDefault="00E06C55" w:rsidP="00E06C55">
      <w:pPr>
        <w:pStyle w:val="Heading3"/>
      </w:pPr>
      <w:bookmarkStart w:id="57" w:name="_Toc427767077"/>
      <w:bookmarkStart w:id="58" w:name="_Ref430696388"/>
      <w:bookmarkStart w:id="59" w:name="_Toc436044747"/>
      <w:r>
        <w:t>Reasons for draft decision</w:t>
      </w:r>
      <w:bookmarkEnd w:id="57"/>
      <w:bookmarkEnd w:id="58"/>
      <w:bookmarkEnd w:id="59"/>
    </w:p>
    <w:p w:rsidR="00E06C55" w:rsidRDefault="00E06C55" w:rsidP="00E06C55">
      <w:r>
        <w:t>APTNT has not proposed substantive changes to its current extensions and expansions policy, which was last reviewed in 2011.</w:t>
      </w:r>
      <w:r>
        <w:rPr>
          <w:rStyle w:val="FootnoteReference"/>
        </w:rPr>
        <w:footnoteReference w:id="34"/>
      </w:r>
    </w:p>
    <w:p w:rsidR="00E06C55" w:rsidRDefault="00E06C55" w:rsidP="00E06C55">
      <w:r>
        <w:t>Submissions</w:t>
      </w:r>
      <w:r w:rsidR="004A27DB">
        <w:t>, discussed below,</w:t>
      </w:r>
      <w:r>
        <w:t xml:space="preserve"> raised two main concerns with APTNT’s extensions and expansions policy. Both arise from APTNT’s proposal that we rely on its extensions and expansions policy to address the expected connection of the N</w:t>
      </w:r>
      <w:r w:rsidR="00730BE4">
        <w:t>EGI and the AGP during the 2016–</w:t>
      </w:r>
      <w:r>
        <w:t>21 access arrangement period. These concerns are considered below.</w:t>
      </w:r>
      <w:r w:rsidR="00AE1397">
        <w:t xml:space="preserve"> While we approve APTNT’s proposed extensions and expansions policy, we do not consider it the best mechanism to address the implications of the NEGI for this access arrangement.</w:t>
      </w:r>
    </w:p>
    <w:p w:rsidR="00E06C55" w:rsidRDefault="00E06C55" w:rsidP="00E06C55">
      <w:pPr>
        <w:pStyle w:val="HeadingBoldBlue"/>
      </w:pPr>
      <w:r>
        <w:lastRenderedPageBreak/>
        <w:t>Implications of the NEGI for reference tariffs</w:t>
      </w:r>
    </w:p>
    <w:p w:rsidR="009F13D6" w:rsidRDefault="00E06C55" w:rsidP="00E06C55">
      <w:r>
        <w:t>APTNT</w:t>
      </w:r>
      <w:r w:rsidR="00AE1397">
        <w:t xml:space="preserve"> proposed </w:t>
      </w:r>
      <w:r>
        <w:t>to accommodate the</w:t>
      </w:r>
      <w:r w:rsidRPr="006B2102">
        <w:t xml:space="preserve"> </w:t>
      </w:r>
      <w:r>
        <w:t>potential connection of the NEGI to the AGP in the 2016</w:t>
      </w:r>
      <w:r w:rsidR="00402E85" w:rsidRPr="003776B1">
        <w:t>–</w:t>
      </w:r>
      <w:r>
        <w:t xml:space="preserve">21 access arrangement period through its extensions and expansions policy. </w:t>
      </w:r>
    </w:p>
    <w:p w:rsidR="009F13D6" w:rsidRDefault="009F13D6" w:rsidP="00E06C55">
      <w:r>
        <w:t xml:space="preserve">APTNT submitted that demand related to the NEGI would be for firm </w:t>
      </w:r>
      <w:r w:rsidR="00861000">
        <w:t xml:space="preserve">(i.e. APTNT’s reference) </w:t>
      </w:r>
      <w:r>
        <w:t>services</w:t>
      </w:r>
      <w:r w:rsidR="005C4885">
        <w:t>. Noting that there is no spare capacity for the firm service for the 2016</w:t>
      </w:r>
      <w:r w:rsidR="00402E85" w:rsidRPr="003776B1">
        <w:t>–</w:t>
      </w:r>
      <w:r w:rsidR="005C4885">
        <w:t>21 access arrangement period (and beyond), it identified two paths for prospective shippers to access firm capacity should the NEGI lead to additional demand on the AGP:</w:t>
      </w:r>
      <w:r w:rsidR="005C4885">
        <w:rPr>
          <w:rStyle w:val="FootnoteReference"/>
        </w:rPr>
        <w:footnoteReference w:id="35"/>
      </w:r>
    </w:p>
    <w:p w:rsidR="005C4885" w:rsidRDefault="005C4885" w:rsidP="005C4885">
      <w:pPr>
        <w:pStyle w:val="AERquotebullet1"/>
      </w:pPr>
      <w:r>
        <w:t>Prospective shippers could contract directly with the existing foundation contract holder for access to contracted but unutilised firm capacity either through a bare transfer or assignment; or</w:t>
      </w:r>
    </w:p>
    <w:p w:rsidR="005C4885" w:rsidRDefault="005C4885" w:rsidP="005C4885">
      <w:pPr>
        <w:pStyle w:val="AERquotebullet1"/>
      </w:pPr>
      <w:r>
        <w:t>Prospective shippers could seek expansion of the AGP to provide additional firm capacity.</w:t>
      </w:r>
    </w:p>
    <w:p w:rsidR="005C4885" w:rsidRDefault="005C4885" w:rsidP="005C4885">
      <w:r>
        <w:t>APTNT submitted that the first of these options would not involve contracting the reference service with APTNT, or any additional revenue for APTNT associated with additional volumes contracted on the pipeline. It submitted that the second was clearly a situation where the extensions and expansions policy was the appropriate mechanism to manage additional investment within the access arrangement period.</w:t>
      </w:r>
      <w:r>
        <w:rPr>
          <w:rStyle w:val="FootnoteReference"/>
        </w:rPr>
        <w:footnoteReference w:id="36"/>
      </w:r>
    </w:p>
    <w:p w:rsidR="00E06C55" w:rsidRDefault="00861000" w:rsidP="00E06C55">
      <w:r>
        <w:t xml:space="preserve">Santos </w:t>
      </w:r>
      <w:r w:rsidR="005C4885">
        <w:t>identified the following</w:t>
      </w:r>
      <w:r w:rsidR="00E06C55">
        <w:t xml:space="preserve"> potential implications of increased demand or changes in gas flows through the AGP on the level of reference tariffs:</w:t>
      </w:r>
    </w:p>
    <w:p w:rsidR="00E06C55" w:rsidRDefault="00E06C55" w:rsidP="00E06C55">
      <w:pPr>
        <w:pStyle w:val="AERquote"/>
      </w:pPr>
      <w:r>
        <w:t>The use of [the extensions and expansions policy] could possibly result in customers paying higher charges than allowed for the in the tariff setting mechanism under the National Gas Rules as the construction of the NEGI could result in materially different flows from the historic flow patterns which form the basis of the forecast utilisation.</w:t>
      </w:r>
      <w:r>
        <w:rPr>
          <w:rStyle w:val="FootnoteReference"/>
        </w:rPr>
        <w:footnoteReference w:id="37"/>
      </w:r>
    </w:p>
    <w:p w:rsidR="00E06C55" w:rsidRDefault="00E06C55" w:rsidP="00E06C55">
      <w:pPr>
        <w:pStyle w:val="AERquote"/>
      </w:pPr>
      <w:r>
        <w:t>Under the tariff-setting process prescribed in the National Gas Rules, a lower volume (or demand) of gas that flows through the existing pipeline results in a higher reference tariff (on a per Gigajoule basis) if the costs remain constant. However, the connection of the NEGI will result in a substantial increase in throughput through the existing infrastructure and would result in a lower tariff. We are unable to see how this decrease in the Reference Tariff would be realised through the provisions of the extension and expansion provisions of the current access arrangement proposal.</w:t>
      </w:r>
      <w:r>
        <w:rPr>
          <w:rStyle w:val="FootnoteReference"/>
        </w:rPr>
        <w:footnoteReference w:id="38"/>
      </w:r>
      <w:r w:rsidRPr="00832483">
        <w:t xml:space="preserve"> </w:t>
      </w:r>
    </w:p>
    <w:p w:rsidR="00E06C55" w:rsidRDefault="00E06C55" w:rsidP="00E06C55">
      <w:pPr>
        <w:pStyle w:val="AERquote"/>
      </w:pPr>
      <w:r w:rsidRPr="00160CC1">
        <w:t xml:space="preserve">The advent of the NEGI may not necessarily require significant investment in the existing pipeline as this is not currently fully physically utilised along all sections of the pipeline. However it is likely that additional gas will flow in </w:t>
      </w:r>
      <w:r w:rsidRPr="00160CC1">
        <w:lastRenderedPageBreak/>
        <w:t>advance of the connection of the NEGI and the resultant decrease in tariffs needs to be transparently factored into the access arrangement.</w:t>
      </w:r>
      <w:r>
        <w:rPr>
          <w:rStyle w:val="FootnoteReference"/>
        </w:rPr>
        <w:footnoteReference w:id="39"/>
      </w:r>
    </w:p>
    <w:p w:rsidR="00E06C55" w:rsidRDefault="004A27DB" w:rsidP="00E06C55">
      <w:r>
        <w:t>We do not consider t</w:t>
      </w:r>
      <w:r w:rsidR="00E06C55">
        <w:t xml:space="preserve">hese issues are </w:t>
      </w:r>
      <w:r>
        <w:t xml:space="preserve">adequately </w:t>
      </w:r>
      <w:r w:rsidR="00E06C55">
        <w:t xml:space="preserve">addressed through the extensions and expansions policy. As noted </w:t>
      </w:r>
      <w:r w:rsidR="00861000">
        <w:t>by AGL</w:t>
      </w:r>
      <w:r w:rsidR="00E06C55">
        <w:t>:</w:t>
      </w:r>
    </w:p>
    <w:p w:rsidR="00E06C55" w:rsidRPr="00160CC1" w:rsidRDefault="00E06C55" w:rsidP="00E06C55">
      <w:pPr>
        <w:pStyle w:val="AERquote"/>
      </w:pPr>
      <w:r w:rsidRPr="00160CC1">
        <w:t>The current policy also states that reference tariffs in the access arrangement period will not be affected by any extension or expansion made and that APTNT will elect whether access to the new capacity will be offered at the Reference Tariff or as a negotiated tariff. In the case of an AGP expansion to support a NEGI, this is likely to result in existing Users paying higher charges than necessary and provides little regulatory support or certainty to new Users seeking access to expanded capacity.</w:t>
      </w:r>
      <w:r w:rsidRPr="00160CC1">
        <w:rPr>
          <w:rStyle w:val="AERsuperscript"/>
        </w:rPr>
        <w:t xml:space="preserve"> </w:t>
      </w:r>
      <w:r w:rsidRPr="00160CC1">
        <w:rPr>
          <w:rStyle w:val="AERsuperscript"/>
        </w:rPr>
        <w:footnoteReference w:id="40"/>
      </w:r>
    </w:p>
    <w:p w:rsidR="00E06C55" w:rsidRDefault="00E06C55" w:rsidP="00E06C55">
      <w:r>
        <w:t xml:space="preserve">For these reasons we do not consider the extensions and expansions policy a sufficient mechanism to address </w:t>
      </w:r>
      <w:r w:rsidR="005C4885" w:rsidRPr="006C1B37">
        <w:rPr>
          <w:rStyle w:val="AERtextitalic"/>
        </w:rPr>
        <w:t>all</w:t>
      </w:r>
      <w:r w:rsidR="005C4885">
        <w:t xml:space="preserve"> of the </w:t>
      </w:r>
      <w:r>
        <w:t xml:space="preserve">potential implications of the connection of the NEGI to the AGP. Our draft decision is that these are best addressed through a trigger for acceleration of the review submission date, which will allow APTNT, stakeholders and us to consider the implications of the NEGI for the access arrangement as a whole. This is discussed further in section </w:t>
      </w:r>
      <w:r>
        <w:fldChar w:fldCharType="begin"/>
      </w:r>
      <w:r>
        <w:instrText xml:space="preserve"> REF _Ref430696314 \r \h </w:instrText>
      </w:r>
      <w:r>
        <w:fldChar w:fldCharType="separate"/>
      </w:r>
      <w:r w:rsidR="00C56761">
        <w:t>12.6</w:t>
      </w:r>
      <w:r>
        <w:fldChar w:fldCharType="end"/>
      </w:r>
      <w:r>
        <w:t xml:space="preserve"> below.</w:t>
      </w:r>
    </w:p>
    <w:p w:rsidR="00AE1397" w:rsidRDefault="00AE1397" w:rsidP="00AE1397">
      <w:pPr>
        <w:pStyle w:val="HeadingBoldBlue"/>
      </w:pPr>
      <w:r>
        <w:t>Coverage decisions under the extensions and expansions policy</w:t>
      </w:r>
    </w:p>
    <w:p w:rsidR="00AE1397" w:rsidRDefault="00AE1397" w:rsidP="00AE1397">
      <w:r>
        <w:t>AGL raised concerns with the transparency and rigour of the extensions and expansions policy as it relates to coverage decisions, particularly in relation to expansions driven by the development of the NEGI.</w:t>
      </w:r>
      <w:r>
        <w:rPr>
          <w:rStyle w:val="FootnoteReference"/>
        </w:rPr>
        <w:footnoteReference w:id="41"/>
      </w:r>
    </w:p>
    <w:p w:rsidR="00AE1397" w:rsidRPr="0074506C" w:rsidRDefault="00AE1397" w:rsidP="00AE1397">
      <w:r>
        <w:t>AGL also noted the difference in provisions for extensions to the pipeline (in clause 7.1) and those for expansion of capacity (clause 7.2), and requested:</w:t>
      </w:r>
    </w:p>
    <w:p w:rsidR="00AE1397" w:rsidRDefault="00AE1397" w:rsidP="00AE1397">
      <w:pPr>
        <w:pStyle w:val="AERquote"/>
      </w:pPr>
      <w:r>
        <w:t>…</w:t>
      </w:r>
      <w:r w:rsidRPr="00160CC1">
        <w:t>greater assurance that section 7.2(a) provide a sufficiently transparent and rigorous non-coverage decision. As a comparison, section 7.1 of the policy contemplates a non-coverage decision for pipeline extensions and appears to be a more stringent and consultative process.</w:t>
      </w:r>
      <w:r>
        <w:rPr>
          <w:rStyle w:val="FootnoteReference"/>
        </w:rPr>
        <w:footnoteReference w:id="42"/>
      </w:r>
    </w:p>
    <w:p w:rsidR="00AE1397" w:rsidRDefault="00AE1397" w:rsidP="00AE1397">
      <w:r>
        <w:t>Consistent with previous decisions, we consider that:</w:t>
      </w:r>
      <w:r>
        <w:rPr>
          <w:rStyle w:val="FootnoteReference"/>
        </w:rPr>
        <w:footnoteReference w:id="43"/>
      </w:r>
    </w:p>
    <w:p w:rsidR="00AE1397" w:rsidRDefault="00AE1397" w:rsidP="00AE1397">
      <w:pPr>
        <w:pStyle w:val="AERbulletlistfirststyle"/>
      </w:pPr>
      <w:r>
        <w:t>All extensions to transmission pipelines should be assessed on a case-by-case basis for coverage, so that</w:t>
      </w:r>
      <w:r w:rsidRPr="000809E5">
        <w:t xml:space="preserve"> the circumstances of the particular extension </w:t>
      </w:r>
      <w:r>
        <w:t>can be taken into</w:t>
      </w:r>
      <w:r w:rsidRPr="000809E5">
        <w:t xml:space="preserve"> account</w:t>
      </w:r>
      <w:r>
        <w:t xml:space="preserve">. </w:t>
      </w:r>
    </w:p>
    <w:p w:rsidR="00AE1397" w:rsidRDefault="00AE1397" w:rsidP="00AE1397">
      <w:pPr>
        <w:pStyle w:val="AERbulletlistfirststyle"/>
      </w:pPr>
      <w:r w:rsidRPr="000809E5">
        <w:lastRenderedPageBreak/>
        <w:t xml:space="preserve">Pipeline expansions involve the augmentation of pipeline capacity of the existing pipeline, and are likely to be used by existing pipeline users. They are much less likely than an extension to serve </w:t>
      </w:r>
      <w:r>
        <w:t xml:space="preserve">only </w:t>
      </w:r>
      <w:r w:rsidRPr="000809E5">
        <w:t xml:space="preserve">new or isolated customers. </w:t>
      </w:r>
      <w:r>
        <w:t xml:space="preserve">In general, therefore, expansions to a transmission pipeline should be covered by default and form part of the covered pipeline, unless we expressly agree otherwise. </w:t>
      </w:r>
    </w:p>
    <w:p w:rsidR="00AE1397" w:rsidRDefault="00AE1397" w:rsidP="00AE1397">
      <w:r>
        <w:t xml:space="preserve">Clause 7.2 allows APTNT the flexibility to apply to us for agreement that the access arrangement will not apply to incremental services provided as a result of an expansion. However, where clause 7.1 specifies </w:t>
      </w:r>
      <w:r w:rsidRPr="000809E5">
        <w:t xml:space="preserve">the process to be taken and the information to be provided </w:t>
      </w:r>
      <w:r>
        <w:t xml:space="preserve">where a decision on coverage of an </w:t>
      </w:r>
      <w:r w:rsidRPr="000511FD">
        <w:rPr>
          <w:rStyle w:val="Emphasis"/>
        </w:rPr>
        <w:t>extension</w:t>
      </w:r>
      <w:r>
        <w:t xml:space="preserve"> is required, clause 7.2 does not explicitly do this for decisions on incremental services provided as a result of an expansion. This is consistent with other access arrangements we have approved for gas transmission networks.</w:t>
      </w:r>
      <w:r>
        <w:rPr>
          <w:rStyle w:val="FootnoteReference"/>
        </w:rPr>
        <w:footnoteReference w:id="44"/>
      </w:r>
      <w:r>
        <w:t xml:space="preserve"> We do not consider it necessary to prescribe information requirements and/or a consultation process for this purpose. This is because nothing in clause 7.2 precludes a request for information or consultation to inform a decision made under that clause where appropriate. In relation to AGL’s particular concerns around expansions arising from the NEGI, we have proposed a trigger for acceleration of the review submission date, which will allow APTNT, stakeholders and us to consider the implications of the NEGI for the access arrangement as a whole. This is discussed further in section </w:t>
      </w:r>
      <w:r>
        <w:fldChar w:fldCharType="begin"/>
      </w:r>
      <w:r>
        <w:instrText xml:space="preserve"> REF _Ref430696314 \r \h </w:instrText>
      </w:r>
      <w:r>
        <w:fldChar w:fldCharType="separate"/>
      </w:r>
      <w:r w:rsidR="00C56761">
        <w:t>12.6</w:t>
      </w:r>
      <w:r>
        <w:fldChar w:fldCharType="end"/>
      </w:r>
      <w:r>
        <w:t xml:space="preserve"> below.</w:t>
      </w:r>
    </w:p>
    <w:p w:rsidR="00E06C55" w:rsidRDefault="00E06C55" w:rsidP="00E06C55">
      <w:pPr>
        <w:pStyle w:val="Heading2"/>
      </w:pPr>
      <w:bookmarkStart w:id="60" w:name="_Toc427767088"/>
      <w:bookmarkStart w:id="61" w:name="_Ref430090961"/>
      <w:bookmarkStart w:id="62" w:name="_Ref430696314"/>
      <w:bookmarkStart w:id="63" w:name="_Toc436044748"/>
      <w:r>
        <w:t>Review submission date and revision commencement date</w:t>
      </w:r>
      <w:bookmarkEnd w:id="60"/>
      <w:bookmarkEnd w:id="61"/>
      <w:bookmarkEnd w:id="62"/>
      <w:bookmarkEnd w:id="63"/>
    </w:p>
    <w:p w:rsidR="00E06C55" w:rsidRPr="00677861" w:rsidRDefault="00E06C55" w:rsidP="00E06C55">
      <w:r w:rsidRPr="0010589B">
        <w:t>Rule 49(1) of the NGR requires that a full access</w:t>
      </w:r>
      <w:r w:rsidRPr="00677861">
        <w:t xml:space="preserve"> arrangement that is not voluntary must contain a review submission date and a revision commencement date and must not contain an expiry date.</w:t>
      </w:r>
    </w:p>
    <w:p w:rsidR="00E06C55" w:rsidRDefault="00E06C55" w:rsidP="00E06C55">
      <w:pPr>
        <w:pStyle w:val="Heading3"/>
      </w:pPr>
      <w:bookmarkStart w:id="64" w:name="_Toc427767089"/>
      <w:bookmarkStart w:id="65" w:name="_Toc436044749"/>
      <w:r>
        <w:t>Draft decision</w:t>
      </w:r>
      <w:bookmarkEnd w:id="64"/>
      <w:bookmarkEnd w:id="65"/>
    </w:p>
    <w:p w:rsidR="0074699E" w:rsidRPr="00927AE0" w:rsidRDefault="00E06C55" w:rsidP="0074699E">
      <w:r>
        <w:t>We do not approve APTNT’s proposed review submission and revisions commencement dates as reflected in its proposed access arrangement</w:t>
      </w:r>
      <w:r w:rsidR="0074699E">
        <w:t>. In addition, we require APTNT to include a trigger event in its access arrangement for the acceleration of its review submission date.</w:t>
      </w:r>
    </w:p>
    <w:p w:rsidR="00E06C55" w:rsidRDefault="0074699E" w:rsidP="00E06C55">
      <w:r>
        <w:t xml:space="preserve">We therefore </w:t>
      </w:r>
      <w:r w:rsidR="00E06C55">
        <w:t>require APTNT to make the amendments set out in section</w:t>
      </w:r>
      <w:r>
        <w:t xml:space="preserve"> </w:t>
      </w:r>
      <w:r>
        <w:fldChar w:fldCharType="begin"/>
      </w:r>
      <w:r>
        <w:instrText xml:space="preserve"> REF _Ref430702129 \r \h </w:instrText>
      </w:r>
      <w:r>
        <w:fldChar w:fldCharType="separate"/>
      </w:r>
      <w:r w:rsidR="00C56761">
        <w:t>12.7.2</w:t>
      </w:r>
      <w:r>
        <w:fldChar w:fldCharType="end"/>
      </w:r>
      <w:r>
        <w:t>, amendment 8</w:t>
      </w:r>
      <w:r w:rsidR="00E06C55">
        <w:t xml:space="preserve">. </w:t>
      </w:r>
    </w:p>
    <w:p w:rsidR="00E06C55" w:rsidRDefault="00E06C55" w:rsidP="00E06C55">
      <w:pPr>
        <w:pStyle w:val="Heading3"/>
      </w:pPr>
      <w:bookmarkStart w:id="66" w:name="_Toc427767090"/>
      <w:bookmarkStart w:id="67" w:name="_Toc436044750"/>
      <w:r>
        <w:t>APTNT’s proposal</w:t>
      </w:r>
      <w:bookmarkEnd w:id="66"/>
      <w:bookmarkEnd w:id="67"/>
    </w:p>
    <w:p w:rsidR="00E06C55" w:rsidRDefault="00E06C55" w:rsidP="00E06C55">
      <w:r>
        <w:t>APTNT proposes the following dates:</w:t>
      </w:r>
    </w:p>
    <w:p w:rsidR="00E06C55" w:rsidRDefault="00E06C55" w:rsidP="00E06C55">
      <w:pPr>
        <w:pStyle w:val="AERbulletlistfirststyle"/>
      </w:pPr>
      <w:r>
        <w:t>Review submission date: 1 July 2020</w:t>
      </w:r>
    </w:p>
    <w:p w:rsidR="00E06C55" w:rsidRDefault="00E06C55" w:rsidP="00E06C55">
      <w:pPr>
        <w:pStyle w:val="AERbulletlistfirststyle"/>
      </w:pPr>
      <w:r>
        <w:lastRenderedPageBreak/>
        <w:t>Revision commencement date: 1 July 2021.</w:t>
      </w:r>
      <w:r>
        <w:rPr>
          <w:rStyle w:val="FootnoteReference"/>
        </w:rPr>
        <w:footnoteReference w:id="45"/>
      </w:r>
    </w:p>
    <w:p w:rsidR="00E06C55" w:rsidRDefault="00E06C55" w:rsidP="00E06C55">
      <w:r>
        <w:t>In its proposed access arrangement, these are presented as follows:</w:t>
      </w:r>
      <w:r>
        <w:rPr>
          <w:rStyle w:val="FootnoteReference"/>
          <w:rFonts w:ascii="Helvetica" w:hAnsi="Helvetica" w:cs="Helvetica"/>
        </w:rPr>
        <w:footnoteReference w:id="46"/>
      </w:r>
    </w:p>
    <w:p w:rsidR="00E06C55" w:rsidRDefault="00E06C55" w:rsidP="00E06C55">
      <w:pPr>
        <w:pStyle w:val="AERquoteindent1"/>
      </w:pPr>
      <w:r>
        <w:t>Service Provider will submit revisions to this Access Arrangement to the AER on or before 1 July 2020, or four years from the commencement date of this Access Arrangement, whichever is the later (Review Submission Date).</w:t>
      </w:r>
    </w:p>
    <w:p w:rsidR="00E06C55" w:rsidRPr="00E90954" w:rsidRDefault="00E06C55" w:rsidP="00E06C55">
      <w:pPr>
        <w:pStyle w:val="AERquote"/>
      </w:pPr>
      <w:r>
        <w:t xml:space="preserve">The revisions to this Access Arrangement will commence on the later of 1 July 2021 and the date on which the approval by the AER of the revisions to the Access </w:t>
      </w:r>
      <w:r>
        <w:rPr>
          <w:rFonts w:ascii="Helvetica" w:hAnsi="Helvetica" w:cs="Helvetica"/>
        </w:rPr>
        <w:t xml:space="preserve">Arrangement takes effect under the National Gas </w:t>
      </w:r>
      <w:r w:rsidRPr="00E90954">
        <w:t>Rules (Revisions Commencement Date).</w:t>
      </w:r>
    </w:p>
    <w:p w:rsidR="00E06C55" w:rsidRDefault="00E06C55" w:rsidP="00E06C55">
      <w:r>
        <w:t>The proposed access arrangement also notes that the NGR allow APTNT to submit proposed revisions at any other time:</w:t>
      </w:r>
    </w:p>
    <w:p w:rsidR="00E06C55" w:rsidRDefault="00E06C55" w:rsidP="00E06C55">
      <w:pPr>
        <w:pStyle w:val="AERquoteindent1"/>
      </w:pPr>
      <w:r>
        <w:t>Service Provider may, at any other time, submit to the AER proposed revisions to this Access Arrangement together with the applicable Access Arrangement Information in accordance with Rule 65. If approved by the AER, those revisions will commence in accordance with the National Gas Rules.</w:t>
      </w:r>
      <w:r>
        <w:rPr>
          <w:rStyle w:val="FootnoteReference"/>
        </w:rPr>
        <w:footnoteReference w:id="47"/>
      </w:r>
    </w:p>
    <w:p w:rsidR="00E06C55" w:rsidRPr="00C823BD" w:rsidRDefault="00E06C55" w:rsidP="00E06C55">
      <w:r>
        <w:t>APTNT’s proposed revision commencement date of 1 July 2021 gives rise to a five year access arrangement period. APTNT noted, however, that it considers there may be scope for a longer access arrangement period up to ten years, if the AER were willing to consider this approach. APTNT considers that the expected contractual and expenditure stability of AGP for the foreseeable future may mean that a longer access arrangement period is consistent with the RPP.</w:t>
      </w:r>
      <w:r>
        <w:rPr>
          <w:rStyle w:val="FootnoteReference"/>
        </w:rPr>
        <w:footnoteReference w:id="48"/>
      </w:r>
    </w:p>
    <w:p w:rsidR="00E06C55" w:rsidRDefault="00E06C55" w:rsidP="00E06C55">
      <w:pPr>
        <w:pStyle w:val="Heading3"/>
      </w:pPr>
      <w:bookmarkStart w:id="68" w:name="_Toc427767091"/>
      <w:bookmarkStart w:id="69" w:name="_Ref430097958"/>
      <w:bookmarkStart w:id="70" w:name="_Toc436044751"/>
      <w:r>
        <w:t>AER’s assessment approach</w:t>
      </w:r>
      <w:bookmarkEnd w:id="68"/>
      <w:bookmarkEnd w:id="69"/>
      <w:bookmarkEnd w:id="70"/>
    </w:p>
    <w:p w:rsidR="00E06C55" w:rsidRDefault="00E06C55" w:rsidP="00E06C55">
      <w:r>
        <w:t>Rule 49 of the NGR requires a full access arrangement to include a review submission date and a revisions commencement date.</w:t>
      </w:r>
    </w:p>
    <w:p w:rsidR="00E06C55" w:rsidRPr="00677861" w:rsidRDefault="00E06C55" w:rsidP="00E06C55">
      <w:r>
        <w:t>Rule 50(1) of the</w:t>
      </w:r>
      <w:r w:rsidRPr="00677861">
        <w:t xml:space="preserve"> NGR provides that, as a general rule:</w:t>
      </w:r>
    </w:p>
    <w:p w:rsidR="00E06C55" w:rsidRPr="00772104" w:rsidRDefault="00E06C55" w:rsidP="00E06C55">
      <w:pPr>
        <w:pStyle w:val="AERbulletlistfirststyle"/>
        <w:numPr>
          <w:ilvl w:val="0"/>
          <w:numId w:val="29"/>
        </w:numPr>
        <w:spacing w:before="0" w:after="200" w:line="288" w:lineRule="auto"/>
        <w:ind w:left="357" w:hanging="357"/>
        <w:jc w:val="both"/>
      </w:pPr>
      <w:r w:rsidRPr="00677861">
        <w:t>a review submission</w:t>
      </w:r>
      <w:r w:rsidRPr="00772104">
        <w:t xml:space="preserve"> date will fall 4 years after the access arrangement took effect or the last revision commencement date; and</w:t>
      </w:r>
    </w:p>
    <w:p w:rsidR="00E06C55" w:rsidRDefault="00E06C55" w:rsidP="00E06C55">
      <w:pPr>
        <w:pStyle w:val="AERbulletlistfirststyle"/>
        <w:numPr>
          <w:ilvl w:val="0"/>
          <w:numId w:val="29"/>
        </w:numPr>
        <w:spacing w:before="0" w:after="200" w:line="288" w:lineRule="auto"/>
        <w:ind w:left="357" w:hanging="357"/>
        <w:jc w:val="both"/>
      </w:pPr>
      <w:r w:rsidRPr="00677861">
        <w:t xml:space="preserve">a revision commencement date will fall 5 years after the access arrangement took effect </w:t>
      </w:r>
      <w:r w:rsidRPr="00772104">
        <w:t>or the last revision commencement date.</w:t>
      </w:r>
      <w:r w:rsidRPr="00772104">
        <w:rPr>
          <w:rStyle w:val="FootnoteReference"/>
        </w:rPr>
        <w:footnoteReference w:id="49"/>
      </w:r>
    </w:p>
    <w:p w:rsidR="00E06C55" w:rsidRDefault="00E06C55" w:rsidP="00E06C55">
      <w:r>
        <w:lastRenderedPageBreak/>
        <w:t>We must accept a proposal made in accordance with this general rule.</w:t>
      </w:r>
      <w:r>
        <w:rPr>
          <w:rStyle w:val="FootnoteReference"/>
        </w:rPr>
        <w:footnoteReference w:id="50"/>
      </w:r>
      <w:r>
        <w:t xml:space="preserve"> We</w:t>
      </w:r>
      <w:r w:rsidRPr="00677861">
        <w:t xml:space="preserve"> may also approve dates that do not conform to the general rule if </w:t>
      </w:r>
      <w:r>
        <w:t>we are</w:t>
      </w:r>
      <w:r w:rsidRPr="00677861">
        <w:t xml:space="preserve"> satisfied that the dates are consistent with the </w:t>
      </w:r>
      <w:r>
        <w:t>NGO</w:t>
      </w:r>
      <w:r w:rsidRPr="00677861">
        <w:t xml:space="preserve"> and the </w:t>
      </w:r>
      <w:r w:rsidR="001A6E7B">
        <w:t>revenue and pricing principles (</w:t>
      </w:r>
      <w:r>
        <w:t>RPP</w:t>
      </w:r>
      <w:r w:rsidR="001A6E7B">
        <w:t>)</w:t>
      </w:r>
      <w:r w:rsidRPr="00677861">
        <w:t>.</w:t>
      </w:r>
      <w:r>
        <w:rPr>
          <w:rStyle w:val="FootnoteReference"/>
        </w:rPr>
        <w:footnoteReference w:id="51"/>
      </w:r>
    </w:p>
    <w:p w:rsidR="00E06C55" w:rsidRPr="00594982" w:rsidRDefault="00E06C55" w:rsidP="00E06C55">
      <w:r>
        <w:t>Under rule 51 of the NGR, the review submission date fixed in an access arrangement advances to an earlier date if the access arrangement provides for acceleration of the review submission date on the occurrence of an approved trigger event, and that trigger occurs prior to the fixed date.</w:t>
      </w:r>
      <w:r>
        <w:rPr>
          <w:rStyle w:val="FootnoteReference"/>
        </w:rPr>
        <w:footnoteReference w:id="52"/>
      </w:r>
      <w:r>
        <w:t xml:space="preserve"> We may insist on the inclusion of trigger events in an access arrangement, and may specify the nature of the trigger events to be included.</w:t>
      </w:r>
      <w:r>
        <w:rPr>
          <w:rStyle w:val="FootnoteReference"/>
        </w:rPr>
        <w:footnoteReference w:id="53"/>
      </w:r>
    </w:p>
    <w:p w:rsidR="00E06C55" w:rsidRDefault="00E06C55" w:rsidP="00E06C55">
      <w:pPr>
        <w:pStyle w:val="Heading3"/>
      </w:pPr>
      <w:bookmarkStart w:id="71" w:name="_Toc427767092"/>
      <w:bookmarkStart w:id="72" w:name="_Toc436044752"/>
      <w:r>
        <w:t>Reasons for draft decision</w:t>
      </w:r>
      <w:bookmarkEnd w:id="71"/>
      <w:bookmarkEnd w:id="72"/>
    </w:p>
    <w:p w:rsidR="00E06C55" w:rsidRPr="009C7144" w:rsidRDefault="00E06C55" w:rsidP="00E06C55">
      <w:r>
        <w:t>In the sections below we consider APTNT’s proposed review submission and revisions commencement dates and its suggestion for an extended access arrangement period, in turn. We also set out our consideration of appropriate triggers for an earlier review of the access arrangement to accommodate the impact of the NEGI on reference services.</w:t>
      </w:r>
    </w:p>
    <w:p w:rsidR="00E06C55" w:rsidRDefault="00E06C55" w:rsidP="00E06C55">
      <w:pPr>
        <w:pStyle w:val="HeadingBoldBlue"/>
      </w:pPr>
      <w:r>
        <w:t>Specification of review submission and revisions commencement dates</w:t>
      </w:r>
    </w:p>
    <w:p w:rsidR="00E06C55" w:rsidRDefault="00E06C55" w:rsidP="00E06C55">
      <w:r>
        <w:t>For the 2016</w:t>
      </w:r>
      <w:r w:rsidR="00402E85" w:rsidRPr="003776B1">
        <w:t>–</w:t>
      </w:r>
      <w:r>
        <w:t>21 access arrangement, APTNT proposed a review submission date of:</w:t>
      </w:r>
    </w:p>
    <w:p w:rsidR="00E06C55" w:rsidRDefault="00E06C55" w:rsidP="00E06C55">
      <w:pPr>
        <w:pStyle w:val="AERquote"/>
      </w:pPr>
      <w:r w:rsidRPr="00BB1836">
        <w:t>on or before 1 July 2020, or four years from the commencement date of this Access Arrangement, whichever is the later (Review Submission Date).</w:t>
      </w:r>
      <w:r>
        <w:rPr>
          <w:rStyle w:val="FootnoteReference"/>
        </w:rPr>
        <w:footnoteReference w:id="54"/>
      </w:r>
    </w:p>
    <w:p w:rsidR="00E06C55" w:rsidRDefault="00E06C55" w:rsidP="00E06C55">
      <w:r>
        <w:t>Rule 3 of the NGR defines a review submission date as ‘</w:t>
      </w:r>
      <w:r w:rsidRPr="006C1B37">
        <w:rPr>
          <w:rStyle w:val="AERtextitalic"/>
        </w:rPr>
        <w:t>a date</w:t>
      </w:r>
      <w:r>
        <w:t xml:space="preserve"> on or before which an access arrangement revision proposal is required to be submitted’.</w:t>
      </w:r>
      <w:r>
        <w:rPr>
          <w:rStyle w:val="FootnoteReference"/>
        </w:rPr>
        <w:footnoteReference w:id="55"/>
      </w:r>
      <w:r>
        <w:t xml:space="preserve"> To </w:t>
      </w:r>
      <w:r w:rsidR="00B16E77">
        <w:t>meet this requirement, we consider APTNT’s access arrangement must include a single date for the submission of revisions</w:t>
      </w:r>
      <w:r>
        <w:t>.</w:t>
      </w:r>
      <w:r w:rsidR="00B16E77">
        <w:t xml:space="preserve"> It is then open to APTNT under rule 52 of the NGR to submit an access arrangement revision proposal prior to that date.</w:t>
      </w:r>
      <w:r>
        <w:t xml:space="preserve"> Our required amendment</w:t>
      </w:r>
      <w:r w:rsidR="00B16E77">
        <w:t xml:space="preserve"> </w:t>
      </w:r>
      <w:r>
        <w:t>is specified in section</w:t>
      </w:r>
      <w:r w:rsidR="0074699E">
        <w:t xml:space="preserve"> </w:t>
      </w:r>
      <w:r w:rsidR="0074699E">
        <w:fldChar w:fldCharType="begin"/>
      </w:r>
      <w:r w:rsidR="0074699E">
        <w:instrText xml:space="preserve"> REF _Ref430702129 \r \h </w:instrText>
      </w:r>
      <w:r w:rsidR="0074699E">
        <w:fldChar w:fldCharType="separate"/>
      </w:r>
      <w:r w:rsidR="00C56761">
        <w:t>12.7.2</w:t>
      </w:r>
      <w:r w:rsidR="0074699E">
        <w:fldChar w:fldCharType="end"/>
      </w:r>
      <w:r w:rsidR="00402E85">
        <w:t xml:space="preserve"> </w:t>
      </w:r>
      <w:r w:rsidR="0074699E">
        <w:t>below</w:t>
      </w:r>
      <w:r>
        <w:t xml:space="preserve">. </w:t>
      </w:r>
    </w:p>
    <w:p w:rsidR="00E06C55" w:rsidRDefault="00E06C55" w:rsidP="00E06C55">
      <w:r>
        <w:t>APTNT</w:t>
      </w:r>
      <w:r w:rsidR="00B16E77">
        <w:t>’s</w:t>
      </w:r>
      <w:r>
        <w:t xml:space="preserve"> proposed</w:t>
      </w:r>
      <w:r w:rsidR="00B16E77">
        <w:t xml:space="preserve"> revision commencement date was ‘</w:t>
      </w:r>
      <w:r w:rsidRPr="006C1B37">
        <w:rPr>
          <w:rStyle w:val="AERtextitalic"/>
        </w:rPr>
        <w:t>the later of</w:t>
      </w:r>
      <w:r w:rsidRPr="00D44C0D">
        <w:t xml:space="preserve"> 1 July 2021 </w:t>
      </w:r>
      <w:r w:rsidRPr="006C1B37">
        <w:rPr>
          <w:rStyle w:val="AERtextitalic"/>
        </w:rPr>
        <w:t>and the date on which the approval by the AER of the revisions to the Access Arrangement takes effect under the National Gas Rules</w:t>
      </w:r>
      <w:r w:rsidRPr="00D44C0D">
        <w:t xml:space="preserve"> (Revisions Commencement Date)</w:t>
      </w:r>
      <w:r w:rsidR="00B16E77">
        <w:t>’</w:t>
      </w:r>
      <w:r w:rsidRPr="00D44C0D">
        <w:t>.</w:t>
      </w:r>
      <w:r>
        <w:rPr>
          <w:rStyle w:val="FootnoteReference"/>
        </w:rPr>
        <w:footnoteReference w:id="56"/>
      </w:r>
      <w:r w:rsidR="00B16E77">
        <w:t xml:space="preserve"> </w:t>
      </w:r>
      <w:r w:rsidRPr="00D44C0D">
        <w:t xml:space="preserve">Rule 3 of the NGR defines the revision commencement date for an applicable access </w:t>
      </w:r>
      <w:r w:rsidRPr="00D44C0D">
        <w:lastRenderedPageBreak/>
        <w:t xml:space="preserve">arrangement as the date fixed in the access arrangement as the date on which revisions resulting from a review of the access arrangement are </w:t>
      </w:r>
      <w:r w:rsidRPr="009C7144">
        <w:rPr>
          <w:rStyle w:val="Emphasis"/>
        </w:rPr>
        <w:t>intended</w:t>
      </w:r>
      <w:r w:rsidR="006C1B37">
        <w:t xml:space="preserve"> to take effect. </w:t>
      </w:r>
      <w:r w:rsidRPr="00D44C0D">
        <w:t>In doing so, it contemplates a single</w:t>
      </w:r>
      <w:r w:rsidR="00B16E77">
        <w:t>, fixed</w:t>
      </w:r>
      <w:r w:rsidRPr="00D44C0D">
        <w:t xml:space="preserve"> date. </w:t>
      </w:r>
      <w:r w:rsidR="00B16E77">
        <w:t xml:space="preserve">Our required amendment is specified in section </w:t>
      </w:r>
      <w:r w:rsidR="00B16E77">
        <w:fldChar w:fldCharType="begin"/>
      </w:r>
      <w:r w:rsidR="00B16E77">
        <w:instrText xml:space="preserve"> REF _Ref430702129 \r \h </w:instrText>
      </w:r>
      <w:r w:rsidR="00B16E77">
        <w:fldChar w:fldCharType="separate"/>
      </w:r>
      <w:r w:rsidR="00C56761">
        <w:t>12.7.2</w:t>
      </w:r>
      <w:r w:rsidR="00B16E77">
        <w:fldChar w:fldCharType="end"/>
      </w:r>
      <w:r w:rsidR="00B16E77">
        <w:t xml:space="preserve"> below.</w:t>
      </w:r>
    </w:p>
    <w:p w:rsidR="00E06C55" w:rsidRDefault="00E06C55" w:rsidP="00E06C55">
      <w:pPr>
        <w:pStyle w:val="HeadingBoldBlue"/>
      </w:pPr>
      <w:r>
        <w:t>Length of the access arrangement period</w:t>
      </w:r>
    </w:p>
    <w:p w:rsidR="00E06C55" w:rsidRDefault="00E06C55" w:rsidP="00E06C55">
      <w:r>
        <w:t>APTNT has suggested that an access arrangement period covering a period longer than five years could be considered by the AER.</w:t>
      </w:r>
      <w:r w:rsidRPr="00E80A92">
        <w:rPr>
          <w:rStyle w:val="FootnoteReference"/>
        </w:rPr>
        <w:t xml:space="preserve"> </w:t>
      </w:r>
      <w:r>
        <w:rPr>
          <w:rStyle w:val="FootnoteReference"/>
        </w:rPr>
        <w:footnoteReference w:id="57"/>
      </w:r>
      <w:r>
        <w:t xml:space="preserve"> The option of proposing a longer period was provided in the regulatory information notice (RIN) served on APTNT for this review. The RIN specified the information that would be required for both a five-year and a 10-year proposal. </w:t>
      </w:r>
      <w:r w:rsidRPr="00C72701">
        <w:t xml:space="preserve">APTNT chose to submit a proposal </w:t>
      </w:r>
      <w:r>
        <w:t>for a five year access arrangement period</w:t>
      </w:r>
      <w:r w:rsidR="00B6605D">
        <w:t>, and we have accepted that element of its proposal</w:t>
      </w:r>
      <w:r w:rsidRPr="00C72701">
        <w:t xml:space="preserve">. </w:t>
      </w:r>
      <w:r w:rsidR="00B6605D">
        <w:t>Further, w</w:t>
      </w:r>
      <w:r w:rsidRPr="00C72701">
        <w:t>e have only been able to consult on</w:t>
      </w:r>
      <w:r>
        <w:t xml:space="preserve"> its </w:t>
      </w:r>
      <w:r w:rsidRPr="00C72701">
        <w:t>proposal for the five years from 2016 to 2021.</w:t>
      </w:r>
      <w:r>
        <w:t xml:space="preserve"> </w:t>
      </w:r>
    </w:p>
    <w:p w:rsidR="00E06C55" w:rsidRDefault="00E06C55" w:rsidP="00E06C55">
      <w:pPr>
        <w:pStyle w:val="HeadingBoldBlue"/>
      </w:pPr>
      <w:r>
        <w:t>Acceleration of review submission date</w:t>
      </w:r>
    </w:p>
    <w:p w:rsidR="00E06C55" w:rsidRDefault="00E06C55" w:rsidP="00E06C55">
      <w:r>
        <w:t xml:space="preserve">As discussed in section </w:t>
      </w:r>
      <w:r>
        <w:fldChar w:fldCharType="begin"/>
      </w:r>
      <w:r>
        <w:instrText xml:space="preserve"> REF _Ref430091119 \r \h </w:instrText>
      </w:r>
      <w:r>
        <w:fldChar w:fldCharType="separate"/>
      </w:r>
      <w:r w:rsidR="00C56761">
        <w:t>12.5</w:t>
      </w:r>
      <w:r>
        <w:fldChar w:fldCharType="end"/>
      </w:r>
      <w:r>
        <w:t xml:space="preserve"> above, the installation of the NEGI and its connection to the </w:t>
      </w:r>
      <w:r w:rsidR="005C4885">
        <w:t>AGP</w:t>
      </w:r>
      <w:r>
        <w:t xml:space="preserve"> are expected to occur within the 2016</w:t>
      </w:r>
      <w:r w:rsidR="00402E85" w:rsidRPr="00402E85">
        <w:t>–</w:t>
      </w:r>
      <w:r>
        <w:t>21 access arrangement period. This has potential implications for this access arrangement, in particular for the forecast demand used to calculate reference tariffs. There will not be sufficient certainty as to what—and how material—these implications might be for them to be properly considered in revisions commencing 1 July 2016. Nor do we consider options for addressing these within the 2016</w:t>
      </w:r>
      <w:r w:rsidR="00402E85" w:rsidRPr="003776B1">
        <w:t>–</w:t>
      </w:r>
      <w:r>
        <w:t xml:space="preserve">21 access arrangement period through the extensions and expansions policy (discussed in section </w:t>
      </w:r>
      <w:r>
        <w:fldChar w:fldCharType="begin"/>
      </w:r>
      <w:r>
        <w:instrText xml:space="preserve"> REF _Ref430696388 \r \h </w:instrText>
      </w:r>
      <w:r>
        <w:fldChar w:fldCharType="separate"/>
      </w:r>
      <w:r w:rsidR="00C56761">
        <w:t>12.5.4</w:t>
      </w:r>
      <w:r>
        <w:fldChar w:fldCharType="end"/>
      </w:r>
      <w:r>
        <w:t xml:space="preserve"> above) are appropriate.</w:t>
      </w:r>
    </w:p>
    <w:p w:rsidR="00E06C55" w:rsidRDefault="00E06C55" w:rsidP="00E06C55">
      <w:r>
        <w:t xml:space="preserve">Submissions recognised the difficulty of including an informed assessment of the implications of the NEGI—in terms of forecast expenditure and demand—in APTNT’s proposal and reference tariffs at this time. APTNT has not sought to include forecast expenditure or demand associated with the NEGI in its forecast revenue requirement. </w:t>
      </w:r>
    </w:p>
    <w:p w:rsidR="00E06C55" w:rsidRDefault="00DB0894" w:rsidP="00E06C55">
      <w:r>
        <w:t>The implications the NEGI may have for these and other elements of the access arrangement are unclear, and cannot be reliably forecast at this time. For these reasons we do not consider it possible to account for the impact of the NEGI in the forecast revenue requirement and reference tariffs approved in this review.</w:t>
      </w:r>
    </w:p>
    <w:p w:rsidR="00E06C55" w:rsidRDefault="00E06C55" w:rsidP="00E06C55">
      <w:r>
        <w:t>Alternative approaches to the extensions and expansions policy put forward in submissions included a number of suggestions on how to address this uncertainty:</w:t>
      </w:r>
    </w:p>
    <w:p w:rsidR="00E06C55" w:rsidRDefault="00E06C55" w:rsidP="00E06C55">
      <w:pPr>
        <w:pStyle w:val="AERbulletlistfirststyle"/>
      </w:pPr>
      <w:r>
        <w:t>the form of control (currently a weighted average price cap)</w:t>
      </w:r>
      <w:r>
        <w:rPr>
          <w:rStyle w:val="FootnoteReference"/>
        </w:rPr>
        <w:footnoteReference w:id="58"/>
      </w:r>
    </w:p>
    <w:p w:rsidR="00E06C55" w:rsidRDefault="00E06C55" w:rsidP="00E06C55">
      <w:pPr>
        <w:pStyle w:val="AERbulletlistfirststyle"/>
      </w:pPr>
      <w:r>
        <w:t>pass through provisions</w:t>
      </w:r>
      <w:r>
        <w:rPr>
          <w:rStyle w:val="FootnoteReference"/>
        </w:rPr>
        <w:footnoteReference w:id="59"/>
      </w:r>
    </w:p>
    <w:p w:rsidR="00E06C55" w:rsidRDefault="00E06C55" w:rsidP="00E06C55">
      <w:pPr>
        <w:pStyle w:val="AERbulletlistfirststyle"/>
      </w:pPr>
      <w:r>
        <w:lastRenderedPageBreak/>
        <w:t>a shorter access arrangement period</w:t>
      </w:r>
      <w:r>
        <w:rPr>
          <w:rStyle w:val="FootnoteReference"/>
        </w:rPr>
        <w:footnoteReference w:id="60"/>
      </w:r>
    </w:p>
    <w:p w:rsidR="00E06C55" w:rsidRDefault="00E06C55" w:rsidP="00E06C55">
      <w:pPr>
        <w:pStyle w:val="AERbulletlistfirststyle"/>
      </w:pPr>
      <w:r>
        <w:t>a re-opening of the access arrangement once more information is available.</w:t>
      </w:r>
      <w:r>
        <w:rPr>
          <w:rStyle w:val="FootnoteReference"/>
        </w:rPr>
        <w:footnoteReference w:id="61"/>
      </w:r>
    </w:p>
    <w:p w:rsidR="00E06C55" w:rsidRDefault="00E06C55" w:rsidP="00E06C55">
      <w:r>
        <w:t xml:space="preserve">Of these, we do not consider an alternative form of control is required, or that it would necessarily address the issue at hand. The same difficulties in developing and assessing changes in forecast demand and expenditure relating to the connection of the NEGI to the AGP would arise under other forms of control. </w:t>
      </w:r>
    </w:p>
    <w:p w:rsidR="00E06C55" w:rsidRDefault="00E06C55" w:rsidP="00E06C55">
      <w:r>
        <w:t xml:space="preserve">Nor do we consider the implications of the NEGI to be sufficiently certain to limit consideration to a tariff variation or cost pass through event to address changes in forecast demand or expenditure. Other elements of the approved access arrangement—both tariff and non-tariff—may also be affected. Further, the compressed timeframes for submission and assessment of pass through applications are unlikely to accommodate robust and transparent consultation on the issues. </w:t>
      </w:r>
    </w:p>
    <w:p w:rsidR="00E06C55" w:rsidRDefault="00E06C55" w:rsidP="00E06C55">
      <w:r>
        <w:t>Stakeholders have suggested we consider adjusting the length of the access arrangement period to address this uncertainty. A full access arrangement cannot include an expiry date.</w:t>
      </w:r>
      <w:r>
        <w:rPr>
          <w:rStyle w:val="FootnoteReference"/>
        </w:rPr>
        <w:footnoteReference w:id="62"/>
      </w:r>
      <w:r>
        <w:t xml:space="preserve"> As explained in section </w:t>
      </w:r>
      <w:r>
        <w:fldChar w:fldCharType="begin"/>
      </w:r>
      <w:r>
        <w:instrText xml:space="preserve"> REF _Ref430097958 \r \h </w:instrText>
      </w:r>
      <w:r>
        <w:fldChar w:fldCharType="separate"/>
      </w:r>
      <w:r w:rsidR="00C56761">
        <w:t>12.6.3</w:t>
      </w:r>
      <w:r>
        <w:fldChar w:fldCharType="end"/>
      </w:r>
      <w:r>
        <w:t xml:space="preserve"> (above), we are limited in our discretion to accept or reject a proposed review submission or revision commencement date where—as in this case—it complies with the NGR.</w:t>
      </w:r>
      <w:r>
        <w:rPr>
          <w:rStyle w:val="FootnoteReference"/>
        </w:rPr>
        <w:footnoteReference w:id="63"/>
      </w:r>
      <w:r>
        <w:t xml:space="preserve"> Nor do we consider it possible to specify an appropriate date for review and commencement of revisions with any certainty at this time. </w:t>
      </w:r>
    </w:p>
    <w:p w:rsidR="00E06C55" w:rsidRDefault="00E06C55" w:rsidP="00E06C55">
      <w:r>
        <w:t xml:space="preserve">We do, however, consider there is merit in providing for a further review of the access arrangement when the implications of the NEGI for services provided on the AGP are more certain. </w:t>
      </w:r>
    </w:p>
    <w:p w:rsidR="00E06C55" w:rsidRDefault="00E06C55" w:rsidP="00E06C55">
      <w:r>
        <w:t>Under the NGR APTNT may, but is not required to, submit revisions to its access arrangement prior to the approved review commencement date.</w:t>
      </w:r>
      <w:r>
        <w:rPr>
          <w:rStyle w:val="FootnoteReference"/>
        </w:rPr>
        <w:footnoteReference w:id="64"/>
      </w:r>
      <w:r>
        <w:t xml:space="preserve"> It would be open to APTNT to do so at an appropriate point, so that the impact of the NEGI could be reflected in a revised access arrangement. Where warranted, however, the NGR allow an access arrangement to specify particular trigger events, the occurrence of which would require early submission.</w:t>
      </w:r>
      <w:r w:rsidRPr="000E3896">
        <w:rPr>
          <w:rStyle w:val="FootnoteReference"/>
        </w:rPr>
        <w:t xml:space="preserve"> </w:t>
      </w:r>
      <w:r>
        <w:rPr>
          <w:rStyle w:val="FootnoteReference"/>
        </w:rPr>
        <w:footnoteReference w:id="65"/>
      </w:r>
      <w:r>
        <w:t xml:space="preserve"> The NGR allow us to insist on the inclusion of trigger events in an access arrangement, and may specify the nature of trigger events to be included.</w:t>
      </w:r>
      <w:r>
        <w:rPr>
          <w:rStyle w:val="FootnoteReference"/>
        </w:rPr>
        <w:footnoteReference w:id="66"/>
      </w:r>
      <w:r>
        <w:t xml:space="preserve"> We consider the certainty that this would provide is preferable to leaving early submission of revisions to APTNT’s discretion.</w:t>
      </w:r>
    </w:p>
    <w:p w:rsidR="00E06C55" w:rsidRDefault="00E06C55" w:rsidP="00E06C55">
      <w:r>
        <w:lastRenderedPageBreak/>
        <w:t>A trigger event may consist of any significant circumstance or conjunction of circumstances. The NGR provide the following examples:</w:t>
      </w:r>
      <w:r>
        <w:rPr>
          <w:rStyle w:val="FootnoteReference"/>
        </w:rPr>
        <w:footnoteReference w:id="67"/>
      </w:r>
    </w:p>
    <w:p w:rsidR="00E06C55" w:rsidRDefault="00E06C55" w:rsidP="00E06C55">
      <w:pPr>
        <w:pStyle w:val="AERbulletlistfirststyle"/>
      </w:pPr>
      <w:r>
        <w:t>a re-direction of the flow of natural gas through the pipeline</w:t>
      </w:r>
    </w:p>
    <w:p w:rsidR="00E06C55" w:rsidRDefault="00E06C55" w:rsidP="00E06C55">
      <w:pPr>
        <w:pStyle w:val="AERbulletlistfirststyle"/>
      </w:pPr>
      <w:r>
        <w:t>a competing source of natural gas becomes available to customers served by the pipeline</w:t>
      </w:r>
    </w:p>
    <w:p w:rsidR="00E06C55" w:rsidRDefault="00E06C55" w:rsidP="00E06C55">
      <w:pPr>
        <w:pStyle w:val="AERbulletlistfirststyle"/>
      </w:pPr>
      <w:r>
        <w:t>a significant extension, expansion or interconnection occurs.</w:t>
      </w:r>
    </w:p>
    <w:p w:rsidR="00E06C55" w:rsidRDefault="00E06C55" w:rsidP="00E06C55">
      <w:r>
        <w:t xml:space="preserve">We consider the connection of the NEGI to the </w:t>
      </w:r>
      <w:r w:rsidR="005C4885">
        <w:t>AGP</w:t>
      </w:r>
      <w:r>
        <w:t xml:space="preserve"> is appropriately considered in this context. </w:t>
      </w:r>
    </w:p>
    <w:p w:rsidR="00E06C55" w:rsidRDefault="00E06C55" w:rsidP="00E06C55">
      <w:r>
        <w:t>We therefore require APTNT to amend clause 1.6 of its access arrangement to include the following trigger event for acceleration of the review submission date:</w:t>
      </w:r>
    </w:p>
    <w:p w:rsidR="00175C80" w:rsidRPr="009F13D6" w:rsidRDefault="00175C80" w:rsidP="009F13D6">
      <w:pPr>
        <w:pStyle w:val="AERquote"/>
      </w:pPr>
      <w:r w:rsidRPr="009F13D6">
        <w:t>The Review Submission Date will be accelerated under Rule 51 on written notification by the AER that one of the following events has occurred:</w:t>
      </w:r>
    </w:p>
    <w:p w:rsidR="00175C80" w:rsidRPr="009F13D6" w:rsidRDefault="00175C80" w:rsidP="009F13D6">
      <w:pPr>
        <w:pStyle w:val="AERquote"/>
      </w:pPr>
      <w:r w:rsidRPr="009F13D6">
        <w:t>(a) the interconnection of another pipeline with the Pipeline; or</w:t>
      </w:r>
    </w:p>
    <w:p w:rsidR="00175C80" w:rsidRPr="009F13D6" w:rsidRDefault="00175C80" w:rsidP="009F13D6">
      <w:pPr>
        <w:pStyle w:val="AERquote"/>
      </w:pPr>
      <w:r w:rsidRPr="009F13D6">
        <w:t xml:space="preserve">(b) the introduction of a significant new source of gas supply to one or more of the markets to which gas is delivered from the Pipeline; </w:t>
      </w:r>
    </w:p>
    <w:p w:rsidR="00175C80" w:rsidRPr="009F13D6" w:rsidRDefault="00175C80" w:rsidP="009F13D6">
      <w:pPr>
        <w:pStyle w:val="AERquote"/>
      </w:pPr>
      <w:r w:rsidRPr="009F13D6">
        <w:t>that substantially changes the types of Services that are likely to be sought by the market or has a substantial effect on the volume and/or direction of flow of natural gas through all or part of the Pipeline.</w:t>
      </w:r>
    </w:p>
    <w:p w:rsidR="00175C80" w:rsidRPr="009F13D6" w:rsidRDefault="00175C80" w:rsidP="009F13D6">
      <w:pPr>
        <w:pStyle w:val="AERquote"/>
      </w:pPr>
      <w:r w:rsidRPr="009F13D6">
        <w:t>Such notice will not be given within 18 months of the Review Submission Date in this clause 1.6.</w:t>
      </w:r>
    </w:p>
    <w:p w:rsidR="0074699E" w:rsidRDefault="0074699E" w:rsidP="00E06C55">
      <w:r>
        <w:t xml:space="preserve">This trigger event is included in required amendment 8 in section </w:t>
      </w:r>
      <w:r>
        <w:fldChar w:fldCharType="begin"/>
      </w:r>
      <w:r>
        <w:instrText xml:space="preserve"> REF _Ref430702129 \r \h </w:instrText>
      </w:r>
      <w:r>
        <w:fldChar w:fldCharType="separate"/>
      </w:r>
      <w:r w:rsidR="00C56761">
        <w:t>12.7.2</w:t>
      </w:r>
      <w:r>
        <w:fldChar w:fldCharType="end"/>
      </w:r>
      <w:r>
        <w:t xml:space="preserve"> below.</w:t>
      </w:r>
    </w:p>
    <w:p w:rsidR="009F13D6" w:rsidRDefault="00E06C55" w:rsidP="00E06C55">
      <w:r>
        <w:t xml:space="preserve">The effect of accelerating the review submission date in this way is to trigger a review of the access arrangement as a whole. </w:t>
      </w:r>
      <w:r w:rsidR="009F13D6">
        <w:t>As APTNT has noted, it believes that six months to prepare a submission in response to this trigger would be the minimum period required. It also considers, and we agree, that the long term interests of consumers are not served by the operation of a trigger event that only advances the review submission date by that six month period: the trigger event should not be able to advance the review submission date by less than 12 months.</w:t>
      </w:r>
      <w:r w:rsidR="009F13D6">
        <w:rPr>
          <w:rStyle w:val="FootnoteReference"/>
        </w:rPr>
        <w:footnoteReference w:id="68"/>
      </w:r>
      <w:r w:rsidR="009F13D6">
        <w:t xml:space="preserve"> For that reason we have limited the application of the trigger event so that it cannot be called upon </w:t>
      </w:r>
      <w:r w:rsidR="004A27DB">
        <w:t>less than 18 months before the end of the access arrangement period</w:t>
      </w:r>
      <w:r w:rsidR="009F13D6">
        <w:t>.</w:t>
      </w:r>
    </w:p>
    <w:p w:rsidR="00E06C55" w:rsidRDefault="00E06C55" w:rsidP="00E06C55">
      <w:r>
        <w:t>In providing written notification</w:t>
      </w:r>
      <w:r w:rsidR="009F13D6">
        <w:t xml:space="preserve"> in accordance with this trigger</w:t>
      </w:r>
      <w:r>
        <w:t xml:space="preserve">, we will specify a process for consultation with APTNT on, and service of, a </w:t>
      </w:r>
      <w:r w:rsidR="009F13D6">
        <w:t>RIN</w:t>
      </w:r>
      <w:r>
        <w:t xml:space="preserve"> setting out the information to be included in proposed revisions to the access arrangement in response to this event. The </w:t>
      </w:r>
      <w:r w:rsidR="009F13D6">
        <w:t>RIN</w:t>
      </w:r>
      <w:r>
        <w:t xml:space="preserve"> will allow a period for submission of revisions that is proportionate to the </w:t>
      </w:r>
      <w:r>
        <w:lastRenderedPageBreak/>
        <w:t>information required</w:t>
      </w:r>
      <w:r w:rsidR="009F13D6">
        <w:t>.</w:t>
      </w:r>
      <w:r>
        <w:t xml:space="preserve"> The </w:t>
      </w:r>
      <w:r w:rsidR="009F13D6">
        <w:t xml:space="preserve">RIN </w:t>
      </w:r>
      <w:r>
        <w:t>will be published on our website together with a timeline for our review.</w:t>
      </w:r>
    </w:p>
    <w:p w:rsidR="00BD654C" w:rsidRDefault="00BD654C" w:rsidP="00835FAC">
      <w:pPr>
        <w:pStyle w:val="Heading2"/>
      </w:pPr>
      <w:bookmarkStart w:id="73" w:name="_Ref430005724"/>
      <w:bookmarkStart w:id="74" w:name="_Ref430342180"/>
      <w:bookmarkStart w:id="75" w:name="_Toc436044753"/>
      <w:r>
        <w:t>Revisions</w:t>
      </w:r>
      <w:bookmarkEnd w:id="73"/>
      <w:bookmarkEnd w:id="74"/>
      <w:bookmarkEnd w:id="75"/>
    </w:p>
    <w:p w:rsidR="003776B1" w:rsidRDefault="003776B1" w:rsidP="00AC63C2">
      <w:pPr>
        <w:pStyle w:val="Heading3"/>
      </w:pPr>
      <w:bookmarkStart w:id="76" w:name="_Ref430700469"/>
      <w:bookmarkStart w:id="77" w:name="_Toc436044754"/>
      <w:r w:rsidRPr="003776B1">
        <w:t xml:space="preserve">Revisions to the </w:t>
      </w:r>
      <w:r>
        <w:t>terms and conditions</w:t>
      </w:r>
      <w:bookmarkEnd w:id="76"/>
      <w:bookmarkEnd w:id="77"/>
    </w:p>
    <w:p w:rsidR="003776B1" w:rsidRDefault="003776B1" w:rsidP="007D773B">
      <w:r w:rsidRPr="003776B1">
        <w:t xml:space="preserve">We require </w:t>
      </w:r>
      <w:r>
        <w:t>APTNT</w:t>
      </w:r>
      <w:r w:rsidRPr="003776B1">
        <w:t xml:space="preserve"> to make the following amendments and any additional consequential changes to its 2016–21 </w:t>
      </w:r>
      <w:r>
        <w:t>terms and conditions</w:t>
      </w:r>
      <w:r w:rsidRPr="003776B1">
        <w:t xml:space="preserve"> to make it</w:t>
      </w:r>
      <w:r w:rsidR="00B14FDD">
        <w:t>s proposal</w:t>
      </w:r>
      <w:r w:rsidRPr="003776B1">
        <w:t xml:space="preserve"> acceptable</w:t>
      </w:r>
      <w:r w:rsidR="00B14FDD">
        <w:t>:</w:t>
      </w:r>
    </w:p>
    <w:tbl>
      <w:tblPr>
        <w:tblStyle w:val="AERtable-text0"/>
        <w:tblW w:w="0" w:type="auto"/>
        <w:tblLook w:val="04A0" w:firstRow="1" w:lastRow="0" w:firstColumn="1" w:lastColumn="0" w:noHBand="0" w:noVBand="1"/>
      </w:tblPr>
      <w:tblGrid>
        <w:gridCol w:w="1372"/>
        <w:gridCol w:w="7321"/>
      </w:tblGrid>
      <w:tr w:rsidR="003776B1" w:rsidRPr="00D534D9" w:rsidTr="006C1B37">
        <w:trPr>
          <w:cnfStyle w:val="100000000000" w:firstRow="1" w:lastRow="0" w:firstColumn="0" w:lastColumn="0" w:oddVBand="0" w:evenVBand="0" w:oddHBand="0" w:evenHBand="0" w:firstRowFirstColumn="0" w:firstRowLastColumn="0" w:lastRowFirstColumn="0" w:lastRowLastColumn="0"/>
          <w:tblHeader/>
        </w:trPr>
        <w:tc>
          <w:tcPr>
            <w:tcW w:w="1101" w:type="dxa"/>
          </w:tcPr>
          <w:p w:rsidR="003776B1" w:rsidRPr="00D534D9" w:rsidRDefault="00CD48E4" w:rsidP="00CD48E4">
            <w:pPr>
              <w:pStyle w:val="ListNumber"/>
              <w:numPr>
                <w:ilvl w:val="0"/>
                <w:numId w:val="0"/>
              </w:numPr>
              <w:rPr>
                <w:color w:val="FFFFFF" w:themeColor="background1"/>
              </w:rPr>
            </w:pPr>
            <w:r w:rsidRPr="00CD48E4">
              <w:rPr>
                <w:color w:val="FFFFFF" w:themeColor="background1"/>
                <w:sz w:val="20"/>
              </w:rPr>
              <w:t>Amendment number</w:t>
            </w:r>
          </w:p>
        </w:tc>
        <w:tc>
          <w:tcPr>
            <w:tcW w:w="7592" w:type="dxa"/>
          </w:tcPr>
          <w:p w:rsidR="003776B1" w:rsidRPr="00CD48E4" w:rsidRDefault="00CD48E4" w:rsidP="00BB71AD">
            <w:pPr>
              <w:pStyle w:val="AERquote"/>
              <w:rPr>
                <w:rStyle w:val="Strong"/>
                <w:b/>
                <w:color w:val="FFFFFF" w:themeColor="background1"/>
              </w:rPr>
            </w:pPr>
            <w:r>
              <w:rPr>
                <w:rStyle w:val="Strong"/>
                <w:b/>
                <w:color w:val="FFFFFF" w:themeColor="background1"/>
              </w:rPr>
              <w:t>Marked up amendment to the clause or provision</w:t>
            </w:r>
          </w:p>
        </w:tc>
      </w:tr>
      <w:tr w:rsidR="003776B1" w:rsidTr="00BB71AD">
        <w:tc>
          <w:tcPr>
            <w:tcW w:w="1101" w:type="dxa"/>
          </w:tcPr>
          <w:p w:rsidR="003776B1" w:rsidRDefault="003776B1" w:rsidP="00BB71AD">
            <w:pPr>
              <w:pStyle w:val="ListNumber"/>
            </w:pPr>
          </w:p>
        </w:tc>
        <w:tc>
          <w:tcPr>
            <w:tcW w:w="7592" w:type="dxa"/>
          </w:tcPr>
          <w:p w:rsidR="003776B1" w:rsidRPr="003776B1" w:rsidRDefault="003776B1" w:rsidP="00AF186C">
            <w:pPr>
              <w:pStyle w:val="AERquote"/>
              <w:rPr>
                <w:rStyle w:val="Strong"/>
              </w:rPr>
            </w:pPr>
            <w:r w:rsidRPr="003776B1">
              <w:rPr>
                <w:rStyle w:val="Strong"/>
              </w:rPr>
              <w:t>Clause 69</w:t>
            </w:r>
          </w:p>
          <w:p w:rsidR="003776B1" w:rsidRDefault="003776B1" w:rsidP="00BB71AD">
            <w:pPr>
              <w:pStyle w:val="AERquote"/>
            </w:pPr>
            <w:r>
              <w:t>69 The Transportation Agreement may, by written notice, be terminated or suspended for default by a Party, after a 7 business day cure period for a financial default (including if a Party is Insolvent) and after a 21 business day cure period for a non-financial default. If a non-financial default is not capable of remedy then a non-defaulting Party may terminate or suspend the Transportation Agreement, after the 21 business day cure period, if the defaulting Party does not:</w:t>
            </w:r>
          </w:p>
          <w:p w:rsidR="003776B1" w:rsidRDefault="003776B1" w:rsidP="00BB71AD">
            <w:pPr>
              <w:pStyle w:val="AERquoteindent2"/>
            </w:pPr>
            <w:r>
              <w:t>(a) take the steps and do the things that the non-defaulting Party, acting reasonably, requires to ensure that the event of default will not be repeated; and</w:t>
            </w:r>
          </w:p>
          <w:p w:rsidR="003776B1" w:rsidRDefault="003776B1" w:rsidP="00BB71AD">
            <w:pPr>
              <w:pStyle w:val="AERquoteindent2"/>
            </w:pPr>
            <w:r>
              <w:t>(b) pay the non-defaulting party the sum (if any) that the non-defaulting party reasonably determines is required to compensate the non-defaulting party for the event of default and its consequences.</w:t>
            </w:r>
          </w:p>
          <w:p w:rsidR="003776B1" w:rsidRPr="00CD48E4" w:rsidRDefault="003776B1" w:rsidP="0031564E">
            <w:pPr>
              <w:pStyle w:val="AERquote"/>
              <w:rPr>
                <w:color w:val="FF0000"/>
                <w:u w:val="single"/>
              </w:rPr>
            </w:pPr>
            <w:r w:rsidRPr="00CD48E4">
              <w:rPr>
                <w:rStyle w:val="AERtexthighlight"/>
                <w:color w:val="FF0000"/>
                <w:u w:val="single"/>
                <w:shd w:val="clear" w:color="auto" w:fill="auto"/>
              </w:rPr>
              <w:t xml:space="preserve">This clause does not apply to a </w:t>
            </w:r>
            <w:r w:rsidR="00BB71AD" w:rsidRPr="00CD48E4">
              <w:rPr>
                <w:rStyle w:val="AERtexthighlight"/>
                <w:color w:val="FF0000"/>
                <w:u w:val="single"/>
                <w:shd w:val="clear" w:color="auto" w:fill="auto"/>
              </w:rPr>
              <w:t>default</w:t>
            </w:r>
            <w:r w:rsidRPr="00CD48E4">
              <w:rPr>
                <w:rStyle w:val="AERtexthighlight"/>
                <w:color w:val="FF0000"/>
                <w:u w:val="single"/>
                <w:shd w:val="clear" w:color="auto" w:fill="auto"/>
              </w:rPr>
              <w:t xml:space="preserve"> where </w:t>
            </w:r>
            <w:r w:rsidR="00BB71AD" w:rsidRPr="00CD48E4">
              <w:rPr>
                <w:rStyle w:val="AERtexthighlight"/>
                <w:color w:val="FF0000"/>
                <w:u w:val="single"/>
                <w:shd w:val="clear" w:color="auto" w:fill="auto"/>
              </w:rPr>
              <w:t xml:space="preserve">either Party </w:t>
            </w:r>
            <w:r w:rsidRPr="00CD48E4">
              <w:rPr>
                <w:rStyle w:val="AERtexthighlight"/>
                <w:color w:val="FF0000"/>
                <w:u w:val="single"/>
                <w:shd w:val="clear" w:color="auto" w:fill="auto"/>
              </w:rPr>
              <w:t xml:space="preserve">has disputed that </w:t>
            </w:r>
            <w:r w:rsidR="00BB71AD" w:rsidRPr="00CD48E4">
              <w:rPr>
                <w:rStyle w:val="AERtexthighlight"/>
                <w:color w:val="FF0000"/>
                <w:u w:val="single"/>
                <w:shd w:val="clear" w:color="auto" w:fill="auto"/>
              </w:rPr>
              <w:t>default</w:t>
            </w:r>
            <w:r w:rsidRPr="00CD48E4">
              <w:rPr>
                <w:rStyle w:val="AERtexthighlight"/>
                <w:color w:val="FF0000"/>
                <w:u w:val="single"/>
                <w:shd w:val="clear" w:color="auto" w:fill="auto"/>
              </w:rPr>
              <w:t xml:space="preserve">, until such time as </w:t>
            </w:r>
            <w:r w:rsidR="00BB71AD" w:rsidRPr="00CD48E4">
              <w:rPr>
                <w:rStyle w:val="AERtexthighlight"/>
                <w:color w:val="FF0000"/>
                <w:u w:val="single"/>
                <w:shd w:val="clear" w:color="auto" w:fill="auto"/>
              </w:rPr>
              <w:t>the dispute is resolved in accordance with</w:t>
            </w:r>
            <w:r w:rsidR="0031564E">
              <w:rPr>
                <w:rStyle w:val="AERtexthighlight"/>
                <w:color w:val="FF0000"/>
                <w:u w:val="single"/>
                <w:shd w:val="clear" w:color="auto" w:fill="auto"/>
              </w:rPr>
              <w:t xml:space="preserve"> clauses 66 to 68.</w:t>
            </w:r>
          </w:p>
        </w:tc>
      </w:tr>
      <w:tr w:rsidR="003776B1" w:rsidTr="00BB71AD">
        <w:trPr>
          <w:cnfStyle w:val="000000010000" w:firstRow="0" w:lastRow="0" w:firstColumn="0" w:lastColumn="0" w:oddVBand="0" w:evenVBand="0" w:oddHBand="0" w:evenHBand="1" w:firstRowFirstColumn="0" w:firstRowLastColumn="0" w:lastRowFirstColumn="0" w:lastRowLastColumn="0"/>
        </w:trPr>
        <w:tc>
          <w:tcPr>
            <w:tcW w:w="1101" w:type="dxa"/>
          </w:tcPr>
          <w:p w:rsidR="003776B1" w:rsidRDefault="003776B1" w:rsidP="00BB71AD">
            <w:pPr>
              <w:pStyle w:val="ListNumber"/>
            </w:pPr>
          </w:p>
        </w:tc>
        <w:tc>
          <w:tcPr>
            <w:tcW w:w="7592" w:type="dxa"/>
          </w:tcPr>
          <w:p w:rsidR="003776B1" w:rsidRPr="006B190D" w:rsidRDefault="003776B1" w:rsidP="00AF186C">
            <w:pPr>
              <w:pStyle w:val="AERquote"/>
              <w:rPr>
                <w:rStyle w:val="Strong"/>
              </w:rPr>
            </w:pPr>
            <w:r w:rsidRPr="006B190D">
              <w:rPr>
                <w:rStyle w:val="Strong"/>
              </w:rPr>
              <w:t>Clause 78</w:t>
            </w:r>
          </w:p>
          <w:p w:rsidR="003776B1" w:rsidRDefault="003776B1" w:rsidP="003776B1">
            <w:pPr>
              <w:pStyle w:val="AERquote"/>
            </w:pPr>
            <w:r>
              <w:t>Unless otherwise agreed by the Parties and set out in the Transportation Agreement, to the extent permitted by law, neither Party (including the Service Provider’s Related Bodies Corporate) is liable to the other Party for Consequential Loss or for punitive or exemplary damages arising in respect of the Transportation Agreement except where such Consequential Loss or punitive or exemplary damage arises out of:</w:t>
            </w:r>
          </w:p>
          <w:p w:rsidR="003776B1" w:rsidRDefault="003776B1" w:rsidP="003776B1">
            <w:pPr>
              <w:pStyle w:val="AERquoteindent2"/>
            </w:pPr>
            <w:r>
              <w:t>(a) Gross Negligence or Wilful Misconduct by either the Service Provider or the User;</w:t>
            </w:r>
          </w:p>
          <w:p w:rsidR="003776B1" w:rsidRDefault="003776B1" w:rsidP="003776B1">
            <w:pPr>
              <w:pStyle w:val="AERquoteindent2"/>
            </w:pPr>
            <w:r>
              <w:t>(b) the Service Provider’s or the User’s liability relating to rates, Charges and other payments under the Transportation Agreement; or</w:t>
            </w:r>
          </w:p>
          <w:p w:rsidR="003776B1" w:rsidRPr="00AF186C" w:rsidRDefault="003776B1" w:rsidP="003776B1">
            <w:pPr>
              <w:pStyle w:val="AERquoteindent2"/>
              <w:rPr>
                <w:strike/>
                <w:color w:val="FF0000"/>
              </w:rPr>
            </w:pPr>
            <w:r w:rsidRPr="00AF186C">
              <w:rPr>
                <w:strike/>
                <w:color w:val="FF0000"/>
              </w:rPr>
              <w:lastRenderedPageBreak/>
              <w:t>(c) the User’s liability relating to:</w:t>
            </w:r>
          </w:p>
          <w:p w:rsidR="003776B1" w:rsidRPr="00AF186C" w:rsidRDefault="003776B1" w:rsidP="003776B1">
            <w:pPr>
              <w:pStyle w:val="AERquoteindent3"/>
              <w:rPr>
                <w:strike/>
                <w:color w:val="FF0000"/>
              </w:rPr>
            </w:pPr>
            <w:r w:rsidRPr="00AF186C">
              <w:rPr>
                <w:strike/>
                <w:color w:val="FF0000"/>
              </w:rPr>
              <w:t>(i) Imbalances;</w:t>
            </w:r>
          </w:p>
          <w:p w:rsidR="003776B1" w:rsidRPr="00AF186C" w:rsidRDefault="003776B1" w:rsidP="003776B1">
            <w:pPr>
              <w:pStyle w:val="AERquoteindent3"/>
              <w:rPr>
                <w:strike/>
                <w:color w:val="FF0000"/>
              </w:rPr>
            </w:pPr>
            <w:r w:rsidRPr="00AF186C">
              <w:rPr>
                <w:strike/>
                <w:color w:val="FF0000"/>
              </w:rPr>
              <w:t>(ii) the receipt, transportation or delivery of Overrun Quantities</w:t>
            </w:r>
          </w:p>
          <w:p w:rsidR="003776B1" w:rsidRPr="00AF186C" w:rsidRDefault="003776B1" w:rsidP="003776B1">
            <w:pPr>
              <w:pStyle w:val="AERquoteindent3"/>
              <w:rPr>
                <w:strike/>
                <w:color w:val="FF0000"/>
              </w:rPr>
            </w:pPr>
            <w:r w:rsidRPr="00AF186C">
              <w:rPr>
                <w:strike/>
                <w:color w:val="FF0000"/>
              </w:rPr>
              <w:t>(iii) the User’s obligation to deliver gas which meets the quality required by the Gas Specification or any other quality as the law in the relevant jurisdiction requires;</w:t>
            </w:r>
          </w:p>
          <w:p w:rsidR="003776B1" w:rsidRPr="00AF186C" w:rsidRDefault="003776B1" w:rsidP="003776B1">
            <w:pPr>
              <w:pStyle w:val="AERquoteindent3"/>
              <w:rPr>
                <w:strike/>
                <w:color w:val="FF0000"/>
              </w:rPr>
            </w:pPr>
            <w:r w:rsidRPr="00AF186C">
              <w:rPr>
                <w:strike/>
                <w:color w:val="FF0000"/>
              </w:rPr>
              <w:t>(iv) a failure to supply Gas at Receipt Points within a specified pressure range;</w:t>
            </w:r>
          </w:p>
          <w:p w:rsidR="003776B1" w:rsidRPr="00AF186C" w:rsidRDefault="003776B1" w:rsidP="003776B1">
            <w:pPr>
              <w:pStyle w:val="AERquoteindent3"/>
              <w:rPr>
                <w:strike/>
                <w:color w:val="FF0000"/>
              </w:rPr>
            </w:pPr>
            <w:r w:rsidRPr="00AF186C">
              <w:rPr>
                <w:strike/>
                <w:color w:val="FF0000"/>
              </w:rPr>
              <w:t>(v) the indemnity described in clause 81; or</w:t>
            </w:r>
          </w:p>
          <w:p w:rsidR="003776B1" w:rsidRPr="00AF186C" w:rsidRDefault="003776B1" w:rsidP="003776B1">
            <w:pPr>
              <w:pStyle w:val="AERquoteindent3"/>
              <w:rPr>
                <w:strike/>
                <w:color w:val="FF0000"/>
              </w:rPr>
            </w:pPr>
            <w:r w:rsidRPr="00AF186C">
              <w:rPr>
                <w:strike/>
                <w:color w:val="FF0000"/>
              </w:rPr>
              <w:t>(vi) the use of the Information Interface by the User’s employees who have been authorised for use by the Service Provider.</w:t>
            </w:r>
          </w:p>
          <w:p w:rsidR="003776B1" w:rsidRDefault="003776B1" w:rsidP="00BB71AD">
            <w:pPr>
              <w:pStyle w:val="AERquote"/>
            </w:pPr>
          </w:p>
        </w:tc>
      </w:tr>
      <w:tr w:rsidR="003776B1" w:rsidTr="00BB71AD">
        <w:tc>
          <w:tcPr>
            <w:tcW w:w="1101" w:type="dxa"/>
          </w:tcPr>
          <w:p w:rsidR="003776B1" w:rsidRDefault="003776B1" w:rsidP="00BB71AD">
            <w:pPr>
              <w:pStyle w:val="ListNumber"/>
            </w:pPr>
          </w:p>
        </w:tc>
        <w:tc>
          <w:tcPr>
            <w:tcW w:w="7592" w:type="dxa"/>
          </w:tcPr>
          <w:p w:rsidR="00890B6B" w:rsidRPr="006B190D" w:rsidRDefault="00890B6B" w:rsidP="00AF186C">
            <w:pPr>
              <w:pStyle w:val="AERquote"/>
              <w:rPr>
                <w:rStyle w:val="Strong"/>
              </w:rPr>
            </w:pPr>
            <w:r w:rsidRPr="006B190D">
              <w:rPr>
                <w:rStyle w:val="Strong"/>
              </w:rPr>
              <w:t>Clause 79</w:t>
            </w:r>
          </w:p>
          <w:p w:rsidR="003776B1" w:rsidRDefault="00890B6B" w:rsidP="00890B6B">
            <w:pPr>
              <w:pStyle w:val="AERquote"/>
            </w:pPr>
            <w:r>
              <w:t xml:space="preserve">The aggregate liability of the Service Provider and its Related Bodies Corporate in respect of the Transportation Agreement, excluding for the </w:t>
            </w:r>
            <w:r w:rsidRPr="00AF186C">
              <w:rPr>
                <w:strike/>
                <w:color w:val="FF0000"/>
              </w:rPr>
              <w:t>g</w:t>
            </w:r>
            <w:r w:rsidR="008F7C88" w:rsidRPr="00CD48E4">
              <w:rPr>
                <w:color w:val="FF0000"/>
                <w:u w:val="single"/>
              </w:rPr>
              <w:t>G</w:t>
            </w:r>
            <w:r>
              <w:t xml:space="preserve">ross </w:t>
            </w:r>
            <w:r w:rsidRPr="00AF186C">
              <w:rPr>
                <w:strike/>
                <w:color w:val="FF0000"/>
              </w:rPr>
              <w:t>n</w:t>
            </w:r>
            <w:r w:rsidR="008F7C88" w:rsidRPr="00CD48E4">
              <w:rPr>
                <w:color w:val="FF0000"/>
                <w:u w:val="single"/>
              </w:rPr>
              <w:t>N</w:t>
            </w:r>
            <w:r>
              <w:t xml:space="preserve">egligence or Wilful Misconduct of the Service Provider or its Related Bodies Corporate, will be limited to a monetary liability cap of 10 per cent of the contract value over the life of the Transportation Agreement </w:t>
            </w:r>
            <w:r w:rsidRPr="00890B6B">
              <w:rPr>
                <w:strike/>
              </w:rPr>
              <w:t>and 2.5% of such contract value in any one year of the Transportation Agreement.</w:t>
            </w:r>
          </w:p>
        </w:tc>
      </w:tr>
      <w:tr w:rsidR="003776B1" w:rsidTr="00BB71AD">
        <w:trPr>
          <w:cnfStyle w:val="000000010000" w:firstRow="0" w:lastRow="0" w:firstColumn="0" w:lastColumn="0" w:oddVBand="0" w:evenVBand="0" w:oddHBand="0" w:evenHBand="1" w:firstRowFirstColumn="0" w:firstRowLastColumn="0" w:lastRowFirstColumn="0" w:lastRowLastColumn="0"/>
        </w:trPr>
        <w:tc>
          <w:tcPr>
            <w:tcW w:w="1101" w:type="dxa"/>
          </w:tcPr>
          <w:p w:rsidR="003776B1" w:rsidRDefault="003776B1" w:rsidP="00BB71AD">
            <w:pPr>
              <w:pStyle w:val="ListNumber"/>
            </w:pPr>
          </w:p>
        </w:tc>
        <w:tc>
          <w:tcPr>
            <w:tcW w:w="7592" w:type="dxa"/>
          </w:tcPr>
          <w:p w:rsidR="008F7C88" w:rsidRPr="00AF186C" w:rsidRDefault="008F7C88" w:rsidP="00AF186C">
            <w:pPr>
              <w:pStyle w:val="AERquote"/>
              <w:rPr>
                <w:b/>
                <w:bCs/>
              </w:rPr>
            </w:pPr>
            <w:r w:rsidRPr="00AF186C">
              <w:rPr>
                <w:b/>
                <w:bCs/>
              </w:rPr>
              <w:t>Clause 95</w:t>
            </w:r>
          </w:p>
          <w:p w:rsidR="003776B1" w:rsidRDefault="00890B6B" w:rsidP="00AF186C">
            <w:pPr>
              <w:pStyle w:val="AERquote"/>
            </w:pPr>
            <w:r>
              <w:t xml:space="preserve">A Party must obtain the prior written consent of the other Party in order to use or disclose Confidential Information for any other purpose except where disclosure is required by law or lawfully required by an Authority or if the information is at that time lawfully generally available to the public, other than as a result of a breach of the Transportation </w:t>
            </w:r>
            <w:r w:rsidRPr="0029628C">
              <w:t>Agreement</w:t>
            </w:r>
            <w:r w:rsidRPr="00AF186C">
              <w:rPr>
                <w:rStyle w:val="AERtextunderline"/>
                <w:color w:val="FF0000"/>
              </w:rPr>
              <w:t>, or disclosure is required in order to comply with the listing rules of a recognised stock exchange</w:t>
            </w:r>
            <w:r w:rsidRPr="0029628C">
              <w:t>.</w:t>
            </w:r>
          </w:p>
        </w:tc>
      </w:tr>
      <w:tr w:rsidR="00890B6B" w:rsidTr="00BB71AD">
        <w:tc>
          <w:tcPr>
            <w:tcW w:w="1101" w:type="dxa"/>
          </w:tcPr>
          <w:p w:rsidR="00890B6B" w:rsidRDefault="00890B6B" w:rsidP="00BB71AD">
            <w:pPr>
              <w:pStyle w:val="ListNumber"/>
            </w:pPr>
          </w:p>
        </w:tc>
        <w:tc>
          <w:tcPr>
            <w:tcW w:w="7592" w:type="dxa"/>
          </w:tcPr>
          <w:p w:rsidR="008F7C88" w:rsidRPr="00AF186C" w:rsidRDefault="008F7C88" w:rsidP="00AF186C">
            <w:pPr>
              <w:pStyle w:val="AERquote"/>
              <w:rPr>
                <w:b/>
                <w:bCs/>
              </w:rPr>
            </w:pPr>
            <w:r w:rsidRPr="00AF186C">
              <w:rPr>
                <w:b/>
                <w:bCs/>
              </w:rPr>
              <w:t>Clause 53</w:t>
            </w:r>
          </w:p>
          <w:p w:rsidR="00890B6B" w:rsidRDefault="008F7C88" w:rsidP="00AF186C">
            <w:pPr>
              <w:pStyle w:val="AERquote"/>
            </w:pPr>
            <w:r>
              <w:t xml:space="preserve">The Gas received by the Service Provider at the Receipt Points may be commingled with other Gas in the Pipeline and with other elements for the operation and maintenance of the Pipeline in accordance with Good Engineering and Operating Practice. Subject to certain obligations of the Service Provider regarding the quality of gas delivered, Service Provider may commingle gas received and deliver it in a commingled state to </w:t>
            </w:r>
            <w:r>
              <w:lastRenderedPageBreak/>
              <w:t>the User, despite clause</w:t>
            </w:r>
            <w:r w:rsidRPr="00CD48E4">
              <w:rPr>
                <w:color w:val="FF0000"/>
                <w:u w:val="single"/>
              </w:rPr>
              <w:t>s</w:t>
            </w:r>
            <w:r>
              <w:t xml:space="preserve"> 55 </w:t>
            </w:r>
            <w:r w:rsidRPr="00CD48E4">
              <w:rPr>
                <w:color w:val="FF0000"/>
                <w:u w:val="single"/>
              </w:rPr>
              <w:t>and 56</w:t>
            </w:r>
            <w:r w:rsidRPr="00AF186C">
              <w:rPr>
                <w:color w:val="FF0000"/>
              </w:rPr>
              <w:t xml:space="preserve"> </w:t>
            </w:r>
            <w:r>
              <w:t>(Title).</w:t>
            </w:r>
          </w:p>
        </w:tc>
      </w:tr>
      <w:tr w:rsidR="00890B6B" w:rsidTr="00BB71AD">
        <w:trPr>
          <w:cnfStyle w:val="000000010000" w:firstRow="0" w:lastRow="0" w:firstColumn="0" w:lastColumn="0" w:oddVBand="0" w:evenVBand="0" w:oddHBand="0" w:evenHBand="1" w:firstRowFirstColumn="0" w:firstRowLastColumn="0" w:lastRowFirstColumn="0" w:lastRowLastColumn="0"/>
        </w:trPr>
        <w:tc>
          <w:tcPr>
            <w:tcW w:w="1101" w:type="dxa"/>
          </w:tcPr>
          <w:p w:rsidR="00890B6B" w:rsidRDefault="00890B6B" w:rsidP="00BB71AD">
            <w:pPr>
              <w:pStyle w:val="ListNumber"/>
            </w:pPr>
          </w:p>
        </w:tc>
        <w:tc>
          <w:tcPr>
            <w:tcW w:w="7592" w:type="dxa"/>
          </w:tcPr>
          <w:p w:rsidR="008F7C88" w:rsidRPr="00AF186C" w:rsidRDefault="008F7C88" w:rsidP="00AF186C">
            <w:pPr>
              <w:pStyle w:val="AERquote"/>
              <w:rPr>
                <w:b/>
              </w:rPr>
            </w:pPr>
            <w:r w:rsidRPr="00AF186C">
              <w:rPr>
                <w:b/>
              </w:rPr>
              <w:t>Clause 78</w:t>
            </w:r>
          </w:p>
          <w:p w:rsidR="008F7C88" w:rsidRDefault="008F7C88" w:rsidP="00AF186C">
            <w:pPr>
              <w:pStyle w:val="AERquote"/>
            </w:pPr>
            <w:r>
              <w:t>…</w:t>
            </w:r>
          </w:p>
          <w:p w:rsidR="008F7C88" w:rsidRPr="00AF186C" w:rsidRDefault="008F7C88" w:rsidP="00AF186C">
            <w:pPr>
              <w:pStyle w:val="AERquoteindent2"/>
            </w:pPr>
            <w:r>
              <w:t xml:space="preserve">(c) </w:t>
            </w:r>
          </w:p>
          <w:p w:rsidR="008F7C88" w:rsidRDefault="008F7C88" w:rsidP="00AF186C">
            <w:pPr>
              <w:pStyle w:val="AERquoteindent2"/>
            </w:pPr>
            <w:r>
              <w:t>…</w:t>
            </w:r>
          </w:p>
          <w:p w:rsidR="00890B6B" w:rsidRDefault="008F7C88" w:rsidP="00AF186C">
            <w:pPr>
              <w:pStyle w:val="AERquoteindent3"/>
            </w:pPr>
            <w:r w:rsidRPr="008F7C88">
              <w:t xml:space="preserve">(v) the indemnity described in clause </w:t>
            </w:r>
            <w:r w:rsidRPr="00AF186C">
              <w:rPr>
                <w:strike/>
                <w:color w:val="FF0000"/>
              </w:rPr>
              <w:t>81</w:t>
            </w:r>
            <w:r w:rsidRPr="00CD48E4">
              <w:rPr>
                <w:color w:val="FF0000"/>
                <w:u w:val="single"/>
              </w:rPr>
              <w:t>80</w:t>
            </w:r>
            <w:r w:rsidRPr="008F7C88">
              <w:t>; or</w:t>
            </w:r>
          </w:p>
        </w:tc>
      </w:tr>
      <w:tr w:rsidR="00890B6B" w:rsidTr="00BB71AD">
        <w:tc>
          <w:tcPr>
            <w:tcW w:w="1101" w:type="dxa"/>
          </w:tcPr>
          <w:p w:rsidR="00890B6B" w:rsidRDefault="00890B6B" w:rsidP="00BB71AD">
            <w:pPr>
              <w:pStyle w:val="ListNumber"/>
            </w:pPr>
          </w:p>
        </w:tc>
        <w:tc>
          <w:tcPr>
            <w:tcW w:w="7592" w:type="dxa"/>
          </w:tcPr>
          <w:p w:rsidR="008F7C88" w:rsidRPr="00AF186C" w:rsidRDefault="008F7C88" w:rsidP="00AF186C">
            <w:pPr>
              <w:pStyle w:val="AERquote"/>
              <w:rPr>
                <w:b/>
                <w:bCs/>
              </w:rPr>
            </w:pPr>
            <w:r w:rsidRPr="00AF186C">
              <w:rPr>
                <w:b/>
                <w:bCs/>
              </w:rPr>
              <w:t>Clause 84</w:t>
            </w:r>
          </w:p>
          <w:p w:rsidR="00890B6B" w:rsidRDefault="008F7C88" w:rsidP="00AF186C">
            <w:pPr>
              <w:pStyle w:val="AERquote"/>
            </w:pPr>
            <w:r>
              <w:t xml:space="preserve">Subject to certain exceptions as specified under clause </w:t>
            </w:r>
            <w:r w:rsidRPr="00AF186C">
              <w:rPr>
                <w:strike/>
                <w:color w:val="FF0000"/>
              </w:rPr>
              <w:t>87</w:t>
            </w:r>
            <w:r w:rsidRPr="00CD48E4">
              <w:rPr>
                <w:color w:val="FF0000"/>
                <w:u w:val="single"/>
              </w:rPr>
              <w:t>86</w:t>
            </w:r>
            <w:r>
              <w:t>, a Party’s obligations under the Transportation Agreement are suspended during the time, and to the extent, that their performance is prevented, wholly or in part, by a Force Majeure Event and no liability to the other Party accrues for loss or damage of any kind arising out of, or in any way connected with that non-performance.</w:t>
            </w:r>
          </w:p>
        </w:tc>
      </w:tr>
    </w:tbl>
    <w:p w:rsidR="003776B1" w:rsidRDefault="003776B1" w:rsidP="00AF186C">
      <w:pPr>
        <w:pStyle w:val="Heading3"/>
      </w:pPr>
      <w:bookmarkStart w:id="78" w:name="_Ref430702129"/>
      <w:bookmarkStart w:id="79" w:name="_Toc436044755"/>
      <w:r w:rsidRPr="003776B1">
        <w:t>Revisions to the access arrangement</w:t>
      </w:r>
      <w:bookmarkEnd w:id="78"/>
      <w:bookmarkEnd w:id="79"/>
    </w:p>
    <w:p w:rsidR="00E06C55" w:rsidRDefault="00B14FDD" w:rsidP="007D773B">
      <w:r>
        <w:t>We require the following revisions to make the access arrangement proposal acceptable:</w:t>
      </w:r>
    </w:p>
    <w:tbl>
      <w:tblPr>
        <w:tblStyle w:val="AERtable-text0"/>
        <w:tblW w:w="0" w:type="auto"/>
        <w:tblLook w:val="04A0" w:firstRow="1" w:lastRow="0" w:firstColumn="1" w:lastColumn="0" w:noHBand="0" w:noVBand="1"/>
      </w:tblPr>
      <w:tblGrid>
        <w:gridCol w:w="1372"/>
        <w:gridCol w:w="7321"/>
      </w:tblGrid>
      <w:tr w:rsidR="00E06C55" w:rsidTr="006C1B37">
        <w:trPr>
          <w:cnfStyle w:val="100000000000" w:firstRow="1" w:lastRow="0" w:firstColumn="0" w:lastColumn="0" w:oddVBand="0" w:evenVBand="0" w:oddHBand="0" w:evenHBand="0" w:firstRowFirstColumn="0" w:firstRowLastColumn="0" w:lastRowFirstColumn="0" w:lastRowLastColumn="0"/>
          <w:tblHeader/>
        </w:trPr>
        <w:tc>
          <w:tcPr>
            <w:tcW w:w="1101" w:type="dxa"/>
          </w:tcPr>
          <w:p w:rsidR="00E06C55" w:rsidRDefault="00CD48E4" w:rsidP="00BB71AD">
            <w:r w:rsidRPr="00CD48E4">
              <w:rPr>
                <w:color w:val="FFFFFF" w:themeColor="background1"/>
                <w:sz w:val="20"/>
              </w:rPr>
              <w:t>Amendment number</w:t>
            </w:r>
          </w:p>
        </w:tc>
        <w:tc>
          <w:tcPr>
            <w:tcW w:w="7592" w:type="dxa"/>
          </w:tcPr>
          <w:p w:rsidR="00E06C55" w:rsidRPr="00674EE5" w:rsidRDefault="00CD48E4" w:rsidP="00CD48E4">
            <w:pPr>
              <w:pStyle w:val="AERquote"/>
              <w:rPr>
                <w:b w:val="0"/>
              </w:rPr>
            </w:pPr>
            <w:r w:rsidRPr="00674EE5">
              <w:rPr>
                <w:rStyle w:val="Strong"/>
                <w:b/>
                <w:bCs w:val="0"/>
                <w:color w:val="FFFFFF" w:themeColor="background1"/>
              </w:rPr>
              <w:t>Marked up amendment to the clause or provision</w:t>
            </w:r>
          </w:p>
        </w:tc>
      </w:tr>
      <w:tr w:rsidR="00E06C55" w:rsidTr="00E06C55">
        <w:tc>
          <w:tcPr>
            <w:tcW w:w="1101" w:type="dxa"/>
          </w:tcPr>
          <w:p w:rsidR="00E06C55" w:rsidRDefault="00E06C55" w:rsidP="0074699E">
            <w:pPr>
              <w:pStyle w:val="ListNumber"/>
            </w:pPr>
          </w:p>
        </w:tc>
        <w:tc>
          <w:tcPr>
            <w:tcW w:w="7592" w:type="dxa"/>
          </w:tcPr>
          <w:p w:rsidR="00E06C55" w:rsidRPr="00674EE5" w:rsidRDefault="00E06C55" w:rsidP="00674EE5">
            <w:pPr>
              <w:pStyle w:val="AERquote"/>
              <w:rPr>
                <w:b/>
              </w:rPr>
            </w:pPr>
            <w:r w:rsidRPr="00674EE5">
              <w:rPr>
                <w:b/>
              </w:rPr>
              <w:t>1.6 Revisions to this access arrangement</w:t>
            </w:r>
          </w:p>
          <w:p w:rsidR="00E06C55" w:rsidRDefault="00E06C55" w:rsidP="00AC63C2">
            <w:pPr>
              <w:pStyle w:val="AERquoteindent3"/>
            </w:pPr>
            <w:r>
              <w:t xml:space="preserve">Service Provider will submit revisions to this Access Arrangement to the AER on </w:t>
            </w:r>
            <w:r w:rsidRPr="00CD48E4">
              <w:rPr>
                <w:strike/>
                <w:color w:val="FF0000"/>
              </w:rPr>
              <w:t xml:space="preserve">or before </w:t>
            </w:r>
            <w:r>
              <w:t>1 July 2020</w:t>
            </w:r>
            <w:r w:rsidRPr="00CD48E4">
              <w:rPr>
                <w:strike/>
                <w:color w:val="FF0000"/>
              </w:rPr>
              <w:t>, or four years from the commencement date of this Access Arrangement, whichever is the later</w:t>
            </w:r>
            <w:r>
              <w:t xml:space="preserve"> (Review Submission Date).</w:t>
            </w:r>
          </w:p>
          <w:p w:rsidR="00E06C55" w:rsidRDefault="00E06C55" w:rsidP="00AC63C2">
            <w:pPr>
              <w:pStyle w:val="AERquoteindent3"/>
            </w:pPr>
            <w:r>
              <w:t xml:space="preserve">The revisions to this Access Arrangement will commence </w:t>
            </w:r>
            <w:r w:rsidRPr="00CD48E4">
              <w:rPr>
                <w:color w:val="FF0000"/>
              </w:rPr>
              <w:t xml:space="preserve">on </w:t>
            </w:r>
            <w:r w:rsidRPr="00CD48E4">
              <w:rPr>
                <w:strike/>
                <w:color w:val="FF0000"/>
              </w:rPr>
              <w:t>the later of</w:t>
            </w:r>
            <w:r w:rsidRPr="00CD48E4">
              <w:rPr>
                <w:color w:val="FF0000"/>
              </w:rPr>
              <w:t xml:space="preserve"> </w:t>
            </w:r>
            <w:r>
              <w:t xml:space="preserve">1 July 2021 </w:t>
            </w:r>
            <w:r w:rsidRPr="00CD48E4">
              <w:rPr>
                <w:strike/>
                <w:color w:val="FF0000"/>
              </w:rPr>
              <w:t>and the date on which the approval by the AER of the revisions to the Access Arrangement takes effect under the National Gas Rules</w:t>
            </w:r>
            <w:r w:rsidRPr="00CD48E4">
              <w:rPr>
                <w:color w:val="FF0000"/>
              </w:rPr>
              <w:t xml:space="preserve"> </w:t>
            </w:r>
            <w:r>
              <w:t>(Revisions Commencement Date).</w:t>
            </w:r>
          </w:p>
          <w:p w:rsidR="00E06C55" w:rsidRPr="00CD48E4" w:rsidRDefault="00AC63C2" w:rsidP="00AC63C2">
            <w:pPr>
              <w:pStyle w:val="AERquoteindent3"/>
              <w:rPr>
                <w:rStyle w:val="AERtextunderline"/>
                <w:color w:val="FF0000"/>
              </w:rPr>
            </w:pPr>
            <w:r w:rsidRPr="00CD48E4">
              <w:rPr>
                <w:rStyle w:val="AERtextunderline"/>
                <w:color w:val="FF0000"/>
              </w:rPr>
              <w:t xml:space="preserve">The </w:t>
            </w:r>
            <w:r w:rsidR="00175C80" w:rsidRPr="00CD48E4">
              <w:rPr>
                <w:rStyle w:val="AERtextunderline"/>
                <w:color w:val="FF0000"/>
              </w:rPr>
              <w:t>Review Submission</w:t>
            </w:r>
            <w:r w:rsidRPr="00CD48E4">
              <w:rPr>
                <w:rStyle w:val="AERtextunderline"/>
                <w:color w:val="FF0000"/>
              </w:rPr>
              <w:t xml:space="preserve"> Date will be accelerated under Rule </w:t>
            </w:r>
            <w:r w:rsidR="00175C80" w:rsidRPr="00CD48E4">
              <w:rPr>
                <w:rStyle w:val="AERtextunderline"/>
                <w:color w:val="FF0000"/>
              </w:rPr>
              <w:t>51</w:t>
            </w:r>
            <w:r w:rsidR="00E06C55" w:rsidRPr="00CD48E4">
              <w:rPr>
                <w:rStyle w:val="AERtextunderline"/>
                <w:color w:val="FF0000"/>
              </w:rPr>
              <w:t xml:space="preserve"> o</w:t>
            </w:r>
            <w:r w:rsidRPr="00CD48E4">
              <w:rPr>
                <w:rStyle w:val="AERtextunderline"/>
                <w:color w:val="FF0000"/>
              </w:rPr>
              <w:t>n</w:t>
            </w:r>
            <w:r w:rsidR="00E06C55" w:rsidRPr="00CD48E4">
              <w:rPr>
                <w:rStyle w:val="AERtextunderline"/>
                <w:color w:val="FF0000"/>
              </w:rPr>
              <w:t xml:space="preserve"> written notification by the AER that one of the following events has occurred:</w:t>
            </w:r>
          </w:p>
          <w:p w:rsidR="00E06C55" w:rsidRPr="00CD48E4" w:rsidRDefault="00E06C55" w:rsidP="00AC63C2">
            <w:pPr>
              <w:pStyle w:val="AERquoteindent3"/>
              <w:rPr>
                <w:rStyle w:val="AERtextunderline"/>
                <w:color w:val="FF0000"/>
              </w:rPr>
            </w:pPr>
            <w:r w:rsidRPr="00CD48E4">
              <w:rPr>
                <w:rStyle w:val="AERtextunderline"/>
                <w:color w:val="FF0000"/>
              </w:rPr>
              <w:t>(a) the interconnection of another pipeline with the Pipeline; or</w:t>
            </w:r>
          </w:p>
          <w:p w:rsidR="00E06C55" w:rsidRPr="00CD48E4" w:rsidRDefault="00E06C55" w:rsidP="00AC63C2">
            <w:pPr>
              <w:pStyle w:val="AERquoteindent3"/>
              <w:rPr>
                <w:rStyle w:val="AERtextunderline"/>
                <w:color w:val="FF0000"/>
              </w:rPr>
            </w:pPr>
            <w:r w:rsidRPr="00CD48E4">
              <w:rPr>
                <w:rStyle w:val="AERtextunderline"/>
                <w:color w:val="FF0000"/>
              </w:rPr>
              <w:t xml:space="preserve">(b) the introduction of a significant new source of gas supply to one or more of the markets to which gas is delivered from the Pipeline; </w:t>
            </w:r>
          </w:p>
          <w:p w:rsidR="00E06C55" w:rsidRPr="00CD48E4" w:rsidRDefault="00E06C55" w:rsidP="00AC63C2">
            <w:pPr>
              <w:pStyle w:val="AERquoteindent3"/>
              <w:rPr>
                <w:rStyle w:val="AERtextunderline"/>
                <w:color w:val="FF0000"/>
              </w:rPr>
            </w:pPr>
            <w:r w:rsidRPr="00CD48E4">
              <w:rPr>
                <w:rStyle w:val="AERtextunderline"/>
                <w:color w:val="FF0000"/>
              </w:rPr>
              <w:lastRenderedPageBreak/>
              <w:t>that substantially changes the types of Services that are likely to be sought by the market or has a substantial effect on the volume and/or direction of flow of natural gas through all or part of the Pipeline.</w:t>
            </w:r>
          </w:p>
          <w:p w:rsidR="00AC63C2" w:rsidRPr="0074699E" w:rsidRDefault="00175C80" w:rsidP="00AC63C2">
            <w:pPr>
              <w:pStyle w:val="AERquoteindent3"/>
              <w:rPr>
                <w:rStyle w:val="AERtextunderline"/>
              </w:rPr>
            </w:pPr>
            <w:r w:rsidRPr="00CD48E4">
              <w:rPr>
                <w:rStyle w:val="AERtextunderline"/>
                <w:color w:val="FF0000"/>
              </w:rPr>
              <w:t>Such n</w:t>
            </w:r>
            <w:r w:rsidR="00AC63C2" w:rsidRPr="00CD48E4">
              <w:rPr>
                <w:rStyle w:val="AERtextunderline"/>
                <w:color w:val="FF0000"/>
              </w:rPr>
              <w:t>o</w:t>
            </w:r>
            <w:r w:rsidRPr="00CD48E4">
              <w:rPr>
                <w:rStyle w:val="AERtextunderline"/>
                <w:color w:val="FF0000"/>
              </w:rPr>
              <w:t>tice will not be given within 18 months of the Review Submission Date in this clause 1.6.</w:t>
            </w:r>
          </w:p>
          <w:p w:rsidR="00E06C55" w:rsidRDefault="00E06C55" w:rsidP="00AC63C2">
            <w:pPr>
              <w:pStyle w:val="AERquoteindent3"/>
            </w:pPr>
            <w:r>
              <w:rPr>
                <w:rFonts w:ascii="Helvetica" w:hAnsi="Helvetica" w:cs="Helvetica"/>
              </w:rPr>
              <w:t>Service Provider may, at any other time, submit to the AER proposed revisions to this Access Arrangement together with the applicable Access Arrangement Information in accordance with Rule 65. If approved by the AER, those revisions will commence in accordance with the National Gas Rules.</w:t>
            </w:r>
          </w:p>
        </w:tc>
      </w:tr>
      <w:tr w:rsidR="006033B0" w:rsidTr="00E06C55">
        <w:trPr>
          <w:cnfStyle w:val="000000010000" w:firstRow="0" w:lastRow="0" w:firstColumn="0" w:lastColumn="0" w:oddVBand="0" w:evenVBand="0" w:oddHBand="0" w:evenHBand="1" w:firstRowFirstColumn="0" w:firstRowLastColumn="0" w:lastRowFirstColumn="0" w:lastRowLastColumn="0"/>
        </w:trPr>
        <w:tc>
          <w:tcPr>
            <w:tcW w:w="1101" w:type="dxa"/>
          </w:tcPr>
          <w:p w:rsidR="006033B0" w:rsidRDefault="006033B0" w:rsidP="0074699E">
            <w:pPr>
              <w:pStyle w:val="ListNumber"/>
            </w:pPr>
          </w:p>
        </w:tc>
        <w:tc>
          <w:tcPr>
            <w:tcW w:w="7592" w:type="dxa"/>
          </w:tcPr>
          <w:p w:rsidR="00AC7EA4" w:rsidRPr="00344E19" w:rsidRDefault="00AC7EA4" w:rsidP="00344E19">
            <w:pPr>
              <w:pStyle w:val="AERquote"/>
              <w:rPr>
                <w:b/>
              </w:rPr>
            </w:pPr>
            <w:r w:rsidRPr="00344E19">
              <w:rPr>
                <w:b/>
              </w:rPr>
              <w:t>Sc</w:t>
            </w:r>
            <w:r w:rsidR="00344E19" w:rsidRPr="00344E19">
              <w:rPr>
                <w:b/>
              </w:rPr>
              <w:t>hedule 2: Glossary</w:t>
            </w:r>
          </w:p>
          <w:p w:rsidR="006033B0" w:rsidRPr="00674EE5" w:rsidRDefault="006033B0" w:rsidP="00AC7EA4">
            <w:pPr>
              <w:pStyle w:val="AERquoteindent3"/>
              <w:rPr>
                <w:b/>
              </w:rPr>
            </w:pPr>
            <w:r w:rsidRPr="00344E19">
              <w:rPr>
                <w:rFonts w:ascii="Helvetica" w:hAnsi="Helvetica" w:cs="Helvetica"/>
                <w:b/>
              </w:rPr>
              <w:t>Force Majeure Event</w:t>
            </w:r>
            <w:r w:rsidRPr="00AC7EA4">
              <w:rPr>
                <w:rFonts w:ascii="Helvetica" w:hAnsi="Helvetica" w:cs="Helvetica"/>
              </w:rPr>
              <w:t xml:space="preserve"> has the meaning set out in clause </w:t>
            </w:r>
            <w:r w:rsidRPr="00344E19">
              <w:rPr>
                <w:strike/>
                <w:color w:val="FF0000"/>
              </w:rPr>
              <w:t>83</w:t>
            </w:r>
            <w:r w:rsidR="00344E19" w:rsidRPr="00344E19">
              <w:rPr>
                <w:color w:val="FF0000"/>
              </w:rPr>
              <w:t>82</w:t>
            </w:r>
            <w:r w:rsidRPr="00AC7EA4">
              <w:rPr>
                <w:rFonts w:ascii="Helvetica" w:hAnsi="Helvetica" w:cs="Helvetica"/>
              </w:rPr>
              <w:t xml:space="preserve"> of the General Terms and</w:t>
            </w:r>
            <w:r w:rsidR="00AC7EA4" w:rsidRPr="00AC7EA4">
              <w:rPr>
                <w:rFonts w:ascii="Helvetica" w:hAnsi="Helvetica" w:cs="Helvetica"/>
              </w:rPr>
              <w:t xml:space="preserve"> </w:t>
            </w:r>
            <w:r w:rsidRPr="00AC7EA4">
              <w:rPr>
                <w:rFonts w:ascii="Helvetica" w:hAnsi="Helvetica" w:cs="Helvetica"/>
              </w:rPr>
              <w:t>Conditions.</w:t>
            </w:r>
          </w:p>
        </w:tc>
      </w:tr>
    </w:tbl>
    <w:p w:rsidR="00DC01DB" w:rsidRPr="007D773B" w:rsidRDefault="00DC01DB" w:rsidP="0074699E"/>
    <w:sectPr w:rsidR="00DC01DB" w:rsidRPr="007D773B" w:rsidSect="00B757A6">
      <w:headerReference w:type="even" r:id="rId12"/>
      <w:footerReference w:type="even" r:id="rId13"/>
      <w:footerReference w:type="default" r:id="rId14"/>
      <w:headerReference w:type="first" r:id="rId15"/>
      <w:pgSz w:w="11906" w:h="16838" w:code="9"/>
      <w:pgMar w:top="1440" w:right="1700" w:bottom="1582" w:left="1729" w:header="720" w:footer="0" w:gutter="0"/>
      <w:pgNumType w:start="0" w:chapStyle="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6E7B" w:rsidRPr="00290C63" w:rsidRDefault="001A6E7B" w:rsidP="00290C63">
      <w:r>
        <w:separator/>
      </w:r>
    </w:p>
    <w:p w:rsidR="001A6E7B" w:rsidRDefault="001A6E7B"/>
  </w:endnote>
  <w:endnote w:type="continuationSeparator" w:id="0">
    <w:p w:rsidR="001A6E7B" w:rsidRPr="00290C63" w:rsidRDefault="001A6E7B" w:rsidP="00290C63">
      <w:r>
        <w:continuationSeparator/>
      </w:r>
    </w:p>
    <w:p w:rsidR="001A6E7B" w:rsidRDefault="001A6E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utami">
    <w:panose1 w:val="020B0502040204020203"/>
    <w:charset w:val="00"/>
    <w:family w:val="swiss"/>
    <w:pitch w:val="variable"/>
    <w:sig w:usb0="002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dge Round">
    <w:altName w:val="Calibri"/>
    <w:panose1 w:val="00000000000000000000"/>
    <w:charset w:val="00"/>
    <w:family w:val="modern"/>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6E7B" w:rsidRDefault="001A6E7B">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26</w:t>
    </w:r>
    <w:r>
      <w:rPr>
        <w:rStyle w:val="PageNumber"/>
      </w:rPr>
      <w:fldChar w:fldCharType="end"/>
    </w:r>
    <w:r>
      <w:rPr>
        <w:rStyle w:val="PageNumber"/>
      </w:rPr>
      <w:tab/>
    </w:r>
    <w:r>
      <w:t>ES 1 Customer Connection Information</w:t>
    </w:r>
  </w:p>
  <w:p w:rsidR="001A6E7B" w:rsidRDefault="001A6E7B">
    <w:pPr>
      <w:pStyle w:val="Footer"/>
    </w:pPr>
  </w:p>
  <w:p w:rsidR="001A6E7B" w:rsidRDefault="001A6E7B">
    <w:pPr>
      <w:pStyle w:val="Footer"/>
    </w:pPr>
    <w:r>
      <w:fldChar w:fldCharType="begin"/>
    </w:r>
    <w:r>
      <w:instrText xml:space="preserve"> DOCPROPERTY DocumentID \* MERGEFORMAT </w:instrText>
    </w:r>
    <w:r>
      <w:fldChar w:fldCharType="separate"/>
    </w:r>
    <w:r w:rsidR="00C56761">
      <w:rPr>
        <w:b/>
        <w:bCs/>
        <w:lang w:val="en-US"/>
      </w:rPr>
      <w:t>Error! Unknown document property name.</w:t>
    </w:r>
    <w:r>
      <w:rPr>
        <w:color w:val="191919"/>
        <w:sz w:val="13"/>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4776863"/>
      <w:docPartObj>
        <w:docPartGallery w:val="Page Numbers (Bottom of Page)"/>
        <w:docPartUnique/>
      </w:docPartObj>
    </w:sdtPr>
    <w:sdtEndPr/>
    <w:sdtContent>
      <w:p w:rsidR="001A6E7B" w:rsidRPr="00CA52A2" w:rsidRDefault="001A6E7B" w:rsidP="00CA52A2">
        <w:pPr>
          <w:pStyle w:val="Footer"/>
        </w:pPr>
        <w:r w:rsidRPr="00CA52A2">
          <w:fldChar w:fldCharType="begin"/>
        </w:r>
        <w:r>
          <w:instrText xml:space="preserve"> PAGE   \* MERGEFORMAT </w:instrText>
        </w:r>
        <w:r w:rsidRPr="00CA52A2">
          <w:fldChar w:fldCharType="separate"/>
        </w:r>
        <w:r w:rsidR="002A2012">
          <w:rPr>
            <w:noProof/>
          </w:rPr>
          <w:t>12-0</w:t>
        </w:r>
        <w:r w:rsidRPr="00CA52A2">
          <w:fldChar w:fldCharType="end"/>
        </w:r>
        <w:r w:rsidRPr="00CA52A2">
          <w:t xml:space="preserve">          Attachment </w:t>
        </w:r>
        <w:r>
          <w:t xml:space="preserve">12 </w:t>
        </w:r>
        <w:r w:rsidRPr="00CA52A2">
          <w:t xml:space="preserve">– </w:t>
        </w:r>
        <w:r>
          <w:t xml:space="preserve">Non-tariff components </w:t>
        </w:r>
        <w:r w:rsidRPr="00CA52A2">
          <w:t xml:space="preserve">| </w:t>
        </w:r>
        <w:r>
          <w:t>Draft decision: Amadeus Gas Pipeline Access Arrangement 2016</w:t>
        </w:r>
        <w:r w:rsidRPr="00CA52A2">
          <w:t>–</w:t>
        </w:r>
        <w:r>
          <w:t>21</w:t>
        </w:r>
      </w:p>
    </w:sdtContent>
  </w:sdt>
  <w:p w:rsidR="001A6E7B" w:rsidRDefault="001A6E7B">
    <w:pPr>
      <w:pStyle w:val="Footer"/>
      <w:tabs>
        <w:tab w:val="right" w:pos="9639"/>
      </w:tabs>
      <w:rPr>
        <w:rFonts w:ascii="Cambridge Round" w:hAnsi="Cambridge Round"/>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6E7B" w:rsidRPr="00290C63" w:rsidRDefault="001A6E7B" w:rsidP="00290C63">
      <w:r>
        <w:separator/>
      </w:r>
    </w:p>
    <w:p w:rsidR="001A6E7B" w:rsidRDefault="001A6E7B"/>
  </w:footnote>
  <w:footnote w:type="continuationSeparator" w:id="0">
    <w:p w:rsidR="001A6E7B" w:rsidRPr="00290C63" w:rsidRDefault="001A6E7B" w:rsidP="00290C63">
      <w:r>
        <w:continuationSeparator/>
      </w:r>
    </w:p>
    <w:p w:rsidR="001A6E7B" w:rsidRDefault="001A6E7B"/>
  </w:footnote>
  <w:footnote w:id="1">
    <w:p w:rsidR="001A6E7B" w:rsidRDefault="001A6E7B" w:rsidP="001F2CC6">
      <w:pPr>
        <w:pStyle w:val="FootnoteText"/>
      </w:pPr>
      <w:r>
        <w:rPr>
          <w:rStyle w:val="FootnoteReference"/>
        </w:rPr>
        <w:footnoteRef/>
      </w:r>
      <w:r>
        <w:t xml:space="preserve"> </w:t>
      </w:r>
      <w:r>
        <w:tab/>
        <w:t>With the exception that a service provider must comply with the queuing requirements in an applicable access arrangement: NGL, ss</w:t>
      </w:r>
      <w:r w:rsidR="006C1B37">
        <w:t>.</w:t>
      </w:r>
      <w:r>
        <w:t xml:space="preserve"> 135 and 322.</w:t>
      </w:r>
    </w:p>
  </w:footnote>
  <w:footnote w:id="2">
    <w:p w:rsidR="001A6E7B" w:rsidRDefault="001A6E7B">
      <w:pPr>
        <w:pStyle w:val="FootnoteText"/>
      </w:pPr>
      <w:r>
        <w:rPr>
          <w:rStyle w:val="FootnoteReference"/>
        </w:rPr>
        <w:footnoteRef/>
      </w:r>
      <w:r>
        <w:t xml:space="preserve"> </w:t>
      </w:r>
      <w:r>
        <w:tab/>
        <w:t>NGR, r. 40(3).</w:t>
      </w:r>
    </w:p>
  </w:footnote>
  <w:footnote w:id="3">
    <w:p w:rsidR="001A6E7B" w:rsidRDefault="001A6E7B" w:rsidP="00A30AE9">
      <w:pPr>
        <w:pStyle w:val="FootnoteText"/>
      </w:pPr>
      <w:r>
        <w:rPr>
          <w:rStyle w:val="FootnoteReference"/>
        </w:rPr>
        <w:footnoteRef/>
      </w:r>
      <w:r>
        <w:t xml:space="preserve"> </w:t>
      </w:r>
      <w:r>
        <w:tab/>
        <w:t>NGR, r. 100; ‘Procedures’ are described at Part 15B of the NGR.</w:t>
      </w:r>
    </w:p>
  </w:footnote>
  <w:footnote w:id="4">
    <w:p w:rsidR="001A6E7B" w:rsidRDefault="001A6E7B" w:rsidP="002165DB">
      <w:pPr>
        <w:pStyle w:val="FootnoteText"/>
      </w:pPr>
      <w:r>
        <w:rPr>
          <w:rStyle w:val="FootnoteReference"/>
        </w:rPr>
        <w:footnoteRef/>
      </w:r>
      <w:r>
        <w:t xml:space="preserve"> </w:t>
      </w:r>
      <w:r>
        <w:tab/>
        <w:t>NGR, r. 40(3).</w:t>
      </w:r>
    </w:p>
  </w:footnote>
  <w:footnote w:id="5">
    <w:p w:rsidR="001A6E7B" w:rsidRDefault="001A6E7B" w:rsidP="002165DB">
      <w:pPr>
        <w:pStyle w:val="FootnoteText"/>
      </w:pPr>
      <w:r>
        <w:rPr>
          <w:rStyle w:val="FootnoteReference"/>
        </w:rPr>
        <w:footnoteRef/>
      </w:r>
      <w:r>
        <w:t xml:space="preserve"> </w:t>
      </w:r>
      <w:r>
        <w:tab/>
        <w:t>We did not receive any submissions on APTNT’s proposed terms and conditions.</w:t>
      </w:r>
    </w:p>
  </w:footnote>
  <w:footnote w:id="6">
    <w:p w:rsidR="001A6E7B" w:rsidRDefault="001A6E7B" w:rsidP="002165DB">
      <w:pPr>
        <w:pStyle w:val="FootnoteText"/>
      </w:pPr>
      <w:r>
        <w:rPr>
          <w:rStyle w:val="FootnoteReference"/>
        </w:rPr>
        <w:footnoteRef/>
      </w:r>
      <w:r>
        <w:t xml:space="preserve"> </w:t>
      </w:r>
      <w:r>
        <w:tab/>
        <w:t>NGL, s 189.</w:t>
      </w:r>
    </w:p>
  </w:footnote>
  <w:footnote w:id="7">
    <w:p w:rsidR="001A6E7B" w:rsidRDefault="001A6E7B">
      <w:pPr>
        <w:pStyle w:val="FootnoteText"/>
      </w:pPr>
      <w:r>
        <w:rPr>
          <w:rStyle w:val="FootnoteReference"/>
        </w:rPr>
        <w:footnoteRef/>
      </w:r>
      <w:r>
        <w:t xml:space="preserve"> </w:t>
      </w:r>
      <w:r>
        <w:tab/>
      </w:r>
      <w:r w:rsidRPr="00340AC0">
        <w:t xml:space="preserve">This is subject to section 135, which requires the service provider to comply with the queueing requirements of the applicable access arrangement - see section </w:t>
      </w:r>
      <w:r w:rsidR="006C1B37">
        <w:fldChar w:fldCharType="begin"/>
      </w:r>
      <w:r w:rsidR="006C1B37">
        <w:instrText xml:space="preserve"> REF _Ref433880641 \r \h </w:instrText>
      </w:r>
      <w:r w:rsidR="006C1B37">
        <w:fldChar w:fldCharType="separate"/>
      </w:r>
      <w:r w:rsidR="006C1B37">
        <w:t>12.2</w:t>
      </w:r>
      <w:r w:rsidR="006C1B37">
        <w:fldChar w:fldCharType="end"/>
      </w:r>
      <w:r w:rsidR="006C1B37">
        <w:t xml:space="preserve"> </w:t>
      </w:r>
      <w:r w:rsidRPr="00340AC0">
        <w:t>below.</w:t>
      </w:r>
    </w:p>
  </w:footnote>
  <w:footnote w:id="8">
    <w:p w:rsidR="001A6E7B" w:rsidRDefault="001A6E7B" w:rsidP="002165DB">
      <w:pPr>
        <w:pStyle w:val="FootnoteText"/>
      </w:pPr>
      <w:r>
        <w:rPr>
          <w:rStyle w:val="FootnoteReference"/>
        </w:rPr>
        <w:footnoteRef/>
      </w:r>
      <w:r>
        <w:t xml:space="preserve"> </w:t>
      </w:r>
      <w:r>
        <w:tab/>
        <w:t xml:space="preserve">See: </w:t>
      </w:r>
      <w:r w:rsidRPr="00CF2C88">
        <w:t>Application by WA Gas Networks Pty Ltd (No 3) [2012] ACompT 12</w:t>
      </w:r>
      <w:r>
        <w:t xml:space="preserve"> at [261]-[278]; and </w:t>
      </w:r>
      <w:r w:rsidRPr="00CF2C88">
        <w:t xml:space="preserve">Australian Competition and Consumer </w:t>
      </w:r>
      <w:r>
        <w:t>Commission</w:t>
      </w:r>
      <w:r w:rsidRPr="00CF2C88">
        <w:t xml:space="preserve"> v Telstra Corporation [2009] FCAFC 68</w:t>
      </w:r>
      <w:r>
        <w:t>.</w:t>
      </w:r>
    </w:p>
  </w:footnote>
  <w:footnote w:id="9">
    <w:p w:rsidR="001A6E7B" w:rsidRDefault="001A6E7B" w:rsidP="0006288E">
      <w:pPr>
        <w:pStyle w:val="FootnoteText"/>
      </w:pPr>
      <w:r>
        <w:rPr>
          <w:rStyle w:val="FootnoteReference"/>
        </w:rPr>
        <w:footnoteRef/>
      </w:r>
      <w:r>
        <w:t xml:space="preserve"> </w:t>
      </w:r>
      <w:r>
        <w:tab/>
        <w:t xml:space="preserve">APTNT, </w:t>
      </w:r>
      <w:r w:rsidRPr="0070416C">
        <w:rPr>
          <w:rStyle w:val="AERtextitalic"/>
        </w:rPr>
        <w:t>Amadeus Gas Pipeline Access Arrangement Revision Proposal Submission</w:t>
      </w:r>
      <w:r>
        <w:rPr>
          <w:rStyle w:val="AERtextitalic"/>
        </w:rPr>
        <w:t>,</w:t>
      </w:r>
      <w:r>
        <w:t xml:space="preserve"> August 2015, pp. 28–29.</w:t>
      </w:r>
    </w:p>
  </w:footnote>
  <w:footnote w:id="10">
    <w:p w:rsidR="001A6E7B" w:rsidRDefault="001A6E7B">
      <w:pPr>
        <w:pStyle w:val="FootnoteText"/>
      </w:pPr>
      <w:r>
        <w:rPr>
          <w:rStyle w:val="FootnoteReference"/>
        </w:rPr>
        <w:footnoteRef/>
      </w:r>
      <w:r>
        <w:t xml:space="preserve"> </w:t>
      </w:r>
      <w:r>
        <w:tab/>
        <w:t xml:space="preserve">APTNT, </w:t>
      </w:r>
      <w:r w:rsidRPr="00730BE4">
        <w:rPr>
          <w:i/>
        </w:rPr>
        <w:t>Response to information request 007</w:t>
      </w:r>
      <w:r>
        <w:t>, 18 September 2015, p. 2.</w:t>
      </w:r>
    </w:p>
  </w:footnote>
  <w:footnote w:id="11">
    <w:p w:rsidR="001A6E7B" w:rsidRDefault="001A6E7B">
      <w:pPr>
        <w:pStyle w:val="FootnoteText"/>
      </w:pPr>
      <w:r>
        <w:rPr>
          <w:rStyle w:val="FootnoteReference"/>
        </w:rPr>
        <w:footnoteRef/>
      </w:r>
      <w:r>
        <w:t xml:space="preserve"> </w:t>
      </w:r>
      <w:r>
        <w:tab/>
        <w:t xml:space="preserve">APTNT, </w:t>
      </w:r>
      <w:r w:rsidRPr="0070416C">
        <w:rPr>
          <w:rStyle w:val="AERtextitalic"/>
        </w:rPr>
        <w:t>Amadeus Gas Pipeline Access Arrangement Revision Proposal Submission</w:t>
      </w:r>
      <w:r>
        <w:rPr>
          <w:rStyle w:val="AERtextitalic"/>
        </w:rPr>
        <w:t>,</w:t>
      </w:r>
      <w:r>
        <w:t xml:space="preserve"> August 2015, pp. 28–29.</w:t>
      </w:r>
    </w:p>
  </w:footnote>
  <w:footnote w:id="12">
    <w:p w:rsidR="001A6E7B" w:rsidRDefault="001A6E7B">
      <w:pPr>
        <w:pStyle w:val="FootnoteText"/>
      </w:pPr>
      <w:r>
        <w:rPr>
          <w:rStyle w:val="FootnoteReference"/>
        </w:rPr>
        <w:footnoteRef/>
      </w:r>
      <w:r>
        <w:t xml:space="preserve"> </w:t>
      </w:r>
      <w:r>
        <w:tab/>
        <w:t xml:space="preserve">APTNT, </w:t>
      </w:r>
      <w:r w:rsidRPr="0070416C">
        <w:rPr>
          <w:rStyle w:val="AERtextitalic"/>
        </w:rPr>
        <w:t>Amadeus Gas Pipeline Access Arrangement Revision Proposal Submission</w:t>
      </w:r>
      <w:r>
        <w:rPr>
          <w:rStyle w:val="AERtextitalic"/>
        </w:rPr>
        <w:t>,</w:t>
      </w:r>
      <w:r>
        <w:t xml:space="preserve"> August 2015, pp. 28–29.</w:t>
      </w:r>
    </w:p>
  </w:footnote>
  <w:footnote w:id="13">
    <w:p w:rsidR="001A6E7B" w:rsidRDefault="001A6E7B">
      <w:pPr>
        <w:pStyle w:val="FootnoteText"/>
      </w:pPr>
      <w:r>
        <w:rPr>
          <w:rStyle w:val="FootnoteReference"/>
        </w:rPr>
        <w:footnoteRef/>
      </w:r>
      <w:r>
        <w:t xml:space="preserve"> </w:t>
      </w:r>
      <w:r>
        <w:tab/>
        <w:t xml:space="preserve">APTNT, </w:t>
      </w:r>
      <w:r w:rsidRPr="00730BE4">
        <w:rPr>
          <w:i/>
        </w:rPr>
        <w:t>Response to information request 007</w:t>
      </w:r>
      <w:r>
        <w:t>, 18 September 2015, p. 1.</w:t>
      </w:r>
    </w:p>
  </w:footnote>
  <w:footnote w:id="14">
    <w:p w:rsidR="001A6E7B" w:rsidRDefault="001A6E7B">
      <w:pPr>
        <w:pStyle w:val="FootnoteText"/>
      </w:pPr>
      <w:r>
        <w:rPr>
          <w:rStyle w:val="FootnoteReference"/>
        </w:rPr>
        <w:footnoteRef/>
      </w:r>
      <w:r>
        <w:t xml:space="preserve"> </w:t>
      </w:r>
      <w:r>
        <w:tab/>
        <w:t xml:space="preserve">APTNT, </w:t>
      </w:r>
      <w:r w:rsidRPr="00730BE4">
        <w:rPr>
          <w:i/>
        </w:rPr>
        <w:t>Response to information request 007</w:t>
      </w:r>
      <w:r>
        <w:t>, 18 September 2015, p. 1.</w:t>
      </w:r>
    </w:p>
  </w:footnote>
  <w:footnote w:id="15">
    <w:p w:rsidR="001A6E7B" w:rsidRDefault="001A6E7B">
      <w:pPr>
        <w:pStyle w:val="FootnoteText"/>
      </w:pPr>
      <w:r>
        <w:rPr>
          <w:rStyle w:val="FootnoteReference"/>
        </w:rPr>
        <w:footnoteRef/>
      </w:r>
      <w:r>
        <w:t xml:space="preserve"> </w:t>
      </w:r>
      <w:r>
        <w:tab/>
        <w:t>RBP Access arrangement, Schedule 3, Terms and Conditions, cl</w:t>
      </w:r>
      <w:r w:rsidR="00D15A42">
        <w:t>.</w:t>
      </w:r>
      <w:r>
        <w:t xml:space="preserve"> 88.</w:t>
      </w:r>
    </w:p>
  </w:footnote>
  <w:footnote w:id="16">
    <w:p w:rsidR="001A6E7B" w:rsidRDefault="001A6E7B">
      <w:pPr>
        <w:pStyle w:val="FootnoteText"/>
      </w:pPr>
      <w:r>
        <w:rPr>
          <w:rStyle w:val="FootnoteReference"/>
        </w:rPr>
        <w:footnoteRef/>
      </w:r>
      <w:r>
        <w:t xml:space="preserve"> </w:t>
      </w:r>
      <w:r>
        <w:tab/>
        <w:t xml:space="preserve">APTNT, </w:t>
      </w:r>
      <w:r w:rsidRPr="00730BE4">
        <w:rPr>
          <w:i/>
        </w:rPr>
        <w:t>Response to information request 007</w:t>
      </w:r>
      <w:r>
        <w:t>, 18 September 2015, pp. 1–2.</w:t>
      </w:r>
    </w:p>
  </w:footnote>
  <w:footnote w:id="17">
    <w:p w:rsidR="001A6E7B" w:rsidRDefault="001A6E7B" w:rsidP="00652C31">
      <w:pPr>
        <w:pStyle w:val="FootnoteText"/>
      </w:pPr>
      <w:r>
        <w:rPr>
          <w:rStyle w:val="FootnoteReference"/>
        </w:rPr>
        <w:footnoteRef/>
      </w:r>
      <w:r>
        <w:t xml:space="preserve"> </w:t>
      </w:r>
      <w:r>
        <w:tab/>
        <w:t xml:space="preserve">AER, </w:t>
      </w:r>
      <w:r w:rsidRPr="00B079C1">
        <w:rPr>
          <w:i/>
        </w:rPr>
        <w:t>APT Petroleum Pipeline Pty Ltd Access arrangement final decision Roma to Brisbane Pipeline 2012–13 to 2016–17</w:t>
      </w:r>
      <w:r>
        <w:t>, pp. 157–158.</w:t>
      </w:r>
    </w:p>
  </w:footnote>
  <w:footnote w:id="18">
    <w:p w:rsidR="001A6E7B" w:rsidRDefault="001A6E7B" w:rsidP="0029628C">
      <w:pPr>
        <w:pStyle w:val="FootnoteText"/>
      </w:pPr>
      <w:r>
        <w:rPr>
          <w:rStyle w:val="FootnoteReference"/>
        </w:rPr>
        <w:footnoteRef/>
      </w:r>
      <w:r>
        <w:t xml:space="preserve"> </w:t>
      </w:r>
      <w:r>
        <w:tab/>
        <w:t xml:space="preserve">APTNT, </w:t>
      </w:r>
      <w:r w:rsidRPr="00730BE4">
        <w:rPr>
          <w:i/>
        </w:rPr>
        <w:t>Response to information request 007</w:t>
      </w:r>
      <w:r>
        <w:t>, 18 September 2015, p. 2.</w:t>
      </w:r>
    </w:p>
  </w:footnote>
  <w:footnote w:id="19">
    <w:p w:rsidR="001A6E7B" w:rsidRDefault="001A6E7B">
      <w:pPr>
        <w:pStyle w:val="FootnoteText"/>
      </w:pPr>
      <w:r>
        <w:rPr>
          <w:rStyle w:val="FootnoteReference"/>
        </w:rPr>
        <w:footnoteRef/>
      </w:r>
      <w:r>
        <w:t xml:space="preserve"> </w:t>
      </w:r>
      <w:r>
        <w:tab/>
        <w:t xml:space="preserve">APTNT, </w:t>
      </w:r>
      <w:r w:rsidRPr="00730BE4">
        <w:rPr>
          <w:i/>
        </w:rPr>
        <w:t>Response to information request 006</w:t>
      </w:r>
      <w:r>
        <w:t>, 15 September 2015, p. 1.</w:t>
      </w:r>
    </w:p>
  </w:footnote>
  <w:footnote w:id="20">
    <w:p w:rsidR="001A6E7B" w:rsidRDefault="001A6E7B" w:rsidP="00E06C55">
      <w:pPr>
        <w:pStyle w:val="FootnoteText"/>
      </w:pPr>
      <w:r>
        <w:rPr>
          <w:rStyle w:val="FootnoteReference"/>
        </w:rPr>
        <w:footnoteRef/>
      </w:r>
      <w:r>
        <w:t xml:space="preserve"> </w:t>
      </w:r>
      <w:r>
        <w:tab/>
        <w:t>NGR, r. 103(3)</w:t>
      </w:r>
    </w:p>
  </w:footnote>
  <w:footnote w:id="21">
    <w:p w:rsidR="001A6E7B" w:rsidRDefault="001A6E7B" w:rsidP="00E06C55">
      <w:pPr>
        <w:pStyle w:val="FootnoteText"/>
      </w:pPr>
      <w:r>
        <w:rPr>
          <w:rStyle w:val="FootnoteReference"/>
        </w:rPr>
        <w:footnoteRef/>
      </w:r>
      <w:r>
        <w:t xml:space="preserve"> </w:t>
      </w:r>
      <w:r>
        <w:tab/>
        <w:t xml:space="preserve">APA Group, </w:t>
      </w:r>
      <w:r w:rsidRPr="002618E5">
        <w:rPr>
          <w:i/>
        </w:rPr>
        <w:t>Amadeus Gas Pipeline,</w:t>
      </w:r>
      <w:r>
        <w:t xml:space="preserve"> </w:t>
      </w:r>
      <w:r w:rsidRPr="00B16798">
        <w:rPr>
          <w:i/>
        </w:rPr>
        <w:t xml:space="preserve">Access Arrangement </w:t>
      </w:r>
      <w:r>
        <w:rPr>
          <w:i/>
        </w:rPr>
        <w:t>Revision Proposal, Submission</w:t>
      </w:r>
      <w:r w:rsidRPr="00B16798">
        <w:rPr>
          <w:i/>
        </w:rPr>
        <w:t>, 1 July 2016 to 30 June 2021</w:t>
      </w:r>
      <w:r>
        <w:t>, August 2015, p. 26. The proposed access arrangement has a new additional term in its Glossary to define Capacity.</w:t>
      </w:r>
    </w:p>
  </w:footnote>
  <w:footnote w:id="22">
    <w:p w:rsidR="001A6E7B" w:rsidRDefault="001A6E7B" w:rsidP="00E06C55">
      <w:pPr>
        <w:pStyle w:val="FootnoteText"/>
      </w:pPr>
      <w:r>
        <w:rPr>
          <w:rStyle w:val="FootnoteReference"/>
        </w:rPr>
        <w:footnoteRef/>
      </w:r>
      <w:r>
        <w:t xml:space="preserve"> </w:t>
      </w:r>
      <w:r>
        <w:tab/>
        <w:t xml:space="preserve">APA Group, </w:t>
      </w:r>
      <w:r w:rsidRPr="002618E5">
        <w:rPr>
          <w:i/>
        </w:rPr>
        <w:t>Amadeus Gas Pipeline,</w:t>
      </w:r>
      <w:r>
        <w:t xml:space="preserve"> </w:t>
      </w:r>
      <w:r w:rsidRPr="00B16798">
        <w:rPr>
          <w:i/>
        </w:rPr>
        <w:t xml:space="preserve">Access Arrangement </w:t>
      </w:r>
      <w:r>
        <w:rPr>
          <w:i/>
        </w:rPr>
        <w:t>Revision Proposal, Submission</w:t>
      </w:r>
      <w:r w:rsidRPr="00B16798">
        <w:rPr>
          <w:i/>
        </w:rPr>
        <w:t>, 1 July 2016 to 30 June 2021</w:t>
      </w:r>
      <w:r>
        <w:t>, August 2015, p. 26.</w:t>
      </w:r>
    </w:p>
  </w:footnote>
  <w:footnote w:id="23">
    <w:p w:rsidR="001A6E7B" w:rsidRDefault="001A6E7B" w:rsidP="00E06C55">
      <w:pPr>
        <w:pStyle w:val="FootnoteText"/>
      </w:pPr>
      <w:r>
        <w:rPr>
          <w:rStyle w:val="FootnoteReference"/>
        </w:rPr>
        <w:footnoteRef/>
      </w:r>
      <w:r>
        <w:t xml:space="preserve"> </w:t>
      </w:r>
      <w:r>
        <w:tab/>
        <w:t>NGR, r. 103.</w:t>
      </w:r>
    </w:p>
  </w:footnote>
  <w:footnote w:id="24">
    <w:p w:rsidR="001A6E7B" w:rsidRDefault="001A6E7B" w:rsidP="00E06C55">
      <w:pPr>
        <w:pStyle w:val="FootnoteText"/>
      </w:pPr>
      <w:r>
        <w:rPr>
          <w:rStyle w:val="FootnoteReference"/>
        </w:rPr>
        <w:footnoteRef/>
      </w:r>
      <w:r>
        <w:t xml:space="preserve"> </w:t>
      </w:r>
      <w:r>
        <w:tab/>
        <w:t xml:space="preserve">NGR, r. 103(2). The </w:t>
      </w:r>
      <w:r w:rsidRPr="009E4592">
        <w:t xml:space="preserve">AER </w:t>
      </w:r>
      <w:r>
        <w:t>did not notify</w:t>
      </w:r>
      <w:r w:rsidRPr="009E4592">
        <w:t xml:space="preserve"> </w:t>
      </w:r>
      <w:r>
        <w:t>APTNT</w:t>
      </w:r>
      <w:r w:rsidRPr="009E4592">
        <w:t xml:space="preserve"> that its access arrangement proposal must provide details of its queuing arrangements</w:t>
      </w:r>
      <w:r w:rsidRPr="002E0FD9">
        <w:t xml:space="preserve"> </w:t>
      </w:r>
      <w:r>
        <w:t>(</w:t>
      </w:r>
      <w:r w:rsidRPr="009E4592">
        <w:t xml:space="preserve">Schedule 1 of the </w:t>
      </w:r>
      <w:r>
        <w:t xml:space="preserve">AER's </w:t>
      </w:r>
      <w:r w:rsidRPr="009E4592">
        <w:t>Regulation Information Notice</w:t>
      </w:r>
      <w:r>
        <w:t xml:space="preserve"> dated 2 June 2015).</w:t>
      </w:r>
    </w:p>
  </w:footnote>
  <w:footnote w:id="25">
    <w:p w:rsidR="001A6E7B" w:rsidRDefault="001A6E7B" w:rsidP="00E06C55">
      <w:pPr>
        <w:pStyle w:val="FootnoteText"/>
      </w:pPr>
      <w:r>
        <w:rPr>
          <w:rStyle w:val="FootnoteReference"/>
        </w:rPr>
        <w:footnoteRef/>
      </w:r>
      <w:r>
        <w:t xml:space="preserve"> </w:t>
      </w:r>
      <w:r>
        <w:tab/>
        <w:t xml:space="preserve">APA Group, </w:t>
      </w:r>
      <w:r w:rsidRPr="00B16798">
        <w:rPr>
          <w:i/>
        </w:rPr>
        <w:t>Access Arrangement for the Amadeus Gas Pipeline, 1 July 2016 to 30 June 2021</w:t>
      </w:r>
      <w:r>
        <w:t>, August 2015, pp. 24-26.</w:t>
      </w:r>
    </w:p>
  </w:footnote>
  <w:footnote w:id="26">
    <w:p w:rsidR="001A6E7B" w:rsidRDefault="001A6E7B" w:rsidP="00E06C55">
      <w:pPr>
        <w:pStyle w:val="FootnoteText"/>
      </w:pPr>
      <w:r>
        <w:rPr>
          <w:rStyle w:val="FootnoteReference"/>
        </w:rPr>
        <w:footnoteRef/>
      </w:r>
      <w:r>
        <w:t xml:space="preserve"> </w:t>
      </w:r>
      <w:r>
        <w:tab/>
        <w:t xml:space="preserve">NGR, r. 105(2).  </w:t>
      </w:r>
    </w:p>
  </w:footnote>
  <w:footnote w:id="27">
    <w:p w:rsidR="001A6E7B" w:rsidRDefault="001A6E7B" w:rsidP="00E06C55">
      <w:pPr>
        <w:pStyle w:val="FootnoteText"/>
      </w:pPr>
      <w:r>
        <w:rPr>
          <w:rStyle w:val="FootnoteReference"/>
        </w:rPr>
        <w:footnoteRef/>
      </w:r>
      <w:r>
        <w:t xml:space="preserve"> </w:t>
      </w:r>
      <w:r>
        <w:tab/>
        <w:t xml:space="preserve">APA Group, </w:t>
      </w:r>
      <w:r w:rsidRPr="002618E5">
        <w:rPr>
          <w:i/>
        </w:rPr>
        <w:t>Amadeus Gas Pipeline,</w:t>
      </w:r>
      <w:r>
        <w:t xml:space="preserve"> </w:t>
      </w:r>
      <w:r w:rsidRPr="00B16798">
        <w:rPr>
          <w:i/>
        </w:rPr>
        <w:t xml:space="preserve">Access Arrangement </w:t>
      </w:r>
      <w:r>
        <w:rPr>
          <w:i/>
        </w:rPr>
        <w:t>Revision Proposal, Submission</w:t>
      </w:r>
      <w:r w:rsidRPr="00B16798">
        <w:rPr>
          <w:i/>
        </w:rPr>
        <w:t>, 1 July 2016 to 30 June 2021</w:t>
      </w:r>
      <w:r>
        <w:t>, August 2015, p. 26.</w:t>
      </w:r>
    </w:p>
  </w:footnote>
  <w:footnote w:id="28">
    <w:p w:rsidR="001A6E7B" w:rsidRDefault="001A6E7B" w:rsidP="00E06C55">
      <w:pPr>
        <w:pStyle w:val="FootnoteText"/>
      </w:pPr>
      <w:r>
        <w:rPr>
          <w:rStyle w:val="FootnoteReference"/>
        </w:rPr>
        <w:footnoteRef/>
      </w:r>
      <w:r>
        <w:t xml:space="preserve"> </w:t>
      </w:r>
      <w:r>
        <w:tab/>
      </w:r>
      <w:r w:rsidRPr="002754BF">
        <w:t>NGR, r. 3.</w:t>
      </w:r>
    </w:p>
  </w:footnote>
  <w:footnote w:id="29">
    <w:p w:rsidR="001A6E7B" w:rsidRDefault="001A6E7B" w:rsidP="00E06C55">
      <w:pPr>
        <w:pStyle w:val="FootnoteText"/>
      </w:pPr>
      <w:r>
        <w:rPr>
          <w:rStyle w:val="FootnoteReference"/>
        </w:rPr>
        <w:footnoteRef/>
      </w:r>
      <w:r>
        <w:t xml:space="preserve"> </w:t>
      </w:r>
      <w:r>
        <w:tab/>
      </w:r>
      <w:r w:rsidRPr="0002283B">
        <w:rPr>
          <w:szCs w:val="16"/>
        </w:rPr>
        <w:t>Rule 48(1)(g) for full access arrangements, r. 45(1)(f) for limited access arrangements for light regulation services, r. 129(1)(f) for international pipelines, and r. 24(2)(c)(v) for CTP access arrangements.</w:t>
      </w:r>
      <w:r>
        <w:rPr>
          <w:sz w:val="20"/>
        </w:rPr>
        <w:t xml:space="preserve"> </w:t>
      </w:r>
      <w:r>
        <w:t xml:space="preserve"> </w:t>
      </w:r>
    </w:p>
  </w:footnote>
  <w:footnote w:id="30">
    <w:p w:rsidR="001A6E7B" w:rsidRDefault="001A6E7B" w:rsidP="00E06C55">
      <w:pPr>
        <w:pStyle w:val="FootnoteText"/>
      </w:pPr>
      <w:r>
        <w:rPr>
          <w:rStyle w:val="FootnoteReference"/>
        </w:rPr>
        <w:footnoteRef/>
      </w:r>
      <w:r>
        <w:t xml:space="preserve"> </w:t>
      </w:r>
      <w:r>
        <w:tab/>
        <w:t xml:space="preserve">APA Group, </w:t>
      </w:r>
      <w:r w:rsidRPr="002618E5">
        <w:rPr>
          <w:i/>
        </w:rPr>
        <w:t>Amadeus Gas Pipeline,</w:t>
      </w:r>
      <w:r>
        <w:t xml:space="preserve"> </w:t>
      </w:r>
      <w:r w:rsidRPr="00B16798">
        <w:rPr>
          <w:i/>
        </w:rPr>
        <w:t xml:space="preserve">Access Arrangement </w:t>
      </w:r>
      <w:r>
        <w:rPr>
          <w:i/>
        </w:rPr>
        <w:t>Revision Proposal, Submission</w:t>
      </w:r>
      <w:r w:rsidRPr="00B16798">
        <w:rPr>
          <w:i/>
        </w:rPr>
        <w:t>, 1 July 2016 to 30 June 2021</w:t>
      </w:r>
      <w:r>
        <w:t>, August 2015, p. 25.</w:t>
      </w:r>
    </w:p>
  </w:footnote>
  <w:footnote w:id="31">
    <w:p w:rsidR="001A6E7B" w:rsidRDefault="001A6E7B" w:rsidP="00E06C55">
      <w:pPr>
        <w:pStyle w:val="FootnoteText"/>
      </w:pPr>
      <w:r>
        <w:rPr>
          <w:rStyle w:val="FootnoteReference"/>
        </w:rPr>
        <w:footnoteRef/>
      </w:r>
      <w:r>
        <w:t xml:space="preserve"> </w:t>
      </w:r>
      <w:r>
        <w:tab/>
        <w:t xml:space="preserve">APA Group, </w:t>
      </w:r>
      <w:r w:rsidRPr="002618E5">
        <w:rPr>
          <w:i/>
        </w:rPr>
        <w:t>Amadeus Gas Pipeline,</w:t>
      </w:r>
      <w:r>
        <w:t xml:space="preserve"> </w:t>
      </w:r>
      <w:r w:rsidRPr="00B16798">
        <w:rPr>
          <w:i/>
        </w:rPr>
        <w:t xml:space="preserve">Access Arrangement </w:t>
      </w:r>
      <w:r>
        <w:rPr>
          <w:i/>
        </w:rPr>
        <w:t>Revision Proposal, Submission</w:t>
      </w:r>
      <w:r w:rsidRPr="00B16798">
        <w:rPr>
          <w:i/>
        </w:rPr>
        <w:t>, 1 July 2016 to 30 June 2021</w:t>
      </w:r>
      <w:r>
        <w:t>, August 2015, pp. 5-6.</w:t>
      </w:r>
    </w:p>
  </w:footnote>
  <w:footnote w:id="32">
    <w:p w:rsidR="001A6E7B" w:rsidRDefault="001A6E7B" w:rsidP="00E06C55">
      <w:pPr>
        <w:pStyle w:val="FootnoteText"/>
      </w:pPr>
      <w:r>
        <w:rPr>
          <w:rStyle w:val="FootnoteReference"/>
        </w:rPr>
        <w:footnoteRef/>
      </w:r>
      <w:r>
        <w:t xml:space="preserve"> </w:t>
      </w:r>
      <w:r>
        <w:tab/>
        <w:t xml:space="preserve">APA Group, </w:t>
      </w:r>
      <w:r w:rsidRPr="002618E5">
        <w:rPr>
          <w:i/>
        </w:rPr>
        <w:t>Amadeus Gas Pipeline,</w:t>
      </w:r>
      <w:r>
        <w:t xml:space="preserve"> </w:t>
      </w:r>
      <w:r w:rsidRPr="00B16798">
        <w:rPr>
          <w:i/>
        </w:rPr>
        <w:t xml:space="preserve">Access Arrangement </w:t>
      </w:r>
      <w:r>
        <w:rPr>
          <w:i/>
        </w:rPr>
        <w:t>Revision Proposal, Submission</w:t>
      </w:r>
      <w:r w:rsidRPr="00B16798">
        <w:rPr>
          <w:i/>
        </w:rPr>
        <w:t>, 1 July 2016 to 30 June 2021</w:t>
      </w:r>
      <w:r>
        <w:t>, August 2015, p. 25.</w:t>
      </w:r>
    </w:p>
  </w:footnote>
  <w:footnote w:id="33">
    <w:p w:rsidR="001A6E7B" w:rsidRDefault="001A6E7B" w:rsidP="00E06C55">
      <w:pPr>
        <w:pStyle w:val="FootnoteText"/>
      </w:pPr>
      <w:r>
        <w:rPr>
          <w:rStyle w:val="FootnoteReference"/>
        </w:rPr>
        <w:footnoteRef/>
      </w:r>
      <w:r>
        <w:t xml:space="preserve"> </w:t>
      </w:r>
      <w:r>
        <w:tab/>
        <w:t>NGR, r. 104.</w:t>
      </w:r>
    </w:p>
  </w:footnote>
  <w:footnote w:id="34">
    <w:p w:rsidR="001A6E7B" w:rsidRDefault="001A6E7B" w:rsidP="00E06C55">
      <w:pPr>
        <w:pStyle w:val="FootnoteText"/>
      </w:pPr>
      <w:r>
        <w:rPr>
          <w:rStyle w:val="FootnoteReference"/>
        </w:rPr>
        <w:footnoteRef/>
      </w:r>
      <w:r>
        <w:t xml:space="preserve"> </w:t>
      </w:r>
      <w:r>
        <w:tab/>
        <w:t xml:space="preserve">APA Group, </w:t>
      </w:r>
      <w:r w:rsidRPr="00B16798">
        <w:rPr>
          <w:i/>
        </w:rPr>
        <w:t xml:space="preserve">Access Arrangement </w:t>
      </w:r>
      <w:r>
        <w:rPr>
          <w:i/>
        </w:rPr>
        <w:t xml:space="preserve">for the </w:t>
      </w:r>
      <w:r w:rsidRPr="002618E5">
        <w:rPr>
          <w:i/>
        </w:rPr>
        <w:t>Amadeus Gas Pipeline</w:t>
      </w:r>
      <w:r>
        <w:rPr>
          <w:i/>
        </w:rPr>
        <w:t xml:space="preserve">, </w:t>
      </w:r>
      <w:r w:rsidRPr="00B16798">
        <w:rPr>
          <w:i/>
        </w:rPr>
        <w:t>1 July 2016 to 30 June 2021</w:t>
      </w:r>
      <w:r>
        <w:t>, August 2015, cl. 7, p. 28.</w:t>
      </w:r>
    </w:p>
  </w:footnote>
  <w:footnote w:id="35">
    <w:p w:rsidR="001A6E7B" w:rsidRDefault="001A6E7B">
      <w:pPr>
        <w:pStyle w:val="FootnoteText"/>
      </w:pPr>
      <w:r>
        <w:rPr>
          <w:rStyle w:val="FootnoteReference"/>
        </w:rPr>
        <w:footnoteRef/>
      </w:r>
      <w:r>
        <w:t xml:space="preserve"> </w:t>
      </w:r>
      <w:r>
        <w:tab/>
        <w:t xml:space="preserve">APTNT, </w:t>
      </w:r>
      <w:r w:rsidRPr="009F13D6">
        <w:rPr>
          <w:rStyle w:val="Emphasis"/>
        </w:rPr>
        <w:t>Response to Information Request No. 8</w:t>
      </w:r>
      <w:r>
        <w:t>, 22 September 2015, pp. 1-2</w:t>
      </w:r>
      <w:r w:rsidR="006C1B37">
        <w:t>.</w:t>
      </w:r>
    </w:p>
  </w:footnote>
  <w:footnote w:id="36">
    <w:p w:rsidR="001A6E7B" w:rsidRDefault="001A6E7B">
      <w:pPr>
        <w:pStyle w:val="FootnoteText"/>
      </w:pPr>
      <w:r>
        <w:rPr>
          <w:rStyle w:val="FootnoteReference"/>
        </w:rPr>
        <w:footnoteRef/>
      </w:r>
      <w:r>
        <w:t xml:space="preserve"> </w:t>
      </w:r>
      <w:r>
        <w:tab/>
        <w:t xml:space="preserve">APTNT, </w:t>
      </w:r>
      <w:r w:rsidRPr="009F13D6">
        <w:rPr>
          <w:rStyle w:val="Emphasis"/>
        </w:rPr>
        <w:t>Response to Information Request No. 8</w:t>
      </w:r>
      <w:r>
        <w:t>, 22 September 2015, pp. 1–2</w:t>
      </w:r>
      <w:r w:rsidR="006C1B37">
        <w:t>.</w:t>
      </w:r>
    </w:p>
  </w:footnote>
  <w:footnote w:id="37">
    <w:p w:rsidR="001A6E7B" w:rsidRDefault="001A6E7B" w:rsidP="00E06C55">
      <w:pPr>
        <w:pStyle w:val="FootnoteText"/>
      </w:pPr>
      <w:r>
        <w:rPr>
          <w:rStyle w:val="FootnoteReference"/>
        </w:rPr>
        <w:footnoteRef/>
      </w:r>
      <w:r>
        <w:t xml:space="preserve"> </w:t>
      </w:r>
      <w:r>
        <w:tab/>
      </w:r>
      <w:r w:rsidRPr="00863A35">
        <w:rPr>
          <w:rStyle w:val="FootnoteTextChar"/>
        </w:rPr>
        <w:t>Santos</w:t>
      </w:r>
      <w:r>
        <w:rPr>
          <w:rStyle w:val="FootnoteTextChar"/>
        </w:rPr>
        <w:t xml:space="preserve">, </w:t>
      </w:r>
      <w:r w:rsidRPr="00D60C88">
        <w:rPr>
          <w:rStyle w:val="Emphasis"/>
        </w:rPr>
        <w:t>Amadeus Gas Pipeline: Access Arrangement Revision Proposal 2016-21</w:t>
      </w:r>
      <w:r>
        <w:rPr>
          <w:rStyle w:val="FootnoteTextChar"/>
        </w:rPr>
        <w:t>, 2 September 2015, p. 1.</w:t>
      </w:r>
    </w:p>
  </w:footnote>
  <w:footnote w:id="38">
    <w:p w:rsidR="001A6E7B" w:rsidRDefault="001A6E7B" w:rsidP="00E06C55">
      <w:pPr>
        <w:pStyle w:val="FootnoteText"/>
      </w:pPr>
      <w:r>
        <w:rPr>
          <w:rStyle w:val="FootnoteReference"/>
        </w:rPr>
        <w:footnoteRef/>
      </w:r>
      <w:r>
        <w:t xml:space="preserve"> </w:t>
      </w:r>
      <w:r>
        <w:tab/>
      </w:r>
      <w:r w:rsidRPr="00863A35">
        <w:rPr>
          <w:rStyle w:val="FootnoteTextChar"/>
        </w:rPr>
        <w:t>Santos</w:t>
      </w:r>
      <w:r>
        <w:rPr>
          <w:rStyle w:val="FootnoteTextChar"/>
        </w:rPr>
        <w:t xml:space="preserve">, </w:t>
      </w:r>
      <w:r w:rsidRPr="00D60C88">
        <w:rPr>
          <w:rStyle w:val="Emphasis"/>
        </w:rPr>
        <w:t>Amadeus Gas Pipeline: Access Arrangement Revision Proposal 2016-21</w:t>
      </w:r>
      <w:r>
        <w:rPr>
          <w:rStyle w:val="FootnoteTextChar"/>
        </w:rPr>
        <w:t>, 2 September 2015, p. 2.</w:t>
      </w:r>
    </w:p>
  </w:footnote>
  <w:footnote w:id="39">
    <w:p w:rsidR="001A6E7B" w:rsidRDefault="001A6E7B" w:rsidP="00E06C55">
      <w:pPr>
        <w:pStyle w:val="FootnoteText"/>
      </w:pPr>
      <w:r>
        <w:rPr>
          <w:rStyle w:val="FootnoteReference"/>
        </w:rPr>
        <w:footnoteRef/>
      </w:r>
      <w:r>
        <w:t xml:space="preserve"> </w:t>
      </w:r>
      <w:r>
        <w:tab/>
      </w:r>
      <w:r w:rsidRPr="00863A35">
        <w:rPr>
          <w:rStyle w:val="FootnoteTextChar"/>
        </w:rPr>
        <w:t>Santos</w:t>
      </w:r>
      <w:r>
        <w:rPr>
          <w:rStyle w:val="FootnoteTextChar"/>
        </w:rPr>
        <w:t xml:space="preserve">, </w:t>
      </w:r>
      <w:r w:rsidRPr="00D60C88">
        <w:rPr>
          <w:rStyle w:val="Emphasis"/>
        </w:rPr>
        <w:t>Amadeus Gas Pipeline: Access Arrangement Revision Proposal 2016-21</w:t>
      </w:r>
      <w:r>
        <w:rPr>
          <w:rStyle w:val="FootnoteTextChar"/>
        </w:rPr>
        <w:t>, 2 September 2015, p. 2.</w:t>
      </w:r>
    </w:p>
  </w:footnote>
  <w:footnote w:id="40">
    <w:p w:rsidR="001A6E7B" w:rsidRDefault="001A6E7B" w:rsidP="00E06C55">
      <w:pPr>
        <w:pStyle w:val="FootnoteText"/>
      </w:pPr>
      <w:r>
        <w:rPr>
          <w:rStyle w:val="FootnoteReference"/>
        </w:rPr>
        <w:footnoteRef/>
      </w:r>
      <w:r>
        <w:t xml:space="preserve"> </w:t>
      </w:r>
      <w:r>
        <w:tab/>
        <w:t xml:space="preserve">AGL, </w:t>
      </w:r>
      <w:r w:rsidRPr="00E5655E">
        <w:rPr>
          <w:rStyle w:val="Emphasis"/>
        </w:rPr>
        <w:t>Amadeus Gas Pipeline: Access Arrangement Revision Proposal 2016-21</w:t>
      </w:r>
      <w:r>
        <w:t>, 2 September 2015, p. 2.</w:t>
      </w:r>
    </w:p>
  </w:footnote>
  <w:footnote w:id="41">
    <w:p w:rsidR="001A6E7B" w:rsidRDefault="001A6E7B" w:rsidP="00AE1397">
      <w:pPr>
        <w:pStyle w:val="FootnoteText"/>
      </w:pPr>
      <w:r>
        <w:rPr>
          <w:rStyle w:val="FootnoteReference"/>
        </w:rPr>
        <w:footnoteRef/>
      </w:r>
      <w:r>
        <w:t xml:space="preserve"> </w:t>
      </w:r>
      <w:r>
        <w:tab/>
        <w:t xml:space="preserve">AGL, </w:t>
      </w:r>
      <w:r w:rsidRPr="00E5655E">
        <w:rPr>
          <w:rStyle w:val="Emphasis"/>
        </w:rPr>
        <w:t>Amadeus Gas Pipeline: Access Arrangement Revision Proposal 2016-21</w:t>
      </w:r>
      <w:r>
        <w:t>, 2 September 2015, p. 2.</w:t>
      </w:r>
    </w:p>
  </w:footnote>
  <w:footnote w:id="42">
    <w:p w:rsidR="001A6E7B" w:rsidRDefault="001A6E7B" w:rsidP="00AE1397">
      <w:pPr>
        <w:pStyle w:val="FootnoteText"/>
      </w:pPr>
      <w:r>
        <w:rPr>
          <w:rStyle w:val="FootnoteReference"/>
        </w:rPr>
        <w:footnoteRef/>
      </w:r>
      <w:r>
        <w:t xml:space="preserve"> </w:t>
      </w:r>
      <w:r>
        <w:tab/>
        <w:t xml:space="preserve">AGL, </w:t>
      </w:r>
      <w:r w:rsidRPr="00E5655E">
        <w:rPr>
          <w:rStyle w:val="Emphasis"/>
        </w:rPr>
        <w:t>Amadeus Gas Pipeline: Access Arrangement Revision Proposal 2016-21</w:t>
      </w:r>
      <w:r>
        <w:t>, 2 September 2015, p. 2.</w:t>
      </w:r>
    </w:p>
  </w:footnote>
  <w:footnote w:id="43">
    <w:p w:rsidR="001A6E7B" w:rsidRPr="00D60C88" w:rsidRDefault="001A6E7B" w:rsidP="00AE1397">
      <w:pPr>
        <w:pStyle w:val="FootnoteText"/>
        <w:rPr>
          <w:rStyle w:val="FootnoteReference"/>
        </w:rPr>
      </w:pPr>
      <w:r w:rsidRPr="00D60C88">
        <w:rPr>
          <w:rStyle w:val="FootnoteReference"/>
        </w:rPr>
        <w:footnoteRef/>
      </w:r>
      <w:r w:rsidRPr="00D60C88">
        <w:rPr>
          <w:rStyle w:val="FootnoteReference"/>
        </w:rPr>
        <w:t xml:space="preserve"> </w:t>
      </w:r>
      <w:r w:rsidRPr="00D60C88">
        <w:rPr>
          <w:rStyle w:val="FootnoteReference"/>
        </w:rPr>
        <w:tab/>
      </w:r>
      <w:r w:rsidRPr="00D60C88">
        <w:t xml:space="preserve">AER, </w:t>
      </w:r>
      <w:r w:rsidRPr="00D60C88">
        <w:rPr>
          <w:rStyle w:val="Emphasis"/>
        </w:rPr>
        <w:t>Access arrangement draft decision: APA GasNet Australia (Operations) Pty Ltd 2013–17 - Part 2 Attachments</w:t>
      </w:r>
      <w:r w:rsidRPr="00D60C88">
        <w:t>, September 2012, pp. 234-235</w:t>
      </w:r>
      <w:r>
        <w:t>.</w:t>
      </w:r>
    </w:p>
  </w:footnote>
  <w:footnote w:id="44">
    <w:p w:rsidR="001A6E7B" w:rsidRDefault="001A6E7B" w:rsidP="00AE1397">
      <w:pPr>
        <w:pStyle w:val="FootnoteText"/>
      </w:pPr>
      <w:r>
        <w:rPr>
          <w:rStyle w:val="FootnoteReference"/>
        </w:rPr>
        <w:footnoteRef/>
      </w:r>
      <w:r>
        <w:t xml:space="preserve"> </w:t>
      </w:r>
      <w:r>
        <w:tab/>
        <w:t xml:space="preserve">AER, </w:t>
      </w:r>
      <w:r w:rsidRPr="00E5655E">
        <w:rPr>
          <w:i/>
        </w:rPr>
        <w:t>Access arrangement final decision: APA GasNet Australia (Operations) Pty Ltd 2013–17</w:t>
      </w:r>
      <w:r>
        <w:t xml:space="preserve">, March 2013; AER, </w:t>
      </w:r>
      <w:r w:rsidRPr="00E5655E">
        <w:rPr>
          <w:i/>
        </w:rPr>
        <w:t>APT Petroleum Pipeline Pty Ltd Access arrangement final decision: Roma to Brisbane Pipeline 2012–13 to 2016–17</w:t>
      </w:r>
      <w:r>
        <w:t>, August 2012.</w:t>
      </w:r>
    </w:p>
  </w:footnote>
  <w:footnote w:id="45">
    <w:p w:rsidR="001A6E7B" w:rsidRDefault="001A6E7B" w:rsidP="00E06C55">
      <w:pPr>
        <w:pStyle w:val="FootnoteText"/>
      </w:pPr>
      <w:r>
        <w:rPr>
          <w:rStyle w:val="FootnoteReference"/>
        </w:rPr>
        <w:footnoteRef/>
      </w:r>
      <w:r>
        <w:t xml:space="preserve"> </w:t>
      </w:r>
      <w:r>
        <w:tab/>
        <w:t xml:space="preserve">APA Group, </w:t>
      </w:r>
      <w:r w:rsidRPr="002618E5">
        <w:rPr>
          <w:i/>
        </w:rPr>
        <w:t>Amadeus Gas Pipeline,</w:t>
      </w:r>
      <w:r>
        <w:t xml:space="preserve"> </w:t>
      </w:r>
      <w:r w:rsidRPr="00B16798">
        <w:rPr>
          <w:i/>
        </w:rPr>
        <w:t xml:space="preserve">Access Arrangement </w:t>
      </w:r>
      <w:r>
        <w:rPr>
          <w:i/>
        </w:rPr>
        <w:t>Revision Proposal, Submission</w:t>
      </w:r>
      <w:r w:rsidRPr="00B16798">
        <w:rPr>
          <w:i/>
        </w:rPr>
        <w:t>, 1 July 2016 to 30 June 2021</w:t>
      </w:r>
      <w:r>
        <w:t>, August 2015, p. 26.</w:t>
      </w:r>
    </w:p>
  </w:footnote>
  <w:footnote w:id="46">
    <w:p w:rsidR="001A6E7B" w:rsidRDefault="001A6E7B" w:rsidP="00E06C55">
      <w:pPr>
        <w:pStyle w:val="FootnoteText"/>
      </w:pPr>
      <w:r>
        <w:rPr>
          <w:rStyle w:val="FootnoteReference"/>
        </w:rPr>
        <w:footnoteRef/>
      </w:r>
      <w:r>
        <w:t xml:space="preserve"> </w:t>
      </w:r>
      <w:r>
        <w:tab/>
        <w:t xml:space="preserve">APA Group, </w:t>
      </w:r>
      <w:r w:rsidRPr="00FF1142">
        <w:rPr>
          <w:i/>
        </w:rPr>
        <w:t>Access Arrangement for the</w:t>
      </w:r>
      <w:r>
        <w:t xml:space="preserve"> </w:t>
      </w:r>
      <w:r w:rsidRPr="002618E5">
        <w:rPr>
          <w:i/>
        </w:rPr>
        <w:t>Amadeus Gas Pipeline,</w:t>
      </w:r>
      <w:r>
        <w:t xml:space="preserve"> </w:t>
      </w:r>
      <w:r w:rsidRPr="00B16798">
        <w:rPr>
          <w:i/>
        </w:rPr>
        <w:t>1 July 2016 to 30 June 2021</w:t>
      </w:r>
      <w:r>
        <w:t>, August 2015, cl. 1.6, pp. 4–5.</w:t>
      </w:r>
    </w:p>
  </w:footnote>
  <w:footnote w:id="47">
    <w:p w:rsidR="001A6E7B" w:rsidRDefault="001A6E7B" w:rsidP="00E06C55">
      <w:pPr>
        <w:pStyle w:val="FootnoteText"/>
      </w:pPr>
      <w:r>
        <w:rPr>
          <w:rStyle w:val="FootnoteReference"/>
        </w:rPr>
        <w:footnoteRef/>
      </w:r>
      <w:r>
        <w:t xml:space="preserve"> </w:t>
      </w:r>
      <w:r>
        <w:tab/>
        <w:t xml:space="preserve">APA Group, </w:t>
      </w:r>
      <w:r w:rsidRPr="00FF1142">
        <w:rPr>
          <w:i/>
        </w:rPr>
        <w:t>Access Arrangement for the</w:t>
      </w:r>
      <w:r>
        <w:t xml:space="preserve"> </w:t>
      </w:r>
      <w:r w:rsidRPr="002618E5">
        <w:rPr>
          <w:i/>
        </w:rPr>
        <w:t>Amadeus Gas Pipeline,</w:t>
      </w:r>
      <w:r>
        <w:t xml:space="preserve"> </w:t>
      </w:r>
      <w:r w:rsidRPr="00B16798">
        <w:rPr>
          <w:i/>
        </w:rPr>
        <w:t>1 July 2016 to 30 June 2021</w:t>
      </w:r>
      <w:r>
        <w:t>, August 2015, cl. 1.6, p. 5.</w:t>
      </w:r>
    </w:p>
  </w:footnote>
  <w:footnote w:id="48">
    <w:p w:rsidR="001A6E7B" w:rsidRDefault="001A6E7B" w:rsidP="00E06C55">
      <w:pPr>
        <w:pStyle w:val="FootnoteText"/>
      </w:pPr>
      <w:r>
        <w:rPr>
          <w:rStyle w:val="FootnoteReference"/>
        </w:rPr>
        <w:footnoteRef/>
      </w:r>
      <w:r>
        <w:t xml:space="preserve"> </w:t>
      </w:r>
      <w:r>
        <w:tab/>
        <w:t xml:space="preserve">APA Group, </w:t>
      </w:r>
      <w:r w:rsidRPr="002618E5">
        <w:rPr>
          <w:i/>
        </w:rPr>
        <w:t>Amadeus Gas Pipeline,</w:t>
      </w:r>
      <w:r>
        <w:t xml:space="preserve"> </w:t>
      </w:r>
      <w:r w:rsidRPr="00B16798">
        <w:rPr>
          <w:i/>
        </w:rPr>
        <w:t xml:space="preserve">Access Arrangement </w:t>
      </w:r>
      <w:r>
        <w:rPr>
          <w:i/>
        </w:rPr>
        <w:t>Revision Proposal, Submission</w:t>
      </w:r>
      <w:r w:rsidRPr="00B16798">
        <w:rPr>
          <w:i/>
        </w:rPr>
        <w:t>, 1 July 2016 to 30 June 2021</w:t>
      </w:r>
      <w:r>
        <w:t>, August 2015, p. 27.</w:t>
      </w:r>
    </w:p>
  </w:footnote>
  <w:footnote w:id="49">
    <w:p w:rsidR="001A6E7B" w:rsidRDefault="001A6E7B" w:rsidP="00E06C55">
      <w:pPr>
        <w:pStyle w:val="FootnoteText"/>
      </w:pPr>
      <w:r>
        <w:rPr>
          <w:rStyle w:val="FootnoteReference"/>
        </w:rPr>
        <w:footnoteRef/>
      </w:r>
      <w:r>
        <w:t xml:space="preserve"> </w:t>
      </w:r>
      <w:r>
        <w:tab/>
      </w:r>
      <w:r w:rsidRPr="002754BF">
        <w:t>NGR, r. 50</w:t>
      </w:r>
      <w:r>
        <w:t>(1).</w:t>
      </w:r>
    </w:p>
  </w:footnote>
  <w:footnote w:id="50">
    <w:p w:rsidR="001A6E7B" w:rsidRDefault="001A6E7B" w:rsidP="00E06C55">
      <w:pPr>
        <w:pStyle w:val="FootnoteText"/>
      </w:pPr>
      <w:r>
        <w:rPr>
          <w:rStyle w:val="FootnoteReference"/>
        </w:rPr>
        <w:footnoteRef/>
      </w:r>
      <w:r>
        <w:t xml:space="preserve"> </w:t>
      </w:r>
      <w:r>
        <w:tab/>
        <w:t>NGR, r. 50(2).</w:t>
      </w:r>
    </w:p>
  </w:footnote>
  <w:footnote w:id="51">
    <w:p w:rsidR="001A6E7B" w:rsidRDefault="001A6E7B" w:rsidP="00E06C55">
      <w:pPr>
        <w:pStyle w:val="FootnoteText"/>
      </w:pPr>
      <w:r>
        <w:rPr>
          <w:rStyle w:val="FootnoteReference"/>
        </w:rPr>
        <w:footnoteRef/>
      </w:r>
      <w:r>
        <w:t xml:space="preserve"> </w:t>
      </w:r>
      <w:r>
        <w:tab/>
        <w:t>NGR, r. 50(4).</w:t>
      </w:r>
    </w:p>
  </w:footnote>
  <w:footnote w:id="52">
    <w:p w:rsidR="001A6E7B" w:rsidRDefault="001A6E7B" w:rsidP="00E06C55">
      <w:pPr>
        <w:pStyle w:val="FootnoteText"/>
      </w:pPr>
      <w:r>
        <w:rPr>
          <w:rStyle w:val="FootnoteReference"/>
        </w:rPr>
        <w:footnoteRef/>
      </w:r>
      <w:r>
        <w:t xml:space="preserve"> </w:t>
      </w:r>
      <w:r>
        <w:tab/>
        <w:t>NGR, r. 51(1).</w:t>
      </w:r>
    </w:p>
  </w:footnote>
  <w:footnote w:id="53">
    <w:p w:rsidR="001A6E7B" w:rsidRDefault="001A6E7B" w:rsidP="00E06C55">
      <w:pPr>
        <w:pStyle w:val="FootnoteText"/>
      </w:pPr>
      <w:r>
        <w:rPr>
          <w:rStyle w:val="FootnoteReference"/>
        </w:rPr>
        <w:footnoteRef/>
      </w:r>
      <w:r>
        <w:t xml:space="preserve"> </w:t>
      </w:r>
      <w:r>
        <w:tab/>
        <w:t>NGR, r. 51(3).</w:t>
      </w:r>
    </w:p>
  </w:footnote>
  <w:footnote w:id="54">
    <w:p w:rsidR="001A6E7B" w:rsidRDefault="001A6E7B" w:rsidP="00E06C55">
      <w:pPr>
        <w:pStyle w:val="FootnoteText"/>
      </w:pPr>
      <w:r>
        <w:rPr>
          <w:rStyle w:val="FootnoteReference"/>
        </w:rPr>
        <w:footnoteRef/>
      </w:r>
      <w:r>
        <w:t xml:space="preserve"> </w:t>
      </w:r>
      <w:r>
        <w:tab/>
        <w:t xml:space="preserve">APA Group, </w:t>
      </w:r>
      <w:r w:rsidRPr="00F63E37">
        <w:rPr>
          <w:i/>
        </w:rPr>
        <w:t>Access Arrangement for the</w:t>
      </w:r>
      <w:r>
        <w:t xml:space="preserve"> </w:t>
      </w:r>
      <w:r w:rsidRPr="002618E5">
        <w:rPr>
          <w:i/>
        </w:rPr>
        <w:t>Amadeus Gas Pipeline,</w:t>
      </w:r>
      <w:r>
        <w:t xml:space="preserve"> </w:t>
      </w:r>
      <w:r w:rsidRPr="00B16798">
        <w:rPr>
          <w:i/>
        </w:rPr>
        <w:t>1 July 2016 to 30 June 2021</w:t>
      </w:r>
      <w:r>
        <w:t>, August 2015, cl. 1.6, p. 4.</w:t>
      </w:r>
    </w:p>
  </w:footnote>
  <w:footnote w:id="55">
    <w:p w:rsidR="001A6E7B" w:rsidRDefault="001A6E7B" w:rsidP="00E06C55">
      <w:pPr>
        <w:pStyle w:val="FootnoteText"/>
      </w:pPr>
      <w:r>
        <w:rPr>
          <w:rStyle w:val="FootnoteReference"/>
        </w:rPr>
        <w:footnoteRef/>
      </w:r>
      <w:r>
        <w:t xml:space="preserve"> </w:t>
      </w:r>
      <w:r>
        <w:tab/>
        <w:t>NGR, r. 3.</w:t>
      </w:r>
    </w:p>
  </w:footnote>
  <w:footnote w:id="56">
    <w:p w:rsidR="001A6E7B" w:rsidRDefault="001A6E7B" w:rsidP="00E06C55">
      <w:pPr>
        <w:pStyle w:val="FootnoteText"/>
      </w:pPr>
      <w:r>
        <w:rPr>
          <w:rStyle w:val="FootnoteReference"/>
        </w:rPr>
        <w:footnoteRef/>
      </w:r>
      <w:r>
        <w:t xml:space="preserve"> </w:t>
      </w:r>
      <w:r>
        <w:tab/>
        <w:t xml:space="preserve">APA Group, </w:t>
      </w:r>
      <w:r w:rsidRPr="00FF1142">
        <w:rPr>
          <w:i/>
        </w:rPr>
        <w:t>Access Arrangement for the</w:t>
      </w:r>
      <w:r>
        <w:t xml:space="preserve"> </w:t>
      </w:r>
      <w:r w:rsidRPr="002618E5">
        <w:rPr>
          <w:i/>
        </w:rPr>
        <w:t>Amadeus Gas Pipeline,</w:t>
      </w:r>
      <w:r>
        <w:t xml:space="preserve"> </w:t>
      </w:r>
      <w:r w:rsidRPr="00B16798">
        <w:rPr>
          <w:i/>
        </w:rPr>
        <w:t>1 July 2016 to 30 June 2021</w:t>
      </w:r>
      <w:r>
        <w:t>, August 2015, cl. 1.6, pp. 4-5.</w:t>
      </w:r>
    </w:p>
  </w:footnote>
  <w:footnote w:id="57">
    <w:p w:rsidR="001A6E7B" w:rsidRDefault="001A6E7B" w:rsidP="00E06C55">
      <w:pPr>
        <w:pStyle w:val="FootnoteText"/>
      </w:pPr>
      <w:r>
        <w:rPr>
          <w:rStyle w:val="FootnoteReference"/>
        </w:rPr>
        <w:footnoteRef/>
      </w:r>
      <w:r>
        <w:t xml:space="preserve"> </w:t>
      </w:r>
      <w:r>
        <w:tab/>
        <w:t xml:space="preserve">APA Group, </w:t>
      </w:r>
      <w:r w:rsidRPr="002618E5">
        <w:rPr>
          <w:i/>
        </w:rPr>
        <w:t>Amadeus Gas Pipeline,</w:t>
      </w:r>
      <w:r>
        <w:t xml:space="preserve"> </w:t>
      </w:r>
      <w:r w:rsidRPr="00B16798">
        <w:rPr>
          <w:i/>
        </w:rPr>
        <w:t xml:space="preserve">Access Arrangement </w:t>
      </w:r>
      <w:r>
        <w:rPr>
          <w:i/>
        </w:rPr>
        <w:t>Revision Proposal, Submission</w:t>
      </w:r>
      <w:r w:rsidRPr="00B16798">
        <w:rPr>
          <w:i/>
        </w:rPr>
        <w:t>, 1 July 2016 to 30 June 2021</w:t>
      </w:r>
      <w:r>
        <w:t>, August 2015, p. 27.</w:t>
      </w:r>
    </w:p>
  </w:footnote>
  <w:footnote w:id="58">
    <w:p w:rsidR="001A6E7B" w:rsidRDefault="001A6E7B" w:rsidP="00E06C55">
      <w:pPr>
        <w:pStyle w:val="FootnoteText"/>
      </w:pPr>
      <w:r>
        <w:rPr>
          <w:rStyle w:val="FootnoteReference"/>
        </w:rPr>
        <w:footnoteRef/>
      </w:r>
      <w:r>
        <w:t xml:space="preserve"> </w:t>
      </w:r>
      <w:r>
        <w:tab/>
        <w:t xml:space="preserve">Jemena Limited, </w:t>
      </w:r>
      <w:r w:rsidRPr="008F3750">
        <w:rPr>
          <w:rStyle w:val="Emphasis"/>
        </w:rPr>
        <w:t>Amadeus gas pipeline: access arrangement revision proposal 2016-21 – demand forecasts</w:t>
      </w:r>
      <w:r>
        <w:t>, 31 August 2015, p. 1.</w:t>
      </w:r>
    </w:p>
  </w:footnote>
  <w:footnote w:id="59">
    <w:p w:rsidR="001A6E7B" w:rsidRDefault="001A6E7B" w:rsidP="00E06C55">
      <w:pPr>
        <w:pStyle w:val="FootnoteText"/>
      </w:pPr>
      <w:r>
        <w:rPr>
          <w:rStyle w:val="FootnoteReference"/>
        </w:rPr>
        <w:footnoteRef/>
      </w:r>
      <w:r>
        <w:t xml:space="preserve"> </w:t>
      </w:r>
      <w:r>
        <w:tab/>
        <w:t xml:space="preserve">Jemena Limited, </w:t>
      </w:r>
      <w:r w:rsidRPr="008F3750">
        <w:rPr>
          <w:rStyle w:val="Emphasis"/>
        </w:rPr>
        <w:t>Amadeus gas pipeline: access arrangement revision proposal 2016-21 – demand forecasts</w:t>
      </w:r>
      <w:r w:rsidR="006C1B37">
        <w:t>, 31 August 2015, p. 1.</w:t>
      </w:r>
      <w:r>
        <w:t xml:space="preserve"> </w:t>
      </w:r>
    </w:p>
  </w:footnote>
  <w:footnote w:id="60">
    <w:p w:rsidR="001A6E7B" w:rsidRDefault="001A6E7B" w:rsidP="00E06C55">
      <w:pPr>
        <w:pStyle w:val="FootnoteText"/>
      </w:pPr>
      <w:r>
        <w:rPr>
          <w:rStyle w:val="FootnoteReference"/>
        </w:rPr>
        <w:footnoteRef/>
      </w:r>
      <w:r>
        <w:t xml:space="preserve"> </w:t>
      </w:r>
      <w:r>
        <w:tab/>
        <w:t xml:space="preserve">Jemena Limited, </w:t>
      </w:r>
      <w:r w:rsidRPr="008F3750">
        <w:rPr>
          <w:rStyle w:val="Emphasis"/>
        </w:rPr>
        <w:t>Amadeus gas pipeline: access arrangement revision proposal 2016-21 – demand forecasts</w:t>
      </w:r>
      <w:r>
        <w:t xml:space="preserve">, 31 August 2015, p. 1; </w:t>
      </w:r>
      <w:r w:rsidRPr="00863A35">
        <w:rPr>
          <w:rStyle w:val="FootnoteTextChar"/>
        </w:rPr>
        <w:t>Santos</w:t>
      </w:r>
      <w:r>
        <w:rPr>
          <w:rStyle w:val="FootnoteTextChar"/>
        </w:rPr>
        <w:t xml:space="preserve">, </w:t>
      </w:r>
      <w:r w:rsidRPr="00D60C88">
        <w:rPr>
          <w:rStyle w:val="Emphasis"/>
        </w:rPr>
        <w:t>Amadeus Gas Pipeline: Access Arrangement Revision Proposal 2016-21</w:t>
      </w:r>
      <w:r>
        <w:rPr>
          <w:rStyle w:val="FootnoteTextChar"/>
        </w:rPr>
        <w:t>, 2 September 2015, p. 2.</w:t>
      </w:r>
    </w:p>
  </w:footnote>
  <w:footnote w:id="61">
    <w:p w:rsidR="001A6E7B" w:rsidRDefault="001A6E7B" w:rsidP="00E06C55">
      <w:pPr>
        <w:pStyle w:val="FootnoteText"/>
      </w:pPr>
      <w:r>
        <w:rPr>
          <w:rStyle w:val="FootnoteReference"/>
        </w:rPr>
        <w:footnoteRef/>
      </w:r>
      <w:r>
        <w:t xml:space="preserve"> </w:t>
      </w:r>
      <w:r>
        <w:tab/>
      </w:r>
      <w:r w:rsidRPr="00863A35">
        <w:rPr>
          <w:rStyle w:val="FootnoteTextChar"/>
        </w:rPr>
        <w:t>Santos</w:t>
      </w:r>
      <w:r>
        <w:rPr>
          <w:rStyle w:val="FootnoteTextChar"/>
        </w:rPr>
        <w:t xml:space="preserve">, </w:t>
      </w:r>
      <w:r w:rsidRPr="00D60C88">
        <w:rPr>
          <w:rStyle w:val="Emphasis"/>
        </w:rPr>
        <w:t>Amadeus Gas Pipeline: Access Arrangement Revision Proposal 2016-21</w:t>
      </w:r>
      <w:r>
        <w:rPr>
          <w:rStyle w:val="FootnoteTextChar"/>
        </w:rPr>
        <w:t>, 2 September 2015, p. 2.</w:t>
      </w:r>
    </w:p>
  </w:footnote>
  <w:footnote w:id="62">
    <w:p w:rsidR="001A6E7B" w:rsidRDefault="001A6E7B" w:rsidP="00E06C55">
      <w:pPr>
        <w:pStyle w:val="FootnoteText"/>
      </w:pPr>
      <w:r>
        <w:rPr>
          <w:rStyle w:val="FootnoteReference"/>
        </w:rPr>
        <w:footnoteRef/>
      </w:r>
      <w:r>
        <w:t xml:space="preserve"> </w:t>
      </w:r>
      <w:r>
        <w:tab/>
        <w:t>NGR, r. 49(1)(b).</w:t>
      </w:r>
    </w:p>
  </w:footnote>
  <w:footnote w:id="63">
    <w:p w:rsidR="001A6E7B" w:rsidRDefault="001A6E7B" w:rsidP="00E06C55">
      <w:pPr>
        <w:pStyle w:val="FootnoteText"/>
      </w:pPr>
      <w:r>
        <w:rPr>
          <w:rStyle w:val="FootnoteReference"/>
        </w:rPr>
        <w:footnoteRef/>
      </w:r>
      <w:r>
        <w:t xml:space="preserve"> </w:t>
      </w:r>
      <w:r>
        <w:tab/>
        <w:t>NGR, r. 50(2).</w:t>
      </w:r>
    </w:p>
  </w:footnote>
  <w:footnote w:id="64">
    <w:p w:rsidR="001A6E7B" w:rsidRDefault="001A6E7B" w:rsidP="00E06C55">
      <w:pPr>
        <w:pStyle w:val="FootnoteText"/>
      </w:pPr>
      <w:r>
        <w:rPr>
          <w:rStyle w:val="FootnoteReference"/>
        </w:rPr>
        <w:footnoteRef/>
      </w:r>
      <w:r>
        <w:t xml:space="preserve"> </w:t>
      </w:r>
      <w:r>
        <w:tab/>
        <w:t>NGR, r. 65.</w:t>
      </w:r>
    </w:p>
  </w:footnote>
  <w:footnote w:id="65">
    <w:p w:rsidR="001A6E7B" w:rsidRDefault="001A6E7B" w:rsidP="00E06C55">
      <w:pPr>
        <w:pStyle w:val="FootnoteText"/>
      </w:pPr>
      <w:r>
        <w:rPr>
          <w:rStyle w:val="FootnoteReference"/>
        </w:rPr>
        <w:footnoteRef/>
      </w:r>
      <w:r>
        <w:t xml:space="preserve"> </w:t>
      </w:r>
      <w:r>
        <w:tab/>
        <w:t>NGR, r. 51(1).</w:t>
      </w:r>
    </w:p>
  </w:footnote>
  <w:footnote w:id="66">
    <w:p w:rsidR="001A6E7B" w:rsidRDefault="001A6E7B" w:rsidP="00E06C55">
      <w:pPr>
        <w:pStyle w:val="FootnoteText"/>
      </w:pPr>
      <w:r>
        <w:rPr>
          <w:rStyle w:val="FootnoteReference"/>
        </w:rPr>
        <w:footnoteRef/>
      </w:r>
      <w:r>
        <w:t xml:space="preserve"> </w:t>
      </w:r>
      <w:r>
        <w:tab/>
        <w:t>NGR, r. 51(3).</w:t>
      </w:r>
    </w:p>
  </w:footnote>
  <w:footnote w:id="67">
    <w:p w:rsidR="001A6E7B" w:rsidRDefault="001A6E7B" w:rsidP="00E06C55">
      <w:pPr>
        <w:pStyle w:val="FootnoteText"/>
      </w:pPr>
      <w:r>
        <w:rPr>
          <w:rStyle w:val="FootnoteReference"/>
        </w:rPr>
        <w:footnoteRef/>
      </w:r>
      <w:r>
        <w:t xml:space="preserve"> </w:t>
      </w:r>
      <w:r>
        <w:tab/>
        <w:t>NGR, r. 51(2).</w:t>
      </w:r>
    </w:p>
  </w:footnote>
  <w:footnote w:id="68">
    <w:p w:rsidR="001A6E7B" w:rsidRDefault="001A6E7B">
      <w:pPr>
        <w:pStyle w:val="FootnoteText"/>
      </w:pPr>
      <w:r>
        <w:rPr>
          <w:rStyle w:val="FootnoteReference"/>
        </w:rPr>
        <w:footnoteRef/>
      </w:r>
      <w:r>
        <w:t xml:space="preserve"> </w:t>
      </w:r>
      <w:r>
        <w:tab/>
        <w:t xml:space="preserve">APTNT, </w:t>
      </w:r>
      <w:r w:rsidRPr="009F13D6">
        <w:rPr>
          <w:rStyle w:val="Emphasis"/>
        </w:rPr>
        <w:t>Response to Information Request No. 8</w:t>
      </w:r>
      <w:r>
        <w:t>, 22 September 2015, p. 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6E7B" w:rsidRDefault="002A2012">
    <w:pPr>
      <w:pStyle w:val="Header"/>
      <w:jc w:val="right"/>
    </w:pPr>
    <w:r>
      <w:rPr>
        <w:noProof/>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79884" type="#_x0000_t136" style="position:absolute;left:0;text-align:left;margin-left:0;margin-top:0;width:608.75pt;height:110.65pt;rotation:315;z-index:-251645952;mso-position-horizontal:center;mso-position-horizontal-relative:margin;mso-position-vertical:center;mso-position-vertical-relative:margin" o:allowincell="f" fillcolor="red" stroked="f">
          <v:fill opacity=".5"/>
          <v:textpath style="font-family:&quot;Arial&quot;;font-size:1pt" string="WITHDRAWN"/>
          <w10:wrap anchorx="margin" anchory="margin"/>
        </v:shape>
      </w:pict>
    </w:r>
    <w:r>
      <w:rPr>
        <w:noProof/>
        <w:lang w:val="en-US"/>
      </w:rPr>
      <w:pict>
        <v:shape id="_x0000_s79882" type="#_x0000_t136" style="position:absolute;left:0;text-align:left;margin-left:0;margin-top:0;width:485.65pt;height:194.25pt;rotation:315;z-index:-251648000;mso-position-horizontal:center;mso-position-horizontal-relative:margin;mso-position-vertical:center;mso-position-vertical-relative:margin" wrapcoords="21300 2419 14000 2502 13967 2836 14600 4587 14567 8256 12300 3669 11467 2002 10467 9341 7800 3336 7167 2168 7000 2585 5467 2419 4833 2502 4833 2752 5433 6171 5433 8006 3700 3753 2700 2002 2500 2585 933 2419 167 2419 67 2585 333 4086 700 5588 667 15012 433 16263 100 16429 67 16680 167 16930 2233 17013 2867 16680 3367 16096 3800 15262 4067 15929 5133 17180 5233 17013 6833 16930 6700 16179 6133 13594 6433 14261 8167 17097 10633 16930 10533 16012 10233 14344 10400 12927 11633 16012 12567 17597 12800 17013 15967 16930 15867 16346 15300 13844 15300 10008 15600 10842 18767 17013 20300 16930 20533 16846 20533 16429 19933 14094 19933 4670 20233 3586 21333 5921 21433 6088 21400 2752 21300 2419" fillcolor="#999" stroked="f">
          <v:fill opacity=".5"/>
          <v:textpath style="font-family:&quot;Times New Roman&quot;;font-size:1pt" string="DRAFT"/>
          <w10:wrap anchorx="margin" anchory="margin"/>
        </v:shape>
      </w:pict>
    </w:r>
    <w:r w:rsidR="001A6E7B">
      <w:t>January 2005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6E7B" w:rsidRDefault="002A2012">
    <w:pPr>
      <w:pStyle w:val="Header"/>
    </w:pPr>
    <w:r>
      <w:rPr>
        <w:noProof/>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79883" type="#_x0000_t136" style="position:absolute;margin-left:0;margin-top:0;width:608.75pt;height:110.65pt;rotation:315;z-index:-251646976;mso-position-horizontal:center;mso-position-horizontal-relative:margin;mso-position-vertical:center;mso-position-vertical-relative:margin" o:allowincell="f" fillcolor="red" stroked="f">
          <v:fill opacity=".5"/>
          <v:textpath style="font-family:&quot;Arial&quot;;font-size:1pt" string="WITHDRAWN"/>
          <w10:wrap anchorx="margin" anchory="margin"/>
        </v:shape>
      </w:pict>
    </w:r>
    <w:r>
      <w:rPr>
        <w:noProof/>
        <w:lang w:val="en-US"/>
      </w:rPr>
      <w:pict>
        <v:shape id="_x0000_s79881" type="#_x0000_t136" style="position:absolute;margin-left:0;margin-top:0;width:485.65pt;height:194.25pt;rotation:315;z-index:-251649024;mso-position-horizontal:center;mso-position-horizontal-relative:margin;mso-position-vertical:center;mso-position-vertical-relative:margin" wrapcoords="21300 2419 14000 2502 13967 2836 14600 4587 14567 8256 12300 3669 11467 2002 10467 9341 7800 3336 7167 2168 7000 2585 5467 2419 4833 2502 4833 2752 5433 6171 5433 8006 3700 3753 2700 2002 2500 2585 933 2419 167 2419 67 2585 333 4086 700 5588 667 15012 433 16263 100 16429 67 16680 167 16930 2233 17013 2867 16680 3367 16096 3800 15262 4067 15929 5133 17180 5233 17013 6833 16930 6700 16179 6133 13594 6433 14261 8167 17097 10633 16930 10533 16012 10233 14344 10400 12927 11633 16012 12567 17597 12800 17013 15967 16930 15867 16346 15300 13844 15300 10008 15600 10842 18767 17013 20300 16930 20533 16846 20533 16429 19933 14094 19933 4670 20233 3586 21333 5921 21433 6088 21400 2752 21300 2419" fillcolor="#999"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0E8D0B0"/>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756075BE"/>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7D84C18C"/>
    <w:lvl w:ilvl="0">
      <w:start w:val="1"/>
      <w:numFmt w:val="decimal"/>
      <w:pStyle w:val="ListNumber3"/>
      <w:lvlText w:val="%1."/>
      <w:lvlJc w:val="left"/>
      <w:pPr>
        <w:tabs>
          <w:tab w:val="num" w:pos="1021"/>
        </w:tabs>
        <w:ind w:left="1021" w:hanging="341"/>
      </w:pPr>
      <w:rPr>
        <w:rFonts w:hint="default"/>
      </w:rPr>
    </w:lvl>
  </w:abstractNum>
  <w:abstractNum w:abstractNumId="3">
    <w:nsid w:val="FFFFFF7F"/>
    <w:multiLevelType w:val="singleLevel"/>
    <w:tmpl w:val="C9043968"/>
    <w:lvl w:ilvl="0">
      <w:start w:val="1"/>
      <w:numFmt w:val="decimal"/>
      <w:pStyle w:val="ListNumber2"/>
      <w:lvlText w:val="%1."/>
      <w:lvlJc w:val="left"/>
      <w:pPr>
        <w:ind w:left="700" w:hanging="360"/>
      </w:pPr>
    </w:lvl>
  </w:abstractNum>
  <w:abstractNum w:abstractNumId="4">
    <w:nsid w:val="FFFFFF80"/>
    <w:multiLevelType w:val="singleLevel"/>
    <w:tmpl w:val="E38619F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93BE8B6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C6AE9A80"/>
    <w:lvl w:ilvl="0">
      <w:start w:val="1"/>
      <w:numFmt w:val="upperLetter"/>
      <w:pStyle w:val="ListBullet3"/>
      <w:lvlText w:val="(%1)"/>
      <w:lvlJc w:val="left"/>
      <w:pPr>
        <w:ind w:left="720" w:hanging="360"/>
      </w:pPr>
      <w:rPr>
        <w:rFonts w:hint="default"/>
      </w:rPr>
    </w:lvl>
  </w:abstractNum>
  <w:abstractNum w:abstractNumId="7">
    <w:nsid w:val="FFFFFF83"/>
    <w:multiLevelType w:val="singleLevel"/>
    <w:tmpl w:val="72802F94"/>
    <w:lvl w:ilvl="0">
      <w:start w:val="1"/>
      <w:numFmt w:val="lowerLetter"/>
      <w:pStyle w:val="ListBullet2"/>
      <w:lvlText w:val="(%1)"/>
      <w:lvlJc w:val="left"/>
      <w:pPr>
        <w:ind w:left="700" w:hanging="360"/>
      </w:pPr>
      <w:rPr>
        <w:rFonts w:hint="default"/>
      </w:rPr>
    </w:lvl>
  </w:abstractNum>
  <w:abstractNum w:abstractNumId="8">
    <w:nsid w:val="FFFFFF88"/>
    <w:multiLevelType w:val="singleLevel"/>
    <w:tmpl w:val="F0E083E8"/>
    <w:lvl w:ilvl="0">
      <w:start w:val="1"/>
      <w:numFmt w:val="decimal"/>
      <w:pStyle w:val="ListNumber"/>
      <w:lvlText w:val="%1."/>
      <w:lvlJc w:val="left"/>
      <w:pPr>
        <w:tabs>
          <w:tab w:val="num" w:pos="360"/>
        </w:tabs>
        <w:ind w:left="360" w:hanging="360"/>
      </w:pPr>
    </w:lvl>
  </w:abstractNum>
  <w:abstractNum w:abstractNumId="9">
    <w:nsid w:val="088E5AFB"/>
    <w:multiLevelType w:val="hybridMultilevel"/>
    <w:tmpl w:val="5C06CE00"/>
    <w:lvl w:ilvl="0" w:tplc="6B02CA02">
      <w:start w:val="95"/>
      <w:numFmt w:val="bullet"/>
      <w:lvlText w:val="-"/>
      <w:lvlJc w:val="left"/>
      <w:pPr>
        <w:ind w:left="720" w:hanging="36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0C4312B0"/>
    <w:multiLevelType w:val="hybridMultilevel"/>
    <w:tmpl w:val="C1266B52"/>
    <w:lvl w:ilvl="0" w:tplc="990A9FAA">
      <w:start w:val="1"/>
      <w:numFmt w:val="lowerLetter"/>
      <w:pStyle w:val="Listalphabet"/>
      <w:lvlText w:val="(%1)"/>
      <w:lvlJc w:val="left"/>
      <w:pPr>
        <w:ind w:left="1040" w:hanging="360"/>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11">
    <w:nsid w:val="0DD2542B"/>
    <w:multiLevelType w:val="hybridMultilevel"/>
    <w:tmpl w:val="60FAC388"/>
    <w:lvl w:ilvl="0" w:tplc="50264BE2">
      <w:start w:val="1"/>
      <w:numFmt w:val="decimal"/>
      <w:pStyle w:val="ListParagraph"/>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133E73B6"/>
    <w:multiLevelType w:val="hybridMultilevel"/>
    <w:tmpl w:val="80220B84"/>
    <w:lvl w:ilvl="0" w:tplc="F5987420">
      <w:start w:val="1"/>
      <w:numFmt w:val="decimal"/>
      <w:pStyle w:val="Numberedparagraph"/>
      <w:lvlText w:val="%1."/>
      <w:lvlJc w:val="left"/>
      <w:pPr>
        <w:ind w:left="360" w:hanging="360"/>
      </w:pPr>
      <w:rPr>
        <w:rFonts w:hint="default"/>
      </w:rPr>
    </w:lvl>
    <w:lvl w:ilvl="1" w:tplc="A5728FDE" w:tentative="1">
      <w:start w:val="1"/>
      <w:numFmt w:val="bullet"/>
      <w:lvlText w:val="o"/>
      <w:lvlJc w:val="left"/>
      <w:pPr>
        <w:ind w:left="2520" w:hanging="360"/>
      </w:pPr>
      <w:rPr>
        <w:rFonts w:ascii="Courier New" w:hAnsi="Courier New" w:cs="Courier New" w:hint="default"/>
      </w:rPr>
    </w:lvl>
    <w:lvl w:ilvl="2" w:tplc="B6B8266A" w:tentative="1">
      <w:start w:val="1"/>
      <w:numFmt w:val="bullet"/>
      <w:lvlText w:val=""/>
      <w:lvlJc w:val="left"/>
      <w:pPr>
        <w:ind w:left="3240" w:hanging="360"/>
      </w:pPr>
      <w:rPr>
        <w:rFonts w:ascii="Wingdings" w:hAnsi="Wingdings" w:hint="default"/>
      </w:rPr>
    </w:lvl>
    <w:lvl w:ilvl="3" w:tplc="0E067E3E" w:tentative="1">
      <w:start w:val="1"/>
      <w:numFmt w:val="bullet"/>
      <w:lvlText w:val=""/>
      <w:lvlJc w:val="left"/>
      <w:pPr>
        <w:ind w:left="3960" w:hanging="360"/>
      </w:pPr>
      <w:rPr>
        <w:rFonts w:ascii="Symbol" w:hAnsi="Symbol" w:hint="default"/>
      </w:rPr>
    </w:lvl>
    <w:lvl w:ilvl="4" w:tplc="9D8444DE" w:tentative="1">
      <w:start w:val="1"/>
      <w:numFmt w:val="bullet"/>
      <w:lvlText w:val="o"/>
      <w:lvlJc w:val="left"/>
      <w:pPr>
        <w:ind w:left="4680" w:hanging="360"/>
      </w:pPr>
      <w:rPr>
        <w:rFonts w:ascii="Courier New" w:hAnsi="Courier New" w:cs="Courier New" w:hint="default"/>
      </w:rPr>
    </w:lvl>
    <w:lvl w:ilvl="5" w:tplc="47DE7D34" w:tentative="1">
      <w:start w:val="1"/>
      <w:numFmt w:val="bullet"/>
      <w:lvlText w:val=""/>
      <w:lvlJc w:val="left"/>
      <w:pPr>
        <w:ind w:left="5400" w:hanging="360"/>
      </w:pPr>
      <w:rPr>
        <w:rFonts w:ascii="Wingdings" w:hAnsi="Wingdings" w:hint="default"/>
      </w:rPr>
    </w:lvl>
    <w:lvl w:ilvl="6" w:tplc="9D0AFFEA" w:tentative="1">
      <w:start w:val="1"/>
      <w:numFmt w:val="bullet"/>
      <w:lvlText w:val=""/>
      <w:lvlJc w:val="left"/>
      <w:pPr>
        <w:ind w:left="6120" w:hanging="360"/>
      </w:pPr>
      <w:rPr>
        <w:rFonts w:ascii="Symbol" w:hAnsi="Symbol" w:hint="default"/>
      </w:rPr>
    </w:lvl>
    <w:lvl w:ilvl="7" w:tplc="663EE25A" w:tentative="1">
      <w:start w:val="1"/>
      <w:numFmt w:val="bullet"/>
      <w:lvlText w:val="o"/>
      <w:lvlJc w:val="left"/>
      <w:pPr>
        <w:ind w:left="6840" w:hanging="360"/>
      </w:pPr>
      <w:rPr>
        <w:rFonts w:ascii="Courier New" w:hAnsi="Courier New" w:cs="Courier New" w:hint="default"/>
      </w:rPr>
    </w:lvl>
    <w:lvl w:ilvl="8" w:tplc="2DD24F62" w:tentative="1">
      <w:start w:val="1"/>
      <w:numFmt w:val="bullet"/>
      <w:lvlText w:val=""/>
      <w:lvlJc w:val="left"/>
      <w:pPr>
        <w:ind w:left="7560" w:hanging="360"/>
      </w:pPr>
      <w:rPr>
        <w:rFonts w:ascii="Wingdings" w:hAnsi="Wingdings" w:hint="default"/>
      </w:rPr>
    </w:lvl>
  </w:abstractNum>
  <w:abstractNum w:abstractNumId="13">
    <w:nsid w:val="1478643D"/>
    <w:multiLevelType w:val="hybridMultilevel"/>
    <w:tmpl w:val="6DC46E9E"/>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4">
    <w:nsid w:val="1CF519CE"/>
    <w:multiLevelType w:val="multilevel"/>
    <w:tmpl w:val="FDC07CAE"/>
    <w:lvl w:ilvl="0">
      <w:start w:val="1"/>
      <w:numFmt w:val="decimal"/>
      <w:pStyle w:val="Numbered1111111"/>
      <w:lvlText w:val="%1."/>
      <w:lvlJc w:val="left"/>
      <w:pPr>
        <w:ind w:left="360" w:hanging="360"/>
      </w:pPr>
    </w:lvl>
    <w:lvl w:ilvl="1">
      <w:start w:val="1"/>
      <w:numFmt w:val="decimal"/>
      <w:pStyle w:val="Numberedparagraph11"/>
      <w:lvlText w:val="%1.%2."/>
      <w:lvlJc w:val="left"/>
      <w:pPr>
        <w:ind w:left="792" w:hanging="432"/>
      </w:pPr>
    </w:lvl>
    <w:lvl w:ilvl="2">
      <w:start w:val="1"/>
      <w:numFmt w:val="decimal"/>
      <w:pStyle w:val="Numbered111111111"/>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pStyle w:val="Numbered1111111"/>
      <w:lvlText w:val="%1.%2.%3.%4.%5.%6.%7."/>
      <w:lvlJc w:val="left"/>
      <w:pPr>
        <w:ind w:left="3240" w:hanging="1080"/>
      </w:pPr>
    </w:lvl>
    <w:lvl w:ilvl="7">
      <w:start w:val="1"/>
      <w:numFmt w:val="decimal"/>
      <w:lvlText w:val="%1.%2.%3.%4.%5.%6.%7.%8."/>
      <w:lvlJc w:val="left"/>
      <w:pPr>
        <w:ind w:left="3744" w:hanging="1224"/>
      </w:pPr>
    </w:lvl>
    <w:lvl w:ilvl="8">
      <w:start w:val="1"/>
      <w:numFmt w:val="decimal"/>
      <w:pStyle w:val="Numbered111111111"/>
      <w:lvlText w:val="%1.%2.%3.%4.%5.%6.%7.%8.%9."/>
      <w:lvlJc w:val="left"/>
      <w:pPr>
        <w:ind w:left="4320" w:hanging="1440"/>
      </w:pPr>
    </w:lvl>
  </w:abstractNum>
  <w:abstractNum w:abstractNumId="15">
    <w:nsid w:val="26AA0DA7"/>
    <w:multiLevelType w:val="multilevel"/>
    <w:tmpl w:val="F49485A8"/>
    <w:lvl w:ilvl="0">
      <w:start w:val="1"/>
      <w:numFmt w:val="upperLetter"/>
      <w:pStyle w:val="Heading7"/>
      <w:lvlText w:val="%1"/>
      <w:lvlJc w:val="left"/>
      <w:pPr>
        <w:ind w:left="340" w:hanging="340"/>
      </w:pPr>
      <w:rPr>
        <w:rFonts w:hint="default"/>
      </w:rPr>
    </w:lvl>
    <w:lvl w:ilvl="1">
      <w:start w:val="1"/>
      <w:numFmt w:val="decimal"/>
      <w:lvlRestart w:val="0"/>
      <w:pStyle w:val="Heading8"/>
      <w:lvlText w:val="%1.%2"/>
      <w:lvlJc w:val="left"/>
      <w:pPr>
        <w:tabs>
          <w:tab w:val="num" w:pos="1021"/>
        </w:tabs>
        <w:ind w:left="1021" w:hanging="1021"/>
      </w:pPr>
      <w:rPr>
        <w:rFonts w:hint="default"/>
      </w:rPr>
    </w:lvl>
    <w:lvl w:ilvl="2">
      <w:start w:val="1"/>
      <w:numFmt w:val="decimal"/>
      <w:pStyle w:val="Heading9"/>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nsid w:val="28865DF8"/>
    <w:multiLevelType w:val="hybridMultilevel"/>
    <w:tmpl w:val="EC0E5568"/>
    <w:lvl w:ilvl="0" w:tplc="D90E7D7A">
      <w:start w:val="1"/>
      <w:numFmt w:val="lowerLetter"/>
      <w:pStyle w:val="AERnumberedlistsecondstyle"/>
      <w:lvlText w:val="(%1)"/>
      <w:lvlJc w:val="left"/>
      <w:pPr>
        <w:ind w:left="1040" w:hanging="360"/>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17">
    <w:nsid w:val="2FB612CC"/>
    <w:multiLevelType w:val="multilevel"/>
    <w:tmpl w:val="950A1C52"/>
    <w:styleLink w:val="AERHeadings"/>
    <w:lvl w:ilvl="0">
      <w:start w:val="1"/>
      <w:numFmt w:val="none"/>
      <w:lvlText w:val="%1"/>
      <w:lvlJc w:val="left"/>
      <w:pPr>
        <w:tabs>
          <w:tab w:val="num" w:pos="0"/>
        </w:tabs>
        <w:ind w:left="0" w:firstLine="0"/>
      </w:pPr>
      <w:rPr>
        <w:rFonts w:hint="default"/>
      </w:rPr>
    </w:lvl>
    <w:lvl w:ilvl="1">
      <w:start w:val="1"/>
      <w:numFmt w:val="decimal"/>
      <w:lvlText w:val="%1%2"/>
      <w:lvlJc w:val="left"/>
      <w:pPr>
        <w:tabs>
          <w:tab w:val="num" w:pos="0"/>
        </w:tabs>
        <w:ind w:left="0" w:hanging="851"/>
      </w:pPr>
      <w:rPr>
        <w:rFonts w:hint="default"/>
      </w:rPr>
    </w:lvl>
    <w:lvl w:ilvl="2">
      <w:start w:val="1"/>
      <w:numFmt w:val="decimal"/>
      <w:lvlText w:val="%1%2.%3"/>
      <w:lvlJc w:val="left"/>
      <w:pPr>
        <w:tabs>
          <w:tab w:val="num" w:pos="0"/>
        </w:tabs>
        <w:ind w:left="0" w:hanging="851"/>
      </w:pPr>
      <w:rPr>
        <w:rFonts w:hint="default"/>
      </w:rPr>
    </w:lvl>
    <w:lvl w:ilvl="3">
      <w:start w:val="1"/>
      <w:numFmt w:val="decimal"/>
      <w:lvlText w:val="%2.%3.%4"/>
      <w:lvlJc w:val="left"/>
      <w:pPr>
        <w:tabs>
          <w:tab w:val="num" w:pos="0"/>
        </w:tabs>
        <w:ind w:left="0" w:hanging="851"/>
      </w:pPr>
      <w:rPr>
        <w:rFonts w:hint="default"/>
      </w:rPr>
    </w:lvl>
    <w:lvl w:ilvl="4">
      <w:start w:val="1"/>
      <w:numFmt w:val="upperLetter"/>
      <w:lvlRestart w:val="1"/>
      <w:lvlText w:val="%5"/>
      <w:lvlJc w:val="left"/>
      <w:pPr>
        <w:tabs>
          <w:tab w:val="num" w:pos="0"/>
        </w:tabs>
        <w:ind w:left="0" w:hanging="851"/>
      </w:pPr>
      <w:rPr>
        <w:rFonts w:hint="default"/>
      </w:rPr>
    </w:lvl>
    <w:lvl w:ilvl="5">
      <w:start w:val="1"/>
      <w:numFmt w:val="decimal"/>
      <w:lvlText w:val="%5.%6"/>
      <w:lvlJc w:val="left"/>
      <w:pPr>
        <w:tabs>
          <w:tab w:val="num" w:pos="0"/>
        </w:tabs>
        <w:ind w:left="0" w:hanging="851"/>
      </w:pPr>
      <w:rPr>
        <w:rFonts w:hint="default"/>
      </w:rPr>
    </w:lvl>
    <w:lvl w:ilvl="6">
      <w:start w:val="1"/>
      <w:numFmt w:val="decimal"/>
      <w:lvlText w:val="%5.%6.%7"/>
      <w:lvlJc w:val="left"/>
      <w:pPr>
        <w:tabs>
          <w:tab w:val="num" w:pos="0"/>
        </w:tabs>
        <w:ind w:left="0" w:hanging="851"/>
      </w:pPr>
      <w:rPr>
        <w:rFonts w:hint="default"/>
      </w:rPr>
    </w:lvl>
    <w:lvl w:ilvl="7">
      <w:start w:val="1"/>
      <w:numFmt w:val="none"/>
      <w:lvlRestart w:val="0"/>
      <w:lvlText w:val=""/>
      <w:lvlJc w:val="left"/>
      <w:pPr>
        <w:tabs>
          <w:tab w:val="num" w:pos="0"/>
        </w:tabs>
        <w:ind w:left="0" w:firstLine="0"/>
      </w:pPr>
      <w:rPr>
        <w:rFonts w:hint="default"/>
      </w:rPr>
    </w:lvl>
    <w:lvl w:ilvl="8">
      <w:start w:val="1"/>
      <w:numFmt w:val="none"/>
      <w:lvlRestart w:val="0"/>
      <w:lvlText w:val=""/>
      <w:lvlJc w:val="left"/>
      <w:pPr>
        <w:ind w:left="0" w:firstLine="0"/>
      </w:pPr>
      <w:rPr>
        <w:rFonts w:hint="default"/>
      </w:rPr>
    </w:lvl>
  </w:abstractNum>
  <w:abstractNum w:abstractNumId="18">
    <w:nsid w:val="34AC7051"/>
    <w:multiLevelType w:val="multilevel"/>
    <w:tmpl w:val="265C1DE2"/>
    <w:styleLink w:val="OldAERheading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3923347D"/>
    <w:multiLevelType w:val="hybridMultilevel"/>
    <w:tmpl w:val="8E96A9EE"/>
    <w:lvl w:ilvl="0" w:tplc="5E568C86">
      <w:start w:val="1"/>
      <w:numFmt w:val="decimal"/>
      <w:pStyle w:val="ListBullet"/>
      <w:lvlText w:val="(%1)"/>
      <w:lvlJc w:val="left"/>
      <w:pPr>
        <w:ind w:left="360" w:hanging="360"/>
      </w:pPr>
      <w:rPr>
        <w:rFonts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3AF336BC"/>
    <w:multiLevelType w:val="hybridMultilevel"/>
    <w:tmpl w:val="955A02CC"/>
    <w:lvl w:ilvl="0" w:tplc="C90C7928">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99F124F"/>
    <w:multiLevelType w:val="multilevel"/>
    <w:tmpl w:val="5666D91E"/>
    <w:styleLink w:val="AlphanumericList"/>
    <w:lvl w:ilvl="0">
      <w:start w:val="1"/>
      <w:numFmt w:val="decimal"/>
      <w:lvlText w:val="A.%1"/>
      <w:lvlJc w:val="left"/>
      <w:pPr>
        <w:ind w:left="360" w:hanging="360"/>
      </w:pPr>
      <w:rPr>
        <w:rFonts w:ascii="Arial" w:hAnsi="Arial" w:hint="default"/>
        <w:sz w:val="22"/>
      </w:rPr>
    </w:lvl>
    <w:lvl w:ilvl="1">
      <w:start w:val="1"/>
      <w:numFmt w:val="decimal"/>
      <w:lvlRestart w:val="0"/>
      <w:lvlText w:val="A.%1.%2"/>
      <w:lvlJc w:val="left"/>
      <w:pPr>
        <w:ind w:left="3621" w:hanging="360"/>
      </w:pPr>
      <w:rPr>
        <w:rFonts w:hint="default"/>
      </w:rPr>
    </w:lvl>
    <w:lvl w:ilvl="2">
      <w:start w:val="1"/>
      <w:numFmt w:val="decimal"/>
      <w:lvlRestart w:val="0"/>
      <w:lvlText w:val="A.%1.%2.%3"/>
      <w:lvlJc w:val="left"/>
      <w:pPr>
        <w:ind w:left="1080" w:hanging="360"/>
      </w:pPr>
      <w:rPr>
        <w:rFonts w:hint="default"/>
      </w:rPr>
    </w:lvl>
    <w:lvl w:ilvl="3">
      <w:start w:val="1"/>
      <w:numFmt w:val="none"/>
      <w:lvlText w:val="(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49E52C90"/>
    <w:multiLevelType w:val="hybridMultilevel"/>
    <w:tmpl w:val="8C0ACE80"/>
    <w:lvl w:ilvl="0" w:tplc="9D00B0D8">
      <w:start w:val="1"/>
      <w:numFmt w:val="lowerRoman"/>
      <w:pStyle w:val="ListLegal"/>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4C6A3DDE"/>
    <w:multiLevelType w:val="hybridMultilevel"/>
    <w:tmpl w:val="F51A789C"/>
    <w:lvl w:ilvl="0" w:tplc="92E84616">
      <w:start w:val="1"/>
      <w:numFmt w:val="bullet"/>
      <w:pStyle w:val="AERquotebullet1"/>
      <w:lvlText w:val=""/>
      <w:lvlJc w:val="left"/>
      <w:pPr>
        <w:ind w:left="1040" w:hanging="360"/>
      </w:pPr>
      <w:rPr>
        <w:rFonts w:ascii="Symbol" w:hAnsi="Symbol" w:hint="default"/>
      </w:rPr>
    </w:lvl>
    <w:lvl w:ilvl="1" w:tplc="0C090003" w:tentative="1">
      <w:start w:val="1"/>
      <w:numFmt w:val="bullet"/>
      <w:lvlText w:val="o"/>
      <w:lvlJc w:val="left"/>
      <w:pPr>
        <w:ind w:left="1760" w:hanging="360"/>
      </w:pPr>
      <w:rPr>
        <w:rFonts w:ascii="Courier New" w:hAnsi="Courier New" w:cs="Courier New" w:hint="default"/>
      </w:rPr>
    </w:lvl>
    <w:lvl w:ilvl="2" w:tplc="0C090005" w:tentative="1">
      <w:start w:val="1"/>
      <w:numFmt w:val="bullet"/>
      <w:lvlText w:val=""/>
      <w:lvlJc w:val="left"/>
      <w:pPr>
        <w:ind w:left="2480" w:hanging="360"/>
      </w:pPr>
      <w:rPr>
        <w:rFonts w:ascii="Wingdings" w:hAnsi="Wingdings" w:hint="default"/>
      </w:rPr>
    </w:lvl>
    <w:lvl w:ilvl="3" w:tplc="0C090001" w:tentative="1">
      <w:start w:val="1"/>
      <w:numFmt w:val="bullet"/>
      <w:lvlText w:val=""/>
      <w:lvlJc w:val="left"/>
      <w:pPr>
        <w:ind w:left="3200" w:hanging="360"/>
      </w:pPr>
      <w:rPr>
        <w:rFonts w:ascii="Symbol" w:hAnsi="Symbol" w:hint="default"/>
      </w:rPr>
    </w:lvl>
    <w:lvl w:ilvl="4" w:tplc="0C090003" w:tentative="1">
      <w:start w:val="1"/>
      <w:numFmt w:val="bullet"/>
      <w:lvlText w:val="o"/>
      <w:lvlJc w:val="left"/>
      <w:pPr>
        <w:ind w:left="3920" w:hanging="360"/>
      </w:pPr>
      <w:rPr>
        <w:rFonts w:ascii="Courier New" w:hAnsi="Courier New" w:cs="Courier New" w:hint="default"/>
      </w:rPr>
    </w:lvl>
    <w:lvl w:ilvl="5" w:tplc="0C090005" w:tentative="1">
      <w:start w:val="1"/>
      <w:numFmt w:val="bullet"/>
      <w:lvlText w:val=""/>
      <w:lvlJc w:val="left"/>
      <w:pPr>
        <w:ind w:left="4640" w:hanging="360"/>
      </w:pPr>
      <w:rPr>
        <w:rFonts w:ascii="Wingdings" w:hAnsi="Wingdings" w:hint="default"/>
      </w:rPr>
    </w:lvl>
    <w:lvl w:ilvl="6" w:tplc="0C090001" w:tentative="1">
      <w:start w:val="1"/>
      <w:numFmt w:val="bullet"/>
      <w:lvlText w:val=""/>
      <w:lvlJc w:val="left"/>
      <w:pPr>
        <w:ind w:left="5360" w:hanging="360"/>
      </w:pPr>
      <w:rPr>
        <w:rFonts w:ascii="Symbol" w:hAnsi="Symbol" w:hint="default"/>
      </w:rPr>
    </w:lvl>
    <w:lvl w:ilvl="7" w:tplc="0C090003" w:tentative="1">
      <w:start w:val="1"/>
      <w:numFmt w:val="bullet"/>
      <w:lvlText w:val="o"/>
      <w:lvlJc w:val="left"/>
      <w:pPr>
        <w:ind w:left="6080" w:hanging="360"/>
      </w:pPr>
      <w:rPr>
        <w:rFonts w:ascii="Courier New" w:hAnsi="Courier New" w:cs="Courier New" w:hint="default"/>
      </w:rPr>
    </w:lvl>
    <w:lvl w:ilvl="8" w:tplc="0C090005" w:tentative="1">
      <w:start w:val="1"/>
      <w:numFmt w:val="bullet"/>
      <w:lvlText w:val=""/>
      <w:lvlJc w:val="left"/>
      <w:pPr>
        <w:ind w:left="6800" w:hanging="360"/>
      </w:pPr>
      <w:rPr>
        <w:rFonts w:ascii="Wingdings" w:hAnsi="Wingdings" w:hint="default"/>
      </w:rPr>
    </w:lvl>
  </w:abstractNum>
  <w:abstractNum w:abstractNumId="24">
    <w:nsid w:val="51487971"/>
    <w:multiLevelType w:val="multilevel"/>
    <w:tmpl w:val="39D4CB02"/>
    <w:styleLink w:val="AERnumberedlist"/>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57"/>
        </w:tabs>
        <w:ind w:left="357" w:hanging="357"/>
      </w:pPr>
      <w:rPr>
        <w:rFonts w:hint="default"/>
      </w:rPr>
    </w:lvl>
    <w:lvl w:ilvl="2">
      <w:start w:val="1"/>
      <w:numFmt w:val="lowerLetter"/>
      <w:lvlText w:val="%3."/>
      <w:lvlJc w:val="left"/>
      <w:pPr>
        <w:tabs>
          <w:tab w:val="num" w:pos="720"/>
        </w:tabs>
        <w:ind w:left="720" w:hanging="363"/>
      </w:pPr>
      <w:rPr>
        <w:rFonts w:hint="default"/>
      </w:rPr>
    </w:lvl>
    <w:lvl w:ilvl="3">
      <w:start w:val="1"/>
      <w:numFmt w:val="lowerRoman"/>
      <w:lvlText w:val="%4."/>
      <w:lvlJc w:val="left"/>
      <w:pPr>
        <w:tabs>
          <w:tab w:val="num" w:pos="1077"/>
        </w:tabs>
        <w:ind w:left="1077" w:hanging="357"/>
      </w:pPr>
      <w:rPr>
        <w:rFonts w:hint="default"/>
      </w:rPr>
    </w:lvl>
    <w:lvl w:ilvl="4">
      <w:start w:val="1"/>
      <w:numFmt w:val="decimal"/>
      <w:lvlRestart w:val="1"/>
      <w:lvlText w:val="(%5)"/>
      <w:lvlJc w:val="left"/>
      <w:pPr>
        <w:tabs>
          <w:tab w:val="num" w:pos="454"/>
        </w:tabs>
        <w:ind w:left="454" w:hanging="454"/>
      </w:pPr>
      <w:rPr>
        <w:rFonts w:hint="default"/>
      </w:rPr>
    </w:lvl>
    <w:lvl w:ilvl="5">
      <w:start w:val="1"/>
      <w:numFmt w:val="lowerLetter"/>
      <w:lvlText w:val="(%6)"/>
      <w:lvlJc w:val="left"/>
      <w:pPr>
        <w:tabs>
          <w:tab w:val="num" w:pos="811"/>
        </w:tabs>
        <w:ind w:left="811" w:hanging="357"/>
      </w:pPr>
      <w:rPr>
        <w:rFonts w:hint="default"/>
      </w:rPr>
    </w:lvl>
    <w:lvl w:ilvl="6">
      <w:start w:val="1"/>
      <w:numFmt w:val="lowerRoman"/>
      <w:lvlText w:val="(%7)"/>
      <w:lvlJc w:val="left"/>
      <w:pPr>
        <w:tabs>
          <w:tab w:val="num" w:pos="1446"/>
        </w:tabs>
        <w:ind w:left="1446" w:hanging="635"/>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59474DF1"/>
    <w:multiLevelType w:val="multilevel"/>
    <w:tmpl w:val="5BC065FC"/>
    <w:lvl w:ilvl="0">
      <w:start w:val="1"/>
      <w:numFmt w:val="decimal"/>
      <w:pStyle w:val="LegalNumbering"/>
      <w:isLgl/>
      <w:lvlText w:val="%1)"/>
      <w:lvlJc w:val="left"/>
      <w:pPr>
        <w:ind w:left="340" w:hanging="340"/>
      </w:pPr>
      <w:rPr>
        <w:rFonts w:hint="default"/>
      </w:rPr>
    </w:lvl>
    <w:lvl w:ilvl="1">
      <w:start w:val="1"/>
      <w:numFmt w:val="lowerLetter"/>
      <w:lvlText w:val="%2) "/>
      <w:lvlJc w:val="left"/>
      <w:pPr>
        <w:ind w:left="680" w:hanging="340"/>
      </w:pPr>
      <w:rPr>
        <w:rFonts w:hint="default"/>
      </w:rPr>
    </w:lvl>
    <w:lvl w:ilvl="2">
      <w:start w:val="1"/>
      <w:numFmt w:val="lowerRoman"/>
      <w:lvlText w:val="%3)"/>
      <w:lvlJc w:val="left"/>
      <w:pPr>
        <w:tabs>
          <w:tab w:val="num" w:pos="1701"/>
        </w:tabs>
        <w:ind w:left="1021" w:hanging="341"/>
      </w:pPr>
      <w:rPr>
        <w:rFonts w:hint="default"/>
      </w:rPr>
    </w:lvl>
    <w:lvl w:ilvl="3">
      <w:start w:val="1"/>
      <w:numFmt w:val="decimal"/>
      <w:lvlText w:val="(%4) "/>
      <w:lvlJc w:val="left"/>
      <w:pPr>
        <w:tabs>
          <w:tab w:val="num" w:pos="1758"/>
        </w:tabs>
        <w:ind w:left="1361" w:hanging="340"/>
      </w:pPr>
      <w:rPr>
        <w:rFonts w:hint="default"/>
      </w:rPr>
    </w:lvl>
    <w:lvl w:ilvl="4">
      <w:start w:val="1"/>
      <w:numFmt w:val="lowerLetter"/>
      <w:lvlText w:val="(%5)"/>
      <w:lvlJc w:val="left"/>
      <w:pPr>
        <w:ind w:left="1701" w:hanging="340"/>
      </w:pPr>
      <w:rPr>
        <w:rFonts w:hint="default"/>
      </w:rPr>
    </w:lvl>
    <w:lvl w:ilvl="5">
      <w:start w:val="1"/>
      <w:numFmt w:val="lowerRoman"/>
      <w:lvlText w:val="(%6)"/>
      <w:lvlJc w:val="left"/>
      <w:pPr>
        <w:tabs>
          <w:tab w:val="num" w:pos="2608"/>
        </w:tabs>
        <w:ind w:left="2041" w:hanging="340"/>
      </w:pPr>
      <w:rPr>
        <w:rFonts w:hint="default"/>
      </w:rPr>
    </w:lvl>
    <w:lvl w:ilvl="6">
      <w:start w:val="1"/>
      <w:numFmt w:val="decimal"/>
      <w:lvlText w:val="%7."/>
      <w:lvlJc w:val="left"/>
      <w:pPr>
        <w:tabs>
          <w:tab w:val="num" w:pos="3175"/>
        </w:tabs>
        <w:ind w:left="2381" w:hanging="340"/>
      </w:pPr>
      <w:rPr>
        <w:rFonts w:hint="default"/>
      </w:rPr>
    </w:lvl>
    <w:lvl w:ilvl="7">
      <w:start w:val="1"/>
      <w:numFmt w:val="lowerLetter"/>
      <w:lvlText w:val="%8."/>
      <w:lvlJc w:val="left"/>
      <w:pPr>
        <w:tabs>
          <w:tab w:val="num" w:pos="3799"/>
        </w:tabs>
        <w:ind w:left="2722" w:hanging="341"/>
      </w:pPr>
      <w:rPr>
        <w:rFonts w:hint="default"/>
      </w:rPr>
    </w:lvl>
    <w:lvl w:ilvl="8">
      <w:start w:val="1"/>
      <w:numFmt w:val="lowerRoman"/>
      <w:lvlText w:val="%9."/>
      <w:lvlJc w:val="left"/>
      <w:pPr>
        <w:ind w:left="3062" w:hanging="340"/>
      </w:pPr>
      <w:rPr>
        <w:rFonts w:hint="default"/>
      </w:rPr>
    </w:lvl>
  </w:abstractNum>
  <w:abstractNum w:abstractNumId="26">
    <w:nsid w:val="5ECE4384"/>
    <w:multiLevelType w:val="multilevel"/>
    <w:tmpl w:val="6C66ED48"/>
    <w:lvl w:ilvl="0">
      <w:start w:val="12"/>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nsid w:val="6726588A"/>
    <w:multiLevelType w:val="hybridMultilevel"/>
    <w:tmpl w:val="6568C8B8"/>
    <w:lvl w:ilvl="0" w:tplc="0C09000F">
      <w:start w:val="1"/>
      <w:numFmt w:val="bullet"/>
      <w:pStyle w:val="AERbulletlistsecondstyle"/>
      <w:lvlText w:val="o"/>
      <w:lvlJc w:val="left"/>
      <w:pPr>
        <w:ind w:left="1081" w:hanging="360"/>
      </w:pPr>
      <w:rPr>
        <w:rFonts w:ascii="Courier New" w:hAnsi="Courier New" w:cs="Courier New" w:hint="default"/>
      </w:rPr>
    </w:lvl>
    <w:lvl w:ilvl="1" w:tplc="0C090019" w:tentative="1">
      <w:start w:val="1"/>
      <w:numFmt w:val="bullet"/>
      <w:lvlText w:val="o"/>
      <w:lvlJc w:val="left"/>
      <w:pPr>
        <w:ind w:left="1801" w:hanging="360"/>
      </w:pPr>
      <w:rPr>
        <w:rFonts w:ascii="Courier New" w:hAnsi="Courier New" w:cs="Courier New" w:hint="default"/>
      </w:rPr>
    </w:lvl>
    <w:lvl w:ilvl="2" w:tplc="C38EC922">
      <w:start w:val="1"/>
      <w:numFmt w:val="bullet"/>
      <w:pStyle w:val="AERbulletlistthirdstyle"/>
      <w:lvlText w:val=""/>
      <w:lvlJc w:val="left"/>
      <w:pPr>
        <w:ind w:left="2521" w:hanging="360"/>
      </w:pPr>
      <w:rPr>
        <w:rFonts w:ascii="Wingdings" w:hAnsi="Wingdings" w:hint="default"/>
      </w:rPr>
    </w:lvl>
    <w:lvl w:ilvl="3" w:tplc="0C09000F" w:tentative="1">
      <w:start w:val="1"/>
      <w:numFmt w:val="bullet"/>
      <w:lvlText w:val=""/>
      <w:lvlJc w:val="left"/>
      <w:pPr>
        <w:ind w:left="3241" w:hanging="360"/>
      </w:pPr>
      <w:rPr>
        <w:rFonts w:ascii="Symbol" w:hAnsi="Symbol" w:hint="default"/>
      </w:rPr>
    </w:lvl>
    <w:lvl w:ilvl="4" w:tplc="0C090019" w:tentative="1">
      <w:start w:val="1"/>
      <w:numFmt w:val="bullet"/>
      <w:lvlText w:val="o"/>
      <w:lvlJc w:val="left"/>
      <w:pPr>
        <w:ind w:left="3961" w:hanging="360"/>
      </w:pPr>
      <w:rPr>
        <w:rFonts w:ascii="Courier New" w:hAnsi="Courier New" w:cs="Courier New" w:hint="default"/>
      </w:rPr>
    </w:lvl>
    <w:lvl w:ilvl="5" w:tplc="0C09001B" w:tentative="1">
      <w:start w:val="1"/>
      <w:numFmt w:val="bullet"/>
      <w:lvlText w:val=""/>
      <w:lvlJc w:val="left"/>
      <w:pPr>
        <w:ind w:left="4681" w:hanging="360"/>
      </w:pPr>
      <w:rPr>
        <w:rFonts w:ascii="Wingdings" w:hAnsi="Wingdings" w:hint="default"/>
      </w:rPr>
    </w:lvl>
    <w:lvl w:ilvl="6" w:tplc="0C09000F" w:tentative="1">
      <w:start w:val="1"/>
      <w:numFmt w:val="bullet"/>
      <w:lvlText w:val=""/>
      <w:lvlJc w:val="left"/>
      <w:pPr>
        <w:ind w:left="5401" w:hanging="360"/>
      </w:pPr>
      <w:rPr>
        <w:rFonts w:ascii="Symbol" w:hAnsi="Symbol" w:hint="default"/>
      </w:rPr>
    </w:lvl>
    <w:lvl w:ilvl="7" w:tplc="0C090019" w:tentative="1">
      <w:start w:val="1"/>
      <w:numFmt w:val="bullet"/>
      <w:lvlText w:val="o"/>
      <w:lvlJc w:val="left"/>
      <w:pPr>
        <w:ind w:left="6121" w:hanging="360"/>
      </w:pPr>
      <w:rPr>
        <w:rFonts w:ascii="Courier New" w:hAnsi="Courier New" w:cs="Courier New" w:hint="default"/>
      </w:rPr>
    </w:lvl>
    <w:lvl w:ilvl="8" w:tplc="0C09001B" w:tentative="1">
      <w:start w:val="1"/>
      <w:numFmt w:val="bullet"/>
      <w:lvlText w:val=""/>
      <w:lvlJc w:val="left"/>
      <w:pPr>
        <w:ind w:left="6841" w:hanging="360"/>
      </w:pPr>
      <w:rPr>
        <w:rFonts w:ascii="Wingdings" w:hAnsi="Wingdings" w:hint="default"/>
      </w:rPr>
    </w:lvl>
  </w:abstractNum>
  <w:abstractNum w:abstractNumId="28">
    <w:nsid w:val="71052EFE"/>
    <w:multiLevelType w:val="hybridMultilevel"/>
    <w:tmpl w:val="52FCFAA8"/>
    <w:lvl w:ilvl="0" w:tplc="C846CA5C">
      <w:start w:val="1"/>
      <w:numFmt w:val="lowerRoman"/>
      <w:pStyle w:val="AERnumberedlistthirdstyle"/>
      <w:lvlText w:val="%1."/>
      <w:lvlJc w:val="righ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7E2819EC"/>
    <w:multiLevelType w:val="multilevel"/>
    <w:tmpl w:val="1250F310"/>
    <w:lvl w:ilvl="0">
      <w:start w:val="1"/>
      <w:numFmt w:val="bullet"/>
      <w:pStyle w:val="AERbulletlistfirststyle"/>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2"/>
  </w:num>
  <w:num w:numId="2">
    <w:abstractNumId w:val="2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7"/>
  </w:num>
  <w:num w:numId="13">
    <w:abstractNumId w:val="19"/>
  </w:num>
  <w:num w:numId="14">
    <w:abstractNumId w:val="11"/>
  </w:num>
  <w:num w:numId="15">
    <w:abstractNumId w:val="14"/>
  </w:num>
  <w:num w:numId="16">
    <w:abstractNumId w:val="21"/>
  </w:num>
  <w:num w:numId="17">
    <w:abstractNumId w:val="10"/>
  </w:num>
  <w:num w:numId="18">
    <w:abstractNumId w:val="16"/>
  </w:num>
  <w:num w:numId="19">
    <w:abstractNumId w:val="22"/>
  </w:num>
  <w:num w:numId="20">
    <w:abstractNumId w:val="28"/>
  </w:num>
  <w:num w:numId="21">
    <w:abstractNumId w:val="25"/>
  </w:num>
  <w:num w:numId="22">
    <w:abstractNumId w:val="23"/>
  </w:num>
  <w:num w:numId="23">
    <w:abstractNumId w:val="17"/>
  </w:num>
  <w:num w:numId="24">
    <w:abstractNumId w:val="24"/>
  </w:num>
  <w:num w:numId="25">
    <w:abstractNumId w:val="26"/>
  </w:num>
  <w:num w:numId="26">
    <w:abstractNumId w:val="18"/>
  </w:num>
  <w:num w:numId="27">
    <w:abstractNumId w:val="15"/>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13"/>
  </w:num>
  <w:num w:numId="31">
    <w:abstractNumId w:val="9"/>
  </w:num>
  <w:num w:numId="32">
    <w:abstractNumId w:val="8"/>
  </w:num>
  <w:num w:numId="33">
    <w:abstractNumId w:val="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stylePaneFormatFilter w:val="9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1"/>
  <w:stylePaneSortMethod w:val="0000"/>
  <w:documentProtection w:formatting="1" w:enforcement="1" w:spinCount="100000" w:hashValue="ajWhlzYmisuC/GK6WLTL0MrJDW0Y6vaQjLLM4sDlYKY=" w:saltValue="cRQ9Xw/qgz8xoOlD5g30wA==" w:algorithmName="SHA-256"/>
  <w:defaultTabStop w:val="340"/>
  <w:characterSpacingControl w:val="doNotCompress"/>
  <w:hdrShapeDefaults>
    <o:shapedefaults v:ext="edit" spidmax="79885"/>
    <o:shapelayout v:ext="edit">
      <o:idmap v:ext="edit" data="78"/>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rrentname" w:val="C:\Users\ljorg\AppData\Local\Microsoft\Windows\Temporary Internet Files\Content.MSO\D68FBFB5.docx"/>
  </w:docVars>
  <w:rsids>
    <w:rsidRoot w:val="00961A4A"/>
    <w:rsid w:val="00000525"/>
    <w:rsid w:val="000061C9"/>
    <w:rsid w:val="00007507"/>
    <w:rsid w:val="00010286"/>
    <w:rsid w:val="00011871"/>
    <w:rsid w:val="00012699"/>
    <w:rsid w:val="00021202"/>
    <w:rsid w:val="000219E6"/>
    <w:rsid w:val="00021C2B"/>
    <w:rsid w:val="0002517F"/>
    <w:rsid w:val="00026495"/>
    <w:rsid w:val="0003578C"/>
    <w:rsid w:val="0003749F"/>
    <w:rsid w:val="000401AF"/>
    <w:rsid w:val="0006288E"/>
    <w:rsid w:val="00063247"/>
    <w:rsid w:val="000656DA"/>
    <w:rsid w:val="00070445"/>
    <w:rsid w:val="00070F9F"/>
    <w:rsid w:val="0007137B"/>
    <w:rsid w:val="000736C1"/>
    <w:rsid w:val="000777A0"/>
    <w:rsid w:val="00077FE2"/>
    <w:rsid w:val="000800B3"/>
    <w:rsid w:val="000848FD"/>
    <w:rsid w:val="00085663"/>
    <w:rsid w:val="00085EBF"/>
    <w:rsid w:val="00091B15"/>
    <w:rsid w:val="00094961"/>
    <w:rsid w:val="000A3020"/>
    <w:rsid w:val="000A6C7B"/>
    <w:rsid w:val="000C2B40"/>
    <w:rsid w:val="000C7B6E"/>
    <w:rsid w:val="000D06C1"/>
    <w:rsid w:val="000D122C"/>
    <w:rsid w:val="000D3016"/>
    <w:rsid w:val="000D64F2"/>
    <w:rsid w:val="000E1819"/>
    <w:rsid w:val="000E4821"/>
    <w:rsid w:val="000E6C72"/>
    <w:rsid w:val="000F0B2B"/>
    <w:rsid w:val="000F3E72"/>
    <w:rsid w:val="000F48B1"/>
    <w:rsid w:val="000F49A2"/>
    <w:rsid w:val="000F62C6"/>
    <w:rsid w:val="0010164B"/>
    <w:rsid w:val="00103A67"/>
    <w:rsid w:val="00106898"/>
    <w:rsid w:val="001102F3"/>
    <w:rsid w:val="00116EB2"/>
    <w:rsid w:val="00124609"/>
    <w:rsid w:val="00126027"/>
    <w:rsid w:val="00126A4C"/>
    <w:rsid w:val="001378FD"/>
    <w:rsid w:val="00142861"/>
    <w:rsid w:val="00142AB6"/>
    <w:rsid w:val="0014573B"/>
    <w:rsid w:val="001564B9"/>
    <w:rsid w:val="001573E4"/>
    <w:rsid w:val="00160756"/>
    <w:rsid w:val="00161246"/>
    <w:rsid w:val="00171C30"/>
    <w:rsid w:val="0017232E"/>
    <w:rsid w:val="001723D9"/>
    <w:rsid w:val="00173B09"/>
    <w:rsid w:val="00174102"/>
    <w:rsid w:val="001754EE"/>
    <w:rsid w:val="00175C80"/>
    <w:rsid w:val="00180157"/>
    <w:rsid w:val="00185CB9"/>
    <w:rsid w:val="00186F77"/>
    <w:rsid w:val="0019138B"/>
    <w:rsid w:val="001926A4"/>
    <w:rsid w:val="00192AD5"/>
    <w:rsid w:val="00193E5A"/>
    <w:rsid w:val="001A25D1"/>
    <w:rsid w:val="001A6E7B"/>
    <w:rsid w:val="001B45A0"/>
    <w:rsid w:val="001B7D00"/>
    <w:rsid w:val="001D055E"/>
    <w:rsid w:val="001D18E3"/>
    <w:rsid w:val="001F05A4"/>
    <w:rsid w:val="001F0A8D"/>
    <w:rsid w:val="001F1835"/>
    <w:rsid w:val="001F2CC6"/>
    <w:rsid w:val="001F492E"/>
    <w:rsid w:val="001F53A8"/>
    <w:rsid w:val="001F5D10"/>
    <w:rsid w:val="001F6DA3"/>
    <w:rsid w:val="002010BC"/>
    <w:rsid w:val="0020164C"/>
    <w:rsid w:val="002016E7"/>
    <w:rsid w:val="00201F98"/>
    <w:rsid w:val="00202E03"/>
    <w:rsid w:val="0020478D"/>
    <w:rsid w:val="0020492C"/>
    <w:rsid w:val="00204F68"/>
    <w:rsid w:val="00205A33"/>
    <w:rsid w:val="00205F70"/>
    <w:rsid w:val="00210105"/>
    <w:rsid w:val="002165DB"/>
    <w:rsid w:val="00221D0A"/>
    <w:rsid w:val="00224DB9"/>
    <w:rsid w:val="00227DCE"/>
    <w:rsid w:val="00230E48"/>
    <w:rsid w:val="002326C4"/>
    <w:rsid w:val="0023276C"/>
    <w:rsid w:val="00233775"/>
    <w:rsid w:val="00240F45"/>
    <w:rsid w:val="00250FC8"/>
    <w:rsid w:val="00251745"/>
    <w:rsid w:val="00260172"/>
    <w:rsid w:val="002618E5"/>
    <w:rsid w:val="00261D5B"/>
    <w:rsid w:val="00263AC0"/>
    <w:rsid w:val="00264264"/>
    <w:rsid w:val="002655E3"/>
    <w:rsid w:val="002659A5"/>
    <w:rsid w:val="002669F8"/>
    <w:rsid w:val="0026772D"/>
    <w:rsid w:val="0028006A"/>
    <w:rsid w:val="002857F1"/>
    <w:rsid w:val="00286874"/>
    <w:rsid w:val="002900BC"/>
    <w:rsid w:val="002903D5"/>
    <w:rsid w:val="00290C63"/>
    <w:rsid w:val="0029628C"/>
    <w:rsid w:val="00296B65"/>
    <w:rsid w:val="00296D82"/>
    <w:rsid w:val="002A1CE1"/>
    <w:rsid w:val="002A2012"/>
    <w:rsid w:val="002A7DEF"/>
    <w:rsid w:val="002B1003"/>
    <w:rsid w:val="002B573C"/>
    <w:rsid w:val="002C233C"/>
    <w:rsid w:val="002D4DF2"/>
    <w:rsid w:val="002D66F1"/>
    <w:rsid w:val="002D72E8"/>
    <w:rsid w:val="002E7B22"/>
    <w:rsid w:val="002F0CA5"/>
    <w:rsid w:val="002F341B"/>
    <w:rsid w:val="002F7986"/>
    <w:rsid w:val="00301B40"/>
    <w:rsid w:val="003029EE"/>
    <w:rsid w:val="0030370B"/>
    <w:rsid w:val="00305CC8"/>
    <w:rsid w:val="00307F6D"/>
    <w:rsid w:val="00310D43"/>
    <w:rsid w:val="0031564E"/>
    <w:rsid w:val="003177A2"/>
    <w:rsid w:val="00324252"/>
    <w:rsid w:val="003271B5"/>
    <w:rsid w:val="00327A1E"/>
    <w:rsid w:val="00331264"/>
    <w:rsid w:val="00331A89"/>
    <w:rsid w:val="00334C8D"/>
    <w:rsid w:val="00335B6D"/>
    <w:rsid w:val="0033727C"/>
    <w:rsid w:val="00340119"/>
    <w:rsid w:val="00340AC0"/>
    <w:rsid w:val="003439B1"/>
    <w:rsid w:val="00343A18"/>
    <w:rsid w:val="00344473"/>
    <w:rsid w:val="00344E19"/>
    <w:rsid w:val="0034598A"/>
    <w:rsid w:val="003506B0"/>
    <w:rsid w:val="003518B3"/>
    <w:rsid w:val="00353BDF"/>
    <w:rsid w:val="00373C46"/>
    <w:rsid w:val="003776B1"/>
    <w:rsid w:val="003846F1"/>
    <w:rsid w:val="00391F6A"/>
    <w:rsid w:val="003931A7"/>
    <w:rsid w:val="0039740B"/>
    <w:rsid w:val="003A023D"/>
    <w:rsid w:val="003A5609"/>
    <w:rsid w:val="003A67EC"/>
    <w:rsid w:val="003B484F"/>
    <w:rsid w:val="003B7FBA"/>
    <w:rsid w:val="003D49E6"/>
    <w:rsid w:val="003D4F8D"/>
    <w:rsid w:val="003E36BC"/>
    <w:rsid w:val="003E40E4"/>
    <w:rsid w:val="003F0E57"/>
    <w:rsid w:val="003F174D"/>
    <w:rsid w:val="003F7442"/>
    <w:rsid w:val="00402E85"/>
    <w:rsid w:val="00406E83"/>
    <w:rsid w:val="00411734"/>
    <w:rsid w:val="0041381C"/>
    <w:rsid w:val="00415F31"/>
    <w:rsid w:val="004178BC"/>
    <w:rsid w:val="00423A77"/>
    <w:rsid w:val="00432197"/>
    <w:rsid w:val="004325DB"/>
    <w:rsid w:val="0044634C"/>
    <w:rsid w:val="00453DCE"/>
    <w:rsid w:val="0045777E"/>
    <w:rsid w:val="00462072"/>
    <w:rsid w:val="004627FC"/>
    <w:rsid w:val="00474EC7"/>
    <w:rsid w:val="00480B4B"/>
    <w:rsid w:val="00480F0C"/>
    <w:rsid w:val="00485DC4"/>
    <w:rsid w:val="00487EEB"/>
    <w:rsid w:val="004A0D38"/>
    <w:rsid w:val="004A2101"/>
    <w:rsid w:val="004A27DB"/>
    <w:rsid w:val="004A43D1"/>
    <w:rsid w:val="004A5B84"/>
    <w:rsid w:val="004B3271"/>
    <w:rsid w:val="004B355D"/>
    <w:rsid w:val="004B4412"/>
    <w:rsid w:val="004B6CCD"/>
    <w:rsid w:val="004C348C"/>
    <w:rsid w:val="004D133E"/>
    <w:rsid w:val="004D2884"/>
    <w:rsid w:val="004D55BA"/>
    <w:rsid w:val="004E22EC"/>
    <w:rsid w:val="004E3BA5"/>
    <w:rsid w:val="004E46A2"/>
    <w:rsid w:val="004E594C"/>
    <w:rsid w:val="004F3BF3"/>
    <w:rsid w:val="004F60EE"/>
    <w:rsid w:val="004F6A0E"/>
    <w:rsid w:val="00506345"/>
    <w:rsid w:val="00513654"/>
    <w:rsid w:val="00515079"/>
    <w:rsid w:val="0051571A"/>
    <w:rsid w:val="00530128"/>
    <w:rsid w:val="00532467"/>
    <w:rsid w:val="00537FD6"/>
    <w:rsid w:val="00546D6D"/>
    <w:rsid w:val="005522B8"/>
    <w:rsid w:val="00561B1F"/>
    <w:rsid w:val="00562B6C"/>
    <w:rsid w:val="00564A4D"/>
    <w:rsid w:val="00564FA9"/>
    <w:rsid w:val="0056588A"/>
    <w:rsid w:val="00567BA5"/>
    <w:rsid w:val="00571B35"/>
    <w:rsid w:val="00571D57"/>
    <w:rsid w:val="00577A09"/>
    <w:rsid w:val="005829C2"/>
    <w:rsid w:val="00584D8F"/>
    <w:rsid w:val="00586819"/>
    <w:rsid w:val="0059188F"/>
    <w:rsid w:val="0059704C"/>
    <w:rsid w:val="005A1848"/>
    <w:rsid w:val="005A404D"/>
    <w:rsid w:val="005A60F2"/>
    <w:rsid w:val="005A6AA6"/>
    <w:rsid w:val="005B1E3C"/>
    <w:rsid w:val="005B2BA1"/>
    <w:rsid w:val="005B3FB7"/>
    <w:rsid w:val="005B704A"/>
    <w:rsid w:val="005C0A7F"/>
    <w:rsid w:val="005C26CC"/>
    <w:rsid w:val="005C4885"/>
    <w:rsid w:val="005C4C9C"/>
    <w:rsid w:val="005D20F5"/>
    <w:rsid w:val="005D2AAE"/>
    <w:rsid w:val="005D53D0"/>
    <w:rsid w:val="005D7BA2"/>
    <w:rsid w:val="005E1F12"/>
    <w:rsid w:val="005E36C2"/>
    <w:rsid w:val="005E71AB"/>
    <w:rsid w:val="005F21BC"/>
    <w:rsid w:val="006007DE"/>
    <w:rsid w:val="00601638"/>
    <w:rsid w:val="006033B0"/>
    <w:rsid w:val="0060587C"/>
    <w:rsid w:val="00610EF9"/>
    <w:rsid w:val="00612F4F"/>
    <w:rsid w:val="00615C6B"/>
    <w:rsid w:val="00621DCE"/>
    <w:rsid w:val="006239EA"/>
    <w:rsid w:val="00625FF0"/>
    <w:rsid w:val="00626154"/>
    <w:rsid w:val="00632D6D"/>
    <w:rsid w:val="00634DF0"/>
    <w:rsid w:val="00642C3E"/>
    <w:rsid w:val="00644112"/>
    <w:rsid w:val="00651C3A"/>
    <w:rsid w:val="00651CB2"/>
    <w:rsid w:val="006523FC"/>
    <w:rsid w:val="00652C31"/>
    <w:rsid w:val="006560CA"/>
    <w:rsid w:val="0066104A"/>
    <w:rsid w:val="00663DAD"/>
    <w:rsid w:val="00665649"/>
    <w:rsid w:val="006672AA"/>
    <w:rsid w:val="00674EE5"/>
    <w:rsid w:val="00675E20"/>
    <w:rsid w:val="00676679"/>
    <w:rsid w:val="00683C89"/>
    <w:rsid w:val="00684C81"/>
    <w:rsid w:val="00691D9A"/>
    <w:rsid w:val="006B190D"/>
    <w:rsid w:val="006B2395"/>
    <w:rsid w:val="006B45A4"/>
    <w:rsid w:val="006B4CF9"/>
    <w:rsid w:val="006B785B"/>
    <w:rsid w:val="006B7AC8"/>
    <w:rsid w:val="006C056D"/>
    <w:rsid w:val="006C1736"/>
    <w:rsid w:val="006C1B37"/>
    <w:rsid w:val="006C4798"/>
    <w:rsid w:val="006D550F"/>
    <w:rsid w:val="006D56EE"/>
    <w:rsid w:val="006E0BCB"/>
    <w:rsid w:val="006F3AD1"/>
    <w:rsid w:val="006F3FC8"/>
    <w:rsid w:val="0070011E"/>
    <w:rsid w:val="00701CAB"/>
    <w:rsid w:val="00707563"/>
    <w:rsid w:val="0072348C"/>
    <w:rsid w:val="00724A37"/>
    <w:rsid w:val="007303C3"/>
    <w:rsid w:val="00730BE4"/>
    <w:rsid w:val="00732493"/>
    <w:rsid w:val="00741C46"/>
    <w:rsid w:val="00741E23"/>
    <w:rsid w:val="007429BE"/>
    <w:rsid w:val="00743223"/>
    <w:rsid w:val="00743FFC"/>
    <w:rsid w:val="00745E58"/>
    <w:rsid w:val="0074699E"/>
    <w:rsid w:val="00746E01"/>
    <w:rsid w:val="00747EEA"/>
    <w:rsid w:val="00757364"/>
    <w:rsid w:val="00757567"/>
    <w:rsid w:val="00757BDF"/>
    <w:rsid w:val="007609D0"/>
    <w:rsid w:val="00763E5D"/>
    <w:rsid w:val="0076468C"/>
    <w:rsid w:val="00767740"/>
    <w:rsid w:val="00774AF5"/>
    <w:rsid w:val="00777052"/>
    <w:rsid w:val="00777EE6"/>
    <w:rsid w:val="00782EEA"/>
    <w:rsid w:val="00783251"/>
    <w:rsid w:val="007B186E"/>
    <w:rsid w:val="007B2C72"/>
    <w:rsid w:val="007C1C53"/>
    <w:rsid w:val="007C2F7C"/>
    <w:rsid w:val="007C74BB"/>
    <w:rsid w:val="007C7AA4"/>
    <w:rsid w:val="007D456E"/>
    <w:rsid w:val="007D773B"/>
    <w:rsid w:val="007E4904"/>
    <w:rsid w:val="007E4CB5"/>
    <w:rsid w:val="007F066B"/>
    <w:rsid w:val="007F0F4E"/>
    <w:rsid w:val="007F213A"/>
    <w:rsid w:val="007F58A0"/>
    <w:rsid w:val="007F75C4"/>
    <w:rsid w:val="008033C4"/>
    <w:rsid w:val="00806C88"/>
    <w:rsid w:val="0081034E"/>
    <w:rsid w:val="00812ACB"/>
    <w:rsid w:val="008221F2"/>
    <w:rsid w:val="00825985"/>
    <w:rsid w:val="00831456"/>
    <w:rsid w:val="008314F8"/>
    <w:rsid w:val="008344F6"/>
    <w:rsid w:val="00835021"/>
    <w:rsid w:val="0083510F"/>
    <w:rsid w:val="00835FAC"/>
    <w:rsid w:val="008408C5"/>
    <w:rsid w:val="0084182C"/>
    <w:rsid w:val="00845FE8"/>
    <w:rsid w:val="00851209"/>
    <w:rsid w:val="00855E98"/>
    <w:rsid w:val="0085722A"/>
    <w:rsid w:val="00860FFA"/>
    <w:rsid w:val="00861000"/>
    <w:rsid w:val="00864B35"/>
    <w:rsid w:val="008739A9"/>
    <w:rsid w:val="00874E14"/>
    <w:rsid w:val="00877932"/>
    <w:rsid w:val="00882481"/>
    <w:rsid w:val="008837AC"/>
    <w:rsid w:val="00890B6B"/>
    <w:rsid w:val="008918D7"/>
    <w:rsid w:val="00893DE5"/>
    <w:rsid w:val="008A587D"/>
    <w:rsid w:val="008A75F3"/>
    <w:rsid w:val="008B35CD"/>
    <w:rsid w:val="008B5FCC"/>
    <w:rsid w:val="008B7544"/>
    <w:rsid w:val="008C3374"/>
    <w:rsid w:val="008C5486"/>
    <w:rsid w:val="008C5970"/>
    <w:rsid w:val="008C708B"/>
    <w:rsid w:val="008D1661"/>
    <w:rsid w:val="008D6800"/>
    <w:rsid w:val="008D7740"/>
    <w:rsid w:val="008E08CF"/>
    <w:rsid w:val="008E7031"/>
    <w:rsid w:val="008E77DE"/>
    <w:rsid w:val="008F07A3"/>
    <w:rsid w:val="008F0E2C"/>
    <w:rsid w:val="008F34DD"/>
    <w:rsid w:val="008F6A19"/>
    <w:rsid w:val="008F7C88"/>
    <w:rsid w:val="009001B6"/>
    <w:rsid w:val="00900E1B"/>
    <w:rsid w:val="00901C3C"/>
    <w:rsid w:val="009233EE"/>
    <w:rsid w:val="009272AD"/>
    <w:rsid w:val="009277DC"/>
    <w:rsid w:val="009301E9"/>
    <w:rsid w:val="009460AA"/>
    <w:rsid w:val="00951978"/>
    <w:rsid w:val="00951AED"/>
    <w:rsid w:val="00957C7C"/>
    <w:rsid w:val="00961A4A"/>
    <w:rsid w:val="00962D55"/>
    <w:rsid w:val="00963FCA"/>
    <w:rsid w:val="009661DE"/>
    <w:rsid w:val="00970E7D"/>
    <w:rsid w:val="009773CF"/>
    <w:rsid w:val="00982931"/>
    <w:rsid w:val="00983C25"/>
    <w:rsid w:val="009856B7"/>
    <w:rsid w:val="00985C86"/>
    <w:rsid w:val="0098747A"/>
    <w:rsid w:val="009901C2"/>
    <w:rsid w:val="009A5113"/>
    <w:rsid w:val="009A5FC3"/>
    <w:rsid w:val="009A6674"/>
    <w:rsid w:val="009A6B1E"/>
    <w:rsid w:val="009B4979"/>
    <w:rsid w:val="009B4BA8"/>
    <w:rsid w:val="009B6F84"/>
    <w:rsid w:val="009B74B0"/>
    <w:rsid w:val="009D2E2D"/>
    <w:rsid w:val="009D3906"/>
    <w:rsid w:val="009D65D0"/>
    <w:rsid w:val="009D6B46"/>
    <w:rsid w:val="009E11D5"/>
    <w:rsid w:val="009E2276"/>
    <w:rsid w:val="009F04E7"/>
    <w:rsid w:val="009F13D6"/>
    <w:rsid w:val="009F4940"/>
    <w:rsid w:val="009F5BA1"/>
    <w:rsid w:val="00A02A88"/>
    <w:rsid w:val="00A049B3"/>
    <w:rsid w:val="00A04F49"/>
    <w:rsid w:val="00A0562E"/>
    <w:rsid w:val="00A06085"/>
    <w:rsid w:val="00A0726D"/>
    <w:rsid w:val="00A110D9"/>
    <w:rsid w:val="00A20C46"/>
    <w:rsid w:val="00A22EB6"/>
    <w:rsid w:val="00A30904"/>
    <w:rsid w:val="00A30AE9"/>
    <w:rsid w:val="00A31749"/>
    <w:rsid w:val="00A32FBB"/>
    <w:rsid w:val="00A428EE"/>
    <w:rsid w:val="00A43ED9"/>
    <w:rsid w:val="00A4478A"/>
    <w:rsid w:val="00A44852"/>
    <w:rsid w:val="00A4650A"/>
    <w:rsid w:val="00A50502"/>
    <w:rsid w:val="00A506A5"/>
    <w:rsid w:val="00A56FB1"/>
    <w:rsid w:val="00A57D04"/>
    <w:rsid w:val="00A60A26"/>
    <w:rsid w:val="00A61598"/>
    <w:rsid w:val="00A824E7"/>
    <w:rsid w:val="00A84A99"/>
    <w:rsid w:val="00A84F46"/>
    <w:rsid w:val="00A871F4"/>
    <w:rsid w:val="00AA3132"/>
    <w:rsid w:val="00AB042A"/>
    <w:rsid w:val="00AB2F68"/>
    <w:rsid w:val="00AC1B2C"/>
    <w:rsid w:val="00AC3264"/>
    <w:rsid w:val="00AC63C2"/>
    <w:rsid w:val="00AC7EA4"/>
    <w:rsid w:val="00AD11B5"/>
    <w:rsid w:val="00AD6E10"/>
    <w:rsid w:val="00AE1397"/>
    <w:rsid w:val="00AE1BF1"/>
    <w:rsid w:val="00AF0DD2"/>
    <w:rsid w:val="00AF186C"/>
    <w:rsid w:val="00B0209D"/>
    <w:rsid w:val="00B079C1"/>
    <w:rsid w:val="00B07CEA"/>
    <w:rsid w:val="00B11592"/>
    <w:rsid w:val="00B13048"/>
    <w:rsid w:val="00B14FDD"/>
    <w:rsid w:val="00B16798"/>
    <w:rsid w:val="00B16E77"/>
    <w:rsid w:val="00B1716D"/>
    <w:rsid w:val="00B17A1D"/>
    <w:rsid w:val="00B207A0"/>
    <w:rsid w:val="00B40CAA"/>
    <w:rsid w:val="00B514DD"/>
    <w:rsid w:val="00B51F3F"/>
    <w:rsid w:val="00B52AF0"/>
    <w:rsid w:val="00B561BD"/>
    <w:rsid w:val="00B56E03"/>
    <w:rsid w:val="00B61EDF"/>
    <w:rsid w:val="00B62E64"/>
    <w:rsid w:val="00B6605D"/>
    <w:rsid w:val="00B757A6"/>
    <w:rsid w:val="00B774A0"/>
    <w:rsid w:val="00B80087"/>
    <w:rsid w:val="00B8080B"/>
    <w:rsid w:val="00B82223"/>
    <w:rsid w:val="00B85644"/>
    <w:rsid w:val="00B87BA5"/>
    <w:rsid w:val="00B87C39"/>
    <w:rsid w:val="00B94A3E"/>
    <w:rsid w:val="00B9562D"/>
    <w:rsid w:val="00BA160F"/>
    <w:rsid w:val="00BA4665"/>
    <w:rsid w:val="00BA7BEC"/>
    <w:rsid w:val="00BB1836"/>
    <w:rsid w:val="00BB2FB2"/>
    <w:rsid w:val="00BB3304"/>
    <w:rsid w:val="00BB3FD7"/>
    <w:rsid w:val="00BB6C23"/>
    <w:rsid w:val="00BB7122"/>
    <w:rsid w:val="00BB71AD"/>
    <w:rsid w:val="00BB7528"/>
    <w:rsid w:val="00BC1208"/>
    <w:rsid w:val="00BC34B0"/>
    <w:rsid w:val="00BD310B"/>
    <w:rsid w:val="00BD3446"/>
    <w:rsid w:val="00BD654C"/>
    <w:rsid w:val="00BE1F1B"/>
    <w:rsid w:val="00BE3463"/>
    <w:rsid w:val="00BE348D"/>
    <w:rsid w:val="00BE47B5"/>
    <w:rsid w:val="00BF7044"/>
    <w:rsid w:val="00C04223"/>
    <w:rsid w:val="00C12C7C"/>
    <w:rsid w:val="00C17242"/>
    <w:rsid w:val="00C17774"/>
    <w:rsid w:val="00C17E00"/>
    <w:rsid w:val="00C203C3"/>
    <w:rsid w:val="00C23F5A"/>
    <w:rsid w:val="00C25FA6"/>
    <w:rsid w:val="00C275C4"/>
    <w:rsid w:val="00C42ACA"/>
    <w:rsid w:val="00C43CD9"/>
    <w:rsid w:val="00C538A9"/>
    <w:rsid w:val="00C53B5A"/>
    <w:rsid w:val="00C54F5A"/>
    <w:rsid w:val="00C5520D"/>
    <w:rsid w:val="00C55A95"/>
    <w:rsid w:val="00C56761"/>
    <w:rsid w:val="00C569B4"/>
    <w:rsid w:val="00C56A3E"/>
    <w:rsid w:val="00C6243C"/>
    <w:rsid w:val="00C67A92"/>
    <w:rsid w:val="00C7194B"/>
    <w:rsid w:val="00C72701"/>
    <w:rsid w:val="00C72770"/>
    <w:rsid w:val="00C7497E"/>
    <w:rsid w:val="00C760D5"/>
    <w:rsid w:val="00C823BD"/>
    <w:rsid w:val="00C84560"/>
    <w:rsid w:val="00C84F52"/>
    <w:rsid w:val="00C86679"/>
    <w:rsid w:val="00C97C3C"/>
    <w:rsid w:val="00CA489E"/>
    <w:rsid w:val="00CA52A2"/>
    <w:rsid w:val="00CB0279"/>
    <w:rsid w:val="00CB666B"/>
    <w:rsid w:val="00CC086C"/>
    <w:rsid w:val="00CC5628"/>
    <w:rsid w:val="00CC7F1D"/>
    <w:rsid w:val="00CD2862"/>
    <w:rsid w:val="00CD48E4"/>
    <w:rsid w:val="00CE0266"/>
    <w:rsid w:val="00CE3E9B"/>
    <w:rsid w:val="00CE484B"/>
    <w:rsid w:val="00CF0DEE"/>
    <w:rsid w:val="00CF2C05"/>
    <w:rsid w:val="00CF34E2"/>
    <w:rsid w:val="00CF6EDE"/>
    <w:rsid w:val="00D002D4"/>
    <w:rsid w:val="00D006AE"/>
    <w:rsid w:val="00D01CF0"/>
    <w:rsid w:val="00D01EFD"/>
    <w:rsid w:val="00D0442A"/>
    <w:rsid w:val="00D064F1"/>
    <w:rsid w:val="00D065ED"/>
    <w:rsid w:val="00D14B51"/>
    <w:rsid w:val="00D15A42"/>
    <w:rsid w:val="00D17683"/>
    <w:rsid w:val="00D44C0D"/>
    <w:rsid w:val="00D45694"/>
    <w:rsid w:val="00D50493"/>
    <w:rsid w:val="00D61388"/>
    <w:rsid w:val="00D61A54"/>
    <w:rsid w:val="00D64DEA"/>
    <w:rsid w:val="00D7168E"/>
    <w:rsid w:val="00D71E57"/>
    <w:rsid w:val="00D75AA2"/>
    <w:rsid w:val="00D76C20"/>
    <w:rsid w:val="00D77165"/>
    <w:rsid w:val="00D80893"/>
    <w:rsid w:val="00D84854"/>
    <w:rsid w:val="00D848B4"/>
    <w:rsid w:val="00D85C3B"/>
    <w:rsid w:val="00D92CF1"/>
    <w:rsid w:val="00D92D38"/>
    <w:rsid w:val="00D93E20"/>
    <w:rsid w:val="00D950F5"/>
    <w:rsid w:val="00D96B1F"/>
    <w:rsid w:val="00DA0214"/>
    <w:rsid w:val="00DA309D"/>
    <w:rsid w:val="00DA4752"/>
    <w:rsid w:val="00DA61F3"/>
    <w:rsid w:val="00DA6B93"/>
    <w:rsid w:val="00DA6E05"/>
    <w:rsid w:val="00DB0894"/>
    <w:rsid w:val="00DB0F93"/>
    <w:rsid w:val="00DB1A67"/>
    <w:rsid w:val="00DB5074"/>
    <w:rsid w:val="00DB5B21"/>
    <w:rsid w:val="00DB71CF"/>
    <w:rsid w:val="00DC01DB"/>
    <w:rsid w:val="00DC7981"/>
    <w:rsid w:val="00DD217C"/>
    <w:rsid w:val="00DE1093"/>
    <w:rsid w:val="00DE4EFA"/>
    <w:rsid w:val="00DE5520"/>
    <w:rsid w:val="00DE563D"/>
    <w:rsid w:val="00DE57AA"/>
    <w:rsid w:val="00DE5E2E"/>
    <w:rsid w:val="00DE770F"/>
    <w:rsid w:val="00DE772C"/>
    <w:rsid w:val="00DF312A"/>
    <w:rsid w:val="00DF6CCA"/>
    <w:rsid w:val="00DF7352"/>
    <w:rsid w:val="00E04818"/>
    <w:rsid w:val="00E06442"/>
    <w:rsid w:val="00E06BCF"/>
    <w:rsid w:val="00E06C55"/>
    <w:rsid w:val="00E1001C"/>
    <w:rsid w:val="00E104AF"/>
    <w:rsid w:val="00E10DE3"/>
    <w:rsid w:val="00E173B1"/>
    <w:rsid w:val="00E23993"/>
    <w:rsid w:val="00E257D6"/>
    <w:rsid w:val="00E25B8C"/>
    <w:rsid w:val="00E31249"/>
    <w:rsid w:val="00E50C6C"/>
    <w:rsid w:val="00E51D65"/>
    <w:rsid w:val="00E5349D"/>
    <w:rsid w:val="00E558E1"/>
    <w:rsid w:val="00E5609D"/>
    <w:rsid w:val="00E6200B"/>
    <w:rsid w:val="00E65C85"/>
    <w:rsid w:val="00E66199"/>
    <w:rsid w:val="00E711C7"/>
    <w:rsid w:val="00E72DC5"/>
    <w:rsid w:val="00E755EC"/>
    <w:rsid w:val="00E7624D"/>
    <w:rsid w:val="00E97675"/>
    <w:rsid w:val="00EA3D42"/>
    <w:rsid w:val="00EA6B1B"/>
    <w:rsid w:val="00EB5BC8"/>
    <w:rsid w:val="00EB606C"/>
    <w:rsid w:val="00EC04F1"/>
    <w:rsid w:val="00EC196D"/>
    <w:rsid w:val="00EC5E48"/>
    <w:rsid w:val="00ED0A58"/>
    <w:rsid w:val="00ED0EC2"/>
    <w:rsid w:val="00ED2023"/>
    <w:rsid w:val="00ED3F6B"/>
    <w:rsid w:val="00ED7323"/>
    <w:rsid w:val="00EE28F3"/>
    <w:rsid w:val="00EE50D1"/>
    <w:rsid w:val="00EE77FA"/>
    <w:rsid w:val="00EF5110"/>
    <w:rsid w:val="00EF7859"/>
    <w:rsid w:val="00F0334E"/>
    <w:rsid w:val="00F10411"/>
    <w:rsid w:val="00F114A9"/>
    <w:rsid w:val="00F15882"/>
    <w:rsid w:val="00F170F0"/>
    <w:rsid w:val="00F171E0"/>
    <w:rsid w:val="00F20BD3"/>
    <w:rsid w:val="00F241DC"/>
    <w:rsid w:val="00F2526A"/>
    <w:rsid w:val="00F35D27"/>
    <w:rsid w:val="00F3671F"/>
    <w:rsid w:val="00F373A5"/>
    <w:rsid w:val="00F47559"/>
    <w:rsid w:val="00F527F0"/>
    <w:rsid w:val="00F61176"/>
    <w:rsid w:val="00F61986"/>
    <w:rsid w:val="00F63E37"/>
    <w:rsid w:val="00F64C7B"/>
    <w:rsid w:val="00F65B25"/>
    <w:rsid w:val="00F65B48"/>
    <w:rsid w:val="00F676DD"/>
    <w:rsid w:val="00F71667"/>
    <w:rsid w:val="00F75698"/>
    <w:rsid w:val="00F75A26"/>
    <w:rsid w:val="00F76706"/>
    <w:rsid w:val="00F7674F"/>
    <w:rsid w:val="00F768C8"/>
    <w:rsid w:val="00F776E7"/>
    <w:rsid w:val="00F81B8D"/>
    <w:rsid w:val="00F82565"/>
    <w:rsid w:val="00F82B5A"/>
    <w:rsid w:val="00F83FAD"/>
    <w:rsid w:val="00F857E3"/>
    <w:rsid w:val="00F8653A"/>
    <w:rsid w:val="00F92349"/>
    <w:rsid w:val="00F92753"/>
    <w:rsid w:val="00F952A0"/>
    <w:rsid w:val="00FA1684"/>
    <w:rsid w:val="00FA1C9D"/>
    <w:rsid w:val="00FA3C7F"/>
    <w:rsid w:val="00FA4AE6"/>
    <w:rsid w:val="00FA6EA8"/>
    <w:rsid w:val="00FB4402"/>
    <w:rsid w:val="00FB5DEC"/>
    <w:rsid w:val="00FB60FE"/>
    <w:rsid w:val="00FB74E2"/>
    <w:rsid w:val="00FC2072"/>
    <w:rsid w:val="00FC71DC"/>
    <w:rsid w:val="00FD2ED2"/>
    <w:rsid w:val="00FD47A8"/>
    <w:rsid w:val="00FD5614"/>
    <w:rsid w:val="00FD5E78"/>
    <w:rsid w:val="00FD64AD"/>
    <w:rsid w:val="00FE0BE1"/>
    <w:rsid w:val="00FE1DE9"/>
    <w:rsid w:val="00FE36AF"/>
    <w:rsid w:val="00FE39C2"/>
    <w:rsid w:val="00FE3C32"/>
    <w:rsid w:val="00FE64AE"/>
    <w:rsid w:val="00FF4FA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98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before="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nhideWhenUsed="0"/>
    <w:lsdException w:name="footnote text" w:uiPriority="2" w:qFormat="1"/>
    <w:lsdException w:name="header" w:uiPriority="0" w:qFormat="1"/>
    <w:lsdException w:name="footer" w:qFormat="1"/>
    <w:lsdException w:name="caption" w:uiPriority="0" w:qFormat="1"/>
    <w:lsdException w:name="page number" w:uiPriority="0"/>
    <w:lsdException w:name="List" w:uiPriority="0" w:qFormat="1"/>
    <w:lsdException w:name="List Bullet" w:uiPriority="0"/>
    <w:lsdException w:name="List Number" w:uiPriority="0" w:qFormat="1"/>
    <w:lsdException w:name="List Bullet 2" w:qFormat="1"/>
    <w:lsdException w:name="List Bullet 3" w:uiPriority="0" w:qFormat="1"/>
    <w:lsdException w:name="Title" w:semiHidden="0" w:uiPriority="0" w:unhideWhenUsed="0" w:qFormat="1"/>
    <w:lsdException w:name="Default Paragraph Font" w:uiPriority="1"/>
    <w:lsdException w:name="Body Text" w:uiPriority="0"/>
    <w:lsdException w:name="Body Text Indent" w:uiPriority="0"/>
    <w:lsdException w:name="List Continue" w:uiPriority="0" w:qFormat="1"/>
    <w:lsdException w:name="List Continue 2" w:uiPriority="0" w:qFormat="1"/>
    <w:lsdException w:name="List Continue 3" w:uiPriority="0" w:qFormat="1"/>
    <w:lsdException w:name="Subtitle" w:semiHidden="0" w:uiPriority="11" w:unhideWhenUsed="0"/>
    <w:lsdException w:name="Body Text 2" w:uiPriority="0"/>
    <w:lsdException w:name="Body Text 3" w:uiPriority="0"/>
    <w:lsdException w:name="Body Text Indent 3" w:uiPriority="0"/>
    <w:lsdException w:name="Hyperlink"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semiHidden="0" w:uiPriority="33" w:unhideWhenUsed="0"/>
    <w:lsdException w:name="Bibliography" w:uiPriority="37"/>
    <w:lsdException w:name="TOC Heading" w:uiPriority="39" w:qFormat="1"/>
  </w:latentStyles>
  <w:style w:type="paragraph" w:default="1" w:styleId="Normal">
    <w:name w:val="Normal"/>
    <w:aliases w:val="AER body text"/>
    <w:qFormat/>
    <w:rsid w:val="000A3020"/>
    <w:pPr>
      <w:spacing w:line="276" w:lineRule="auto"/>
    </w:pPr>
    <w:rPr>
      <w:rFonts w:ascii="Arial" w:hAnsi="Arial"/>
    </w:rPr>
  </w:style>
  <w:style w:type="paragraph" w:styleId="Heading1">
    <w:name w:val="heading 1"/>
    <w:aliases w:val="(Alt + 1)"/>
    <w:basedOn w:val="Normal"/>
    <w:next w:val="Normal"/>
    <w:link w:val="Heading1Char"/>
    <w:qFormat/>
    <w:rsid w:val="00DE1093"/>
    <w:pPr>
      <w:pageBreakBefore/>
      <w:numPr>
        <w:numId w:val="25"/>
      </w:numPr>
      <w:tabs>
        <w:tab w:val="left" w:pos="680"/>
      </w:tabs>
      <w:spacing w:before="240"/>
      <w:outlineLvl w:val="0"/>
    </w:pPr>
    <w:rPr>
      <w:rFonts w:eastAsiaTheme="majorEastAsia" w:cstheme="majorBidi"/>
      <w:b/>
      <w:bCs/>
      <w:color w:val="70635A"/>
      <w:sz w:val="36"/>
      <w:szCs w:val="28"/>
    </w:rPr>
  </w:style>
  <w:style w:type="paragraph" w:styleId="Heading2">
    <w:name w:val="heading 2"/>
    <w:next w:val="Normal"/>
    <w:link w:val="Heading2Char"/>
    <w:qFormat/>
    <w:rsid w:val="00126A4C"/>
    <w:pPr>
      <w:numPr>
        <w:ilvl w:val="1"/>
        <w:numId w:val="25"/>
      </w:numPr>
      <w:tabs>
        <w:tab w:val="left" w:pos="680"/>
      </w:tabs>
      <w:spacing w:line="240" w:lineRule="atLeast"/>
      <w:outlineLvl w:val="1"/>
    </w:pPr>
    <w:rPr>
      <w:rFonts w:ascii="Arial" w:eastAsiaTheme="majorEastAsia" w:hAnsi="Arial" w:cstheme="majorBidi"/>
      <w:b/>
      <w:bCs/>
      <w:color w:val="70635A" w:themeColor="text2"/>
      <w:sz w:val="32"/>
      <w:szCs w:val="26"/>
    </w:rPr>
  </w:style>
  <w:style w:type="paragraph" w:styleId="Heading3">
    <w:name w:val="heading 3"/>
    <w:basedOn w:val="Normal"/>
    <w:next w:val="Normal"/>
    <w:link w:val="Heading3Char"/>
    <w:qFormat/>
    <w:rsid w:val="00126A4C"/>
    <w:pPr>
      <w:numPr>
        <w:ilvl w:val="2"/>
        <w:numId w:val="25"/>
      </w:numPr>
      <w:tabs>
        <w:tab w:val="left" w:pos="1021"/>
      </w:tabs>
      <w:spacing w:before="240"/>
      <w:outlineLvl w:val="2"/>
    </w:pPr>
    <w:rPr>
      <w:rFonts w:eastAsiaTheme="majorEastAsia" w:cstheme="majorBidi"/>
      <w:b/>
      <w:bCs/>
      <w:color w:val="70635A" w:themeColor="text2"/>
      <w:sz w:val="28"/>
    </w:rPr>
  </w:style>
  <w:style w:type="paragraph" w:styleId="Heading4">
    <w:name w:val="heading 4"/>
    <w:basedOn w:val="Normal"/>
    <w:next w:val="Normal"/>
    <w:link w:val="Heading4Char"/>
    <w:qFormat/>
    <w:rsid w:val="00126A4C"/>
    <w:pPr>
      <w:numPr>
        <w:ilvl w:val="3"/>
        <w:numId w:val="25"/>
      </w:numPr>
      <w:tabs>
        <w:tab w:val="left" w:pos="1021"/>
      </w:tabs>
      <w:spacing w:before="240"/>
      <w:outlineLvl w:val="3"/>
    </w:pPr>
    <w:rPr>
      <w:rFonts w:eastAsiaTheme="majorEastAsia" w:cstheme="majorBidi"/>
      <w:b/>
      <w:bCs/>
      <w:iCs/>
      <w:color w:val="51626F"/>
      <w:sz w:val="24"/>
    </w:rPr>
  </w:style>
  <w:style w:type="paragraph" w:styleId="Heading5">
    <w:name w:val="heading 5"/>
    <w:aliases w:val="Appendix 1"/>
    <w:next w:val="Normal"/>
    <w:link w:val="Heading5Char"/>
    <w:qFormat/>
    <w:rsid w:val="00126A4C"/>
    <w:pPr>
      <w:numPr>
        <w:ilvl w:val="4"/>
        <w:numId w:val="25"/>
      </w:numPr>
      <w:tabs>
        <w:tab w:val="left" w:pos="1021"/>
      </w:tabs>
      <w:spacing w:line="240" w:lineRule="atLeast"/>
      <w:outlineLvl w:val="4"/>
    </w:pPr>
    <w:rPr>
      <w:rFonts w:ascii="Arial" w:eastAsiaTheme="majorEastAsia" w:hAnsi="Arial" w:cstheme="majorBidi"/>
      <w:b/>
      <w:color w:val="170017" w:themeColor="accent1" w:themeShade="7F"/>
    </w:rPr>
  </w:style>
  <w:style w:type="paragraph" w:styleId="Heading6">
    <w:name w:val="heading 6"/>
    <w:aliases w:val="Appendix 2"/>
    <w:basedOn w:val="Normal"/>
    <w:next w:val="Normal"/>
    <w:link w:val="Heading6Char"/>
    <w:qFormat/>
    <w:rsid w:val="00126A4C"/>
    <w:pPr>
      <w:numPr>
        <w:ilvl w:val="5"/>
        <w:numId w:val="25"/>
      </w:numPr>
      <w:tabs>
        <w:tab w:val="left" w:pos="1361"/>
      </w:tabs>
      <w:spacing w:before="240"/>
      <w:outlineLvl w:val="5"/>
    </w:pPr>
    <w:rPr>
      <w:rFonts w:eastAsiaTheme="majorEastAsia" w:cstheme="majorBidi"/>
      <w:b/>
      <w:i/>
      <w:iCs/>
      <w:color w:val="076A92" w:themeColor="text1"/>
    </w:rPr>
  </w:style>
  <w:style w:type="paragraph" w:styleId="Heading7">
    <w:name w:val="heading 7"/>
    <w:aliases w:val="(Appen),t,Appendix 3"/>
    <w:basedOn w:val="Heading1"/>
    <w:next w:val="Normal"/>
    <w:link w:val="Heading7Char"/>
    <w:qFormat/>
    <w:rsid w:val="00CB0279"/>
    <w:pPr>
      <w:numPr>
        <w:numId w:val="27"/>
      </w:numPr>
      <w:tabs>
        <w:tab w:val="clear" w:pos="680"/>
        <w:tab w:val="left" w:pos="1021"/>
      </w:tabs>
      <w:ind w:left="1021" w:hanging="1021"/>
      <w:outlineLvl w:val="6"/>
    </w:pPr>
  </w:style>
  <w:style w:type="paragraph" w:styleId="Heading8">
    <w:name w:val="heading 8"/>
    <w:basedOn w:val="Heading2"/>
    <w:next w:val="Normal"/>
    <w:link w:val="Heading8Char"/>
    <w:qFormat/>
    <w:rsid w:val="00CB0279"/>
    <w:pPr>
      <w:numPr>
        <w:numId w:val="27"/>
      </w:numPr>
      <w:tabs>
        <w:tab w:val="clear" w:pos="680"/>
        <w:tab w:val="left" w:pos="1021"/>
      </w:tabs>
      <w:outlineLvl w:val="7"/>
    </w:pPr>
  </w:style>
  <w:style w:type="paragraph" w:styleId="Heading9">
    <w:name w:val="heading 9"/>
    <w:basedOn w:val="Heading3"/>
    <w:next w:val="Normal"/>
    <w:link w:val="Heading9Char"/>
    <w:qFormat/>
    <w:rsid w:val="00CB0279"/>
    <w:pPr>
      <w:numPr>
        <w:numId w:val="27"/>
      </w:numPr>
      <w:ind w:left="1021" w:hanging="102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lt + 1) Char"/>
    <w:basedOn w:val="DefaultParagraphFont"/>
    <w:link w:val="Heading1"/>
    <w:rsid w:val="00DE1093"/>
    <w:rPr>
      <w:rFonts w:ascii="Arial" w:eastAsiaTheme="majorEastAsia" w:hAnsi="Arial" w:cstheme="majorBidi"/>
      <w:b/>
      <w:bCs/>
      <w:color w:val="70635A"/>
      <w:sz w:val="36"/>
      <w:szCs w:val="28"/>
    </w:rPr>
  </w:style>
  <w:style w:type="character" w:customStyle="1" w:styleId="Heading2Char">
    <w:name w:val="Heading 2 Char"/>
    <w:basedOn w:val="DefaultParagraphFont"/>
    <w:link w:val="Heading2"/>
    <w:rsid w:val="00126A4C"/>
    <w:rPr>
      <w:rFonts w:ascii="Arial" w:eastAsiaTheme="majorEastAsia" w:hAnsi="Arial" w:cstheme="majorBidi"/>
      <w:b/>
      <w:bCs/>
      <w:color w:val="70635A" w:themeColor="text2"/>
      <w:sz w:val="32"/>
      <w:szCs w:val="26"/>
    </w:rPr>
  </w:style>
  <w:style w:type="character" w:customStyle="1" w:styleId="Heading3Char">
    <w:name w:val="Heading 3 Char"/>
    <w:basedOn w:val="DefaultParagraphFont"/>
    <w:link w:val="Heading3"/>
    <w:rsid w:val="00126A4C"/>
    <w:rPr>
      <w:rFonts w:ascii="Arial" w:eastAsiaTheme="majorEastAsia" w:hAnsi="Arial" w:cstheme="majorBidi"/>
      <w:b/>
      <w:bCs/>
      <w:color w:val="70635A" w:themeColor="text2"/>
      <w:sz w:val="28"/>
    </w:rPr>
  </w:style>
  <w:style w:type="character" w:customStyle="1" w:styleId="Heading4Char">
    <w:name w:val="Heading 4 Char"/>
    <w:basedOn w:val="DefaultParagraphFont"/>
    <w:link w:val="Heading4"/>
    <w:rsid w:val="00126A4C"/>
    <w:rPr>
      <w:rFonts w:ascii="Arial" w:eastAsiaTheme="majorEastAsia" w:hAnsi="Arial" w:cstheme="majorBidi"/>
      <w:b/>
      <w:bCs/>
      <w:iCs/>
      <w:color w:val="51626F"/>
      <w:sz w:val="24"/>
    </w:rPr>
  </w:style>
  <w:style w:type="character" w:customStyle="1" w:styleId="Heading5Char">
    <w:name w:val="Heading 5 Char"/>
    <w:aliases w:val="Appendix 1 Char"/>
    <w:basedOn w:val="DefaultParagraphFont"/>
    <w:link w:val="Heading5"/>
    <w:rsid w:val="00126A4C"/>
    <w:rPr>
      <w:rFonts w:ascii="Arial" w:eastAsiaTheme="majorEastAsia" w:hAnsi="Arial" w:cstheme="majorBidi"/>
      <w:b/>
      <w:color w:val="170017" w:themeColor="accent1" w:themeShade="7F"/>
    </w:rPr>
  </w:style>
  <w:style w:type="character" w:customStyle="1" w:styleId="Heading6Char">
    <w:name w:val="Heading 6 Char"/>
    <w:aliases w:val="Appendix 2 Char"/>
    <w:basedOn w:val="DefaultParagraphFont"/>
    <w:link w:val="Heading6"/>
    <w:rsid w:val="00126A4C"/>
    <w:rPr>
      <w:rFonts w:ascii="Arial" w:eastAsiaTheme="majorEastAsia" w:hAnsi="Arial" w:cstheme="majorBidi"/>
      <w:b/>
      <w:i/>
      <w:iCs/>
      <w:color w:val="076A92" w:themeColor="text1"/>
    </w:rPr>
  </w:style>
  <w:style w:type="paragraph" w:customStyle="1" w:styleId="Chaptertitle">
    <w:name w:val="Chapter title"/>
    <w:basedOn w:val="Normal"/>
    <w:link w:val="ChaptertitleChar"/>
    <w:rsid w:val="00DE1093"/>
    <w:pPr>
      <w:pageBreakBefore/>
      <w:spacing w:before="520" w:after="120"/>
      <w:outlineLvl w:val="0"/>
    </w:pPr>
    <w:rPr>
      <w:color w:val="076A92" w:themeColor="text1"/>
      <w:sz w:val="52"/>
      <w:szCs w:val="52"/>
    </w:rPr>
  </w:style>
  <w:style w:type="character" w:customStyle="1" w:styleId="ChaptertitleChar">
    <w:name w:val="Chapter title Char"/>
    <w:basedOn w:val="DefaultParagraphFont"/>
    <w:link w:val="Chaptertitle"/>
    <w:rsid w:val="00DE1093"/>
    <w:rPr>
      <w:rFonts w:ascii="Arial" w:hAnsi="Arial"/>
      <w:color w:val="076A92" w:themeColor="text1"/>
      <w:sz w:val="52"/>
      <w:szCs w:val="52"/>
    </w:rPr>
  </w:style>
  <w:style w:type="paragraph" w:customStyle="1" w:styleId="Tabletext">
    <w:name w:val="Table text"/>
    <w:basedOn w:val="Normal"/>
    <w:link w:val="TabletextChar"/>
    <w:uiPriority w:val="1"/>
    <w:qFormat/>
    <w:rsid w:val="00584D8F"/>
    <w:pPr>
      <w:spacing w:before="120" w:after="60"/>
    </w:pPr>
    <w:rPr>
      <w:sz w:val="20"/>
    </w:rPr>
  </w:style>
  <w:style w:type="paragraph" w:styleId="TOC8">
    <w:name w:val="toc 8"/>
    <w:basedOn w:val="Normal"/>
    <w:next w:val="Normal"/>
    <w:rsid w:val="005D7BA2"/>
    <w:pPr>
      <w:tabs>
        <w:tab w:val="right" w:leader="dot" w:pos="8363"/>
      </w:tabs>
      <w:spacing w:after="100"/>
      <w:ind w:left="2977"/>
    </w:pPr>
    <w:rPr>
      <w:noProof/>
    </w:rPr>
  </w:style>
  <w:style w:type="paragraph" w:styleId="TOC9">
    <w:name w:val="toc 9"/>
    <w:basedOn w:val="Normal"/>
    <w:next w:val="Normal"/>
    <w:rsid w:val="005D7BA2"/>
    <w:pPr>
      <w:tabs>
        <w:tab w:val="right" w:leader="dot" w:pos="8363"/>
      </w:tabs>
      <w:spacing w:after="100"/>
      <w:ind w:left="3402"/>
    </w:pPr>
    <w:rPr>
      <w:noProof/>
    </w:rPr>
  </w:style>
  <w:style w:type="paragraph" w:customStyle="1" w:styleId="HeadingBoldBlue">
    <w:name w:val="Heading Bold Blue"/>
    <w:basedOn w:val="Heading3"/>
    <w:link w:val="HeadingBoldBlueChar"/>
    <w:qFormat/>
    <w:rsid w:val="00985C86"/>
    <w:pPr>
      <w:numPr>
        <w:ilvl w:val="0"/>
        <w:numId w:val="0"/>
      </w:numPr>
    </w:pPr>
  </w:style>
  <w:style w:type="paragraph" w:customStyle="1" w:styleId="HeadingBoldItalic">
    <w:name w:val="Heading Bold Italic"/>
    <w:basedOn w:val="Heading4"/>
    <w:qFormat/>
    <w:rsid w:val="00985C86"/>
    <w:pPr>
      <w:numPr>
        <w:ilvl w:val="0"/>
        <w:numId w:val="0"/>
      </w:numPr>
    </w:pPr>
    <w:rPr>
      <w:i/>
    </w:rPr>
  </w:style>
  <w:style w:type="paragraph" w:customStyle="1" w:styleId="HeadingItalic">
    <w:name w:val="Heading Italic"/>
    <w:basedOn w:val="HeadingBoldItalic"/>
    <w:qFormat/>
    <w:rsid w:val="00985C86"/>
    <w:rPr>
      <w:b w:val="0"/>
    </w:rPr>
  </w:style>
  <w:style w:type="paragraph" w:customStyle="1" w:styleId="HeadingOrange">
    <w:name w:val="Heading Orange"/>
    <w:basedOn w:val="Heading5"/>
    <w:qFormat/>
    <w:rsid w:val="00985C86"/>
    <w:pPr>
      <w:numPr>
        <w:ilvl w:val="0"/>
        <w:numId w:val="0"/>
      </w:numPr>
    </w:pPr>
  </w:style>
  <w:style w:type="paragraph" w:styleId="Header">
    <w:name w:val="header"/>
    <w:basedOn w:val="Normal"/>
    <w:link w:val="HeaderChar"/>
    <w:unhideWhenUsed/>
    <w:qFormat/>
    <w:rsid w:val="008344F6"/>
    <w:pPr>
      <w:tabs>
        <w:tab w:val="center" w:pos="4513"/>
        <w:tab w:val="right" w:pos="9026"/>
      </w:tabs>
      <w:spacing w:after="120"/>
    </w:pPr>
    <w:rPr>
      <w:color w:val="2F002F" w:themeColor="accent1"/>
      <w:sz w:val="18"/>
    </w:rPr>
  </w:style>
  <w:style w:type="character" w:customStyle="1" w:styleId="HeaderChar">
    <w:name w:val="Header Char"/>
    <w:basedOn w:val="DefaultParagraphFont"/>
    <w:link w:val="Header"/>
    <w:uiPriority w:val="99"/>
    <w:rsid w:val="008344F6"/>
    <w:rPr>
      <w:rFonts w:ascii="Arial" w:hAnsi="Arial"/>
      <w:color w:val="2F002F" w:themeColor="accent1"/>
      <w:sz w:val="18"/>
    </w:rPr>
  </w:style>
  <w:style w:type="paragraph" w:styleId="NoSpacing">
    <w:name w:val="No Spacing"/>
    <w:uiPriority w:val="1"/>
    <w:qFormat/>
    <w:rsid w:val="00724A37"/>
    <w:pPr>
      <w:spacing w:before="0"/>
    </w:pPr>
    <w:rPr>
      <w:rFonts w:ascii="Arial" w:hAnsi="Arial"/>
    </w:rPr>
  </w:style>
  <w:style w:type="paragraph" w:customStyle="1" w:styleId="Tabletitle">
    <w:name w:val="Table title"/>
    <w:basedOn w:val="Normal"/>
    <w:link w:val="TabletitleChar"/>
    <w:qFormat/>
    <w:rsid w:val="00C67A92"/>
    <w:pPr>
      <w:spacing w:before="240" w:after="120"/>
    </w:pPr>
    <w:rPr>
      <w:b/>
      <w:color w:val="076A92" w:themeColor="text1"/>
      <w:sz w:val="24"/>
      <w:szCs w:val="20"/>
    </w:rPr>
  </w:style>
  <w:style w:type="character" w:customStyle="1" w:styleId="TabletitleChar">
    <w:name w:val="Table title Char"/>
    <w:basedOn w:val="DefaultParagraphFont"/>
    <w:link w:val="Tabletitle"/>
    <w:rsid w:val="00C67A92"/>
    <w:rPr>
      <w:rFonts w:ascii="Arial" w:hAnsi="Arial"/>
      <w:b/>
      <w:color w:val="076A92" w:themeColor="text1"/>
      <w:sz w:val="24"/>
      <w:szCs w:val="20"/>
    </w:rPr>
  </w:style>
  <w:style w:type="paragraph" w:customStyle="1" w:styleId="Charttitle">
    <w:name w:val="Chart title"/>
    <w:basedOn w:val="Tabletitle"/>
    <w:rsid w:val="00C67A92"/>
  </w:style>
  <w:style w:type="paragraph" w:styleId="EndnoteText">
    <w:name w:val="endnote text"/>
    <w:basedOn w:val="Normal"/>
    <w:link w:val="EndnoteTextChar"/>
    <w:uiPriority w:val="99"/>
    <w:rsid w:val="00263AC0"/>
    <w:pPr>
      <w:spacing w:before="0"/>
    </w:pPr>
    <w:rPr>
      <w:sz w:val="20"/>
      <w:szCs w:val="20"/>
    </w:rPr>
  </w:style>
  <w:style w:type="paragraph" w:customStyle="1" w:styleId="AERrevisionbox">
    <w:name w:val="AER revision box"/>
    <w:basedOn w:val="Normal"/>
    <w:link w:val="AERrevisionboxChar"/>
    <w:qFormat/>
    <w:rsid w:val="00180157"/>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2F2F2" w:themeFill="background1" w:themeFillShade="F2"/>
      <w:spacing w:after="240"/>
    </w:pPr>
    <w:rPr>
      <w:szCs w:val="20"/>
    </w:rPr>
  </w:style>
  <w:style w:type="character" w:customStyle="1" w:styleId="AERrevisionboxChar">
    <w:name w:val="AER revision box Char"/>
    <w:basedOn w:val="DefaultParagraphFont"/>
    <w:link w:val="AERrevisionbox"/>
    <w:uiPriority w:val="1"/>
    <w:rsid w:val="00AE1BF1"/>
    <w:rPr>
      <w:rFonts w:ascii="Arial" w:hAnsi="Arial"/>
      <w:szCs w:val="20"/>
      <w:shd w:val="clear" w:color="auto" w:fill="F2F2F2" w:themeFill="background1" w:themeFillShade="F2"/>
    </w:rPr>
  </w:style>
  <w:style w:type="paragraph" w:customStyle="1" w:styleId="Pullquoteheading">
    <w:name w:val="Pull quote heading"/>
    <w:basedOn w:val="Normal"/>
    <w:link w:val="PullquoteheadingChar"/>
    <w:uiPriority w:val="1"/>
    <w:rsid w:val="00CA489E"/>
    <w:pPr>
      <w:spacing w:after="120"/>
      <w:contextualSpacing/>
    </w:pPr>
    <w:rPr>
      <w:b/>
      <w:color w:val="C14E00" w:themeColor="accent2"/>
      <w:sz w:val="24"/>
      <w:szCs w:val="24"/>
    </w:rPr>
  </w:style>
  <w:style w:type="character" w:customStyle="1" w:styleId="PullquoteheadingChar">
    <w:name w:val="Pull quote heading Char"/>
    <w:basedOn w:val="DefaultParagraphFont"/>
    <w:link w:val="Pullquoteheading"/>
    <w:uiPriority w:val="1"/>
    <w:rsid w:val="00CA489E"/>
    <w:rPr>
      <w:rFonts w:ascii="Arial" w:hAnsi="Arial"/>
      <w:b/>
      <w:color w:val="C14E00" w:themeColor="accent2"/>
      <w:sz w:val="24"/>
      <w:szCs w:val="24"/>
    </w:rPr>
  </w:style>
  <w:style w:type="paragraph" w:customStyle="1" w:styleId="Pullquotetext">
    <w:name w:val="Pull quote text"/>
    <w:link w:val="PullquotetextChar"/>
    <w:uiPriority w:val="1"/>
    <w:rsid w:val="00CA489E"/>
    <w:pPr>
      <w:spacing w:before="120"/>
    </w:pPr>
    <w:rPr>
      <w:rFonts w:ascii="Arial" w:hAnsi="Arial"/>
      <w:color w:val="DC5034"/>
      <w:szCs w:val="24"/>
    </w:rPr>
  </w:style>
  <w:style w:type="character" w:customStyle="1" w:styleId="PullquotetextChar">
    <w:name w:val="Pull quote text Char"/>
    <w:basedOn w:val="PullquoteheadingChar"/>
    <w:link w:val="Pullquotetext"/>
    <w:uiPriority w:val="1"/>
    <w:rsid w:val="00CA489E"/>
    <w:rPr>
      <w:rFonts w:ascii="Arial" w:hAnsi="Arial"/>
      <w:b w:val="0"/>
      <w:color w:val="DC5034"/>
      <w:sz w:val="24"/>
      <w:szCs w:val="24"/>
    </w:rPr>
  </w:style>
  <w:style w:type="paragraph" w:customStyle="1" w:styleId="Note">
    <w:name w:val="Note"/>
    <w:basedOn w:val="Normal"/>
    <w:link w:val="NoteChar"/>
    <w:rsid w:val="00085663"/>
    <w:pPr>
      <w:spacing w:after="120"/>
    </w:pPr>
    <w:rPr>
      <w:i/>
      <w:sz w:val="16"/>
      <w:szCs w:val="16"/>
    </w:rPr>
  </w:style>
  <w:style w:type="character" w:customStyle="1" w:styleId="NoteChar">
    <w:name w:val="Note Char"/>
    <w:basedOn w:val="DefaultParagraphFont"/>
    <w:link w:val="Note"/>
    <w:rsid w:val="00085663"/>
    <w:rPr>
      <w:rFonts w:ascii="Arial" w:hAnsi="Arial"/>
      <w:i/>
      <w:sz w:val="16"/>
      <w:szCs w:val="16"/>
    </w:rPr>
  </w:style>
  <w:style w:type="paragraph" w:customStyle="1" w:styleId="Source">
    <w:name w:val="Source"/>
    <w:basedOn w:val="Normal"/>
    <w:link w:val="SourceChar"/>
    <w:rsid w:val="00085663"/>
    <w:pPr>
      <w:spacing w:after="60"/>
    </w:pPr>
    <w:rPr>
      <w:sz w:val="16"/>
      <w:szCs w:val="16"/>
    </w:rPr>
  </w:style>
  <w:style w:type="character" w:customStyle="1" w:styleId="SourceChar">
    <w:name w:val="Source Char"/>
    <w:basedOn w:val="DefaultParagraphFont"/>
    <w:link w:val="Source"/>
    <w:rsid w:val="00085663"/>
    <w:rPr>
      <w:rFonts w:ascii="Arial" w:hAnsi="Arial"/>
      <w:sz w:val="16"/>
      <w:szCs w:val="16"/>
    </w:rPr>
  </w:style>
  <w:style w:type="paragraph" w:styleId="Index1">
    <w:name w:val="index 1"/>
    <w:basedOn w:val="Normal"/>
    <w:next w:val="Normal"/>
    <w:autoRedefine/>
    <w:uiPriority w:val="99"/>
    <w:unhideWhenUsed/>
    <w:rsid w:val="00F171E0"/>
    <w:pPr>
      <w:spacing w:before="0" w:line="240" w:lineRule="auto"/>
      <w:ind w:left="220" w:hanging="220"/>
    </w:pPr>
  </w:style>
  <w:style w:type="paragraph" w:styleId="Index2">
    <w:name w:val="index 2"/>
    <w:basedOn w:val="Normal"/>
    <w:next w:val="Normal"/>
    <w:autoRedefine/>
    <w:uiPriority w:val="99"/>
    <w:unhideWhenUsed/>
    <w:rsid w:val="00F171E0"/>
    <w:pPr>
      <w:spacing w:before="0" w:line="240" w:lineRule="auto"/>
      <w:ind w:left="440" w:hanging="220"/>
    </w:pPr>
  </w:style>
  <w:style w:type="paragraph" w:styleId="Quote">
    <w:name w:val="Quote"/>
    <w:basedOn w:val="Normal"/>
    <w:next w:val="Normal"/>
    <w:link w:val="QuoteChar"/>
    <w:uiPriority w:val="29"/>
    <w:rsid w:val="00C67A92"/>
    <w:pPr>
      <w:ind w:left="680"/>
    </w:pPr>
    <w:rPr>
      <w:i/>
      <w:iCs/>
      <w:color w:val="076A92" w:themeColor="text1"/>
    </w:rPr>
  </w:style>
  <w:style w:type="character" w:customStyle="1" w:styleId="QuoteChar">
    <w:name w:val="Quote Char"/>
    <w:basedOn w:val="DefaultParagraphFont"/>
    <w:link w:val="Quote"/>
    <w:uiPriority w:val="29"/>
    <w:rsid w:val="00C67A92"/>
    <w:rPr>
      <w:rFonts w:ascii="Arial" w:hAnsi="Arial"/>
      <w:i/>
      <w:iCs/>
      <w:color w:val="076A92" w:themeColor="text1"/>
    </w:rPr>
  </w:style>
  <w:style w:type="paragraph" w:customStyle="1" w:styleId="AERbulletlistfirststyle">
    <w:name w:val="AER bullet list (first style)"/>
    <w:basedOn w:val="ListBullet"/>
    <w:qFormat/>
    <w:rsid w:val="00FE64AE"/>
    <w:pPr>
      <w:numPr>
        <w:numId w:val="2"/>
      </w:numPr>
      <w:ind w:left="357" w:hanging="357"/>
    </w:pPr>
    <w:rPr>
      <w:rFonts w:cs="Times New Roman"/>
    </w:rPr>
  </w:style>
  <w:style w:type="paragraph" w:styleId="ListBullet">
    <w:name w:val="List Bullet"/>
    <w:aliases w:val="AER List number 2 first"/>
    <w:basedOn w:val="Normal"/>
    <w:unhideWhenUsed/>
    <w:rsid w:val="0045777E"/>
    <w:pPr>
      <w:numPr>
        <w:numId w:val="13"/>
      </w:numPr>
      <w:tabs>
        <w:tab w:val="left" w:pos="340"/>
      </w:tabs>
      <w:spacing w:before="120"/>
    </w:pPr>
  </w:style>
  <w:style w:type="paragraph" w:customStyle="1" w:styleId="AERbulletlistsecondstyle">
    <w:name w:val="AER bullet list (second style)"/>
    <w:basedOn w:val="ListBullet2"/>
    <w:qFormat/>
    <w:rsid w:val="008033C4"/>
    <w:pPr>
      <w:numPr>
        <w:numId w:val="12"/>
      </w:numPr>
      <w:ind w:left="998" w:hanging="357"/>
    </w:pPr>
  </w:style>
  <w:style w:type="paragraph" w:styleId="ListNumber">
    <w:name w:val="List Number"/>
    <w:aliases w:val="AER numbered list (first style)"/>
    <w:basedOn w:val="Normal"/>
    <w:qFormat/>
    <w:rsid w:val="00CA489E"/>
    <w:pPr>
      <w:numPr>
        <w:numId w:val="7"/>
      </w:numPr>
      <w:spacing w:before="120"/>
    </w:pPr>
  </w:style>
  <w:style w:type="paragraph" w:styleId="ListBullet2">
    <w:name w:val="List Bullet 2"/>
    <w:aliases w:val="AER numbered list 2 second"/>
    <w:basedOn w:val="Normal"/>
    <w:uiPriority w:val="99"/>
    <w:unhideWhenUsed/>
    <w:qFormat/>
    <w:rsid w:val="008E77DE"/>
    <w:pPr>
      <w:numPr>
        <w:numId w:val="3"/>
      </w:numPr>
      <w:spacing w:before="120"/>
    </w:pPr>
  </w:style>
  <w:style w:type="paragraph" w:styleId="TOCHeading">
    <w:name w:val="TOC Heading"/>
    <w:basedOn w:val="Normal"/>
    <w:next w:val="Normal"/>
    <w:uiPriority w:val="39"/>
    <w:qFormat/>
    <w:rsid w:val="00327A1E"/>
    <w:pPr>
      <w:spacing w:before="480" w:after="120"/>
    </w:pPr>
    <w:rPr>
      <w:rFonts w:eastAsiaTheme="majorEastAsia" w:cstheme="majorBidi"/>
      <w:b/>
      <w:bCs/>
      <w:color w:val="076A92" w:themeColor="text1"/>
      <w:sz w:val="36"/>
      <w:szCs w:val="28"/>
      <w:lang w:val="en-US" w:eastAsia="ja-JP"/>
    </w:rPr>
  </w:style>
  <w:style w:type="paragraph" w:customStyle="1" w:styleId="Listalphabet">
    <w:name w:val="List alphabet"/>
    <w:basedOn w:val="List"/>
    <w:qFormat/>
    <w:rsid w:val="00DB5074"/>
    <w:pPr>
      <w:numPr>
        <w:numId w:val="17"/>
      </w:numPr>
      <w:ind w:left="340" w:hanging="340"/>
    </w:pPr>
  </w:style>
  <w:style w:type="character" w:styleId="Hyperlink">
    <w:name w:val="Hyperlink"/>
    <w:basedOn w:val="DefaultParagraphFont"/>
    <w:uiPriority w:val="99"/>
    <w:qFormat/>
    <w:rsid w:val="00BE1F1B"/>
    <w:rPr>
      <w:rFonts w:ascii="Arial" w:hAnsi="Arial"/>
      <w:color w:val="0000FF"/>
      <w:sz w:val="22"/>
      <w:u w:val="single"/>
    </w:rPr>
  </w:style>
  <w:style w:type="paragraph" w:styleId="BalloonText">
    <w:name w:val="Balloon Text"/>
    <w:basedOn w:val="Normal"/>
    <w:link w:val="BalloonTextChar"/>
    <w:unhideWhenUsed/>
    <w:rsid w:val="00683C89"/>
    <w:pPr>
      <w:spacing w:before="0"/>
    </w:pPr>
    <w:rPr>
      <w:rFonts w:asciiTheme="minorHAnsi" w:hAnsiTheme="minorHAnsi" w:cs="Tahoma"/>
      <w:sz w:val="16"/>
      <w:szCs w:val="16"/>
    </w:rPr>
  </w:style>
  <w:style w:type="character" w:customStyle="1" w:styleId="BalloonTextChar">
    <w:name w:val="Balloon Text Char"/>
    <w:basedOn w:val="DefaultParagraphFont"/>
    <w:link w:val="BalloonText"/>
    <w:uiPriority w:val="99"/>
    <w:rsid w:val="00683C89"/>
    <w:rPr>
      <w:rFonts w:cs="Tahoma"/>
      <w:sz w:val="16"/>
      <w:szCs w:val="16"/>
    </w:rPr>
  </w:style>
  <w:style w:type="paragraph" w:styleId="Footer">
    <w:name w:val="footer"/>
    <w:aliases w:val="Footer Base"/>
    <w:basedOn w:val="Normal"/>
    <w:link w:val="FooterChar"/>
    <w:uiPriority w:val="99"/>
    <w:unhideWhenUsed/>
    <w:qFormat/>
    <w:rsid w:val="005D7BA2"/>
    <w:pPr>
      <w:tabs>
        <w:tab w:val="center" w:pos="4513"/>
        <w:tab w:val="right" w:pos="9026"/>
      </w:tabs>
      <w:spacing w:after="120"/>
    </w:pPr>
    <w:rPr>
      <w:color w:val="076A92" w:themeColor="text1"/>
      <w:sz w:val="18"/>
    </w:rPr>
  </w:style>
  <w:style w:type="character" w:customStyle="1" w:styleId="FooterChar">
    <w:name w:val="Footer Char"/>
    <w:aliases w:val="Footer Base Char"/>
    <w:basedOn w:val="DefaultParagraphFont"/>
    <w:link w:val="Footer"/>
    <w:uiPriority w:val="99"/>
    <w:rsid w:val="005D7BA2"/>
    <w:rPr>
      <w:rFonts w:ascii="Arial" w:hAnsi="Arial"/>
      <w:color w:val="076A92" w:themeColor="text1"/>
      <w:sz w:val="18"/>
    </w:rPr>
  </w:style>
  <w:style w:type="paragraph" w:styleId="ListParagraph">
    <w:name w:val="List Paragraph"/>
    <w:basedOn w:val="Normal"/>
    <w:uiPriority w:val="34"/>
    <w:qFormat/>
    <w:rsid w:val="00567BA5"/>
    <w:pPr>
      <w:numPr>
        <w:numId w:val="14"/>
      </w:numPr>
      <w:tabs>
        <w:tab w:val="left" w:pos="340"/>
      </w:tabs>
      <w:spacing w:before="120"/>
      <w:ind w:left="340" w:hanging="340"/>
    </w:pPr>
  </w:style>
  <w:style w:type="character" w:customStyle="1" w:styleId="Heading7Char">
    <w:name w:val="Heading 7 Char"/>
    <w:aliases w:val="(Appen) Char,t Char,Appendix 3 Char"/>
    <w:basedOn w:val="DefaultParagraphFont"/>
    <w:link w:val="Heading7"/>
    <w:rsid w:val="00CB0279"/>
    <w:rPr>
      <w:rFonts w:ascii="Arial" w:eastAsiaTheme="majorEastAsia" w:hAnsi="Arial" w:cstheme="majorBidi"/>
      <w:b/>
      <w:bCs/>
      <w:color w:val="70635A"/>
      <w:sz w:val="36"/>
      <w:szCs w:val="28"/>
    </w:rPr>
  </w:style>
  <w:style w:type="character" w:customStyle="1" w:styleId="Heading8Char">
    <w:name w:val="Heading 8 Char"/>
    <w:basedOn w:val="DefaultParagraphFont"/>
    <w:link w:val="Heading8"/>
    <w:rsid w:val="00CB0279"/>
    <w:rPr>
      <w:rFonts w:ascii="Arial" w:eastAsiaTheme="majorEastAsia" w:hAnsi="Arial" w:cstheme="majorBidi"/>
      <w:b/>
      <w:bCs/>
      <w:color w:val="70635A" w:themeColor="text2"/>
      <w:sz w:val="32"/>
      <w:szCs w:val="26"/>
    </w:rPr>
  </w:style>
  <w:style w:type="character" w:customStyle="1" w:styleId="Heading9Char">
    <w:name w:val="Heading 9 Char"/>
    <w:basedOn w:val="DefaultParagraphFont"/>
    <w:link w:val="Heading9"/>
    <w:rsid w:val="00CB0279"/>
    <w:rPr>
      <w:rFonts w:ascii="Arial" w:eastAsiaTheme="majorEastAsia" w:hAnsi="Arial" w:cstheme="majorBidi"/>
      <w:b/>
      <w:bCs/>
      <w:color w:val="70635A" w:themeColor="text2"/>
      <w:sz w:val="28"/>
    </w:rPr>
  </w:style>
  <w:style w:type="paragraph" w:customStyle="1" w:styleId="Numbered1111111">
    <w:name w:val="Numbered 1.1.1.1.1.1.1"/>
    <w:basedOn w:val="Heading7"/>
    <w:next w:val="Normal"/>
    <w:uiPriority w:val="2"/>
    <w:rsid w:val="00CA489E"/>
    <w:pPr>
      <w:numPr>
        <w:numId w:val="15"/>
      </w:numPr>
      <w:tabs>
        <w:tab w:val="left" w:pos="1701"/>
      </w:tabs>
      <w:ind w:left="1701" w:hanging="1701"/>
    </w:pPr>
  </w:style>
  <w:style w:type="paragraph" w:customStyle="1" w:styleId="Numbered11111111">
    <w:name w:val="Numbered 1.1.1.1.1.1.1.1"/>
    <w:basedOn w:val="Heading8"/>
    <w:next w:val="Normal"/>
    <w:uiPriority w:val="2"/>
    <w:rsid w:val="00CA489E"/>
    <w:pPr>
      <w:numPr>
        <w:ilvl w:val="0"/>
        <w:numId w:val="0"/>
      </w:numPr>
      <w:tabs>
        <w:tab w:val="left" w:pos="2041"/>
      </w:tabs>
      <w:ind w:left="2041" w:hanging="2041"/>
    </w:pPr>
  </w:style>
  <w:style w:type="table" w:styleId="TableGrid">
    <w:name w:val="Table Grid"/>
    <w:aliases w:val="ACCC Table"/>
    <w:basedOn w:val="TableNormal"/>
    <w:rsid w:val="00C53B5A"/>
    <w:pPr>
      <w:spacing w:before="60" w:after="60"/>
    </w:pPr>
    <w:rPr>
      <w:rFonts w:ascii="Arial" w:hAnsi="Arial"/>
      <w:sz w:val="20"/>
    </w:rPr>
    <w:tblPr>
      <w:tblBorders>
        <w:top w:val="single" w:sz="4" w:space="0" w:color="BFBFBF" w:themeColor="background1" w:themeShade="BF"/>
        <w:bottom w:val="single" w:sz="4" w:space="0" w:color="BFBFBF" w:themeColor="background1" w:themeShade="BF"/>
      </w:tblBorders>
    </w:tblPr>
    <w:tcPr>
      <w:shd w:val="clear" w:color="auto" w:fill="auto"/>
    </w:tcPr>
    <w:tblStylePr w:type="firstRow">
      <w:pPr>
        <w:wordWrap/>
        <w:spacing w:beforeLines="0" w:before="120" w:beforeAutospacing="0" w:afterLines="0" w:after="120" w:afterAutospacing="0"/>
      </w:pPr>
      <w:rPr>
        <w:rFonts w:ascii="Arial" w:hAnsi="Arial"/>
        <w:b/>
        <w:sz w:val="20"/>
      </w:rPr>
      <w:tblPr/>
      <w:tcPr>
        <w:tcBorders>
          <w:top w:val="single" w:sz="4" w:space="0" w:color="BFBFBF" w:themeColor="background1" w:themeShade="BF"/>
          <w:left w:val="nil"/>
          <w:bottom w:val="single" w:sz="4" w:space="0" w:color="BFBFBF" w:themeColor="background1" w:themeShade="BF"/>
          <w:right w:val="nil"/>
          <w:insideH w:val="nil"/>
          <w:insideV w:val="nil"/>
          <w:tl2br w:val="nil"/>
          <w:tr2bl w:val="nil"/>
        </w:tcBorders>
        <w:shd w:val="clear" w:color="auto" w:fill="auto"/>
      </w:tcPr>
    </w:tblStylePr>
    <w:tblStylePr w:type="lastRow">
      <w:pPr>
        <w:wordWrap/>
        <w:spacing w:beforeLines="0" w:before="120" w:beforeAutospacing="0" w:afterLines="0" w:after="120" w:afterAutospacing="0" w:line="240" w:lineRule="auto"/>
      </w:pPr>
      <w:rPr>
        <w:rFonts w:ascii="Arial" w:hAnsi="Arial"/>
        <w:b/>
        <w:sz w:val="20"/>
      </w:rPr>
    </w:tblStylePr>
    <w:tblStylePr w:type="firstCol">
      <w:rPr>
        <w:rFonts w:ascii="Arial" w:hAnsi="Arial"/>
        <w:b/>
        <w:sz w:val="20"/>
      </w:rPr>
    </w:tblStylePr>
  </w:style>
  <w:style w:type="table" w:styleId="LightShading">
    <w:name w:val="Light Shading"/>
    <w:basedOn w:val="TableNormal"/>
    <w:uiPriority w:val="60"/>
    <w:rsid w:val="00C53B5A"/>
    <w:pPr>
      <w:spacing w:before="120" w:after="120"/>
    </w:pPr>
    <w:rPr>
      <w:sz w:val="20"/>
    </w:rPr>
    <w:tblPr>
      <w:tblBorders>
        <w:top w:val="single" w:sz="4" w:space="0" w:color="FFFFFF" w:themeColor="background2"/>
        <w:left w:val="single" w:sz="4" w:space="0" w:color="FFFFFF" w:themeColor="background2"/>
        <w:bottom w:val="single" w:sz="4" w:space="0" w:color="FFFFFF" w:themeColor="background2"/>
        <w:right w:val="single" w:sz="4" w:space="0" w:color="FFFFFF" w:themeColor="background2"/>
        <w:insideH w:val="single" w:sz="4" w:space="0" w:color="FFFFFF" w:themeColor="background2"/>
        <w:insideV w:val="single" w:sz="4" w:space="0" w:color="FFFFFF" w:themeColor="background2"/>
      </w:tblBorders>
    </w:tblPr>
    <w:tcPr>
      <w:shd w:val="clear" w:color="auto" w:fill="auto"/>
      <w:vAlign w:val="center"/>
    </w:tcPr>
    <w:tblStylePr w:type="firstRow">
      <w:pPr>
        <w:wordWrap/>
        <w:spacing w:beforeLines="0" w:before="120" w:beforeAutospacing="0" w:afterLines="0" w:after="120" w:afterAutospacing="0" w:line="240" w:lineRule="auto"/>
      </w:pPr>
      <w:rPr>
        <w:rFonts w:asciiTheme="minorHAnsi" w:hAnsiTheme="minorHAnsi"/>
        <w:b/>
        <w:bCs/>
        <w:sz w:val="20"/>
      </w:rPr>
      <w:tblPr/>
      <w:tcPr>
        <w:tcBorders>
          <w:top w:val="single" w:sz="4" w:space="0" w:color="FFFFFF" w:themeColor="background2"/>
          <w:left w:val="single" w:sz="4" w:space="0" w:color="FFFFFF" w:themeColor="background2"/>
          <w:bottom w:val="single" w:sz="4" w:space="0" w:color="FFFFFF" w:themeColor="background2"/>
          <w:right w:val="single" w:sz="4" w:space="0" w:color="FFFFFF" w:themeColor="background2"/>
          <w:insideH w:val="single" w:sz="4" w:space="0" w:color="FFFFFF" w:themeColor="background2"/>
          <w:insideV w:val="single" w:sz="4" w:space="0" w:color="FFFFFF" w:themeColor="background2"/>
        </w:tcBorders>
        <w:shd w:val="clear" w:color="auto" w:fill="auto"/>
      </w:tcPr>
    </w:tblStylePr>
    <w:tblStylePr w:type="lastRow">
      <w:pPr>
        <w:wordWrap/>
        <w:spacing w:beforeLines="0" w:before="120" w:beforeAutospacing="0" w:afterLines="0" w:after="120" w:afterAutospacing="0" w:line="240" w:lineRule="auto"/>
      </w:pPr>
      <w:rPr>
        <w:b/>
        <w:bCs/>
        <w:sz w:val="20"/>
      </w:rPr>
      <w:tblPr/>
      <w:tcPr>
        <w:tcBorders>
          <w:top w:val="single" w:sz="4" w:space="0" w:color="FFFFFF" w:themeColor="background2"/>
          <w:left w:val="single" w:sz="4" w:space="0" w:color="FFFFFF" w:themeColor="background2"/>
          <w:bottom w:val="single" w:sz="4" w:space="0" w:color="FFFFFF" w:themeColor="background2"/>
          <w:right w:val="single" w:sz="4" w:space="0" w:color="FFFFFF" w:themeColor="background2"/>
          <w:insideH w:val="single" w:sz="4" w:space="0" w:color="FFFFFF" w:themeColor="background2"/>
          <w:insideV w:val="single" w:sz="4" w:space="0" w:color="FFFFFF" w:themeColor="background2"/>
        </w:tcBorders>
      </w:tcPr>
    </w:tblStylePr>
    <w:tblStylePr w:type="firstCol">
      <w:rPr>
        <w:b/>
        <w:bCs/>
        <w:sz w:val="20"/>
      </w:rPr>
    </w:tblStylePr>
    <w:tblStylePr w:type="lastCol">
      <w:rPr>
        <w:b/>
        <w:bCs/>
      </w:rPr>
    </w:tblStylePr>
  </w:style>
  <w:style w:type="table" w:styleId="LightShading-Accent1">
    <w:name w:val="Light Shading Accent 1"/>
    <w:basedOn w:val="TableNormal"/>
    <w:uiPriority w:val="60"/>
    <w:rsid w:val="002010BC"/>
    <w:pPr>
      <w:spacing w:before="0"/>
    </w:pPr>
    <w:rPr>
      <w:color w:val="230023" w:themeColor="accent1" w:themeShade="BF"/>
    </w:rPr>
    <w:tblPr>
      <w:tblStyleRowBandSize w:val="1"/>
      <w:tblStyleColBandSize w:val="1"/>
      <w:tblBorders>
        <w:top w:val="single" w:sz="8" w:space="0" w:color="2F002F" w:themeColor="accent1"/>
        <w:bottom w:val="single" w:sz="8" w:space="0" w:color="2F002F" w:themeColor="accent1"/>
      </w:tblBorders>
    </w:tblPr>
    <w:tblStylePr w:type="firstRow">
      <w:pPr>
        <w:spacing w:before="0" w:after="0" w:line="240" w:lineRule="auto"/>
      </w:pPr>
      <w:rPr>
        <w:b/>
        <w:bCs/>
      </w:rPr>
      <w:tblPr/>
      <w:tcPr>
        <w:tcBorders>
          <w:top w:val="single" w:sz="8" w:space="0" w:color="2F002F" w:themeColor="accent1"/>
          <w:left w:val="nil"/>
          <w:bottom w:val="single" w:sz="8" w:space="0" w:color="2F002F" w:themeColor="accent1"/>
          <w:right w:val="nil"/>
          <w:insideH w:val="nil"/>
          <w:insideV w:val="nil"/>
        </w:tcBorders>
      </w:tcPr>
    </w:tblStylePr>
    <w:tblStylePr w:type="lastRow">
      <w:pPr>
        <w:spacing w:before="0" w:after="0" w:line="240" w:lineRule="auto"/>
      </w:pPr>
      <w:rPr>
        <w:b/>
        <w:bCs/>
      </w:rPr>
      <w:tblPr/>
      <w:tcPr>
        <w:tcBorders>
          <w:top w:val="single" w:sz="8" w:space="0" w:color="2F002F" w:themeColor="accent1"/>
          <w:left w:val="nil"/>
          <w:bottom w:val="single" w:sz="8" w:space="0" w:color="2F002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8CFF" w:themeFill="accent1" w:themeFillTint="3F"/>
      </w:tcPr>
    </w:tblStylePr>
    <w:tblStylePr w:type="band1Horz">
      <w:tblPr/>
      <w:tcPr>
        <w:tcBorders>
          <w:left w:val="nil"/>
          <w:right w:val="nil"/>
          <w:insideH w:val="nil"/>
          <w:insideV w:val="nil"/>
        </w:tcBorders>
        <w:shd w:val="clear" w:color="auto" w:fill="FF8CFF" w:themeFill="accent1" w:themeFillTint="3F"/>
      </w:tcPr>
    </w:tblStylePr>
  </w:style>
  <w:style w:type="table" w:styleId="LightShading-Accent2">
    <w:name w:val="Light Shading Accent 2"/>
    <w:basedOn w:val="TableNormal"/>
    <w:uiPriority w:val="60"/>
    <w:rsid w:val="00746E01"/>
    <w:pPr>
      <w:spacing w:before="0"/>
    </w:pPr>
    <w:rPr>
      <w:rFonts w:ascii="Arial" w:hAnsi="Arial"/>
      <w:color w:val="000000"/>
      <w14:textFill>
        <w14:solidFill>
          <w14:srgbClr w14:val="000000">
            <w14:lumMod w14:val="75000"/>
            <w14:lumOff w14:val="0"/>
          </w14:srgbClr>
        </w14:solidFill>
      </w14:textFill>
    </w:rPr>
    <w:tblPr>
      <w:tblBorders>
        <w:top w:val="single" w:sz="4" w:space="0" w:color="000000" w:themeColor="accent5"/>
        <w:left w:val="single" w:sz="4" w:space="0" w:color="000000" w:themeColor="accent5"/>
        <w:bottom w:val="single" w:sz="4" w:space="0" w:color="000000" w:themeColor="accent5"/>
        <w:right w:val="single" w:sz="4" w:space="0" w:color="000000" w:themeColor="accent5"/>
        <w:insideH w:val="single" w:sz="4" w:space="0" w:color="000000" w:themeColor="accent5"/>
        <w:insideV w:val="single" w:sz="4" w:space="0" w:color="000000" w:themeColor="accent5"/>
      </w:tblBorders>
    </w:tblPr>
    <w:tcPr>
      <w:vAlign w:val="center"/>
    </w:tcPr>
    <w:tblStylePr w:type="firstRow">
      <w:pPr>
        <w:spacing w:before="0" w:after="0" w:line="240" w:lineRule="auto"/>
      </w:pPr>
      <w:rPr>
        <w:b w:val="0"/>
        <w:bCs/>
      </w:rPr>
      <w:tblPr/>
      <w:tcPr>
        <w:tcBorders>
          <w:top w:val="single" w:sz="4" w:space="0" w:color="000000" w:themeColor="accent5"/>
          <w:left w:val="single" w:sz="4" w:space="0" w:color="000000" w:themeColor="accent5"/>
          <w:bottom w:val="single" w:sz="4" w:space="0" w:color="000000" w:themeColor="accent5"/>
          <w:right w:val="single" w:sz="4" w:space="0" w:color="000000" w:themeColor="accent5"/>
          <w:insideH w:val="single" w:sz="4" w:space="0" w:color="000000" w:themeColor="accent5"/>
          <w:insideV w:val="single" w:sz="4" w:space="0" w:color="000000" w:themeColor="accent5"/>
          <w:tl2br w:val="nil"/>
          <w:tr2bl w:val="nil"/>
        </w:tcBorders>
      </w:tcPr>
    </w:tblStylePr>
    <w:tblStylePr w:type="lastRow">
      <w:pPr>
        <w:spacing w:before="0" w:after="0" w:line="240" w:lineRule="auto"/>
      </w:pPr>
      <w:rPr>
        <w:b w:val="0"/>
        <w:bCs/>
      </w:rPr>
      <w:tblPr/>
      <w:tcPr>
        <w:tcBorders>
          <w:top w:val="single" w:sz="4" w:space="0" w:color="000000" w:themeColor="accent5"/>
          <w:left w:val="single" w:sz="4" w:space="0" w:color="000000" w:themeColor="accent5"/>
          <w:bottom w:val="single" w:sz="4" w:space="0" w:color="000000" w:themeColor="accent5"/>
          <w:right w:val="single" w:sz="4" w:space="0" w:color="000000" w:themeColor="accent5"/>
          <w:insideH w:val="single" w:sz="4" w:space="0" w:color="000000" w:themeColor="accent5"/>
          <w:insideV w:val="single" w:sz="4" w:space="0" w:color="000000" w:themeColor="accent5"/>
        </w:tcBorders>
      </w:tcPr>
    </w:tblStylePr>
    <w:tblStylePr w:type="firstCol">
      <w:rPr>
        <w:b w:val="0"/>
        <w:bCs/>
      </w:rPr>
    </w:tblStylePr>
    <w:tblStylePr w:type="lastCol">
      <w:rPr>
        <w:b w:val="0"/>
        <w:bCs/>
      </w:rPr>
    </w:tblStylePr>
  </w:style>
  <w:style w:type="table" w:styleId="LightShading-Accent3">
    <w:name w:val="Light Shading Accent 3"/>
    <w:basedOn w:val="TableNormal"/>
    <w:uiPriority w:val="60"/>
    <w:rsid w:val="00A871F4"/>
    <w:pPr>
      <w:spacing w:before="0"/>
    </w:pPr>
    <w:rPr>
      <w:color w:val="001747" w:themeColor="accent3" w:themeShade="BF"/>
    </w:rPr>
    <w:tblPr>
      <w:tblStyleRowBandSize w:val="1"/>
      <w:tblStyleColBandSize w:val="1"/>
      <w:tblBorders>
        <w:top w:val="single" w:sz="8" w:space="0" w:color="002060" w:themeColor="accent3"/>
        <w:bottom w:val="single" w:sz="8" w:space="0" w:color="002060" w:themeColor="accent3"/>
      </w:tblBorders>
    </w:tblPr>
    <w:tblStylePr w:type="firstRow">
      <w:pPr>
        <w:spacing w:before="0" w:after="0" w:line="240" w:lineRule="auto"/>
      </w:pPr>
      <w:rPr>
        <w:b/>
        <w:bCs/>
      </w:rPr>
      <w:tblPr/>
      <w:tcPr>
        <w:tcBorders>
          <w:top w:val="single" w:sz="8" w:space="0" w:color="002060" w:themeColor="accent3"/>
          <w:left w:val="nil"/>
          <w:bottom w:val="single" w:sz="8" w:space="0" w:color="002060" w:themeColor="accent3"/>
          <w:right w:val="nil"/>
          <w:insideH w:val="nil"/>
          <w:insideV w:val="nil"/>
        </w:tcBorders>
      </w:tcPr>
    </w:tblStylePr>
    <w:tblStylePr w:type="lastRow">
      <w:pPr>
        <w:spacing w:before="0" w:after="0" w:line="240" w:lineRule="auto"/>
      </w:pPr>
      <w:rPr>
        <w:b/>
        <w:bCs/>
      </w:rPr>
      <w:tblPr/>
      <w:tcPr>
        <w:tcBorders>
          <w:top w:val="single" w:sz="8" w:space="0" w:color="002060" w:themeColor="accent3"/>
          <w:left w:val="nil"/>
          <w:bottom w:val="single" w:sz="8" w:space="0" w:color="00206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8BAFF" w:themeFill="accent3" w:themeFillTint="3F"/>
      </w:tcPr>
    </w:tblStylePr>
    <w:tblStylePr w:type="band1Horz">
      <w:tblPr/>
      <w:tcPr>
        <w:tcBorders>
          <w:left w:val="nil"/>
          <w:right w:val="nil"/>
          <w:insideH w:val="nil"/>
          <w:insideV w:val="nil"/>
        </w:tcBorders>
        <w:shd w:val="clear" w:color="auto" w:fill="98BAFF" w:themeFill="accent3" w:themeFillTint="3F"/>
      </w:tcPr>
    </w:tblStylePr>
  </w:style>
  <w:style w:type="table" w:styleId="LightGrid-Accent6">
    <w:name w:val="Light Grid Accent 6"/>
    <w:basedOn w:val="TableNormal"/>
    <w:uiPriority w:val="62"/>
    <w:rsid w:val="00A871F4"/>
    <w:pPr>
      <w:spacing w:before="0"/>
    </w:pPr>
    <w:tblPr>
      <w:tblStyleRowBandSize w:val="1"/>
      <w:tblStyleColBandSize w:val="1"/>
      <w:tblBorders>
        <w:top w:val="single" w:sz="8" w:space="0" w:color="70303C" w:themeColor="accent6"/>
        <w:left w:val="single" w:sz="8" w:space="0" w:color="70303C" w:themeColor="accent6"/>
        <w:bottom w:val="single" w:sz="8" w:space="0" w:color="70303C" w:themeColor="accent6"/>
        <w:right w:val="single" w:sz="8" w:space="0" w:color="70303C" w:themeColor="accent6"/>
        <w:insideH w:val="single" w:sz="8" w:space="0" w:color="70303C" w:themeColor="accent6"/>
        <w:insideV w:val="single" w:sz="8" w:space="0" w:color="70303C"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303C" w:themeColor="accent6"/>
          <w:left w:val="single" w:sz="8" w:space="0" w:color="70303C" w:themeColor="accent6"/>
          <w:bottom w:val="single" w:sz="18" w:space="0" w:color="70303C" w:themeColor="accent6"/>
          <w:right w:val="single" w:sz="8" w:space="0" w:color="70303C" w:themeColor="accent6"/>
          <w:insideH w:val="nil"/>
          <w:insideV w:val="single" w:sz="8" w:space="0" w:color="70303C"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303C" w:themeColor="accent6"/>
          <w:left w:val="single" w:sz="8" w:space="0" w:color="70303C" w:themeColor="accent6"/>
          <w:bottom w:val="single" w:sz="8" w:space="0" w:color="70303C" w:themeColor="accent6"/>
          <w:right w:val="single" w:sz="8" w:space="0" w:color="70303C" w:themeColor="accent6"/>
          <w:insideH w:val="nil"/>
          <w:insideV w:val="single" w:sz="8" w:space="0" w:color="70303C"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303C" w:themeColor="accent6"/>
          <w:left w:val="single" w:sz="8" w:space="0" w:color="70303C" w:themeColor="accent6"/>
          <w:bottom w:val="single" w:sz="8" w:space="0" w:color="70303C" w:themeColor="accent6"/>
          <w:right w:val="single" w:sz="8" w:space="0" w:color="70303C" w:themeColor="accent6"/>
        </w:tcBorders>
      </w:tcPr>
    </w:tblStylePr>
    <w:tblStylePr w:type="band1Vert">
      <w:tblPr/>
      <w:tcPr>
        <w:tcBorders>
          <w:top w:val="single" w:sz="8" w:space="0" w:color="70303C" w:themeColor="accent6"/>
          <w:left w:val="single" w:sz="8" w:space="0" w:color="70303C" w:themeColor="accent6"/>
          <w:bottom w:val="single" w:sz="8" w:space="0" w:color="70303C" w:themeColor="accent6"/>
          <w:right w:val="single" w:sz="8" w:space="0" w:color="70303C" w:themeColor="accent6"/>
        </w:tcBorders>
        <w:shd w:val="clear" w:color="auto" w:fill="E5C2C8" w:themeFill="accent6" w:themeFillTint="3F"/>
      </w:tcPr>
    </w:tblStylePr>
    <w:tblStylePr w:type="band1Horz">
      <w:tblPr/>
      <w:tcPr>
        <w:tcBorders>
          <w:top w:val="single" w:sz="8" w:space="0" w:color="70303C" w:themeColor="accent6"/>
          <w:left w:val="single" w:sz="8" w:space="0" w:color="70303C" w:themeColor="accent6"/>
          <w:bottom w:val="single" w:sz="8" w:space="0" w:color="70303C" w:themeColor="accent6"/>
          <w:right w:val="single" w:sz="8" w:space="0" w:color="70303C" w:themeColor="accent6"/>
          <w:insideV w:val="single" w:sz="8" w:space="0" w:color="70303C" w:themeColor="accent6"/>
        </w:tcBorders>
        <w:shd w:val="clear" w:color="auto" w:fill="E5C2C8" w:themeFill="accent6" w:themeFillTint="3F"/>
      </w:tcPr>
    </w:tblStylePr>
    <w:tblStylePr w:type="band2Horz">
      <w:tblPr/>
      <w:tcPr>
        <w:tcBorders>
          <w:top w:val="single" w:sz="8" w:space="0" w:color="70303C" w:themeColor="accent6"/>
          <w:left w:val="single" w:sz="8" w:space="0" w:color="70303C" w:themeColor="accent6"/>
          <w:bottom w:val="single" w:sz="8" w:space="0" w:color="70303C" w:themeColor="accent6"/>
          <w:right w:val="single" w:sz="8" w:space="0" w:color="70303C" w:themeColor="accent6"/>
          <w:insideV w:val="single" w:sz="8" w:space="0" w:color="70303C" w:themeColor="accent6"/>
        </w:tcBorders>
      </w:tcPr>
    </w:tblStylePr>
  </w:style>
  <w:style w:type="table" w:styleId="MediumShading1">
    <w:name w:val="Medium Shading 1"/>
    <w:basedOn w:val="TableNormal"/>
    <w:uiPriority w:val="63"/>
    <w:rsid w:val="00A871F4"/>
    <w:pPr>
      <w:spacing w:before="0"/>
    </w:pPr>
    <w:tblPr>
      <w:tblStyleRowBandSize w:val="1"/>
      <w:tblStyleColBandSize w:val="1"/>
      <w:tblBorders>
        <w:top w:val="single" w:sz="8" w:space="0" w:color="0BA7E7" w:themeColor="text1" w:themeTint="BF"/>
        <w:left w:val="single" w:sz="8" w:space="0" w:color="0BA7E7" w:themeColor="text1" w:themeTint="BF"/>
        <w:bottom w:val="single" w:sz="8" w:space="0" w:color="0BA7E7" w:themeColor="text1" w:themeTint="BF"/>
        <w:right w:val="single" w:sz="8" w:space="0" w:color="0BA7E7" w:themeColor="text1" w:themeTint="BF"/>
        <w:insideH w:val="single" w:sz="8" w:space="0" w:color="0BA7E7" w:themeColor="text1" w:themeTint="BF"/>
      </w:tblBorders>
    </w:tblPr>
    <w:tblStylePr w:type="firstRow">
      <w:pPr>
        <w:spacing w:before="0" w:after="0" w:line="240" w:lineRule="auto"/>
      </w:pPr>
      <w:rPr>
        <w:b/>
        <w:bCs/>
        <w:color w:val="FFFFFF" w:themeColor="background1"/>
      </w:rPr>
      <w:tblPr/>
      <w:tcPr>
        <w:tcBorders>
          <w:top w:val="single" w:sz="8" w:space="0" w:color="0BA7E7" w:themeColor="text1" w:themeTint="BF"/>
          <w:left w:val="single" w:sz="8" w:space="0" w:color="0BA7E7" w:themeColor="text1" w:themeTint="BF"/>
          <w:bottom w:val="single" w:sz="8" w:space="0" w:color="0BA7E7" w:themeColor="text1" w:themeTint="BF"/>
          <w:right w:val="single" w:sz="8" w:space="0" w:color="0BA7E7" w:themeColor="text1" w:themeTint="BF"/>
          <w:insideH w:val="nil"/>
          <w:insideV w:val="nil"/>
        </w:tcBorders>
        <w:shd w:val="clear" w:color="auto" w:fill="076A92" w:themeFill="text1"/>
      </w:tcPr>
    </w:tblStylePr>
    <w:tblStylePr w:type="lastRow">
      <w:pPr>
        <w:spacing w:before="0" w:after="0" w:line="240" w:lineRule="auto"/>
      </w:pPr>
      <w:rPr>
        <w:b/>
        <w:bCs/>
      </w:rPr>
      <w:tblPr/>
      <w:tcPr>
        <w:tcBorders>
          <w:top w:val="double" w:sz="6" w:space="0" w:color="0BA7E7" w:themeColor="text1" w:themeTint="BF"/>
          <w:left w:val="single" w:sz="8" w:space="0" w:color="0BA7E7" w:themeColor="text1" w:themeTint="BF"/>
          <w:bottom w:val="single" w:sz="8" w:space="0" w:color="0BA7E7" w:themeColor="text1" w:themeTint="BF"/>
          <w:right w:val="single" w:sz="8" w:space="0" w:color="0BA7E7" w:themeColor="text1" w:themeTint="BF"/>
          <w:insideH w:val="nil"/>
          <w:insideV w:val="nil"/>
        </w:tcBorders>
      </w:tcPr>
    </w:tblStylePr>
    <w:tblStylePr w:type="firstCol">
      <w:rPr>
        <w:b/>
        <w:bCs/>
      </w:rPr>
    </w:tblStylePr>
    <w:tblStylePr w:type="lastCol">
      <w:rPr>
        <w:b/>
        <w:bCs/>
      </w:rPr>
    </w:tblStylePr>
    <w:tblStylePr w:type="band1Vert">
      <w:tblPr/>
      <w:tcPr>
        <w:shd w:val="clear" w:color="auto" w:fill="AAE3FB" w:themeFill="text1" w:themeFillTint="3F"/>
      </w:tcPr>
    </w:tblStylePr>
    <w:tblStylePr w:type="band1Horz">
      <w:tblPr/>
      <w:tcPr>
        <w:tcBorders>
          <w:insideH w:val="nil"/>
          <w:insideV w:val="nil"/>
        </w:tcBorders>
        <w:shd w:val="clear" w:color="auto" w:fill="AAE3FB"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A871F4"/>
    <w:pPr>
      <w:spacing w:before="0"/>
    </w:pPr>
    <w:tblPr>
      <w:tblStyleRowBandSize w:val="1"/>
      <w:tblStyleColBandSize w:val="1"/>
      <w:tblBorders>
        <w:top w:val="single" w:sz="8" w:space="0" w:color="A300A3" w:themeColor="accent1" w:themeTint="BF"/>
        <w:left w:val="single" w:sz="8" w:space="0" w:color="A300A3" w:themeColor="accent1" w:themeTint="BF"/>
        <w:bottom w:val="single" w:sz="8" w:space="0" w:color="A300A3" w:themeColor="accent1" w:themeTint="BF"/>
        <w:right w:val="single" w:sz="8" w:space="0" w:color="A300A3" w:themeColor="accent1" w:themeTint="BF"/>
        <w:insideH w:val="single" w:sz="8" w:space="0" w:color="A300A3" w:themeColor="accent1" w:themeTint="BF"/>
      </w:tblBorders>
    </w:tblPr>
    <w:tblStylePr w:type="firstRow">
      <w:pPr>
        <w:spacing w:before="0" w:after="0" w:line="240" w:lineRule="auto"/>
      </w:pPr>
      <w:rPr>
        <w:b/>
        <w:bCs/>
        <w:color w:val="FFFFFF" w:themeColor="background1"/>
      </w:rPr>
      <w:tblPr/>
      <w:tcPr>
        <w:tcBorders>
          <w:top w:val="single" w:sz="8" w:space="0" w:color="A300A3" w:themeColor="accent1" w:themeTint="BF"/>
          <w:left w:val="single" w:sz="8" w:space="0" w:color="A300A3" w:themeColor="accent1" w:themeTint="BF"/>
          <w:bottom w:val="single" w:sz="8" w:space="0" w:color="A300A3" w:themeColor="accent1" w:themeTint="BF"/>
          <w:right w:val="single" w:sz="8" w:space="0" w:color="A300A3" w:themeColor="accent1" w:themeTint="BF"/>
          <w:insideH w:val="nil"/>
          <w:insideV w:val="nil"/>
        </w:tcBorders>
        <w:shd w:val="clear" w:color="auto" w:fill="2F002F" w:themeFill="accent1"/>
      </w:tcPr>
    </w:tblStylePr>
    <w:tblStylePr w:type="lastRow">
      <w:pPr>
        <w:spacing w:before="0" w:after="0" w:line="240" w:lineRule="auto"/>
      </w:pPr>
      <w:rPr>
        <w:b/>
        <w:bCs/>
      </w:rPr>
      <w:tblPr/>
      <w:tcPr>
        <w:tcBorders>
          <w:top w:val="double" w:sz="6" w:space="0" w:color="A300A3" w:themeColor="accent1" w:themeTint="BF"/>
          <w:left w:val="single" w:sz="8" w:space="0" w:color="A300A3" w:themeColor="accent1" w:themeTint="BF"/>
          <w:bottom w:val="single" w:sz="8" w:space="0" w:color="A300A3" w:themeColor="accent1" w:themeTint="BF"/>
          <w:right w:val="single" w:sz="8" w:space="0" w:color="A300A3"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8CFF" w:themeFill="accent1" w:themeFillTint="3F"/>
      </w:tcPr>
    </w:tblStylePr>
    <w:tblStylePr w:type="band1Horz">
      <w:tblPr/>
      <w:tcPr>
        <w:tcBorders>
          <w:insideH w:val="nil"/>
          <w:insideV w:val="nil"/>
        </w:tcBorders>
        <w:shd w:val="clear" w:color="auto" w:fill="FF8CFF"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A871F4"/>
    <w:pPr>
      <w:spacing w:before="0"/>
    </w:pPr>
    <w:tblPr>
      <w:tblStyleRowBandSize w:val="1"/>
      <w:tblStyleColBandSize w:val="1"/>
      <w:tblBorders>
        <w:top w:val="single" w:sz="8" w:space="0" w:color="FF7111" w:themeColor="accent2" w:themeTint="BF"/>
        <w:left w:val="single" w:sz="8" w:space="0" w:color="FF7111" w:themeColor="accent2" w:themeTint="BF"/>
        <w:bottom w:val="single" w:sz="8" w:space="0" w:color="FF7111" w:themeColor="accent2" w:themeTint="BF"/>
        <w:right w:val="single" w:sz="8" w:space="0" w:color="FF7111" w:themeColor="accent2" w:themeTint="BF"/>
        <w:insideH w:val="single" w:sz="8" w:space="0" w:color="FF7111" w:themeColor="accent2" w:themeTint="BF"/>
      </w:tblBorders>
    </w:tblPr>
    <w:tblStylePr w:type="firstRow">
      <w:pPr>
        <w:spacing w:before="0" w:after="0" w:line="240" w:lineRule="auto"/>
      </w:pPr>
      <w:rPr>
        <w:b/>
        <w:bCs/>
        <w:color w:val="FFFFFF" w:themeColor="background1"/>
      </w:rPr>
      <w:tblPr/>
      <w:tcPr>
        <w:tcBorders>
          <w:top w:val="single" w:sz="8" w:space="0" w:color="FF7111" w:themeColor="accent2" w:themeTint="BF"/>
          <w:left w:val="single" w:sz="8" w:space="0" w:color="FF7111" w:themeColor="accent2" w:themeTint="BF"/>
          <w:bottom w:val="single" w:sz="8" w:space="0" w:color="FF7111" w:themeColor="accent2" w:themeTint="BF"/>
          <w:right w:val="single" w:sz="8" w:space="0" w:color="FF7111" w:themeColor="accent2" w:themeTint="BF"/>
          <w:insideH w:val="nil"/>
          <w:insideV w:val="nil"/>
        </w:tcBorders>
        <w:shd w:val="clear" w:color="auto" w:fill="C14E00" w:themeFill="accent2"/>
      </w:tcPr>
    </w:tblStylePr>
    <w:tblStylePr w:type="lastRow">
      <w:pPr>
        <w:spacing w:before="0" w:after="0" w:line="240" w:lineRule="auto"/>
      </w:pPr>
      <w:rPr>
        <w:b/>
        <w:bCs/>
      </w:rPr>
      <w:tblPr/>
      <w:tcPr>
        <w:tcBorders>
          <w:top w:val="double" w:sz="6" w:space="0" w:color="FF7111" w:themeColor="accent2" w:themeTint="BF"/>
          <w:left w:val="single" w:sz="8" w:space="0" w:color="FF7111" w:themeColor="accent2" w:themeTint="BF"/>
          <w:bottom w:val="single" w:sz="8" w:space="0" w:color="FF7111" w:themeColor="accent2" w:themeTint="BF"/>
          <w:right w:val="single" w:sz="8" w:space="0" w:color="FF7111"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D0B0" w:themeFill="accent2" w:themeFillTint="3F"/>
      </w:tcPr>
    </w:tblStylePr>
    <w:tblStylePr w:type="band1Horz">
      <w:tblPr/>
      <w:tcPr>
        <w:tcBorders>
          <w:insideH w:val="nil"/>
          <w:insideV w:val="nil"/>
        </w:tcBorders>
        <w:shd w:val="clear" w:color="auto" w:fill="FFD0B0"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A871F4"/>
    <w:pPr>
      <w:spacing w:before="0"/>
    </w:pPr>
    <w:tblPr>
      <w:tblStyleRowBandSize w:val="1"/>
      <w:tblStyleColBandSize w:val="1"/>
      <w:tblBorders>
        <w:top w:val="single" w:sz="8" w:space="0" w:color="0042C7" w:themeColor="accent3" w:themeTint="BF"/>
        <w:left w:val="single" w:sz="8" w:space="0" w:color="0042C7" w:themeColor="accent3" w:themeTint="BF"/>
        <w:bottom w:val="single" w:sz="8" w:space="0" w:color="0042C7" w:themeColor="accent3" w:themeTint="BF"/>
        <w:right w:val="single" w:sz="8" w:space="0" w:color="0042C7" w:themeColor="accent3" w:themeTint="BF"/>
        <w:insideH w:val="single" w:sz="8" w:space="0" w:color="0042C7" w:themeColor="accent3" w:themeTint="BF"/>
      </w:tblBorders>
    </w:tblPr>
    <w:tblStylePr w:type="firstRow">
      <w:pPr>
        <w:spacing w:before="0" w:after="0" w:line="240" w:lineRule="auto"/>
      </w:pPr>
      <w:rPr>
        <w:b/>
        <w:bCs/>
        <w:color w:val="FFFFFF" w:themeColor="background1"/>
      </w:rPr>
      <w:tblPr/>
      <w:tcPr>
        <w:tcBorders>
          <w:top w:val="single" w:sz="8" w:space="0" w:color="0042C7" w:themeColor="accent3" w:themeTint="BF"/>
          <w:left w:val="single" w:sz="8" w:space="0" w:color="0042C7" w:themeColor="accent3" w:themeTint="BF"/>
          <w:bottom w:val="single" w:sz="8" w:space="0" w:color="0042C7" w:themeColor="accent3" w:themeTint="BF"/>
          <w:right w:val="single" w:sz="8" w:space="0" w:color="0042C7" w:themeColor="accent3" w:themeTint="BF"/>
          <w:insideH w:val="nil"/>
          <w:insideV w:val="nil"/>
        </w:tcBorders>
        <w:shd w:val="clear" w:color="auto" w:fill="002060" w:themeFill="accent3"/>
      </w:tcPr>
    </w:tblStylePr>
    <w:tblStylePr w:type="lastRow">
      <w:pPr>
        <w:spacing w:before="0" w:after="0" w:line="240" w:lineRule="auto"/>
      </w:pPr>
      <w:rPr>
        <w:b/>
        <w:bCs/>
      </w:rPr>
      <w:tblPr/>
      <w:tcPr>
        <w:tcBorders>
          <w:top w:val="double" w:sz="6" w:space="0" w:color="0042C7" w:themeColor="accent3" w:themeTint="BF"/>
          <w:left w:val="single" w:sz="8" w:space="0" w:color="0042C7" w:themeColor="accent3" w:themeTint="BF"/>
          <w:bottom w:val="single" w:sz="8" w:space="0" w:color="0042C7" w:themeColor="accent3" w:themeTint="BF"/>
          <w:right w:val="single" w:sz="8" w:space="0" w:color="0042C7" w:themeColor="accent3" w:themeTint="BF"/>
          <w:insideH w:val="nil"/>
          <w:insideV w:val="nil"/>
        </w:tcBorders>
      </w:tcPr>
    </w:tblStylePr>
    <w:tblStylePr w:type="firstCol">
      <w:rPr>
        <w:b/>
        <w:bCs/>
      </w:rPr>
    </w:tblStylePr>
    <w:tblStylePr w:type="lastCol">
      <w:rPr>
        <w:b/>
        <w:bCs/>
      </w:rPr>
    </w:tblStylePr>
    <w:tblStylePr w:type="band1Vert">
      <w:tblPr/>
      <w:tcPr>
        <w:shd w:val="clear" w:color="auto" w:fill="98BAFF" w:themeFill="accent3" w:themeFillTint="3F"/>
      </w:tcPr>
    </w:tblStylePr>
    <w:tblStylePr w:type="band1Horz">
      <w:tblPr/>
      <w:tcPr>
        <w:tcBorders>
          <w:insideH w:val="nil"/>
          <w:insideV w:val="nil"/>
        </w:tcBorders>
        <w:shd w:val="clear" w:color="auto" w:fill="98BAF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A871F4"/>
    <w:pPr>
      <w:spacing w:before="0"/>
    </w:pPr>
    <w:tblPr>
      <w:tblStyleRowBandSize w:val="1"/>
      <w:tblStyleColBandSize w:val="1"/>
      <w:tblBorders>
        <w:top w:val="single" w:sz="8" w:space="0" w:color="FF1010" w:themeColor="accent4" w:themeTint="BF"/>
        <w:left w:val="single" w:sz="8" w:space="0" w:color="FF1010" w:themeColor="accent4" w:themeTint="BF"/>
        <w:bottom w:val="single" w:sz="8" w:space="0" w:color="FF1010" w:themeColor="accent4" w:themeTint="BF"/>
        <w:right w:val="single" w:sz="8" w:space="0" w:color="FF1010" w:themeColor="accent4" w:themeTint="BF"/>
        <w:insideH w:val="single" w:sz="8" w:space="0" w:color="FF1010" w:themeColor="accent4" w:themeTint="BF"/>
      </w:tblBorders>
    </w:tblPr>
    <w:tblStylePr w:type="firstRow">
      <w:pPr>
        <w:spacing w:before="0" w:after="0" w:line="240" w:lineRule="auto"/>
      </w:pPr>
      <w:rPr>
        <w:b/>
        <w:bCs/>
        <w:color w:val="FFFFFF" w:themeColor="background1"/>
      </w:rPr>
      <w:tblPr/>
      <w:tcPr>
        <w:tcBorders>
          <w:top w:val="single" w:sz="8" w:space="0" w:color="FF1010" w:themeColor="accent4" w:themeTint="BF"/>
          <w:left w:val="single" w:sz="8" w:space="0" w:color="FF1010" w:themeColor="accent4" w:themeTint="BF"/>
          <w:bottom w:val="single" w:sz="8" w:space="0" w:color="FF1010" w:themeColor="accent4" w:themeTint="BF"/>
          <w:right w:val="single" w:sz="8" w:space="0" w:color="FF1010" w:themeColor="accent4" w:themeTint="BF"/>
          <w:insideH w:val="nil"/>
          <w:insideV w:val="nil"/>
        </w:tcBorders>
        <w:shd w:val="clear" w:color="auto" w:fill="C00000" w:themeFill="accent4"/>
      </w:tcPr>
    </w:tblStylePr>
    <w:tblStylePr w:type="lastRow">
      <w:pPr>
        <w:spacing w:before="0" w:after="0" w:line="240" w:lineRule="auto"/>
      </w:pPr>
      <w:rPr>
        <w:b/>
        <w:bCs/>
      </w:rPr>
      <w:tblPr/>
      <w:tcPr>
        <w:tcBorders>
          <w:top w:val="double" w:sz="6" w:space="0" w:color="FF1010" w:themeColor="accent4" w:themeTint="BF"/>
          <w:left w:val="single" w:sz="8" w:space="0" w:color="FF1010" w:themeColor="accent4" w:themeTint="BF"/>
          <w:bottom w:val="single" w:sz="8" w:space="0" w:color="FF1010" w:themeColor="accent4" w:themeTint="BF"/>
          <w:right w:val="single" w:sz="8" w:space="0" w:color="FF101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4" w:themeFillTint="3F"/>
      </w:tcPr>
    </w:tblStylePr>
    <w:tblStylePr w:type="band1Horz">
      <w:tblPr/>
      <w:tcPr>
        <w:tcBorders>
          <w:insideH w:val="nil"/>
          <w:insideV w:val="nil"/>
        </w:tcBorders>
        <w:shd w:val="clear" w:color="auto" w:fill="FFB0B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A871F4"/>
    <w:pPr>
      <w:spacing w:before="0"/>
    </w:pPr>
    <w:tblPr>
      <w:tblStyleRowBandSize w:val="1"/>
      <w:tblStyleColBandSize w:val="1"/>
      <w:tblBorders>
        <w:top w:val="single" w:sz="8" w:space="0" w:color="404040" w:themeColor="accent5" w:themeTint="BF"/>
        <w:left w:val="single" w:sz="8" w:space="0" w:color="404040" w:themeColor="accent5" w:themeTint="BF"/>
        <w:bottom w:val="single" w:sz="8" w:space="0" w:color="404040" w:themeColor="accent5" w:themeTint="BF"/>
        <w:right w:val="single" w:sz="8" w:space="0" w:color="404040" w:themeColor="accent5" w:themeTint="BF"/>
        <w:insideH w:val="single" w:sz="8" w:space="0" w:color="404040" w:themeColor="accent5" w:themeTint="BF"/>
      </w:tblBorders>
    </w:tblPr>
    <w:tblStylePr w:type="firstRow">
      <w:pPr>
        <w:spacing w:before="0" w:after="0" w:line="240" w:lineRule="auto"/>
      </w:pPr>
      <w:rPr>
        <w:b/>
        <w:bCs/>
        <w:color w:val="FFFFFF" w:themeColor="background1"/>
      </w:rPr>
      <w:tblPr/>
      <w:tcPr>
        <w:tcBorders>
          <w:top w:val="single" w:sz="8" w:space="0" w:color="404040" w:themeColor="accent5" w:themeTint="BF"/>
          <w:left w:val="single" w:sz="8" w:space="0" w:color="404040" w:themeColor="accent5" w:themeTint="BF"/>
          <w:bottom w:val="single" w:sz="8" w:space="0" w:color="404040" w:themeColor="accent5" w:themeTint="BF"/>
          <w:right w:val="single" w:sz="8" w:space="0" w:color="404040" w:themeColor="accent5" w:themeTint="BF"/>
          <w:insideH w:val="nil"/>
          <w:insideV w:val="nil"/>
        </w:tcBorders>
        <w:shd w:val="clear" w:color="auto" w:fill="000000" w:themeFill="accent5"/>
      </w:tcPr>
    </w:tblStylePr>
    <w:tblStylePr w:type="lastRow">
      <w:pPr>
        <w:spacing w:before="0" w:after="0" w:line="240" w:lineRule="auto"/>
      </w:pPr>
      <w:rPr>
        <w:b/>
        <w:bCs/>
      </w:rPr>
      <w:tblPr/>
      <w:tcPr>
        <w:tcBorders>
          <w:top w:val="double" w:sz="6" w:space="0" w:color="404040" w:themeColor="accent5" w:themeTint="BF"/>
          <w:left w:val="single" w:sz="8" w:space="0" w:color="404040" w:themeColor="accent5" w:themeTint="BF"/>
          <w:bottom w:val="single" w:sz="8" w:space="0" w:color="404040" w:themeColor="accent5" w:themeTint="BF"/>
          <w:right w:val="single" w:sz="8" w:space="0" w:color="404040" w:themeColor="accent5" w:themeTint="BF"/>
          <w:insideH w:val="nil"/>
          <w:insideV w:val="nil"/>
        </w:tcBorders>
      </w:tcPr>
    </w:tblStylePr>
    <w:tblStylePr w:type="firstCol">
      <w:rPr>
        <w:b/>
        <w:bCs/>
      </w:rPr>
    </w:tblStylePr>
    <w:tblStylePr w:type="lastCol">
      <w:rPr>
        <w:b/>
        <w:bCs/>
      </w:rPr>
    </w:tblStylePr>
    <w:tblStylePr w:type="band1Vert">
      <w:tblPr/>
      <w:tcPr>
        <w:shd w:val="clear" w:color="auto" w:fill="C0C0C0" w:themeFill="accent5" w:themeFillTint="3F"/>
      </w:tcPr>
    </w:tblStylePr>
    <w:tblStylePr w:type="band1Horz">
      <w:tblPr/>
      <w:tcPr>
        <w:tcBorders>
          <w:insideH w:val="nil"/>
          <w:insideV w:val="nil"/>
        </w:tcBorders>
        <w:shd w:val="clear" w:color="auto" w:fill="C0C0C0" w:themeFill="accent5" w:themeFillTint="3F"/>
      </w:tcPr>
    </w:tblStylePr>
    <w:tblStylePr w:type="band2Horz">
      <w:tblPr/>
      <w:tcPr>
        <w:tcBorders>
          <w:insideH w:val="nil"/>
          <w:insideV w:val="nil"/>
        </w:tcBorders>
      </w:tcPr>
    </w:tblStylePr>
  </w:style>
  <w:style w:type="table" w:styleId="LightList">
    <w:name w:val="Light List"/>
    <w:basedOn w:val="TableNormal"/>
    <w:uiPriority w:val="61"/>
    <w:rsid w:val="00A871F4"/>
    <w:pPr>
      <w:spacing w:before="0"/>
    </w:pPr>
    <w:tblPr>
      <w:tblStyleRowBandSize w:val="1"/>
      <w:tblStyleColBandSize w:val="1"/>
      <w:tblBorders>
        <w:top w:val="single" w:sz="8" w:space="0" w:color="076A92" w:themeColor="text1"/>
        <w:left w:val="single" w:sz="8" w:space="0" w:color="076A92" w:themeColor="text1"/>
        <w:bottom w:val="single" w:sz="8" w:space="0" w:color="076A92" w:themeColor="text1"/>
        <w:right w:val="single" w:sz="8" w:space="0" w:color="076A92" w:themeColor="text1"/>
      </w:tblBorders>
    </w:tblPr>
    <w:tblStylePr w:type="firstRow">
      <w:pPr>
        <w:spacing w:before="0" w:after="0" w:line="240" w:lineRule="auto"/>
      </w:pPr>
      <w:rPr>
        <w:b/>
        <w:bCs/>
        <w:color w:val="FFFFFF" w:themeColor="background1"/>
      </w:rPr>
      <w:tblPr/>
      <w:tcPr>
        <w:shd w:val="clear" w:color="auto" w:fill="076A92" w:themeFill="text1"/>
      </w:tcPr>
    </w:tblStylePr>
    <w:tblStylePr w:type="lastRow">
      <w:pPr>
        <w:spacing w:before="0" w:after="0" w:line="240" w:lineRule="auto"/>
      </w:pPr>
      <w:rPr>
        <w:b/>
        <w:bCs/>
      </w:rPr>
      <w:tblPr/>
      <w:tcPr>
        <w:tcBorders>
          <w:top w:val="double" w:sz="6" w:space="0" w:color="076A92" w:themeColor="text1"/>
          <w:left w:val="single" w:sz="8" w:space="0" w:color="076A92" w:themeColor="text1"/>
          <w:bottom w:val="single" w:sz="8" w:space="0" w:color="076A92" w:themeColor="text1"/>
          <w:right w:val="single" w:sz="8" w:space="0" w:color="076A92" w:themeColor="text1"/>
        </w:tcBorders>
      </w:tcPr>
    </w:tblStylePr>
    <w:tblStylePr w:type="firstCol">
      <w:rPr>
        <w:b/>
        <w:bCs/>
      </w:rPr>
    </w:tblStylePr>
    <w:tblStylePr w:type="lastCol">
      <w:rPr>
        <w:b/>
        <w:bCs/>
      </w:rPr>
    </w:tblStylePr>
    <w:tblStylePr w:type="band1Vert">
      <w:tblPr/>
      <w:tcPr>
        <w:tcBorders>
          <w:top w:val="single" w:sz="8" w:space="0" w:color="076A92" w:themeColor="text1"/>
          <w:left w:val="single" w:sz="8" w:space="0" w:color="076A92" w:themeColor="text1"/>
          <w:bottom w:val="single" w:sz="8" w:space="0" w:color="076A92" w:themeColor="text1"/>
          <w:right w:val="single" w:sz="8" w:space="0" w:color="076A92" w:themeColor="text1"/>
        </w:tcBorders>
      </w:tcPr>
    </w:tblStylePr>
    <w:tblStylePr w:type="band1Horz">
      <w:tblPr/>
      <w:tcPr>
        <w:tcBorders>
          <w:top w:val="single" w:sz="8" w:space="0" w:color="076A92" w:themeColor="text1"/>
          <w:left w:val="single" w:sz="8" w:space="0" w:color="076A92" w:themeColor="text1"/>
          <w:bottom w:val="single" w:sz="8" w:space="0" w:color="076A92" w:themeColor="text1"/>
          <w:right w:val="single" w:sz="8" w:space="0" w:color="076A92" w:themeColor="text1"/>
        </w:tcBorders>
      </w:tcPr>
    </w:tblStylePr>
  </w:style>
  <w:style w:type="table" w:styleId="LightShading-Accent5">
    <w:name w:val="Light Shading Accent 5"/>
    <w:basedOn w:val="TableNormal"/>
    <w:uiPriority w:val="60"/>
    <w:rsid w:val="00A871F4"/>
    <w:pPr>
      <w:spacing w:before="0"/>
    </w:pPr>
    <w:rPr>
      <w:color w:val="000000" w:themeColor="accent5" w:themeShade="BF"/>
    </w:rPr>
    <w:tblPr>
      <w:tblStyleRowBandSize w:val="1"/>
      <w:tblStyleColBandSize w:val="1"/>
      <w:tblBorders>
        <w:top w:val="single" w:sz="8" w:space="0" w:color="000000" w:themeColor="accent5"/>
        <w:bottom w:val="single" w:sz="8" w:space="0" w:color="000000" w:themeColor="accent5"/>
      </w:tblBorders>
    </w:tblPr>
    <w:tblStylePr w:type="firstRow">
      <w:pPr>
        <w:spacing w:before="0" w:after="0" w:line="240" w:lineRule="auto"/>
      </w:pPr>
      <w:rPr>
        <w:b/>
        <w:bCs/>
      </w:rPr>
      <w:tblPr/>
      <w:tcPr>
        <w:tcBorders>
          <w:top w:val="single" w:sz="8" w:space="0" w:color="000000" w:themeColor="accent5"/>
          <w:left w:val="nil"/>
          <w:bottom w:val="single" w:sz="8" w:space="0" w:color="000000" w:themeColor="accent5"/>
          <w:right w:val="nil"/>
          <w:insideH w:val="nil"/>
          <w:insideV w:val="nil"/>
        </w:tcBorders>
      </w:tcPr>
    </w:tblStylePr>
    <w:tblStylePr w:type="lastRow">
      <w:pPr>
        <w:spacing w:before="0" w:after="0" w:line="240" w:lineRule="auto"/>
      </w:pPr>
      <w:rPr>
        <w:b/>
        <w:bCs/>
      </w:rPr>
      <w:tblPr/>
      <w:tcPr>
        <w:tcBorders>
          <w:top w:val="single" w:sz="8" w:space="0" w:color="000000" w:themeColor="accent5"/>
          <w:left w:val="nil"/>
          <w:bottom w:val="single" w:sz="8" w:space="0" w:color="000000"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accent5" w:themeFillTint="3F"/>
      </w:tcPr>
    </w:tblStylePr>
    <w:tblStylePr w:type="band1Horz">
      <w:tblPr/>
      <w:tcPr>
        <w:tcBorders>
          <w:left w:val="nil"/>
          <w:right w:val="nil"/>
          <w:insideH w:val="nil"/>
          <w:insideV w:val="nil"/>
        </w:tcBorders>
        <w:shd w:val="clear" w:color="auto" w:fill="C0C0C0" w:themeFill="accent5" w:themeFillTint="3F"/>
      </w:tcPr>
    </w:tblStylePr>
  </w:style>
  <w:style w:type="table" w:styleId="LightGrid-Accent3">
    <w:name w:val="Light Grid Accent 3"/>
    <w:basedOn w:val="TableNormal"/>
    <w:uiPriority w:val="62"/>
    <w:rsid w:val="00A871F4"/>
    <w:pPr>
      <w:spacing w:before="0"/>
    </w:pPr>
    <w:tblPr>
      <w:tblStyleRowBandSize w:val="1"/>
      <w:tblStyleColBandSize w:val="1"/>
      <w:tblBorders>
        <w:top w:val="single" w:sz="8" w:space="0" w:color="002060" w:themeColor="accent3"/>
        <w:left w:val="single" w:sz="8" w:space="0" w:color="002060" w:themeColor="accent3"/>
        <w:bottom w:val="single" w:sz="8" w:space="0" w:color="002060" w:themeColor="accent3"/>
        <w:right w:val="single" w:sz="8" w:space="0" w:color="002060" w:themeColor="accent3"/>
        <w:insideH w:val="single" w:sz="8" w:space="0" w:color="002060" w:themeColor="accent3"/>
        <w:insideV w:val="single" w:sz="8" w:space="0" w:color="00206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2060" w:themeColor="accent3"/>
          <w:left w:val="single" w:sz="8" w:space="0" w:color="002060" w:themeColor="accent3"/>
          <w:bottom w:val="single" w:sz="18" w:space="0" w:color="002060" w:themeColor="accent3"/>
          <w:right w:val="single" w:sz="8" w:space="0" w:color="002060" w:themeColor="accent3"/>
          <w:insideH w:val="nil"/>
          <w:insideV w:val="single" w:sz="8" w:space="0" w:color="00206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2060" w:themeColor="accent3"/>
          <w:left w:val="single" w:sz="8" w:space="0" w:color="002060" w:themeColor="accent3"/>
          <w:bottom w:val="single" w:sz="8" w:space="0" w:color="002060" w:themeColor="accent3"/>
          <w:right w:val="single" w:sz="8" w:space="0" w:color="002060" w:themeColor="accent3"/>
          <w:insideH w:val="nil"/>
          <w:insideV w:val="single" w:sz="8" w:space="0" w:color="00206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2060" w:themeColor="accent3"/>
          <w:left w:val="single" w:sz="8" w:space="0" w:color="002060" w:themeColor="accent3"/>
          <w:bottom w:val="single" w:sz="8" w:space="0" w:color="002060" w:themeColor="accent3"/>
          <w:right w:val="single" w:sz="8" w:space="0" w:color="002060" w:themeColor="accent3"/>
        </w:tcBorders>
      </w:tcPr>
    </w:tblStylePr>
    <w:tblStylePr w:type="band1Vert">
      <w:tblPr/>
      <w:tcPr>
        <w:tcBorders>
          <w:top w:val="single" w:sz="8" w:space="0" w:color="002060" w:themeColor="accent3"/>
          <w:left w:val="single" w:sz="8" w:space="0" w:color="002060" w:themeColor="accent3"/>
          <w:bottom w:val="single" w:sz="8" w:space="0" w:color="002060" w:themeColor="accent3"/>
          <w:right w:val="single" w:sz="8" w:space="0" w:color="002060" w:themeColor="accent3"/>
        </w:tcBorders>
        <w:shd w:val="clear" w:color="auto" w:fill="98BAFF" w:themeFill="accent3" w:themeFillTint="3F"/>
      </w:tcPr>
    </w:tblStylePr>
    <w:tblStylePr w:type="band1Horz">
      <w:tblPr/>
      <w:tcPr>
        <w:tcBorders>
          <w:top w:val="single" w:sz="8" w:space="0" w:color="002060" w:themeColor="accent3"/>
          <w:left w:val="single" w:sz="8" w:space="0" w:color="002060" w:themeColor="accent3"/>
          <w:bottom w:val="single" w:sz="8" w:space="0" w:color="002060" w:themeColor="accent3"/>
          <w:right w:val="single" w:sz="8" w:space="0" w:color="002060" w:themeColor="accent3"/>
          <w:insideV w:val="single" w:sz="8" w:space="0" w:color="002060" w:themeColor="accent3"/>
        </w:tcBorders>
        <w:shd w:val="clear" w:color="auto" w:fill="98BAFF" w:themeFill="accent3" w:themeFillTint="3F"/>
      </w:tcPr>
    </w:tblStylePr>
    <w:tblStylePr w:type="band2Horz">
      <w:tblPr/>
      <w:tcPr>
        <w:tcBorders>
          <w:top w:val="single" w:sz="8" w:space="0" w:color="002060" w:themeColor="accent3"/>
          <w:left w:val="single" w:sz="8" w:space="0" w:color="002060" w:themeColor="accent3"/>
          <w:bottom w:val="single" w:sz="8" w:space="0" w:color="002060" w:themeColor="accent3"/>
          <w:right w:val="single" w:sz="8" w:space="0" w:color="002060" w:themeColor="accent3"/>
          <w:insideV w:val="single" w:sz="8" w:space="0" w:color="002060" w:themeColor="accent3"/>
        </w:tcBorders>
      </w:tcPr>
    </w:tblStylePr>
  </w:style>
  <w:style w:type="paragraph" w:styleId="Bibliography">
    <w:name w:val="Bibliography"/>
    <w:basedOn w:val="Normal"/>
    <w:next w:val="Normal"/>
    <w:uiPriority w:val="37"/>
    <w:semiHidden/>
    <w:rsid w:val="00EE28F3"/>
  </w:style>
  <w:style w:type="paragraph" w:styleId="BodyText3">
    <w:name w:val="Body Text 3"/>
    <w:basedOn w:val="Normal"/>
    <w:link w:val="BodyText3Char"/>
    <w:unhideWhenUsed/>
    <w:rsid w:val="005C26CC"/>
    <w:pPr>
      <w:spacing w:after="120"/>
    </w:pPr>
    <w:rPr>
      <w:szCs w:val="16"/>
    </w:rPr>
  </w:style>
  <w:style w:type="character" w:customStyle="1" w:styleId="BodyText3Char">
    <w:name w:val="Body Text 3 Char"/>
    <w:basedOn w:val="DefaultParagraphFont"/>
    <w:link w:val="BodyText3"/>
    <w:uiPriority w:val="99"/>
    <w:rsid w:val="005C26CC"/>
    <w:rPr>
      <w:rFonts w:ascii="Arial" w:hAnsi="Arial"/>
      <w:szCs w:val="16"/>
    </w:rPr>
  </w:style>
  <w:style w:type="paragraph" w:styleId="TOC1">
    <w:name w:val="toc 1"/>
    <w:basedOn w:val="Normal"/>
    <w:next w:val="Normal"/>
    <w:autoRedefine/>
    <w:uiPriority w:val="39"/>
    <w:qFormat/>
    <w:rsid w:val="005B704A"/>
    <w:pPr>
      <w:tabs>
        <w:tab w:val="left" w:pos="426"/>
        <w:tab w:val="right" w:leader="dot" w:pos="8364"/>
      </w:tabs>
      <w:spacing w:after="100"/>
    </w:pPr>
    <w:rPr>
      <w:b/>
      <w:noProof/>
      <w:color w:val="70635A" w:themeColor="text2"/>
      <w:sz w:val="24"/>
      <w:lang w:val="en-US" w:eastAsia="ja-JP"/>
    </w:rPr>
  </w:style>
  <w:style w:type="paragraph" w:styleId="TOC2">
    <w:name w:val="toc 2"/>
    <w:basedOn w:val="Normal"/>
    <w:next w:val="Normal"/>
    <w:uiPriority w:val="39"/>
    <w:qFormat/>
    <w:rsid w:val="005D7BA2"/>
    <w:pPr>
      <w:tabs>
        <w:tab w:val="left" w:pos="880"/>
        <w:tab w:val="right" w:leader="dot" w:pos="8363"/>
      </w:tabs>
      <w:spacing w:after="100"/>
      <w:ind w:left="425"/>
    </w:pPr>
    <w:rPr>
      <w:b/>
      <w:noProof/>
      <w:color w:val="70635A" w:themeColor="text2"/>
      <w:sz w:val="24"/>
    </w:rPr>
  </w:style>
  <w:style w:type="paragraph" w:styleId="TOC3">
    <w:name w:val="toc 3"/>
    <w:basedOn w:val="Normal"/>
    <w:next w:val="Normal"/>
    <w:uiPriority w:val="39"/>
    <w:qFormat/>
    <w:rsid w:val="005D7BA2"/>
    <w:pPr>
      <w:tabs>
        <w:tab w:val="left" w:pos="1760"/>
        <w:tab w:val="right" w:leader="dot" w:pos="8363"/>
      </w:tabs>
      <w:spacing w:after="100"/>
      <w:ind w:left="851"/>
    </w:pPr>
    <w:rPr>
      <w:noProof/>
    </w:rPr>
  </w:style>
  <w:style w:type="paragraph" w:styleId="Title">
    <w:name w:val="Title"/>
    <w:basedOn w:val="Normal"/>
    <w:next w:val="Normal"/>
    <w:link w:val="TitleChar"/>
    <w:qFormat/>
    <w:rsid w:val="00174102"/>
    <w:pPr>
      <w:spacing w:before="720" w:after="120"/>
      <w:contextualSpacing/>
      <w:outlineLvl w:val="0"/>
    </w:pPr>
    <w:rPr>
      <w:rFonts w:asciiTheme="majorHAnsi" w:eastAsiaTheme="majorEastAsia" w:hAnsiTheme="majorHAnsi" w:cstheme="majorBidi"/>
      <w:color w:val="C14E00" w:themeColor="accent2"/>
      <w:spacing w:val="5"/>
      <w:kern w:val="28"/>
      <w:sz w:val="72"/>
      <w:szCs w:val="52"/>
    </w:rPr>
  </w:style>
  <w:style w:type="character" w:customStyle="1" w:styleId="TitleChar">
    <w:name w:val="Title Char"/>
    <w:basedOn w:val="DefaultParagraphFont"/>
    <w:link w:val="Title"/>
    <w:uiPriority w:val="10"/>
    <w:rsid w:val="00174102"/>
    <w:rPr>
      <w:rFonts w:asciiTheme="majorHAnsi" w:eastAsiaTheme="majorEastAsia" w:hAnsiTheme="majorHAnsi" w:cstheme="majorBidi"/>
      <w:color w:val="C14E00" w:themeColor="accent2"/>
      <w:spacing w:val="5"/>
      <w:kern w:val="28"/>
      <w:sz w:val="72"/>
      <w:szCs w:val="52"/>
    </w:rPr>
  </w:style>
  <w:style w:type="character" w:styleId="BookTitle">
    <w:name w:val="Book Title"/>
    <w:uiPriority w:val="33"/>
    <w:rsid w:val="0081034E"/>
    <w:rPr>
      <w:rFonts w:ascii="Arial" w:hAnsi="Arial"/>
      <w:bCs/>
      <w:i/>
      <w:caps w:val="0"/>
      <w:smallCaps w:val="0"/>
      <w:spacing w:val="0"/>
      <w:sz w:val="22"/>
    </w:rPr>
  </w:style>
  <w:style w:type="table" w:styleId="LightList-Accent1">
    <w:name w:val="Light List Accent 1"/>
    <w:basedOn w:val="TableNormal"/>
    <w:uiPriority w:val="61"/>
    <w:rsid w:val="0081034E"/>
    <w:pPr>
      <w:spacing w:before="0"/>
    </w:pPr>
    <w:tblPr>
      <w:tblStyleRowBandSize w:val="1"/>
      <w:tblStyleColBandSize w:val="1"/>
      <w:tblBorders>
        <w:top w:val="single" w:sz="8" w:space="0" w:color="2F002F" w:themeColor="accent1"/>
        <w:left w:val="single" w:sz="8" w:space="0" w:color="2F002F" w:themeColor="accent1"/>
        <w:bottom w:val="single" w:sz="8" w:space="0" w:color="2F002F" w:themeColor="accent1"/>
        <w:right w:val="single" w:sz="8" w:space="0" w:color="2F002F" w:themeColor="accent1"/>
      </w:tblBorders>
    </w:tblPr>
    <w:tblStylePr w:type="firstRow">
      <w:pPr>
        <w:spacing w:before="0" w:after="0" w:line="240" w:lineRule="auto"/>
      </w:pPr>
      <w:rPr>
        <w:b/>
        <w:bCs/>
        <w:color w:val="FFFFFF" w:themeColor="background1"/>
      </w:rPr>
      <w:tblPr/>
      <w:tcPr>
        <w:shd w:val="clear" w:color="auto" w:fill="2F002F" w:themeFill="accent1"/>
      </w:tcPr>
    </w:tblStylePr>
    <w:tblStylePr w:type="lastRow">
      <w:pPr>
        <w:spacing w:before="0" w:after="0" w:line="240" w:lineRule="auto"/>
      </w:pPr>
      <w:rPr>
        <w:b/>
        <w:bCs/>
      </w:rPr>
      <w:tblPr/>
      <w:tcPr>
        <w:tcBorders>
          <w:top w:val="double" w:sz="6" w:space="0" w:color="2F002F" w:themeColor="accent1"/>
          <w:left w:val="single" w:sz="8" w:space="0" w:color="2F002F" w:themeColor="accent1"/>
          <w:bottom w:val="single" w:sz="8" w:space="0" w:color="2F002F" w:themeColor="accent1"/>
          <w:right w:val="single" w:sz="8" w:space="0" w:color="2F002F" w:themeColor="accent1"/>
        </w:tcBorders>
      </w:tcPr>
    </w:tblStylePr>
    <w:tblStylePr w:type="firstCol">
      <w:rPr>
        <w:b/>
        <w:bCs/>
      </w:rPr>
    </w:tblStylePr>
    <w:tblStylePr w:type="lastCol">
      <w:rPr>
        <w:b/>
        <w:bCs/>
      </w:rPr>
    </w:tblStylePr>
    <w:tblStylePr w:type="band1Vert">
      <w:tblPr/>
      <w:tcPr>
        <w:tcBorders>
          <w:top w:val="single" w:sz="8" w:space="0" w:color="2F002F" w:themeColor="accent1"/>
          <w:left w:val="single" w:sz="8" w:space="0" w:color="2F002F" w:themeColor="accent1"/>
          <w:bottom w:val="single" w:sz="8" w:space="0" w:color="2F002F" w:themeColor="accent1"/>
          <w:right w:val="single" w:sz="8" w:space="0" w:color="2F002F" w:themeColor="accent1"/>
        </w:tcBorders>
      </w:tcPr>
    </w:tblStylePr>
    <w:tblStylePr w:type="band1Horz">
      <w:tblPr/>
      <w:tcPr>
        <w:tcBorders>
          <w:top w:val="single" w:sz="8" w:space="0" w:color="2F002F" w:themeColor="accent1"/>
          <w:left w:val="single" w:sz="8" w:space="0" w:color="2F002F" w:themeColor="accent1"/>
          <w:bottom w:val="single" w:sz="8" w:space="0" w:color="2F002F" w:themeColor="accent1"/>
          <w:right w:val="single" w:sz="8" w:space="0" w:color="2F002F" w:themeColor="accent1"/>
        </w:tcBorders>
      </w:tcPr>
    </w:tblStylePr>
  </w:style>
  <w:style w:type="table" w:styleId="LightList-Accent3">
    <w:name w:val="Light List Accent 3"/>
    <w:basedOn w:val="TableNormal"/>
    <w:uiPriority w:val="61"/>
    <w:rsid w:val="0081034E"/>
    <w:pPr>
      <w:spacing w:before="0"/>
    </w:pPr>
    <w:tblPr>
      <w:tblStyleRowBandSize w:val="1"/>
      <w:tblStyleColBandSize w:val="1"/>
      <w:tblBorders>
        <w:top w:val="single" w:sz="8" w:space="0" w:color="002060" w:themeColor="accent3"/>
        <w:left w:val="single" w:sz="8" w:space="0" w:color="002060" w:themeColor="accent3"/>
        <w:bottom w:val="single" w:sz="8" w:space="0" w:color="002060" w:themeColor="accent3"/>
        <w:right w:val="single" w:sz="8" w:space="0" w:color="002060" w:themeColor="accent3"/>
      </w:tblBorders>
    </w:tblPr>
    <w:tblStylePr w:type="firstRow">
      <w:pPr>
        <w:spacing w:before="0" w:after="0" w:line="240" w:lineRule="auto"/>
      </w:pPr>
      <w:rPr>
        <w:b/>
        <w:bCs/>
        <w:color w:val="FFFFFF" w:themeColor="background1"/>
      </w:rPr>
      <w:tblPr/>
      <w:tcPr>
        <w:shd w:val="clear" w:color="auto" w:fill="002060" w:themeFill="accent3"/>
      </w:tcPr>
    </w:tblStylePr>
    <w:tblStylePr w:type="lastRow">
      <w:pPr>
        <w:spacing w:before="0" w:after="0" w:line="240" w:lineRule="auto"/>
      </w:pPr>
      <w:rPr>
        <w:b/>
        <w:bCs/>
      </w:rPr>
      <w:tblPr/>
      <w:tcPr>
        <w:tcBorders>
          <w:top w:val="double" w:sz="6" w:space="0" w:color="002060" w:themeColor="accent3"/>
          <w:left w:val="single" w:sz="8" w:space="0" w:color="002060" w:themeColor="accent3"/>
          <w:bottom w:val="single" w:sz="8" w:space="0" w:color="002060" w:themeColor="accent3"/>
          <w:right w:val="single" w:sz="8" w:space="0" w:color="002060" w:themeColor="accent3"/>
        </w:tcBorders>
      </w:tcPr>
    </w:tblStylePr>
    <w:tblStylePr w:type="firstCol">
      <w:rPr>
        <w:b/>
        <w:bCs/>
      </w:rPr>
    </w:tblStylePr>
    <w:tblStylePr w:type="lastCol">
      <w:rPr>
        <w:b/>
        <w:bCs/>
      </w:rPr>
    </w:tblStylePr>
    <w:tblStylePr w:type="band1Vert">
      <w:tblPr/>
      <w:tcPr>
        <w:tcBorders>
          <w:top w:val="single" w:sz="8" w:space="0" w:color="002060" w:themeColor="accent3"/>
          <w:left w:val="single" w:sz="8" w:space="0" w:color="002060" w:themeColor="accent3"/>
          <w:bottom w:val="single" w:sz="8" w:space="0" w:color="002060" w:themeColor="accent3"/>
          <w:right w:val="single" w:sz="8" w:space="0" w:color="002060" w:themeColor="accent3"/>
        </w:tcBorders>
      </w:tcPr>
    </w:tblStylePr>
    <w:tblStylePr w:type="band1Horz">
      <w:tblPr/>
      <w:tcPr>
        <w:tcBorders>
          <w:top w:val="single" w:sz="8" w:space="0" w:color="002060" w:themeColor="accent3"/>
          <w:left w:val="single" w:sz="8" w:space="0" w:color="002060" w:themeColor="accent3"/>
          <w:bottom w:val="single" w:sz="8" w:space="0" w:color="002060" w:themeColor="accent3"/>
          <w:right w:val="single" w:sz="8" w:space="0" w:color="002060" w:themeColor="accent3"/>
        </w:tcBorders>
      </w:tcPr>
    </w:tblStylePr>
  </w:style>
  <w:style w:type="table" w:styleId="LightList-Accent5">
    <w:name w:val="Light List Accent 5"/>
    <w:basedOn w:val="TableNormal"/>
    <w:uiPriority w:val="61"/>
    <w:rsid w:val="005B1E3C"/>
    <w:pPr>
      <w:spacing w:before="0"/>
    </w:pPr>
    <w:tblPr>
      <w:tblStyleRowBandSize w:val="1"/>
      <w:tblStyleColBandSize w:val="1"/>
      <w:tblBorders>
        <w:top w:val="single" w:sz="8" w:space="0" w:color="000000" w:themeColor="accent5"/>
        <w:left w:val="single" w:sz="8" w:space="0" w:color="000000" w:themeColor="accent5"/>
        <w:bottom w:val="single" w:sz="8" w:space="0" w:color="000000" w:themeColor="accent5"/>
        <w:right w:val="single" w:sz="8" w:space="0" w:color="000000" w:themeColor="accent5"/>
      </w:tblBorders>
    </w:tblPr>
    <w:tblStylePr w:type="firstRow">
      <w:pPr>
        <w:spacing w:before="0" w:after="0" w:line="240" w:lineRule="auto"/>
      </w:pPr>
      <w:rPr>
        <w:b/>
        <w:bCs/>
        <w:color w:val="auto"/>
      </w:rPr>
      <w:tblPr/>
      <w:tcPr>
        <w:shd w:val="clear" w:color="auto" w:fill="000000" w:themeFill="accent5"/>
      </w:tcPr>
    </w:tblStylePr>
    <w:tblStylePr w:type="lastRow">
      <w:pPr>
        <w:spacing w:before="0" w:after="0" w:line="240" w:lineRule="auto"/>
      </w:pPr>
      <w:rPr>
        <w:b/>
        <w:bCs/>
      </w:rPr>
      <w:tblPr/>
      <w:tcPr>
        <w:tcBorders>
          <w:top w:val="double" w:sz="6" w:space="0" w:color="000000" w:themeColor="accent5"/>
          <w:left w:val="single" w:sz="8" w:space="0" w:color="000000" w:themeColor="accent5"/>
          <w:bottom w:val="single" w:sz="8" w:space="0" w:color="000000" w:themeColor="accent5"/>
          <w:right w:val="single" w:sz="8" w:space="0" w:color="000000" w:themeColor="accent5"/>
        </w:tcBorders>
      </w:tcPr>
    </w:tblStylePr>
    <w:tblStylePr w:type="firstCol">
      <w:rPr>
        <w:b/>
        <w:bCs/>
      </w:rPr>
    </w:tblStylePr>
    <w:tblStylePr w:type="lastCol">
      <w:rPr>
        <w:b/>
        <w:bCs/>
      </w:rPr>
    </w:tblStylePr>
    <w:tblStylePr w:type="band1Vert">
      <w:tblPr/>
      <w:tcPr>
        <w:tcBorders>
          <w:top w:val="single" w:sz="8" w:space="0" w:color="000000" w:themeColor="accent5"/>
          <w:left w:val="single" w:sz="8" w:space="0" w:color="000000" w:themeColor="accent5"/>
          <w:bottom w:val="single" w:sz="8" w:space="0" w:color="000000" w:themeColor="accent5"/>
          <w:right w:val="single" w:sz="8" w:space="0" w:color="000000" w:themeColor="accent5"/>
        </w:tcBorders>
      </w:tcPr>
    </w:tblStylePr>
    <w:tblStylePr w:type="band1Horz">
      <w:tblPr/>
      <w:tcPr>
        <w:tcBorders>
          <w:top w:val="single" w:sz="8" w:space="0" w:color="000000" w:themeColor="accent5"/>
          <w:left w:val="single" w:sz="8" w:space="0" w:color="000000" w:themeColor="accent5"/>
          <w:bottom w:val="single" w:sz="8" w:space="0" w:color="000000" w:themeColor="accent5"/>
          <w:right w:val="single" w:sz="8" w:space="0" w:color="000000" w:themeColor="accent5"/>
        </w:tcBorders>
      </w:tcPr>
    </w:tblStylePr>
  </w:style>
  <w:style w:type="character" w:styleId="Emphasis">
    <w:name w:val="Emphasis"/>
    <w:basedOn w:val="DefaultParagraphFont"/>
    <w:uiPriority w:val="20"/>
    <w:qFormat/>
    <w:rsid w:val="00701CAB"/>
    <w:rPr>
      <w:i/>
      <w:iCs/>
    </w:rPr>
  </w:style>
  <w:style w:type="paragraph" w:styleId="NormalIndent">
    <w:name w:val="Normal Indent"/>
    <w:basedOn w:val="Normal"/>
    <w:uiPriority w:val="1"/>
    <w:rsid w:val="00202E03"/>
    <w:pPr>
      <w:tabs>
        <w:tab w:val="left" w:pos="680"/>
      </w:tabs>
      <w:ind w:left="680"/>
    </w:pPr>
  </w:style>
  <w:style w:type="paragraph" w:styleId="FootnoteText">
    <w:name w:val="footnote text"/>
    <w:aliases w:val="Footnote Text1,Footnote Text2,ALTS FOOTNOTE2,Footnote Text11,(NECG) Footnote Text,(NECG) Footnote Text1,ALTS FOOTNOTE,Footnote text,AR Footnote Text,AR Footnote Text Char Char Char Char Char Char,AR Footnote Text Char Char Char Char Char,f"/>
    <w:basedOn w:val="Normal"/>
    <w:link w:val="FootnoteTextChar"/>
    <w:uiPriority w:val="2"/>
    <w:unhideWhenUsed/>
    <w:qFormat/>
    <w:rsid w:val="00DE1093"/>
    <w:pPr>
      <w:tabs>
        <w:tab w:val="left" w:pos="340"/>
      </w:tabs>
      <w:spacing w:before="0" w:line="240" w:lineRule="exact"/>
      <w:ind w:left="340" w:hanging="340"/>
    </w:pPr>
    <w:rPr>
      <w:sz w:val="16"/>
      <w:szCs w:val="20"/>
    </w:rPr>
  </w:style>
  <w:style w:type="character" w:customStyle="1" w:styleId="FootnoteTextChar">
    <w:name w:val="Footnote Text Char"/>
    <w:aliases w:val="Footnote Text1 Char,Footnote Text2 Char,ALTS FOOTNOTE2 Char,Footnote Text11 Char,(NECG) Footnote Text Char,(NECG) Footnote Text1 Char,ALTS FOOTNOTE Char,Footnote text Char,AR Footnote Text Char,f Char"/>
    <w:basedOn w:val="DefaultParagraphFont"/>
    <w:link w:val="FootnoteText"/>
    <w:uiPriority w:val="99"/>
    <w:rsid w:val="00DE1093"/>
    <w:rPr>
      <w:rFonts w:ascii="Arial" w:hAnsi="Arial"/>
      <w:sz w:val="16"/>
      <w:szCs w:val="20"/>
    </w:rPr>
  </w:style>
  <w:style w:type="character" w:styleId="FootnoteReference">
    <w:name w:val="footnote reference"/>
    <w:aliases w:val="(NECG) Footnote Reference,(NECG) Footnote Reference1,(NECG) Footnote Reference2,(NECG) Footnote Reference3,(NECG) Footnote Reference4,(NECG) Footnote Reference5,(NECG) Footnote Reference6,(NECG) Footnote Reference7,o,Style 3,Style 12"/>
    <w:basedOn w:val="DefaultParagraphFont"/>
    <w:uiPriority w:val="99"/>
    <w:unhideWhenUsed/>
    <w:rsid w:val="00701CAB"/>
    <w:rPr>
      <w:vertAlign w:val="superscript"/>
    </w:rPr>
  </w:style>
  <w:style w:type="character" w:styleId="Strong">
    <w:name w:val="Strong"/>
    <w:aliases w:val="AER text bold"/>
    <w:basedOn w:val="DefaultParagraphFont"/>
    <w:uiPriority w:val="22"/>
    <w:qFormat/>
    <w:rsid w:val="00EF5110"/>
    <w:rPr>
      <w:b/>
      <w:bCs/>
    </w:rPr>
  </w:style>
  <w:style w:type="paragraph" w:styleId="Subtitle">
    <w:name w:val="Subtitle"/>
    <w:basedOn w:val="Normal"/>
    <w:next w:val="Normal"/>
    <w:link w:val="SubtitleChar"/>
    <w:uiPriority w:val="11"/>
    <w:rsid w:val="00CA489E"/>
    <w:pPr>
      <w:numPr>
        <w:ilvl w:val="1"/>
      </w:numPr>
    </w:pPr>
    <w:rPr>
      <w:rFonts w:asciiTheme="majorHAnsi" w:eastAsiaTheme="majorEastAsia" w:hAnsiTheme="majorHAnsi" w:cstheme="majorBidi"/>
      <w:i/>
      <w:iCs/>
      <w:color w:val="2F002F" w:themeColor="accent1"/>
      <w:spacing w:val="15"/>
      <w:sz w:val="24"/>
      <w:szCs w:val="24"/>
    </w:rPr>
  </w:style>
  <w:style w:type="character" w:customStyle="1" w:styleId="SubtitleChar">
    <w:name w:val="Subtitle Char"/>
    <w:basedOn w:val="DefaultParagraphFont"/>
    <w:link w:val="Subtitle"/>
    <w:uiPriority w:val="11"/>
    <w:rsid w:val="00CA489E"/>
    <w:rPr>
      <w:rFonts w:asciiTheme="majorHAnsi" w:eastAsiaTheme="majorEastAsia" w:hAnsiTheme="majorHAnsi" w:cstheme="majorBidi"/>
      <w:i/>
      <w:iCs/>
      <w:color w:val="2F002F" w:themeColor="accent1"/>
      <w:spacing w:val="15"/>
      <w:sz w:val="24"/>
      <w:szCs w:val="24"/>
    </w:rPr>
  </w:style>
  <w:style w:type="table" w:styleId="LightShading-Accent4">
    <w:name w:val="Light Shading Accent 4"/>
    <w:basedOn w:val="TableNormal"/>
    <w:uiPriority w:val="60"/>
    <w:rsid w:val="00746E01"/>
    <w:pPr>
      <w:spacing w:before="0"/>
    </w:pPr>
    <w:rPr>
      <w:color w:val="8F0000" w:themeColor="accent4" w:themeShade="BF"/>
    </w:rPr>
    <w:tblPr>
      <w:tblStyleRowBandSize w:val="1"/>
      <w:tblStyleColBandSize w:val="1"/>
      <w:tblBorders>
        <w:top w:val="single" w:sz="8" w:space="0" w:color="C00000" w:themeColor="accent4"/>
        <w:bottom w:val="single" w:sz="8" w:space="0" w:color="C00000" w:themeColor="accent4"/>
      </w:tblBorders>
    </w:tblPr>
    <w:tblStylePr w:type="firstRow">
      <w:pPr>
        <w:spacing w:before="0" w:after="0" w:line="240" w:lineRule="auto"/>
      </w:pPr>
      <w:rPr>
        <w:b/>
        <w:bCs/>
      </w:rPr>
      <w:tblPr/>
      <w:tcPr>
        <w:tcBorders>
          <w:top w:val="single" w:sz="8" w:space="0" w:color="C00000" w:themeColor="accent4"/>
          <w:left w:val="nil"/>
          <w:bottom w:val="single" w:sz="8" w:space="0" w:color="C00000" w:themeColor="accent4"/>
          <w:right w:val="nil"/>
          <w:insideH w:val="nil"/>
          <w:insideV w:val="nil"/>
        </w:tcBorders>
      </w:tcPr>
    </w:tblStylePr>
    <w:tblStylePr w:type="lastRow">
      <w:pPr>
        <w:spacing w:before="0" w:after="0" w:line="240" w:lineRule="auto"/>
      </w:pPr>
      <w:rPr>
        <w:b/>
        <w:bCs/>
      </w:rPr>
      <w:tblPr/>
      <w:tcPr>
        <w:tcBorders>
          <w:top w:val="single" w:sz="8" w:space="0" w:color="C00000" w:themeColor="accent4"/>
          <w:left w:val="nil"/>
          <w:bottom w:val="single" w:sz="8" w:space="0" w:color="C00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4" w:themeFillTint="3F"/>
      </w:tcPr>
    </w:tblStylePr>
    <w:tblStylePr w:type="band1Horz">
      <w:tblPr/>
      <w:tcPr>
        <w:tcBorders>
          <w:left w:val="nil"/>
          <w:right w:val="nil"/>
          <w:insideH w:val="nil"/>
          <w:insideV w:val="nil"/>
        </w:tcBorders>
        <w:shd w:val="clear" w:color="auto" w:fill="FFB0B0" w:themeFill="accent4" w:themeFillTint="3F"/>
      </w:tcPr>
    </w:tblStylePr>
  </w:style>
  <w:style w:type="table" w:styleId="LightShading-Accent6">
    <w:name w:val="Light Shading Accent 6"/>
    <w:basedOn w:val="TableNormal"/>
    <w:uiPriority w:val="60"/>
    <w:rsid w:val="00746E01"/>
    <w:pPr>
      <w:spacing w:before="0"/>
    </w:pPr>
    <w:rPr>
      <w:color w:val="53242C" w:themeColor="accent6" w:themeShade="BF"/>
    </w:rPr>
    <w:tblPr>
      <w:tblStyleRowBandSize w:val="1"/>
      <w:tblStyleColBandSize w:val="1"/>
      <w:tblBorders>
        <w:top w:val="single" w:sz="8" w:space="0" w:color="70303C" w:themeColor="accent6"/>
        <w:bottom w:val="single" w:sz="8" w:space="0" w:color="70303C" w:themeColor="accent6"/>
      </w:tblBorders>
    </w:tblPr>
    <w:tblStylePr w:type="firstRow">
      <w:pPr>
        <w:spacing w:before="0" w:after="0" w:line="240" w:lineRule="auto"/>
      </w:pPr>
      <w:rPr>
        <w:b/>
        <w:bCs/>
      </w:rPr>
      <w:tblPr/>
      <w:tcPr>
        <w:tcBorders>
          <w:top w:val="single" w:sz="8" w:space="0" w:color="70303C" w:themeColor="accent6"/>
          <w:left w:val="nil"/>
          <w:bottom w:val="single" w:sz="8" w:space="0" w:color="70303C" w:themeColor="accent6"/>
          <w:right w:val="nil"/>
          <w:insideH w:val="nil"/>
          <w:insideV w:val="nil"/>
        </w:tcBorders>
      </w:tcPr>
    </w:tblStylePr>
    <w:tblStylePr w:type="lastRow">
      <w:pPr>
        <w:spacing w:before="0" w:after="0" w:line="240" w:lineRule="auto"/>
      </w:pPr>
      <w:rPr>
        <w:b/>
        <w:bCs/>
      </w:rPr>
      <w:tblPr/>
      <w:tcPr>
        <w:tcBorders>
          <w:top w:val="single" w:sz="8" w:space="0" w:color="70303C" w:themeColor="accent6"/>
          <w:left w:val="nil"/>
          <w:bottom w:val="single" w:sz="8" w:space="0" w:color="70303C"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C2C8" w:themeFill="accent6" w:themeFillTint="3F"/>
      </w:tcPr>
    </w:tblStylePr>
    <w:tblStylePr w:type="band1Horz">
      <w:tblPr/>
      <w:tcPr>
        <w:tcBorders>
          <w:left w:val="nil"/>
          <w:right w:val="nil"/>
          <w:insideH w:val="nil"/>
          <w:insideV w:val="nil"/>
        </w:tcBorders>
        <w:shd w:val="clear" w:color="auto" w:fill="E5C2C8" w:themeFill="accent6" w:themeFillTint="3F"/>
      </w:tcPr>
    </w:tblStylePr>
  </w:style>
  <w:style w:type="paragraph" w:styleId="TOC4">
    <w:name w:val="toc 4"/>
    <w:basedOn w:val="Normal"/>
    <w:next w:val="Normal"/>
    <w:rsid w:val="005D7BA2"/>
    <w:pPr>
      <w:tabs>
        <w:tab w:val="right" w:leader="dot" w:pos="8363"/>
      </w:tabs>
      <w:spacing w:after="100"/>
      <w:ind w:left="1276"/>
    </w:pPr>
    <w:rPr>
      <w:noProof/>
    </w:rPr>
  </w:style>
  <w:style w:type="paragraph" w:styleId="TOC5">
    <w:name w:val="toc 5"/>
    <w:basedOn w:val="Normal"/>
    <w:next w:val="Normal"/>
    <w:rsid w:val="005D7BA2"/>
    <w:pPr>
      <w:tabs>
        <w:tab w:val="right" w:leader="dot" w:pos="8363"/>
      </w:tabs>
      <w:spacing w:after="100"/>
      <w:ind w:left="1701"/>
    </w:pPr>
    <w:rPr>
      <w:noProof/>
    </w:rPr>
  </w:style>
  <w:style w:type="paragraph" w:styleId="TOC6">
    <w:name w:val="toc 6"/>
    <w:basedOn w:val="Normal"/>
    <w:next w:val="Normal"/>
    <w:rsid w:val="005D7BA2"/>
    <w:pPr>
      <w:tabs>
        <w:tab w:val="right" w:leader="dot" w:pos="8363"/>
      </w:tabs>
      <w:spacing w:after="100"/>
      <w:ind w:left="2126"/>
    </w:pPr>
    <w:rPr>
      <w:noProof/>
    </w:rPr>
  </w:style>
  <w:style w:type="paragraph" w:styleId="TOC7">
    <w:name w:val="toc 7"/>
    <w:basedOn w:val="Normal"/>
    <w:next w:val="Normal"/>
    <w:rsid w:val="005D7BA2"/>
    <w:pPr>
      <w:tabs>
        <w:tab w:val="right" w:leader="dot" w:pos="8363"/>
      </w:tabs>
      <w:spacing w:after="100"/>
      <w:ind w:left="2552"/>
    </w:pPr>
    <w:rPr>
      <w:noProof/>
    </w:rPr>
  </w:style>
  <w:style w:type="paragraph" w:styleId="Salutation">
    <w:name w:val="Salutation"/>
    <w:basedOn w:val="Normal"/>
    <w:next w:val="Normal"/>
    <w:link w:val="SalutationChar"/>
    <w:uiPriority w:val="99"/>
    <w:unhideWhenUsed/>
    <w:rsid w:val="00CA489E"/>
  </w:style>
  <w:style w:type="table" w:customStyle="1" w:styleId="LightShading1">
    <w:name w:val="Light Shading1"/>
    <w:basedOn w:val="TableNormal"/>
    <w:next w:val="LightShading"/>
    <w:uiPriority w:val="60"/>
    <w:rsid w:val="00C53B5A"/>
    <w:pPr>
      <w:spacing w:before="120" w:after="120"/>
    </w:pPr>
    <w:rPr>
      <w:color w:val="054E6D" w:themeColor="text1" w:themeShade="BF"/>
      <w:sz w:val="20"/>
    </w:rPr>
    <w:tblPr>
      <w:tblBorders>
        <w:top w:val="single" w:sz="4" w:space="0" w:color="FFFFFF" w:themeColor="background2"/>
        <w:bottom w:val="single" w:sz="4" w:space="0" w:color="FFFFFF" w:themeColor="background2"/>
        <w:insideH w:val="single" w:sz="4" w:space="0" w:color="FFFFFF" w:themeColor="background2"/>
      </w:tblBorders>
    </w:tblPr>
    <w:tcPr>
      <w:shd w:val="clear" w:color="auto" w:fill="auto"/>
    </w:tcPr>
    <w:tblStylePr w:type="firstRow">
      <w:pPr>
        <w:wordWrap/>
        <w:spacing w:beforeLines="0" w:before="120" w:beforeAutospacing="0" w:afterLines="0" w:after="120" w:afterAutospacing="0" w:line="240" w:lineRule="auto"/>
      </w:pPr>
      <w:rPr>
        <w:rFonts w:ascii="Arial" w:hAnsi="Arial"/>
        <w:b/>
        <w:bCs/>
        <w:sz w:val="20"/>
      </w:rPr>
      <w:tblPr/>
      <w:tcPr>
        <w:tcBorders>
          <w:top w:val="single" w:sz="8" w:space="0" w:color="076A92" w:themeColor="text1"/>
          <w:left w:val="nil"/>
          <w:bottom w:val="single" w:sz="8" w:space="0" w:color="076A92" w:themeColor="text1"/>
          <w:right w:val="nil"/>
          <w:insideH w:val="nil"/>
          <w:insideV w:val="nil"/>
        </w:tcBorders>
        <w:shd w:val="clear" w:color="auto" w:fill="auto"/>
      </w:tcPr>
    </w:tblStylePr>
    <w:tblStylePr w:type="lastRow">
      <w:pPr>
        <w:wordWrap/>
        <w:spacing w:beforeLines="0" w:before="120" w:beforeAutospacing="0" w:afterLines="0" w:after="120" w:afterAutospacing="0" w:line="240" w:lineRule="auto"/>
      </w:pPr>
      <w:rPr>
        <w:rFonts w:ascii="Arial" w:hAnsi="Arial"/>
        <w:b/>
        <w:bCs/>
        <w:sz w:val="20"/>
      </w:rPr>
      <w:tblPr/>
      <w:tcPr>
        <w:tcBorders>
          <w:top w:val="single" w:sz="8" w:space="0" w:color="076A92" w:themeColor="text1"/>
          <w:left w:val="nil"/>
          <w:bottom w:val="single" w:sz="8" w:space="0" w:color="076A92" w:themeColor="text1"/>
          <w:right w:val="nil"/>
          <w:insideH w:val="nil"/>
          <w:insideV w:val="nil"/>
        </w:tcBorders>
        <w:vAlign w:val="center"/>
      </w:tcPr>
    </w:tblStylePr>
    <w:tblStylePr w:type="firstCol">
      <w:rPr>
        <w:b/>
        <w:bCs/>
        <w:sz w:val="20"/>
      </w:rPr>
    </w:tblStylePr>
    <w:tblStylePr w:type="lastCol">
      <w:rPr>
        <w:b/>
        <w:bCs/>
      </w:rPr>
    </w:tblStylePr>
  </w:style>
  <w:style w:type="table" w:styleId="LightList-Accent2">
    <w:name w:val="Light List Accent 2"/>
    <w:basedOn w:val="TableNormal"/>
    <w:uiPriority w:val="61"/>
    <w:rsid w:val="009661DE"/>
    <w:pPr>
      <w:spacing w:before="0"/>
    </w:pPr>
    <w:tblPr>
      <w:tblStyleRowBandSize w:val="1"/>
      <w:tblStyleColBandSize w:val="1"/>
      <w:tblBorders>
        <w:top w:val="single" w:sz="8" w:space="0" w:color="C14E00" w:themeColor="accent2"/>
        <w:left w:val="single" w:sz="8" w:space="0" w:color="C14E00" w:themeColor="accent2"/>
        <w:bottom w:val="single" w:sz="8" w:space="0" w:color="C14E00" w:themeColor="accent2"/>
        <w:right w:val="single" w:sz="8" w:space="0" w:color="C14E00" w:themeColor="accent2"/>
      </w:tblBorders>
    </w:tblPr>
    <w:tblStylePr w:type="firstRow">
      <w:pPr>
        <w:spacing w:before="0" w:after="0" w:line="240" w:lineRule="auto"/>
      </w:pPr>
      <w:rPr>
        <w:b/>
        <w:bCs/>
        <w:color w:val="FFFFFF" w:themeColor="background1"/>
      </w:rPr>
      <w:tblPr/>
      <w:tcPr>
        <w:shd w:val="clear" w:color="auto" w:fill="C14E00" w:themeFill="accent2"/>
      </w:tcPr>
    </w:tblStylePr>
    <w:tblStylePr w:type="lastRow">
      <w:pPr>
        <w:spacing w:before="0" w:after="0" w:line="240" w:lineRule="auto"/>
      </w:pPr>
      <w:rPr>
        <w:b/>
        <w:bCs/>
      </w:rPr>
      <w:tblPr/>
      <w:tcPr>
        <w:tcBorders>
          <w:top w:val="double" w:sz="6" w:space="0" w:color="C14E00" w:themeColor="accent2"/>
          <w:left w:val="single" w:sz="8" w:space="0" w:color="C14E00" w:themeColor="accent2"/>
          <w:bottom w:val="single" w:sz="8" w:space="0" w:color="C14E00" w:themeColor="accent2"/>
          <w:right w:val="single" w:sz="8" w:space="0" w:color="C14E00" w:themeColor="accent2"/>
        </w:tcBorders>
      </w:tcPr>
    </w:tblStylePr>
    <w:tblStylePr w:type="firstCol">
      <w:rPr>
        <w:b/>
        <w:bCs/>
      </w:rPr>
    </w:tblStylePr>
    <w:tblStylePr w:type="lastCol">
      <w:rPr>
        <w:b/>
        <w:bCs/>
      </w:rPr>
    </w:tblStylePr>
    <w:tblStylePr w:type="band1Vert">
      <w:tblPr/>
      <w:tcPr>
        <w:tcBorders>
          <w:top w:val="single" w:sz="8" w:space="0" w:color="C14E00" w:themeColor="accent2"/>
          <w:left w:val="single" w:sz="8" w:space="0" w:color="C14E00" w:themeColor="accent2"/>
          <w:bottom w:val="single" w:sz="8" w:space="0" w:color="C14E00" w:themeColor="accent2"/>
          <w:right w:val="single" w:sz="8" w:space="0" w:color="C14E00" w:themeColor="accent2"/>
        </w:tcBorders>
      </w:tcPr>
    </w:tblStylePr>
    <w:tblStylePr w:type="band1Horz">
      <w:tblPr/>
      <w:tcPr>
        <w:tcBorders>
          <w:top w:val="single" w:sz="8" w:space="0" w:color="C14E00" w:themeColor="accent2"/>
          <w:left w:val="single" w:sz="8" w:space="0" w:color="C14E00" w:themeColor="accent2"/>
          <w:bottom w:val="single" w:sz="8" w:space="0" w:color="C14E00" w:themeColor="accent2"/>
          <w:right w:val="single" w:sz="8" w:space="0" w:color="C14E00" w:themeColor="accent2"/>
        </w:tcBorders>
      </w:tcPr>
    </w:tblStylePr>
  </w:style>
  <w:style w:type="table" w:styleId="LightList-Accent4">
    <w:name w:val="Light List Accent 4"/>
    <w:basedOn w:val="TableNormal"/>
    <w:uiPriority w:val="61"/>
    <w:rsid w:val="009661DE"/>
    <w:pPr>
      <w:spacing w:before="0"/>
    </w:pPr>
    <w:tblPr>
      <w:tblStyleRowBandSize w:val="1"/>
      <w:tblStyleColBandSize w:val="1"/>
      <w:tblBorders>
        <w:top w:val="single" w:sz="8" w:space="0" w:color="C00000" w:themeColor="accent4"/>
        <w:left w:val="single" w:sz="8" w:space="0" w:color="C00000" w:themeColor="accent4"/>
        <w:bottom w:val="single" w:sz="8" w:space="0" w:color="C00000" w:themeColor="accent4"/>
        <w:right w:val="single" w:sz="8" w:space="0" w:color="C00000" w:themeColor="accent4"/>
      </w:tblBorders>
    </w:tblPr>
    <w:tblStylePr w:type="firstRow">
      <w:pPr>
        <w:spacing w:before="0" w:after="0" w:line="240" w:lineRule="auto"/>
      </w:pPr>
      <w:rPr>
        <w:b/>
        <w:bCs/>
        <w:color w:val="FFFFFF" w:themeColor="background1"/>
      </w:rPr>
      <w:tblPr/>
      <w:tcPr>
        <w:shd w:val="clear" w:color="auto" w:fill="C00000" w:themeFill="accent4"/>
      </w:tcPr>
    </w:tblStylePr>
    <w:tblStylePr w:type="lastRow">
      <w:pPr>
        <w:spacing w:before="0" w:after="0" w:line="240" w:lineRule="auto"/>
      </w:pPr>
      <w:rPr>
        <w:b/>
        <w:bCs/>
      </w:rPr>
      <w:tblPr/>
      <w:tcPr>
        <w:tcBorders>
          <w:top w:val="double" w:sz="6" w:space="0" w:color="C00000" w:themeColor="accent4"/>
          <w:left w:val="single" w:sz="8" w:space="0" w:color="C00000" w:themeColor="accent4"/>
          <w:bottom w:val="single" w:sz="8" w:space="0" w:color="C00000" w:themeColor="accent4"/>
          <w:right w:val="single" w:sz="8" w:space="0" w:color="C00000" w:themeColor="accent4"/>
        </w:tcBorders>
      </w:tcPr>
    </w:tblStylePr>
    <w:tblStylePr w:type="firstCol">
      <w:rPr>
        <w:b/>
        <w:bCs/>
      </w:rPr>
    </w:tblStylePr>
    <w:tblStylePr w:type="lastCol">
      <w:rPr>
        <w:b/>
        <w:bCs/>
      </w:rPr>
    </w:tblStylePr>
    <w:tblStylePr w:type="band1Vert">
      <w:tblPr/>
      <w:tcPr>
        <w:tcBorders>
          <w:top w:val="single" w:sz="8" w:space="0" w:color="C00000" w:themeColor="accent4"/>
          <w:left w:val="single" w:sz="8" w:space="0" w:color="C00000" w:themeColor="accent4"/>
          <w:bottom w:val="single" w:sz="8" w:space="0" w:color="C00000" w:themeColor="accent4"/>
          <w:right w:val="single" w:sz="8" w:space="0" w:color="C00000" w:themeColor="accent4"/>
        </w:tcBorders>
      </w:tcPr>
    </w:tblStylePr>
    <w:tblStylePr w:type="band1Horz">
      <w:tblPr/>
      <w:tcPr>
        <w:tcBorders>
          <w:top w:val="single" w:sz="8" w:space="0" w:color="C00000" w:themeColor="accent4"/>
          <w:left w:val="single" w:sz="8" w:space="0" w:color="C00000" w:themeColor="accent4"/>
          <w:bottom w:val="single" w:sz="8" w:space="0" w:color="C00000" w:themeColor="accent4"/>
          <w:right w:val="single" w:sz="8" w:space="0" w:color="C00000" w:themeColor="accent4"/>
        </w:tcBorders>
      </w:tcPr>
    </w:tblStylePr>
  </w:style>
  <w:style w:type="table" w:styleId="LightList-Accent6">
    <w:name w:val="Light List Accent 6"/>
    <w:basedOn w:val="TableNormal"/>
    <w:uiPriority w:val="61"/>
    <w:rsid w:val="009661DE"/>
    <w:pPr>
      <w:spacing w:before="0"/>
    </w:pPr>
    <w:tblPr>
      <w:tblStyleRowBandSize w:val="1"/>
      <w:tblStyleColBandSize w:val="1"/>
      <w:tblBorders>
        <w:top w:val="single" w:sz="8" w:space="0" w:color="70303C" w:themeColor="accent6"/>
        <w:left w:val="single" w:sz="8" w:space="0" w:color="70303C" w:themeColor="accent6"/>
        <w:bottom w:val="single" w:sz="8" w:space="0" w:color="70303C" w:themeColor="accent6"/>
        <w:right w:val="single" w:sz="8" w:space="0" w:color="70303C" w:themeColor="accent6"/>
      </w:tblBorders>
    </w:tblPr>
    <w:tblStylePr w:type="firstRow">
      <w:pPr>
        <w:spacing w:before="0" w:after="0" w:line="240" w:lineRule="auto"/>
      </w:pPr>
      <w:rPr>
        <w:b/>
        <w:bCs/>
        <w:color w:val="FFFFFF" w:themeColor="background1"/>
      </w:rPr>
      <w:tblPr/>
      <w:tcPr>
        <w:shd w:val="clear" w:color="auto" w:fill="70303C" w:themeFill="accent6"/>
      </w:tcPr>
    </w:tblStylePr>
    <w:tblStylePr w:type="lastRow">
      <w:pPr>
        <w:spacing w:before="0" w:after="0" w:line="240" w:lineRule="auto"/>
      </w:pPr>
      <w:rPr>
        <w:b/>
        <w:bCs/>
      </w:rPr>
      <w:tblPr/>
      <w:tcPr>
        <w:tcBorders>
          <w:top w:val="double" w:sz="6" w:space="0" w:color="70303C" w:themeColor="accent6"/>
          <w:left w:val="single" w:sz="8" w:space="0" w:color="70303C" w:themeColor="accent6"/>
          <w:bottom w:val="single" w:sz="8" w:space="0" w:color="70303C" w:themeColor="accent6"/>
          <w:right w:val="single" w:sz="8" w:space="0" w:color="70303C" w:themeColor="accent6"/>
        </w:tcBorders>
      </w:tcPr>
    </w:tblStylePr>
    <w:tblStylePr w:type="firstCol">
      <w:rPr>
        <w:b/>
        <w:bCs/>
      </w:rPr>
    </w:tblStylePr>
    <w:tblStylePr w:type="lastCol">
      <w:rPr>
        <w:b/>
        <w:bCs/>
      </w:rPr>
    </w:tblStylePr>
    <w:tblStylePr w:type="band1Vert">
      <w:tblPr/>
      <w:tcPr>
        <w:tcBorders>
          <w:top w:val="single" w:sz="8" w:space="0" w:color="70303C" w:themeColor="accent6"/>
          <w:left w:val="single" w:sz="8" w:space="0" w:color="70303C" w:themeColor="accent6"/>
          <w:bottom w:val="single" w:sz="8" w:space="0" w:color="70303C" w:themeColor="accent6"/>
          <w:right w:val="single" w:sz="8" w:space="0" w:color="70303C" w:themeColor="accent6"/>
        </w:tcBorders>
      </w:tcPr>
    </w:tblStylePr>
    <w:tblStylePr w:type="band1Horz">
      <w:tblPr/>
      <w:tcPr>
        <w:tcBorders>
          <w:top w:val="single" w:sz="8" w:space="0" w:color="70303C" w:themeColor="accent6"/>
          <w:left w:val="single" w:sz="8" w:space="0" w:color="70303C" w:themeColor="accent6"/>
          <w:bottom w:val="single" w:sz="8" w:space="0" w:color="70303C" w:themeColor="accent6"/>
          <w:right w:val="single" w:sz="8" w:space="0" w:color="70303C" w:themeColor="accent6"/>
        </w:tcBorders>
      </w:tcPr>
    </w:tblStylePr>
  </w:style>
  <w:style w:type="table" w:styleId="LightGrid">
    <w:name w:val="Light Grid"/>
    <w:basedOn w:val="TableNormal"/>
    <w:uiPriority w:val="62"/>
    <w:rsid w:val="009661DE"/>
    <w:pPr>
      <w:spacing w:before="0"/>
    </w:pPr>
    <w:tblPr>
      <w:tblStyleRowBandSize w:val="1"/>
      <w:tblStyleColBandSize w:val="1"/>
      <w:tblBorders>
        <w:top w:val="single" w:sz="8" w:space="0" w:color="076A92" w:themeColor="text1"/>
        <w:left w:val="single" w:sz="8" w:space="0" w:color="076A92" w:themeColor="text1"/>
        <w:bottom w:val="single" w:sz="8" w:space="0" w:color="076A92" w:themeColor="text1"/>
        <w:right w:val="single" w:sz="8" w:space="0" w:color="076A92" w:themeColor="text1"/>
        <w:insideH w:val="single" w:sz="8" w:space="0" w:color="076A92" w:themeColor="text1"/>
        <w:insideV w:val="single" w:sz="8" w:space="0" w:color="076A92"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76A92" w:themeColor="text1"/>
          <w:left w:val="single" w:sz="8" w:space="0" w:color="076A92" w:themeColor="text1"/>
          <w:bottom w:val="single" w:sz="18" w:space="0" w:color="076A92" w:themeColor="text1"/>
          <w:right w:val="single" w:sz="8" w:space="0" w:color="076A92" w:themeColor="text1"/>
          <w:insideH w:val="nil"/>
          <w:insideV w:val="single" w:sz="8" w:space="0" w:color="076A92"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76A92" w:themeColor="text1"/>
          <w:left w:val="single" w:sz="8" w:space="0" w:color="076A92" w:themeColor="text1"/>
          <w:bottom w:val="single" w:sz="8" w:space="0" w:color="076A92" w:themeColor="text1"/>
          <w:right w:val="single" w:sz="8" w:space="0" w:color="076A92" w:themeColor="text1"/>
          <w:insideH w:val="nil"/>
          <w:insideV w:val="single" w:sz="8" w:space="0" w:color="076A92"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76A92" w:themeColor="text1"/>
          <w:left w:val="single" w:sz="8" w:space="0" w:color="076A92" w:themeColor="text1"/>
          <w:bottom w:val="single" w:sz="8" w:space="0" w:color="076A92" w:themeColor="text1"/>
          <w:right w:val="single" w:sz="8" w:space="0" w:color="076A92" w:themeColor="text1"/>
        </w:tcBorders>
      </w:tcPr>
    </w:tblStylePr>
    <w:tblStylePr w:type="band1Vert">
      <w:tblPr/>
      <w:tcPr>
        <w:tcBorders>
          <w:top w:val="single" w:sz="8" w:space="0" w:color="076A92" w:themeColor="text1"/>
          <w:left w:val="single" w:sz="8" w:space="0" w:color="076A92" w:themeColor="text1"/>
          <w:bottom w:val="single" w:sz="8" w:space="0" w:color="076A92" w:themeColor="text1"/>
          <w:right w:val="single" w:sz="8" w:space="0" w:color="076A92" w:themeColor="text1"/>
        </w:tcBorders>
        <w:shd w:val="clear" w:color="auto" w:fill="AAE3FB" w:themeFill="text1" w:themeFillTint="3F"/>
      </w:tcPr>
    </w:tblStylePr>
    <w:tblStylePr w:type="band1Horz">
      <w:tblPr/>
      <w:tcPr>
        <w:tcBorders>
          <w:top w:val="single" w:sz="8" w:space="0" w:color="076A92" w:themeColor="text1"/>
          <w:left w:val="single" w:sz="8" w:space="0" w:color="076A92" w:themeColor="text1"/>
          <w:bottom w:val="single" w:sz="8" w:space="0" w:color="076A92" w:themeColor="text1"/>
          <w:right w:val="single" w:sz="8" w:space="0" w:color="076A92" w:themeColor="text1"/>
          <w:insideV w:val="single" w:sz="8" w:space="0" w:color="076A92" w:themeColor="text1"/>
        </w:tcBorders>
        <w:shd w:val="clear" w:color="auto" w:fill="AAE3FB" w:themeFill="text1" w:themeFillTint="3F"/>
      </w:tcPr>
    </w:tblStylePr>
    <w:tblStylePr w:type="band2Horz">
      <w:tblPr/>
      <w:tcPr>
        <w:tcBorders>
          <w:top w:val="single" w:sz="8" w:space="0" w:color="076A92" w:themeColor="text1"/>
          <w:left w:val="single" w:sz="8" w:space="0" w:color="076A92" w:themeColor="text1"/>
          <w:bottom w:val="single" w:sz="8" w:space="0" w:color="076A92" w:themeColor="text1"/>
          <w:right w:val="single" w:sz="8" w:space="0" w:color="076A92" w:themeColor="text1"/>
          <w:insideV w:val="single" w:sz="8" w:space="0" w:color="076A92" w:themeColor="text1"/>
        </w:tcBorders>
      </w:tcPr>
    </w:tblStylePr>
  </w:style>
  <w:style w:type="table" w:styleId="LightGrid-Accent1">
    <w:name w:val="Light Grid Accent 1"/>
    <w:basedOn w:val="TableNormal"/>
    <w:uiPriority w:val="62"/>
    <w:rsid w:val="009661DE"/>
    <w:pPr>
      <w:spacing w:before="0"/>
    </w:pPr>
    <w:tblPr>
      <w:tblStyleRowBandSize w:val="1"/>
      <w:tblStyleColBandSize w:val="1"/>
      <w:tblBorders>
        <w:top w:val="single" w:sz="8" w:space="0" w:color="2F002F" w:themeColor="accent1"/>
        <w:left w:val="single" w:sz="8" w:space="0" w:color="2F002F" w:themeColor="accent1"/>
        <w:bottom w:val="single" w:sz="8" w:space="0" w:color="2F002F" w:themeColor="accent1"/>
        <w:right w:val="single" w:sz="8" w:space="0" w:color="2F002F" w:themeColor="accent1"/>
        <w:insideH w:val="single" w:sz="8" w:space="0" w:color="2F002F" w:themeColor="accent1"/>
        <w:insideV w:val="single" w:sz="8" w:space="0" w:color="2F002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F002F" w:themeColor="accent1"/>
          <w:left w:val="single" w:sz="8" w:space="0" w:color="2F002F" w:themeColor="accent1"/>
          <w:bottom w:val="single" w:sz="18" w:space="0" w:color="2F002F" w:themeColor="accent1"/>
          <w:right w:val="single" w:sz="8" w:space="0" w:color="2F002F" w:themeColor="accent1"/>
          <w:insideH w:val="nil"/>
          <w:insideV w:val="single" w:sz="8" w:space="0" w:color="2F002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F002F" w:themeColor="accent1"/>
          <w:left w:val="single" w:sz="8" w:space="0" w:color="2F002F" w:themeColor="accent1"/>
          <w:bottom w:val="single" w:sz="8" w:space="0" w:color="2F002F" w:themeColor="accent1"/>
          <w:right w:val="single" w:sz="8" w:space="0" w:color="2F002F" w:themeColor="accent1"/>
          <w:insideH w:val="nil"/>
          <w:insideV w:val="single" w:sz="8" w:space="0" w:color="2F002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F002F" w:themeColor="accent1"/>
          <w:left w:val="single" w:sz="8" w:space="0" w:color="2F002F" w:themeColor="accent1"/>
          <w:bottom w:val="single" w:sz="8" w:space="0" w:color="2F002F" w:themeColor="accent1"/>
          <w:right w:val="single" w:sz="8" w:space="0" w:color="2F002F" w:themeColor="accent1"/>
        </w:tcBorders>
      </w:tcPr>
    </w:tblStylePr>
    <w:tblStylePr w:type="band1Vert">
      <w:tblPr/>
      <w:tcPr>
        <w:tcBorders>
          <w:top w:val="single" w:sz="8" w:space="0" w:color="2F002F" w:themeColor="accent1"/>
          <w:left w:val="single" w:sz="8" w:space="0" w:color="2F002F" w:themeColor="accent1"/>
          <w:bottom w:val="single" w:sz="8" w:space="0" w:color="2F002F" w:themeColor="accent1"/>
          <w:right w:val="single" w:sz="8" w:space="0" w:color="2F002F" w:themeColor="accent1"/>
        </w:tcBorders>
        <w:shd w:val="clear" w:color="auto" w:fill="FF8CFF" w:themeFill="accent1" w:themeFillTint="3F"/>
      </w:tcPr>
    </w:tblStylePr>
    <w:tblStylePr w:type="band1Horz">
      <w:tblPr/>
      <w:tcPr>
        <w:tcBorders>
          <w:top w:val="single" w:sz="8" w:space="0" w:color="2F002F" w:themeColor="accent1"/>
          <w:left w:val="single" w:sz="8" w:space="0" w:color="2F002F" w:themeColor="accent1"/>
          <w:bottom w:val="single" w:sz="8" w:space="0" w:color="2F002F" w:themeColor="accent1"/>
          <w:right w:val="single" w:sz="8" w:space="0" w:color="2F002F" w:themeColor="accent1"/>
          <w:insideV w:val="single" w:sz="8" w:space="0" w:color="2F002F" w:themeColor="accent1"/>
        </w:tcBorders>
        <w:shd w:val="clear" w:color="auto" w:fill="FF8CFF" w:themeFill="accent1" w:themeFillTint="3F"/>
      </w:tcPr>
    </w:tblStylePr>
    <w:tblStylePr w:type="band2Horz">
      <w:tblPr/>
      <w:tcPr>
        <w:tcBorders>
          <w:top w:val="single" w:sz="8" w:space="0" w:color="2F002F" w:themeColor="accent1"/>
          <w:left w:val="single" w:sz="8" w:space="0" w:color="2F002F" w:themeColor="accent1"/>
          <w:bottom w:val="single" w:sz="8" w:space="0" w:color="2F002F" w:themeColor="accent1"/>
          <w:right w:val="single" w:sz="8" w:space="0" w:color="2F002F" w:themeColor="accent1"/>
          <w:insideV w:val="single" w:sz="8" w:space="0" w:color="2F002F" w:themeColor="accent1"/>
        </w:tcBorders>
      </w:tcPr>
    </w:tblStylePr>
  </w:style>
  <w:style w:type="table" w:styleId="LightGrid-Accent2">
    <w:name w:val="Light Grid Accent 2"/>
    <w:basedOn w:val="TableNormal"/>
    <w:uiPriority w:val="62"/>
    <w:rsid w:val="009661DE"/>
    <w:pPr>
      <w:spacing w:before="0"/>
    </w:pPr>
    <w:tblPr>
      <w:tblStyleRowBandSize w:val="1"/>
      <w:tblStyleColBandSize w:val="1"/>
      <w:tblBorders>
        <w:top w:val="single" w:sz="8" w:space="0" w:color="C14E00" w:themeColor="accent2"/>
        <w:left w:val="single" w:sz="8" w:space="0" w:color="C14E00" w:themeColor="accent2"/>
        <w:bottom w:val="single" w:sz="8" w:space="0" w:color="C14E00" w:themeColor="accent2"/>
        <w:right w:val="single" w:sz="8" w:space="0" w:color="C14E00" w:themeColor="accent2"/>
        <w:insideH w:val="single" w:sz="8" w:space="0" w:color="C14E00" w:themeColor="accent2"/>
        <w:insideV w:val="single" w:sz="8" w:space="0" w:color="C14E0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14E00" w:themeColor="accent2"/>
          <w:left w:val="single" w:sz="8" w:space="0" w:color="C14E00" w:themeColor="accent2"/>
          <w:bottom w:val="single" w:sz="18" w:space="0" w:color="C14E00" w:themeColor="accent2"/>
          <w:right w:val="single" w:sz="8" w:space="0" w:color="C14E00" w:themeColor="accent2"/>
          <w:insideH w:val="nil"/>
          <w:insideV w:val="single" w:sz="8" w:space="0" w:color="C14E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14E00" w:themeColor="accent2"/>
          <w:left w:val="single" w:sz="8" w:space="0" w:color="C14E00" w:themeColor="accent2"/>
          <w:bottom w:val="single" w:sz="8" w:space="0" w:color="C14E00" w:themeColor="accent2"/>
          <w:right w:val="single" w:sz="8" w:space="0" w:color="C14E00" w:themeColor="accent2"/>
          <w:insideH w:val="nil"/>
          <w:insideV w:val="single" w:sz="8" w:space="0" w:color="C14E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14E00" w:themeColor="accent2"/>
          <w:left w:val="single" w:sz="8" w:space="0" w:color="C14E00" w:themeColor="accent2"/>
          <w:bottom w:val="single" w:sz="8" w:space="0" w:color="C14E00" w:themeColor="accent2"/>
          <w:right w:val="single" w:sz="8" w:space="0" w:color="C14E00" w:themeColor="accent2"/>
        </w:tcBorders>
      </w:tcPr>
    </w:tblStylePr>
    <w:tblStylePr w:type="band1Vert">
      <w:tblPr/>
      <w:tcPr>
        <w:tcBorders>
          <w:top w:val="single" w:sz="8" w:space="0" w:color="C14E00" w:themeColor="accent2"/>
          <w:left w:val="single" w:sz="8" w:space="0" w:color="C14E00" w:themeColor="accent2"/>
          <w:bottom w:val="single" w:sz="8" w:space="0" w:color="C14E00" w:themeColor="accent2"/>
          <w:right w:val="single" w:sz="8" w:space="0" w:color="C14E00" w:themeColor="accent2"/>
        </w:tcBorders>
        <w:shd w:val="clear" w:color="auto" w:fill="FFD0B0" w:themeFill="accent2" w:themeFillTint="3F"/>
      </w:tcPr>
    </w:tblStylePr>
    <w:tblStylePr w:type="band1Horz">
      <w:tblPr/>
      <w:tcPr>
        <w:tcBorders>
          <w:top w:val="single" w:sz="8" w:space="0" w:color="C14E00" w:themeColor="accent2"/>
          <w:left w:val="single" w:sz="8" w:space="0" w:color="C14E00" w:themeColor="accent2"/>
          <w:bottom w:val="single" w:sz="8" w:space="0" w:color="C14E00" w:themeColor="accent2"/>
          <w:right w:val="single" w:sz="8" w:space="0" w:color="C14E00" w:themeColor="accent2"/>
          <w:insideV w:val="single" w:sz="8" w:space="0" w:color="C14E00" w:themeColor="accent2"/>
        </w:tcBorders>
        <w:shd w:val="clear" w:color="auto" w:fill="FFD0B0" w:themeFill="accent2" w:themeFillTint="3F"/>
      </w:tcPr>
    </w:tblStylePr>
    <w:tblStylePr w:type="band2Horz">
      <w:tblPr/>
      <w:tcPr>
        <w:tcBorders>
          <w:top w:val="single" w:sz="8" w:space="0" w:color="C14E00" w:themeColor="accent2"/>
          <w:left w:val="single" w:sz="8" w:space="0" w:color="C14E00" w:themeColor="accent2"/>
          <w:bottom w:val="single" w:sz="8" w:space="0" w:color="C14E00" w:themeColor="accent2"/>
          <w:right w:val="single" w:sz="8" w:space="0" w:color="C14E00" w:themeColor="accent2"/>
          <w:insideV w:val="single" w:sz="8" w:space="0" w:color="C14E00" w:themeColor="accent2"/>
        </w:tcBorders>
      </w:tcPr>
    </w:tblStylePr>
  </w:style>
  <w:style w:type="table" w:styleId="LightGrid-Accent4">
    <w:name w:val="Light Grid Accent 4"/>
    <w:basedOn w:val="TableNormal"/>
    <w:uiPriority w:val="62"/>
    <w:rsid w:val="009661DE"/>
    <w:pPr>
      <w:spacing w:before="0"/>
    </w:pPr>
    <w:tblPr>
      <w:tblStyleRowBandSize w:val="1"/>
      <w:tblStyleColBandSize w:val="1"/>
      <w:tblBorders>
        <w:top w:val="single" w:sz="8" w:space="0" w:color="C00000" w:themeColor="accent4"/>
        <w:left w:val="single" w:sz="8" w:space="0" w:color="C00000" w:themeColor="accent4"/>
        <w:bottom w:val="single" w:sz="8" w:space="0" w:color="C00000" w:themeColor="accent4"/>
        <w:right w:val="single" w:sz="8" w:space="0" w:color="C00000" w:themeColor="accent4"/>
        <w:insideH w:val="single" w:sz="8" w:space="0" w:color="C00000" w:themeColor="accent4"/>
        <w:insideV w:val="single" w:sz="8" w:space="0" w:color="C00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4"/>
          <w:left w:val="single" w:sz="8" w:space="0" w:color="C00000" w:themeColor="accent4"/>
          <w:bottom w:val="single" w:sz="18" w:space="0" w:color="C00000" w:themeColor="accent4"/>
          <w:right w:val="single" w:sz="8" w:space="0" w:color="C00000" w:themeColor="accent4"/>
          <w:insideH w:val="nil"/>
          <w:insideV w:val="single" w:sz="8" w:space="0" w:color="C00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4"/>
          <w:left w:val="single" w:sz="8" w:space="0" w:color="C00000" w:themeColor="accent4"/>
          <w:bottom w:val="single" w:sz="8" w:space="0" w:color="C00000" w:themeColor="accent4"/>
          <w:right w:val="single" w:sz="8" w:space="0" w:color="C00000" w:themeColor="accent4"/>
          <w:insideH w:val="nil"/>
          <w:insideV w:val="single" w:sz="8" w:space="0" w:color="C00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4"/>
          <w:left w:val="single" w:sz="8" w:space="0" w:color="C00000" w:themeColor="accent4"/>
          <w:bottom w:val="single" w:sz="8" w:space="0" w:color="C00000" w:themeColor="accent4"/>
          <w:right w:val="single" w:sz="8" w:space="0" w:color="C00000" w:themeColor="accent4"/>
        </w:tcBorders>
      </w:tcPr>
    </w:tblStylePr>
    <w:tblStylePr w:type="band1Vert">
      <w:tblPr/>
      <w:tcPr>
        <w:tcBorders>
          <w:top w:val="single" w:sz="8" w:space="0" w:color="C00000" w:themeColor="accent4"/>
          <w:left w:val="single" w:sz="8" w:space="0" w:color="C00000" w:themeColor="accent4"/>
          <w:bottom w:val="single" w:sz="8" w:space="0" w:color="C00000" w:themeColor="accent4"/>
          <w:right w:val="single" w:sz="8" w:space="0" w:color="C00000" w:themeColor="accent4"/>
        </w:tcBorders>
        <w:shd w:val="clear" w:color="auto" w:fill="FFB0B0" w:themeFill="accent4" w:themeFillTint="3F"/>
      </w:tcPr>
    </w:tblStylePr>
    <w:tblStylePr w:type="band1Horz">
      <w:tblPr/>
      <w:tcPr>
        <w:tcBorders>
          <w:top w:val="single" w:sz="8" w:space="0" w:color="C00000" w:themeColor="accent4"/>
          <w:left w:val="single" w:sz="8" w:space="0" w:color="C00000" w:themeColor="accent4"/>
          <w:bottom w:val="single" w:sz="8" w:space="0" w:color="C00000" w:themeColor="accent4"/>
          <w:right w:val="single" w:sz="8" w:space="0" w:color="C00000" w:themeColor="accent4"/>
          <w:insideV w:val="single" w:sz="8" w:space="0" w:color="C00000" w:themeColor="accent4"/>
        </w:tcBorders>
        <w:shd w:val="clear" w:color="auto" w:fill="FFB0B0" w:themeFill="accent4" w:themeFillTint="3F"/>
      </w:tcPr>
    </w:tblStylePr>
    <w:tblStylePr w:type="band2Horz">
      <w:tblPr/>
      <w:tcPr>
        <w:tcBorders>
          <w:top w:val="single" w:sz="8" w:space="0" w:color="C00000" w:themeColor="accent4"/>
          <w:left w:val="single" w:sz="8" w:space="0" w:color="C00000" w:themeColor="accent4"/>
          <w:bottom w:val="single" w:sz="8" w:space="0" w:color="C00000" w:themeColor="accent4"/>
          <w:right w:val="single" w:sz="8" w:space="0" w:color="C00000" w:themeColor="accent4"/>
          <w:insideV w:val="single" w:sz="8" w:space="0" w:color="C00000" w:themeColor="accent4"/>
        </w:tcBorders>
      </w:tcPr>
    </w:tblStylePr>
  </w:style>
  <w:style w:type="table" w:styleId="LightGrid-Accent5">
    <w:name w:val="Light Grid Accent 5"/>
    <w:basedOn w:val="TableNormal"/>
    <w:uiPriority w:val="62"/>
    <w:rsid w:val="009661DE"/>
    <w:pPr>
      <w:spacing w:before="0"/>
    </w:pPr>
    <w:tblPr>
      <w:tblStyleRowBandSize w:val="1"/>
      <w:tblStyleColBandSize w:val="1"/>
      <w:tblBorders>
        <w:top w:val="single" w:sz="8" w:space="0" w:color="000000" w:themeColor="accent5"/>
        <w:left w:val="single" w:sz="8" w:space="0" w:color="000000" w:themeColor="accent5"/>
        <w:bottom w:val="single" w:sz="8" w:space="0" w:color="000000" w:themeColor="accent5"/>
        <w:right w:val="single" w:sz="8" w:space="0" w:color="000000" w:themeColor="accent5"/>
        <w:insideH w:val="single" w:sz="8" w:space="0" w:color="000000" w:themeColor="accent5"/>
        <w:insideV w:val="single" w:sz="8" w:space="0" w:color="000000"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accent5"/>
          <w:left w:val="single" w:sz="8" w:space="0" w:color="000000" w:themeColor="accent5"/>
          <w:bottom w:val="single" w:sz="18" w:space="0" w:color="000000" w:themeColor="accent5"/>
          <w:right w:val="single" w:sz="8" w:space="0" w:color="000000" w:themeColor="accent5"/>
          <w:insideH w:val="nil"/>
          <w:insideV w:val="single" w:sz="8" w:space="0" w:color="000000"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accent5"/>
          <w:left w:val="single" w:sz="8" w:space="0" w:color="000000" w:themeColor="accent5"/>
          <w:bottom w:val="single" w:sz="8" w:space="0" w:color="000000" w:themeColor="accent5"/>
          <w:right w:val="single" w:sz="8" w:space="0" w:color="000000" w:themeColor="accent5"/>
          <w:insideH w:val="nil"/>
          <w:insideV w:val="single" w:sz="8" w:space="0" w:color="000000"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accent5"/>
          <w:left w:val="single" w:sz="8" w:space="0" w:color="000000" w:themeColor="accent5"/>
          <w:bottom w:val="single" w:sz="8" w:space="0" w:color="000000" w:themeColor="accent5"/>
          <w:right w:val="single" w:sz="8" w:space="0" w:color="000000" w:themeColor="accent5"/>
        </w:tcBorders>
      </w:tcPr>
    </w:tblStylePr>
    <w:tblStylePr w:type="band1Vert">
      <w:tblPr/>
      <w:tcPr>
        <w:tcBorders>
          <w:top w:val="single" w:sz="8" w:space="0" w:color="000000" w:themeColor="accent5"/>
          <w:left w:val="single" w:sz="8" w:space="0" w:color="000000" w:themeColor="accent5"/>
          <w:bottom w:val="single" w:sz="8" w:space="0" w:color="000000" w:themeColor="accent5"/>
          <w:right w:val="single" w:sz="8" w:space="0" w:color="000000" w:themeColor="accent5"/>
        </w:tcBorders>
        <w:shd w:val="clear" w:color="auto" w:fill="C0C0C0" w:themeFill="accent5" w:themeFillTint="3F"/>
      </w:tcPr>
    </w:tblStylePr>
    <w:tblStylePr w:type="band1Horz">
      <w:tblPr/>
      <w:tcPr>
        <w:tcBorders>
          <w:top w:val="single" w:sz="8" w:space="0" w:color="000000" w:themeColor="accent5"/>
          <w:left w:val="single" w:sz="8" w:space="0" w:color="000000" w:themeColor="accent5"/>
          <w:bottom w:val="single" w:sz="8" w:space="0" w:color="000000" w:themeColor="accent5"/>
          <w:right w:val="single" w:sz="8" w:space="0" w:color="000000" w:themeColor="accent5"/>
          <w:insideV w:val="single" w:sz="8" w:space="0" w:color="000000" w:themeColor="accent5"/>
        </w:tcBorders>
        <w:shd w:val="clear" w:color="auto" w:fill="C0C0C0" w:themeFill="accent5" w:themeFillTint="3F"/>
      </w:tcPr>
    </w:tblStylePr>
    <w:tblStylePr w:type="band2Horz">
      <w:tblPr/>
      <w:tcPr>
        <w:tcBorders>
          <w:top w:val="single" w:sz="8" w:space="0" w:color="000000" w:themeColor="accent5"/>
          <w:left w:val="single" w:sz="8" w:space="0" w:color="000000" w:themeColor="accent5"/>
          <w:bottom w:val="single" w:sz="8" w:space="0" w:color="000000" w:themeColor="accent5"/>
          <w:right w:val="single" w:sz="8" w:space="0" w:color="000000" w:themeColor="accent5"/>
          <w:insideV w:val="single" w:sz="8" w:space="0" w:color="000000" w:themeColor="accent5"/>
        </w:tcBorders>
      </w:tcPr>
    </w:tblStylePr>
  </w:style>
  <w:style w:type="paragraph" w:customStyle="1" w:styleId="HeaderRight">
    <w:name w:val="Header Right"/>
    <w:basedOn w:val="Header"/>
    <w:uiPriority w:val="35"/>
    <w:qFormat/>
    <w:rsid w:val="00A84F46"/>
    <w:pPr>
      <w:tabs>
        <w:tab w:val="clear" w:pos="4513"/>
        <w:tab w:val="clear" w:pos="9026"/>
        <w:tab w:val="center" w:pos="4320"/>
        <w:tab w:val="right" w:pos="8640"/>
      </w:tabs>
      <w:spacing w:before="0" w:after="200"/>
      <w:jc w:val="right"/>
    </w:pPr>
    <w:rPr>
      <w:rFonts w:asciiTheme="minorHAnsi" w:hAnsiTheme="minorHAnsi" w:cs="Times New Roman"/>
      <w:szCs w:val="20"/>
      <w:lang w:val="en-US" w:eastAsia="ja-JP"/>
    </w:rPr>
  </w:style>
  <w:style w:type="paragraph" w:customStyle="1" w:styleId="Numbered111111111">
    <w:name w:val="Numbered 1.1.1.1.1.1.1.1.1"/>
    <w:basedOn w:val="Heading9"/>
    <w:next w:val="Normal"/>
    <w:uiPriority w:val="2"/>
    <w:rsid w:val="00757BDF"/>
    <w:pPr>
      <w:numPr>
        <w:numId w:val="15"/>
      </w:numPr>
      <w:tabs>
        <w:tab w:val="left" w:pos="2041"/>
      </w:tabs>
      <w:ind w:left="2041" w:hanging="2041"/>
    </w:pPr>
  </w:style>
  <w:style w:type="paragraph" w:styleId="Caption">
    <w:name w:val="caption"/>
    <w:basedOn w:val="Normal"/>
    <w:next w:val="Normal"/>
    <w:unhideWhenUsed/>
    <w:qFormat/>
    <w:rsid w:val="0066104A"/>
    <w:pPr>
      <w:keepNext/>
      <w:spacing w:before="240" w:after="120"/>
    </w:pPr>
    <w:rPr>
      <w:b/>
      <w:bCs/>
      <w:color w:val="076A92" w:themeColor="text1"/>
      <w:sz w:val="24"/>
      <w:szCs w:val="18"/>
    </w:rPr>
  </w:style>
  <w:style w:type="paragraph" w:styleId="List">
    <w:name w:val="List"/>
    <w:basedOn w:val="Normal"/>
    <w:unhideWhenUsed/>
    <w:qFormat/>
    <w:rsid w:val="00B514DD"/>
    <w:pPr>
      <w:tabs>
        <w:tab w:val="left" w:pos="340"/>
      </w:tabs>
      <w:spacing w:before="120"/>
      <w:ind w:left="340" w:hanging="340"/>
    </w:pPr>
  </w:style>
  <w:style w:type="paragraph" w:styleId="List2">
    <w:name w:val="List 2"/>
    <w:basedOn w:val="Normal"/>
    <w:uiPriority w:val="99"/>
    <w:unhideWhenUsed/>
    <w:rsid w:val="00F171E0"/>
    <w:pPr>
      <w:tabs>
        <w:tab w:val="left" w:pos="680"/>
      </w:tabs>
      <w:spacing w:before="120"/>
      <w:ind w:left="680" w:hanging="340"/>
    </w:pPr>
  </w:style>
  <w:style w:type="paragraph" w:styleId="List3">
    <w:name w:val="List 3"/>
    <w:basedOn w:val="Normal"/>
    <w:uiPriority w:val="99"/>
    <w:unhideWhenUsed/>
    <w:rsid w:val="00F171E0"/>
    <w:pPr>
      <w:tabs>
        <w:tab w:val="left" w:pos="1021"/>
      </w:tabs>
      <w:spacing w:before="120"/>
      <w:ind w:left="1020" w:hanging="340"/>
    </w:pPr>
  </w:style>
  <w:style w:type="paragraph" w:styleId="List4">
    <w:name w:val="List 4"/>
    <w:basedOn w:val="Normal"/>
    <w:uiPriority w:val="99"/>
    <w:unhideWhenUsed/>
    <w:rsid w:val="00F171E0"/>
    <w:pPr>
      <w:tabs>
        <w:tab w:val="left" w:pos="1361"/>
      </w:tabs>
      <w:spacing w:before="120"/>
      <w:ind w:left="1361" w:hanging="340"/>
    </w:pPr>
  </w:style>
  <w:style w:type="paragraph" w:styleId="List5">
    <w:name w:val="List 5"/>
    <w:basedOn w:val="Normal"/>
    <w:uiPriority w:val="99"/>
    <w:unhideWhenUsed/>
    <w:rsid w:val="00F171E0"/>
    <w:pPr>
      <w:tabs>
        <w:tab w:val="left" w:pos="1701"/>
      </w:tabs>
      <w:spacing w:before="120"/>
      <w:ind w:left="1701" w:hanging="340"/>
    </w:pPr>
  </w:style>
  <w:style w:type="paragraph" w:styleId="ListBullet3">
    <w:name w:val="List Bullet 3"/>
    <w:aliases w:val="AER numbered list 2 third"/>
    <w:basedOn w:val="Normal"/>
    <w:unhideWhenUsed/>
    <w:qFormat/>
    <w:rsid w:val="008E77DE"/>
    <w:pPr>
      <w:numPr>
        <w:numId w:val="4"/>
      </w:numPr>
      <w:spacing w:before="120"/>
    </w:pPr>
  </w:style>
  <w:style w:type="paragraph" w:styleId="ListBullet4">
    <w:name w:val="List Bullet 4"/>
    <w:basedOn w:val="Normal"/>
    <w:uiPriority w:val="99"/>
    <w:unhideWhenUsed/>
    <w:rsid w:val="00DB5074"/>
    <w:pPr>
      <w:numPr>
        <w:numId w:val="5"/>
      </w:numPr>
      <w:tabs>
        <w:tab w:val="clear" w:pos="1209"/>
        <w:tab w:val="num" w:pos="1361"/>
      </w:tabs>
      <w:spacing w:before="120"/>
      <w:ind w:left="1378" w:hanging="357"/>
    </w:pPr>
  </w:style>
  <w:style w:type="paragraph" w:styleId="ListBullet5">
    <w:name w:val="List Bullet 5"/>
    <w:basedOn w:val="Normal"/>
    <w:uiPriority w:val="99"/>
    <w:unhideWhenUsed/>
    <w:rsid w:val="00DB5074"/>
    <w:pPr>
      <w:numPr>
        <w:numId w:val="6"/>
      </w:numPr>
      <w:tabs>
        <w:tab w:val="clear" w:pos="1492"/>
        <w:tab w:val="num" w:pos="1701"/>
      </w:tabs>
      <w:spacing w:before="120"/>
      <w:ind w:left="1701" w:hanging="340"/>
    </w:pPr>
  </w:style>
  <w:style w:type="paragraph" w:styleId="ListContinue">
    <w:name w:val="List Continue"/>
    <w:aliases w:val="AER body text (indent 1)"/>
    <w:basedOn w:val="Normal"/>
    <w:unhideWhenUsed/>
    <w:qFormat/>
    <w:rsid w:val="00DB5074"/>
    <w:pPr>
      <w:tabs>
        <w:tab w:val="left" w:pos="340"/>
      </w:tabs>
      <w:spacing w:before="120"/>
      <w:ind w:left="340"/>
    </w:pPr>
  </w:style>
  <w:style w:type="paragraph" w:styleId="ListContinue2">
    <w:name w:val="List Continue 2"/>
    <w:aliases w:val="AER body text (indent 2)"/>
    <w:basedOn w:val="Normal"/>
    <w:unhideWhenUsed/>
    <w:qFormat/>
    <w:rsid w:val="00567BA5"/>
    <w:pPr>
      <w:tabs>
        <w:tab w:val="left" w:pos="680"/>
      </w:tabs>
      <w:spacing w:before="120"/>
      <w:ind w:left="680"/>
    </w:pPr>
  </w:style>
  <w:style w:type="paragraph" w:styleId="ListContinue3">
    <w:name w:val="List Continue 3"/>
    <w:aliases w:val="AER body text (indent 3)"/>
    <w:basedOn w:val="Normal"/>
    <w:unhideWhenUsed/>
    <w:qFormat/>
    <w:rsid w:val="00DB5074"/>
    <w:pPr>
      <w:tabs>
        <w:tab w:val="left" w:pos="1021"/>
      </w:tabs>
      <w:spacing w:before="120"/>
      <w:ind w:left="1021"/>
    </w:pPr>
  </w:style>
  <w:style w:type="paragraph" w:styleId="ListContinue4">
    <w:name w:val="List Continue 4"/>
    <w:basedOn w:val="Normal"/>
    <w:uiPriority w:val="99"/>
    <w:unhideWhenUsed/>
    <w:rsid w:val="00DB5074"/>
    <w:pPr>
      <w:tabs>
        <w:tab w:val="left" w:pos="1361"/>
      </w:tabs>
      <w:spacing w:before="120"/>
      <w:ind w:left="1361"/>
    </w:pPr>
  </w:style>
  <w:style w:type="paragraph" w:styleId="ListNumber3">
    <w:name w:val="List Number 3"/>
    <w:basedOn w:val="Normal"/>
    <w:uiPriority w:val="99"/>
    <w:unhideWhenUsed/>
    <w:rsid w:val="00567BA5"/>
    <w:pPr>
      <w:numPr>
        <w:numId w:val="9"/>
      </w:numPr>
      <w:spacing w:before="120"/>
    </w:pPr>
  </w:style>
  <w:style w:type="paragraph" w:styleId="ListNumber4">
    <w:name w:val="List Number 4"/>
    <w:basedOn w:val="Normal"/>
    <w:uiPriority w:val="99"/>
    <w:unhideWhenUsed/>
    <w:rsid w:val="00567BA5"/>
    <w:pPr>
      <w:numPr>
        <w:numId w:val="10"/>
      </w:numPr>
      <w:tabs>
        <w:tab w:val="clear" w:pos="1209"/>
        <w:tab w:val="num" w:pos="1361"/>
      </w:tabs>
      <w:spacing w:before="120"/>
      <w:ind w:left="1361" w:hanging="340"/>
    </w:pPr>
  </w:style>
  <w:style w:type="paragraph" w:styleId="ListNumber5">
    <w:name w:val="List Number 5"/>
    <w:basedOn w:val="Normal"/>
    <w:uiPriority w:val="99"/>
    <w:unhideWhenUsed/>
    <w:rsid w:val="00567BA5"/>
    <w:pPr>
      <w:numPr>
        <w:numId w:val="11"/>
      </w:numPr>
      <w:tabs>
        <w:tab w:val="clear" w:pos="1492"/>
        <w:tab w:val="num" w:pos="1701"/>
      </w:tabs>
      <w:spacing w:before="120"/>
      <w:ind w:left="1701" w:hanging="340"/>
    </w:pPr>
  </w:style>
  <w:style w:type="paragraph" w:customStyle="1" w:styleId="TableHeading">
    <w:name w:val="Table Heading"/>
    <w:basedOn w:val="Normal"/>
    <w:link w:val="TableHeadingChar"/>
    <w:qFormat/>
    <w:rsid w:val="00185CB9"/>
    <w:pPr>
      <w:spacing w:before="240" w:after="120"/>
    </w:pPr>
    <w:rPr>
      <w:color w:val="FFFFFF" w:themeColor="background1"/>
      <w:sz w:val="24"/>
    </w:rPr>
  </w:style>
  <w:style w:type="paragraph" w:customStyle="1" w:styleId="Tabletext-right">
    <w:name w:val="Table text - right"/>
    <w:basedOn w:val="Tabletext"/>
    <w:link w:val="Tabletext-rightChar"/>
    <w:rsid w:val="00063247"/>
    <w:pPr>
      <w:jc w:val="right"/>
    </w:pPr>
    <w:rPr>
      <w:rFonts w:eastAsia="Times New Roman" w:cs="Times New Roman"/>
      <w:szCs w:val="20"/>
    </w:rPr>
  </w:style>
  <w:style w:type="paragraph" w:customStyle="1" w:styleId="Tabletext-centred">
    <w:name w:val="Table text - centred"/>
    <w:basedOn w:val="Tabletext-right"/>
    <w:link w:val="Tabletext-centredChar"/>
    <w:rsid w:val="00063247"/>
    <w:pPr>
      <w:jc w:val="center"/>
    </w:pPr>
  </w:style>
  <w:style w:type="paragraph" w:customStyle="1" w:styleId="TableHeading-right">
    <w:name w:val="Table Heading - right"/>
    <w:basedOn w:val="TableHeading"/>
    <w:link w:val="TableHeading-rightChar"/>
    <w:rsid w:val="00185CB9"/>
    <w:pPr>
      <w:jc w:val="right"/>
    </w:pPr>
    <w:rPr>
      <w:rFonts w:eastAsia="Times New Roman" w:cs="Times New Roman"/>
      <w:bCs/>
      <w:szCs w:val="20"/>
    </w:rPr>
  </w:style>
  <w:style w:type="character" w:customStyle="1" w:styleId="Tabletext-rightChar">
    <w:name w:val="Table text - right Char"/>
    <w:basedOn w:val="TabletextChar"/>
    <w:link w:val="Tabletext-right"/>
    <w:rsid w:val="00063247"/>
    <w:rPr>
      <w:rFonts w:ascii="Arial" w:eastAsia="Times New Roman" w:hAnsi="Arial" w:cs="Times New Roman"/>
      <w:sz w:val="20"/>
      <w:szCs w:val="20"/>
    </w:rPr>
  </w:style>
  <w:style w:type="character" w:customStyle="1" w:styleId="TabletextChar">
    <w:name w:val="Table text Char"/>
    <w:basedOn w:val="DefaultParagraphFont"/>
    <w:link w:val="Tabletext"/>
    <w:uiPriority w:val="1"/>
    <w:rsid w:val="00584D8F"/>
    <w:rPr>
      <w:rFonts w:ascii="Arial" w:hAnsi="Arial"/>
      <w:sz w:val="20"/>
    </w:rPr>
  </w:style>
  <w:style w:type="character" w:customStyle="1" w:styleId="TableHeadingChar">
    <w:name w:val="Table Heading Char"/>
    <w:basedOn w:val="TabletextChar"/>
    <w:link w:val="TableHeading"/>
    <w:rsid w:val="00185CB9"/>
    <w:rPr>
      <w:rFonts w:ascii="Arial" w:hAnsi="Arial"/>
      <w:color w:val="FFFFFF" w:themeColor="background1"/>
      <w:sz w:val="24"/>
    </w:rPr>
  </w:style>
  <w:style w:type="character" w:customStyle="1" w:styleId="TableHeading-rightChar">
    <w:name w:val="Table Heading - right Char"/>
    <w:basedOn w:val="TableHeadingChar"/>
    <w:link w:val="TableHeading-right"/>
    <w:rsid w:val="00185CB9"/>
    <w:rPr>
      <w:rFonts w:ascii="Arial" w:eastAsia="Times New Roman" w:hAnsi="Arial" w:cs="Times New Roman"/>
      <w:bCs/>
      <w:color w:val="FFFFFF" w:themeColor="background1"/>
      <w:sz w:val="24"/>
      <w:szCs w:val="20"/>
    </w:rPr>
  </w:style>
  <w:style w:type="character" w:customStyle="1" w:styleId="Tabletext-centredChar">
    <w:name w:val="Table text - centred Char"/>
    <w:basedOn w:val="Tabletext-rightChar"/>
    <w:link w:val="Tabletext-centred"/>
    <w:rsid w:val="00063247"/>
    <w:rPr>
      <w:rFonts w:ascii="Arial" w:eastAsia="Times New Roman" w:hAnsi="Arial" w:cs="Times New Roman"/>
      <w:sz w:val="20"/>
      <w:szCs w:val="20"/>
    </w:rPr>
  </w:style>
  <w:style w:type="paragraph" w:customStyle="1" w:styleId="TableHeading-centred">
    <w:name w:val="Table Heading - centred"/>
    <w:basedOn w:val="TableHeading"/>
    <w:rsid w:val="00185CB9"/>
    <w:pPr>
      <w:jc w:val="center"/>
    </w:pPr>
    <w:rPr>
      <w:rFonts w:eastAsia="Times New Roman" w:cs="Times New Roman"/>
      <w:bCs/>
      <w:szCs w:val="20"/>
    </w:rPr>
  </w:style>
  <w:style w:type="character" w:customStyle="1" w:styleId="EndnoteTextChar">
    <w:name w:val="Endnote Text Char"/>
    <w:basedOn w:val="DefaultParagraphFont"/>
    <w:link w:val="EndnoteText"/>
    <w:uiPriority w:val="99"/>
    <w:rsid w:val="00334C8D"/>
    <w:rPr>
      <w:rFonts w:ascii="Arial" w:hAnsi="Arial"/>
      <w:sz w:val="20"/>
      <w:szCs w:val="20"/>
    </w:rPr>
  </w:style>
  <w:style w:type="paragraph" w:styleId="TableofFigures">
    <w:name w:val="table of figures"/>
    <w:basedOn w:val="Normal"/>
    <w:next w:val="Normal"/>
    <w:uiPriority w:val="99"/>
    <w:unhideWhenUsed/>
    <w:rsid w:val="00676679"/>
    <w:pPr>
      <w:spacing w:before="240" w:after="120"/>
    </w:pPr>
  </w:style>
  <w:style w:type="table" w:customStyle="1" w:styleId="ACCCTable3">
    <w:name w:val="ACCC Table 3"/>
    <w:basedOn w:val="TableNormal"/>
    <w:uiPriority w:val="99"/>
    <w:rsid w:val="00C53B5A"/>
    <w:pPr>
      <w:spacing w:before="0"/>
    </w:pPr>
    <w:rPr>
      <w:sz w:val="20"/>
    </w:rPr>
    <w:tblPr>
      <w:tblBorders>
        <w:insideV w:val="single" w:sz="4" w:space="0" w:color="FFFFFF" w:themeColor="background2"/>
      </w:tblBorders>
    </w:tblPr>
    <w:tblStylePr w:type="firstRow">
      <w:rPr>
        <w:rFonts w:asciiTheme="minorHAnsi" w:hAnsiTheme="minorHAnsi"/>
        <w:b/>
        <w:sz w:val="20"/>
      </w:rPr>
    </w:tblStylePr>
    <w:tblStylePr w:type="lastRow">
      <w:rPr>
        <w:rFonts w:ascii="Arial" w:hAnsi="Arial"/>
        <w:b/>
        <w:sz w:val="20"/>
      </w:rPr>
    </w:tblStylePr>
    <w:tblStylePr w:type="firstCol">
      <w:rPr>
        <w:rFonts w:ascii="Arial" w:hAnsi="Arial"/>
        <w:b/>
        <w:sz w:val="20"/>
      </w:rPr>
    </w:tblStylePr>
  </w:style>
  <w:style w:type="character" w:styleId="EndnoteReference">
    <w:name w:val="endnote reference"/>
    <w:basedOn w:val="DefaultParagraphFont"/>
    <w:uiPriority w:val="99"/>
    <w:rsid w:val="00263AC0"/>
    <w:rPr>
      <w:vertAlign w:val="superscript"/>
    </w:rPr>
  </w:style>
  <w:style w:type="paragraph" w:customStyle="1" w:styleId="Numberedparagraph11">
    <w:name w:val="Numbered paragraph 1.1"/>
    <w:basedOn w:val="Normal"/>
    <w:autoRedefine/>
    <w:qFormat/>
    <w:rsid w:val="00985C86"/>
    <w:pPr>
      <w:numPr>
        <w:ilvl w:val="1"/>
        <w:numId w:val="15"/>
      </w:numPr>
      <w:tabs>
        <w:tab w:val="left" w:pos="1021"/>
      </w:tabs>
      <w:spacing w:line="240" w:lineRule="atLeast"/>
      <w:ind w:left="680" w:hanging="680"/>
    </w:pPr>
    <w:rPr>
      <w:rFonts w:eastAsiaTheme="majorEastAsia" w:cs="Arial"/>
      <w:bCs/>
      <w:szCs w:val="26"/>
    </w:rPr>
  </w:style>
  <w:style w:type="paragraph" w:customStyle="1" w:styleId="AERquoteindent2">
    <w:name w:val="AER quote (indent 2)"/>
    <w:basedOn w:val="AERquoteindent1"/>
    <w:qFormat/>
    <w:rsid w:val="00DE1093"/>
    <w:pPr>
      <w:tabs>
        <w:tab w:val="clear" w:pos="680"/>
        <w:tab w:val="left" w:pos="1021"/>
      </w:tabs>
      <w:ind w:left="1021"/>
    </w:pPr>
  </w:style>
  <w:style w:type="paragraph" w:customStyle="1" w:styleId="Numberedparagraph">
    <w:name w:val="Numbered paragraph"/>
    <w:basedOn w:val="Normal"/>
    <w:rsid w:val="00C67A92"/>
    <w:pPr>
      <w:numPr>
        <w:numId w:val="1"/>
      </w:numPr>
      <w:tabs>
        <w:tab w:val="left" w:pos="680"/>
      </w:tabs>
      <w:ind w:left="680" w:hanging="680"/>
    </w:pPr>
    <w:rPr>
      <w:rFonts w:eastAsia="Times New Roman" w:cs="Times New Roman"/>
      <w:szCs w:val="20"/>
    </w:rPr>
  </w:style>
  <w:style w:type="paragraph" w:customStyle="1" w:styleId="Copyright">
    <w:name w:val="Copyright"/>
    <w:basedOn w:val="Normal"/>
    <w:next w:val="Normal"/>
    <w:link w:val="CopyrightChar"/>
    <w:rsid w:val="00951978"/>
    <w:pPr>
      <w:spacing w:line="288" w:lineRule="auto"/>
    </w:pPr>
    <w:rPr>
      <w:sz w:val="20"/>
      <w:szCs w:val="20"/>
    </w:rPr>
  </w:style>
  <w:style w:type="paragraph" w:customStyle="1" w:styleId="ReportTitle">
    <w:name w:val="Report Title"/>
    <w:basedOn w:val="Normal"/>
    <w:next w:val="Normal"/>
    <w:link w:val="ReportTitleChar"/>
    <w:qFormat/>
    <w:rsid w:val="00327A1E"/>
    <w:pPr>
      <w:tabs>
        <w:tab w:val="center" w:pos="4598"/>
        <w:tab w:val="right" w:pos="9026"/>
      </w:tabs>
      <w:spacing w:before="240"/>
      <w:contextualSpacing/>
      <w:jc w:val="center"/>
    </w:pPr>
    <w:rPr>
      <w:rFonts w:eastAsiaTheme="majorEastAsia" w:cstheme="majorBidi"/>
      <w:b/>
      <w:noProof/>
      <w:sz w:val="72"/>
      <w:szCs w:val="72"/>
      <w:lang w:eastAsia="en-AU"/>
    </w:rPr>
  </w:style>
  <w:style w:type="numbering" w:customStyle="1" w:styleId="AlphanumericList">
    <w:name w:val="Alphanumeric List"/>
    <w:uiPriority w:val="99"/>
    <w:rsid w:val="000A6C7B"/>
    <w:pPr>
      <w:numPr>
        <w:numId w:val="16"/>
      </w:numPr>
    </w:pPr>
  </w:style>
  <w:style w:type="table" w:customStyle="1" w:styleId="AERTable-Text">
    <w:name w:val="AER Table - Text"/>
    <w:basedOn w:val="TableNormal"/>
    <w:uiPriority w:val="99"/>
    <w:rsid w:val="000E4821"/>
    <w:pPr>
      <w:spacing w:before="120" w:after="120"/>
    </w:pPr>
    <w:rPr>
      <w:rFonts w:ascii="Arial" w:hAnsi="Arial"/>
      <w:sz w:val="20"/>
    </w:rPr>
    <w:tblPr>
      <w:tblStyleRowBandSize w:val="1"/>
      <w:tblBorders>
        <w:bottom w:val="single" w:sz="4" w:space="0" w:color="auto"/>
      </w:tblBorders>
    </w:tblPr>
    <w:tblStylePr w:type="firstRow">
      <w:pPr>
        <w:wordWrap/>
        <w:spacing w:beforeLines="0" w:before="240" w:beforeAutospacing="0" w:afterLines="0" w:after="120" w:afterAutospacing="0"/>
      </w:pPr>
      <w:rPr>
        <w:rFonts w:ascii="Arial" w:hAnsi="Arial"/>
        <w:b/>
        <w:color w:val="FFFFFF" w:themeColor="background1"/>
        <w:sz w:val="24"/>
      </w:rPr>
      <w:tblPr/>
      <w:tcPr>
        <w:shd w:val="clear" w:color="auto" w:fill="076A92"/>
      </w:tcPr>
    </w:tblStylePr>
    <w:tblStylePr w:type="band2Horz">
      <w:rPr>
        <w:rFonts w:ascii="Arial" w:hAnsi="Arial"/>
        <w:sz w:val="20"/>
      </w:rPr>
      <w:tblPr/>
      <w:tcPr>
        <w:shd w:val="clear" w:color="auto" w:fill="DBE5F1"/>
      </w:tcPr>
    </w:tblStylePr>
  </w:style>
  <w:style w:type="paragraph" w:customStyle="1" w:styleId="ReportDate">
    <w:name w:val="Report Date"/>
    <w:basedOn w:val="ReportTitle"/>
    <w:link w:val="ReportDateChar"/>
    <w:qFormat/>
    <w:rsid w:val="000A6C7B"/>
    <w:rPr>
      <w:b w:val="0"/>
      <w:sz w:val="36"/>
      <w:szCs w:val="36"/>
    </w:rPr>
  </w:style>
  <w:style w:type="paragraph" w:customStyle="1" w:styleId="ReportSubtitle">
    <w:name w:val="Report Subtitle"/>
    <w:basedOn w:val="ReportTitle"/>
    <w:link w:val="ReportSubtitleChar"/>
    <w:qFormat/>
    <w:rsid w:val="00327A1E"/>
    <w:rPr>
      <w:sz w:val="56"/>
      <w:szCs w:val="56"/>
    </w:rPr>
  </w:style>
  <w:style w:type="character" w:customStyle="1" w:styleId="ReportTitleChar">
    <w:name w:val="Report Title Char"/>
    <w:basedOn w:val="Heading1Char"/>
    <w:link w:val="ReportTitle"/>
    <w:rsid w:val="00327A1E"/>
    <w:rPr>
      <w:rFonts w:ascii="Arial" w:eastAsiaTheme="majorEastAsia" w:hAnsi="Arial" w:cstheme="majorBidi"/>
      <w:b w:val="0"/>
      <w:bCs w:val="0"/>
      <w:noProof/>
      <w:color w:val="70635A"/>
      <w:sz w:val="72"/>
      <w:szCs w:val="72"/>
      <w:lang w:eastAsia="en-AU"/>
    </w:rPr>
  </w:style>
  <w:style w:type="character" w:customStyle="1" w:styleId="ReportDateChar">
    <w:name w:val="Report Date Char"/>
    <w:basedOn w:val="ReportTitleChar"/>
    <w:link w:val="ReportDate"/>
    <w:rsid w:val="000A6C7B"/>
    <w:rPr>
      <w:rFonts w:ascii="Arial" w:eastAsiaTheme="majorEastAsia" w:hAnsi="Arial" w:cstheme="majorBidi"/>
      <w:b/>
      <w:bCs w:val="0"/>
      <w:noProof/>
      <w:color w:val="70635A"/>
      <w:sz w:val="36"/>
      <w:szCs w:val="36"/>
      <w:lang w:eastAsia="en-AU"/>
    </w:rPr>
  </w:style>
  <w:style w:type="character" w:customStyle="1" w:styleId="ReportSubtitleChar">
    <w:name w:val="Report Subtitle Char"/>
    <w:basedOn w:val="ReportTitleChar"/>
    <w:link w:val="ReportSubtitle"/>
    <w:rsid w:val="00327A1E"/>
    <w:rPr>
      <w:rFonts w:ascii="Arial" w:eastAsiaTheme="majorEastAsia" w:hAnsi="Arial" w:cstheme="majorBidi"/>
      <w:b w:val="0"/>
      <w:bCs w:val="0"/>
      <w:noProof/>
      <w:color w:val="70635A"/>
      <w:sz w:val="56"/>
      <w:szCs w:val="56"/>
      <w:lang w:eastAsia="en-AU"/>
    </w:rPr>
  </w:style>
  <w:style w:type="character" w:customStyle="1" w:styleId="CopyrightChar">
    <w:name w:val="Copyright Char"/>
    <w:basedOn w:val="DefaultParagraphFont"/>
    <w:link w:val="Copyright"/>
    <w:rsid w:val="00951978"/>
    <w:rPr>
      <w:rFonts w:ascii="Arial" w:hAnsi="Arial"/>
      <w:sz w:val="20"/>
      <w:szCs w:val="20"/>
    </w:rPr>
  </w:style>
  <w:style w:type="paragraph" w:styleId="BodyTextIndent">
    <w:name w:val="Body Text Indent"/>
    <w:basedOn w:val="Normal"/>
    <w:link w:val="BodyTextIndentChar"/>
    <w:unhideWhenUsed/>
    <w:rsid w:val="00F171E0"/>
    <w:pPr>
      <w:spacing w:after="120"/>
      <w:ind w:left="283"/>
    </w:pPr>
  </w:style>
  <w:style w:type="character" w:customStyle="1" w:styleId="BodyTextIndentChar">
    <w:name w:val="Body Text Indent Char"/>
    <w:basedOn w:val="DefaultParagraphFont"/>
    <w:link w:val="BodyTextIndent"/>
    <w:uiPriority w:val="99"/>
    <w:semiHidden/>
    <w:rsid w:val="00F171E0"/>
    <w:rPr>
      <w:rFonts w:ascii="Arial" w:hAnsi="Arial"/>
    </w:rPr>
  </w:style>
  <w:style w:type="paragraph" w:styleId="BodyTextFirstIndent2">
    <w:name w:val="Body Text First Indent 2"/>
    <w:basedOn w:val="BodyTextIndent"/>
    <w:link w:val="BodyTextFirstIndent2Char"/>
    <w:uiPriority w:val="99"/>
    <w:unhideWhenUsed/>
    <w:rsid w:val="00F171E0"/>
    <w:pPr>
      <w:spacing w:after="0"/>
      <w:ind w:left="360" w:firstLine="360"/>
    </w:pPr>
  </w:style>
  <w:style w:type="character" w:customStyle="1" w:styleId="BodyTextFirstIndent2Char">
    <w:name w:val="Body Text First Indent 2 Char"/>
    <w:basedOn w:val="BodyTextIndentChar"/>
    <w:link w:val="BodyTextFirstIndent2"/>
    <w:uiPriority w:val="99"/>
    <w:rsid w:val="00F171E0"/>
    <w:rPr>
      <w:rFonts w:ascii="Arial" w:hAnsi="Arial"/>
    </w:rPr>
  </w:style>
  <w:style w:type="paragraph" w:styleId="Closing">
    <w:name w:val="Closing"/>
    <w:basedOn w:val="Normal"/>
    <w:link w:val="ClosingChar"/>
    <w:uiPriority w:val="99"/>
    <w:unhideWhenUsed/>
    <w:rsid w:val="00F171E0"/>
    <w:pPr>
      <w:spacing w:before="0" w:line="240" w:lineRule="auto"/>
      <w:ind w:left="4252"/>
    </w:pPr>
  </w:style>
  <w:style w:type="character" w:customStyle="1" w:styleId="ClosingChar">
    <w:name w:val="Closing Char"/>
    <w:basedOn w:val="DefaultParagraphFont"/>
    <w:link w:val="Closing"/>
    <w:uiPriority w:val="99"/>
    <w:rsid w:val="00F171E0"/>
    <w:rPr>
      <w:rFonts w:ascii="Arial" w:hAnsi="Arial"/>
    </w:rPr>
  </w:style>
  <w:style w:type="paragraph" w:styleId="BodyTextFirstIndent">
    <w:name w:val="Body Text First Indent"/>
    <w:basedOn w:val="Normal"/>
    <w:link w:val="BodyTextFirstIndentChar"/>
    <w:uiPriority w:val="99"/>
    <w:unhideWhenUsed/>
    <w:rsid w:val="00F171E0"/>
    <w:pPr>
      <w:ind w:firstLine="360"/>
    </w:pPr>
  </w:style>
  <w:style w:type="character" w:customStyle="1" w:styleId="BodyTextFirstIndentChar">
    <w:name w:val="Body Text First Indent Char"/>
    <w:basedOn w:val="DefaultParagraphFont"/>
    <w:link w:val="BodyTextFirstIndent"/>
    <w:uiPriority w:val="99"/>
    <w:rsid w:val="00F171E0"/>
    <w:rPr>
      <w:rFonts w:ascii="Arial" w:hAnsi="Arial"/>
    </w:rPr>
  </w:style>
  <w:style w:type="paragraph" w:styleId="BodyText2">
    <w:name w:val="Body Text 2"/>
    <w:basedOn w:val="Normal"/>
    <w:link w:val="BodyText2Char"/>
    <w:unhideWhenUsed/>
    <w:rsid w:val="00F171E0"/>
    <w:pPr>
      <w:spacing w:after="120" w:line="480" w:lineRule="auto"/>
    </w:pPr>
  </w:style>
  <w:style w:type="character" w:customStyle="1" w:styleId="BodyText2Char">
    <w:name w:val="Body Text 2 Char"/>
    <w:basedOn w:val="DefaultParagraphFont"/>
    <w:link w:val="BodyText2"/>
    <w:uiPriority w:val="99"/>
    <w:rsid w:val="00F171E0"/>
    <w:rPr>
      <w:rFonts w:ascii="Arial" w:hAnsi="Arial"/>
    </w:rPr>
  </w:style>
  <w:style w:type="paragraph" w:customStyle="1" w:styleId="ListLegal">
    <w:name w:val="List Legal"/>
    <w:basedOn w:val="ListParagraph"/>
    <w:rsid w:val="00301B40"/>
    <w:pPr>
      <w:numPr>
        <w:numId w:val="19"/>
      </w:numPr>
      <w:tabs>
        <w:tab w:val="clear" w:pos="340"/>
        <w:tab w:val="left" w:pos="680"/>
      </w:tabs>
      <w:ind w:left="680" w:hanging="340"/>
    </w:pPr>
  </w:style>
  <w:style w:type="character" w:styleId="CommentReference">
    <w:name w:val="annotation reference"/>
    <w:basedOn w:val="DefaultParagraphFont"/>
    <w:uiPriority w:val="99"/>
    <w:unhideWhenUsed/>
    <w:rsid w:val="00F171E0"/>
    <w:rPr>
      <w:sz w:val="16"/>
      <w:szCs w:val="16"/>
    </w:rPr>
  </w:style>
  <w:style w:type="paragraph" w:customStyle="1" w:styleId="ListLegal2">
    <w:name w:val="List Legal 2"/>
    <w:basedOn w:val="ListLegal"/>
    <w:rsid w:val="00301B40"/>
    <w:pPr>
      <w:tabs>
        <w:tab w:val="clear" w:pos="680"/>
        <w:tab w:val="left" w:pos="1021"/>
      </w:tabs>
      <w:ind w:left="1020"/>
    </w:pPr>
  </w:style>
  <w:style w:type="paragraph" w:customStyle="1" w:styleId="AERnumberedlistthirdstyle">
    <w:name w:val="AER numbered list (third style)"/>
    <w:basedOn w:val="ListNumber3"/>
    <w:qFormat/>
    <w:rsid w:val="00571D57"/>
    <w:pPr>
      <w:numPr>
        <w:numId w:val="20"/>
      </w:numPr>
      <w:tabs>
        <w:tab w:val="left" w:pos="1361"/>
      </w:tabs>
      <w:ind w:left="1361" w:hanging="340"/>
    </w:pPr>
  </w:style>
  <w:style w:type="paragraph" w:customStyle="1" w:styleId="ListLegal4">
    <w:name w:val="List Legal 4"/>
    <w:basedOn w:val="AERnumberedlistthirdstyle"/>
    <w:rsid w:val="00571D57"/>
    <w:pPr>
      <w:tabs>
        <w:tab w:val="clear" w:pos="1361"/>
        <w:tab w:val="left" w:pos="1701"/>
      </w:tabs>
      <w:ind w:left="1701"/>
    </w:pPr>
  </w:style>
  <w:style w:type="paragraph" w:customStyle="1" w:styleId="ListLegal5">
    <w:name w:val="List Legal 5"/>
    <w:basedOn w:val="ListLegal4"/>
    <w:rsid w:val="00571D57"/>
    <w:pPr>
      <w:tabs>
        <w:tab w:val="clear" w:pos="1701"/>
        <w:tab w:val="left" w:pos="2041"/>
      </w:tabs>
      <w:ind w:left="2041"/>
    </w:pPr>
  </w:style>
  <w:style w:type="paragraph" w:styleId="Date">
    <w:name w:val="Date"/>
    <w:basedOn w:val="Normal"/>
    <w:next w:val="Normal"/>
    <w:link w:val="DateChar"/>
    <w:uiPriority w:val="99"/>
    <w:unhideWhenUsed/>
    <w:rsid w:val="00F171E0"/>
  </w:style>
  <w:style w:type="character" w:customStyle="1" w:styleId="DateChar">
    <w:name w:val="Date Char"/>
    <w:basedOn w:val="DefaultParagraphFont"/>
    <w:link w:val="Date"/>
    <w:uiPriority w:val="99"/>
    <w:rsid w:val="00F171E0"/>
    <w:rPr>
      <w:rFonts w:ascii="Arial" w:hAnsi="Arial"/>
    </w:rPr>
  </w:style>
  <w:style w:type="paragraph" w:styleId="DocumentMap">
    <w:name w:val="Document Map"/>
    <w:basedOn w:val="Normal"/>
    <w:link w:val="DocumentMapChar"/>
    <w:unhideWhenUsed/>
    <w:rsid w:val="00F171E0"/>
    <w:pPr>
      <w:spacing w:before="0" w:line="240" w:lineRule="auto"/>
    </w:pPr>
    <w:rPr>
      <w:rFonts w:ascii="Tahoma" w:hAnsi="Tahoma" w:cs="Tahoma"/>
      <w:sz w:val="16"/>
      <w:szCs w:val="16"/>
    </w:rPr>
  </w:style>
  <w:style w:type="character" w:customStyle="1" w:styleId="DocumentMapChar">
    <w:name w:val="Document Map Char"/>
    <w:basedOn w:val="DefaultParagraphFont"/>
    <w:link w:val="DocumentMap"/>
    <w:uiPriority w:val="99"/>
    <w:rsid w:val="00F171E0"/>
    <w:rPr>
      <w:rFonts w:ascii="Tahoma" w:hAnsi="Tahoma" w:cs="Tahoma"/>
      <w:sz w:val="16"/>
      <w:szCs w:val="16"/>
    </w:rPr>
  </w:style>
  <w:style w:type="paragraph" w:styleId="E-mailSignature">
    <w:name w:val="E-mail Signature"/>
    <w:basedOn w:val="Normal"/>
    <w:link w:val="E-mailSignatureChar"/>
    <w:uiPriority w:val="99"/>
    <w:unhideWhenUsed/>
    <w:rsid w:val="00F171E0"/>
    <w:pPr>
      <w:spacing w:before="0" w:line="240" w:lineRule="auto"/>
    </w:pPr>
  </w:style>
  <w:style w:type="character" w:customStyle="1" w:styleId="E-mailSignatureChar">
    <w:name w:val="E-mail Signature Char"/>
    <w:basedOn w:val="DefaultParagraphFont"/>
    <w:link w:val="E-mailSignature"/>
    <w:uiPriority w:val="99"/>
    <w:rsid w:val="00F171E0"/>
    <w:rPr>
      <w:rFonts w:ascii="Arial" w:hAnsi="Arial"/>
    </w:rPr>
  </w:style>
  <w:style w:type="paragraph" w:styleId="EnvelopeAddress">
    <w:name w:val="envelope address"/>
    <w:basedOn w:val="Normal"/>
    <w:uiPriority w:val="99"/>
    <w:unhideWhenUsed/>
    <w:rsid w:val="00F171E0"/>
    <w:pPr>
      <w:framePr w:w="7920" w:h="1980" w:hRule="exact" w:hSpace="180" w:wrap="auto" w:hAnchor="page" w:xAlign="center" w:yAlign="bottom"/>
      <w:spacing w:before="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unhideWhenUsed/>
    <w:rsid w:val="00F171E0"/>
    <w:pPr>
      <w:spacing w:before="0" w:line="240" w:lineRule="auto"/>
    </w:pPr>
    <w:rPr>
      <w:rFonts w:asciiTheme="majorHAnsi" w:eastAsiaTheme="majorEastAsia" w:hAnsiTheme="majorHAnsi" w:cstheme="majorBidi"/>
      <w:sz w:val="20"/>
      <w:szCs w:val="20"/>
    </w:rPr>
  </w:style>
  <w:style w:type="character" w:styleId="FollowedHyperlink">
    <w:name w:val="FollowedHyperlink"/>
    <w:basedOn w:val="DefaultParagraphFont"/>
    <w:unhideWhenUsed/>
    <w:rsid w:val="00F171E0"/>
    <w:rPr>
      <w:color w:val="800080" w:themeColor="followedHyperlink"/>
      <w:u w:val="single"/>
    </w:rPr>
  </w:style>
  <w:style w:type="paragraph" w:styleId="Index3">
    <w:name w:val="index 3"/>
    <w:basedOn w:val="Normal"/>
    <w:next w:val="Normal"/>
    <w:autoRedefine/>
    <w:uiPriority w:val="99"/>
    <w:unhideWhenUsed/>
    <w:rsid w:val="00F171E0"/>
    <w:pPr>
      <w:spacing w:before="0" w:line="240" w:lineRule="auto"/>
      <w:ind w:left="660" w:hanging="220"/>
    </w:pPr>
  </w:style>
  <w:style w:type="paragraph" w:styleId="Index4">
    <w:name w:val="index 4"/>
    <w:basedOn w:val="Normal"/>
    <w:next w:val="Normal"/>
    <w:autoRedefine/>
    <w:uiPriority w:val="99"/>
    <w:unhideWhenUsed/>
    <w:rsid w:val="00F171E0"/>
    <w:pPr>
      <w:spacing w:before="0" w:line="240" w:lineRule="auto"/>
      <w:ind w:left="880" w:hanging="220"/>
    </w:pPr>
  </w:style>
  <w:style w:type="paragraph" w:styleId="Index5">
    <w:name w:val="index 5"/>
    <w:basedOn w:val="Normal"/>
    <w:next w:val="Normal"/>
    <w:autoRedefine/>
    <w:uiPriority w:val="99"/>
    <w:unhideWhenUsed/>
    <w:rsid w:val="00F171E0"/>
    <w:pPr>
      <w:spacing w:before="0" w:line="240" w:lineRule="auto"/>
      <w:ind w:left="1100" w:hanging="220"/>
    </w:pPr>
  </w:style>
  <w:style w:type="paragraph" w:styleId="IndexHeading">
    <w:name w:val="index heading"/>
    <w:basedOn w:val="Normal"/>
    <w:next w:val="Index1"/>
    <w:uiPriority w:val="99"/>
    <w:unhideWhenUsed/>
    <w:rsid w:val="00F171E0"/>
    <w:rPr>
      <w:rFonts w:asciiTheme="majorHAnsi" w:eastAsiaTheme="majorEastAsia" w:hAnsiTheme="majorHAnsi" w:cstheme="majorBidi"/>
      <w:b/>
      <w:bCs/>
    </w:rPr>
  </w:style>
  <w:style w:type="character" w:styleId="IntenseEmphasis">
    <w:name w:val="Intense Emphasis"/>
    <w:basedOn w:val="DefaultParagraphFont"/>
    <w:uiPriority w:val="21"/>
    <w:unhideWhenUsed/>
    <w:rsid w:val="00F171E0"/>
    <w:rPr>
      <w:b/>
      <w:bCs/>
      <w:i/>
      <w:iCs/>
      <w:color w:val="2F002F" w:themeColor="accent1"/>
    </w:rPr>
  </w:style>
  <w:style w:type="paragraph" w:styleId="IntenseQuote">
    <w:name w:val="Intense Quote"/>
    <w:basedOn w:val="Normal"/>
    <w:next w:val="Normal"/>
    <w:link w:val="IntenseQuoteChar"/>
    <w:uiPriority w:val="30"/>
    <w:unhideWhenUsed/>
    <w:rsid w:val="00F171E0"/>
    <w:pPr>
      <w:pBdr>
        <w:bottom w:val="single" w:sz="4" w:space="4" w:color="2F002F" w:themeColor="accent1"/>
      </w:pBdr>
      <w:spacing w:after="280"/>
      <w:ind w:left="936" w:right="936"/>
    </w:pPr>
    <w:rPr>
      <w:b/>
      <w:bCs/>
      <w:i/>
      <w:iCs/>
      <w:color w:val="2F002F" w:themeColor="accent1"/>
    </w:rPr>
  </w:style>
  <w:style w:type="character" w:customStyle="1" w:styleId="IntenseQuoteChar">
    <w:name w:val="Intense Quote Char"/>
    <w:basedOn w:val="DefaultParagraphFont"/>
    <w:link w:val="IntenseQuote"/>
    <w:uiPriority w:val="30"/>
    <w:rsid w:val="00F171E0"/>
    <w:rPr>
      <w:rFonts w:ascii="Arial" w:hAnsi="Arial"/>
      <w:b/>
      <w:bCs/>
      <w:i/>
      <w:iCs/>
      <w:color w:val="2F002F" w:themeColor="accent1"/>
    </w:rPr>
  </w:style>
  <w:style w:type="character" w:styleId="IntenseReference">
    <w:name w:val="Intense Reference"/>
    <w:basedOn w:val="DefaultParagraphFont"/>
    <w:uiPriority w:val="32"/>
    <w:unhideWhenUsed/>
    <w:rsid w:val="00F171E0"/>
    <w:rPr>
      <w:b/>
      <w:bCs/>
      <w:smallCaps/>
      <w:color w:val="C14E00" w:themeColor="accent2"/>
      <w:spacing w:val="5"/>
      <w:u w:val="single"/>
    </w:rPr>
  </w:style>
  <w:style w:type="character" w:styleId="LineNumber">
    <w:name w:val="line number"/>
    <w:basedOn w:val="DefaultParagraphFont"/>
    <w:uiPriority w:val="99"/>
    <w:unhideWhenUsed/>
    <w:rsid w:val="00F171E0"/>
  </w:style>
  <w:style w:type="paragraph" w:customStyle="1" w:styleId="AERnumberedlistsecondstyle">
    <w:name w:val="AER numbered list (second style)"/>
    <w:basedOn w:val="Listalphabet"/>
    <w:qFormat/>
    <w:rsid w:val="00DB5074"/>
    <w:pPr>
      <w:numPr>
        <w:numId w:val="18"/>
      </w:numPr>
      <w:tabs>
        <w:tab w:val="clear" w:pos="340"/>
        <w:tab w:val="left" w:pos="680"/>
      </w:tabs>
      <w:ind w:left="680" w:hanging="340"/>
    </w:pPr>
  </w:style>
  <w:style w:type="paragraph" w:customStyle="1" w:styleId="Listalphabet3">
    <w:name w:val="List alphabet 3"/>
    <w:basedOn w:val="AERnumberedlistsecondstyle"/>
    <w:rsid w:val="00DB5074"/>
    <w:pPr>
      <w:tabs>
        <w:tab w:val="clear" w:pos="680"/>
        <w:tab w:val="left" w:pos="1021"/>
      </w:tabs>
      <w:ind w:left="1020"/>
    </w:pPr>
  </w:style>
  <w:style w:type="paragraph" w:customStyle="1" w:styleId="Listalphabet4">
    <w:name w:val="List alphabet 4"/>
    <w:basedOn w:val="Listalphabet3"/>
    <w:rsid w:val="00DB5074"/>
    <w:pPr>
      <w:tabs>
        <w:tab w:val="clear" w:pos="1021"/>
        <w:tab w:val="left" w:pos="1361"/>
      </w:tabs>
      <w:ind w:left="1361"/>
    </w:pPr>
  </w:style>
  <w:style w:type="paragraph" w:customStyle="1" w:styleId="Listalphabet5">
    <w:name w:val="List alphabet 5"/>
    <w:basedOn w:val="Listalphabet4"/>
    <w:rsid w:val="00DB5074"/>
    <w:pPr>
      <w:tabs>
        <w:tab w:val="clear" w:pos="1361"/>
        <w:tab w:val="left" w:pos="1701"/>
      </w:tabs>
      <w:ind w:left="1701"/>
    </w:pPr>
  </w:style>
  <w:style w:type="paragraph" w:styleId="ListContinue5">
    <w:name w:val="List Continue 5"/>
    <w:basedOn w:val="Normal"/>
    <w:uiPriority w:val="99"/>
    <w:unhideWhenUsed/>
    <w:rsid w:val="00DB5074"/>
    <w:pPr>
      <w:tabs>
        <w:tab w:val="left" w:pos="1701"/>
      </w:tabs>
      <w:spacing w:after="120"/>
      <w:ind w:left="1701"/>
      <w:contextualSpacing/>
    </w:pPr>
  </w:style>
  <w:style w:type="paragraph" w:styleId="ListNumber2">
    <w:name w:val="List Number 2"/>
    <w:basedOn w:val="Normal"/>
    <w:uiPriority w:val="99"/>
    <w:unhideWhenUsed/>
    <w:rsid w:val="00571D57"/>
    <w:pPr>
      <w:numPr>
        <w:numId w:val="8"/>
      </w:numPr>
      <w:tabs>
        <w:tab w:val="left" w:pos="680"/>
      </w:tabs>
      <w:spacing w:before="80" w:line="360" w:lineRule="auto"/>
      <w:ind w:left="680" w:hanging="340"/>
      <w:contextualSpacing/>
    </w:pPr>
  </w:style>
  <w:style w:type="character" w:customStyle="1" w:styleId="SalutationChar">
    <w:name w:val="Salutation Char"/>
    <w:basedOn w:val="DefaultParagraphFont"/>
    <w:link w:val="Salutation"/>
    <w:uiPriority w:val="99"/>
    <w:rsid w:val="00CA489E"/>
    <w:rPr>
      <w:rFonts w:ascii="Arial" w:hAnsi="Arial"/>
    </w:rPr>
  </w:style>
  <w:style w:type="paragraph" w:styleId="Signature">
    <w:name w:val="Signature"/>
    <w:basedOn w:val="Normal"/>
    <w:link w:val="SignatureChar"/>
    <w:uiPriority w:val="99"/>
    <w:unhideWhenUsed/>
    <w:rsid w:val="00CA489E"/>
    <w:pPr>
      <w:spacing w:before="0" w:line="240" w:lineRule="auto"/>
      <w:ind w:left="4252"/>
    </w:pPr>
  </w:style>
  <w:style w:type="character" w:customStyle="1" w:styleId="SignatureChar">
    <w:name w:val="Signature Char"/>
    <w:basedOn w:val="DefaultParagraphFont"/>
    <w:link w:val="Signature"/>
    <w:uiPriority w:val="99"/>
    <w:rsid w:val="00CA489E"/>
    <w:rPr>
      <w:rFonts w:ascii="Arial" w:hAnsi="Arial"/>
    </w:rPr>
  </w:style>
  <w:style w:type="character" w:styleId="SubtleEmphasis">
    <w:name w:val="Subtle Emphasis"/>
    <w:basedOn w:val="DefaultParagraphFont"/>
    <w:uiPriority w:val="19"/>
    <w:unhideWhenUsed/>
    <w:rsid w:val="00CA489E"/>
    <w:rPr>
      <w:b/>
      <w:i/>
      <w:iCs/>
      <w:color w:val="2F002F" w:themeColor="accent1"/>
    </w:rPr>
  </w:style>
  <w:style w:type="character" w:styleId="SubtleReference">
    <w:name w:val="Subtle Reference"/>
    <w:basedOn w:val="DefaultParagraphFont"/>
    <w:uiPriority w:val="31"/>
    <w:unhideWhenUsed/>
    <w:rsid w:val="00CA489E"/>
    <w:rPr>
      <w:smallCaps/>
      <w:color w:val="C14E00" w:themeColor="accent2"/>
      <w:u w:val="single"/>
    </w:rPr>
  </w:style>
  <w:style w:type="paragraph" w:customStyle="1" w:styleId="AERquoteindent1">
    <w:name w:val="AER quote (indent 1)"/>
    <w:basedOn w:val="Normal"/>
    <w:qFormat/>
    <w:rsid w:val="00DE1093"/>
    <w:pPr>
      <w:tabs>
        <w:tab w:val="left" w:pos="680"/>
      </w:tabs>
      <w:spacing w:after="160" w:line="240" w:lineRule="auto"/>
      <w:ind w:left="680" w:right="794"/>
    </w:pPr>
    <w:rPr>
      <w:rFonts w:eastAsia="Times New Roman" w:cs="Times New Roman"/>
      <w:sz w:val="20"/>
      <w:szCs w:val="20"/>
      <w:lang w:eastAsia="en-AU"/>
    </w:rPr>
  </w:style>
  <w:style w:type="character" w:styleId="PageNumber">
    <w:name w:val="page number"/>
    <w:basedOn w:val="DefaultParagraphFont"/>
    <w:rsid w:val="0020492C"/>
  </w:style>
  <w:style w:type="character" w:styleId="PlaceholderText">
    <w:name w:val="Placeholder Text"/>
    <w:basedOn w:val="DefaultParagraphFont"/>
    <w:uiPriority w:val="99"/>
    <w:rsid w:val="008D1661"/>
    <w:rPr>
      <w:color w:val="808080"/>
    </w:rPr>
  </w:style>
  <w:style w:type="paragraph" w:customStyle="1" w:styleId="StyleCopyrightBefore0pt">
    <w:name w:val="Style Copyright + Before:  0 pt"/>
    <w:basedOn w:val="Copyright"/>
    <w:rsid w:val="00185CB9"/>
    <w:pPr>
      <w:spacing w:before="120"/>
    </w:pPr>
    <w:rPr>
      <w:rFonts w:eastAsia="Times New Roman" w:cs="Times New Roman"/>
    </w:rPr>
  </w:style>
  <w:style w:type="character" w:customStyle="1" w:styleId="Bold">
    <w:name w:val="Bold"/>
    <w:basedOn w:val="DefaultParagraphFont"/>
    <w:rsid w:val="0020492C"/>
    <w:rPr>
      <w:b/>
      <w:bCs/>
    </w:rPr>
  </w:style>
  <w:style w:type="paragraph" w:customStyle="1" w:styleId="LegalNumbering">
    <w:name w:val="Legal Numbering"/>
    <w:basedOn w:val="Normal"/>
    <w:rsid w:val="005829C2"/>
    <w:pPr>
      <w:numPr>
        <w:numId w:val="21"/>
      </w:numPr>
      <w:tabs>
        <w:tab w:val="left" w:pos="680"/>
        <w:tab w:val="left" w:pos="1021"/>
        <w:tab w:val="left" w:pos="1361"/>
      </w:tabs>
      <w:spacing w:line="240" w:lineRule="auto"/>
    </w:pPr>
  </w:style>
  <w:style w:type="paragraph" w:customStyle="1" w:styleId="AERquoteindent3">
    <w:name w:val="AER quote (indent 3)"/>
    <w:basedOn w:val="AERquoteindent2"/>
    <w:qFormat/>
    <w:rsid w:val="00DE1093"/>
    <w:pPr>
      <w:ind w:left="1361"/>
    </w:pPr>
  </w:style>
  <w:style w:type="paragraph" w:customStyle="1" w:styleId="AERquotebullet1">
    <w:name w:val="AER quote bullet 1"/>
    <w:basedOn w:val="AERquoteindent1"/>
    <w:qFormat/>
    <w:rsid w:val="00DE1093"/>
    <w:pPr>
      <w:numPr>
        <w:numId w:val="22"/>
      </w:numPr>
      <w:ind w:left="1037" w:hanging="357"/>
    </w:pPr>
  </w:style>
  <w:style w:type="paragraph" w:customStyle="1" w:styleId="AERbulletlistthirdstyle">
    <w:name w:val="AER bullet list (third style)"/>
    <w:basedOn w:val="AERbulletlistsecondstyle"/>
    <w:qFormat/>
    <w:rsid w:val="00343A18"/>
    <w:pPr>
      <w:numPr>
        <w:ilvl w:val="2"/>
      </w:numPr>
      <w:tabs>
        <w:tab w:val="left" w:pos="1361"/>
      </w:tabs>
      <w:ind w:left="1361" w:hanging="340"/>
    </w:pPr>
  </w:style>
  <w:style w:type="character" w:customStyle="1" w:styleId="AERsubscript">
    <w:name w:val="AER subscript"/>
    <w:basedOn w:val="DefaultParagraphFont"/>
    <w:qFormat/>
    <w:rsid w:val="00343A18"/>
    <w:rPr>
      <w:sz w:val="16"/>
      <w:vertAlign w:val="subscript"/>
    </w:rPr>
  </w:style>
  <w:style w:type="character" w:customStyle="1" w:styleId="AERtextbolditalics">
    <w:name w:val="AER text bold italics"/>
    <w:basedOn w:val="DefaultParagraphFont"/>
    <w:qFormat/>
    <w:rsid w:val="00343A18"/>
    <w:rPr>
      <w:b/>
      <w:bCs/>
      <w:i/>
      <w:iCs/>
    </w:rPr>
  </w:style>
  <w:style w:type="character" w:customStyle="1" w:styleId="AERsuperscript">
    <w:name w:val="AER superscript"/>
    <w:qFormat/>
    <w:rsid w:val="00343A18"/>
    <w:rPr>
      <w:rFonts w:ascii="Arial" w:hAnsi="Arial"/>
      <w:sz w:val="16"/>
      <w:vertAlign w:val="superscript"/>
    </w:rPr>
  </w:style>
  <w:style w:type="character" w:customStyle="1" w:styleId="AERtextunderline">
    <w:name w:val="AER text underline"/>
    <w:basedOn w:val="DefaultParagraphFont"/>
    <w:qFormat/>
    <w:rsid w:val="00343A18"/>
    <w:rPr>
      <w:u w:val="single"/>
    </w:rPr>
  </w:style>
  <w:style w:type="paragraph" w:customStyle="1" w:styleId="AERtextconfidential">
    <w:name w:val="AER text confidential"/>
    <w:basedOn w:val="Normal"/>
    <w:qFormat/>
    <w:rsid w:val="008B5FCC"/>
    <w:rPr>
      <w:shd w:val="clear" w:color="auto" w:fill="CCFFFF"/>
    </w:rPr>
  </w:style>
  <w:style w:type="paragraph" w:customStyle="1" w:styleId="UnnumberedHeading">
    <w:name w:val="Unnumbered Heading"/>
    <w:basedOn w:val="Heading1"/>
    <w:link w:val="UnnumberedHeadingChar"/>
    <w:qFormat/>
    <w:rsid w:val="008B5FCC"/>
    <w:pPr>
      <w:numPr>
        <w:numId w:val="0"/>
      </w:numPr>
    </w:pPr>
  </w:style>
  <w:style w:type="numbering" w:customStyle="1" w:styleId="AERHeadings">
    <w:name w:val="AER Headings"/>
    <w:uiPriority w:val="99"/>
    <w:rsid w:val="00126A4C"/>
    <w:pPr>
      <w:numPr>
        <w:numId w:val="23"/>
      </w:numPr>
    </w:pPr>
  </w:style>
  <w:style w:type="character" w:customStyle="1" w:styleId="AERbody">
    <w:name w:val="AER body"/>
    <w:basedOn w:val="DefaultParagraphFont"/>
    <w:qFormat/>
    <w:rsid w:val="00126A4C"/>
    <w:rPr>
      <w:rFonts w:ascii="Arial" w:hAnsi="Arial"/>
      <w:color w:val="auto"/>
      <w:sz w:val="22"/>
    </w:rPr>
  </w:style>
  <w:style w:type="numbering" w:customStyle="1" w:styleId="AERnumberedlist">
    <w:name w:val="AER numbered list"/>
    <w:uiPriority w:val="99"/>
    <w:rsid w:val="00126A4C"/>
    <w:pPr>
      <w:numPr>
        <w:numId w:val="24"/>
      </w:numPr>
    </w:pPr>
  </w:style>
  <w:style w:type="character" w:customStyle="1" w:styleId="UnnumberedHeadingChar">
    <w:name w:val="Unnumbered Heading Char"/>
    <w:basedOn w:val="Heading1Char"/>
    <w:link w:val="UnnumberedHeading"/>
    <w:rsid w:val="00126A4C"/>
    <w:rPr>
      <w:rFonts w:ascii="Arial" w:eastAsiaTheme="majorEastAsia" w:hAnsi="Arial" w:cstheme="majorBidi"/>
      <w:b/>
      <w:bCs/>
      <w:color w:val="70635A"/>
      <w:sz w:val="36"/>
      <w:szCs w:val="28"/>
    </w:rPr>
  </w:style>
  <w:style w:type="paragraph" w:customStyle="1" w:styleId="AERbodytextnospace">
    <w:name w:val="AER body text no space"/>
    <w:basedOn w:val="Normal"/>
    <w:qFormat/>
    <w:rsid w:val="00683C89"/>
    <w:pPr>
      <w:tabs>
        <w:tab w:val="num" w:pos="0"/>
      </w:tabs>
      <w:spacing w:before="0" w:line="288" w:lineRule="auto"/>
      <w:jc w:val="both"/>
    </w:pPr>
    <w:rPr>
      <w:rFonts w:asciiTheme="minorHAnsi" w:eastAsia="Times New Roman" w:hAnsiTheme="minorHAnsi" w:cs="Times New Roman"/>
      <w:sz w:val="20"/>
      <w:szCs w:val="24"/>
    </w:rPr>
  </w:style>
  <w:style w:type="paragraph" w:customStyle="1" w:styleId="AERnumberedlist2first">
    <w:name w:val="AER numbered list 2 first"/>
    <w:basedOn w:val="Normal"/>
    <w:qFormat/>
    <w:rsid w:val="00683C89"/>
    <w:pPr>
      <w:tabs>
        <w:tab w:val="num" w:pos="454"/>
      </w:tabs>
      <w:spacing w:before="0" w:after="240" w:line="288" w:lineRule="auto"/>
      <w:ind w:left="454" w:hanging="454"/>
      <w:jc w:val="both"/>
    </w:pPr>
    <w:rPr>
      <w:rFonts w:asciiTheme="minorHAnsi" w:eastAsia="Times New Roman" w:hAnsiTheme="minorHAnsi" w:cs="Times New Roman"/>
      <w:sz w:val="20"/>
      <w:szCs w:val="24"/>
    </w:rPr>
  </w:style>
  <w:style w:type="character" w:customStyle="1" w:styleId="AERbodytextChar">
    <w:name w:val="AER body text Char"/>
    <w:basedOn w:val="DefaultParagraphFont"/>
    <w:rsid w:val="00126A4C"/>
    <w:rPr>
      <w:rFonts w:eastAsia="Times New Roman"/>
      <w:szCs w:val="24"/>
      <w:lang w:eastAsia="en-US"/>
    </w:rPr>
  </w:style>
  <w:style w:type="character" w:customStyle="1" w:styleId="HeadingBoldBlueChar">
    <w:name w:val="Heading Bold Blue Char"/>
    <w:basedOn w:val="AERbodytextChar"/>
    <w:link w:val="HeadingBoldBlue"/>
    <w:rsid w:val="00126A4C"/>
    <w:rPr>
      <w:rFonts w:ascii="Arial" w:eastAsiaTheme="majorEastAsia" w:hAnsi="Arial" w:cstheme="majorBidi"/>
      <w:b/>
      <w:bCs/>
      <w:color w:val="70635A" w:themeColor="text2"/>
      <w:sz w:val="28"/>
      <w:szCs w:val="24"/>
      <w:lang w:eastAsia="en-US"/>
    </w:rPr>
  </w:style>
  <w:style w:type="table" w:customStyle="1" w:styleId="AERtable-text0">
    <w:name w:val="AER table - text"/>
    <w:basedOn w:val="TableNormal"/>
    <w:uiPriority w:val="99"/>
    <w:rsid w:val="00683C89"/>
    <w:pPr>
      <w:spacing w:before="120" w:after="80"/>
    </w:pPr>
    <w:rPr>
      <w:rFonts w:eastAsia="Calibri" w:cs="Times New Roman"/>
      <w:sz w:val="16"/>
      <w:szCs w:val="20"/>
      <w:lang w:eastAsia="en-AU"/>
    </w:rPr>
    <w:tblPr>
      <w:tblStyleRowBandSize w:val="1"/>
      <w:tblBorders>
        <w:bottom w:val="single" w:sz="4" w:space="0" w:color="365F91"/>
      </w:tblBorders>
    </w:tblPr>
    <w:tcPr>
      <w:vAlign w:val="center"/>
    </w:tcPr>
    <w:tblStylePr w:type="firstRow">
      <w:rPr>
        <w:b/>
        <w:color w:val="FFFFFF"/>
      </w:rPr>
      <w:tblPr/>
      <w:tcPr>
        <w:shd w:val="clear" w:color="auto" w:fill="365F91"/>
      </w:tcPr>
    </w:tblStylePr>
    <w:tblStylePr w:type="band2Horz">
      <w:tblPr/>
      <w:tcPr>
        <w:shd w:val="clear" w:color="auto" w:fill="DBE5F1"/>
      </w:tcPr>
    </w:tblStylePr>
  </w:style>
  <w:style w:type="character" w:customStyle="1" w:styleId="AERtextsize8">
    <w:name w:val="AER text size 8"/>
    <w:basedOn w:val="AERbody"/>
    <w:uiPriority w:val="1"/>
    <w:qFormat/>
    <w:rsid w:val="00126A4C"/>
    <w:rPr>
      <w:rFonts w:ascii="Arial" w:hAnsi="Arial"/>
      <w:color w:val="auto"/>
      <w:sz w:val="16"/>
    </w:rPr>
  </w:style>
  <w:style w:type="paragraph" w:styleId="Index7">
    <w:name w:val="index 7"/>
    <w:basedOn w:val="Normal"/>
    <w:next w:val="Normal"/>
    <w:autoRedefine/>
    <w:uiPriority w:val="99"/>
    <w:unhideWhenUsed/>
    <w:rsid w:val="00126A4C"/>
    <w:pPr>
      <w:spacing w:before="0" w:line="240" w:lineRule="auto"/>
      <w:ind w:left="1540" w:hanging="220"/>
    </w:pPr>
  </w:style>
  <w:style w:type="paragraph" w:customStyle="1" w:styleId="AERtablesource">
    <w:name w:val="AER table source"/>
    <w:next w:val="Normal"/>
    <w:qFormat/>
    <w:rsid w:val="0066104A"/>
    <w:pPr>
      <w:tabs>
        <w:tab w:val="left" w:pos="794"/>
      </w:tabs>
      <w:spacing w:before="160" w:after="360" w:line="360" w:lineRule="auto"/>
      <w:ind w:left="794" w:hanging="794"/>
      <w:contextualSpacing/>
      <w:jc w:val="both"/>
    </w:pPr>
    <w:rPr>
      <w:rFonts w:ascii="Arial" w:eastAsia="Times New Roman" w:hAnsi="Arial" w:cs="Times New Roman"/>
      <w:sz w:val="16"/>
      <w:szCs w:val="24"/>
    </w:rPr>
  </w:style>
  <w:style w:type="character" w:customStyle="1" w:styleId="AERtexthighlight">
    <w:name w:val="AER text highlight"/>
    <w:qFormat/>
    <w:rsid w:val="00126A4C"/>
    <w:rPr>
      <w:bdr w:val="none" w:sz="0" w:space="0" w:color="auto"/>
      <w:shd w:val="clear" w:color="auto" w:fill="FFFF00"/>
    </w:rPr>
  </w:style>
  <w:style w:type="character" w:customStyle="1" w:styleId="AERtextitalic">
    <w:name w:val="AER text italic"/>
    <w:qFormat/>
    <w:rsid w:val="00126A4C"/>
    <w:rPr>
      <w:i/>
    </w:rPr>
  </w:style>
  <w:style w:type="paragraph" w:customStyle="1" w:styleId="AERquote">
    <w:name w:val="AER quote"/>
    <w:next w:val="Normal"/>
    <w:qFormat/>
    <w:rsid w:val="00DE1093"/>
    <w:pPr>
      <w:tabs>
        <w:tab w:val="num" w:pos="709"/>
      </w:tabs>
      <w:spacing w:after="160" w:line="288" w:lineRule="auto"/>
      <w:ind w:left="709" w:right="720"/>
      <w:jc w:val="both"/>
    </w:pPr>
    <w:rPr>
      <w:rFonts w:ascii="Arial" w:eastAsia="Times New Roman" w:hAnsi="Arial" w:cs="Times New Roman"/>
      <w:color w:val="000000"/>
      <w:sz w:val="20"/>
      <w:szCs w:val="24"/>
    </w:rPr>
  </w:style>
  <w:style w:type="paragraph" w:customStyle="1" w:styleId="AERtabletextleft">
    <w:name w:val="AER table text left"/>
    <w:qFormat/>
    <w:rsid w:val="00983C25"/>
    <w:pPr>
      <w:spacing w:before="80" w:after="120" w:line="288" w:lineRule="auto"/>
    </w:pPr>
    <w:rPr>
      <w:rFonts w:ascii="Arial" w:eastAsia="Times New Roman" w:hAnsi="Arial" w:cs="Times New Roman"/>
      <w:sz w:val="20"/>
      <w:szCs w:val="24"/>
    </w:rPr>
  </w:style>
  <w:style w:type="character" w:customStyle="1" w:styleId="AERtextboldunderline">
    <w:name w:val="AER text bold underline"/>
    <w:qFormat/>
    <w:rsid w:val="000E4821"/>
    <w:rPr>
      <w:b/>
      <w:u w:val="single"/>
    </w:rPr>
  </w:style>
  <w:style w:type="numbering" w:customStyle="1" w:styleId="OldAERheadings">
    <w:name w:val="Old AER headings"/>
    <w:uiPriority w:val="99"/>
    <w:locked/>
    <w:rsid w:val="000E4821"/>
    <w:pPr>
      <w:numPr>
        <w:numId w:val="26"/>
      </w:numPr>
    </w:pPr>
  </w:style>
  <w:style w:type="character" w:customStyle="1" w:styleId="AERtextorange">
    <w:name w:val="AER text orange"/>
    <w:uiPriority w:val="1"/>
    <w:qFormat/>
    <w:rsid w:val="000E4821"/>
    <w:rPr>
      <w:color w:val="E36C0A"/>
    </w:rPr>
  </w:style>
  <w:style w:type="paragraph" w:customStyle="1" w:styleId="AERtitle1">
    <w:name w:val="AER title 1"/>
    <w:qFormat/>
    <w:rsid w:val="00683C89"/>
    <w:pPr>
      <w:spacing w:before="0" w:after="240" w:line="288" w:lineRule="auto"/>
      <w:jc w:val="center"/>
    </w:pPr>
    <w:rPr>
      <w:rFonts w:asciiTheme="majorHAnsi" w:eastAsia="Times New Roman" w:hAnsiTheme="majorHAnsi" w:cs="Times New Roman"/>
      <w:b/>
      <w:sz w:val="40"/>
      <w:szCs w:val="24"/>
      <w:lang w:eastAsia="en-AU"/>
    </w:rPr>
  </w:style>
  <w:style w:type="paragraph" w:customStyle="1" w:styleId="AERtitle2">
    <w:name w:val="AER title 2"/>
    <w:qFormat/>
    <w:rsid w:val="00683C89"/>
    <w:pPr>
      <w:spacing w:before="0" w:after="240" w:line="288" w:lineRule="auto"/>
      <w:jc w:val="center"/>
    </w:pPr>
    <w:rPr>
      <w:rFonts w:asciiTheme="majorHAnsi" w:eastAsia="Times New Roman" w:hAnsiTheme="majorHAnsi" w:cs="Times New Roman"/>
      <w:sz w:val="32"/>
      <w:szCs w:val="24"/>
    </w:rPr>
  </w:style>
  <w:style w:type="character" w:customStyle="1" w:styleId="AERtextblue">
    <w:name w:val="AER text blue"/>
    <w:uiPriority w:val="1"/>
    <w:qFormat/>
    <w:rsid w:val="000E4821"/>
    <w:rPr>
      <w:color w:val="365F91"/>
    </w:rPr>
  </w:style>
  <w:style w:type="table" w:customStyle="1" w:styleId="AERtable-numbers">
    <w:name w:val="AER table - numbers"/>
    <w:basedOn w:val="TableNormal"/>
    <w:uiPriority w:val="99"/>
    <w:rsid w:val="00683C89"/>
    <w:pPr>
      <w:spacing w:before="120" w:after="80"/>
      <w:jc w:val="right"/>
    </w:pPr>
    <w:rPr>
      <w:rFonts w:eastAsia="Calibri" w:cs="Times New Roman"/>
      <w:sz w:val="16"/>
      <w:szCs w:val="20"/>
      <w:lang w:eastAsia="en-AU"/>
    </w:rPr>
    <w:tblPr>
      <w:tblStyleRowBandSize w:val="1"/>
      <w:tblBorders>
        <w:bottom w:val="single" w:sz="4" w:space="0" w:color="365F91"/>
      </w:tblBorders>
    </w:tblPr>
    <w:tcPr>
      <w:vAlign w:val="center"/>
    </w:tcPr>
    <w:tblStylePr w:type="firstRow">
      <w:rPr>
        <w:b/>
        <w:color w:val="FFFFFF"/>
      </w:rPr>
      <w:tblPr/>
      <w:tcPr>
        <w:shd w:val="clear" w:color="auto" w:fill="365F91"/>
      </w:tcPr>
    </w:tblStylePr>
    <w:tblStylePr w:type="firstCol">
      <w:pPr>
        <w:jc w:val="left"/>
      </w:pPr>
    </w:tblStylePr>
    <w:tblStylePr w:type="band2Horz">
      <w:tblPr/>
      <w:tcPr>
        <w:shd w:val="clear" w:color="auto" w:fill="DBE5F1"/>
      </w:tcPr>
    </w:tblStylePr>
  </w:style>
  <w:style w:type="table" w:styleId="TableGrid1">
    <w:name w:val="Table Grid 1"/>
    <w:basedOn w:val="TableNormal"/>
    <w:uiPriority w:val="99"/>
    <w:semiHidden/>
    <w:unhideWhenUsed/>
    <w:rsid w:val="00683C89"/>
    <w:pPr>
      <w:spacing w:before="0"/>
    </w:pPr>
    <w:rPr>
      <w:rFonts w:eastAsia="Calibri"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ERtabletextright">
    <w:name w:val="AER table text right"/>
    <w:basedOn w:val="AERtabletextleft"/>
    <w:qFormat/>
    <w:rsid w:val="000E4821"/>
    <w:pPr>
      <w:spacing w:before="120" w:after="80"/>
      <w:jc w:val="right"/>
    </w:pPr>
  </w:style>
  <w:style w:type="paragraph" w:styleId="CommentText">
    <w:name w:val="annotation text"/>
    <w:basedOn w:val="Normal"/>
    <w:link w:val="CommentTextChar"/>
    <w:uiPriority w:val="99"/>
    <w:unhideWhenUsed/>
    <w:rsid w:val="00683C89"/>
    <w:pPr>
      <w:spacing w:before="0" w:after="240" w:line="240" w:lineRule="auto"/>
      <w:jc w:val="both"/>
    </w:pPr>
    <w:rPr>
      <w:rFonts w:asciiTheme="minorHAnsi" w:eastAsia="Calibri" w:hAnsiTheme="minorHAnsi" w:cs="Times New Roman"/>
      <w:sz w:val="20"/>
      <w:szCs w:val="20"/>
    </w:rPr>
  </w:style>
  <w:style w:type="character" w:customStyle="1" w:styleId="CommentTextChar">
    <w:name w:val="Comment Text Char"/>
    <w:basedOn w:val="DefaultParagraphFont"/>
    <w:link w:val="CommentText"/>
    <w:uiPriority w:val="99"/>
    <w:rsid w:val="00683C89"/>
    <w:rPr>
      <w:rFonts w:eastAsia="Calibri" w:cs="Times New Roman"/>
      <w:sz w:val="20"/>
      <w:szCs w:val="20"/>
    </w:rPr>
  </w:style>
  <w:style w:type="paragraph" w:styleId="CommentSubject">
    <w:name w:val="annotation subject"/>
    <w:basedOn w:val="CommentText"/>
    <w:next w:val="CommentText"/>
    <w:link w:val="CommentSubjectChar"/>
    <w:semiHidden/>
    <w:unhideWhenUsed/>
    <w:rsid w:val="00683C89"/>
    <w:rPr>
      <w:b/>
      <w:bCs/>
    </w:rPr>
  </w:style>
  <w:style w:type="character" w:customStyle="1" w:styleId="CommentSubjectChar">
    <w:name w:val="Comment Subject Char"/>
    <w:basedOn w:val="CommentTextChar"/>
    <w:link w:val="CommentSubject"/>
    <w:uiPriority w:val="99"/>
    <w:semiHidden/>
    <w:rsid w:val="00683C89"/>
    <w:rPr>
      <w:rFonts w:eastAsia="Calibri" w:cs="Times New Roman"/>
      <w:b/>
      <w:bCs/>
      <w:sz w:val="20"/>
      <w:szCs w:val="20"/>
    </w:rPr>
  </w:style>
  <w:style w:type="character" w:customStyle="1" w:styleId="AERtextsize10">
    <w:name w:val="AER text size 10"/>
    <w:uiPriority w:val="1"/>
    <w:qFormat/>
    <w:rsid w:val="000E4821"/>
    <w:rPr>
      <w:sz w:val="20"/>
    </w:rPr>
  </w:style>
  <w:style w:type="paragraph" w:customStyle="1" w:styleId="AERbodytextnospaceleftalign">
    <w:name w:val="AER body text no space left align"/>
    <w:basedOn w:val="AERbodytextnospace"/>
    <w:qFormat/>
    <w:rsid w:val="000E4821"/>
    <w:pPr>
      <w:jc w:val="left"/>
    </w:pPr>
  </w:style>
  <w:style w:type="paragraph" w:customStyle="1" w:styleId="AERbodytextleftalign">
    <w:name w:val="AER body text left align"/>
    <w:basedOn w:val="Normal"/>
    <w:qFormat/>
    <w:rsid w:val="00683C89"/>
    <w:pPr>
      <w:tabs>
        <w:tab w:val="num" w:pos="1492"/>
      </w:tabs>
      <w:spacing w:before="0" w:after="240" w:line="288" w:lineRule="auto"/>
      <w:ind w:left="1492" w:hanging="360"/>
    </w:pPr>
    <w:rPr>
      <w:rFonts w:asciiTheme="minorHAnsi" w:eastAsia="Times New Roman" w:hAnsiTheme="minorHAnsi" w:cs="Times New Roman"/>
      <w:sz w:val="20"/>
      <w:szCs w:val="24"/>
    </w:rPr>
  </w:style>
  <w:style w:type="paragraph" w:customStyle="1" w:styleId="AERbodytextcentre">
    <w:name w:val="AER body text centre"/>
    <w:basedOn w:val="Normal"/>
    <w:qFormat/>
    <w:rsid w:val="00683C89"/>
    <w:pPr>
      <w:tabs>
        <w:tab w:val="num" w:pos="1492"/>
      </w:tabs>
      <w:spacing w:before="0" w:after="240" w:line="288" w:lineRule="auto"/>
      <w:ind w:left="1492" w:hanging="360"/>
      <w:jc w:val="center"/>
    </w:pPr>
    <w:rPr>
      <w:rFonts w:asciiTheme="minorHAnsi" w:eastAsia="Times New Roman" w:hAnsiTheme="minorHAnsi" w:cs="Times New Roman"/>
      <w:sz w:val="20"/>
      <w:szCs w:val="24"/>
    </w:rPr>
  </w:style>
  <w:style w:type="paragraph" w:customStyle="1" w:styleId="AERbodytextnospacecentre">
    <w:name w:val="AER body text no space centre"/>
    <w:basedOn w:val="AERbodytextnospace"/>
    <w:qFormat/>
    <w:rsid w:val="000E4821"/>
    <w:pPr>
      <w:tabs>
        <w:tab w:val="clear" w:pos="0"/>
        <w:tab w:val="num" w:pos="1492"/>
      </w:tabs>
      <w:ind w:left="1492" w:hanging="360"/>
      <w:jc w:val="center"/>
    </w:pPr>
  </w:style>
  <w:style w:type="paragraph" w:styleId="Revision">
    <w:name w:val="Revision"/>
    <w:hidden/>
    <w:uiPriority w:val="99"/>
    <w:semiHidden/>
    <w:rsid w:val="000E4821"/>
    <w:pPr>
      <w:spacing w:before="0"/>
    </w:pPr>
    <w:rPr>
      <w:rFonts w:ascii="Gautami" w:eastAsia="Calibri" w:hAnsi="Gautami" w:cs="Times New Roman"/>
      <w:sz w:val="20"/>
      <w:szCs w:val="20"/>
    </w:rPr>
  </w:style>
  <w:style w:type="table" w:customStyle="1" w:styleId="AERtable-text1">
    <w:name w:val="AER table - text1"/>
    <w:basedOn w:val="TableNormal"/>
    <w:uiPriority w:val="99"/>
    <w:rsid w:val="00683C89"/>
    <w:pPr>
      <w:spacing w:before="120" w:after="80"/>
    </w:pPr>
    <w:rPr>
      <w:rFonts w:eastAsia="Calibri" w:cs="Times New Roman"/>
      <w:sz w:val="16"/>
      <w:szCs w:val="20"/>
      <w:lang w:eastAsia="en-AU"/>
    </w:rPr>
    <w:tblPr>
      <w:tblStyleRowBandSize w:val="1"/>
      <w:tblInd w:w="0" w:type="nil"/>
      <w:tblBorders>
        <w:bottom w:val="single" w:sz="4" w:space="0" w:color="365F91"/>
      </w:tblBorders>
    </w:tblPr>
    <w:tcPr>
      <w:vAlign w:val="center"/>
    </w:tcPr>
    <w:tblStylePr w:type="firstRow">
      <w:rPr>
        <w:b/>
        <w:color w:val="FFFFFF"/>
      </w:rPr>
      <w:tblPr/>
      <w:tcPr>
        <w:shd w:val="clear" w:color="auto" w:fill="365F91"/>
      </w:tcPr>
    </w:tblStylePr>
    <w:tblStylePr w:type="band2Horz">
      <w:tblPr/>
      <w:tcPr>
        <w:shd w:val="clear" w:color="auto" w:fill="DBE5F1"/>
      </w:tcPr>
    </w:tblStylePr>
  </w:style>
  <w:style w:type="paragraph" w:styleId="NormalWeb">
    <w:name w:val="Normal (Web)"/>
    <w:basedOn w:val="Normal"/>
    <w:uiPriority w:val="99"/>
    <w:semiHidden/>
    <w:unhideWhenUsed/>
    <w:rsid w:val="00FC71DC"/>
    <w:pPr>
      <w:spacing w:before="0" w:after="240" w:line="288" w:lineRule="auto"/>
      <w:jc w:val="both"/>
    </w:pPr>
    <w:rPr>
      <w:rFonts w:ascii="Times New Roman" w:eastAsia="Calibri" w:hAnsi="Times New Roman" w:cs="Times New Roman"/>
      <w:sz w:val="24"/>
      <w:szCs w:val="24"/>
    </w:rPr>
  </w:style>
  <w:style w:type="paragraph" w:styleId="BodyText">
    <w:name w:val="Body Text"/>
    <w:basedOn w:val="Normal"/>
    <w:link w:val="BodyTextChar"/>
    <w:rsid w:val="00DE772C"/>
    <w:pPr>
      <w:shd w:val="pct10" w:color="auto" w:fill="auto"/>
      <w:spacing w:before="0" w:after="120" w:line="-240" w:lineRule="auto"/>
      <w:ind w:right="18"/>
    </w:pPr>
    <w:rPr>
      <w:rFonts w:ascii="Times New Roman" w:eastAsia="Times New Roman" w:hAnsi="Times New Roman" w:cs="Times New Roman"/>
      <w:sz w:val="20"/>
      <w:szCs w:val="20"/>
      <w:lang w:val="en-US" w:eastAsia="en-AU"/>
    </w:rPr>
  </w:style>
  <w:style w:type="character" w:customStyle="1" w:styleId="BodyTextChar">
    <w:name w:val="Body Text Char"/>
    <w:basedOn w:val="DefaultParagraphFont"/>
    <w:link w:val="BodyText"/>
    <w:rsid w:val="00DE772C"/>
    <w:rPr>
      <w:rFonts w:ascii="Times New Roman" w:eastAsia="Times New Roman" w:hAnsi="Times New Roman" w:cs="Times New Roman"/>
      <w:sz w:val="20"/>
      <w:szCs w:val="20"/>
      <w:shd w:val="pct10" w:color="auto" w:fill="auto"/>
      <w:lang w:val="en-US" w:eastAsia="en-AU"/>
    </w:rPr>
  </w:style>
  <w:style w:type="paragraph" w:styleId="BodyTextIndent3">
    <w:name w:val="Body Text Indent 3"/>
    <w:basedOn w:val="Normal"/>
    <w:link w:val="BodyTextIndent3Char"/>
    <w:rsid w:val="00DE772C"/>
    <w:pPr>
      <w:tabs>
        <w:tab w:val="num" w:pos="284"/>
        <w:tab w:val="left" w:pos="1418"/>
      </w:tabs>
      <w:spacing w:before="0" w:line="240" w:lineRule="auto"/>
      <w:ind w:left="426"/>
    </w:pPr>
    <w:rPr>
      <w:rFonts w:ascii="Arial Narrow" w:eastAsia="Times New Roman" w:hAnsi="Arial Narrow" w:cs="Times New Roman"/>
      <w:sz w:val="24"/>
      <w:szCs w:val="20"/>
      <w:lang w:val="en-US" w:eastAsia="en-AU"/>
    </w:rPr>
  </w:style>
  <w:style w:type="character" w:customStyle="1" w:styleId="BodyTextIndent3Char">
    <w:name w:val="Body Text Indent 3 Char"/>
    <w:basedOn w:val="DefaultParagraphFont"/>
    <w:link w:val="BodyTextIndent3"/>
    <w:rsid w:val="00DE772C"/>
    <w:rPr>
      <w:rFonts w:ascii="Arial Narrow" w:eastAsia="Times New Roman" w:hAnsi="Arial Narrow" w:cs="Times New Roman"/>
      <w:sz w:val="24"/>
      <w:szCs w:val="20"/>
      <w:lang w:val="en-US"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before="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nhideWhenUsed="0"/>
    <w:lsdException w:name="footnote text" w:uiPriority="2" w:qFormat="1"/>
    <w:lsdException w:name="header" w:uiPriority="0" w:qFormat="1"/>
    <w:lsdException w:name="footer" w:qFormat="1"/>
    <w:lsdException w:name="caption" w:uiPriority="0" w:qFormat="1"/>
    <w:lsdException w:name="page number" w:uiPriority="0"/>
    <w:lsdException w:name="List" w:uiPriority="0" w:qFormat="1"/>
    <w:lsdException w:name="List Bullet" w:uiPriority="0"/>
    <w:lsdException w:name="List Number" w:uiPriority="0" w:qFormat="1"/>
    <w:lsdException w:name="List Bullet 2" w:qFormat="1"/>
    <w:lsdException w:name="List Bullet 3" w:uiPriority="0" w:qFormat="1"/>
    <w:lsdException w:name="Title" w:semiHidden="0" w:uiPriority="0" w:unhideWhenUsed="0" w:qFormat="1"/>
    <w:lsdException w:name="Default Paragraph Font" w:uiPriority="1"/>
    <w:lsdException w:name="Body Text" w:uiPriority="0"/>
    <w:lsdException w:name="Body Text Indent" w:uiPriority="0"/>
    <w:lsdException w:name="List Continue" w:uiPriority="0" w:qFormat="1"/>
    <w:lsdException w:name="List Continue 2" w:uiPriority="0" w:qFormat="1"/>
    <w:lsdException w:name="List Continue 3" w:uiPriority="0" w:qFormat="1"/>
    <w:lsdException w:name="Subtitle" w:semiHidden="0" w:uiPriority="11" w:unhideWhenUsed="0"/>
    <w:lsdException w:name="Body Text 2" w:uiPriority="0"/>
    <w:lsdException w:name="Body Text 3" w:uiPriority="0"/>
    <w:lsdException w:name="Body Text Indent 3" w:uiPriority="0"/>
    <w:lsdException w:name="Hyperlink"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semiHidden="0" w:uiPriority="33" w:unhideWhenUsed="0"/>
    <w:lsdException w:name="Bibliography" w:uiPriority="37"/>
    <w:lsdException w:name="TOC Heading" w:uiPriority="39" w:qFormat="1"/>
  </w:latentStyles>
  <w:style w:type="paragraph" w:default="1" w:styleId="Normal">
    <w:name w:val="Normal"/>
    <w:aliases w:val="AER body text"/>
    <w:qFormat/>
    <w:rsid w:val="000A3020"/>
    <w:pPr>
      <w:spacing w:line="276" w:lineRule="auto"/>
    </w:pPr>
    <w:rPr>
      <w:rFonts w:ascii="Arial" w:hAnsi="Arial"/>
    </w:rPr>
  </w:style>
  <w:style w:type="paragraph" w:styleId="Heading1">
    <w:name w:val="heading 1"/>
    <w:aliases w:val="(Alt + 1)"/>
    <w:basedOn w:val="Normal"/>
    <w:next w:val="Normal"/>
    <w:link w:val="Heading1Char"/>
    <w:qFormat/>
    <w:rsid w:val="00DE1093"/>
    <w:pPr>
      <w:pageBreakBefore/>
      <w:numPr>
        <w:numId w:val="25"/>
      </w:numPr>
      <w:tabs>
        <w:tab w:val="left" w:pos="680"/>
      </w:tabs>
      <w:spacing w:before="240"/>
      <w:outlineLvl w:val="0"/>
    </w:pPr>
    <w:rPr>
      <w:rFonts w:eastAsiaTheme="majorEastAsia" w:cstheme="majorBidi"/>
      <w:b/>
      <w:bCs/>
      <w:color w:val="70635A"/>
      <w:sz w:val="36"/>
      <w:szCs w:val="28"/>
    </w:rPr>
  </w:style>
  <w:style w:type="paragraph" w:styleId="Heading2">
    <w:name w:val="heading 2"/>
    <w:next w:val="Normal"/>
    <w:link w:val="Heading2Char"/>
    <w:qFormat/>
    <w:rsid w:val="00126A4C"/>
    <w:pPr>
      <w:numPr>
        <w:ilvl w:val="1"/>
        <w:numId w:val="25"/>
      </w:numPr>
      <w:tabs>
        <w:tab w:val="left" w:pos="680"/>
      </w:tabs>
      <w:spacing w:line="240" w:lineRule="atLeast"/>
      <w:outlineLvl w:val="1"/>
    </w:pPr>
    <w:rPr>
      <w:rFonts w:ascii="Arial" w:eastAsiaTheme="majorEastAsia" w:hAnsi="Arial" w:cstheme="majorBidi"/>
      <w:b/>
      <w:bCs/>
      <w:color w:val="70635A" w:themeColor="text2"/>
      <w:sz w:val="32"/>
      <w:szCs w:val="26"/>
    </w:rPr>
  </w:style>
  <w:style w:type="paragraph" w:styleId="Heading3">
    <w:name w:val="heading 3"/>
    <w:basedOn w:val="Normal"/>
    <w:next w:val="Normal"/>
    <w:link w:val="Heading3Char"/>
    <w:qFormat/>
    <w:rsid w:val="00126A4C"/>
    <w:pPr>
      <w:numPr>
        <w:ilvl w:val="2"/>
        <w:numId w:val="25"/>
      </w:numPr>
      <w:tabs>
        <w:tab w:val="left" w:pos="1021"/>
      </w:tabs>
      <w:spacing w:before="240"/>
      <w:outlineLvl w:val="2"/>
    </w:pPr>
    <w:rPr>
      <w:rFonts w:eastAsiaTheme="majorEastAsia" w:cstheme="majorBidi"/>
      <w:b/>
      <w:bCs/>
      <w:color w:val="70635A" w:themeColor="text2"/>
      <w:sz w:val="28"/>
    </w:rPr>
  </w:style>
  <w:style w:type="paragraph" w:styleId="Heading4">
    <w:name w:val="heading 4"/>
    <w:basedOn w:val="Normal"/>
    <w:next w:val="Normal"/>
    <w:link w:val="Heading4Char"/>
    <w:qFormat/>
    <w:rsid w:val="00126A4C"/>
    <w:pPr>
      <w:numPr>
        <w:ilvl w:val="3"/>
        <w:numId w:val="25"/>
      </w:numPr>
      <w:tabs>
        <w:tab w:val="left" w:pos="1021"/>
      </w:tabs>
      <w:spacing w:before="240"/>
      <w:outlineLvl w:val="3"/>
    </w:pPr>
    <w:rPr>
      <w:rFonts w:eastAsiaTheme="majorEastAsia" w:cstheme="majorBidi"/>
      <w:b/>
      <w:bCs/>
      <w:iCs/>
      <w:color w:val="51626F"/>
      <w:sz w:val="24"/>
    </w:rPr>
  </w:style>
  <w:style w:type="paragraph" w:styleId="Heading5">
    <w:name w:val="heading 5"/>
    <w:aliases w:val="Appendix 1"/>
    <w:next w:val="Normal"/>
    <w:link w:val="Heading5Char"/>
    <w:qFormat/>
    <w:rsid w:val="00126A4C"/>
    <w:pPr>
      <w:numPr>
        <w:ilvl w:val="4"/>
        <w:numId w:val="25"/>
      </w:numPr>
      <w:tabs>
        <w:tab w:val="left" w:pos="1021"/>
      </w:tabs>
      <w:spacing w:line="240" w:lineRule="atLeast"/>
      <w:outlineLvl w:val="4"/>
    </w:pPr>
    <w:rPr>
      <w:rFonts w:ascii="Arial" w:eastAsiaTheme="majorEastAsia" w:hAnsi="Arial" w:cstheme="majorBidi"/>
      <w:b/>
      <w:color w:val="170017" w:themeColor="accent1" w:themeShade="7F"/>
    </w:rPr>
  </w:style>
  <w:style w:type="paragraph" w:styleId="Heading6">
    <w:name w:val="heading 6"/>
    <w:aliases w:val="Appendix 2"/>
    <w:basedOn w:val="Normal"/>
    <w:next w:val="Normal"/>
    <w:link w:val="Heading6Char"/>
    <w:qFormat/>
    <w:rsid w:val="00126A4C"/>
    <w:pPr>
      <w:numPr>
        <w:ilvl w:val="5"/>
        <w:numId w:val="25"/>
      </w:numPr>
      <w:tabs>
        <w:tab w:val="left" w:pos="1361"/>
      </w:tabs>
      <w:spacing w:before="240"/>
      <w:outlineLvl w:val="5"/>
    </w:pPr>
    <w:rPr>
      <w:rFonts w:eastAsiaTheme="majorEastAsia" w:cstheme="majorBidi"/>
      <w:b/>
      <w:i/>
      <w:iCs/>
      <w:color w:val="076A92" w:themeColor="text1"/>
    </w:rPr>
  </w:style>
  <w:style w:type="paragraph" w:styleId="Heading7">
    <w:name w:val="heading 7"/>
    <w:aliases w:val="(Appen),t,Appendix 3"/>
    <w:basedOn w:val="Heading1"/>
    <w:next w:val="Normal"/>
    <w:link w:val="Heading7Char"/>
    <w:qFormat/>
    <w:rsid w:val="00CB0279"/>
    <w:pPr>
      <w:numPr>
        <w:numId w:val="27"/>
      </w:numPr>
      <w:tabs>
        <w:tab w:val="clear" w:pos="680"/>
        <w:tab w:val="left" w:pos="1021"/>
      </w:tabs>
      <w:ind w:left="1021" w:hanging="1021"/>
      <w:outlineLvl w:val="6"/>
    </w:pPr>
  </w:style>
  <w:style w:type="paragraph" w:styleId="Heading8">
    <w:name w:val="heading 8"/>
    <w:basedOn w:val="Heading2"/>
    <w:next w:val="Normal"/>
    <w:link w:val="Heading8Char"/>
    <w:qFormat/>
    <w:rsid w:val="00CB0279"/>
    <w:pPr>
      <w:numPr>
        <w:numId w:val="27"/>
      </w:numPr>
      <w:tabs>
        <w:tab w:val="clear" w:pos="680"/>
        <w:tab w:val="left" w:pos="1021"/>
      </w:tabs>
      <w:outlineLvl w:val="7"/>
    </w:pPr>
  </w:style>
  <w:style w:type="paragraph" w:styleId="Heading9">
    <w:name w:val="heading 9"/>
    <w:basedOn w:val="Heading3"/>
    <w:next w:val="Normal"/>
    <w:link w:val="Heading9Char"/>
    <w:qFormat/>
    <w:rsid w:val="00CB0279"/>
    <w:pPr>
      <w:numPr>
        <w:numId w:val="27"/>
      </w:numPr>
      <w:ind w:left="1021" w:hanging="102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lt + 1) Char"/>
    <w:basedOn w:val="DefaultParagraphFont"/>
    <w:link w:val="Heading1"/>
    <w:rsid w:val="00DE1093"/>
    <w:rPr>
      <w:rFonts w:ascii="Arial" w:eastAsiaTheme="majorEastAsia" w:hAnsi="Arial" w:cstheme="majorBidi"/>
      <w:b/>
      <w:bCs/>
      <w:color w:val="70635A"/>
      <w:sz w:val="36"/>
      <w:szCs w:val="28"/>
    </w:rPr>
  </w:style>
  <w:style w:type="character" w:customStyle="1" w:styleId="Heading2Char">
    <w:name w:val="Heading 2 Char"/>
    <w:basedOn w:val="DefaultParagraphFont"/>
    <w:link w:val="Heading2"/>
    <w:rsid w:val="00126A4C"/>
    <w:rPr>
      <w:rFonts w:ascii="Arial" w:eastAsiaTheme="majorEastAsia" w:hAnsi="Arial" w:cstheme="majorBidi"/>
      <w:b/>
      <w:bCs/>
      <w:color w:val="70635A" w:themeColor="text2"/>
      <w:sz w:val="32"/>
      <w:szCs w:val="26"/>
    </w:rPr>
  </w:style>
  <w:style w:type="character" w:customStyle="1" w:styleId="Heading3Char">
    <w:name w:val="Heading 3 Char"/>
    <w:basedOn w:val="DefaultParagraphFont"/>
    <w:link w:val="Heading3"/>
    <w:rsid w:val="00126A4C"/>
    <w:rPr>
      <w:rFonts w:ascii="Arial" w:eastAsiaTheme="majorEastAsia" w:hAnsi="Arial" w:cstheme="majorBidi"/>
      <w:b/>
      <w:bCs/>
      <w:color w:val="70635A" w:themeColor="text2"/>
      <w:sz w:val="28"/>
    </w:rPr>
  </w:style>
  <w:style w:type="character" w:customStyle="1" w:styleId="Heading4Char">
    <w:name w:val="Heading 4 Char"/>
    <w:basedOn w:val="DefaultParagraphFont"/>
    <w:link w:val="Heading4"/>
    <w:rsid w:val="00126A4C"/>
    <w:rPr>
      <w:rFonts w:ascii="Arial" w:eastAsiaTheme="majorEastAsia" w:hAnsi="Arial" w:cstheme="majorBidi"/>
      <w:b/>
      <w:bCs/>
      <w:iCs/>
      <w:color w:val="51626F"/>
      <w:sz w:val="24"/>
    </w:rPr>
  </w:style>
  <w:style w:type="character" w:customStyle="1" w:styleId="Heading5Char">
    <w:name w:val="Heading 5 Char"/>
    <w:aliases w:val="Appendix 1 Char"/>
    <w:basedOn w:val="DefaultParagraphFont"/>
    <w:link w:val="Heading5"/>
    <w:rsid w:val="00126A4C"/>
    <w:rPr>
      <w:rFonts w:ascii="Arial" w:eastAsiaTheme="majorEastAsia" w:hAnsi="Arial" w:cstheme="majorBidi"/>
      <w:b/>
      <w:color w:val="170017" w:themeColor="accent1" w:themeShade="7F"/>
    </w:rPr>
  </w:style>
  <w:style w:type="character" w:customStyle="1" w:styleId="Heading6Char">
    <w:name w:val="Heading 6 Char"/>
    <w:aliases w:val="Appendix 2 Char"/>
    <w:basedOn w:val="DefaultParagraphFont"/>
    <w:link w:val="Heading6"/>
    <w:rsid w:val="00126A4C"/>
    <w:rPr>
      <w:rFonts w:ascii="Arial" w:eastAsiaTheme="majorEastAsia" w:hAnsi="Arial" w:cstheme="majorBidi"/>
      <w:b/>
      <w:i/>
      <w:iCs/>
      <w:color w:val="076A92" w:themeColor="text1"/>
    </w:rPr>
  </w:style>
  <w:style w:type="paragraph" w:customStyle="1" w:styleId="Chaptertitle">
    <w:name w:val="Chapter title"/>
    <w:basedOn w:val="Normal"/>
    <w:link w:val="ChaptertitleChar"/>
    <w:rsid w:val="00DE1093"/>
    <w:pPr>
      <w:pageBreakBefore/>
      <w:spacing w:before="520" w:after="120"/>
      <w:outlineLvl w:val="0"/>
    </w:pPr>
    <w:rPr>
      <w:color w:val="076A92" w:themeColor="text1"/>
      <w:sz w:val="52"/>
      <w:szCs w:val="52"/>
    </w:rPr>
  </w:style>
  <w:style w:type="character" w:customStyle="1" w:styleId="ChaptertitleChar">
    <w:name w:val="Chapter title Char"/>
    <w:basedOn w:val="DefaultParagraphFont"/>
    <w:link w:val="Chaptertitle"/>
    <w:rsid w:val="00DE1093"/>
    <w:rPr>
      <w:rFonts w:ascii="Arial" w:hAnsi="Arial"/>
      <w:color w:val="076A92" w:themeColor="text1"/>
      <w:sz w:val="52"/>
      <w:szCs w:val="52"/>
    </w:rPr>
  </w:style>
  <w:style w:type="paragraph" w:customStyle="1" w:styleId="Tabletext">
    <w:name w:val="Table text"/>
    <w:basedOn w:val="Normal"/>
    <w:link w:val="TabletextChar"/>
    <w:uiPriority w:val="1"/>
    <w:qFormat/>
    <w:rsid w:val="00584D8F"/>
    <w:pPr>
      <w:spacing w:before="120" w:after="60"/>
    </w:pPr>
    <w:rPr>
      <w:sz w:val="20"/>
    </w:rPr>
  </w:style>
  <w:style w:type="paragraph" w:styleId="TOC8">
    <w:name w:val="toc 8"/>
    <w:basedOn w:val="Normal"/>
    <w:next w:val="Normal"/>
    <w:rsid w:val="005D7BA2"/>
    <w:pPr>
      <w:tabs>
        <w:tab w:val="right" w:leader="dot" w:pos="8363"/>
      </w:tabs>
      <w:spacing w:after="100"/>
      <w:ind w:left="2977"/>
    </w:pPr>
    <w:rPr>
      <w:noProof/>
    </w:rPr>
  </w:style>
  <w:style w:type="paragraph" w:styleId="TOC9">
    <w:name w:val="toc 9"/>
    <w:basedOn w:val="Normal"/>
    <w:next w:val="Normal"/>
    <w:rsid w:val="005D7BA2"/>
    <w:pPr>
      <w:tabs>
        <w:tab w:val="right" w:leader="dot" w:pos="8363"/>
      </w:tabs>
      <w:spacing w:after="100"/>
      <w:ind w:left="3402"/>
    </w:pPr>
    <w:rPr>
      <w:noProof/>
    </w:rPr>
  </w:style>
  <w:style w:type="paragraph" w:customStyle="1" w:styleId="HeadingBoldBlue">
    <w:name w:val="Heading Bold Blue"/>
    <w:basedOn w:val="Heading3"/>
    <w:link w:val="HeadingBoldBlueChar"/>
    <w:qFormat/>
    <w:rsid w:val="00985C86"/>
    <w:pPr>
      <w:numPr>
        <w:ilvl w:val="0"/>
        <w:numId w:val="0"/>
      </w:numPr>
    </w:pPr>
  </w:style>
  <w:style w:type="paragraph" w:customStyle="1" w:styleId="HeadingBoldItalic">
    <w:name w:val="Heading Bold Italic"/>
    <w:basedOn w:val="Heading4"/>
    <w:qFormat/>
    <w:rsid w:val="00985C86"/>
    <w:pPr>
      <w:numPr>
        <w:ilvl w:val="0"/>
        <w:numId w:val="0"/>
      </w:numPr>
    </w:pPr>
    <w:rPr>
      <w:i/>
    </w:rPr>
  </w:style>
  <w:style w:type="paragraph" w:customStyle="1" w:styleId="HeadingItalic">
    <w:name w:val="Heading Italic"/>
    <w:basedOn w:val="HeadingBoldItalic"/>
    <w:qFormat/>
    <w:rsid w:val="00985C86"/>
    <w:rPr>
      <w:b w:val="0"/>
    </w:rPr>
  </w:style>
  <w:style w:type="paragraph" w:customStyle="1" w:styleId="HeadingOrange">
    <w:name w:val="Heading Orange"/>
    <w:basedOn w:val="Heading5"/>
    <w:qFormat/>
    <w:rsid w:val="00985C86"/>
    <w:pPr>
      <w:numPr>
        <w:ilvl w:val="0"/>
        <w:numId w:val="0"/>
      </w:numPr>
    </w:pPr>
  </w:style>
  <w:style w:type="paragraph" w:styleId="Header">
    <w:name w:val="header"/>
    <w:basedOn w:val="Normal"/>
    <w:link w:val="HeaderChar"/>
    <w:unhideWhenUsed/>
    <w:qFormat/>
    <w:rsid w:val="008344F6"/>
    <w:pPr>
      <w:tabs>
        <w:tab w:val="center" w:pos="4513"/>
        <w:tab w:val="right" w:pos="9026"/>
      </w:tabs>
      <w:spacing w:after="120"/>
    </w:pPr>
    <w:rPr>
      <w:color w:val="2F002F" w:themeColor="accent1"/>
      <w:sz w:val="18"/>
    </w:rPr>
  </w:style>
  <w:style w:type="character" w:customStyle="1" w:styleId="HeaderChar">
    <w:name w:val="Header Char"/>
    <w:basedOn w:val="DefaultParagraphFont"/>
    <w:link w:val="Header"/>
    <w:uiPriority w:val="99"/>
    <w:rsid w:val="008344F6"/>
    <w:rPr>
      <w:rFonts w:ascii="Arial" w:hAnsi="Arial"/>
      <w:color w:val="2F002F" w:themeColor="accent1"/>
      <w:sz w:val="18"/>
    </w:rPr>
  </w:style>
  <w:style w:type="paragraph" w:styleId="NoSpacing">
    <w:name w:val="No Spacing"/>
    <w:uiPriority w:val="1"/>
    <w:qFormat/>
    <w:rsid w:val="00724A37"/>
    <w:pPr>
      <w:spacing w:before="0"/>
    </w:pPr>
    <w:rPr>
      <w:rFonts w:ascii="Arial" w:hAnsi="Arial"/>
    </w:rPr>
  </w:style>
  <w:style w:type="paragraph" w:customStyle="1" w:styleId="Tabletitle">
    <w:name w:val="Table title"/>
    <w:basedOn w:val="Normal"/>
    <w:link w:val="TabletitleChar"/>
    <w:qFormat/>
    <w:rsid w:val="00C67A92"/>
    <w:pPr>
      <w:spacing w:before="240" w:after="120"/>
    </w:pPr>
    <w:rPr>
      <w:b/>
      <w:color w:val="076A92" w:themeColor="text1"/>
      <w:sz w:val="24"/>
      <w:szCs w:val="20"/>
    </w:rPr>
  </w:style>
  <w:style w:type="character" w:customStyle="1" w:styleId="TabletitleChar">
    <w:name w:val="Table title Char"/>
    <w:basedOn w:val="DefaultParagraphFont"/>
    <w:link w:val="Tabletitle"/>
    <w:rsid w:val="00C67A92"/>
    <w:rPr>
      <w:rFonts w:ascii="Arial" w:hAnsi="Arial"/>
      <w:b/>
      <w:color w:val="076A92" w:themeColor="text1"/>
      <w:sz w:val="24"/>
      <w:szCs w:val="20"/>
    </w:rPr>
  </w:style>
  <w:style w:type="paragraph" w:customStyle="1" w:styleId="Charttitle">
    <w:name w:val="Chart title"/>
    <w:basedOn w:val="Tabletitle"/>
    <w:rsid w:val="00C67A92"/>
  </w:style>
  <w:style w:type="paragraph" w:styleId="EndnoteText">
    <w:name w:val="endnote text"/>
    <w:basedOn w:val="Normal"/>
    <w:link w:val="EndnoteTextChar"/>
    <w:uiPriority w:val="99"/>
    <w:rsid w:val="00263AC0"/>
    <w:pPr>
      <w:spacing w:before="0"/>
    </w:pPr>
    <w:rPr>
      <w:sz w:val="20"/>
      <w:szCs w:val="20"/>
    </w:rPr>
  </w:style>
  <w:style w:type="paragraph" w:customStyle="1" w:styleId="AERrevisionbox">
    <w:name w:val="AER revision box"/>
    <w:basedOn w:val="Normal"/>
    <w:link w:val="AERrevisionboxChar"/>
    <w:qFormat/>
    <w:rsid w:val="00180157"/>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2F2F2" w:themeFill="background1" w:themeFillShade="F2"/>
      <w:spacing w:after="240"/>
    </w:pPr>
    <w:rPr>
      <w:szCs w:val="20"/>
    </w:rPr>
  </w:style>
  <w:style w:type="character" w:customStyle="1" w:styleId="AERrevisionboxChar">
    <w:name w:val="AER revision box Char"/>
    <w:basedOn w:val="DefaultParagraphFont"/>
    <w:link w:val="AERrevisionbox"/>
    <w:uiPriority w:val="1"/>
    <w:rsid w:val="00AE1BF1"/>
    <w:rPr>
      <w:rFonts w:ascii="Arial" w:hAnsi="Arial"/>
      <w:szCs w:val="20"/>
      <w:shd w:val="clear" w:color="auto" w:fill="F2F2F2" w:themeFill="background1" w:themeFillShade="F2"/>
    </w:rPr>
  </w:style>
  <w:style w:type="paragraph" w:customStyle="1" w:styleId="Pullquoteheading">
    <w:name w:val="Pull quote heading"/>
    <w:basedOn w:val="Normal"/>
    <w:link w:val="PullquoteheadingChar"/>
    <w:uiPriority w:val="1"/>
    <w:rsid w:val="00CA489E"/>
    <w:pPr>
      <w:spacing w:after="120"/>
      <w:contextualSpacing/>
    </w:pPr>
    <w:rPr>
      <w:b/>
      <w:color w:val="C14E00" w:themeColor="accent2"/>
      <w:sz w:val="24"/>
      <w:szCs w:val="24"/>
    </w:rPr>
  </w:style>
  <w:style w:type="character" w:customStyle="1" w:styleId="PullquoteheadingChar">
    <w:name w:val="Pull quote heading Char"/>
    <w:basedOn w:val="DefaultParagraphFont"/>
    <w:link w:val="Pullquoteheading"/>
    <w:uiPriority w:val="1"/>
    <w:rsid w:val="00CA489E"/>
    <w:rPr>
      <w:rFonts w:ascii="Arial" w:hAnsi="Arial"/>
      <w:b/>
      <w:color w:val="C14E00" w:themeColor="accent2"/>
      <w:sz w:val="24"/>
      <w:szCs w:val="24"/>
    </w:rPr>
  </w:style>
  <w:style w:type="paragraph" w:customStyle="1" w:styleId="Pullquotetext">
    <w:name w:val="Pull quote text"/>
    <w:link w:val="PullquotetextChar"/>
    <w:uiPriority w:val="1"/>
    <w:rsid w:val="00CA489E"/>
    <w:pPr>
      <w:spacing w:before="120"/>
    </w:pPr>
    <w:rPr>
      <w:rFonts w:ascii="Arial" w:hAnsi="Arial"/>
      <w:color w:val="DC5034"/>
      <w:szCs w:val="24"/>
    </w:rPr>
  </w:style>
  <w:style w:type="character" w:customStyle="1" w:styleId="PullquotetextChar">
    <w:name w:val="Pull quote text Char"/>
    <w:basedOn w:val="PullquoteheadingChar"/>
    <w:link w:val="Pullquotetext"/>
    <w:uiPriority w:val="1"/>
    <w:rsid w:val="00CA489E"/>
    <w:rPr>
      <w:rFonts w:ascii="Arial" w:hAnsi="Arial"/>
      <w:b w:val="0"/>
      <w:color w:val="DC5034"/>
      <w:sz w:val="24"/>
      <w:szCs w:val="24"/>
    </w:rPr>
  </w:style>
  <w:style w:type="paragraph" w:customStyle="1" w:styleId="Note">
    <w:name w:val="Note"/>
    <w:basedOn w:val="Normal"/>
    <w:link w:val="NoteChar"/>
    <w:rsid w:val="00085663"/>
    <w:pPr>
      <w:spacing w:after="120"/>
    </w:pPr>
    <w:rPr>
      <w:i/>
      <w:sz w:val="16"/>
      <w:szCs w:val="16"/>
    </w:rPr>
  </w:style>
  <w:style w:type="character" w:customStyle="1" w:styleId="NoteChar">
    <w:name w:val="Note Char"/>
    <w:basedOn w:val="DefaultParagraphFont"/>
    <w:link w:val="Note"/>
    <w:rsid w:val="00085663"/>
    <w:rPr>
      <w:rFonts w:ascii="Arial" w:hAnsi="Arial"/>
      <w:i/>
      <w:sz w:val="16"/>
      <w:szCs w:val="16"/>
    </w:rPr>
  </w:style>
  <w:style w:type="paragraph" w:customStyle="1" w:styleId="Source">
    <w:name w:val="Source"/>
    <w:basedOn w:val="Normal"/>
    <w:link w:val="SourceChar"/>
    <w:rsid w:val="00085663"/>
    <w:pPr>
      <w:spacing w:after="60"/>
    </w:pPr>
    <w:rPr>
      <w:sz w:val="16"/>
      <w:szCs w:val="16"/>
    </w:rPr>
  </w:style>
  <w:style w:type="character" w:customStyle="1" w:styleId="SourceChar">
    <w:name w:val="Source Char"/>
    <w:basedOn w:val="DefaultParagraphFont"/>
    <w:link w:val="Source"/>
    <w:rsid w:val="00085663"/>
    <w:rPr>
      <w:rFonts w:ascii="Arial" w:hAnsi="Arial"/>
      <w:sz w:val="16"/>
      <w:szCs w:val="16"/>
    </w:rPr>
  </w:style>
  <w:style w:type="paragraph" w:styleId="Index1">
    <w:name w:val="index 1"/>
    <w:basedOn w:val="Normal"/>
    <w:next w:val="Normal"/>
    <w:autoRedefine/>
    <w:uiPriority w:val="99"/>
    <w:unhideWhenUsed/>
    <w:rsid w:val="00F171E0"/>
    <w:pPr>
      <w:spacing w:before="0" w:line="240" w:lineRule="auto"/>
      <w:ind w:left="220" w:hanging="220"/>
    </w:pPr>
  </w:style>
  <w:style w:type="paragraph" w:styleId="Index2">
    <w:name w:val="index 2"/>
    <w:basedOn w:val="Normal"/>
    <w:next w:val="Normal"/>
    <w:autoRedefine/>
    <w:uiPriority w:val="99"/>
    <w:unhideWhenUsed/>
    <w:rsid w:val="00F171E0"/>
    <w:pPr>
      <w:spacing w:before="0" w:line="240" w:lineRule="auto"/>
      <w:ind w:left="440" w:hanging="220"/>
    </w:pPr>
  </w:style>
  <w:style w:type="paragraph" w:styleId="Quote">
    <w:name w:val="Quote"/>
    <w:basedOn w:val="Normal"/>
    <w:next w:val="Normal"/>
    <w:link w:val="QuoteChar"/>
    <w:uiPriority w:val="29"/>
    <w:rsid w:val="00C67A92"/>
    <w:pPr>
      <w:ind w:left="680"/>
    </w:pPr>
    <w:rPr>
      <w:i/>
      <w:iCs/>
      <w:color w:val="076A92" w:themeColor="text1"/>
    </w:rPr>
  </w:style>
  <w:style w:type="character" w:customStyle="1" w:styleId="QuoteChar">
    <w:name w:val="Quote Char"/>
    <w:basedOn w:val="DefaultParagraphFont"/>
    <w:link w:val="Quote"/>
    <w:uiPriority w:val="29"/>
    <w:rsid w:val="00C67A92"/>
    <w:rPr>
      <w:rFonts w:ascii="Arial" w:hAnsi="Arial"/>
      <w:i/>
      <w:iCs/>
      <w:color w:val="076A92" w:themeColor="text1"/>
    </w:rPr>
  </w:style>
  <w:style w:type="paragraph" w:customStyle="1" w:styleId="AERbulletlistfirststyle">
    <w:name w:val="AER bullet list (first style)"/>
    <w:basedOn w:val="ListBullet"/>
    <w:qFormat/>
    <w:rsid w:val="00FE64AE"/>
    <w:pPr>
      <w:numPr>
        <w:numId w:val="2"/>
      </w:numPr>
      <w:ind w:left="357" w:hanging="357"/>
    </w:pPr>
    <w:rPr>
      <w:rFonts w:cs="Times New Roman"/>
    </w:rPr>
  </w:style>
  <w:style w:type="paragraph" w:styleId="ListBullet">
    <w:name w:val="List Bullet"/>
    <w:aliases w:val="AER List number 2 first"/>
    <w:basedOn w:val="Normal"/>
    <w:unhideWhenUsed/>
    <w:rsid w:val="0045777E"/>
    <w:pPr>
      <w:numPr>
        <w:numId w:val="13"/>
      </w:numPr>
      <w:tabs>
        <w:tab w:val="left" w:pos="340"/>
      </w:tabs>
      <w:spacing w:before="120"/>
    </w:pPr>
  </w:style>
  <w:style w:type="paragraph" w:customStyle="1" w:styleId="AERbulletlistsecondstyle">
    <w:name w:val="AER bullet list (second style)"/>
    <w:basedOn w:val="ListBullet2"/>
    <w:qFormat/>
    <w:rsid w:val="008033C4"/>
    <w:pPr>
      <w:numPr>
        <w:numId w:val="12"/>
      </w:numPr>
      <w:ind w:left="998" w:hanging="357"/>
    </w:pPr>
  </w:style>
  <w:style w:type="paragraph" w:styleId="ListNumber">
    <w:name w:val="List Number"/>
    <w:aliases w:val="AER numbered list (first style)"/>
    <w:basedOn w:val="Normal"/>
    <w:qFormat/>
    <w:rsid w:val="00CA489E"/>
    <w:pPr>
      <w:numPr>
        <w:numId w:val="7"/>
      </w:numPr>
      <w:spacing w:before="120"/>
    </w:pPr>
  </w:style>
  <w:style w:type="paragraph" w:styleId="ListBullet2">
    <w:name w:val="List Bullet 2"/>
    <w:aliases w:val="AER numbered list 2 second"/>
    <w:basedOn w:val="Normal"/>
    <w:uiPriority w:val="99"/>
    <w:unhideWhenUsed/>
    <w:qFormat/>
    <w:rsid w:val="008E77DE"/>
    <w:pPr>
      <w:numPr>
        <w:numId w:val="3"/>
      </w:numPr>
      <w:spacing w:before="120"/>
    </w:pPr>
  </w:style>
  <w:style w:type="paragraph" w:styleId="TOCHeading">
    <w:name w:val="TOC Heading"/>
    <w:basedOn w:val="Normal"/>
    <w:next w:val="Normal"/>
    <w:uiPriority w:val="39"/>
    <w:qFormat/>
    <w:rsid w:val="00327A1E"/>
    <w:pPr>
      <w:spacing w:before="480" w:after="120"/>
    </w:pPr>
    <w:rPr>
      <w:rFonts w:eastAsiaTheme="majorEastAsia" w:cstheme="majorBidi"/>
      <w:b/>
      <w:bCs/>
      <w:color w:val="076A92" w:themeColor="text1"/>
      <w:sz w:val="36"/>
      <w:szCs w:val="28"/>
      <w:lang w:val="en-US" w:eastAsia="ja-JP"/>
    </w:rPr>
  </w:style>
  <w:style w:type="paragraph" w:customStyle="1" w:styleId="Listalphabet">
    <w:name w:val="List alphabet"/>
    <w:basedOn w:val="List"/>
    <w:qFormat/>
    <w:rsid w:val="00DB5074"/>
    <w:pPr>
      <w:numPr>
        <w:numId w:val="17"/>
      </w:numPr>
      <w:ind w:left="340" w:hanging="340"/>
    </w:pPr>
  </w:style>
  <w:style w:type="character" w:styleId="Hyperlink">
    <w:name w:val="Hyperlink"/>
    <w:basedOn w:val="DefaultParagraphFont"/>
    <w:uiPriority w:val="99"/>
    <w:qFormat/>
    <w:rsid w:val="00BE1F1B"/>
    <w:rPr>
      <w:rFonts w:ascii="Arial" w:hAnsi="Arial"/>
      <w:color w:val="0000FF"/>
      <w:sz w:val="22"/>
      <w:u w:val="single"/>
    </w:rPr>
  </w:style>
  <w:style w:type="paragraph" w:styleId="BalloonText">
    <w:name w:val="Balloon Text"/>
    <w:basedOn w:val="Normal"/>
    <w:link w:val="BalloonTextChar"/>
    <w:unhideWhenUsed/>
    <w:rsid w:val="00683C89"/>
    <w:pPr>
      <w:spacing w:before="0"/>
    </w:pPr>
    <w:rPr>
      <w:rFonts w:asciiTheme="minorHAnsi" w:hAnsiTheme="minorHAnsi" w:cs="Tahoma"/>
      <w:sz w:val="16"/>
      <w:szCs w:val="16"/>
    </w:rPr>
  </w:style>
  <w:style w:type="character" w:customStyle="1" w:styleId="BalloonTextChar">
    <w:name w:val="Balloon Text Char"/>
    <w:basedOn w:val="DefaultParagraphFont"/>
    <w:link w:val="BalloonText"/>
    <w:uiPriority w:val="99"/>
    <w:rsid w:val="00683C89"/>
    <w:rPr>
      <w:rFonts w:cs="Tahoma"/>
      <w:sz w:val="16"/>
      <w:szCs w:val="16"/>
    </w:rPr>
  </w:style>
  <w:style w:type="paragraph" w:styleId="Footer">
    <w:name w:val="footer"/>
    <w:aliases w:val="Footer Base"/>
    <w:basedOn w:val="Normal"/>
    <w:link w:val="FooterChar"/>
    <w:uiPriority w:val="99"/>
    <w:unhideWhenUsed/>
    <w:qFormat/>
    <w:rsid w:val="005D7BA2"/>
    <w:pPr>
      <w:tabs>
        <w:tab w:val="center" w:pos="4513"/>
        <w:tab w:val="right" w:pos="9026"/>
      </w:tabs>
      <w:spacing w:after="120"/>
    </w:pPr>
    <w:rPr>
      <w:color w:val="076A92" w:themeColor="text1"/>
      <w:sz w:val="18"/>
    </w:rPr>
  </w:style>
  <w:style w:type="character" w:customStyle="1" w:styleId="FooterChar">
    <w:name w:val="Footer Char"/>
    <w:aliases w:val="Footer Base Char"/>
    <w:basedOn w:val="DefaultParagraphFont"/>
    <w:link w:val="Footer"/>
    <w:uiPriority w:val="99"/>
    <w:rsid w:val="005D7BA2"/>
    <w:rPr>
      <w:rFonts w:ascii="Arial" w:hAnsi="Arial"/>
      <w:color w:val="076A92" w:themeColor="text1"/>
      <w:sz w:val="18"/>
    </w:rPr>
  </w:style>
  <w:style w:type="paragraph" w:styleId="ListParagraph">
    <w:name w:val="List Paragraph"/>
    <w:basedOn w:val="Normal"/>
    <w:uiPriority w:val="34"/>
    <w:qFormat/>
    <w:rsid w:val="00567BA5"/>
    <w:pPr>
      <w:numPr>
        <w:numId w:val="14"/>
      </w:numPr>
      <w:tabs>
        <w:tab w:val="left" w:pos="340"/>
      </w:tabs>
      <w:spacing w:before="120"/>
      <w:ind w:left="340" w:hanging="340"/>
    </w:pPr>
  </w:style>
  <w:style w:type="character" w:customStyle="1" w:styleId="Heading7Char">
    <w:name w:val="Heading 7 Char"/>
    <w:aliases w:val="(Appen) Char,t Char,Appendix 3 Char"/>
    <w:basedOn w:val="DefaultParagraphFont"/>
    <w:link w:val="Heading7"/>
    <w:rsid w:val="00CB0279"/>
    <w:rPr>
      <w:rFonts w:ascii="Arial" w:eastAsiaTheme="majorEastAsia" w:hAnsi="Arial" w:cstheme="majorBidi"/>
      <w:b/>
      <w:bCs/>
      <w:color w:val="70635A"/>
      <w:sz w:val="36"/>
      <w:szCs w:val="28"/>
    </w:rPr>
  </w:style>
  <w:style w:type="character" w:customStyle="1" w:styleId="Heading8Char">
    <w:name w:val="Heading 8 Char"/>
    <w:basedOn w:val="DefaultParagraphFont"/>
    <w:link w:val="Heading8"/>
    <w:rsid w:val="00CB0279"/>
    <w:rPr>
      <w:rFonts w:ascii="Arial" w:eastAsiaTheme="majorEastAsia" w:hAnsi="Arial" w:cstheme="majorBidi"/>
      <w:b/>
      <w:bCs/>
      <w:color w:val="70635A" w:themeColor="text2"/>
      <w:sz w:val="32"/>
      <w:szCs w:val="26"/>
    </w:rPr>
  </w:style>
  <w:style w:type="character" w:customStyle="1" w:styleId="Heading9Char">
    <w:name w:val="Heading 9 Char"/>
    <w:basedOn w:val="DefaultParagraphFont"/>
    <w:link w:val="Heading9"/>
    <w:rsid w:val="00CB0279"/>
    <w:rPr>
      <w:rFonts w:ascii="Arial" w:eastAsiaTheme="majorEastAsia" w:hAnsi="Arial" w:cstheme="majorBidi"/>
      <w:b/>
      <w:bCs/>
      <w:color w:val="70635A" w:themeColor="text2"/>
      <w:sz w:val="28"/>
    </w:rPr>
  </w:style>
  <w:style w:type="paragraph" w:customStyle="1" w:styleId="Numbered1111111">
    <w:name w:val="Numbered 1.1.1.1.1.1.1"/>
    <w:basedOn w:val="Heading7"/>
    <w:next w:val="Normal"/>
    <w:uiPriority w:val="2"/>
    <w:rsid w:val="00CA489E"/>
    <w:pPr>
      <w:numPr>
        <w:numId w:val="15"/>
      </w:numPr>
      <w:tabs>
        <w:tab w:val="left" w:pos="1701"/>
      </w:tabs>
      <w:ind w:left="1701" w:hanging="1701"/>
    </w:pPr>
  </w:style>
  <w:style w:type="paragraph" w:customStyle="1" w:styleId="Numbered11111111">
    <w:name w:val="Numbered 1.1.1.1.1.1.1.1"/>
    <w:basedOn w:val="Heading8"/>
    <w:next w:val="Normal"/>
    <w:uiPriority w:val="2"/>
    <w:rsid w:val="00CA489E"/>
    <w:pPr>
      <w:numPr>
        <w:ilvl w:val="0"/>
        <w:numId w:val="0"/>
      </w:numPr>
      <w:tabs>
        <w:tab w:val="left" w:pos="2041"/>
      </w:tabs>
      <w:ind w:left="2041" w:hanging="2041"/>
    </w:pPr>
  </w:style>
  <w:style w:type="table" w:styleId="TableGrid">
    <w:name w:val="Table Grid"/>
    <w:aliases w:val="ACCC Table"/>
    <w:basedOn w:val="TableNormal"/>
    <w:rsid w:val="00C53B5A"/>
    <w:pPr>
      <w:spacing w:before="60" w:after="60"/>
    </w:pPr>
    <w:rPr>
      <w:rFonts w:ascii="Arial" w:hAnsi="Arial"/>
      <w:sz w:val="20"/>
    </w:rPr>
    <w:tblPr>
      <w:tblBorders>
        <w:top w:val="single" w:sz="4" w:space="0" w:color="BFBFBF" w:themeColor="background1" w:themeShade="BF"/>
        <w:bottom w:val="single" w:sz="4" w:space="0" w:color="BFBFBF" w:themeColor="background1" w:themeShade="BF"/>
      </w:tblBorders>
    </w:tblPr>
    <w:tcPr>
      <w:shd w:val="clear" w:color="auto" w:fill="auto"/>
    </w:tcPr>
    <w:tblStylePr w:type="firstRow">
      <w:pPr>
        <w:wordWrap/>
        <w:spacing w:beforeLines="0" w:before="120" w:beforeAutospacing="0" w:afterLines="0" w:after="120" w:afterAutospacing="0"/>
      </w:pPr>
      <w:rPr>
        <w:rFonts w:ascii="Arial" w:hAnsi="Arial"/>
        <w:b/>
        <w:sz w:val="20"/>
      </w:rPr>
      <w:tblPr/>
      <w:tcPr>
        <w:tcBorders>
          <w:top w:val="single" w:sz="4" w:space="0" w:color="BFBFBF" w:themeColor="background1" w:themeShade="BF"/>
          <w:left w:val="nil"/>
          <w:bottom w:val="single" w:sz="4" w:space="0" w:color="BFBFBF" w:themeColor="background1" w:themeShade="BF"/>
          <w:right w:val="nil"/>
          <w:insideH w:val="nil"/>
          <w:insideV w:val="nil"/>
          <w:tl2br w:val="nil"/>
          <w:tr2bl w:val="nil"/>
        </w:tcBorders>
        <w:shd w:val="clear" w:color="auto" w:fill="auto"/>
      </w:tcPr>
    </w:tblStylePr>
    <w:tblStylePr w:type="lastRow">
      <w:pPr>
        <w:wordWrap/>
        <w:spacing w:beforeLines="0" w:before="120" w:beforeAutospacing="0" w:afterLines="0" w:after="120" w:afterAutospacing="0" w:line="240" w:lineRule="auto"/>
      </w:pPr>
      <w:rPr>
        <w:rFonts w:ascii="Arial" w:hAnsi="Arial"/>
        <w:b/>
        <w:sz w:val="20"/>
      </w:rPr>
    </w:tblStylePr>
    <w:tblStylePr w:type="firstCol">
      <w:rPr>
        <w:rFonts w:ascii="Arial" w:hAnsi="Arial"/>
        <w:b/>
        <w:sz w:val="20"/>
      </w:rPr>
    </w:tblStylePr>
  </w:style>
  <w:style w:type="table" w:styleId="LightShading">
    <w:name w:val="Light Shading"/>
    <w:basedOn w:val="TableNormal"/>
    <w:uiPriority w:val="60"/>
    <w:rsid w:val="00C53B5A"/>
    <w:pPr>
      <w:spacing w:before="120" w:after="120"/>
    </w:pPr>
    <w:rPr>
      <w:sz w:val="20"/>
    </w:rPr>
    <w:tblPr>
      <w:tblBorders>
        <w:top w:val="single" w:sz="4" w:space="0" w:color="FFFFFF" w:themeColor="background2"/>
        <w:left w:val="single" w:sz="4" w:space="0" w:color="FFFFFF" w:themeColor="background2"/>
        <w:bottom w:val="single" w:sz="4" w:space="0" w:color="FFFFFF" w:themeColor="background2"/>
        <w:right w:val="single" w:sz="4" w:space="0" w:color="FFFFFF" w:themeColor="background2"/>
        <w:insideH w:val="single" w:sz="4" w:space="0" w:color="FFFFFF" w:themeColor="background2"/>
        <w:insideV w:val="single" w:sz="4" w:space="0" w:color="FFFFFF" w:themeColor="background2"/>
      </w:tblBorders>
    </w:tblPr>
    <w:tcPr>
      <w:shd w:val="clear" w:color="auto" w:fill="auto"/>
      <w:vAlign w:val="center"/>
    </w:tcPr>
    <w:tblStylePr w:type="firstRow">
      <w:pPr>
        <w:wordWrap/>
        <w:spacing w:beforeLines="0" w:before="120" w:beforeAutospacing="0" w:afterLines="0" w:after="120" w:afterAutospacing="0" w:line="240" w:lineRule="auto"/>
      </w:pPr>
      <w:rPr>
        <w:rFonts w:asciiTheme="minorHAnsi" w:hAnsiTheme="minorHAnsi"/>
        <w:b/>
        <w:bCs/>
        <w:sz w:val="20"/>
      </w:rPr>
      <w:tblPr/>
      <w:tcPr>
        <w:tcBorders>
          <w:top w:val="single" w:sz="4" w:space="0" w:color="FFFFFF" w:themeColor="background2"/>
          <w:left w:val="single" w:sz="4" w:space="0" w:color="FFFFFF" w:themeColor="background2"/>
          <w:bottom w:val="single" w:sz="4" w:space="0" w:color="FFFFFF" w:themeColor="background2"/>
          <w:right w:val="single" w:sz="4" w:space="0" w:color="FFFFFF" w:themeColor="background2"/>
          <w:insideH w:val="single" w:sz="4" w:space="0" w:color="FFFFFF" w:themeColor="background2"/>
          <w:insideV w:val="single" w:sz="4" w:space="0" w:color="FFFFFF" w:themeColor="background2"/>
        </w:tcBorders>
        <w:shd w:val="clear" w:color="auto" w:fill="auto"/>
      </w:tcPr>
    </w:tblStylePr>
    <w:tblStylePr w:type="lastRow">
      <w:pPr>
        <w:wordWrap/>
        <w:spacing w:beforeLines="0" w:before="120" w:beforeAutospacing="0" w:afterLines="0" w:after="120" w:afterAutospacing="0" w:line="240" w:lineRule="auto"/>
      </w:pPr>
      <w:rPr>
        <w:b/>
        <w:bCs/>
        <w:sz w:val="20"/>
      </w:rPr>
      <w:tblPr/>
      <w:tcPr>
        <w:tcBorders>
          <w:top w:val="single" w:sz="4" w:space="0" w:color="FFFFFF" w:themeColor="background2"/>
          <w:left w:val="single" w:sz="4" w:space="0" w:color="FFFFFF" w:themeColor="background2"/>
          <w:bottom w:val="single" w:sz="4" w:space="0" w:color="FFFFFF" w:themeColor="background2"/>
          <w:right w:val="single" w:sz="4" w:space="0" w:color="FFFFFF" w:themeColor="background2"/>
          <w:insideH w:val="single" w:sz="4" w:space="0" w:color="FFFFFF" w:themeColor="background2"/>
          <w:insideV w:val="single" w:sz="4" w:space="0" w:color="FFFFFF" w:themeColor="background2"/>
        </w:tcBorders>
      </w:tcPr>
    </w:tblStylePr>
    <w:tblStylePr w:type="firstCol">
      <w:rPr>
        <w:b/>
        <w:bCs/>
        <w:sz w:val="20"/>
      </w:rPr>
    </w:tblStylePr>
    <w:tblStylePr w:type="lastCol">
      <w:rPr>
        <w:b/>
        <w:bCs/>
      </w:rPr>
    </w:tblStylePr>
  </w:style>
  <w:style w:type="table" w:styleId="LightShading-Accent1">
    <w:name w:val="Light Shading Accent 1"/>
    <w:basedOn w:val="TableNormal"/>
    <w:uiPriority w:val="60"/>
    <w:rsid w:val="002010BC"/>
    <w:pPr>
      <w:spacing w:before="0"/>
    </w:pPr>
    <w:rPr>
      <w:color w:val="230023" w:themeColor="accent1" w:themeShade="BF"/>
    </w:rPr>
    <w:tblPr>
      <w:tblStyleRowBandSize w:val="1"/>
      <w:tblStyleColBandSize w:val="1"/>
      <w:tblBorders>
        <w:top w:val="single" w:sz="8" w:space="0" w:color="2F002F" w:themeColor="accent1"/>
        <w:bottom w:val="single" w:sz="8" w:space="0" w:color="2F002F" w:themeColor="accent1"/>
      </w:tblBorders>
    </w:tblPr>
    <w:tblStylePr w:type="firstRow">
      <w:pPr>
        <w:spacing w:before="0" w:after="0" w:line="240" w:lineRule="auto"/>
      </w:pPr>
      <w:rPr>
        <w:b/>
        <w:bCs/>
      </w:rPr>
      <w:tblPr/>
      <w:tcPr>
        <w:tcBorders>
          <w:top w:val="single" w:sz="8" w:space="0" w:color="2F002F" w:themeColor="accent1"/>
          <w:left w:val="nil"/>
          <w:bottom w:val="single" w:sz="8" w:space="0" w:color="2F002F" w:themeColor="accent1"/>
          <w:right w:val="nil"/>
          <w:insideH w:val="nil"/>
          <w:insideV w:val="nil"/>
        </w:tcBorders>
      </w:tcPr>
    </w:tblStylePr>
    <w:tblStylePr w:type="lastRow">
      <w:pPr>
        <w:spacing w:before="0" w:after="0" w:line="240" w:lineRule="auto"/>
      </w:pPr>
      <w:rPr>
        <w:b/>
        <w:bCs/>
      </w:rPr>
      <w:tblPr/>
      <w:tcPr>
        <w:tcBorders>
          <w:top w:val="single" w:sz="8" w:space="0" w:color="2F002F" w:themeColor="accent1"/>
          <w:left w:val="nil"/>
          <w:bottom w:val="single" w:sz="8" w:space="0" w:color="2F002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8CFF" w:themeFill="accent1" w:themeFillTint="3F"/>
      </w:tcPr>
    </w:tblStylePr>
    <w:tblStylePr w:type="band1Horz">
      <w:tblPr/>
      <w:tcPr>
        <w:tcBorders>
          <w:left w:val="nil"/>
          <w:right w:val="nil"/>
          <w:insideH w:val="nil"/>
          <w:insideV w:val="nil"/>
        </w:tcBorders>
        <w:shd w:val="clear" w:color="auto" w:fill="FF8CFF" w:themeFill="accent1" w:themeFillTint="3F"/>
      </w:tcPr>
    </w:tblStylePr>
  </w:style>
  <w:style w:type="table" w:styleId="LightShading-Accent2">
    <w:name w:val="Light Shading Accent 2"/>
    <w:basedOn w:val="TableNormal"/>
    <w:uiPriority w:val="60"/>
    <w:rsid w:val="00746E01"/>
    <w:pPr>
      <w:spacing w:before="0"/>
    </w:pPr>
    <w:rPr>
      <w:rFonts w:ascii="Arial" w:hAnsi="Arial"/>
      <w:color w:val="000000"/>
      <w14:textFill>
        <w14:solidFill>
          <w14:srgbClr w14:val="000000">
            <w14:lumMod w14:val="75000"/>
            <w14:lumOff w14:val="0"/>
          </w14:srgbClr>
        </w14:solidFill>
      </w14:textFill>
    </w:rPr>
    <w:tblPr>
      <w:tblBorders>
        <w:top w:val="single" w:sz="4" w:space="0" w:color="000000" w:themeColor="accent5"/>
        <w:left w:val="single" w:sz="4" w:space="0" w:color="000000" w:themeColor="accent5"/>
        <w:bottom w:val="single" w:sz="4" w:space="0" w:color="000000" w:themeColor="accent5"/>
        <w:right w:val="single" w:sz="4" w:space="0" w:color="000000" w:themeColor="accent5"/>
        <w:insideH w:val="single" w:sz="4" w:space="0" w:color="000000" w:themeColor="accent5"/>
        <w:insideV w:val="single" w:sz="4" w:space="0" w:color="000000" w:themeColor="accent5"/>
      </w:tblBorders>
    </w:tblPr>
    <w:tcPr>
      <w:vAlign w:val="center"/>
    </w:tcPr>
    <w:tblStylePr w:type="firstRow">
      <w:pPr>
        <w:spacing w:before="0" w:after="0" w:line="240" w:lineRule="auto"/>
      </w:pPr>
      <w:rPr>
        <w:b w:val="0"/>
        <w:bCs/>
      </w:rPr>
      <w:tblPr/>
      <w:tcPr>
        <w:tcBorders>
          <w:top w:val="single" w:sz="4" w:space="0" w:color="000000" w:themeColor="accent5"/>
          <w:left w:val="single" w:sz="4" w:space="0" w:color="000000" w:themeColor="accent5"/>
          <w:bottom w:val="single" w:sz="4" w:space="0" w:color="000000" w:themeColor="accent5"/>
          <w:right w:val="single" w:sz="4" w:space="0" w:color="000000" w:themeColor="accent5"/>
          <w:insideH w:val="single" w:sz="4" w:space="0" w:color="000000" w:themeColor="accent5"/>
          <w:insideV w:val="single" w:sz="4" w:space="0" w:color="000000" w:themeColor="accent5"/>
          <w:tl2br w:val="nil"/>
          <w:tr2bl w:val="nil"/>
        </w:tcBorders>
      </w:tcPr>
    </w:tblStylePr>
    <w:tblStylePr w:type="lastRow">
      <w:pPr>
        <w:spacing w:before="0" w:after="0" w:line="240" w:lineRule="auto"/>
      </w:pPr>
      <w:rPr>
        <w:b w:val="0"/>
        <w:bCs/>
      </w:rPr>
      <w:tblPr/>
      <w:tcPr>
        <w:tcBorders>
          <w:top w:val="single" w:sz="4" w:space="0" w:color="000000" w:themeColor="accent5"/>
          <w:left w:val="single" w:sz="4" w:space="0" w:color="000000" w:themeColor="accent5"/>
          <w:bottom w:val="single" w:sz="4" w:space="0" w:color="000000" w:themeColor="accent5"/>
          <w:right w:val="single" w:sz="4" w:space="0" w:color="000000" w:themeColor="accent5"/>
          <w:insideH w:val="single" w:sz="4" w:space="0" w:color="000000" w:themeColor="accent5"/>
          <w:insideV w:val="single" w:sz="4" w:space="0" w:color="000000" w:themeColor="accent5"/>
        </w:tcBorders>
      </w:tcPr>
    </w:tblStylePr>
    <w:tblStylePr w:type="firstCol">
      <w:rPr>
        <w:b w:val="0"/>
        <w:bCs/>
      </w:rPr>
    </w:tblStylePr>
    <w:tblStylePr w:type="lastCol">
      <w:rPr>
        <w:b w:val="0"/>
        <w:bCs/>
      </w:rPr>
    </w:tblStylePr>
  </w:style>
  <w:style w:type="table" w:styleId="LightShading-Accent3">
    <w:name w:val="Light Shading Accent 3"/>
    <w:basedOn w:val="TableNormal"/>
    <w:uiPriority w:val="60"/>
    <w:rsid w:val="00A871F4"/>
    <w:pPr>
      <w:spacing w:before="0"/>
    </w:pPr>
    <w:rPr>
      <w:color w:val="001747" w:themeColor="accent3" w:themeShade="BF"/>
    </w:rPr>
    <w:tblPr>
      <w:tblStyleRowBandSize w:val="1"/>
      <w:tblStyleColBandSize w:val="1"/>
      <w:tblBorders>
        <w:top w:val="single" w:sz="8" w:space="0" w:color="002060" w:themeColor="accent3"/>
        <w:bottom w:val="single" w:sz="8" w:space="0" w:color="002060" w:themeColor="accent3"/>
      </w:tblBorders>
    </w:tblPr>
    <w:tblStylePr w:type="firstRow">
      <w:pPr>
        <w:spacing w:before="0" w:after="0" w:line="240" w:lineRule="auto"/>
      </w:pPr>
      <w:rPr>
        <w:b/>
        <w:bCs/>
      </w:rPr>
      <w:tblPr/>
      <w:tcPr>
        <w:tcBorders>
          <w:top w:val="single" w:sz="8" w:space="0" w:color="002060" w:themeColor="accent3"/>
          <w:left w:val="nil"/>
          <w:bottom w:val="single" w:sz="8" w:space="0" w:color="002060" w:themeColor="accent3"/>
          <w:right w:val="nil"/>
          <w:insideH w:val="nil"/>
          <w:insideV w:val="nil"/>
        </w:tcBorders>
      </w:tcPr>
    </w:tblStylePr>
    <w:tblStylePr w:type="lastRow">
      <w:pPr>
        <w:spacing w:before="0" w:after="0" w:line="240" w:lineRule="auto"/>
      </w:pPr>
      <w:rPr>
        <w:b/>
        <w:bCs/>
      </w:rPr>
      <w:tblPr/>
      <w:tcPr>
        <w:tcBorders>
          <w:top w:val="single" w:sz="8" w:space="0" w:color="002060" w:themeColor="accent3"/>
          <w:left w:val="nil"/>
          <w:bottom w:val="single" w:sz="8" w:space="0" w:color="00206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8BAFF" w:themeFill="accent3" w:themeFillTint="3F"/>
      </w:tcPr>
    </w:tblStylePr>
    <w:tblStylePr w:type="band1Horz">
      <w:tblPr/>
      <w:tcPr>
        <w:tcBorders>
          <w:left w:val="nil"/>
          <w:right w:val="nil"/>
          <w:insideH w:val="nil"/>
          <w:insideV w:val="nil"/>
        </w:tcBorders>
        <w:shd w:val="clear" w:color="auto" w:fill="98BAFF" w:themeFill="accent3" w:themeFillTint="3F"/>
      </w:tcPr>
    </w:tblStylePr>
  </w:style>
  <w:style w:type="table" w:styleId="LightGrid-Accent6">
    <w:name w:val="Light Grid Accent 6"/>
    <w:basedOn w:val="TableNormal"/>
    <w:uiPriority w:val="62"/>
    <w:rsid w:val="00A871F4"/>
    <w:pPr>
      <w:spacing w:before="0"/>
    </w:pPr>
    <w:tblPr>
      <w:tblStyleRowBandSize w:val="1"/>
      <w:tblStyleColBandSize w:val="1"/>
      <w:tblBorders>
        <w:top w:val="single" w:sz="8" w:space="0" w:color="70303C" w:themeColor="accent6"/>
        <w:left w:val="single" w:sz="8" w:space="0" w:color="70303C" w:themeColor="accent6"/>
        <w:bottom w:val="single" w:sz="8" w:space="0" w:color="70303C" w:themeColor="accent6"/>
        <w:right w:val="single" w:sz="8" w:space="0" w:color="70303C" w:themeColor="accent6"/>
        <w:insideH w:val="single" w:sz="8" w:space="0" w:color="70303C" w:themeColor="accent6"/>
        <w:insideV w:val="single" w:sz="8" w:space="0" w:color="70303C"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303C" w:themeColor="accent6"/>
          <w:left w:val="single" w:sz="8" w:space="0" w:color="70303C" w:themeColor="accent6"/>
          <w:bottom w:val="single" w:sz="18" w:space="0" w:color="70303C" w:themeColor="accent6"/>
          <w:right w:val="single" w:sz="8" w:space="0" w:color="70303C" w:themeColor="accent6"/>
          <w:insideH w:val="nil"/>
          <w:insideV w:val="single" w:sz="8" w:space="0" w:color="70303C"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303C" w:themeColor="accent6"/>
          <w:left w:val="single" w:sz="8" w:space="0" w:color="70303C" w:themeColor="accent6"/>
          <w:bottom w:val="single" w:sz="8" w:space="0" w:color="70303C" w:themeColor="accent6"/>
          <w:right w:val="single" w:sz="8" w:space="0" w:color="70303C" w:themeColor="accent6"/>
          <w:insideH w:val="nil"/>
          <w:insideV w:val="single" w:sz="8" w:space="0" w:color="70303C"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303C" w:themeColor="accent6"/>
          <w:left w:val="single" w:sz="8" w:space="0" w:color="70303C" w:themeColor="accent6"/>
          <w:bottom w:val="single" w:sz="8" w:space="0" w:color="70303C" w:themeColor="accent6"/>
          <w:right w:val="single" w:sz="8" w:space="0" w:color="70303C" w:themeColor="accent6"/>
        </w:tcBorders>
      </w:tcPr>
    </w:tblStylePr>
    <w:tblStylePr w:type="band1Vert">
      <w:tblPr/>
      <w:tcPr>
        <w:tcBorders>
          <w:top w:val="single" w:sz="8" w:space="0" w:color="70303C" w:themeColor="accent6"/>
          <w:left w:val="single" w:sz="8" w:space="0" w:color="70303C" w:themeColor="accent6"/>
          <w:bottom w:val="single" w:sz="8" w:space="0" w:color="70303C" w:themeColor="accent6"/>
          <w:right w:val="single" w:sz="8" w:space="0" w:color="70303C" w:themeColor="accent6"/>
        </w:tcBorders>
        <w:shd w:val="clear" w:color="auto" w:fill="E5C2C8" w:themeFill="accent6" w:themeFillTint="3F"/>
      </w:tcPr>
    </w:tblStylePr>
    <w:tblStylePr w:type="band1Horz">
      <w:tblPr/>
      <w:tcPr>
        <w:tcBorders>
          <w:top w:val="single" w:sz="8" w:space="0" w:color="70303C" w:themeColor="accent6"/>
          <w:left w:val="single" w:sz="8" w:space="0" w:color="70303C" w:themeColor="accent6"/>
          <w:bottom w:val="single" w:sz="8" w:space="0" w:color="70303C" w:themeColor="accent6"/>
          <w:right w:val="single" w:sz="8" w:space="0" w:color="70303C" w:themeColor="accent6"/>
          <w:insideV w:val="single" w:sz="8" w:space="0" w:color="70303C" w:themeColor="accent6"/>
        </w:tcBorders>
        <w:shd w:val="clear" w:color="auto" w:fill="E5C2C8" w:themeFill="accent6" w:themeFillTint="3F"/>
      </w:tcPr>
    </w:tblStylePr>
    <w:tblStylePr w:type="band2Horz">
      <w:tblPr/>
      <w:tcPr>
        <w:tcBorders>
          <w:top w:val="single" w:sz="8" w:space="0" w:color="70303C" w:themeColor="accent6"/>
          <w:left w:val="single" w:sz="8" w:space="0" w:color="70303C" w:themeColor="accent6"/>
          <w:bottom w:val="single" w:sz="8" w:space="0" w:color="70303C" w:themeColor="accent6"/>
          <w:right w:val="single" w:sz="8" w:space="0" w:color="70303C" w:themeColor="accent6"/>
          <w:insideV w:val="single" w:sz="8" w:space="0" w:color="70303C" w:themeColor="accent6"/>
        </w:tcBorders>
      </w:tcPr>
    </w:tblStylePr>
  </w:style>
  <w:style w:type="table" w:styleId="MediumShading1">
    <w:name w:val="Medium Shading 1"/>
    <w:basedOn w:val="TableNormal"/>
    <w:uiPriority w:val="63"/>
    <w:rsid w:val="00A871F4"/>
    <w:pPr>
      <w:spacing w:before="0"/>
    </w:pPr>
    <w:tblPr>
      <w:tblStyleRowBandSize w:val="1"/>
      <w:tblStyleColBandSize w:val="1"/>
      <w:tblBorders>
        <w:top w:val="single" w:sz="8" w:space="0" w:color="0BA7E7" w:themeColor="text1" w:themeTint="BF"/>
        <w:left w:val="single" w:sz="8" w:space="0" w:color="0BA7E7" w:themeColor="text1" w:themeTint="BF"/>
        <w:bottom w:val="single" w:sz="8" w:space="0" w:color="0BA7E7" w:themeColor="text1" w:themeTint="BF"/>
        <w:right w:val="single" w:sz="8" w:space="0" w:color="0BA7E7" w:themeColor="text1" w:themeTint="BF"/>
        <w:insideH w:val="single" w:sz="8" w:space="0" w:color="0BA7E7" w:themeColor="text1" w:themeTint="BF"/>
      </w:tblBorders>
    </w:tblPr>
    <w:tblStylePr w:type="firstRow">
      <w:pPr>
        <w:spacing w:before="0" w:after="0" w:line="240" w:lineRule="auto"/>
      </w:pPr>
      <w:rPr>
        <w:b/>
        <w:bCs/>
        <w:color w:val="FFFFFF" w:themeColor="background1"/>
      </w:rPr>
      <w:tblPr/>
      <w:tcPr>
        <w:tcBorders>
          <w:top w:val="single" w:sz="8" w:space="0" w:color="0BA7E7" w:themeColor="text1" w:themeTint="BF"/>
          <w:left w:val="single" w:sz="8" w:space="0" w:color="0BA7E7" w:themeColor="text1" w:themeTint="BF"/>
          <w:bottom w:val="single" w:sz="8" w:space="0" w:color="0BA7E7" w:themeColor="text1" w:themeTint="BF"/>
          <w:right w:val="single" w:sz="8" w:space="0" w:color="0BA7E7" w:themeColor="text1" w:themeTint="BF"/>
          <w:insideH w:val="nil"/>
          <w:insideV w:val="nil"/>
        </w:tcBorders>
        <w:shd w:val="clear" w:color="auto" w:fill="076A92" w:themeFill="text1"/>
      </w:tcPr>
    </w:tblStylePr>
    <w:tblStylePr w:type="lastRow">
      <w:pPr>
        <w:spacing w:before="0" w:after="0" w:line="240" w:lineRule="auto"/>
      </w:pPr>
      <w:rPr>
        <w:b/>
        <w:bCs/>
      </w:rPr>
      <w:tblPr/>
      <w:tcPr>
        <w:tcBorders>
          <w:top w:val="double" w:sz="6" w:space="0" w:color="0BA7E7" w:themeColor="text1" w:themeTint="BF"/>
          <w:left w:val="single" w:sz="8" w:space="0" w:color="0BA7E7" w:themeColor="text1" w:themeTint="BF"/>
          <w:bottom w:val="single" w:sz="8" w:space="0" w:color="0BA7E7" w:themeColor="text1" w:themeTint="BF"/>
          <w:right w:val="single" w:sz="8" w:space="0" w:color="0BA7E7" w:themeColor="text1" w:themeTint="BF"/>
          <w:insideH w:val="nil"/>
          <w:insideV w:val="nil"/>
        </w:tcBorders>
      </w:tcPr>
    </w:tblStylePr>
    <w:tblStylePr w:type="firstCol">
      <w:rPr>
        <w:b/>
        <w:bCs/>
      </w:rPr>
    </w:tblStylePr>
    <w:tblStylePr w:type="lastCol">
      <w:rPr>
        <w:b/>
        <w:bCs/>
      </w:rPr>
    </w:tblStylePr>
    <w:tblStylePr w:type="band1Vert">
      <w:tblPr/>
      <w:tcPr>
        <w:shd w:val="clear" w:color="auto" w:fill="AAE3FB" w:themeFill="text1" w:themeFillTint="3F"/>
      </w:tcPr>
    </w:tblStylePr>
    <w:tblStylePr w:type="band1Horz">
      <w:tblPr/>
      <w:tcPr>
        <w:tcBorders>
          <w:insideH w:val="nil"/>
          <w:insideV w:val="nil"/>
        </w:tcBorders>
        <w:shd w:val="clear" w:color="auto" w:fill="AAE3FB"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A871F4"/>
    <w:pPr>
      <w:spacing w:before="0"/>
    </w:pPr>
    <w:tblPr>
      <w:tblStyleRowBandSize w:val="1"/>
      <w:tblStyleColBandSize w:val="1"/>
      <w:tblBorders>
        <w:top w:val="single" w:sz="8" w:space="0" w:color="A300A3" w:themeColor="accent1" w:themeTint="BF"/>
        <w:left w:val="single" w:sz="8" w:space="0" w:color="A300A3" w:themeColor="accent1" w:themeTint="BF"/>
        <w:bottom w:val="single" w:sz="8" w:space="0" w:color="A300A3" w:themeColor="accent1" w:themeTint="BF"/>
        <w:right w:val="single" w:sz="8" w:space="0" w:color="A300A3" w:themeColor="accent1" w:themeTint="BF"/>
        <w:insideH w:val="single" w:sz="8" w:space="0" w:color="A300A3" w:themeColor="accent1" w:themeTint="BF"/>
      </w:tblBorders>
    </w:tblPr>
    <w:tblStylePr w:type="firstRow">
      <w:pPr>
        <w:spacing w:before="0" w:after="0" w:line="240" w:lineRule="auto"/>
      </w:pPr>
      <w:rPr>
        <w:b/>
        <w:bCs/>
        <w:color w:val="FFFFFF" w:themeColor="background1"/>
      </w:rPr>
      <w:tblPr/>
      <w:tcPr>
        <w:tcBorders>
          <w:top w:val="single" w:sz="8" w:space="0" w:color="A300A3" w:themeColor="accent1" w:themeTint="BF"/>
          <w:left w:val="single" w:sz="8" w:space="0" w:color="A300A3" w:themeColor="accent1" w:themeTint="BF"/>
          <w:bottom w:val="single" w:sz="8" w:space="0" w:color="A300A3" w:themeColor="accent1" w:themeTint="BF"/>
          <w:right w:val="single" w:sz="8" w:space="0" w:color="A300A3" w:themeColor="accent1" w:themeTint="BF"/>
          <w:insideH w:val="nil"/>
          <w:insideV w:val="nil"/>
        </w:tcBorders>
        <w:shd w:val="clear" w:color="auto" w:fill="2F002F" w:themeFill="accent1"/>
      </w:tcPr>
    </w:tblStylePr>
    <w:tblStylePr w:type="lastRow">
      <w:pPr>
        <w:spacing w:before="0" w:after="0" w:line="240" w:lineRule="auto"/>
      </w:pPr>
      <w:rPr>
        <w:b/>
        <w:bCs/>
      </w:rPr>
      <w:tblPr/>
      <w:tcPr>
        <w:tcBorders>
          <w:top w:val="double" w:sz="6" w:space="0" w:color="A300A3" w:themeColor="accent1" w:themeTint="BF"/>
          <w:left w:val="single" w:sz="8" w:space="0" w:color="A300A3" w:themeColor="accent1" w:themeTint="BF"/>
          <w:bottom w:val="single" w:sz="8" w:space="0" w:color="A300A3" w:themeColor="accent1" w:themeTint="BF"/>
          <w:right w:val="single" w:sz="8" w:space="0" w:color="A300A3"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8CFF" w:themeFill="accent1" w:themeFillTint="3F"/>
      </w:tcPr>
    </w:tblStylePr>
    <w:tblStylePr w:type="band1Horz">
      <w:tblPr/>
      <w:tcPr>
        <w:tcBorders>
          <w:insideH w:val="nil"/>
          <w:insideV w:val="nil"/>
        </w:tcBorders>
        <w:shd w:val="clear" w:color="auto" w:fill="FF8CFF"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A871F4"/>
    <w:pPr>
      <w:spacing w:before="0"/>
    </w:pPr>
    <w:tblPr>
      <w:tblStyleRowBandSize w:val="1"/>
      <w:tblStyleColBandSize w:val="1"/>
      <w:tblBorders>
        <w:top w:val="single" w:sz="8" w:space="0" w:color="FF7111" w:themeColor="accent2" w:themeTint="BF"/>
        <w:left w:val="single" w:sz="8" w:space="0" w:color="FF7111" w:themeColor="accent2" w:themeTint="BF"/>
        <w:bottom w:val="single" w:sz="8" w:space="0" w:color="FF7111" w:themeColor="accent2" w:themeTint="BF"/>
        <w:right w:val="single" w:sz="8" w:space="0" w:color="FF7111" w:themeColor="accent2" w:themeTint="BF"/>
        <w:insideH w:val="single" w:sz="8" w:space="0" w:color="FF7111" w:themeColor="accent2" w:themeTint="BF"/>
      </w:tblBorders>
    </w:tblPr>
    <w:tblStylePr w:type="firstRow">
      <w:pPr>
        <w:spacing w:before="0" w:after="0" w:line="240" w:lineRule="auto"/>
      </w:pPr>
      <w:rPr>
        <w:b/>
        <w:bCs/>
        <w:color w:val="FFFFFF" w:themeColor="background1"/>
      </w:rPr>
      <w:tblPr/>
      <w:tcPr>
        <w:tcBorders>
          <w:top w:val="single" w:sz="8" w:space="0" w:color="FF7111" w:themeColor="accent2" w:themeTint="BF"/>
          <w:left w:val="single" w:sz="8" w:space="0" w:color="FF7111" w:themeColor="accent2" w:themeTint="BF"/>
          <w:bottom w:val="single" w:sz="8" w:space="0" w:color="FF7111" w:themeColor="accent2" w:themeTint="BF"/>
          <w:right w:val="single" w:sz="8" w:space="0" w:color="FF7111" w:themeColor="accent2" w:themeTint="BF"/>
          <w:insideH w:val="nil"/>
          <w:insideV w:val="nil"/>
        </w:tcBorders>
        <w:shd w:val="clear" w:color="auto" w:fill="C14E00" w:themeFill="accent2"/>
      </w:tcPr>
    </w:tblStylePr>
    <w:tblStylePr w:type="lastRow">
      <w:pPr>
        <w:spacing w:before="0" w:after="0" w:line="240" w:lineRule="auto"/>
      </w:pPr>
      <w:rPr>
        <w:b/>
        <w:bCs/>
      </w:rPr>
      <w:tblPr/>
      <w:tcPr>
        <w:tcBorders>
          <w:top w:val="double" w:sz="6" w:space="0" w:color="FF7111" w:themeColor="accent2" w:themeTint="BF"/>
          <w:left w:val="single" w:sz="8" w:space="0" w:color="FF7111" w:themeColor="accent2" w:themeTint="BF"/>
          <w:bottom w:val="single" w:sz="8" w:space="0" w:color="FF7111" w:themeColor="accent2" w:themeTint="BF"/>
          <w:right w:val="single" w:sz="8" w:space="0" w:color="FF7111"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D0B0" w:themeFill="accent2" w:themeFillTint="3F"/>
      </w:tcPr>
    </w:tblStylePr>
    <w:tblStylePr w:type="band1Horz">
      <w:tblPr/>
      <w:tcPr>
        <w:tcBorders>
          <w:insideH w:val="nil"/>
          <w:insideV w:val="nil"/>
        </w:tcBorders>
        <w:shd w:val="clear" w:color="auto" w:fill="FFD0B0"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A871F4"/>
    <w:pPr>
      <w:spacing w:before="0"/>
    </w:pPr>
    <w:tblPr>
      <w:tblStyleRowBandSize w:val="1"/>
      <w:tblStyleColBandSize w:val="1"/>
      <w:tblBorders>
        <w:top w:val="single" w:sz="8" w:space="0" w:color="0042C7" w:themeColor="accent3" w:themeTint="BF"/>
        <w:left w:val="single" w:sz="8" w:space="0" w:color="0042C7" w:themeColor="accent3" w:themeTint="BF"/>
        <w:bottom w:val="single" w:sz="8" w:space="0" w:color="0042C7" w:themeColor="accent3" w:themeTint="BF"/>
        <w:right w:val="single" w:sz="8" w:space="0" w:color="0042C7" w:themeColor="accent3" w:themeTint="BF"/>
        <w:insideH w:val="single" w:sz="8" w:space="0" w:color="0042C7" w:themeColor="accent3" w:themeTint="BF"/>
      </w:tblBorders>
    </w:tblPr>
    <w:tblStylePr w:type="firstRow">
      <w:pPr>
        <w:spacing w:before="0" w:after="0" w:line="240" w:lineRule="auto"/>
      </w:pPr>
      <w:rPr>
        <w:b/>
        <w:bCs/>
        <w:color w:val="FFFFFF" w:themeColor="background1"/>
      </w:rPr>
      <w:tblPr/>
      <w:tcPr>
        <w:tcBorders>
          <w:top w:val="single" w:sz="8" w:space="0" w:color="0042C7" w:themeColor="accent3" w:themeTint="BF"/>
          <w:left w:val="single" w:sz="8" w:space="0" w:color="0042C7" w:themeColor="accent3" w:themeTint="BF"/>
          <w:bottom w:val="single" w:sz="8" w:space="0" w:color="0042C7" w:themeColor="accent3" w:themeTint="BF"/>
          <w:right w:val="single" w:sz="8" w:space="0" w:color="0042C7" w:themeColor="accent3" w:themeTint="BF"/>
          <w:insideH w:val="nil"/>
          <w:insideV w:val="nil"/>
        </w:tcBorders>
        <w:shd w:val="clear" w:color="auto" w:fill="002060" w:themeFill="accent3"/>
      </w:tcPr>
    </w:tblStylePr>
    <w:tblStylePr w:type="lastRow">
      <w:pPr>
        <w:spacing w:before="0" w:after="0" w:line="240" w:lineRule="auto"/>
      </w:pPr>
      <w:rPr>
        <w:b/>
        <w:bCs/>
      </w:rPr>
      <w:tblPr/>
      <w:tcPr>
        <w:tcBorders>
          <w:top w:val="double" w:sz="6" w:space="0" w:color="0042C7" w:themeColor="accent3" w:themeTint="BF"/>
          <w:left w:val="single" w:sz="8" w:space="0" w:color="0042C7" w:themeColor="accent3" w:themeTint="BF"/>
          <w:bottom w:val="single" w:sz="8" w:space="0" w:color="0042C7" w:themeColor="accent3" w:themeTint="BF"/>
          <w:right w:val="single" w:sz="8" w:space="0" w:color="0042C7" w:themeColor="accent3" w:themeTint="BF"/>
          <w:insideH w:val="nil"/>
          <w:insideV w:val="nil"/>
        </w:tcBorders>
      </w:tcPr>
    </w:tblStylePr>
    <w:tblStylePr w:type="firstCol">
      <w:rPr>
        <w:b/>
        <w:bCs/>
      </w:rPr>
    </w:tblStylePr>
    <w:tblStylePr w:type="lastCol">
      <w:rPr>
        <w:b/>
        <w:bCs/>
      </w:rPr>
    </w:tblStylePr>
    <w:tblStylePr w:type="band1Vert">
      <w:tblPr/>
      <w:tcPr>
        <w:shd w:val="clear" w:color="auto" w:fill="98BAFF" w:themeFill="accent3" w:themeFillTint="3F"/>
      </w:tcPr>
    </w:tblStylePr>
    <w:tblStylePr w:type="band1Horz">
      <w:tblPr/>
      <w:tcPr>
        <w:tcBorders>
          <w:insideH w:val="nil"/>
          <w:insideV w:val="nil"/>
        </w:tcBorders>
        <w:shd w:val="clear" w:color="auto" w:fill="98BAF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A871F4"/>
    <w:pPr>
      <w:spacing w:before="0"/>
    </w:pPr>
    <w:tblPr>
      <w:tblStyleRowBandSize w:val="1"/>
      <w:tblStyleColBandSize w:val="1"/>
      <w:tblBorders>
        <w:top w:val="single" w:sz="8" w:space="0" w:color="FF1010" w:themeColor="accent4" w:themeTint="BF"/>
        <w:left w:val="single" w:sz="8" w:space="0" w:color="FF1010" w:themeColor="accent4" w:themeTint="BF"/>
        <w:bottom w:val="single" w:sz="8" w:space="0" w:color="FF1010" w:themeColor="accent4" w:themeTint="BF"/>
        <w:right w:val="single" w:sz="8" w:space="0" w:color="FF1010" w:themeColor="accent4" w:themeTint="BF"/>
        <w:insideH w:val="single" w:sz="8" w:space="0" w:color="FF1010" w:themeColor="accent4" w:themeTint="BF"/>
      </w:tblBorders>
    </w:tblPr>
    <w:tblStylePr w:type="firstRow">
      <w:pPr>
        <w:spacing w:before="0" w:after="0" w:line="240" w:lineRule="auto"/>
      </w:pPr>
      <w:rPr>
        <w:b/>
        <w:bCs/>
        <w:color w:val="FFFFFF" w:themeColor="background1"/>
      </w:rPr>
      <w:tblPr/>
      <w:tcPr>
        <w:tcBorders>
          <w:top w:val="single" w:sz="8" w:space="0" w:color="FF1010" w:themeColor="accent4" w:themeTint="BF"/>
          <w:left w:val="single" w:sz="8" w:space="0" w:color="FF1010" w:themeColor="accent4" w:themeTint="BF"/>
          <w:bottom w:val="single" w:sz="8" w:space="0" w:color="FF1010" w:themeColor="accent4" w:themeTint="BF"/>
          <w:right w:val="single" w:sz="8" w:space="0" w:color="FF1010" w:themeColor="accent4" w:themeTint="BF"/>
          <w:insideH w:val="nil"/>
          <w:insideV w:val="nil"/>
        </w:tcBorders>
        <w:shd w:val="clear" w:color="auto" w:fill="C00000" w:themeFill="accent4"/>
      </w:tcPr>
    </w:tblStylePr>
    <w:tblStylePr w:type="lastRow">
      <w:pPr>
        <w:spacing w:before="0" w:after="0" w:line="240" w:lineRule="auto"/>
      </w:pPr>
      <w:rPr>
        <w:b/>
        <w:bCs/>
      </w:rPr>
      <w:tblPr/>
      <w:tcPr>
        <w:tcBorders>
          <w:top w:val="double" w:sz="6" w:space="0" w:color="FF1010" w:themeColor="accent4" w:themeTint="BF"/>
          <w:left w:val="single" w:sz="8" w:space="0" w:color="FF1010" w:themeColor="accent4" w:themeTint="BF"/>
          <w:bottom w:val="single" w:sz="8" w:space="0" w:color="FF1010" w:themeColor="accent4" w:themeTint="BF"/>
          <w:right w:val="single" w:sz="8" w:space="0" w:color="FF101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4" w:themeFillTint="3F"/>
      </w:tcPr>
    </w:tblStylePr>
    <w:tblStylePr w:type="band1Horz">
      <w:tblPr/>
      <w:tcPr>
        <w:tcBorders>
          <w:insideH w:val="nil"/>
          <w:insideV w:val="nil"/>
        </w:tcBorders>
        <w:shd w:val="clear" w:color="auto" w:fill="FFB0B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A871F4"/>
    <w:pPr>
      <w:spacing w:before="0"/>
    </w:pPr>
    <w:tblPr>
      <w:tblStyleRowBandSize w:val="1"/>
      <w:tblStyleColBandSize w:val="1"/>
      <w:tblBorders>
        <w:top w:val="single" w:sz="8" w:space="0" w:color="404040" w:themeColor="accent5" w:themeTint="BF"/>
        <w:left w:val="single" w:sz="8" w:space="0" w:color="404040" w:themeColor="accent5" w:themeTint="BF"/>
        <w:bottom w:val="single" w:sz="8" w:space="0" w:color="404040" w:themeColor="accent5" w:themeTint="BF"/>
        <w:right w:val="single" w:sz="8" w:space="0" w:color="404040" w:themeColor="accent5" w:themeTint="BF"/>
        <w:insideH w:val="single" w:sz="8" w:space="0" w:color="404040" w:themeColor="accent5" w:themeTint="BF"/>
      </w:tblBorders>
    </w:tblPr>
    <w:tblStylePr w:type="firstRow">
      <w:pPr>
        <w:spacing w:before="0" w:after="0" w:line="240" w:lineRule="auto"/>
      </w:pPr>
      <w:rPr>
        <w:b/>
        <w:bCs/>
        <w:color w:val="FFFFFF" w:themeColor="background1"/>
      </w:rPr>
      <w:tblPr/>
      <w:tcPr>
        <w:tcBorders>
          <w:top w:val="single" w:sz="8" w:space="0" w:color="404040" w:themeColor="accent5" w:themeTint="BF"/>
          <w:left w:val="single" w:sz="8" w:space="0" w:color="404040" w:themeColor="accent5" w:themeTint="BF"/>
          <w:bottom w:val="single" w:sz="8" w:space="0" w:color="404040" w:themeColor="accent5" w:themeTint="BF"/>
          <w:right w:val="single" w:sz="8" w:space="0" w:color="404040" w:themeColor="accent5" w:themeTint="BF"/>
          <w:insideH w:val="nil"/>
          <w:insideV w:val="nil"/>
        </w:tcBorders>
        <w:shd w:val="clear" w:color="auto" w:fill="000000" w:themeFill="accent5"/>
      </w:tcPr>
    </w:tblStylePr>
    <w:tblStylePr w:type="lastRow">
      <w:pPr>
        <w:spacing w:before="0" w:after="0" w:line="240" w:lineRule="auto"/>
      </w:pPr>
      <w:rPr>
        <w:b/>
        <w:bCs/>
      </w:rPr>
      <w:tblPr/>
      <w:tcPr>
        <w:tcBorders>
          <w:top w:val="double" w:sz="6" w:space="0" w:color="404040" w:themeColor="accent5" w:themeTint="BF"/>
          <w:left w:val="single" w:sz="8" w:space="0" w:color="404040" w:themeColor="accent5" w:themeTint="BF"/>
          <w:bottom w:val="single" w:sz="8" w:space="0" w:color="404040" w:themeColor="accent5" w:themeTint="BF"/>
          <w:right w:val="single" w:sz="8" w:space="0" w:color="404040" w:themeColor="accent5" w:themeTint="BF"/>
          <w:insideH w:val="nil"/>
          <w:insideV w:val="nil"/>
        </w:tcBorders>
      </w:tcPr>
    </w:tblStylePr>
    <w:tblStylePr w:type="firstCol">
      <w:rPr>
        <w:b/>
        <w:bCs/>
      </w:rPr>
    </w:tblStylePr>
    <w:tblStylePr w:type="lastCol">
      <w:rPr>
        <w:b/>
        <w:bCs/>
      </w:rPr>
    </w:tblStylePr>
    <w:tblStylePr w:type="band1Vert">
      <w:tblPr/>
      <w:tcPr>
        <w:shd w:val="clear" w:color="auto" w:fill="C0C0C0" w:themeFill="accent5" w:themeFillTint="3F"/>
      </w:tcPr>
    </w:tblStylePr>
    <w:tblStylePr w:type="band1Horz">
      <w:tblPr/>
      <w:tcPr>
        <w:tcBorders>
          <w:insideH w:val="nil"/>
          <w:insideV w:val="nil"/>
        </w:tcBorders>
        <w:shd w:val="clear" w:color="auto" w:fill="C0C0C0" w:themeFill="accent5" w:themeFillTint="3F"/>
      </w:tcPr>
    </w:tblStylePr>
    <w:tblStylePr w:type="band2Horz">
      <w:tblPr/>
      <w:tcPr>
        <w:tcBorders>
          <w:insideH w:val="nil"/>
          <w:insideV w:val="nil"/>
        </w:tcBorders>
      </w:tcPr>
    </w:tblStylePr>
  </w:style>
  <w:style w:type="table" w:styleId="LightList">
    <w:name w:val="Light List"/>
    <w:basedOn w:val="TableNormal"/>
    <w:uiPriority w:val="61"/>
    <w:rsid w:val="00A871F4"/>
    <w:pPr>
      <w:spacing w:before="0"/>
    </w:pPr>
    <w:tblPr>
      <w:tblStyleRowBandSize w:val="1"/>
      <w:tblStyleColBandSize w:val="1"/>
      <w:tblBorders>
        <w:top w:val="single" w:sz="8" w:space="0" w:color="076A92" w:themeColor="text1"/>
        <w:left w:val="single" w:sz="8" w:space="0" w:color="076A92" w:themeColor="text1"/>
        <w:bottom w:val="single" w:sz="8" w:space="0" w:color="076A92" w:themeColor="text1"/>
        <w:right w:val="single" w:sz="8" w:space="0" w:color="076A92" w:themeColor="text1"/>
      </w:tblBorders>
    </w:tblPr>
    <w:tblStylePr w:type="firstRow">
      <w:pPr>
        <w:spacing w:before="0" w:after="0" w:line="240" w:lineRule="auto"/>
      </w:pPr>
      <w:rPr>
        <w:b/>
        <w:bCs/>
        <w:color w:val="FFFFFF" w:themeColor="background1"/>
      </w:rPr>
      <w:tblPr/>
      <w:tcPr>
        <w:shd w:val="clear" w:color="auto" w:fill="076A92" w:themeFill="text1"/>
      </w:tcPr>
    </w:tblStylePr>
    <w:tblStylePr w:type="lastRow">
      <w:pPr>
        <w:spacing w:before="0" w:after="0" w:line="240" w:lineRule="auto"/>
      </w:pPr>
      <w:rPr>
        <w:b/>
        <w:bCs/>
      </w:rPr>
      <w:tblPr/>
      <w:tcPr>
        <w:tcBorders>
          <w:top w:val="double" w:sz="6" w:space="0" w:color="076A92" w:themeColor="text1"/>
          <w:left w:val="single" w:sz="8" w:space="0" w:color="076A92" w:themeColor="text1"/>
          <w:bottom w:val="single" w:sz="8" w:space="0" w:color="076A92" w:themeColor="text1"/>
          <w:right w:val="single" w:sz="8" w:space="0" w:color="076A92" w:themeColor="text1"/>
        </w:tcBorders>
      </w:tcPr>
    </w:tblStylePr>
    <w:tblStylePr w:type="firstCol">
      <w:rPr>
        <w:b/>
        <w:bCs/>
      </w:rPr>
    </w:tblStylePr>
    <w:tblStylePr w:type="lastCol">
      <w:rPr>
        <w:b/>
        <w:bCs/>
      </w:rPr>
    </w:tblStylePr>
    <w:tblStylePr w:type="band1Vert">
      <w:tblPr/>
      <w:tcPr>
        <w:tcBorders>
          <w:top w:val="single" w:sz="8" w:space="0" w:color="076A92" w:themeColor="text1"/>
          <w:left w:val="single" w:sz="8" w:space="0" w:color="076A92" w:themeColor="text1"/>
          <w:bottom w:val="single" w:sz="8" w:space="0" w:color="076A92" w:themeColor="text1"/>
          <w:right w:val="single" w:sz="8" w:space="0" w:color="076A92" w:themeColor="text1"/>
        </w:tcBorders>
      </w:tcPr>
    </w:tblStylePr>
    <w:tblStylePr w:type="band1Horz">
      <w:tblPr/>
      <w:tcPr>
        <w:tcBorders>
          <w:top w:val="single" w:sz="8" w:space="0" w:color="076A92" w:themeColor="text1"/>
          <w:left w:val="single" w:sz="8" w:space="0" w:color="076A92" w:themeColor="text1"/>
          <w:bottom w:val="single" w:sz="8" w:space="0" w:color="076A92" w:themeColor="text1"/>
          <w:right w:val="single" w:sz="8" w:space="0" w:color="076A92" w:themeColor="text1"/>
        </w:tcBorders>
      </w:tcPr>
    </w:tblStylePr>
  </w:style>
  <w:style w:type="table" w:styleId="LightShading-Accent5">
    <w:name w:val="Light Shading Accent 5"/>
    <w:basedOn w:val="TableNormal"/>
    <w:uiPriority w:val="60"/>
    <w:rsid w:val="00A871F4"/>
    <w:pPr>
      <w:spacing w:before="0"/>
    </w:pPr>
    <w:rPr>
      <w:color w:val="000000" w:themeColor="accent5" w:themeShade="BF"/>
    </w:rPr>
    <w:tblPr>
      <w:tblStyleRowBandSize w:val="1"/>
      <w:tblStyleColBandSize w:val="1"/>
      <w:tblBorders>
        <w:top w:val="single" w:sz="8" w:space="0" w:color="000000" w:themeColor="accent5"/>
        <w:bottom w:val="single" w:sz="8" w:space="0" w:color="000000" w:themeColor="accent5"/>
      </w:tblBorders>
    </w:tblPr>
    <w:tblStylePr w:type="firstRow">
      <w:pPr>
        <w:spacing w:before="0" w:after="0" w:line="240" w:lineRule="auto"/>
      </w:pPr>
      <w:rPr>
        <w:b/>
        <w:bCs/>
      </w:rPr>
      <w:tblPr/>
      <w:tcPr>
        <w:tcBorders>
          <w:top w:val="single" w:sz="8" w:space="0" w:color="000000" w:themeColor="accent5"/>
          <w:left w:val="nil"/>
          <w:bottom w:val="single" w:sz="8" w:space="0" w:color="000000" w:themeColor="accent5"/>
          <w:right w:val="nil"/>
          <w:insideH w:val="nil"/>
          <w:insideV w:val="nil"/>
        </w:tcBorders>
      </w:tcPr>
    </w:tblStylePr>
    <w:tblStylePr w:type="lastRow">
      <w:pPr>
        <w:spacing w:before="0" w:after="0" w:line="240" w:lineRule="auto"/>
      </w:pPr>
      <w:rPr>
        <w:b/>
        <w:bCs/>
      </w:rPr>
      <w:tblPr/>
      <w:tcPr>
        <w:tcBorders>
          <w:top w:val="single" w:sz="8" w:space="0" w:color="000000" w:themeColor="accent5"/>
          <w:left w:val="nil"/>
          <w:bottom w:val="single" w:sz="8" w:space="0" w:color="000000"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accent5" w:themeFillTint="3F"/>
      </w:tcPr>
    </w:tblStylePr>
    <w:tblStylePr w:type="band1Horz">
      <w:tblPr/>
      <w:tcPr>
        <w:tcBorders>
          <w:left w:val="nil"/>
          <w:right w:val="nil"/>
          <w:insideH w:val="nil"/>
          <w:insideV w:val="nil"/>
        </w:tcBorders>
        <w:shd w:val="clear" w:color="auto" w:fill="C0C0C0" w:themeFill="accent5" w:themeFillTint="3F"/>
      </w:tcPr>
    </w:tblStylePr>
  </w:style>
  <w:style w:type="table" w:styleId="LightGrid-Accent3">
    <w:name w:val="Light Grid Accent 3"/>
    <w:basedOn w:val="TableNormal"/>
    <w:uiPriority w:val="62"/>
    <w:rsid w:val="00A871F4"/>
    <w:pPr>
      <w:spacing w:before="0"/>
    </w:pPr>
    <w:tblPr>
      <w:tblStyleRowBandSize w:val="1"/>
      <w:tblStyleColBandSize w:val="1"/>
      <w:tblBorders>
        <w:top w:val="single" w:sz="8" w:space="0" w:color="002060" w:themeColor="accent3"/>
        <w:left w:val="single" w:sz="8" w:space="0" w:color="002060" w:themeColor="accent3"/>
        <w:bottom w:val="single" w:sz="8" w:space="0" w:color="002060" w:themeColor="accent3"/>
        <w:right w:val="single" w:sz="8" w:space="0" w:color="002060" w:themeColor="accent3"/>
        <w:insideH w:val="single" w:sz="8" w:space="0" w:color="002060" w:themeColor="accent3"/>
        <w:insideV w:val="single" w:sz="8" w:space="0" w:color="00206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2060" w:themeColor="accent3"/>
          <w:left w:val="single" w:sz="8" w:space="0" w:color="002060" w:themeColor="accent3"/>
          <w:bottom w:val="single" w:sz="18" w:space="0" w:color="002060" w:themeColor="accent3"/>
          <w:right w:val="single" w:sz="8" w:space="0" w:color="002060" w:themeColor="accent3"/>
          <w:insideH w:val="nil"/>
          <w:insideV w:val="single" w:sz="8" w:space="0" w:color="00206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2060" w:themeColor="accent3"/>
          <w:left w:val="single" w:sz="8" w:space="0" w:color="002060" w:themeColor="accent3"/>
          <w:bottom w:val="single" w:sz="8" w:space="0" w:color="002060" w:themeColor="accent3"/>
          <w:right w:val="single" w:sz="8" w:space="0" w:color="002060" w:themeColor="accent3"/>
          <w:insideH w:val="nil"/>
          <w:insideV w:val="single" w:sz="8" w:space="0" w:color="00206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2060" w:themeColor="accent3"/>
          <w:left w:val="single" w:sz="8" w:space="0" w:color="002060" w:themeColor="accent3"/>
          <w:bottom w:val="single" w:sz="8" w:space="0" w:color="002060" w:themeColor="accent3"/>
          <w:right w:val="single" w:sz="8" w:space="0" w:color="002060" w:themeColor="accent3"/>
        </w:tcBorders>
      </w:tcPr>
    </w:tblStylePr>
    <w:tblStylePr w:type="band1Vert">
      <w:tblPr/>
      <w:tcPr>
        <w:tcBorders>
          <w:top w:val="single" w:sz="8" w:space="0" w:color="002060" w:themeColor="accent3"/>
          <w:left w:val="single" w:sz="8" w:space="0" w:color="002060" w:themeColor="accent3"/>
          <w:bottom w:val="single" w:sz="8" w:space="0" w:color="002060" w:themeColor="accent3"/>
          <w:right w:val="single" w:sz="8" w:space="0" w:color="002060" w:themeColor="accent3"/>
        </w:tcBorders>
        <w:shd w:val="clear" w:color="auto" w:fill="98BAFF" w:themeFill="accent3" w:themeFillTint="3F"/>
      </w:tcPr>
    </w:tblStylePr>
    <w:tblStylePr w:type="band1Horz">
      <w:tblPr/>
      <w:tcPr>
        <w:tcBorders>
          <w:top w:val="single" w:sz="8" w:space="0" w:color="002060" w:themeColor="accent3"/>
          <w:left w:val="single" w:sz="8" w:space="0" w:color="002060" w:themeColor="accent3"/>
          <w:bottom w:val="single" w:sz="8" w:space="0" w:color="002060" w:themeColor="accent3"/>
          <w:right w:val="single" w:sz="8" w:space="0" w:color="002060" w:themeColor="accent3"/>
          <w:insideV w:val="single" w:sz="8" w:space="0" w:color="002060" w:themeColor="accent3"/>
        </w:tcBorders>
        <w:shd w:val="clear" w:color="auto" w:fill="98BAFF" w:themeFill="accent3" w:themeFillTint="3F"/>
      </w:tcPr>
    </w:tblStylePr>
    <w:tblStylePr w:type="band2Horz">
      <w:tblPr/>
      <w:tcPr>
        <w:tcBorders>
          <w:top w:val="single" w:sz="8" w:space="0" w:color="002060" w:themeColor="accent3"/>
          <w:left w:val="single" w:sz="8" w:space="0" w:color="002060" w:themeColor="accent3"/>
          <w:bottom w:val="single" w:sz="8" w:space="0" w:color="002060" w:themeColor="accent3"/>
          <w:right w:val="single" w:sz="8" w:space="0" w:color="002060" w:themeColor="accent3"/>
          <w:insideV w:val="single" w:sz="8" w:space="0" w:color="002060" w:themeColor="accent3"/>
        </w:tcBorders>
      </w:tcPr>
    </w:tblStylePr>
  </w:style>
  <w:style w:type="paragraph" w:styleId="Bibliography">
    <w:name w:val="Bibliography"/>
    <w:basedOn w:val="Normal"/>
    <w:next w:val="Normal"/>
    <w:uiPriority w:val="37"/>
    <w:semiHidden/>
    <w:rsid w:val="00EE28F3"/>
  </w:style>
  <w:style w:type="paragraph" w:styleId="BodyText3">
    <w:name w:val="Body Text 3"/>
    <w:basedOn w:val="Normal"/>
    <w:link w:val="BodyText3Char"/>
    <w:unhideWhenUsed/>
    <w:rsid w:val="005C26CC"/>
    <w:pPr>
      <w:spacing w:after="120"/>
    </w:pPr>
    <w:rPr>
      <w:szCs w:val="16"/>
    </w:rPr>
  </w:style>
  <w:style w:type="character" w:customStyle="1" w:styleId="BodyText3Char">
    <w:name w:val="Body Text 3 Char"/>
    <w:basedOn w:val="DefaultParagraphFont"/>
    <w:link w:val="BodyText3"/>
    <w:uiPriority w:val="99"/>
    <w:rsid w:val="005C26CC"/>
    <w:rPr>
      <w:rFonts w:ascii="Arial" w:hAnsi="Arial"/>
      <w:szCs w:val="16"/>
    </w:rPr>
  </w:style>
  <w:style w:type="paragraph" w:styleId="TOC1">
    <w:name w:val="toc 1"/>
    <w:basedOn w:val="Normal"/>
    <w:next w:val="Normal"/>
    <w:autoRedefine/>
    <w:uiPriority w:val="39"/>
    <w:qFormat/>
    <w:rsid w:val="005B704A"/>
    <w:pPr>
      <w:tabs>
        <w:tab w:val="left" w:pos="426"/>
        <w:tab w:val="right" w:leader="dot" w:pos="8364"/>
      </w:tabs>
      <w:spacing w:after="100"/>
    </w:pPr>
    <w:rPr>
      <w:b/>
      <w:noProof/>
      <w:color w:val="70635A" w:themeColor="text2"/>
      <w:sz w:val="24"/>
      <w:lang w:val="en-US" w:eastAsia="ja-JP"/>
    </w:rPr>
  </w:style>
  <w:style w:type="paragraph" w:styleId="TOC2">
    <w:name w:val="toc 2"/>
    <w:basedOn w:val="Normal"/>
    <w:next w:val="Normal"/>
    <w:uiPriority w:val="39"/>
    <w:qFormat/>
    <w:rsid w:val="005D7BA2"/>
    <w:pPr>
      <w:tabs>
        <w:tab w:val="left" w:pos="880"/>
        <w:tab w:val="right" w:leader="dot" w:pos="8363"/>
      </w:tabs>
      <w:spacing w:after="100"/>
      <w:ind w:left="425"/>
    </w:pPr>
    <w:rPr>
      <w:b/>
      <w:noProof/>
      <w:color w:val="70635A" w:themeColor="text2"/>
      <w:sz w:val="24"/>
    </w:rPr>
  </w:style>
  <w:style w:type="paragraph" w:styleId="TOC3">
    <w:name w:val="toc 3"/>
    <w:basedOn w:val="Normal"/>
    <w:next w:val="Normal"/>
    <w:uiPriority w:val="39"/>
    <w:qFormat/>
    <w:rsid w:val="005D7BA2"/>
    <w:pPr>
      <w:tabs>
        <w:tab w:val="left" w:pos="1760"/>
        <w:tab w:val="right" w:leader="dot" w:pos="8363"/>
      </w:tabs>
      <w:spacing w:after="100"/>
      <w:ind w:left="851"/>
    </w:pPr>
    <w:rPr>
      <w:noProof/>
    </w:rPr>
  </w:style>
  <w:style w:type="paragraph" w:styleId="Title">
    <w:name w:val="Title"/>
    <w:basedOn w:val="Normal"/>
    <w:next w:val="Normal"/>
    <w:link w:val="TitleChar"/>
    <w:qFormat/>
    <w:rsid w:val="00174102"/>
    <w:pPr>
      <w:spacing w:before="720" w:after="120"/>
      <w:contextualSpacing/>
      <w:outlineLvl w:val="0"/>
    </w:pPr>
    <w:rPr>
      <w:rFonts w:asciiTheme="majorHAnsi" w:eastAsiaTheme="majorEastAsia" w:hAnsiTheme="majorHAnsi" w:cstheme="majorBidi"/>
      <w:color w:val="C14E00" w:themeColor="accent2"/>
      <w:spacing w:val="5"/>
      <w:kern w:val="28"/>
      <w:sz w:val="72"/>
      <w:szCs w:val="52"/>
    </w:rPr>
  </w:style>
  <w:style w:type="character" w:customStyle="1" w:styleId="TitleChar">
    <w:name w:val="Title Char"/>
    <w:basedOn w:val="DefaultParagraphFont"/>
    <w:link w:val="Title"/>
    <w:uiPriority w:val="10"/>
    <w:rsid w:val="00174102"/>
    <w:rPr>
      <w:rFonts w:asciiTheme="majorHAnsi" w:eastAsiaTheme="majorEastAsia" w:hAnsiTheme="majorHAnsi" w:cstheme="majorBidi"/>
      <w:color w:val="C14E00" w:themeColor="accent2"/>
      <w:spacing w:val="5"/>
      <w:kern w:val="28"/>
      <w:sz w:val="72"/>
      <w:szCs w:val="52"/>
    </w:rPr>
  </w:style>
  <w:style w:type="character" w:styleId="BookTitle">
    <w:name w:val="Book Title"/>
    <w:uiPriority w:val="33"/>
    <w:rsid w:val="0081034E"/>
    <w:rPr>
      <w:rFonts w:ascii="Arial" w:hAnsi="Arial"/>
      <w:bCs/>
      <w:i/>
      <w:caps w:val="0"/>
      <w:smallCaps w:val="0"/>
      <w:spacing w:val="0"/>
      <w:sz w:val="22"/>
    </w:rPr>
  </w:style>
  <w:style w:type="table" w:styleId="LightList-Accent1">
    <w:name w:val="Light List Accent 1"/>
    <w:basedOn w:val="TableNormal"/>
    <w:uiPriority w:val="61"/>
    <w:rsid w:val="0081034E"/>
    <w:pPr>
      <w:spacing w:before="0"/>
    </w:pPr>
    <w:tblPr>
      <w:tblStyleRowBandSize w:val="1"/>
      <w:tblStyleColBandSize w:val="1"/>
      <w:tblBorders>
        <w:top w:val="single" w:sz="8" w:space="0" w:color="2F002F" w:themeColor="accent1"/>
        <w:left w:val="single" w:sz="8" w:space="0" w:color="2F002F" w:themeColor="accent1"/>
        <w:bottom w:val="single" w:sz="8" w:space="0" w:color="2F002F" w:themeColor="accent1"/>
        <w:right w:val="single" w:sz="8" w:space="0" w:color="2F002F" w:themeColor="accent1"/>
      </w:tblBorders>
    </w:tblPr>
    <w:tblStylePr w:type="firstRow">
      <w:pPr>
        <w:spacing w:before="0" w:after="0" w:line="240" w:lineRule="auto"/>
      </w:pPr>
      <w:rPr>
        <w:b/>
        <w:bCs/>
        <w:color w:val="FFFFFF" w:themeColor="background1"/>
      </w:rPr>
      <w:tblPr/>
      <w:tcPr>
        <w:shd w:val="clear" w:color="auto" w:fill="2F002F" w:themeFill="accent1"/>
      </w:tcPr>
    </w:tblStylePr>
    <w:tblStylePr w:type="lastRow">
      <w:pPr>
        <w:spacing w:before="0" w:after="0" w:line="240" w:lineRule="auto"/>
      </w:pPr>
      <w:rPr>
        <w:b/>
        <w:bCs/>
      </w:rPr>
      <w:tblPr/>
      <w:tcPr>
        <w:tcBorders>
          <w:top w:val="double" w:sz="6" w:space="0" w:color="2F002F" w:themeColor="accent1"/>
          <w:left w:val="single" w:sz="8" w:space="0" w:color="2F002F" w:themeColor="accent1"/>
          <w:bottom w:val="single" w:sz="8" w:space="0" w:color="2F002F" w:themeColor="accent1"/>
          <w:right w:val="single" w:sz="8" w:space="0" w:color="2F002F" w:themeColor="accent1"/>
        </w:tcBorders>
      </w:tcPr>
    </w:tblStylePr>
    <w:tblStylePr w:type="firstCol">
      <w:rPr>
        <w:b/>
        <w:bCs/>
      </w:rPr>
    </w:tblStylePr>
    <w:tblStylePr w:type="lastCol">
      <w:rPr>
        <w:b/>
        <w:bCs/>
      </w:rPr>
    </w:tblStylePr>
    <w:tblStylePr w:type="band1Vert">
      <w:tblPr/>
      <w:tcPr>
        <w:tcBorders>
          <w:top w:val="single" w:sz="8" w:space="0" w:color="2F002F" w:themeColor="accent1"/>
          <w:left w:val="single" w:sz="8" w:space="0" w:color="2F002F" w:themeColor="accent1"/>
          <w:bottom w:val="single" w:sz="8" w:space="0" w:color="2F002F" w:themeColor="accent1"/>
          <w:right w:val="single" w:sz="8" w:space="0" w:color="2F002F" w:themeColor="accent1"/>
        </w:tcBorders>
      </w:tcPr>
    </w:tblStylePr>
    <w:tblStylePr w:type="band1Horz">
      <w:tblPr/>
      <w:tcPr>
        <w:tcBorders>
          <w:top w:val="single" w:sz="8" w:space="0" w:color="2F002F" w:themeColor="accent1"/>
          <w:left w:val="single" w:sz="8" w:space="0" w:color="2F002F" w:themeColor="accent1"/>
          <w:bottom w:val="single" w:sz="8" w:space="0" w:color="2F002F" w:themeColor="accent1"/>
          <w:right w:val="single" w:sz="8" w:space="0" w:color="2F002F" w:themeColor="accent1"/>
        </w:tcBorders>
      </w:tcPr>
    </w:tblStylePr>
  </w:style>
  <w:style w:type="table" w:styleId="LightList-Accent3">
    <w:name w:val="Light List Accent 3"/>
    <w:basedOn w:val="TableNormal"/>
    <w:uiPriority w:val="61"/>
    <w:rsid w:val="0081034E"/>
    <w:pPr>
      <w:spacing w:before="0"/>
    </w:pPr>
    <w:tblPr>
      <w:tblStyleRowBandSize w:val="1"/>
      <w:tblStyleColBandSize w:val="1"/>
      <w:tblBorders>
        <w:top w:val="single" w:sz="8" w:space="0" w:color="002060" w:themeColor="accent3"/>
        <w:left w:val="single" w:sz="8" w:space="0" w:color="002060" w:themeColor="accent3"/>
        <w:bottom w:val="single" w:sz="8" w:space="0" w:color="002060" w:themeColor="accent3"/>
        <w:right w:val="single" w:sz="8" w:space="0" w:color="002060" w:themeColor="accent3"/>
      </w:tblBorders>
    </w:tblPr>
    <w:tblStylePr w:type="firstRow">
      <w:pPr>
        <w:spacing w:before="0" w:after="0" w:line="240" w:lineRule="auto"/>
      </w:pPr>
      <w:rPr>
        <w:b/>
        <w:bCs/>
        <w:color w:val="FFFFFF" w:themeColor="background1"/>
      </w:rPr>
      <w:tblPr/>
      <w:tcPr>
        <w:shd w:val="clear" w:color="auto" w:fill="002060" w:themeFill="accent3"/>
      </w:tcPr>
    </w:tblStylePr>
    <w:tblStylePr w:type="lastRow">
      <w:pPr>
        <w:spacing w:before="0" w:after="0" w:line="240" w:lineRule="auto"/>
      </w:pPr>
      <w:rPr>
        <w:b/>
        <w:bCs/>
      </w:rPr>
      <w:tblPr/>
      <w:tcPr>
        <w:tcBorders>
          <w:top w:val="double" w:sz="6" w:space="0" w:color="002060" w:themeColor="accent3"/>
          <w:left w:val="single" w:sz="8" w:space="0" w:color="002060" w:themeColor="accent3"/>
          <w:bottom w:val="single" w:sz="8" w:space="0" w:color="002060" w:themeColor="accent3"/>
          <w:right w:val="single" w:sz="8" w:space="0" w:color="002060" w:themeColor="accent3"/>
        </w:tcBorders>
      </w:tcPr>
    </w:tblStylePr>
    <w:tblStylePr w:type="firstCol">
      <w:rPr>
        <w:b/>
        <w:bCs/>
      </w:rPr>
    </w:tblStylePr>
    <w:tblStylePr w:type="lastCol">
      <w:rPr>
        <w:b/>
        <w:bCs/>
      </w:rPr>
    </w:tblStylePr>
    <w:tblStylePr w:type="band1Vert">
      <w:tblPr/>
      <w:tcPr>
        <w:tcBorders>
          <w:top w:val="single" w:sz="8" w:space="0" w:color="002060" w:themeColor="accent3"/>
          <w:left w:val="single" w:sz="8" w:space="0" w:color="002060" w:themeColor="accent3"/>
          <w:bottom w:val="single" w:sz="8" w:space="0" w:color="002060" w:themeColor="accent3"/>
          <w:right w:val="single" w:sz="8" w:space="0" w:color="002060" w:themeColor="accent3"/>
        </w:tcBorders>
      </w:tcPr>
    </w:tblStylePr>
    <w:tblStylePr w:type="band1Horz">
      <w:tblPr/>
      <w:tcPr>
        <w:tcBorders>
          <w:top w:val="single" w:sz="8" w:space="0" w:color="002060" w:themeColor="accent3"/>
          <w:left w:val="single" w:sz="8" w:space="0" w:color="002060" w:themeColor="accent3"/>
          <w:bottom w:val="single" w:sz="8" w:space="0" w:color="002060" w:themeColor="accent3"/>
          <w:right w:val="single" w:sz="8" w:space="0" w:color="002060" w:themeColor="accent3"/>
        </w:tcBorders>
      </w:tcPr>
    </w:tblStylePr>
  </w:style>
  <w:style w:type="table" w:styleId="LightList-Accent5">
    <w:name w:val="Light List Accent 5"/>
    <w:basedOn w:val="TableNormal"/>
    <w:uiPriority w:val="61"/>
    <w:rsid w:val="005B1E3C"/>
    <w:pPr>
      <w:spacing w:before="0"/>
    </w:pPr>
    <w:tblPr>
      <w:tblStyleRowBandSize w:val="1"/>
      <w:tblStyleColBandSize w:val="1"/>
      <w:tblBorders>
        <w:top w:val="single" w:sz="8" w:space="0" w:color="000000" w:themeColor="accent5"/>
        <w:left w:val="single" w:sz="8" w:space="0" w:color="000000" w:themeColor="accent5"/>
        <w:bottom w:val="single" w:sz="8" w:space="0" w:color="000000" w:themeColor="accent5"/>
        <w:right w:val="single" w:sz="8" w:space="0" w:color="000000" w:themeColor="accent5"/>
      </w:tblBorders>
    </w:tblPr>
    <w:tblStylePr w:type="firstRow">
      <w:pPr>
        <w:spacing w:before="0" w:after="0" w:line="240" w:lineRule="auto"/>
      </w:pPr>
      <w:rPr>
        <w:b/>
        <w:bCs/>
        <w:color w:val="auto"/>
      </w:rPr>
      <w:tblPr/>
      <w:tcPr>
        <w:shd w:val="clear" w:color="auto" w:fill="000000" w:themeFill="accent5"/>
      </w:tcPr>
    </w:tblStylePr>
    <w:tblStylePr w:type="lastRow">
      <w:pPr>
        <w:spacing w:before="0" w:after="0" w:line="240" w:lineRule="auto"/>
      </w:pPr>
      <w:rPr>
        <w:b/>
        <w:bCs/>
      </w:rPr>
      <w:tblPr/>
      <w:tcPr>
        <w:tcBorders>
          <w:top w:val="double" w:sz="6" w:space="0" w:color="000000" w:themeColor="accent5"/>
          <w:left w:val="single" w:sz="8" w:space="0" w:color="000000" w:themeColor="accent5"/>
          <w:bottom w:val="single" w:sz="8" w:space="0" w:color="000000" w:themeColor="accent5"/>
          <w:right w:val="single" w:sz="8" w:space="0" w:color="000000" w:themeColor="accent5"/>
        </w:tcBorders>
      </w:tcPr>
    </w:tblStylePr>
    <w:tblStylePr w:type="firstCol">
      <w:rPr>
        <w:b/>
        <w:bCs/>
      </w:rPr>
    </w:tblStylePr>
    <w:tblStylePr w:type="lastCol">
      <w:rPr>
        <w:b/>
        <w:bCs/>
      </w:rPr>
    </w:tblStylePr>
    <w:tblStylePr w:type="band1Vert">
      <w:tblPr/>
      <w:tcPr>
        <w:tcBorders>
          <w:top w:val="single" w:sz="8" w:space="0" w:color="000000" w:themeColor="accent5"/>
          <w:left w:val="single" w:sz="8" w:space="0" w:color="000000" w:themeColor="accent5"/>
          <w:bottom w:val="single" w:sz="8" w:space="0" w:color="000000" w:themeColor="accent5"/>
          <w:right w:val="single" w:sz="8" w:space="0" w:color="000000" w:themeColor="accent5"/>
        </w:tcBorders>
      </w:tcPr>
    </w:tblStylePr>
    <w:tblStylePr w:type="band1Horz">
      <w:tblPr/>
      <w:tcPr>
        <w:tcBorders>
          <w:top w:val="single" w:sz="8" w:space="0" w:color="000000" w:themeColor="accent5"/>
          <w:left w:val="single" w:sz="8" w:space="0" w:color="000000" w:themeColor="accent5"/>
          <w:bottom w:val="single" w:sz="8" w:space="0" w:color="000000" w:themeColor="accent5"/>
          <w:right w:val="single" w:sz="8" w:space="0" w:color="000000" w:themeColor="accent5"/>
        </w:tcBorders>
      </w:tcPr>
    </w:tblStylePr>
  </w:style>
  <w:style w:type="character" w:styleId="Emphasis">
    <w:name w:val="Emphasis"/>
    <w:basedOn w:val="DefaultParagraphFont"/>
    <w:uiPriority w:val="20"/>
    <w:qFormat/>
    <w:rsid w:val="00701CAB"/>
    <w:rPr>
      <w:i/>
      <w:iCs/>
    </w:rPr>
  </w:style>
  <w:style w:type="paragraph" w:styleId="NormalIndent">
    <w:name w:val="Normal Indent"/>
    <w:basedOn w:val="Normal"/>
    <w:uiPriority w:val="1"/>
    <w:rsid w:val="00202E03"/>
    <w:pPr>
      <w:tabs>
        <w:tab w:val="left" w:pos="680"/>
      </w:tabs>
      <w:ind w:left="680"/>
    </w:pPr>
  </w:style>
  <w:style w:type="paragraph" w:styleId="FootnoteText">
    <w:name w:val="footnote text"/>
    <w:aliases w:val="Footnote Text1,Footnote Text2,ALTS FOOTNOTE2,Footnote Text11,(NECG) Footnote Text,(NECG) Footnote Text1,ALTS FOOTNOTE,Footnote text,AR Footnote Text,AR Footnote Text Char Char Char Char Char Char,AR Footnote Text Char Char Char Char Char,f"/>
    <w:basedOn w:val="Normal"/>
    <w:link w:val="FootnoteTextChar"/>
    <w:uiPriority w:val="2"/>
    <w:unhideWhenUsed/>
    <w:qFormat/>
    <w:rsid w:val="00DE1093"/>
    <w:pPr>
      <w:tabs>
        <w:tab w:val="left" w:pos="340"/>
      </w:tabs>
      <w:spacing w:before="0" w:line="240" w:lineRule="exact"/>
      <w:ind w:left="340" w:hanging="340"/>
    </w:pPr>
    <w:rPr>
      <w:sz w:val="16"/>
      <w:szCs w:val="20"/>
    </w:rPr>
  </w:style>
  <w:style w:type="character" w:customStyle="1" w:styleId="FootnoteTextChar">
    <w:name w:val="Footnote Text Char"/>
    <w:aliases w:val="Footnote Text1 Char,Footnote Text2 Char,ALTS FOOTNOTE2 Char,Footnote Text11 Char,(NECG) Footnote Text Char,(NECG) Footnote Text1 Char,ALTS FOOTNOTE Char,Footnote text Char,AR Footnote Text Char,f Char"/>
    <w:basedOn w:val="DefaultParagraphFont"/>
    <w:link w:val="FootnoteText"/>
    <w:uiPriority w:val="99"/>
    <w:rsid w:val="00DE1093"/>
    <w:rPr>
      <w:rFonts w:ascii="Arial" w:hAnsi="Arial"/>
      <w:sz w:val="16"/>
      <w:szCs w:val="20"/>
    </w:rPr>
  </w:style>
  <w:style w:type="character" w:styleId="FootnoteReference">
    <w:name w:val="footnote reference"/>
    <w:aliases w:val="(NECG) Footnote Reference,(NECG) Footnote Reference1,(NECG) Footnote Reference2,(NECG) Footnote Reference3,(NECG) Footnote Reference4,(NECG) Footnote Reference5,(NECG) Footnote Reference6,(NECG) Footnote Reference7,o,Style 3,Style 12"/>
    <w:basedOn w:val="DefaultParagraphFont"/>
    <w:uiPriority w:val="99"/>
    <w:unhideWhenUsed/>
    <w:rsid w:val="00701CAB"/>
    <w:rPr>
      <w:vertAlign w:val="superscript"/>
    </w:rPr>
  </w:style>
  <w:style w:type="character" w:styleId="Strong">
    <w:name w:val="Strong"/>
    <w:aliases w:val="AER text bold"/>
    <w:basedOn w:val="DefaultParagraphFont"/>
    <w:uiPriority w:val="22"/>
    <w:qFormat/>
    <w:rsid w:val="00EF5110"/>
    <w:rPr>
      <w:b/>
      <w:bCs/>
    </w:rPr>
  </w:style>
  <w:style w:type="paragraph" w:styleId="Subtitle">
    <w:name w:val="Subtitle"/>
    <w:basedOn w:val="Normal"/>
    <w:next w:val="Normal"/>
    <w:link w:val="SubtitleChar"/>
    <w:uiPriority w:val="11"/>
    <w:rsid w:val="00CA489E"/>
    <w:pPr>
      <w:numPr>
        <w:ilvl w:val="1"/>
      </w:numPr>
    </w:pPr>
    <w:rPr>
      <w:rFonts w:asciiTheme="majorHAnsi" w:eastAsiaTheme="majorEastAsia" w:hAnsiTheme="majorHAnsi" w:cstheme="majorBidi"/>
      <w:i/>
      <w:iCs/>
      <w:color w:val="2F002F" w:themeColor="accent1"/>
      <w:spacing w:val="15"/>
      <w:sz w:val="24"/>
      <w:szCs w:val="24"/>
    </w:rPr>
  </w:style>
  <w:style w:type="character" w:customStyle="1" w:styleId="SubtitleChar">
    <w:name w:val="Subtitle Char"/>
    <w:basedOn w:val="DefaultParagraphFont"/>
    <w:link w:val="Subtitle"/>
    <w:uiPriority w:val="11"/>
    <w:rsid w:val="00CA489E"/>
    <w:rPr>
      <w:rFonts w:asciiTheme="majorHAnsi" w:eastAsiaTheme="majorEastAsia" w:hAnsiTheme="majorHAnsi" w:cstheme="majorBidi"/>
      <w:i/>
      <w:iCs/>
      <w:color w:val="2F002F" w:themeColor="accent1"/>
      <w:spacing w:val="15"/>
      <w:sz w:val="24"/>
      <w:szCs w:val="24"/>
    </w:rPr>
  </w:style>
  <w:style w:type="table" w:styleId="LightShading-Accent4">
    <w:name w:val="Light Shading Accent 4"/>
    <w:basedOn w:val="TableNormal"/>
    <w:uiPriority w:val="60"/>
    <w:rsid w:val="00746E01"/>
    <w:pPr>
      <w:spacing w:before="0"/>
    </w:pPr>
    <w:rPr>
      <w:color w:val="8F0000" w:themeColor="accent4" w:themeShade="BF"/>
    </w:rPr>
    <w:tblPr>
      <w:tblStyleRowBandSize w:val="1"/>
      <w:tblStyleColBandSize w:val="1"/>
      <w:tblBorders>
        <w:top w:val="single" w:sz="8" w:space="0" w:color="C00000" w:themeColor="accent4"/>
        <w:bottom w:val="single" w:sz="8" w:space="0" w:color="C00000" w:themeColor="accent4"/>
      </w:tblBorders>
    </w:tblPr>
    <w:tblStylePr w:type="firstRow">
      <w:pPr>
        <w:spacing w:before="0" w:after="0" w:line="240" w:lineRule="auto"/>
      </w:pPr>
      <w:rPr>
        <w:b/>
        <w:bCs/>
      </w:rPr>
      <w:tblPr/>
      <w:tcPr>
        <w:tcBorders>
          <w:top w:val="single" w:sz="8" w:space="0" w:color="C00000" w:themeColor="accent4"/>
          <w:left w:val="nil"/>
          <w:bottom w:val="single" w:sz="8" w:space="0" w:color="C00000" w:themeColor="accent4"/>
          <w:right w:val="nil"/>
          <w:insideH w:val="nil"/>
          <w:insideV w:val="nil"/>
        </w:tcBorders>
      </w:tcPr>
    </w:tblStylePr>
    <w:tblStylePr w:type="lastRow">
      <w:pPr>
        <w:spacing w:before="0" w:after="0" w:line="240" w:lineRule="auto"/>
      </w:pPr>
      <w:rPr>
        <w:b/>
        <w:bCs/>
      </w:rPr>
      <w:tblPr/>
      <w:tcPr>
        <w:tcBorders>
          <w:top w:val="single" w:sz="8" w:space="0" w:color="C00000" w:themeColor="accent4"/>
          <w:left w:val="nil"/>
          <w:bottom w:val="single" w:sz="8" w:space="0" w:color="C00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4" w:themeFillTint="3F"/>
      </w:tcPr>
    </w:tblStylePr>
    <w:tblStylePr w:type="band1Horz">
      <w:tblPr/>
      <w:tcPr>
        <w:tcBorders>
          <w:left w:val="nil"/>
          <w:right w:val="nil"/>
          <w:insideH w:val="nil"/>
          <w:insideV w:val="nil"/>
        </w:tcBorders>
        <w:shd w:val="clear" w:color="auto" w:fill="FFB0B0" w:themeFill="accent4" w:themeFillTint="3F"/>
      </w:tcPr>
    </w:tblStylePr>
  </w:style>
  <w:style w:type="table" w:styleId="LightShading-Accent6">
    <w:name w:val="Light Shading Accent 6"/>
    <w:basedOn w:val="TableNormal"/>
    <w:uiPriority w:val="60"/>
    <w:rsid w:val="00746E01"/>
    <w:pPr>
      <w:spacing w:before="0"/>
    </w:pPr>
    <w:rPr>
      <w:color w:val="53242C" w:themeColor="accent6" w:themeShade="BF"/>
    </w:rPr>
    <w:tblPr>
      <w:tblStyleRowBandSize w:val="1"/>
      <w:tblStyleColBandSize w:val="1"/>
      <w:tblBorders>
        <w:top w:val="single" w:sz="8" w:space="0" w:color="70303C" w:themeColor="accent6"/>
        <w:bottom w:val="single" w:sz="8" w:space="0" w:color="70303C" w:themeColor="accent6"/>
      </w:tblBorders>
    </w:tblPr>
    <w:tblStylePr w:type="firstRow">
      <w:pPr>
        <w:spacing w:before="0" w:after="0" w:line="240" w:lineRule="auto"/>
      </w:pPr>
      <w:rPr>
        <w:b/>
        <w:bCs/>
      </w:rPr>
      <w:tblPr/>
      <w:tcPr>
        <w:tcBorders>
          <w:top w:val="single" w:sz="8" w:space="0" w:color="70303C" w:themeColor="accent6"/>
          <w:left w:val="nil"/>
          <w:bottom w:val="single" w:sz="8" w:space="0" w:color="70303C" w:themeColor="accent6"/>
          <w:right w:val="nil"/>
          <w:insideH w:val="nil"/>
          <w:insideV w:val="nil"/>
        </w:tcBorders>
      </w:tcPr>
    </w:tblStylePr>
    <w:tblStylePr w:type="lastRow">
      <w:pPr>
        <w:spacing w:before="0" w:after="0" w:line="240" w:lineRule="auto"/>
      </w:pPr>
      <w:rPr>
        <w:b/>
        <w:bCs/>
      </w:rPr>
      <w:tblPr/>
      <w:tcPr>
        <w:tcBorders>
          <w:top w:val="single" w:sz="8" w:space="0" w:color="70303C" w:themeColor="accent6"/>
          <w:left w:val="nil"/>
          <w:bottom w:val="single" w:sz="8" w:space="0" w:color="70303C"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C2C8" w:themeFill="accent6" w:themeFillTint="3F"/>
      </w:tcPr>
    </w:tblStylePr>
    <w:tblStylePr w:type="band1Horz">
      <w:tblPr/>
      <w:tcPr>
        <w:tcBorders>
          <w:left w:val="nil"/>
          <w:right w:val="nil"/>
          <w:insideH w:val="nil"/>
          <w:insideV w:val="nil"/>
        </w:tcBorders>
        <w:shd w:val="clear" w:color="auto" w:fill="E5C2C8" w:themeFill="accent6" w:themeFillTint="3F"/>
      </w:tcPr>
    </w:tblStylePr>
  </w:style>
  <w:style w:type="paragraph" w:styleId="TOC4">
    <w:name w:val="toc 4"/>
    <w:basedOn w:val="Normal"/>
    <w:next w:val="Normal"/>
    <w:rsid w:val="005D7BA2"/>
    <w:pPr>
      <w:tabs>
        <w:tab w:val="right" w:leader="dot" w:pos="8363"/>
      </w:tabs>
      <w:spacing w:after="100"/>
      <w:ind w:left="1276"/>
    </w:pPr>
    <w:rPr>
      <w:noProof/>
    </w:rPr>
  </w:style>
  <w:style w:type="paragraph" w:styleId="TOC5">
    <w:name w:val="toc 5"/>
    <w:basedOn w:val="Normal"/>
    <w:next w:val="Normal"/>
    <w:rsid w:val="005D7BA2"/>
    <w:pPr>
      <w:tabs>
        <w:tab w:val="right" w:leader="dot" w:pos="8363"/>
      </w:tabs>
      <w:spacing w:after="100"/>
      <w:ind w:left="1701"/>
    </w:pPr>
    <w:rPr>
      <w:noProof/>
    </w:rPr>
  </w:style>
  <w:style w:type="paragraph" w:styleId="TOC6">
    <w:name w:val="toc 6"/>
    <w:basedOn w:val="Normal"/>
    <w:next w:val="Normal"/>
    <w:rsid w:val="005D7BA2"/>
    <w:pPr>
      <w:tabs>
        <w:tab w:val="right" w:leader="dot" w:pos="8363"/>
      </w:tabs>
      <w:spacing w:after="100"/>
      <w:ind w:left="2126"/>
    </w:pPr>
    <w:rPr>
      <w:noProof/>
    </w:rPr>
  </w:style>
  <w:style w:type="paragraph" w:styleId="TOC7">
    <w:name w:val="toc 7"/>
    <w:basedOn w:val="Normal"/>
    <w:next w:val="Normal"/>
    <w:rsid w:val="005D7BA2"/>
    <w:pPr>
      <w:tabs>
        <w:tab w:val="right" w:leader="dot" w:pos="8363"/>
      </w:tabs>
      <w:spacing w:after="100"/>
      <w:ind w:left="2552"/>
    </w:pPr>
    <w:rPr>
      <w:noProof/>
    </w:rPr>
  </w:style>
  <w:style w:type="paragraph" w:styleId="Salutation">
    <w:name w:val="Salutation"/>
    <w:basedOn w:val="Normal"/>
    <w:next w:val="Normal"/>
    <w:link w:val="SalutationChar"/>
    <w:uiPriority w:val="99"/>
    <w:unhideWhenUsed/>
    <w:rsid w:val="00CA489E"/>
  </w:style>
  <w:style w:type="table" w:customStyle="1" w:styleId="LightShading1">
    <w:name w:val="Light Shading1"/>
    <w:basedOn w:val="TableNormal"/>
    <w:next w:val="LightShading"/>
    <w:uiPriority w:val="60"/>
    <w:rsid w:val="00C53B5A"/>
    <w:pPr>
      <w:spacing w:before="120" w:after="120"/>
    </w:pPr>
    <w:rPr>
      <w:color w:val="054E6D" w:themeColor="text1" w:themeShade="BF"/>
      <w:sz w:val="20"/>
    </w:rPr>
    <w:tblPr>
      <w:tblBorders>
        <w:top w:val="single" w:sz="4" w:space="0" w:color="FFFFFF" w:themeColor="background2"/>
        <w:bottom w:val="single" w:sz="4" w:space="0" w:color="FFFFFF" w:themeColor="background2"/>
        <w:insideH w:val="single" w:sz="4" w:space="0" w:color="FFFFFF" w:themeColor="background2"/>
      </w:tblBorders>
    </w:tblPr>
    <w:tcPr>
      <w:shd w:val="clear" w:color="auto" w:fill="auto"/>
    </w:tcPr>
    <w:tblStylePr w:type="firstRow">
      <w:pPr>
        <w:wordWrap/>
        <w:spacing w:beforeLines="0" w:before="120" w:beforeAutospacing="0" w:afterLines="0" w:after="120" w:afterAutospacing="0" w:line="240" w:lineRule="auto"/>
      </w:pPr>
      <w:rPr>
        <w:rFonts w:ascii="Arial" w:hAnsi="Arial"/>
        <w:b/>
        <w:bCs/>
        <w:sz w:val="20"/>
      </w:rPr>
      <w:tblPr/>
      <w:tcPr>
        <w:tcBorders>
          <w:top w:val="single" w:sz="8" w:space="0" w:color="076A92" w:themeColor="text1"/>
          <w:left w:val="nil"/>
          <w:bottom w:val="single" w:sz="8" w:space="0" w:color="076A92" w:themeColor="text1"/>
          <w:right w:val="nil"/>
          <w:insideH w:val="nil"/>
          <w:insideV w:val="nil"/>
        </w:tcBorders>
        <w:shd w:val="clear" w:color="auto" w:fill="auto"/>
      </w:tcPr>
    </w:tblStylePr>
    <w:tblStylePr w:type="lastRow">
      <w:pPr>
        <w:wordWrap/>
        <w:spacing w:beforeLines="0" w:before="120" w:beforeAutospacing="0" w:afterLines="0" w:after="120" w:afterAutospacing="0" w:line="240" w:lineRule="auto"/>
      </w:pPr>
      <w:rPr>
        <w:rFonts w:ascii="Arial" w:hAnsi="Arial"/>
        <w:b/>
        <w:bCs/>
        <w:sz w:val="20"/>
      </w:rPr>
      <w:tblPr/>
      <w:tcPr>
        <w:tcBorders>
          <w:top w:val="single" w:sz="8" w:space="0" w:color="076A92" w:themeColor="text1"/>
          <w:left w:val="nil"/>
          <w:bottom w:val="single" w:sz="8" w:space="0" w:color="076A92" w:themeColor="text1"/>
          <w:right w:val="nil"/>
          <w:insideH w:val="nil"/>
          <w:insideV w:val="nil"/>
        </w:tcBorders>
        <w:vAlign w:val="center"/>
      </w:tcPr>
    </w:tblStylePr>
    <w:tblStylePr w:type="firstCol">
      <w:rPr>
        <w:b/>
        <w:bCs/>
        <w:sz w:val="20"/>
      </w:rPr>
    </w:tblStylePr>
    <w:tblStylePr w:type="lastCol">
      <w:rPr>
        <w:b/>
        <w:bCs/>
      </w:rPr>
    </w:tblStylePr>
  </w:style>
  <w:style w:type="table" w:styleId="LightList-Accent2">
    <w:name w:val="Light List Accent 2"/>
    <w:basedOn w:val="TableNormal"/>
    <w:uiPriority w:val="61"/>
    <w:rsid w:val="009661DE"/>
    <w:pPr>
      <w:spacing w:before="0"/>
    </w:pPr>
    <w:tblPr>
      <w:tblStyleRowBandSize w:val="1"/>
      <w:tblStyleColBandSize w:val="1"/>
      <w:tblBorders>
        <w:top w:val="single" w:sz="8" w:space="0" w:color="C14E00" w:themeColor="accent2"/>
        <w:left w:val="single" w:sz="8" w:space="0" w:color="C14E00" w:themeColor="accent2"/>
        <w:bottom w:val="single" w:sz="8" w:space="0" w:color="C14E00" w:themeColor="accent2"/>
        <w:right w:val="single" w:sz="8" w:space="0" w:color="C14E00" w:themeColor="accent2"/>
      </w:tblBorders>
    </w:tblPr>
    <w:tblStylePr w:type="firstRow">
      <w:pPr>
        <w:spacing w:before="0" w:after="0" w:line="240" w:lineRule="auto"/>
      </w:pPr>
      <w:rPr>
        <w:b/>
        <w:bCs/>
        <w:color w:val="FFFFFF" w:themeColor="background1"/>
      </w:rPr>
      <w:tblPr/>
      <w:tcPr>
        <w:shd w:val="clear" w:color="auto" w:fill="C14E00" w:themeFill="accent2"/>
      </w:tcPr>
    </w:tblStylePr>
    <w:tblStylePr w:type="lastRow">
      <w:pPr>
        <w:spacing w:before="0" w:after="0" w:line="240" w:lineRule="auto"/>
      </w:pPr>
      <w:rPr>
        <w:b/>
        <w:bCs/>
      </w:rPr>
      <w:tblPr/>
      <w:tcPr>
        <w:tcBorders>
          <w:top w:val="double" w:sz="6" w:space="0" w:color="C14E00" w:themeColor="accent2"/>
          <w:left w:val="single" w:sz="8" w:space="0" w:color="C14E00" w:themeColor="accent2"/>
          <w:bottom w:val="single" w:sz="8" w:space="0" w:color="C14E00" w:themeColor="accent2"/>
          <w:right w:val="single" w:sz="8" w:space="0" w:color="C14E00" w:themeColor="accent2"/>
        </w:tcBorders>
      </w:tcPr>
    </w:tblStylePr>
    <w:tblStylePr w:type="firstCol">
      <w:rPr>
        <w:b/>
        <w:bCs/>
      </w:rPr>
    </w:tblStylePr>
    <w:tblStylePr w:type="lastCol">
      <w:rPr>
        <w:b/>
        <w:bCs/>
      </w:rPr>
    </w:tblStylePr>
    <w:tblStylePr w:type="band1Vert">
      <w:tblPr/>
      <w:tcPr>
        <w:tcBorders>
          <w:top w:val="single" w:sz="8" w:space="0" w:color="C14E00" w:themeColor="accent2"/>
          <w:left w:val="single" w:sz="8" w:space="0" w:color="C14E00" w:themeColor="accent2"/>
          <w:bottom w:val="single" w:sz="8" w:space="0" w:color="C14E00" w:themeColor="accent2"/>
          <w:right w:val="single" w:sz="8" w:space="0" w:color="C14E00" w:themeColor="accent2"/>
        </w:tcBorders>
      </w:tcPr>
    </w:tblStylePr>
    <w:tblStylePr w:type="band1Horz">
      <w:tblPr/>
      <w:tcPr>
        <w:tcBorders>
          <w:top w:val="single" w:sz="8" w:space="0" w:color="C14E00" w:themeColor="accent2"/>
          <w:left w:val="single" w:sz="8" w:space="0" w:color="C14E00" w:themeColor="accent2"/>
          <w:bottom w:val="single" w:sz="8" w:space="0" w:color="C14E00" w:themeColor="accent2"/>
          <w:right w:val="single" w:sz="8" w:space="0" w:color="C14E00" w:themeColor="accent2"/>
        </w:tcBorders>
      </w:tcPr>
    </w:tblStylePr>
  </w:style>
  <w:style w:type="table" w:styleId="LightList-Accent4">
    <w:name w:val="Light List Accent 4"/>
    <w:basedOn w:val="TableNormal"/>
    <w:uiPriority w:val="61"/>
    <w:rsid w:val="009661DE"/>
    <w:pPr>
      <w:spacing w:before="0"/>
    </w:pPr>
    <w:tblPr>
      <w:tblStyleRowBandSize w:val="1"/>
      <w:tblStyleColBandSize w:val="1"/>
      <w:tblBorders>
        <w:top w:val="single" w:sz="8" w:space="0" w:color="C00000" w:themeColor="accent4"/>
        <w:left w:val="single" w:sz="8" w:space="0" w:color="C00000" w:themeColor="accent4"/>
        <w:bottom w:val="single" w:sz="8" w:space="0" w:color="C00000" w:themeColor="accent4"/>
        <w:right w:val="single" w:sz="8" w:space="0" w:color="C00000" w:themeColor="accent4"/>
      </w:tblBorders>
    </w:tblPr>
    <w:tblStylePr w:type="firstRow">
      <w:pPr>
        <w:spacing w:before="0" w:after="0" w:line="240" w:lineRule="auto"/>
      </w:pPr>
      <w:rPr>
        <w:b/>
        <w:bCs/>
        <w:color w:val="FFFFFF" w:themeColor="background1"/>
      </w:rPr>
      <w:tblPr/>
      <w:tcPr>
        <w:shd w:val="clear" w:color="auto" w:fill="C00000" w:themeFill="accent4"/>
      </w:tcPr>
    </w:tblStylePr>
    <w:tblStylePr w:type="lastRow">
      <w:pPr>
        <w:spacing w:before="0" w:after="0" w:line="240" w:lineRule="auto"/>
      </w:pPr>
      <w:rPr>
        <w:b/>
        <w:bCs/>
      </w:rPr>
      <w:tblPr/>
      <w:tcPr>
        <w:tcBorders>
          <w:top w:val="double" w:sz="6" w:space="0" w:color="C00000" w:themeColor="accent4"/>
          <w:left w:val="single" w:sz="8" w:space="0" w:color="C00000" w:themeColor="accent4"/>
          <w:bottom w:val="single" w:sz="8" w:space="0" w:color="C00000" w:themeColor="accent4"/>
          <w:right w:val="single" w:sz="8" w:space="0" w:color="C00000" w:themeColor="accent4"/>
        </w:tcBorders>
      </w:tcPr>
    </w:tblStylePr>
    <w:tblStylePr w:type="firstCol">
      <w:rPr>
        <w:b/>
        <w:bCs/>
      </w:rPr>
    </w:tblStylePr>
    <w:tblStylePr w:type="lastCol">
      <w:rPr>
        <w:b/>
        <w:bCs/>
      </w:rPr>
    </w:tblStylePr>
    <w:tblStylePr w:type="band1Vert">
      <w:tblPr/>
      <w:tcPr>
        <w:tcBorders>
          <w:top w:val="single" w:sz="8" w:space="0" w:color="C00000" w:themeColor="accent4"/>
          <w:left w:val="single" w:sz="8" w:space="0" w:color="C00000" w:themeColor="accent4"/>
          <w:bottom w:val="single" w:sz="8" w:space="0" w:color="C00000" w:themeColor="accent4"/>
          <w:right w:val="single" w:sz="8" w:space="0" w:color="C00000" w:themeColor="accent4"/>
        </w:tcBorders>
      </w:tcPr>
    </w:tblStylePr>
    <w:tblStylePr w:type="band1Horz">
      <w:tblPr/>
      <w:tcPr>
        <w:tcBorders>
          <w:top w:val="single" w:sz="8" w:space="0" w:color="C00000" w:themeColor="accent4"/>
          <w:left w:val="single" w:sz="8" w:space="0" w:color="C00000" w:themeColor="accent4"/>
          <w:bottom w:val="single" w:sz="8" w:space="0" w:color="C00000" w:themeColor="accent4"/>
          <w:right w:val="single" w:sz="8" w:space="0" w:color="C00000" w:themeColor="accent4"/>
        </w:tcBorders>
      </w:tcPr>
    </w:tblStylePr>
  </w:style>
  <w:style w:type="table" w:styleId="LightList-Accent6">
    <w:name w:val="Light List Accent 6"/>
    <w:basedOn w:val="TableNormal"/>
    <w:uiPriority w:val="61"/>
    <w:rsid w:val="009661DE"/>
    <w:pPr>
      <w:spacing w:before="0"/>
    </w:pPr>
    <w:tblPr>
      <w:tblStyleRowBandSize w:val="1"/>
      <w:tblStyleColBandSize w:val="1"/>
      <w:tblBorders>
        <w:top w:val="single" w:sz="8" w:space="0" w:color="70303C" w:themeColor="accent6"/>
        <w:left w:val="single" w:sz="8" w:space="0" w:color="70303C" w:themeColor="accent6"/>
        <w:bottom w:val="single" w:sz="8" w:space="0" w:color="70303C" w:themeColor="accent6"/>
        <w:right w:val="single" w:sz="8" w:space="0" w:color="70303C" w:themeColor="accent6"/>
      </w:tblBorders>
    </w:tblPr>
    <w:tblStylePr w:type="firstRow">
      <w:pPr>
        <w:spacing w:before="0" w:after="0" w:line="240" w:lineRule="auto"/>
      </w:pPr>
      <w:rPr>
        <w:b/>
        <w:bCs/>
        <w:color w:val="FFFFFF" w:themeColor="background1"/>
      </w:rPr>
      <w:tblPr/>
      <w:tcPr>
        <w:shd w:val="clear" w:color="auto" w:fill="70303C" w:themeFill="accent6"/>
      </w:tcPr>
    </w:tblStylePr>
    <w:tblStylePr w:type="lastRow">
      <w:pPr>
        <w:spacing w:before="0" w:after="0" w:line="240" w:lineRule="auto"/>
      </w:pPr>
      <w:rPr>
        <w:b/>
        <w:bCs/>
      </w:rPr>
      <w:tblPr/>
      <w:tcPr>
        <w:tcBorders>
          <w:top w:val="double" w:sz="6" w:space="0" w:color="70303C" w:themeColor="accent6"/>
          <w:left w:val="single" w:sz="8" w:space="0" w:color="70303C" w:themeColor="accent6"/>
          <w:bottom w:val="single" w:sz="8" w:space="0" w:color="70303C" w:themeColor="accent6"/>
          <w:right w:val="single" w:sz="8" w:space="0" w:color="70303C" w:themeColor="accent6"/>
        </w:tcBorders>
      </w:tcPr>
    </w:tblStylePr>
    <w:tblStylePr w:type="firstCol">
      <w:rPr>
        <w:b/>
        <w:bCs/>
      </w:rPr>
    </w:tblStylePr>
    <w:tblStylePr w:type="lastCol">
      <w:rPr>
        <w:b/>
        <w:bCs/>
      </w:rPr>
    </w:tblStylePr>
    <w:tblStylePr w:type="band1Vert">
      <w:tblPr/>
      <w:tcPr>
        <w:tcBorders>
          <w:top w:val="single" w:sz="8" w:space="0" w:color="70303C" w:themeColor="accent6"/>
          <w:left w:val="single" w:sz="8" w:space="0" w:color="70303C" w:themeColor="accent6"/>
          <w:bottom w:val="single" w:sz="8" w:space="0" w:color="70303C" w:themeColor="accent6"/>
          <w:right w:val="single" w:sz="8" w:space="0" w:color="70303C" w:themeColor="accent6"/>
        </w:tcBorders>
      </w:tcPr>
    </w:tblStylePr>
    <w:tblStylePr w:type="band1Horz">
      <w:tblPr/>
      <w:tcPr>
        <w:tcBorders>
          <w:top w:val="single" w:sz="8" w:space="0" w:color="70303C" w:themeColor="accent6"/>
          <w:left w:val="single" w:sz="8" w:space="0" w:color="70303C" w:themeColor="accent6"/>
          <w:bottom w:val="single" w:sz="8" w:space="0" w:color="70303C" w:themeColor="accent6"/>
          <w:right w:val="single" w:sz="8" w:space="0" w:color="70303C" w:themeColor="accent6"/>
        </w:tcBorders>
      </w:tcPr>
    </w:tblStylePr>
  </w:style>
  <w:style w:type="table" w:styleId="LightGrid">
    <w:name w:val="Light Grid"/>
    <w:basedOn w:val="TableNormal"/>
    <w:uiPriority w:val="62"/>
    <w:rsid w:val="009661DE"/>
    <w:pPr>
      <w:spacing w:before="0"/>
    </w:pPr>
    <w:tblPr>
      <w:tblStyleRowBandSize w:val="1"/>
      <w:tblStyleColBandSize w:val="1"/>
      <w:tblBorders>
        <w:top w:val="single" w:sz="8" w:space="0" w:color="076A92" w:themeColor="text1"/>
        <w:left w:val="single" w:sz="8" w:space="0" w:color="076A92" w:themeColor="text1"/>
        <w:bottom w:val="single" w:sz="8" w:space="0" w:color="076A92" w:themeColor="text1"/>
        <w:right w:val="single" w:sz="8" w:space="0" w:color="076A92" w:themeColor="text1"/>
        <w:insideH w:val="single" w:sz="8" w:space="0" w:color="076A92" w:themeColor="text1"/>
        <w:insideV w:val="single" w:sz="8" w:space="0" w:color="076A92"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76A92" w:themeColor="text1"/>
          <w:left w:val="single" w:sz="8" w:space="0" w:color="076A92" w:themeColor="text1"/>
          <w:bottom w:val="single" w:sz="18" w:space="0" w:color="076A92" w:themeColor="text1"/>
          <w:right w:val="single" w:sz="8" w:space="0" w:color="076A92" w:themeColor="text1"/>
          <w:insideH w:val="nil"/>
          <w:insideV w:val="single" w:sz="8" w:space="0" w:color="076A92"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76A92" w:themeColor="text1"/>
          <w:left w:val="single" w:sz="8" w:space="0" w:color="076A92" w:themeColor="text1"/>
          <w:bottom w:val="single" w:sz="8" w:space="0" w:color="076A92" w:themeColor="text1"/>
          <w:right w:val="single" w:sz="8" w:space="0" w:color="076A92" w:themeColor="text1"/>
          <w:insideH w:val="nil"/>
          <w:insideV w:val="single" w:sz="8" w:space="0" w:color="076A92"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76A92" w:themeColor="text1"/>
          <w:left w:val="single" w:sz="8" w:space="0" w:color="076A92" w:themeColor="text1"/>
          <w:bottom w:val="single" w:sz="8" w:space="0" w:color="076A92" w:themeColor="text1"/>
          <w:right w:val="single" w:sz="8" w:space="0" w:color="076A92" w:themeColor="text1"/>
        </w:tcBorders>
      </w:tcPr>
    </w:tblStylePr>
    <w:tblStylePr w:type="band1Vert">
      <w:tblPr/>
      <w:tcPr>
        <w:tcBorders>
          <w:top w:val="single" w:sz="8" w:space="0" w:color="076A92" w:themeColor="text1"/>
          <w:left w:val="single" w:sz="8" w:space="0" w:color="076A92" w:themeColor="text1"/>
          <w:bottom w:val="single" w:sz="8" w:space="0" w:color="076A92" w:themeColor="text1"/>
          <w:right w:val="single" w:sz="8" w:space="0" w:color="076A92" w:themeColor="text1"/>
        </w:tcBorders>
        <w:shd w:val="clear" w:color="auto" w:fill="AAE3FB" w:themeFill="text1" w:themeFillTint="3F"/>
      </w:tcPr>
    </w:tblStylePr>
    <w:tblStylePr w:type="band1Horz">
      <w:tblPr/>
      <w:tcPr>
        <w:tcBorders>
          <w:top w:val="single" w:sz="8" w:space="0" w:color="076A92" w:themeColor="text1"/>
          <w:left w:val="single" w:sz="8" w:space="0" w:color="076A92" w:themeColor="text1"/>
          <w:bottom w:val="single" w:sz="8" w:space="0" w:color="076A92" w:themeColor="text1"/>
          <w:right w:val="single" w:sz="8" w:space="0" w:color="076A92" w:themeColor="text1"/>
          <w:insideV w:val="single" w:sz="8" w:space="0" w:color="076A92" w:themeColor="text1"/>
        </w:tcBorders>
        <w:shd w:val="clear" w:color="auto" w:fill="AAE3FB" w:themeFill="text1" w:themeFillTint="3F"/>
      </w:tcPr>
    </w:tblStylePr>
    <w:tblStylePr w:type="band2Horz">
      <w:tblPr/>
      <w:tcPr>
        <w:tcBorders>
          <w:top w:val="single" w:sz="8" w:space="0" w:color="076A92" w:themeColor="text1"/>
          <w:left w:val="single" w:sz="8" w:space="0" w:color="076A92" w:themeColor="text1"/>
          <w:bottom w:val="single" w:sz="8" w:space="0" w:color="076A92" w:themeColor="text1"/>
          <w:right w:val="single" w:sz="8" w:space="0" w:color="076A92" w:themeColor="text1"/>
          <w:insideV w:val="single" w:sz="8" w:space="0" w:color="076A92" w:themeColor="text1"/>
        </w:tcBorders>
      </w:tcPr>
    </w:tblStylePr>
  </w:style>
  <w:style w:type="table" w:styleId="LightGrid-Accent1">
    <w:name w:val="Light Grid Accent 1"/>
    <w:basedOn w:val="TableNormal"/>
    <w:uiPriority w:val="62"/>
    <w:rsid w:val="009661DE"/>
    <w:pPr>
      <w:spacing w:before="0"/>
    </w:pPr>
    <w:tblPr>
      <w:tblStyleRowBandSize w:val="1"/>
      <w:tblStyleColBandSize w:val="1"/>
      <w:tblBorders>
        <w:top w:val="single" w:sz="8" w:space="0" w:color="2F002F" w:themeColor="accent1"/>
        <w:left w:val="single" w:sz="8" w:space="0" w:color="2F002F" w:themeColor="accent1"/>
        <w:bottom w:val="single" w:sz="8" w:space="0" w:color="2F002F" w:themeColor="accent1"/>
        <w:right w:val="single" w:sz="8" w:space="0" w:color="2F002F" w:themeColor="accent1"/>
        <w:insideH w:val="single" w:sz="8" w:space="0" w:color="2F002F" w:themeColor="accent1"/>
        <w:insideV w:val="single" w:sz="8" w:space="0" w:color="2F002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F002F" w:themeColor="accent1"/>
          <w:left w:val="single" w:sz="8" w:space="0" w:color="2F002F" w:themeColor="accent1"/>
          <w:bottom w:val="single" w:sz="18" w:space="0" w:color="2F002F" w:themeColor="accent1"/>
          <w:right w:val="single" w:sz="8" w:space="0" w:color="2F002F" w:themeColor="accent1"/>
          <w:insideH w:val="nil"/>
          <w:insideV w:val="single" w:sz="8" w:space="0" w:color="2F002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F002F" w:themeColor="accent1"/>
          <w:left w:val="single" w:sz="8" w:space="0" w:color="2F002F" w:themeColor="accent1"/>
          <w:bottom w:val="single" w:sz="8" w:space="0" w:color="2F002F" w:themeColor="accent1"/>
          <w:right w:val="single" w:sz="8" w:space="0" w:color="2F002F" w:themeColor="accent1"/>
          <w:insideH w:val="nil"/>
          <w:insideV w:val="single" w:sz="8" w:space="0" w:color="2F002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F002F" w:themeColor="accent1"/>
          <w:left w:val="single" w:sz="8" w:space="0" w:color="2F002F" w:themeColor="accent1"/>
          <w:bottom w:val="single" w:sz="8" w:space="0" w:color="2F002F" w:themeColor="accent1"/>
          <w:right w:val="single" w:sz="8" w:space="0" w:color="2F002F" w:themeColor="accent1"/>
        </w:tcBorders>
      </w:tcPr>
    </w:tblStylePr>
    <w:tblStylePr w:type="band1Vert">
      <w:tblPr/>
      <w:tcPr>
        <w:tcBorders>
          <w:top w:val="single" w:sz="8" w:space="0" w:color="2F002F" w:themeColor="accent1"/>
          <w:left w:val="single" w:sz="8" w:space="0" w:color="2F002F" w:themeColor="accent1"/>
          <w:bottom w:val="single" w:sz="8" w:space="0" w:color="2F002F" w:themeColor="accent1"/>
          <w:right w:val="single" w:sz="8" w:space="0" w:color="2F002F" w:themeColor="accent1"/>
        </w:tcBorders>
        <w:shd w:val="clear" w:color="auto" w:fill="FF8CFF" w:themeFill="accent1" w:themeFillTint="3F"/>
      </w:tcPr>
    </w:tblStylePr>
    <w:tblStylePr w:type="band1Horz">
      <w:tblPr/>
      <w:tcPr>
        <w:tcBorders>
          <w:top w:val="single" w:sz="8" w:space="0" w:color="2F002F" w:themeColor="accent1"/>
          <w:left w:val="single" w:sz="8" w:space="0" w:color="2F002F" w:themeColor="accent1"/>
          <w:bottom w:val="single" w:sz="8" w:space="0" w:color="2F002F" w:themeColor="accent1"/>
          <w:right w:val="single" w:sz="8" w:space="0" w:color="2F002F" w:themeColor="accent1"/>
          <w:insideV w:val="single" w:sz="8" w:space="0" w:color="2F002F" w:themeColor="accent1"/>
        </w:tcBorders>
        <w:shd w:val="clear" w:color="auto" w:fill="FF8CFF" w:themeFill="accent1" w:themeFillTint="3F"/>
      </w:tcPr>
    </w:tblStylePr>
    <w:tblStylePr w:type="band2Horz">
      <w:tblPr/>
      <w:tcPr>
        <w:tcBorders>
          <w:top w:val="single" w:sz="8" w:space="0" w:color="2F002F" w:themeColor="accent1"/>
          <w:left w:val="single" w:sz="8" w:space="0" w:color="2F002F" w:themeColor="accent1"/>
          <w:bottom w:val="single" w:sz="8" w:space="0" w:color="2F002F" w:themeColor="accent1"/>
          <w:right w:val="single" w:sz="8" w:space="0" w:color="2F002F" w:themeColor="accent1"/>
          <w:insideV w:val="single" w:sz="8" w:space="0" w:color="2F002F" w:themeColor="accent1"/>
        </w:tcBorders>
      </w:tcPr>
    </w:tblStylePr>
  </w:style>
  <w:style w:type="table" w:styleId="LightGrid-Accent2">
    <w:name w:val="Light Grid Accent 2"/>
    <w:basedOn w:val="TableNormal"/>
    <w:uiPriority w:val="62"/>
    <w:rsid w:val="009661DE"/>
    <w:pPr>
      <w:spacing w:before="0"/>
    </w:pPr>
    <w:tblPr>
      <w:tblStyleRowBandSize w:val="1"/>
      <w:tblStyleColBandSize w:val="1"/>
      <w:tblBorders>
        <w:top w:val="single" w:sz="8" w:space="0" w:color="C14E00" w:themeColor="accent2"/>
        <w:left w:val="single" w:sz="8" w:space="0" w:color="C14E00" w:themeColor="accent2"/>
        <w:bottom w:val="single" w:sz="8" w:space="0" w:color="C14E00" w:themeColor="accent2"/>
        <w:right w:val="single" w:sz="8" w:space="0" w:color="C14E00" w:themeColor="accent2"/>
        <w:insideH w:val="single" w:sz="8" w:space="0" w:color="C14E00" w:themeColor="accent2"/>
        <w:insideV w:val="single" w:sz="8" w:space="0" w:color="C14E0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14E00" w:themeColor="accent2"/>
          <w:left w:val="single" w:sz="8" w:space="0" w:color="C14E00" w:themeColor="accent2"/>
          <w:bottom w:val="single" w:sz="18" w:space="0" w:color="C14E00" w:themeColor="accent2"/>
          <w:right w:val="single" w:sz="8" w:space="0" w:color="C14E00" w:themeColor="accent2"/>
          <w:insideH w:val="nil"/>
          <w:insideV w:val="single" w:sz="8" w:space="0" w:color="C14E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14E00" w:themeColor="accent2"/>
          <w:left w:val="single" w:sz="8" w:space="0" w:color="C14E00" w:themeColor="accent2"/>
          <w:bottom w:val="single" w:sz="8" w:space="0" w:color="C14E00" w:themeColor="accent2"/>
          <w:right w:val="single" w:sz="8" w:space="0" w:color="C14E00" w:themeColor="accent2"/>
          <w:insideH w:val="nil"/>
          <w:insideV w:val="single" w:sz="8" w:space="0" w:color="C14E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14E00" w:themeColor="accent2"/>
          <w:left w:val="single" w:sz="8" w:space="0" w:color="C14E00" w:themeColor="accent2"/>
          <w:bottom w:val="single" w:sz="8" w:space="0" w:color="C14E00" w:themeColor="accent2"/>
          <w:right w:val="single" w:sz="8" w:space="0" w:color="C14E00" w:themeColor="accent2"/>
        </w:tcBorders>
      </w:tcPr>
    </w:tblStylePr>
    <w:tblStylePr w:type="band1Vert">
      <w:tblPr/>
      <w:tcPr>
        <w:tcBorders>
          <w:top w:val="single" w:sz="8" w:space="0" w:color="C14E00" w:themeColor="accent2"/>
          <w:left w:val="single" w:sz="8" w:space="0" w:color="C14E00" w:themeColor="accent2"/>
          <w:bottom w:val="single" w:sz="8" w:space="0" w:color="C14E00" w:themeColor="accent2"/>
          <w:right w:val="single" w:sz="8" w:space="0" w:color="C14E00" w:themeColor="accent2"/>
        </w:tcBorders>
        <w:shd w:val="clear" w:color="auto" w:fill="FFD0B0" w:themeFill="accent2" w:themeFillTint="3F"/>
      </w:tcPr>
    </w:tblStylePr>
    <w:tblStylePr w:type="band1Horz">
      <w:tblPr/>
      <w:tcPr>
        <w:tcBorders>
          <w:top w:val="single" w:sz="8" w:space="0" w:color="C14E00" w:themeColor="accent2"/>
          <w:left w:val="single" w:sz="8" w:space="0" w:color="C14E00" w:themeColor="accent2"/>
          <w:bottom w:val="single" w:sz="8" w:space="0" w:color="C14E00" w:themeColor="accent2"/>
          <w:right w:val="single" w:sz="8" w:space="0" w:color="C14E00" w:themeColor="accent2"/>
          <w:insideV w:val="single" w:sz="8" w:space="0" w:color="C14E00" w:themeColor="accent2"/>
        </w:tcBorders>
        <w:shd w:val="clear" w:color="auto" w:fill="FFD0B0" w:themeFill="accent2" w:themeFillTint="3F"/>
      </w:tcPr>
    </w:tblStylePr>
    <w:tblStylePr w:type="band2Horz">
      <w:tblPr/>
      <w:tcPr>
        <w:tcBorders>
          <w:top w:val="single" w:sz="8" w:space="0" w:color="C14E00" w:themeColor="accent2"/>
          <w:left w:val="single" w:sz="8" w:space="0" w:color="C14E00" w:themeColor="accent2"/>
          <w:bottom w:val="single" w:sz="8" w:space="0" w:color="C14E00" w:themeColor="accent2"/>
          <w:right w:val="single" w:sz="8" w:space="0" w:color="C14E00" w:themeColor="accent2"/>
          <w:insideV w:val="single" w:sz="8" w:space="0" w:color="C14E00" w:themeColor="accent2"/>
        </w:tcBorders>
      </w:tcPr>
    </w:tblStylePr>
  </w:style>
  <w:style w:type="table" w:styleId="LightGrid-Accent4">
    <w:name w:val="Light Grid Accent 4"/>
    <w:basedOn w:val="TableNormal"/>
    <w:uiPriority w:val="62"/>
    <w:rsid w:val="009661DE"/>
    <w:pPr>
      <w:spacing w:before="0"/>
    </w:pPr>
    <w:tblPr>
      <w:tblStyleRowBandSize w:val="1"/>
      <w:tblStyleColBandSize w:val="1"/>
      <w:tblBorders>
        <w:top w:val="single" w:sz="8" w:space="0" w:color="C00000" w:themeColor="accent4"/>
        <w:left w:val="single" w:sz="8" w:space="0" w:color="C00000" w:themeColor="accent4"/>
        <w:bottom w:val="single" w:sz="8" w:space="0" w:color="C00000" w:themeColor="accent4"/>
        <w:right w:val="single" w:sz="8" w:space="0" w:color="C00000" w:themeColor="accent4"/>
        <w:insideH w:val="single" w:sz="8" w:space="0" w:color="C00000" w:themeColor="accent4"/>
        <w:insideV w:val="single" w:sz="8" w:space="0" w:color="C00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4"/>
          <w:left w:val="single" w:sz="8" w:space="0" w:color="C00000" w:themeColor="accent4"/>
          <w:bottom w:val="single" w:sz="18" w:space="0" w:color="C00000" w:themeColor="accent4"/>
          <w:right w:val="single" w:sz="8" w:space="0" w:color="C00000" w:themeColor="accent4"/>
          <w:insideH w:val="nil"/>
          <w:insideV w:val="single" w:sz="8" w:space="0" w:color="C00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4"/>
          <w:left w:val="single" w:sz="8" w:space="0" w:color="C00000" w:themeColor="accent4"/>
          <w:bottom w:val="single" w:sz="8" w:space="0" w:color="C00000" w:themeColor="accent4"/>
          <w:right w:val="single" w:sz="8" w:space="0" w:color="C00000" w:themeColor="accent4"/>
          <w:insideH w:val="nil"/>
          <w:insideV w:val="single" w:sz="8" w:space="0" w:color="C00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4"/>
          <w:left w:val="single" w:sz="8" w:space="0" w:color="C00000" w:themeColor="accent4"/>
          <w:bottom w:val="single" w:sz="8" w:space="0" w:color="C00000" w:themeColor="accent4"/>
          <w:right w:val="single" w:sz="8" w:space="0" w:color="C00000" w:themeColor="accent4"/>
        </w:tcBorders>
      </w:tcPr>
    </w:tblStylePr>
    <w:tblStylePr w:type="band1Vert">
      <w:tblPr/>
      <w:tcPr>
        <w:tcBorders>
          <w:top w:val="single" w:sz="8" w:space="0" w:color="C00000" w:themeColor="accent4"/>
          <w:left w:val="single" w:sz="8" w:space="0" w:color="C00000" w:themeColor="accent4"/>
          <w:bottom w:val="single" w:sz="8" w:space="0" w:color="C00000" w:themeColor="accent4"/>
          <w:right w:val="single" w:sz="8" w:space="0" w:color="C00000" w:themeColor="accent4"/>
        </w:tcBorders>
        <w:shd w:val="clear" w:color="auto" w:fill="FFB0B0" w:themeFill="accent4" w:themeFillTint="3F"/>
      </w:tcPr>
    </w:tblStylePr>
    <w:tblStylePr w:type="band1Horz">
      <w:tblPr/>
      <w:tcPr>
        <w:tcBorders>
          <w:top w:val="single" w:sz="8" w:space="0" w:color="C00000" w:themeColor="accent4"/>
          <w:left w:val="single" w:sz="8" w:space="0" w:color="C00000" w:themeColor="accent4"/>
          <w:bottom w:val="single" w:sz="8" w:space="0" w:color="C00000" w:themeColor="accent4"/>
          <w:right w:val="single" w:sz="8" w:space="0" w:color="C00000" w:themeColor="accent4"/>
          <w:insideV w:val="single" w:sz="8" w:space="0" w:color="C00000" w:themeColor="accent4"/>
        </w:tcBorders>
        <w:shd w:val="clear" w:color="auto" w:fill="FFB0B0" w:themeFill="accent4" w:themeFillTint="3F"/>
      </w:tcPr>
    </w:tblStylePr>
    <w:tblStylePr w:type="band2Horz">
      <w:tblPr/>
      <w:tcPr>
        <w:tcBorders>
          <w:top w:val="single" w:sz="8" w:space="0" w:color="C00000" w:themeColor="accent4"/>
          <w:left w:val="single" w:sz="8" w:space="0" w:color="C00000" w:themeColor="accent4"/>
          <w:bottom w:val="single" w:sz="8" w:space="0" w:color="C00000" w:themeColor="accent4"/>
          <w:right w:val="single" w:sz="8" w:space="0" w:color="C00000" w:themeColor="accent4"/>
          <w:insideV w:val="single" w:sz="8" w:space="0" w:color="C00000" w:themeColor="accent4"/>
        </w:tcBorders>
      </w:tcPr>
    </w:tblStylePr>
  </w:style>
  <w:style w:type="table" w:styleId="LightGrid-Accent5">
    <w:name w:val="Light Grid Accent 5"/>
    <w:basedOn w:val="TableNormal"/>
    <w:uiPriority w:val="62"/>
    <w:rsid w:val="009661DE"/>
    <w:pPr>
      <w:spacing w:before="0"/>
    </w:pPr>
    <w:tblPr>
      <w:tblStyleRowBandSize w:val="1"/>
      <w:tblStyleColBandSize w:val="1"/>
      <w:tblBorders>
        <w:top w:val="single" w:sz="8" w:space="0" w:color="000000" w:themeColor="accent5"/>
        <w:left w:val="single" w:sz="8" w:space="0" w:color="000000" w:themeColor="accent5"/>
        <w:bottom w:val="single" w:sz="8" w:space="0" w:color="000000" w:themeColor="accent5"/>
        <w:right w:val="single" w:sz="8" w:space="0" w:color="000000" w:themeColor="accent5"/>
        <w:insideH w:val="single" w:sz="8" w:space="0" w:color="000000" w:themeColor="accent5"/>
        <w:insideV w:val="single" w:sz="8" w:space="0" w:color="000000"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accent5"/>
          <w:left w:val="single" w:sz="8" w:space="0" w:color="000000" w:themeColor="accent5"/>
          <w:bottom w:val="single" w:sz="18" w:space="0" w:color="000000" w:themeColor="accent5"/>
          <w:right w:val="single" w:sz="8" w:space="0" w:color="000000" w:themeColor="accent5"/>
          <w:insideH w:val="nil"/>
          <w:insideV w:val="single" w:sz="8" w:space="0" w:color="000000"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accent5"/>
          <w:left w:val="single" w:sz="8" w:space="0" w:color="000000" w:themeColor="accent5"/>
          <w:bottom w:val="single" w:sz="8" w:space="0" w:color="000000" w:themeColor="accent5"/>
          <w:right w:val="single" w:sz="8" w:space="0" w:color="000000" w:themeColor="accent5"/>
          <w:insideH w:val="nil"/>
          <w:insideV w:val="single" w:sz="8" w:space="0" w:color="000000"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accent5"/>
          <w:left w:val="single" w:sz="8" w:space="0" w:color="000000" w:themeColor="accent5"/>
          <w:bottom w:val="single" w:sz="8" w:space="0" w:color="000000" w:themeColor="accent5"/>
          <w:right w:val="single" w:sz="8" w:space="0" w:color="000000" w:themeColor="accent5"/>
        </w:tcBorders>
      </w:tcPr>
    </w:tblStylePr>
    <w:tblStylePr w:type="band1Vert">
      <w:tblPr/>
      <w:tcPr>
        <w:tcBorders>
          <w:top w:val="single" w:sz="8" w:space="0" w:color="000000" w:themeColor="accent5"/>
          <w:left w:val="single" w:sz="8" w:space="0" w:color="000000" w:themeColor="accent5"/>
          <w:bottom w:val="single" w:sz="8" w:space="0" w:color="000000" w:themeColor="accent5"/>
          <w:right w:val="single" w:sz="8" w:space="0" w:color="000000" w:themeColor="accent5"/>
        </w:tcBorders>
        <w:shd w:val="clear" w:color="auto" w:fill="C0C0C0" w:themeFill="accent5" w:themeFillTint="3F"/>
      </w:tcPr>
    </w:tblStylePr>
    <w:tblStylePr w:type="band1Horz">
      <w:tblPr/>
      <w:tcPr>
        <w:tcBorders>
          <w:top w:val="single" w:sz="8" w:space="0" w:color="000000" w:themeColor="accent5"/>
          <w:left w:val="single" w:sz="8" w:space="0" w:color="000000" w:themeColor="accent5"/>
          <w:bottom w:val="single" w:sz="8" w:space="0" w:color="000000" w:themeColor="accent5"/>
          <w:right w:val="single" w:sz="8" w:space="0" w:color="000000" w:themeColor="accent5"/>
          <w:insideV w:val="single" w:sz="8" w:space="0" w:color="000000" w:themeColor="accent5"/>
        </w:tcBorders>
        <w:shd w:val="clear" w:color="auto" w:fill="C0C0C0" w:themeFill="accent5" w:themeFillTint="3F"/>
      </w:tcPr>
    </w:tblStylePr>
    <w:tblStylePr w:type="band2Horz">
      <w:tblPr/>
      <w:tcPr>
        <w:tcBorders>
          <w:top w:val="single" w:sz="8" w:space="0" w:color="000000" w:themeColor="accent5"/>
          <w:left w:val="single" w:sz="8" w:space="0" w:color="000000" w:themeColor="accent5"/>
          <w:bottom w:val="single" w:sz="8" w:space="0" w:color="000000" w:themeColor="accent5"/>
          <w:right w:val="single" w:sz="8" w:space="0" w:color="000000" w:themeColor="accent5"/>
          <w:insideV w:val="single" w:sz="8" w:space="0" w:color="000000" w:themeColor="accent5"/>
        </w:tcBorders>
      </w:tcPr>
    </w:tblStylePr>
  </w:style>
  <w:style w:type="paragraph" w:customStyle="1" w:styleId="HeaderRight">
    <w:name w:val="Header Right"/>
    <w:basedOn w:val="Header"/>
    <w:uiPriority w:val="35"/>
    <w:qFormat/>
    <w:rsid w:val="00A84F46"/>
    <w:pPr>
      <w:tabs>
        <w:tab w:val="clear" w:pos="4513"/>
        <w:tab w:val="clear" w:pos="9026"/>
        <w:tab w:val="center" w:pos="4320"/>
        <w:tab w:val="right" w:pos="8640"/>
      </w:tabs>
      <w:spacing w:before="0" w:after="200"/>
      <w:jc w:val="right"/>
    </w:pPr>
    <w:rPr>
      <w:rFonts w:asciiTheme="minorHAnsi" w:hAnsiTheme="minorHAnsi" w:cs="Times New Roman"/>
      <w:szCs w:val="20"/>
      <w:lang w:val="en-US" w:eastAsia="ja-JP"/>
    </w:rPr>
  </w:style>
  <w:style w:type="paragraph" w:customStyle="1" w:styleId="Numbered111111111">
    <w:name w:val="Numbered 1.1.1.1.1.1.1.1.1"/>
    <w:basedOn w:val="Heading9"/>
    <w:next w:val="Normal"/>
    <w:uiPriority w:val="2"/>
    <w:rsid w:val="00757BDF"/>
    <w:pPr>
      <w:numPr>
        <w:numId w:val="15"/>
      </w:numPr>
      <w:tabs>
        <w:tab w:val="left" w:pos="2041"/>
      </w:tabs>
      <w:ind w:left="2041" w:hanging="2041"/>
    </w:pPr>
  </w:style>
  <w:style w:type="paragraph" w:styleId="Caption">
    <w:name w:val="caption"/>
    <w:basedOn w:val="Normal"/>
    <w:next w:val="Normal"/>
    <w:unhideWhenUsed/>
    <w:qFormat/>
    <w:rsid w:val="0066104A"/>
    <w:pPr>
      <w:keepNext/>
      <w:spacing w:before="240" w:after="120"/>
    </w:pPr>
    <w:rPr>
      <w:b/>
      <w:bCs/>
      <w:color w:val="076A92" w:themeColor="text1"/>
      <w:sz w:val="24"/>
      <w:szCs w:val="18"/>
    </w:rPr>
  </w:style>
  <w:style w:type="paragraph" w:styleId="List">
    <w:name w:val="List"/>
    <w:basedOn w:val="Normal"/>
    <w:unhideWhenUsed/>
    <w:qFormat/>
    <w:rsid w:val="00B514DD"/>
    <w:pPr>
      <w:tabs>
        <w:tab w:val="left" w:pos="340"/>
      </w:tabs>
      <w:spacing w:before="120"/>
      <w:ind w:left="340" w:hanging="340"/>
    </w:pPr>
  </w:style>
  <w:style w:type="paragraph" w:styleId="List2">
    <w:name w:val="List 2"/>
    <w:basedOn w:val="Normal"/>
    <w:uiPriority w:val="99"/>
    <w:unhideWhenUsed/>
    <w:rsid w:val="00F171E0"/>
    <w:pPr>
      <w:tabs>
        <w:tab w:val="left" w:pos="680"/>
      </w:tabs>
      <w:spacing w:before="120"/>
      <w:ind w:left="680" w:hanging="340"/>
    </w:pPr>
  </w:style>
  <w:style w:type="paragraph" w:styleId="List3">
    <w:name w:val="List 3"/>
    <w:basedOn w:val="Normal"/>
    <w:uiPriority w:val="99"/>
    <w:unhideWhenUsed/>
    <w:rsid w:val="00F171E0"/>
    <w:pPr>
      <w:tabs>
        <w:tab w:val="left" w:pos="1021"/>
      </w:tabs>
      <w:spacing w:before="120"/>
      <w:ind w:left="1020" w:hanging="340"/>
    </w:pPr>
  </w:style>
  <w:style w:type="paragraph" w:styleId="List4">
    <w:name w:val="List 4"/>
    <w:basedOn w:val="Normal"/>
    <w:uiPriority w:val="99"/>
    <w:unhideWhenUsed/>
    <w:rsid w:val="00F171E0"/>
    <w:pPr>
      <w:tabs>
        <w:tab w:val="left" w:pos="1361"/>
      </w:tabs>
      <w:spacing w:before="120"/>
      <w:ind w:left="1361" w:hanging="340"/>
    </w:pPr>
  </w:style>
  <w:style w:type="paragraph" w:styleId="List5">
    <w:name w:val="List 5"/>
    <w:basedOn w:val="Normal"/>
    <w:uiPriority w:val="99"/>
    <w:unhideWhenUsed/>
    <w:rsid w:val="00F171E0"/>
    <w:pPr>
      <w:tabs>
        <w:tab w:val="left" w:pos="1701"/>
      </w:tabs>
      <w:spacing w:before="120"/>
      <w:ind w:left="1701" w:hanging="340"/>
    </w:pPr>
  </w:style>
  <w:style w:type="paragraph" w:styleId="ListBullet3">
    <w:name w:val="List Bullet 3"/>
    <w:aliases w:val="AER numbered list 2 third"/>
    <w:basedOn w:val="Normal"/>
    <w:unhideWhenUsed/>
    <w:qFormat/>
    <w:rsid w:val="008E77DE"/>
    <w:pPr>
      <w:numPr>
        <w:numId w:val="4"/>
      </w:numPr>
      <w:spacing w:before="120"/>
    </w:pPr>
  </w:style>
  <w:style w:type="paragraph" w:styleId="ListBullet4">
    <w:name w:val="List Bullet 4"/>
    <w:basedOn w:val="Normal"/>
    <w:uiPriority w:val="99"/>
    <w:unhideWhenUsed/>
    <w:rsid w:val="00DB5074"/>
    <w:pPr>
      <w:numPr>
        <w:numId w:val="5"/>
      </w:numPr>
      <w:tabs>
        <w:tab w:val="clear" w:pos="1209"/>
        <w:tab w:val="num" w:pos="1361"/>
      </w:tabs>
      <w:spacing w:before="120"/>
      <w:ind w:left="1378" w:hanging="357"/>
    </w:pPr>
  </w:style>
  <w:style w:type="paragraph" w:styleId="ListBullet5">
    <w:name w:val="List Bullet 5"/>
    <w:basedOn w:val="Normal"/>
    <w:uiPriority w:val="99"/>
    <w:unhideWhenUsed/>
    <w:rsid w:val="00DB5074"/>
    <w:pPr>
      <w:numPr>
        <w:numId w:val="6"/>
      </w:numPr>
      <w:tabs>
        <w:tab w:val="clear" w:pos="1492"/>
        <w:tab w:val="num" w:pos="1701"/>
      </w:tabs>
      <w:spacing w:before="120"/>
      <w:ind w:left="1701" w:hanging="340"/>
    </w:pPr>
  </w:style>
  <w:style w:type="paragraph" w:styleId="ListContinue">
    <w:name w:val="List Continue"/>
    <w:aliases w:val="AER body text (indent 1)"/>
    <w:basedOn w:val="Normal"/>
    <w:unhideWhenUsed/>
    <w:qFormat/>
    <w:rsid w:val="00DB5074"/>
    <w:pPr>
      <w:tabs>
        <w:tab w:val="left" w:pos="340"/>
      </w:tabs>
      <w:spacing w:before="120"/>
      <w:ind w:left="340"/>
    </w:pPr>
  </w:style>
  <w:style w:type="paragraph" w:styleId="ListContinue2">
    <w:name w:val="List Continue 2"/>
    <w:aliases w:val="AER body text (indent 2)"/>
    <w:basedOn w:val="Normal"/>
    <w:unhideWhenUsed/>
    <w:qFormat/>
    <w:rsid w:val="00567BA5"/>
    <w:pPr>
      <w:tabs>
        <w:tab w:val="left" w:pos="680"/>
      </w:tabs>
      <w:spacing w:before="120"/>
      <w:ind w:left="680"/>
    </w:pPr>
  </w:style>
  <w:style w:type="paragraph" w:styleId="ListContinue3">
    <w:name w:val="List Continue 3"/>
    <w:aliases w:val="AER body text (indent 3)"/>
    <w:basedOn w:val="Normal"/>
    <w:unhideWhenUsed/>
    <w:qFormat/>
    <w:rsid w:val="00DB5074"/>
    <w:pPr>
      <w:tabs>
        <w:tab w:val="left" w:pos="1021"/>
      </w:tabs>
      <w:spacing w:before="120"/>
      <w:ind w:left="1021"/>
    </w:pPr>
  </w:style>
  <w:style w:type="paragraph" w:styleId="ListContinue4">
    <w:name w:val="List Continue 4"/>
    <w:basedOn w:val="Normal"/>
    <w:uiPriority w:val="99"/>
    <w:unhideWhenUsed/>
    <w:rsid w:val="00DB5074"/>
    <w:pPr>
      <w:tabs>
        <w:tab w:val="left" w:pos="1361"/>
      </w:tabs>
      <w:spacing w:before="120"/>
      <w:ind w:left="1361"/>
    </w:pPr>
  </w:style>
  <w:style w:type="paragraph" w:styleId="ListNumber3">
    <w:name w:val="List Number 3"/>
    <w:basedOn w:val="Normal"/>
    <w:uiPriority w:val="99"/>
    <w:unhideWhenUsed/>
    <w:rsid w:val="00567BA5"/>
    <w:pPr>
      <w:numPr>
        <w:numId w:val="9"/>
      </w:numPr>
      <w:spacing w:before="120"/>
    </w:pPr>
  </w:style>
  <w:style w:type="paragraph" w:styleId="ListNumber4">
    <w:name w:val="List Number 4"/>
    <w:basedOn w:val="Normal"/>
    <w:uiPriority w:val="99"/>
    <w:unhideWhenUsed/>
    <w:rsid w:val="00567BA5"/>
    <w:pPr>
      <w:numPr>
        <w:numId w:val="10"/>
      </w:numPr>
      <w:tabs>
        <w:tab w:val="clear" w:pos="1209"/>
        <w:tab w:val="num" w:pos="1361"/>
      </w:tabs>
      <w:spacing w:before="120"/>
      <w:ind w:left="1361" w:hanging="340"/>
    </w:pPr>
  </w:style>
  <w:style w:type="paragraph" w:styleId="ListNumber5">
    <w:name w:val="List Number 5"/>
    <w:basedOn w:val="Normal"/>
    <w:uiPriority w:val="99"/>
    <w:unhideWhenUsed/>
    <w:rsid w:val="00567BA5"/>
    <w:pPr>
      <w:numPr>
        <w:numId w:val="11"/>
      </w:numPr>
      <w:tabs>
        <w:tab w:val="clear" w:pos="1492"/>
        <w:tab w:val="num" w:pos="1701"/>
      </w:tabs>
      <w:spacing w:before="120"/>
      <w:ind w:left="1701" w:hanging="340"/>
    </w:pPr>
  </w:style>
  <w:style w:type="paragraph" w:customStyle="1" w:styleId="TableHeading">
    <w:name w:val="Table Heading"/>
    <w:basedOn w:val="Normal"/>
    <w:link w:val="TableHeadingChar"/>
    <w:qFormat/>
    <w:rsid w:val="00185CB9"/>
    <w:pPr>
      <w:spacing w:before="240" w:after="120"/>
    </w:pPr>
    <w:rPr>
      <w:color w:val="FFFFFF" w:themeColor="background1"/>
      <w:sz w:val="24"/>
    </w:rPr>
  </w:style>
  <w:style w:type="paragraph" w:customStyle="1" w:styleId="Tabletext-right">
    <w:name w:val="Table text - right"/>
    <w:basedOn w:val="Tabletext"/>
    <w:link w:val="Tabletext-rightChar"/>
    <w:rsid w:val="00063247"/>
    <w:pPr>
      <w:jc w:val="right"/>
    </w:pPr>
    <w:rPr>
      <w:rFonts w:eastAsia="Times New Roman" w:cs="Times New Roman"/>
      <w:szCs w:val="20"/>
    </w:rPr>
  </w:style>
  <w:style w:type="paragraph" w:customStyle="1" w:styleId="Tabletext-centred">
    <w:name w:val="Table text - centred"/>
    <w:basedOn w:val="Tabletext-right"/>
    <w:link w:val="Tabletext-centredChar"/>
    <w:rsid w:val="00063247"/>
    <w:pPr>
      <w:jc w:val="center"/>
    </w:pPr>
  </w:style>
  <w:style w:type="paragraph" w:customStyle="1" w:styleId="TableHeading-right">
    <w:name w:val="Table Heading - right"/>
    <w:basedOn w:val="TableHeading"/>
    <w:link w:val="TableHeading-rightChar"/>
    <w:rsid w:val="00185CB9"/>
    <w:pPr>
      <w:jc w:val="right"/>
    </w:pPr>
    <w:rPr>
      <w:rFonts w:eastAsia="Times New Roman" w:cs="Times New Roman"/>
      <w:bCs/>
      <w:szCs w:val="20"/>
    </w:rPr>
  </w:style>
  <w:style w:type="character" w:customStyle="1" w:styleId="Tabletext-rightChar">
    <w:name w:val="Table text - right Char"/>
    <w:basedOn w:val="TabletextChar"/>
    <w:link w:val="Tabletext-right"/>
    <w:rsid w:val="00063247"/>
    <w:rPr>
      <w:rFonts w:ascii="Arial" w:eastAsia="Times New Roman" w:hAnsi="Arial" w:cs="Times New Roman"/>
      <w:sz w:val="20"/>
      <w:szCs w:val="20"/>
    </w:rPr>
  </w:style>
  <w:style w:type="character" w:customStyle="1" w:styleId="TabletextChar">
    <w:name w:val="Table text Char"/>
    <w:basedOn w:val="DefaultParagraphFont"/>
    <w:link w:val="Tabletext"/>
    <w:uiPriority w:val="1"/>
    <w:rsid w:val="00584D8F"/>
    <w:rPr>
      <w:rFonts w:ascii="Arial" w:hAnsi="Arial"/>
      <w:sz w:val="20"/>
    </w:rPr>
  </w:style>
  <w:style w:type="character" w:customStyle="1" w:styleId="TableHeadingChar">
    <w:name w:val="Table Heading Char"/>
    <w:basedOn w:val="TabletextChar"/>
    <w:link w:val="TableHeading"/>
    <w:rsid w:val="00185CB9"/>
    <w:rPr>
      <w:rFonts w:ascii="Arial" w:hAnsi="Arial"/>
      <w:color w:val="FFFFFF" w:themeColor="background1"/>
      <w:sz w:val="24"/>
    </w:rPr>
  </w:style>
  <w:style w:type="character" w:customStyle="1" w:styleId="TableHeading-rightChar">
    <w:name w:val="Table Heading - right Char"/>
    <w:basedOn w:val="TableHeadingChar"/>
    <w:link w:val="TableHeading-right"/>
    <w:rsid w:val="00185CB9"/>
    <w:rPr>
      <w:rFonts w:ascii="Arial" w:eastAsia="Times New Roman" w:hAnsi="Arial" w:cs="Times New Roman"/>
      <w:bCs/>
      <w:color w:val="FFFFFF" w:themeColor="background1"/>
      <w:sz w:val="24"/>
      <w:szCs w:val="20"/>
    </w:rPr>
  </w:style>
  <w:style w:type="character" w:customStyle="1" w:styleId="Tabletext-centredChar">
    <w:name w:val="Table text - centred Char"/>
    <w:basedOn w:val="Tabletext-rightChar"/>
    <w:link w:val="Tabletext-centred"/>
    <w:rsid w:val="00063247"/>
    <w:rPr>
      <w:rFonts w:ascii="Arial" w:eastAsia="Times New Roman" w:hAnsi="Arial" w:cs="Times New Roman"/>
      <w:sz w:val="20"/>
      <w:szCs w:val="20"/>
    </w:rPr>
  </w:style>
  <w:style w:type="paragraph" w:customStyle="1" w:styleId="TableHeading-centred">
    <w:name w:val="Table Heading - centred"/>
    <w:basedOn w:val="TableHeading"/>
    <w:rsid w:val="00185CB9"/>
    <w:pPr>
      <w:jc w:val="center"/>
    </w:pPr>
    <w:rPr>
      <w:rFonts w:eastAsia="Times New Roman" w:cs="Times New Roman"/>
      <w:bCs/>
      <w:szCs w:val="20"/>
    </w:rPr>
  </w:style>
  <w:style w:type="character" w:customStyle="1" w:styleId="EndnoteTextChar">
    <w:name w:val="Endnote Text Char"/>
    <w:basedOn w:val="DefaultParagraphFont"/>
    <w:link w:val="EndnoteText"/>
    <w:uiPriority w:val="99"/>
    <w:rsid w:val="00334C8D"/>
    <w:rPr>
      <w:rFonts w:ascii="Arial" w:hAnsi="Arial"/>
      <w:sz w:val="20"/>
      <w:szCs w:val="20"/>
    </w:rPr>
  </w:style>
  <w:style w:type="paragraph" w:styleId="TableofFigures">
    <w:name w:val="table of figures"/>
    <w:basedOn w:val="Normal"/>
    <w:next w:val="Normal"/>
    <w:uiPriority w:val="99"/>
    <w:unhideWhenUsed/>
    <w:rsid w:val="00676679"/>
    <w:pPr>
      <w:spacing w:before="240" w:after="120"/>
    </w:pPr>
  </w:style>
  <w:style w:type="table" w:customStyle="1" w:styleId="ACCCTable3">
    <w:name w:val="ACCC Table 3"/>
    <w:basedOn w:val="TableNormal"/>
    <w:uiPriority w:val="99"/>
    <w:rsid w:val="00C53B5A"/>
    <w:pPr>
      <w:spacing w:before="0"/>
    </w:pPr>
    <w:rPr>
      <w:sz w:val="20"/>
    </w:rPr>
    <w:tblPr>
      <w:tblBorders>
        <w:insideV w:val="single" w:sz="4" w:space="0" w:color="FFFFFF" w:themeColor="background2"/>
      </w:tblBorders>
    </w:tblPr>
    <w:tblStylePr w:type="firstRow">
      <w:rPr>
        <w:rFonts w:asciiTheme="minorHAnsi" w:hAnsiTheme="minorHAnsi"/>
        <w:b/>
        <w:sz w:val="20"/>
      </w:rPr>
    </w:tblStylePr>
    <w:tblStylePr w:type="lastRow">
      <w:rPr>
        <w:rFonts w:ascii="Arial" w:hAnsi="Arial"/>
        <w:b/>
        <w:sz w:val="20"/>
      </w:rPr>
    </w:tblStylePr>
    <w:tblStylePr w:type="firstCol">
      <w:rPr>
        <w:rFonts w:ascii="Arial" w:hAnsi="Arial"/>
        <w:b/>
        <w:sz w:val="20"/>
      </w:rPr>
    </w:tblStylePr>
  </w:style>
  <w:style w:type="character" w:styleId="EndnoteReference">
    <w:name w:val="endnote reference"/>
    <w:basedOn w:val="DefaultParagraphFont"/>
    <w:uiPriority w:val="99"/>
    <w:rsid w:val="00263AC0"/>
    <w:rPr>
      <w:vertAlign w:val="superscript"/>
    </w:rPr>
  </w:style>
  <w:style w:type="paragraph" w:customStyle="1" w:styleId="Numberedparagraph11">
    <w:name w:val="Numbered paragraph 1.1"/>
    <w:basedOn w:val="Normal"/>
    <w:autoRedefine/>
    <w:qFormat/>
    <w:rsid w:val="00985C86"/>
    <w:pPr>
      <w:numPr>
        <w:ilvl w:val="1"/>
        <w:numId w:val="15"/>
      </w:numPr>
      <w:tabs>
        <w:tab w:val="left" w:pos="1021"/>
      </w:tabs>
      <w:spacing w:line="240" w:lineRule="atLeast"/>
      <w:ind w:left="680" w:hanging="680"/>
    </w:pPr>
    <w:rPr>
      <w:rFonts w:eastAsiaTheme="majorEastAsia" w:cs="Arial"/>
      <w:bCs/>
      <w:szCs w:val="26"/>
    </w:rPr>
  </w:style>
  <w:style w:type="paragraph" w:customStyle="1" w:styleId="AERquoteindent2">
    <w:name w:val="AER quote (indent 2)"/>
    <w:basedOn w:val="AERquoteindent1"/>
    <w:qFormat/>
    <w:rsid w:val="00DE1093"/>
    <w:pPr>
      <w:tabs>
        <w:tab w:val="clear" w:pos="680"/>
        <w:tab w:val="left" w:pos="1021"/>
      </w:tabs>
      <w:ind w:left="1021"/>
    </w:pPr>
  </w:style>
  <w:style w:type="paragraph" w:customStyle="1" w:styleId="Numberedparagraph">
    <w:name w:val="Numbered paragraph"/>
    <w:basedOn w:val="Normal"/>
    <w:rsid w:val="00C67A92"/>
    <w:pPr>
      <w:numPr>
        <w:numId w:val="1"/>
      </w:numPr>
      <w:tabs>
        <w:tab w:val="left" w:pos="680"/>
      </w:tabs>
      <w:ind w:left="680" w:hanging="680"/>
    </w:pPr>
    <w:rPr>
      <w:rFonts w:eastAsia="Times New Roman" w:cs="Times New Roman"/>
      <w:szCs w:val="20"/>
    </w:rPr>
  </w:style>
  <w:style w:type="paragraph" w:customStyle="1" w:styleId="Copyright">
    <w:name w:val="Copyright"/>
    <w:basedOn w:val="Normal"/>
    <w:next w:val="Normal"/>
    <w:link w:val="CopyrightChar"/>
    <w:rsid w:val="00951978"/>
    <w:pPr>
      <w:spacing w:line="288" w:lineRule="auto"/>
    </w:pPr>
    <w:rPr>
      <w:sz w:val="20"/>
      <w:szCs w:val="20"/>
    </w:rPr>
  </w:style>
  <w:style w:type="paragraph" w:customStyle="1" w:styleId="ReportTitle">
    <w:name w:val="Report Title"/>
    <w:basedOn w:val="Normal"/>
    <w:next w:val="Normal"/>
    <w:link w:val="ReportTitleChar"/>
    <w:qFormat/>
    <w:rsid w:val="00327A1E"/>
    <w:pPr>
      <w:tabs>
        <w:tab w:val="center" w:pos="4598"/>
        <w:tab w:val="right" w:pos="9026"/>
      </w:tabs>
      <w:spacing w:before="240"/>
      <w:contextualSpacing/>
      <w:jc w:val="center"/>
    </w:pPr>
    <w:rPr>
      <w:rFonts w:eastAsiaTheme="majorEastAsia" w:cstheme="majorBidi"/>
      <w:b/>
      <w:noProof/>
      <w:sz w:val="72"/>
      <w:szCs w:val="72"/>
      <w:lang w:eastAsia="en-AU"/>
    </w:rPr>
  </w:style>
  <w:style w:type="numbering" w:customStyle="1" w:styleId="AlphanumericList">
    <w:name w:val="Alphanumeric List"/>
    <w:uiPriority w:val="99"/>
    <w:rsid w:val="000A6C7B"/>
    <w:pPr>
      <w:numPr>
        <w:numId w:val="16"/>
      </w:numPr>
    </w:pPr>
  </w:style>
  <w:style w:type="table" w:customStyle="1" w:styleId="AERTable-Text">
    <w:name w:val="AER Table - Text"/>
    <w:basedOn w:val="TableNormal"/>
    <w:uiPriority w:val="99"/>
    <w:rsid w:val="000E4821"/>
    <w:pPr>
      <w:spacing w:before="120" w:after="120"/>
    </w:pPr>
    <w:rPr>
      <w:rFonts w:ascii="Arial" w:hAnsi="Arial"/>
      <w:sz w:val="20"/>
    </w:rPr>
    <w:tblPr>
      <w:tblStyleRowBandSize w:val="1"/>
      <w:tblBorders>
        <w:bottom w:val="single" w:sz="4" w:space="0" w:color="auto"/>
      </w:tblBorders>
    </w:tblPr>
    <w:tblStylePr w:type="firstRow">
      <w:pPr>
        <w:wordWrap/>
        <w:spacing w:beforeLines="0" w:before="240" w:beforeAutospacing="0" w:afterLines="0" w:after="120" w:afterAutospacing="0"/>
      </w:pPr>
      <w:rPr>
        <w:rFonts w:ascii="Arial" w:hAnsi="Arial"/>
        <w:b/>
        <w:color w:val="FFFFFF" w:themeColor="background1"/>
        <w:sz w:val="24"/>
      </w:rPr>
      <w:tblPr/>
      <w:tcPr>
        <w:shd w:val="clear" w:color="auto" w:fill="076A92"/>
      </w:tcPr>
    </w:tblStylePr>
    <w:tblStylePr w:type="band2Horz">
      <w:rPr>
        <w:rFonts w:ascii="Arial" w:hAnsi="Arial"/>
        <w:sz w:val="20"/>
      </w:rPr>
      <w:tblPr/>
      <w:tcPr>
        <w:shd w:val="clear" w:color="auto" w:fill="DBE5F1"/>
      </w:tcPr>
    </w:tblStylePr>
  </w:style>
  <w:style w:type="paragraph" w:customStyle="1" w:styleId="ReportDate">
    <w:name w:val="Report Date"/>
    <w:basedOn w:val="ReportTitle"/>
    <w:link w:val="ReportDateChar"/>
    <w:qFormat/>
    <w:rsid w:val="000A6C7B"/>
    <w:rPr>
      <w:b w:val="0"/>
      <w:sz w:val="36"/>
      <w:szCs w:val="36"/>
    </w:rPr>
  </w:style>
  <w:style w:type="paragraph" w:customStyle="1" w:styleId="ReportSubtitle">
    <w:name w:val="Report Subtitle"/>
    <w:basedOn w:val="ReportTitle"/>
    <w:link w:val="ReportSubtitleChar"/>
    <w:qFormat/>
    <w:rsid w:val="00327A1E"/>
    <w:rPr>
      <w:sz w:val="56"/>
      <w:szCs w:val="56"/>
    </w:rPr>
  </w:style>
  <w:style w:type="character" w:customStyle="1" w:styleId="ReportTitleChar">
    <w:name w:val="Report Title Char"/>
    <w:basedOn w:val="Heading1Char"/>
    <w:link w:val="ReportTitle"/>
    <w:rsid w:val="00327A1E"/>
    <w:rPr>
      <w:rFonts w:ascii="Arial" w:eastAsiaTheme="majorEastAsia" w:hAnsi="Arial" w:cstheme="majorBidi"/>
      <w:b w:val="0"/>
      <w:bCs w:val="0"/>
      <w:noProof/>
      <w:color w:val="70635A"/>
      <w:sz w:val="72"/>
      <w:szCs w:val="72"/>
      <w:lang w:eastAsia="en-AU"/>
    </w:rPr>
  </w:style>
  <w:style w:type="character" w:customStyle="1" w:styleId="ReportDateChar">
    <w:name w:val="Report Date Char"/>
    <w:basedOn w:val="ReportTitleChar"/>
    <w:link w:val="ReportDate"/>
    <w:rsid w:val="000A6C7B"/>
    <w:rPr>
      <w:rFonts w:ascii="Arial" w:eastAsiaTheme="majorEastAsia" w:hAnsi="Arial" w:cstheme="majorBidi"/>
      <w:b/>
      <w:bCs w:val="0"/>
      <w:noProof/>
      <w:color w:val="70635A"/>
      <w:sz w:val="36"/>
      <w:szCs w:val="36"/>
      <w:lang w:eastAsia="en-AU"/>
    </w:rPr>
  </w:style>
  <w:style w:type="character" w:customStyle="1" w:styleId="ReportSubtitleChar">
    <w:name w:val="Report Subtitle Char"/>
    <w:basedOn w:val="ReportTitleChar"/>
    <w:link w:val="ReportSubtitle"/>
    <w:rsid w:val="00327A1E"/>
    <w:rPr>
      <w:rFonts w:ascii="Arial" w:eastAsiaTheme="majorEastAsia" w:hAnsi="Arial" w:cstheme="majorBidi"/>
      <w:b w:val="0"/>
      <w:bCs w:val="0"/>
      <w:noProof/>
      <w:color w:val="70635A"/>
      <w:sz w:val="56"/>
      <w:szCs w:val="56"/>
      <w:lang w:eastAsia="en-AU"/>
    </w:rPr>
  </w:style>
  <w:style w:type="character" w:customStyle="1" w:styleId="CopyrightChar">
    <w:name w:val="Copyright Char"/>
    <w:basedOn w:val="DefaultParagraphFont"/>
    <w:link w:val="Copyright"/>
    <w:rsid w:val="00951978"/>
    <w:rPr>
      <w:rFonts w:ascii="Arial" w:hAnsi="Arial"/>
      <w:sz w:val="20"/>
      <w:szCs w:val="20"/>
    </w:rPr>
  </w:style>
  <w:style w:type="paragraph" w:styleId="BodyTextIndent">
    <w:name w:val="Body Text Indent"/>
    <w:basedOn w:val="Normal"/>
    <w:link w:val="BodyTextIndentChar"/>
    <w:unhideWhenUsed/>
    <w:rsid w:val="00F171E0"/>
    <w:pPr>
      <w:spacing w:after="120"/>
      <w:ind w:left="283"/>
    </w:pPr>
  </w:style>
  <w:style w:type="character" w:customStyle="1" w:styleId="BodyTextIndentChar">
    <w:name w:val="Body Text Indent Char"/>
    <w:basedOn w:val="DefaultParagraphFont"/>
    <w:link w:val="BodyTextIndent"/>
    <w:uiPriority w:val="99"/>
    <w:semiHidden/>
    <w:rsid w:val="00F171E0"/>
    <w:rPr>
      <w:rFonts w:ascii="Arial" w:hAnsi="Arial"/>
    </w:rPr>
  </w:style>
  <w:style w:type="paragraph" w:styleId="BodyTextFirstIndent2">
    <w:name w:val="Body Text First Indent 2"/>
    <w:basedOn w:val="BodyTextIndent"/>
    <w:link w:val="BodyTextFirstIndent2Char"/>
    <w:uiPriority w:val="99"/>
    <w:unhideWhenUsed/>
    <w:rsid w:val="00F171E0"/>
    <w:pPr>
      <w:spacing w:after="0"/>
      <w:ind w:left="360" w:firstLine="360"/>
    </w:pPr>
  </w:style>
  <w:style w:type="character" w:customStyle="1" w:styleId="BodyTextFirstIndent2Char">
    <w:name w:val="Body Text First Indent 2 Char"/>
    <w:basedOn w:val="BodyTextIndentChar"/>
    <w:link w:val="BodyTextFirstIndent2"/>
    <w:uiPriority w:val="99"/>
    <w:rsid w:val="00F171E0"/>
    <w:rPr>
      <w:rFonts w:ascii="Arial" w:hAnsi="Arial"/>
    </w:rPr>
  </w:style>
  <w:style w:type="paragraph" w:styleId="Closing">
    <w:name w:val="Closing"/>
    <w:basedOn w:val="Normal"/>
    <w:link w:val="ClosingChar"/>
    <w:uiPriority w:val="99"/>
    <w:unhideWhenUsed/>
    <w:rsid w:val="00F171E0"/>
    <w:pPr>
      <w:spacing w:before="0" w:line="240" w:lineRule="auto"/>
      <w:ind w:left="4252"/>
    </w:pPr>
  </w:style>
  <w:style w:type="character" w:customStyle="1" w:styleId="ClosingChar">
    <w:name w:val="Closing Char"/>
    <w:basedOn w:val="DefaultParagraphFont"/>
    <w:link w:val="Closing"/>
    <w:uiPriority w:val="99"/>
    <w:rsid w:val="00F171E0"/>
    <w:rPr>
      <w:rFonts w:ascii="Arial" w:hAnsi="Arial"/>
    </w:rPr>
  </w:style>
  <w:style w:type="paragraph" w:styleId="BodyTextFirstIndent">
    <w:name w:val="Body Text First Indent"/>
    <w:basedOn w:val="Normal"/>
    <w:link w:val="BodyTextFirstIndentChar"/>
    <w:uiPriority w:val="99"/>
    <w:unhideWhenUsed/>
    <w:rsid w:val="00F171E0"/>
    <w:pPr>
      <w:ind w:firstLine="360"/>
    </w:pPr>
  </w:style>
  <w:style w:type="character" w:customStyle="1" w:styleId="BodyTextFirstIndentChar">
    <w:name w:val="Body Text First Indent Char"/>
    <w:basedOn w:val="DefaultParagraphFont"/>
    <w:link w:val="BodyTextFirstIndent"/>
    <w:uiPriority w:val="99"/>
    <w:rsid w:val="00F171E0"/>
    <w:rPr>
      <w:rFonts w:ascii="Arial" w:hAnsi="Arial"/>
    </w:rPr>
  </w:style>
  <w:style w:type="paragraph" w:styleId="BodyText2">
    <w:name w:val="Body Text 2"/>
    <w:basedOn w:val="Normal"/>
    <w:link w:val="BodyText2Char"/>
    <w:unhideWhenUsed/>
    <w:rsid w:val="00F171E0"/>
    <w:pPr>
      <w:spacing w:after="120" w:line="480" w:lineRule="auto"/>
    </w:pPr>
  </w:style>
  <w:style w:type="character" w:customStyle="1" w:styleId="BodyText2Char">
    <w:name w:val="Body Text 2 Char"/>
    <w:basedOn w:val="DefaultParagraphFont"/>
    <w:link w:val="BodyText2"/>
    <w:uiPriority w:val="99"/>
    <w:rsid w:val="00F171E0"/>
    <w:rPr>
      <w:rFonts w:ascii="Arial" w:hAnsi="Arial"/>
    </w:rPr>
  </w:style>
  <w:style w:type="paragraph" w:customStyle="1" w:styleId="ListLegal">
    <w:name w:val="List Legal"/>
    <w:basedOn w:val="ListParagraph"/>
    <w:rsid w:val="00301B40"/>
    <w:pPr>
      <w:numPr>
        <w:numId w:val="19"/>
      </w:numPr>
      <w:tabs>
        <w:tab w:val="clear" w:pos="340"/>
        <w:tab w:val="left" w:pos="680"/>
      </w:tabs>
      <w:ind w:left="680" w:hanging="340"/>
    </w:pPr>
  </w:style>
  <w:style w:type="character" w:styleId="CommentReference">
    <w:name w:val="annotation reference"/>
    <w:basedOn w:val="DefaultParagraphFont"/>
    <w:uiPriority w:val="99"/>
    <w:unhideWhenUsed/>
    <w:rsid w:val="00F171E0"/>
    <w:rPr>
      <w:sz w:val="16"/>
      <w:szCs w:val="16"/>
    </w:rPr>
  </w:style>
  <w:style w:type="paragraph" w:customStyle="1" w:styleId="ListLegal2">
    <w:name w:val="List Legal 2"/>
    <w:basedOn w:val="ListLegal"/>
    <w:rsid w:val="00301B40"/>
    <w:pPr>
      <w:tabs>
        <w:tab w:val="clear" w:pos="680"/>
        <w:tab w:val="left" w:pos="1021"/>
      </w:tabs>
      <w:ind w:left="1020"/>
    </w:pPr>
  </w:style>
  <w:style w:type="paragraph" w:customStyle="1" w:styleId="AERnumberedlistthirdstyle">
    <w:name w:val="AER numbered list (third style)"/>
    <w:basedOn w:val="ListNumber3"/>
    <w:qFormat/>
    <w:rsid w:val="00571D57"/>
    <w:pPr>
      <w:numPr>
        <w:numId w:val="20"/>
      </w:numPr>
      <w:tabs>
        <w:tab w:val="left" w:pos="1361"/>
      </w:tabs>
      <w:ind w:left="1361" w:hanging="340"/>
    </w:pPr>
  </w:style>
  <w:style w:type="paragraph" w:customStyle="1" w:styleId="ListLegal4">
    <w:name w:val="List Legal 4"/>
    <w:basedOn w:val="AERnumberedlistthirdstyle"/>
    <w:rsid w:val="00571D57"/>
    <w:pPr>
      <w:tabs>
        <w:tab w:val="clear" w:pos="1361"/>
        <w:tab w:val="left" w:pos="1701"/>
      </w:tabs>
      <w:ind w:left="1701"/>
    </w:pPr>
  </w:style>
  <w:style w:type="paragraph" w:customStyle="1" w:styleId="ListLegal5">
    <w:name w:val="List Legal 5"/>
    <w:basedOn w:val="ListLegal4"/>
    <w:rsid w:val="00571D57"/>
    <w:pPr>
      <w:tabs>
        <w:tab w:val="clear" w:pos="1701"/>
        <w:tab w:val="left" w:pos="2041"/>
      </w:tabs>
      <w:ind w:left="2041"/>
    </w:pPr>
  </w:style>
  <w:style w:type="paragraph" w:styleId="Date">
    <w:name w:val="Date"/>
    <w:basedOn w:val="Normal"/>
    <w:next w:val="Normal"/>
    <w:link w:val="DateChar"/>
    <w:uiPriority w:val="99"/>
    <w:unhideWhenUsed/>
    <w:rsid w:val="00F171E0"/>
  </w:style>
  <w:style w:type="character" w:customStyle="1" w:styleId="DateChar">
    <w:name w:val="Date Char"/>
    <w:basedOn w:val="DefaultParagraphFont"/>
    <w:link w:val="Date"/>
    <w:uiPriority w:val="99"/>
    <w:rsid w:val="00F171E0"/>
    <w:rPr>
      <w:rFonts w:ascii="Arial" w:hAnsi="Arial"/>
    </w:rPr>
  </w:style>
  <w:style w:type="paragraph" w:styleId="DocumentMap">
    <w:name w:val="Document Map"/>
    <w:basedOn w:val="Normal"/>
    <w:link w:val="DocumentMapChar"/>
    <w:unhideWhenUsed/>
    <w:rsid w:val="00F171E0"/>
    <w:pPr>
      <w:spacing w:before="0" w:line="240" w:lineRule="auto"/>
    </w:pPr>
    <w:rPr>
      <w:rFonts w:ascii="Tahoma" w:hAnsi="Tahoma" w:cs="Tahoma"/>
      <w:sz w:val="16"/>
      <w:szCs w:val="16"/>
    </w:rPr>
  </w:style>
  <w:style w:type="character" w:customStyle="1" w:styleId="DocumentMapChar">
    <w:name w:val="Document Map Char"/>
    <w:basedOn w:val="DefaultParagraphFont"/>
    <w:link w:val="DocumentMap"/>
    <w:uiPriority w:val="99"/>
    <w:rsid w:val="00F171E0"/>
    <w:rPr>
      <w:rFonts w:ascii="Tahoma" w:hAnsi="Tahoma" w:cs="Tahoma"/>
      <w:sz w:val="16"/>
      <w:szCs w:val="16"/>
    </w:rPr>
  </w:style>
  <w:style w:type="paragraph" w:styleId="E-mailSignature">
    <w:name w:val="E-mail Signature"/>
    <w:basedOn w:val="Normal"/>
    <w:link w:val="E-mailSignatureChar"/>
    <w:uiPriority w:val="99"/>
    <w:unhideWhenUsed/>
    <w:rsid w:val="00F171E0"/>
    <w:pPr>
      <w:spacing w:before="0" w:line="240" w:lineRule="auto"/>
    </w:pPr>
  </w:style>
  <w:style w:type="character" w:customStyle="1" w:styleId="E-mailSignatureChar">
    <w:name w:val="E-mail Signature Char"/>
    <w:basedOn w:val="DefaultParagraphFont"/>
    <w:link w:val="E-mailSignature"/>
    <w:uiPriority w:val="99"/>
    <w:rsid w:val="00F171E0"/>
    <w:rPr>
      <w:rFonts w:ascii="Arial" w:hAnsi="Arial"/>
    </w:rPr>
  </w:style>
  <w:style w:type="paragraph" w:styleId="EnvelopeAddress">
    <w:name w:val="envelope address"/>
    <w:basedOn w:val="Normal"/>
    <w:uiPriority w:val="99"/>
    <w:unhideWhenUsed/>
    <w:rsid w:val="00F171E0"/>
    <w:pPr>
      <w:framePr w:w="7920" w:h="1980" w:hRule="exact" w:hSpace="180" w:wrap="auto" w:hAnchor="page" w:xAlign="center" w:yAlign="bottom"/>
      <w:spacing w:before="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unhideWhenUsed/>
    <w:rsid w:val="00F171E0"/>
    <w:pPr>
      <w:spacing w:before="0" w:line="240" w:lineRule="auto"/>
    </w:pPr>
    <w:rPr>
      <w:rFonts w:asciiTheme="majorHAnsi" w:eastAsiaTheme="majorEastAsia" w:hAnsiTheme="majorHAnsi" w:cstheme="majorBidi"/>
      <w:sz w:val="20"/>
      <w:szCs w:val="20"/>
    </w:rPr>
  </w:style>
  <w:style w:type="character" w:styleId="FollowedHyperlink">
    <w:name w:val="FollowedHyperlink"/>
    <w:basedOn w:val="DefaultParagraphFont"/>
    <w:unhideWhenUsed/>
    <w:rsid w:val="00F171E0"/>
    <w:rPr>
      <w:color w:val="800080" w:themeColor="followedHyperlink"/>
      <w:u w:val="single"/>
    </w:rPr>
  </w:style>
  <w:style w:type="paragraph" w:styleId="Index3">
    <w:name w:val="index 3"/>
    <w:basedOn w:val="Normal"/>
    <w:next w:val="Normal"/>
    <w:autoRedefine/>
    <w:uiPriority w:val="99"/>
    <w:unhideWhenUsed/>
    <w:rsid w:val="00F171E0"/>
    <w:pPr>
      <w:spacing w:before="0" w:line="240" w:lineRule="auto"/>
      <w:ind w:left="660" w:hanging="220"/>
    </w:pPr>
  </w:style>
  <w:style w:type="paragraph" w:styleId="Index4">
    <w:name w:val="index 4"/>
    <w:basedOn w:val="Normal"/>
    <w:next w:val="Normal"/>
    <w:autoRedefine/>
    <w:uiPriority w:val="99"/>
    <w:unhideWhenUsed/>
    <w:rsid w:val="00F171E0"/>
    <w:pPr>
      <w:spacing w:before="0" w:line="240" w:lineRule="auto"/>
      <w:ind w:left="880" w:hanging="220"/>
    </w:pPr>
  </w:style>
  <w:style w:type="paragraph" w:styleId="Index5">
    <w:name w:val="index 5"/>
    <w:basedOn w:val="Normal"/>
    <w:next w:val="Normal"/>
    <w:autoRedefine/>
    <w:uiPriority w:val="99"/>
    <w:unhideWhenUsed/>
    <w:rsid w:val="00F171E0"/>
    <w:pPr>
      <w:spacing w:before="0" w:line="240" w:lineRule="auto"/>
      <w:ind w:left="1100" w:hanging="220"/>
    </w:pPr>
  </w:style>
  <w:style w:type="paragraph" w:styleId="IndexHeading">
    <w:name w:val="index heading"/>
    <w:basedOn w:val="Normal"/>
    <w:next w:val="Index1"/>
    <w:uiPriority w:val="99"/>
    <w:unhideWhenUsed/>
    <w:rsid w:val="00F171E0"/>
    <w:rPr>
      <w:rFonts w:asciiTheme="majorHAnsi" w:eastAsiaTheme="majorEastAsia" w:hAnsiTheme="majorHAnsi" w:cstheme="majorBidi"/>
      <w:b/>
      <w:bCs/>
    </w:rPr>
  </w:style>
  <w:style w:type="character" w:styleId="IntenseEmphasis">
    <w:name w:val="Intense Emphasis"/>
    <w:basedOn w:val="DefaultParagraphFont"/>
    <w:uiPriority w:val="21"/>
    <w:unhideWhenUsed/>
    <w:rsid w:val="00F171E0"/>
    <w:rPr>
      <w:b/>
      <w:bCs/>
      <w:i/>
      <w:iCs/>
      <w:color w:val="2F002F" w:themeColor="accent1"/>
    </w:rPr>
  </w:style>
  <w:style w:type="paragraph" w:styleId="IntenseQuote">
    <w:name w:val="Intense Quote"/>
    <w:basedOn w:val="Normal"/>
    <w:next w:val="Normal"/>
    <w:link w:val="IntenseQuoteChar"/>
    <w:uiPriority w:val="30"/>
    <w:unhideWhenUsed/>
    <w:rsid w:val="00F171E0"/>
    <w:pPr>
      <w:pBdr>
        <w:bottom w:val="single" w:sz="4" w:space="4" w:color="2F002F" w:themeColor="accent1"/>
      </w:pBdr>
      <w:spacing w:after="280"/>
      <w:ind w:left="936" w:right="936"/>
    </w:pPr>
    <w:rPr>
      <w:b/>
      <w:bCs/>
      <w:i/>
      <w:iCs/>
      <w:color w:val="2F002F" w:themeColor="accent1"/>
    </w:rPr>
  </w:style>
  <w:style w:type="character" w:customStyle="1" w:styleId="IntenseQuoteChar">
    <w:name w:val="Intense Quote Char"/>
    <w:basedOn w:val="DefaultParagraphFont"/>
    <w:link w:val="IntenseQuote"/>
    <w:uiPriority w:val="30"/>
    <w:rsid w:val="00F171E0"/>
    <w:rPr>
      <w:rFonts w:ascii="Arial" w:hAnsi="Arial"/>
      <w:b/>
      <w:bCs/>
      <w:i/>
      <w:iCs/>
      <w:color w:val="2F002F" w:themeColor="accent1"/>
    </w:rPr>
  </w:style>
  <w:style w:type="character" w:styleId="IntenseReference">
    <w:name w:val="Intense Reference"/>
    <w:basedOn w:val="DefaultParagraphFont"/>
    <w:uiPriority w:val="32"/>
    <w:unhideWhenUsed/>
    <w:rsid w:val="00F171E0"/>
    <w:rPr>
      <w:b/>
      <w:bCs/>
      <w:smallCaps/>
      <w:color w:val="C14E00" w:themeColor="accent2"/>
      <w:spacing w:val="5"/>
      <w:u w:val="single"/>
    </w:rPr>
  </w:style>
  <w:style w:type="character" w:styleId="LineNumber">
    <w:name w:val="line number"/>
    <w:basedOn w:val="DefaultParagraphFont"/>
    <w:uiPriority w:val="99"/>
    <w:unhideWhenUsed/>
    <w:rsid w:val="00F171E0"/>
  </w:style>
  <w:style w:type="paragraph" w:customStyle="1" w:styleId="AERnumberedlistsecondstyle">
    <w:name w:val="AER numbered list (second style)"/>
    <w:basedOn w:val="Listalphabet"/>
    <w:qFormat/>
    <w:rsid w:val="00DB5074"/>
    <w:pPr>
      <w:numPr>
        <w:numId w:val="18"/>
      </w:numPr>
      <w:tabs>
        <w:tab w:val="clear" w:pos="340"/>
        <w:tab w:val="left" w:pos="680"/>
      </w:tabs>
      <w:ind w:left="680" w:hanging="340"/>
    </w:pPr>
  </w:style>
  <w:style w:type="paragraph" w:customStyle="1" w:styleId="Listalphabet3">
    <w:name w:val="List alphabet 3"/>
    <w:basedOn w:val="AERnumberedlistsecondstyle"/>
    <w:rsid w:val="00DB5074"/>
    <w:pPr>
      <w:tabs>
        <w:tab w:val="clear" w:pos="680"/>
        <w:tab w:val="left" w:pos="1021"/>
      </w:tabs>
      <w:ind w:left="1020"/>
    </w:pPr>
  </w:style>
  <w:style w:type="paragraph" w:customStyle="1" w:styleId="Listalphabet4">
    <w:name w:val="List alphabet 4"/>
    <w:basedOn w:val="Listalphabet3"/>
    <w:rsid w:val="00DB5074"/>
    <w:pPr>
      <w:tabs>
        <w:tab w:val="clear" w:pos="1021"/>
        <w:tab w:val="left" w:pos="1361"/>
      </w:tabs>
      <w:ind w:left="1361"/>
    </w:pPr>
  </w:style>
  <w:style w:type="paragraph" w:customStyle="1" w:styleId="Listalphabet5">
    <w:name w:val="List alphabet 5"/>
    <w:basedOn w:val="Listalphabet4"/>
    <w:rsid w:val="00DB5074"/>
    <w:pPr>
      <w:tabs>
        <w:tab w:val="clear" w:pos="1361"/>
        <w:tab w:val="left" w:pos="1701"/>
      </w:tabs>
      <w:ind w:left="1701"/>
    </w:pPr>
  </w:style>
  <w:style w:type="paragraph" w:styleId="ListContinue5">
    <w:name w:val="List Continue 5"/>
    <w:basedOn w:val="Normal"/>
    <w:uiPriority w:val="99"/>
    <w:unhideWhenUsed/>
    <w:rsid w:val="00DB5074"/>
    <w:pPr>
      <w:tabs>
        <w:tab w:val="left" w:pos="1701"/>
      </w:tabs>
      <w:spacing w:after="120"/>
      <w:ind w:left="1701"/>
      <w:contextualSpacing/>
    </w:pPr>
  </w:style>
  <w:style w:type="paragraph" w:styleId="ListNumber2">
    <w:name w:val="List Number 2"/>
    <w:basedOn w:val="Normal"/>
    <w:uiPriority w:val="99"/>
    <w:unhideWhenUsed/>
    <w:rsid w:val="00571D57"/>
    <w:pPr>
      <w:numPr>
        <w:numId w:val="8"/>
      </w:numPr>
      <w:tabs>
        <w:tab w:val="left" w:pos="680"/>
      </w:tabs>
      <w:spacing w:before="80" w:line="360" w:lineRule="auto"/>
      <w:ind w:left="680" w:hanging="340"/>
      <w:contextualSpacing/>
    </w:pPr>
  </w:style>
  <w:style w:type="character" w:customStyle="1" w:styleId="SalutationChar">
    <w:name w:val="Salutation Char"/>
    <w:basedOn w:val="DefaultParagraphFont"/>
    <w:link w:val="Salutation"/>
    <w:uiPriority w:val="99"/>
    <w:rsid w:val="00CA489E"/>
    <w:rPr>
      <w:rFonts w:ascii="Arial" w:hAnsi="Arial"/>
    </w:rPr>
  </w:style>
  <w:style w:type="paragraph" w:styleId="Signature">
    <w:name w:val="Signature"/>
    <w:basedOn w:val="Normal"/>
    <w:link w:val="SignatureChar"/>
    <w:uiPriority w:val="99"/>
    <w:unhideWhenUsed/>
    <w:rsid w:val="00CA489E"/>
    <w:pPr>
      <w:spacing w:before="0" w:line="240" w:lineRule="auto"/>
      <w:ind w:left="4252"/>
    </w:pPr>
  </w:style>
  <w:style w:type="character" w:customStyle="1" w:styleId="SignatureChar">
    <w:name w:val="Signature Char"/>
    <w:basedOn w:val="DefaultParagraphFont"/>
    <w:link w:val="Signature"/>
    <w:uiPriority w:val="99"/>
    <w:rsid w:val="00CA489E"/>
    <w:rPr>
      <w:rFonts w:ascii="Arial" w:hAnsi="Arial"/>
    </w:rPr>
  </w:style>
  <w:style w:type="character" w:styleId="SubtleEmphasis">
    <w:name w:val="Subtle Emphasis"/>
    <w:basedOn w:val="DefaultParagraphFont"/>
    <w:uiPriority w:val="19"/>
    <w:unhideWhenUsed/>
    <w:rsid w:val="00CA489E"/>
    <w:rPr>
      <w:b/>
      <w:i/>
      <w:iCs/>
      <w:color w:val="2F002F" w:themeColor="accent1"/>
    </w:rPr>
  </w:style>
  <w:style w:type="character" w:styleId="SubtleReference">
    <w:name w:val="Subtle Reference"/>
    <w:basedOn w:val="DefaultParagraphFont"/>
    <w:uiPriority w:val="31"/>
    <w:unhideWhenUsed/>
    <w:rsid w:val="00CA489E"/>
    <w:rPr>
      <w:smallCaps/>
      <w:color w:val="C14E00" w:themeColor="accent2"/>
      <w:u w:val="single"/>
    </w:rPr>
  </w:style>
  <w:style w:type="paragraph" w:customStyle="1" w:styleId="AERquoteindent1">
    <w:name w:val="AER quote (indent 1)"/>
    <w:basedOn w:val="Normal"/>
    <w:qFormat/>
    <w:rsid w:val="00DE1093"/>
    <w:pPr>
      <w:tabs>
        <w:tab w:val="left" w:pos="680"/>
      </w:tabs>
      <w:spacing w:after="160" w:line="240" w:lineRule="auto"/>
      <w:ind w:left="680" w:right="794"/>
    </w:pPr>
    <w:rPr>
      <w:rFonts w:eastAsia="Times New Roman" w:cs="Times New Roman"/>
      <w:sz w:val="20"/>
      <w:szCs w:val="20"/>
      <w:lang w:eastAsia="en-AU"/>
    </w:rPr>
  </w:style>
  <w:style w:type="character" w:styleId="PageNumber">
    <w:name w:val="page number"/>
    <w:basedOn w:val="DefaultParagraphFont"/>
    <w:rsid w:val="0020492C"/>
  </w:style>
  <w:style w:type="character" w:styleId="PlaceholderText">
    <w:name w:val="Placeholder Text"/>
    <w:basedOn w:val="DefaultParagraphFont"/>
    <w:uiPriority w:val="99"/>
    <w:rsid w:val="008D1661"/>
    <w:rPr>
      <w:color w:val="808080"/>
    </w:rPr>
  </w:style>
  <w:style w:type="paragraph" w:customStyle="1" w:styleId="StyleCopyrightBefore0pt">
    <w:name w:val="Style Copyright + Before:  0 pt"/>
    <w:basedOn w:val="Copyright"/>
    <w:rsid w:val="00185CB9"/>
    <w:pPr>
      <w:spacing w:before="120"/>
    </w:pPr>
    <w:rPr>
      <w:rFonts w:eastAsia="Times New Roman" w:cs="Times New Roman"/>
    </w:rPr>
  </w:style>
  <w:style w:type="character" w:customStyle="1" w:styleId="Bold">
    <w:name w:val="Bold"/>
    <w:basedOn w:val="DefaultParagraphFont"/>
    <w:rsid w:val="0020492C"/>
    <w:rPr>
      <w:b/>
      <w:bCs/>
    </w:rPr>
  </w:style>
  <w:style w:type="paragraph" w:customStyle="1" w:styleId="LegalNumbering">
    <w:name w:val="Legal Numbering"/>
    <w:basedOn w:val="Normal"/>
    <w:rsid w:val="005829C2"/>
    <w:pPr>
      <w:numPr>
        <w:numId w:val="21"/>
      </w:numPr>
      <w:tabs>
        <w:tab w:val="left" w:pos="680"/>
        <w:tab w:val="left" w:pos="1021"/>
        <w:tab w:val="left" w:pos="1361"/>
      </w:tabs>
      <w:spacing w:line="240" w:lineRule="auto"/>
    </w:pPr>
  </w:style>
  <w:style w:type="paragraph" w:customStyle="1" w:styleId="AERquoteindent3">
    <w:name w:val="AER quote (indent 3)"/>
    <w:basedOn w:val="AERquoteindent2"/>
    <w:qFormat/>
    <w:rsid w:val="00DE1093"/>
    <w:pPr>
      <w:ind w:left="1361"/>
    </w:pPr>
  </w:style>
  <w:style w:type="paragraph" w:customStyle="1" w:styleId="AERquotebullet1">
    <w:name w:val="AER quote bullet 1"/>
    <w:basedOn w:val="AERquoteindent1"/>
    <w:qFormat/>
    <w:rsid w:val="00DE1093"/>
    <w:pPr>
      <w:numPr>
        <w:numId w:val="22"/>
      </w:numPr>
      <w:ind w:left="1037" w:hanging="357"/>
    </w:pPr>
  </w:style>
  <w:style w:type="paragraph" w:customStyle="1" w:styleId="AERbulletlistthirdstyle">
    <w:name w:val="AER bullet list (third style)"/>
    <w:basedOn w:val="AERbulletlistsecondstyle"/>
    <w:qFormat/>
    <w:rsid w:val="00343A18"/>
    <w:pPr>
      <w:numPr>
        <w:ilvl w:val="2"/>
      </w:numPr>
      <w:tabs>
        <w:tab w:val="left" w:pos="1361"/>
      </w:tabs>
      <w:ind w:left="1361" w:hanging="340"/>
    </w:pPr>
  </w:style>
  <w:style w:type="character" w:customStyle="1" w:styleId="AERsubscript">
    <w:name w:val="AER subscript"/>
    <w:basedOn w:val="DefaultParagraphFont"/>
    <w:qFormat/>
    <w:rsid w:val="00343A18"/>
    <w:rPr>
      <w:sz w:val="16"/>
      <w:vertAlign w:val="subscript"/>
    </w:rPr>
  </w:style>
  <w:style w:type="character" w:customStyle="1" w:styleId="AERtextbolditalics">
    <w:name w:val="AER text bold italics"/>
    <w:basedOn w:val="DefaultParagraphFont"/>
    <w:qFormat/>
    <w:rsid w:val="00343A18"/>
    <w:rPr>
      <w:b/>
      <w:bCs/>
      <w:i/>
      <w:iCs/>
    </w:rPr>
  </w:style>
  <w:style w:type="character" w:customStyle="1" w:styleId="AERsuperscript">
    <w:name w:val="AER superscript"/>
    <w:qFormat/>
    <w:rsid w:val="00343A18"/>
    <w:rPr>
      <w:rFonts w:ascii="Arial" w:hAnsi="Arial"/>
      <w:sz w:val="16"/>
      <w:vertAlign w:val="superscript"/>
    </w:rPr>
  </w:style>
  <w:style w:type="character" w:customStyle="1" w:styleId="AERtextunderline">
    <w:name w:val="AER text underline"/>
    <w:basedOn w:val="DefaultParagraphFont"/>
    <w:qFormat/>
    <w:rsid w:val="00343A18"/>
    <w:rPr>
      <w:u w:val="single"/>
    </w:rPr>
  </w:style>
  <w:style w:type="paragraph" w:customStyle="1" w:styleId="AERtextconfidential">
    <w:name w:val="AER text confidential"/>
    <w:basedOn w:val="Normal"/>
    <w:qFormat/>
    <w:rsid w:val="008B5FCC"/>
    <w:rPr>
      <w:shd w:val="clear" w:color="auto" w:fill="CCFFFF"/>
    </w:rPr>
  </w:style>
  <w:style w:type="paragraph" w:customStyle="1" w:styleId="UnnumberedHeading">
    <w:name w:val="Unnumbered Heading"/>
    <w:basedOn w:val="Heading1"/>
    <w:link w:val="UnnumberedHeadingChar"/>
    <w:qFormat/>
    <w:rsid w:val="008B5FCC"/>
    <w:pPr>
      <w:numPr>
        <w:numId w:val="0"/>
      </w:numPr>
    </w:pPr>
  </w:style>
  <w:style w:type="numbering" w:customStyle="1" w:styleId="AERHeadings">
    <w:name w:val="AER Headings"/>
    <w:uiPriority w:val="99"/>
    <w:rsid w:val="00126A4C"/>
    <w:pPr>
      <w:numPr>
        <w:numId w:val="23"/>
      </w:numPr>
    </w:pPr>
  </w:style>
  <w:style w:type="character" w:customStyle="1" w:styleId="AERbody">
    <w:name w:val="AER body"/>
    <w:basedOn w:val="DefaultParagraphFont"/>
    <w:qFormat/>
    <w:rsid w:val="00126A4C"/>
    <w:rPr>
      <w:rFonts w:ascii="Arial" w:hAnsi="Arial"/>
      <w:color w:val="auto"/>
      <w:sz w:val="22"/>
    </w:rPr>
  </w:style>
  <w:style w:type="numbering" w:customStyle="1" w:styleId="AERnumberedlist">
    <w:name w:val="AER numbered list"/>
    <w:uiPriority w:val="99"/>
    <w:rsid w:val="00126A4C"/>
    <w:pPr>
      <w:numPr>
        <w:numId w:val="24"/>
      </w:numPr>
    </w:pPr>
  </w:style>
  <w:style w:type="character" w:customStyle="1" w:styleId="UnnumberedHeadingChar">
    <w:name w:val="Unnumbered Heading Char"/>
    <w:basedOn w:val="Heading1Char"/>
    <w:link w:val="UnnumberedHeading"/>
    <w:rsid w:val="00126A4C"/>
    <w:rPr>
      <w:rFonts w:ascii="Arial" w:eastAsiaTheme="majorEastAsia" w:hAnsi="Arial" w:cstheme="majorBidi"/>
      <w:b/>
      <w:bCs/>
      <w:color w:val="70635A"/>
      <w:sz w:val="36"/>
      <w:szCs w:val="28"/>
    </w:rPr>
  </w:style>
  <w:style w:type="paragraph" w:customStyle="1" w:styleId="AERbodytextnospace">
    <w:name w:val="AER body text no space"/>
    <w:basedOn w:val="Normal"/>
    <w:qFormat/>
    <w:rsid w:val="00683C89"/>
    <w:pPr>
      <w:tabs>
        <w:tab w:val="num" w:pos="0"/>
      </w:tabs>
      <w:spacing w:before="0" w:line="288" w:lineRule="auto"/>
      <w:jc w:val="both"/>
    </w:pPr>
    <w:rPr>
      <w:rFonts w:asciiTheme="minorHAnsi" w:eastAsia="Times New Roman" w:hAnsiTheme="minorHAnsi" w:cs="Times New Roman"/>
      <w:sz w:val="20"/>
      <w:szCs w:val="24"/>
    </w:rPr>
  </w:style>
  <w:style w:type="paragraph" w:customStyle="1" w:styleId="AERnumberedlist2first">
    <w:name w:val="AER numbered list 2 first"/>
    <w:basedOn w:val="Normal"/>
    <w:qFormat/>
    <w:rsid w:val="00683C89"/>
    <w:pPr>
      <w:tabs>
        <w:tab w:val="num" w:pos="454"/>
      </w:tabs>
      <w:spacing w:before="0" w:after="240" w:line="288" w:lineRule="auto"/>
      <w:ind w:left="454" w:hanging="454"/>
      <w:jc w:val="both"/>
    </w:pPr>
    <w:rPr>
      <w:rFonts w:asciiTheme="minorHAnsi" w:eastAsia="Times New Roman" w:hAnsiTheme="minorHAnsi" w:cs="Times New Roman"/>
      <w:sz w:val="20"/>
      <w:szCs w:val="24"/>
    </w:rPr>
  </w:style>
  <w:style w:type="character" w:customStyle="1" w:styleId="AERbodytextChar">
    <w:name w:val="AER body text Char"/>
    <w:basedOn w:val="DefaultParagraphFont"/>
    <w:rsid w:val="00126A4C"/>
    <w:rPr>
      <w:rFonts w:eastAsia="Times New Roman"/>
      <w:szCs w:val="24"/>
      <w:lang w:eastAsia="en-US"/>
    </w:rPr>
  </w:style>
  <w:style w:type="character" w:customStyle="1" w:styleId="HeadingBoldBlueChar">
    <w:name w:val="Heading Bold Blue Char"/>
    <w:basedOn w:val="AERbodytextChar"/>
    <w:link w:val="HeadingBoldBlue"/>
    <w:rsid w:val="00126A4C"/>
    <w:rPr>
      <w:rFonts w:ascii="Arial" w:eastAsiaTheme="majorEastAsia" w:hAnsi="Arial" w:cstheme="majorBidi"/>
      <w:b/>
      <w:bCs/>
      <w:color w:val="70635A" w:themeColor="text2"/>
      <w:sz w:val="28"/>
      <w:szCs w:val="24"/>
      <w:lang w:eastAsia="en-US"/>
    </w:rPr>
  </w:style>
  <w:style w:type="table" w:customStyle="1" w:styleId="AERtable-text0">
    <w:name w:val="AER table - text"/>
    <w:basedOn w:val="TableNormal"/>
    <w:uiPriority w:val="99"/>
    <w:rsid w:val="00683C89"/>
    <w:pPr>
      <w:spacing w:before="120" w:after="80"/>
    </w:pPr>
    <w:rPr>
      <w:rFonts w:eastAsia="Calibri" w:cs="Times New Roman"/>
      <w:sz w:val="16"/>
      <w:szCs w:val="20"/>
      <w:lang w:eastAsia="en-AU"/>
    </w:rPr>
    <w:tblPr>
      <w:tblStyleRowBandSize w:val="1"/>
      <w:tblBorders>
        <w:bottom w:val="single" w:sz="4" w:space="0" w:color="365F91"/>
      </w:tblBorders>
    </w:tblPr>
    <w:tcPr>
      <w:vAlign w:val="center"/>
    </w:tcPr>
    <w:tblStylePr w:type="firstRow">
      <w:rPr>
        <w:b/>
        <w:color w:val="FFFFFF"/>
      </w:rPr>
      <w:tblPr/>
      <w:tcPr>
        <w:shd w:val="clear" w:color="auto" w:fill="365F91"/>
      </w:tcPr>
    </w:tblStylePr>
    <w:tblStylePr w:type="band2Horz">
      <w:tblPr/>
      <w:tcPr>
        <w:shd w:val="clear" w:color="auto" w:fill="DBE5F1"/>
      </w:tcPr>
    </w:tblStylePr>
  </w:style>
  <w:style w:type="character" w:customStyle="1" w:styleId="AERtextsize8">
    <w:name w:val="AER text size 8"/>
    <w:basedOn w:val="AERbody"/>
    <w:uiPriority w:val="1"/>
    <w:qFormat/>
    <w:rsid w:val="00126A4C"/>
    <w:rPr>
      <w:rFonts w:ascii="Arial" w:hAnsi="Arial"/>
      <w:color w:val="auto"/>
      <w:sz w:val="16"/>
    </w:rPr>
  </w:style>
  <w:style w:type="paragraph" w:styleId="Index7">
    <w:name w:val="index 7"/>
    <w:basedOn w:val="Normal"/>
    <w:next w:val="Normal"/>
    <w:autoRedefine/>
    <w:uiPriority w:val="99"/>
    <w:unhideWhenUsed/>
    <w:rsid w:val="00126A4C"/>
    <w:pPr>
      <w:spacing w:before="0" w:line="240" w:lineRule="auto"/>
      <w:ind w:left="1540" w:hanging="220"/>
    </w:pPr>
  </w:style>
  <w:style w:type="paragraph" w:customStyle="1" w:styleId="AERtablesource">
    <w:name w:val="AER table source"/>
    <w:next w:val="Normal"/>
    <w:qFormat/>
    <w:rsid w:val="0066104A"/>
    <w:pPr>
      <w:tabs>
        <w:tab w:val="left" w:pos="794"/>
      </w:tabs>
      <w:spacing w:before="160" w:after="360" w:line="360" w:lineRule="auto"/>
      <w:ind w:left="794" w:hanging="794"/>
      <w:contextualSpacing/>
      <w:jc w:val="both"/>
    </w:pPr>
    <w:rPr>
      <w:rFonts w:ascii="Arial" w:eastAsia="Times New Roman" w:hAnsi="Arial" w:cs="Times New Roman"/>
      <w:sz w:val="16"/>
      <w:szCs w:val="24"/>
    </w:rPr>
  </w:style>
  <w:style w:type="character" w:customStyle="1" w:styleId="AERtexthighlight">
    <w:name w:val="AER text highlight"/>
    <w:qFormat/>
    <w:rsid w:val="00126A4C"/>
    <w:rPr>
      <w:bdr w:val="none" w:sz="0" w:space="0" w:color="auto"/>
      <w:shd w:val="clear" w:color="auto" w:fill="FFFF00"/>
    </w:rPr>
  </w:style>
  <w:style w:type="character" w:customStyle="1" w:styleId="AERtextitalic">
    <w:name w:val="AER text italic"/>
    <w:qFormat/>
    <w:rsid w:val="00126A4C"/>
    <w:rPr>
      <w:i/>
    </w:rPr>
  </w:style>
  <w:style w:type="paragraph" w:customStyle="1" w:styleId="AERquote">
    <w:name w:val="AER quote"/>
    <w:next w:val="Normal"/>
    <w:qFormat/>
    <w:rsid w:val="00DE1093"/>
    <w:pPr>
      <w:tabs>
        <w:tab w:val="num" w:pos="709"/>
      </w:tabs>
      <w:spacing w:after="160" w:line="288" w:lineRule="auto"/>
      <w:ind w:left="709" w:right="720"/>
      <w:jc w:val="both"/>
    </w:pPr>
    <w:rPr>
      <w:rFonts w:ascii="Arial" w:eastAsia="Times New Roman" w:hAnsi="Arial" w:cs="Times New Roman"/>
      <w:color w:val="000000"/>
      <w:sz w:val="20"/>
      <w:szCs w:val="24"/>
    </w:rPr>
  </w:style>
  <w:style w:type="paragraph" w:customStyle="1" w:styleId="AERtabletextleft">
    <w:name w:val="AER table text left"/>
    <w:qFormat/>
    <w:rsid w:val="00983C25"/>
    <w:pPr>
      <w:spacing w:before="80" w:after="120" w:line="288" w:lineRule="auto"/>
    </w:pPr>
    <w:rPr>
      <w:rFonts w:ascii="Arial" w:eastAsia="Times New Roman" w:hAnsi="Arial" w:cs="Times New Roman"/>
      <w:sz w:val="20"/>
      <w:szCs w:val="24"/>
    </w:rPr>
  </w:style>
  <w:style w:type="character" w:customStyle="1" w:styleId="AERtextboldunderline">
    <w:name w:val="AER text bold underline"/>
    <w:qFormat/>
    <w:rsid w:val="000E4821"/>
    <w:rPr>
      <w:b/>
      <w:u w:val="single"/>
    </w:rPr>
  </w:style>
  <w:style w:type="numbering" w:customStyle="1" w:styleId="OldAERheadings">
    <w:name w:val="Old AER headings"/>
    <w:uiPriority w:val="99"/>
    <w:locked/>
    <w:rsid w:val="000E4821"/>
    <w:pPr>
      <w:numPr>
        <w:numId w:val="26"/>
      </w:numPr>
    </w:pPr>
  </w:style>
  <w:style w:type="character" w:customStyle="1" w:styleId="AERtextorange">
    <w:name w:val="AER text orange"/>
    <w:uiPriority w:val="1"/>
    <w:qFormat/>
    <w:rsid w:val="000E4821"/>
    <w:rPr>
      <w:color w:val="E36C0A"/>
    </w:rPr>
  </w:style>
  <w:style w:type="paragraph" w:customStyle="1" w:styleId="AERtitle1">
    <w:name w:val="AER title 1"/>
    <w:qFormat/>
    <w:rsid w:val="00683C89"/>
    <w:pPr>
      <w:spacing w:before="0" w:after="240" w:line="288" w:lineRule="auto"/>
      <w:jc w:val="center"/>
    </w:pPr>
    <w:rPr>
      <w:rFonts w:asciiTheme="majorHAnsi" w:eastAsia="Times New Roman" w:hAnsiTheme="majorHAnsi" w:cs="Times New Roman"/>
      <w:b/>
      <w:sz w:val="40"/>
      <w:szCs w:val="24"/>
      <w:lang w:eastAsia="en-AU"/>
    </w:rPr>
  </w:style>
  <w:style w:type="paragraph" w:customStyle="1" w:styleId="AERtitle2">
    <w:name w:val="AER title 2"/>
    <w:qFormat/>
    <w:rsid w:val="00683C89"/>
    <w:pPr>
      <w:spacing w:before="0" w:after="240" w:line="288" w:lineRule="auto"/>
      <w:jc w:val="center"/>
    </w:pPr>
    <w:rPr>
      <w:rFonts w:asciiTheme="majorHAnsi" w:eastAsia="Times New Roman" w:hAnsiTheme="majorHAnsi" w:cs="Times New Roman"/>
      <w:sz w:val="32"/>
      <w:szCs w:val="24"/>
    </w:rPr>
  </w:style>
  <w:style w:type="character" w:customStyle="1" w:styleId="AERtextblue">
    <w:name w:val="AER text blue"/>
    <w:uiPriority w:val="1"/>
    <w:qFormat/>
    <w:rsid w:val="000E4821"/>
    <w:rPr>
      <w:color w:val="365F91"/>
    </w:rPr>
  </w:style>
  <w:style w:type="table" w:customStyle="1" w:styleId="AERtable-numbers">
    <w:name w:val="AER table - numbers"/>
    <w:basedOn w:val="TableNormal"/>
    <w:uiPriority w:val="99"/>
    <w:rsid w:val="00683C89"/>
    <w:pPr>
      <w:spacing w:before="120" w:after="80"/>
      <w:jc w:val="right"/>
    </w:pPr>
    <w:rPr>
      <w:rFonts w:eastAsia="Calibri" w:cs="Times New Roman"/>
      <w:sz w:val="16"/>
      <w:szCs w:val="20"/>
      <w:lang w:eastAsia="en-AU"/>
    </w:rPr>
    <w:tblPr>
      <w:tblStyleRowBandSize w:val="1"/>
      <w:tblBorders>
        <w:bottom w:val="single" w:sz="4" w:space="0" w:color="365F91"/>
      </w:tblBorders>
    </w:tblPr>
    <w:tcPr>
      <w:vAlign w:val="center"/>
    </w:tcPr>
    <w:tblStylePr w:type="firstRow">
      <w:rPr>
        <w:b/>
        <w:color w:val="FFFFFF"/>
      </w:rPr>
      <w:tblPr/>
      <w:tcPr>
        <w:shd w:val="clear" w:color="auto" w:fill="365F91"/>
      </w:tcPr>
    </w:tblStylePr>
    <w:tblStylePr w:type="firstCol">
      <w:pPr>
        <w:jc w:val="left"/>
      </w:pPr>
    </w:tblStylePr>
    <w:tblStylePr w:type="band2Horz">
      <w:tblPr/>
      <w:tcPr>
        <w:shd w:val="clear" w:color="auto" w:fill="DBE5F1"/>
      </w:tcPr>
    </w:tblStylePr>
  </w:style>
  <w:style w:type="table" w:styleId="TableGrid1">
    <w:name w:val="Table Grid 1"/>
    <w:basedOn w:val="TableNormal"/>
    <w:uiPriority w:val="99"/>
    <w:semiHidden/>
    <w:unhideWhenUsed/>
    <w:rsid w:val="00683C89"/>
    <w:pPr>
      <w:spacing w:before="0"/>
    </w:pPr>
    <w:rPr>
      <w:rFonts w:eastAsia="Calibri"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ERtabletextright">
    <w:name w:val="AER table text right"/>
    <w:basedOn w:val="AERtabletextleft"/>
    <w:qFormat/>
    <w:rsid w:val="000E4821"/>
    <w:pPr>
      <w:spacing w:before="120" w:after="80"/>
      <w:jc w:val="right"/>
    </w:pPr>
  </w:style>
  <w:style w:type="paragraph" w:styleId="CommentText">
    <w:name w:val="annotation text"/>
    <w:basedOn w:val="Normal"/>
    <w:link w:val="CommentTextChar"/>
    <w:uiPriority w:val="99"/>
    <w:unhideWhenUsed/>
    <w:rsid w:val="00683C89"/>
    <w:pPr>
      <w:spacing w:before="0" w:after="240" w:line="240" w:lineRule="auto"/>
      <w:jc w:val="both"/>
    </w:pPr>
    <w:rPr>
      <w:rFonts w:asciiTheme="minorHAnsi" w:eastAsia="Calibri" w:hAnsiTheme="minorHAnsi" w:cs="Times New Roman"/>
      <w:sz w:val="20"/>
      <w:szCs w:val="20"/>
    </w:rPr>
  </w:style>
  <w:style w:type="character" w:customStyle="1" w:styleId="CommentTextChar">
    <w:name w:val="Comment Text Char"/>
    <w:basedOn w:val="DefaultParagraphFont"/>
    <w:link w:val="CommentText"/>
    <w:uiPriority w:val="99"/>
    <w:rsid w:val="00683C89"/>
    <w:rPr>
      <w:rFonts w:eastAsia="Calibri" w:cs="Times New Roman"/>
      <w:sz w:val="20"/>
      <w:szCs w:val="20"/>
    </w:rPr>
  </w:style>
  <w:style w:type="paragraph" w:styleId="CommentSubject">
    <w:name w:val="annotation subject"/>
    <w:basedOn w:val="CommentText"/>
    <w:next w:val="CommentText"/>
    <w:link w:val="CommentSubjectChar"/>
    <w:semiHidden/>
    <w:unhideWhenUsed/>
    <w:rsid w:val="00683C89"/>
    <w:rPr>
      <w:b/>
      <w:bCs/>
    </w:rPr>
  </w:style>
  <w:style w:type="character" w:customStyle="1" w:styleId="CommentSubjectChar">
    <w:name w:val="Comment Subject Char"/>
    <w:basedOn w:val="CommentTextChar"/>
    <w:link w:val="CommentSubject"/>
    <w:uiPriority w:val="99"/>
    <w:semiHidden/>
    <w:rsid w:val="00683C89"/>
    <w:rPr>
      <w:rFonts w:eastAsia="Calibri" w:cs="Times New Roman"/>
      <w:b/>
      <w:bCs/>
      <w:sz w:val="20"/>
      <w:szCs w:val="20"/>
    </w:rPr>
  </w:style>
  <w:style w:type="character" w:customStyle="1" w:styleId="AERtextsize10">
    <w:name w:val="AER text size 10"/>
    <w:uiPriority w:val="1"/>
    <w:qFormat/>
    <w:rsid w:val="000E4821"/>
    <w:rPr>
      <w:sz w:val="20"/>
    </w:rPr>
  </w:style>
  <w:style w:type="paragraph" w:customStyle="1" w:styleId="AERbodytextnospaceleftalign">
    <w:name w:val="AER body text no space left align"/>
    <w:basedOn w:val="AERbodytextnospace"/>
    <w:qFormat/>
    <w:rsid w:val="000E4821"/>
    <w:pPr>
      <w:jc w:val="left"/>
    </w:pPr>
  </w:style>
  <w:style w:type="paragraph" w:customStyle="1" w:styleId="AERbodytextleftalign">
    <w:name w:val="AER body text left align"/>
    <w:basedOn w:val="Normal"/>
    <w:qFormat/>
    <w:rsid w:val="00683C89"/>
    <w:pPr>
      <w:tabs>
        <w:tab w:val="num" w:pos="1492"/>
      </w:tabs>
      <w:spacing w:before="0" w:after="240" w:line="288" w:lineRule="auto"/>
      <w:ind w:left="1492" w:hanging="360"/>
    </w:pPr>
    <w:rPr>
      <w:rFonts w:asciiTheme="minorHAnsi" w:eastAsia="Times New Roman" w:hAnsiTheme="minorHAnsi" w:cs="Times New Roman"/>
      <w:sz w:val="20"/>
      <w:szCs w:val="24"/>
    </w:rPr>
  </w:style>
  <w:style w:type="paragraph" w:customStyle="1" w:styleId="AERbodytextcentre">
    <w:name w:val="AER body text centre"/>
    <w:basedOn w:val="Normal"/>
    <w:qFormat/>
    <w:rsid w:val="00683C89"/>
    <w:pPr>
      <w:tabs>
        <w:tab w:val="num" w:pos="1492"/>
      </w:tabs>
      <w:spacing w:before="0" w:after="240" w:line="288" w:lineRule="auto"/>
      <w:ind w:left="1492" w:hanging="360"/>
      <w:jc w:val="center"/>
    </w:pPr>
    <w:rPr>
      <w:rFonts w:asciiTheme="minorHAnsi" w:eastAsia="Times New Roman" w:hAnsiTheme="minorHAnsi" w:cs="Times New Roman"/>
      <w:sz w:val="20"/>
      <w:szCs w:val="24"/>
    </w:rPr>
  </w:style>
  <w:style w:type="paragraph" w:customStyle="1" w:styleId="AERbodytextnospacecentre">
    <w:name w:val="AER body text no space centre"/>
    <w:basedOn w:val="AERbodytextnospace"/>
    <w:qFormat/>
    <w:rsid w:val="000E4821"/>
    <w:pPr>
      <w:tabs>
        <w:tab w:val="clear" w:pos="0"/>
        <w:tab w:val="num" w:pos="1492"/>
      </w:tabs>
      <w:ind w:left="1492" w:hanging="360"/>
      <w:jc w:val="center"/>
    </w:pPr>
  </w:style>
  <w:style w:type="paragraph" w:styleId="Revision">
    <w:name w:val="Revision"/>
    <w:hidden/>
    <w:uiPriority w:val="99"/>
    <w:semiHidden/>
    <w:rsid w:val="000E4821"/>
    <w:pPr>
      <w:spacing w:before="0"/>
    </w:pPr>
    <w:rPr>
      <w:rFonts w:ascii="Gautami" w:eastAsia="Calibri" w:hAnsi="Gautami" w:cs="Times New Roman"/>
      <w:sz w:val="20"/>
      <w:szCs w:val="20"/>
    </w:rPr>
  </w:style>
  <w:style w:type="table" w:customStyle="1" w:styleId="AERtable-text1">
    <w:name w:val="AER table - text1"/>
    <w:basedOn w:val="TableNormal"/>
    <w:uiPriority w:val="99"/>
    <w:rsid w:val="00683C89"/>
    <w:pPr>
      <w:spacing w:before="120" w:after="80"/>
    </w:pPr>
    <w:rPr>
      <w:rFonts w:eastAsia="Calibri" w:cs="Times New Roman"/>
      <w:sz w:val="16"/>
      <w:szCs w:val="20"/>
      <w:lang w:eastAsia="en-AU"/>
    </w:rPr>
    <w:tblPr>
      <w:tblStyleRowBandSize w:val="1"/>
      <w:tblInd w:w="0" w:type="nil"/>
      <w:tblBorders>
        <w:bottom w:val="single" w:sz="4" w:space="0" w:color="365F91"/>
      </w:tblBorders>
    </w:tblPr>
    <w:tcPr>
      <w:vAlign w:val="center"/>
    </w:tcPr>
    <w:tblStylePr w:type="firstRow">
      <w:rPr>
        <w:b/>
        <w:color w:val="FFFFFF"/>
      </w:rPr>
      <w:tblPr/>
      <w:tcPr>
        <w:shd w:val="clear" w:color="auto" w:fill="365F91"/>
      </w:tcPr>
    </w:tblStylePr>
    <w:tblStylePr w:type="band2Horz">
      <w:tblPr/>
      <w:tcPr>
        <w:shd w:val="clear" w:color="auto" w:fill="DBE5F1"/>
      </w:tcPr>
    </w:tblStylePr>
  </w:style>
  <w:style w:type="paragraph" w:styleId="NormalWeb">
    <w:name w:val="Normal (Web)"/>
    <w:basedOn w:val="Normal"/>
    <w:uiPriority w:val="99"/>
    <w:semiHidden/>
    <w:unhideWhenUsed/>
    <w:rsid w:val="00FC71DC"/>
    <w:pPr>
      <w:spacing w:before="0" w:after="240" w:line="288" w:lineRule="auto"/>
      <w:jc w:val="both"/>
    </w:pPr>
    <w:rPr>
      <w:rFonts w:ascii="Times New Roman" w:eastAsia="Calibri" w:hAnsi="Times New Roman" w:cs="Times New Roman"/>
      <w:sz w:val="24"/>
      <w:szCs w:val="24"/>
    </w:rPr>
  </w:style>
  <w:style w:type="paragraph" w:styleId="BodyText">
    <w:name w:val="Body Text"/>
    <w:basedOn w:val="Normal"/>
    <w:link w:val="BodyTextChar"/>
    <w:rsid w:val="00DE772C"/>
    <w:pPr>
      <w:shd w:val="pct10" w:color="auto" w:fill="auto"/>
      <w:spacing w:before="0" w:after="120" w:line="-240" w:lineRule="auto"/>
      <w:ind w:right="18"/>
    </w:pPr>
    <w:rPr>
      <w:rFonts w:ascii="Times New Roman" w:eastAsia="Times New Roman" w:hAnsi="Times New Roman" w:cs="Times New Roman"/>
      <w:sz w:val="20"/>
      <w:szCs w:val="20"/>
      <w:lang w:val="en-US" w:eastAsia="en-AU"/>
    </w:rPr>
  </w:style>
  <w:style w:type="character" w:customStyle="1" w:styleId="BodyTextChar">
    <w:name w:val="Body Text Char"/>
    <w:basedOn w:val="DefaultParagraphFont"/>
    <w:link w:val="BodyText"/>
    <w:rsid w:val="00DE772C"/>
    <w:rPr>
      <w:rFonts w:ascii="Times New Roman" w:eastAsia="Times New Roman" w:hAnsi="Times New Roman" w:cs="Times New Roman"/>
      <w:sz w:val="20"/>
      <w:szCs w:val="20"/>
      <w:shd w:val="pct10" w:color="auto" w:fill="auto"/>
      <w:lang w:val="en-US" w:eastAsia="en-AU"/>
    </w:rPr>
  </w:style>
  <w:style w:type="paragraph" w:styleId="BodyTextIndent3">
    <w:name w:val="Body Text Indent 3"/>
    <w:basedOn w:val="Normal"/>
    <w:link w:val="BodyTextIndent3Char"/>
    <w:rsid w:val="00DE772C"/>
    <w:pPr>
      <w:tabs>
        <w:tab w:val="num" w:pos="284"/>
        <w:tab w:val="left" w:pos="1418"/>
      </w:tabs>
      <w:spacing w:before="0" w:line="240" w:lineRule="auto"/>
      <w:ind w:left="426"/>
    </w:pPr>
    <w:rPr>
      <w:rFonts w:ascii="Arial Narrow" w:eastAsia="Times New Roman" w:hAnsi="Arial Narrow" w:cs="Times New Roman"/>
      <w:sz w:val="24"/>
      <w:szCs w:val="20"/>
      <w:lang w:val="en-US" w:eastAsia="en-AU"/>
    </w:rPr>
  </w:style>
  <w:style w:type="character" w:customStyle="1" w:styleId="BodyTextIndent3Char">
    <w:name w:val="Body Text Indent 3 Char"/>
    <w:basedOn w:val="DefaultParagraphFont"/>
    <w:link w:val="BodyTextIndent3"/>
    <w:rsid w:val="00DE772C"/>
    <w:rPr>
      <w:rFonts w:ascii="Arial Narrow" w:eastAsia="Times New Roman" w:hAnsi="Arial Narrow" w:cs="Times New Roman"/>
      <w:sz w:val="24"/>
      <w:szCs w:val="20"/>
      <w:lang w:val="en-US"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049489">
      <w:bodyDiv w:val="1"/>
      <w:marLeft w:val="0"/>
      <w:marRight w:val="0"/>
      <w:marTop w:val="0"/>
      <w:marBottom w:val="0"/>
      <w:divBdr>
        <w:top w:val="none" w:sz="0" w:space="0" w:color="auto"/>
        <w:left w:val="none" w:sz="0" w:space="0" w:color="auto"/>
        <w:bottom w:val="none" w:sz="0" w:space="0" w:color="auto"/>
        <w:right w:val="none" w:sz="0" w:space="0" w:color="auto"/>
      </w:divBdr>
    </w:div>
    <w:div w:id="552425704">
      <w:bodyDiv w:val="1"/>
      <w:marLeft w:val="0"/>
      <w:marRight w:val="0"/>
      <w:marTop w:val="0"/>
      <w:marBottom w:val="0"/>
      <w:divBdr>
        <w:top w:val="none" w:sz="0" w:space="0" w:color="auto"/>
        <w:left w:val="none" w:sz="0" w:space="0" w:color="auto"/>
        <w:bottom w:val="none" w:sz="0" w:space="0" w:color="auto"/>
        <w:right w:val="none" w:sz="0" w:space="0" w:color="auto"/>
      </w:divBdr>
    </w:div>
    <w:div w:id="635840213">
      <w:bodyDiv w:val="1"/>
      <w:marLeft w:val="0"/>
      <w:marRight w:val="0"/>
      <w:marTop w:val="0"/>
      <w:marBottom w:val="0"/>
      <w:divBdr>
        <w:top w:val="none" w:sz="0" w:space="0" w:color="auto"/>
        <w:left w:val="none" w:sz="0" w:space="0" w:color="auto"/>
        <w:bottom w:val="none" w:sz="0" w:space="0" w:color="auto"/>
        <w:right w:val="none" w:sz="0" w:space="0" w:color="auto"/>
      </w:divBdr>
    </w:div>
    <w:div w:id="721515850">
      <w:bodyDiv w:val="1"/>
      <w:marLeft w:val="0"/>
      <w:marRight w:val="0"/>
      <w:marTop w:val="0"/>
      <w:marBottom w:val="0"/>
      <w:divBdr>
        <w:top w:val="none" w:sz="0" w:space="0" w:color="auto"/>
        <w:left w:val="none" w:sz="0" w:space="0" w:color="auto"/>
        <w:bottom w:val="none" w:sz="0" w:space="0" w:color="auto"/>
        <w:right w:val="none" w:sz="0" w:space="0" w:color="auto"/>
      </w:divBdr>
    </w:div>
    <w:div w:id="104583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ERInquiry@aer.gov.au" TargetMode="External"/><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AER">
  <a:themeElements>
    <a:clrScheme name="AER Colour theme">
      <a:dk1>
        <a:srgbClr val="076A92"/>
      </a:dk1>
      <a:lt1>
        <a:sysClr val="window" lastClr="FFFFFF"/>
      </a:lt1>
      <a:dk2>
        <a:srgbClr val="70635A"/>
      </a:dk2>
      <a:lt2>
        <a:srgbClr val="FFFFFF"/>
      </a:lt2>
      <a:accent1>
        <a:srgbClr val="2F002F"/>
      </a:accent1>
      <a:accent2>
        <a:srgbClr val="C14E00"/>
      </a:accent2>
      <a:accent3>
        <a:srgbClr val="002060"/>
      </a:accent3>
      <a:accent4>
        <a:srgbClr val="C00000"/>
      </a:accent4>
      <a:accent5>
        <a:srgbClr val="000000"/>
      </a:accent5>
      <a:accent6>
        <a:srgbClr val="70303C"/>
      </a:accent6>
      <a:hlink>
        <a:srgbClr val="0000FF"/>
      </a:hlink>
      <a:folHlink>
        <a:srgbClr val="800080"/>
      </a:folHlink>
    </a:clrScheme>
    <a:fontScheme name="Custom 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831C73C-3050-440A-98E1-59BB3D88E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8653</Words>
  <Characters>49328</Characters>
  <Application>Microsoft Office Word</Application>
  <DocSecurity>4</DocSecurity>
  <Lines>411</Lines>
  <Paragraphs>115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57866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2017-01-01T21:42:00Z</dcterms:created>
  <dcterms:modified xsi:type="dcterms:W3CDTF">2017-01-01T21:42:00Z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URI">
    <vt:lpwstr>8432084</vt:lpwstr>
  </property>
</Properties>
</file>