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eastAsiaTheme="majorEastAsia" w:cstheme="majorBidi"/>
          <w:noProof/>
          <w:sz w:val="36"/>
          <w:szCs w:val="36"/>
          <w:lang w:eastAsia="en-AU"/>
        </w:rPr>
        <w:id w:val="1021519724"/>
        <w:docPartObj>
          <w:docPartGallery w:val="Cover Pages"/>
          <w:docPartUnique/>
        </w:docPartObj>
      </w:sdtPr>
      <w:sdtEndPr/>
      <w:sdtContent>
        <w:p w:rsidR="000A6C7B" w:rsidRPr="00290C63" w:rsidRDefault="000A6C7B" w:rsidP="00290C63">
          <w:r w:rsidRPr="00290C63">
            <w:rPr>
              <w:noProof/>
              <w:lang w:eastAsia="en-AU"/>
            </w:rPr>
            <w:drawing>
              <wp:anchor distT="0" distB="0" distL="114300" distR="114300" simplePos="0" relativeHeight="251659264" behindDoc="1" locked="0" layoutInCell="1" allowOverlap="1" wp14:anchorId="5AA33F36" wp14:editId="43BCEE3B">
                <wp:simplePos x="0" y="0"/>
                <wp:positionH relativeFrom="column">
                  <wp:posOffset>-1104900</wp:posOffset>
                </wp:positionH>
                <wp:positionV relativeFrom="paragraph">
                  <wp:posOffset>-927735</wp:posOffset>
                </wp:positionV>
                <wp:extent cx="7591425" cy="10728960"/>
                <wp:effectExtent l="0" t="0" r="9525" b="0"/>
                <wp:wrapNone/>
                <wp:docPr id="2" name="Picture 2" descr="Australian Energy Regulator Report 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ER report front cover_D0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91425" cy="10728960"/>
                        </a:xfrm>
                        <a:prstGeom prst="rect">
                          <a:avLst/>
                        </a:prstGeom>
                        <a:noFill/>
                      </pic:spPr>
                    </pic:pic>
                  </a:graphicData>
                </a:graphic>
                <wp14:sizeRelH relativeFrom="page">
                  <wp14:pctWidth>0</wp14:pctWidth>
                </wp14:sizeRelH>
                <wp14:sizeRelV relativeFrom="page">
                  <wp14:pctHeight>0</wp14:pctHeight>
                </wp14:sizeRelV>
              </wp:anchor>
            </w:drawing>
          </w:r>
        </w:p>
        <w:p w:rsidR="00F171E0" w:rsidRDefault="00F171E0" w:rsidP="00F171E0"/>
        <w:p w:rsidR="00F171E0" w:rsidRDefault="00F171E0" w:rsidP="00F171E0"/>
        <w:p w:rsidR="00F171E0" w:rsidRDefault="00F171E0" w:rsidP="00F171E0"/>
        <w:p w:rsidR="00F171E0" w:rsidRDefault="00F171E0" w:rsidP="00F171E0"/>
        <w:p w:rsidR="00F171E0" w:rsidRDefault="00F171E0" w:rsidP="00F171E0"/>
        <w:p w:rsidR="00F11395" w:rsidRDefault="00F11395" w:rsidP="00F171E0"/>
        <w:p w:rsidR="00F171E0" w:rsidRDefault="00F171E0" w:rsidP="00F171E0"/>
        <w:p w:rsidR="00327A1E" w:rsidRDefault="001754EE" w:rsidP="001754EE">
          <w:pPr>
            <w:pStyle w:val="ReportSubtitle"/>
            <w:tabs>
              <w:tab w:val="left" w:pos="1122"/>
              <w:tab w:val="center" w:pos="4238"/>
            </w:tabs>
            <w:jc w:val="left"/>
          </w:pPr>
          <w:r>
            <w:tab/>
          </w:r>
          <w:r>
            <w:tab/>
          </w:r>
          <w:r w:rsidR="00CF2C05">
            <w:t>DRAFT</w:t>
          </w:r>
          <w:r w:rsidR="00DA4752">
            <w:t xml:space="preserve"> DECISION</w:t>
          </w:r>
        </w:p>
        <w:p w:rsidR="00415F31" w:rsidRDefault="000D64F2" w:rsidP="008F07A3">
          <w:pPr>
            <w:pStyle w:val="ReportSubtitle"/>
          </w:pPr>
          <w:r>
            <w:t>Amadeus</w:t>
          </w:r>
          <w:r w:rsidR="00A06085">
            <w:t xml:space="preserve"> </w:t>
          </w:r>
          <w:r w:rsidR="0092379F">
            <w:t>Gas Pipeline</w:t>
          </w:r>
          <w:r w:rsidR="00CF2C05">
            <w:br/>
            <w:t>Acc</w:t>
          </w:r>
          <w:bookmarkStart w:id="0" w:name="_GoBack"/>
          <w:bookmarkEnd w:id="0"/>
          <w:r w:rsidR="00CF2C05">
            <w:t>ess Arrangement</w:t>
          </w:r>
        </w:p>
        <w:p w:rsidR="000A6C7B" w:rsidRDefault="005C0A7F" w:rsidP="008F07A3">
          <w:pPr>
            <w:pStyle w:val="ReportSubtitle"/>
          </w:pPr>
          <w:r>
            <w:t>20</w:t>
          </w:r>
          <w:r w:rsidR="00DA4752">
            <w:t xml:space="preserve">16 to </w:t>
          </w:r>
          <w:r w:rsidR="00A06085">
            <w:t>2021</w:t>
          </w:r>
        </w:p>
        <w:p w:rsidR="008F07A3" w:rsidRPr="000A6C7B" w:rsidRDefault="008F07A3" w:rsidP="008F07A3">
          <w:pPr>
            <w:pStyle w:val="ReportSubtitle"/>
          </w:pPr>
        </w:p>
        <w:p w:rsidR="000A6C7B" w:rsidRPr="000A6C7B" w:rsidRDefault="0070011E" w:rsidP="008F07A3">
          <w:pPr>
            <w:pStyle w:val="ReportSubtitle"/>
          </w:pPr>
          <w:r>
            <w:t xml:space="preserve">Attachment </w:t>
          </w:r>
          <w:r w:rsidR="00060D7C">
            <w:t>6</w:t>
          </w:r>
          <w:r w:rsidR="00DA4752">
            <w:t xml:space="preserve"> </w:t>
          </w:r>
          <w:r w:rsidR="00415F31">
            <w:rPr>
              <w:rFonts w:cs="Arial"/>
            </w:rPr>
            <w:t>–</w:t>
          </w:r>
          <w:r w:rsidR="00DA4752">
            <w:t xml:space="preserve"> </w:t>
          </w:r>
          <w:r w:rsidR="00060D7C">
            <w:t>Capital</w:t>
          </w:r>
          <w:r w:rsidR="009A2EC3">
            <w:t xml:space="preserve"> expenditure</w:t>
          </w:r>
        </w:p>
        <w:p w:rsidR="000A6C7B" w:rsidRPr="00327A1E" w:rsidRDefault="00A06085" w:rsidP="00327A1E">
          <w:pPr>
            <w:pStyle w:val="ReportDate"/>
          </w:pPr>
          <w:r>
            <w:t>November</w:t>
          </w:r>
          <w:r w:rsidR="005C0A7F">
            <w:t xml:space="preserve"> </w:t>
          </w:r>
          <w:r w:rsidR="00DA4752">
            <w:t>2015</w:t>
          </w:r>
        </w:p>
      </w:sdtContent>
    </w:sdt>
    <w:p w:rsidR="00327A1E" w:rsidRPr="00290C63" w:rsidRDefault="00327A1E" w:rsidP="00290C63">
      <w:r>
        <w:br w:type="page"/>
      </w:r>
    </w:p>
    <w:p w:rsidR="000A6C7B" w:rsidRDefault="008F07A3" w:rsidP="00961A4A">
      <w:pPr>
        <w:pStyle w:val="Copyright"/>
      </w:pPr>
      <w:r>
        <w:lastRenderedPageBreak/>
        <w:t>© Commonwealth of Australia 2015</w:t>
      </w:r>
    </w:p>
    <w:p w:rsidR="000A6C7B" w:rsidRDefault="000A6C7B" w:rsidP="000A6C7B">
      <w:pPr>
        <w:pStyle w:val="Copyright"/>
      </w:pPr>
      <w:r>
        <w:t>This work is copyright. In addition to any use permitted under the Copyright Act 1968, all material contained within this work is provided under a Creative Commons Attributions 3.0 Australia licence, with the exception of:</w:t>
      </w:r>
    </w:p>
    <w:p w:rsidR="000A6C7B" w:rsidRPr="00983C25" w:rsidRDefault="000A6C7B" w:rsidP="00983C25">
      <w:pPr>
        <w:pStyle w:val="AERbulletlistfirststyle"/>
        <w:rPr>
          <w:sz w:val="20"/>
          <w:szCs w:val="20"/>
        </w:rPr>
      </w:pPr>
      <w:r>
        <w:t xml:space="preserve">the </w:t>
      </w:r>
      <w:r w:rsidRPr="00983C25">
        <w:rPr>
          <w:sz w:val="20"/>
          <w:szCs w:val="20"/>
        </w:rPr>
        <w:t>Commonwealth Coat of Arms</w:t>
      </w:r>
    </w:p>
    <w:p w:rsidR="000A6C7B" w:rsidRPr="00983C25" w:rsidRDefault="000A6C7B" w:rsidP="00983C25">
      <w:pPr>
        <w:pStyle w:val="AERbulletlistfirststyle"/>
        <w:rPr>
          <w:sz w:val="20"/>
          <w:szCs w:val="20"/>
        </w:rPr>
      </w:pPr>
      <w:r w:rsidRPr="00983C25">
        <w:rPr>
          <w:sz w:val="20"/>
          <w:szCs w:val="20"/>
        </w:rPr>
        <w:t>the ACCC and AER logos</w:t>
      </w:r>
    </w:p>
    <w:p w:rsidR="000A6C7B" w:rsidRPr="00983C25" w:rsidRDefault="000A6C7B" w:rsidP="00983C25">
      <w:pPr>
        <w:pStyle w:val="AERbulletlistfirststyle"/>
        <w:rPr>
          <w:sz w:val="20"/>
        </w:rPr>
      </w:pPr>
      <w:r w:rsidRPr="00983C25">
        <w:rPr>
          <w:sz w:val="20"/>
        </w:rPr>
        <w:t>any illustration, diagram, photograph or graphic over which the Australian Competition and Consumer Commission does not hold copyright, but which may be part of or contained within this publication. The details of the relevant licence conditions are available on the Creative Commons website, as is the full legal code for the CC BY 3.0 AU licence.</w:t>
      </w:r>
    </w:p>
    <w:p w:rsidR="009D3906" w:rsidRDefault="000A6C7B" w:rsidP="000A6C7B">
      <w:pPr>
        <w:pStyle w:val="Copyright"/>
      </w:pPr>
      <w:r>
        <w:t>Requests and inquiries concerning reproduction and rights should be addressed to the</w:t>
      </w:r>
      <w:r w:rsidR="009D3906">
        <w:t>:</w:t>
      </w:r>
    </w:p>
    <w:p w:rsidR="009D3906" w:rsidRDefault="000A6C7B" w:rsidP="000A6C7B">
      <w:pPr>
        <w:pStyle w:val="Copyright"/>
      </w:pPr>
      <w:r>
        <w:t>Dir</w:t>
      </w:r>
      <w:r w:rsidR="009D3906">
        <w:t>ector, Corporate Communications</w:t>
      </w:r>
      <w:r w:rsidR="00983C25">
        <w:br/>
      </w:r>
      <w:r>
        <w:t>Australian Comp</w:t>
      </w:r>
      <w:r w:rsidR="009D3906">
        <w:t>etition and Consumer Commission</w:t>
      </w:r>
      <w:r>
        <w:t xml:space="preserve"> </w:t>
      </w:r>
      <w:r w:rsidR="00983C25">
        <w:br/>
      </w:r>
      <w:r>
        <w:t>GPO Box 4141, Canberra ACT 2601</w:t>
      </w:r>
    </w:p>
    <w:p w:rsidR="000A6C7B" w:rsidRDefault="000A6C7B" w:rsidP="000A6C7B">
      <w:pPr>
        <w:pStyle w:val="Copyright"/>
      </w:pPr>
      <w:r>
        <w:t>or publishing.unit@accc.gov.au.</w:t>
      </w:r>
    </w:p>
    <w:p w:rsidR="00951978" w:rsidRDefault="000A6C7B" w:rsidP="00961A4A">
      <w:pPr>
        <w:pStyle w:val="Copyright"/>
      </w:pPr>
      <w:r>
        <w:t>Inquiries about this publication should be addressed to:</w:t>
      </w:r>
    </w:p>
    <w:p w:rsidR="000A6C7B" w:rsidRDefault="000A6C7B" w:rsidP="000A6C7B">
      <w:pPr>
        <w:pStyle w:val="Copyright"/>
      </w:pPr>
      <w:r>
        <w:t xml:space="preserve">Australian Energy </w:t>
      </w:r>
      <w:r w:rsidRPr="00F171E0">
        <w:t>Regulator</w:t>
      </w:r>
      <w:r w:rsidR="00951978">
        <w:br/>
      </w:r>
      <w:r>
        <w:t>GPO Box 520</w:t>
      </w:r>
      <w:r w:rsidR="00951978">
        <w:br/>
      </w:r>
      <w:r>
        <w:t>Melbourne  Vic  3001</w:t>
      </w:r>
    </w:p>
    <w:p w:rsidR="000A6C7B" w:rsidRDefault="000A6C7B" w:rsidP="00961A4A">
      <w:pPr>
        <w:pStyle w:val="Copyright"/>
      </w:pPr>
      <w:r>
        <w:t>Tel: (03) 9290 1444</w:t>
      </w:r>
      <w:r w:rsidR="00951978">
        <w:br/>
      </w:r>
      <w:r>
        <w:t>Fax: (03) 9290 1457</w:t>
      </w:r>
    </w:p>
    <w:p w:rsidR="00B9562D" w:rsidRDefault="000A6C7B" w:rsidP="00B9562D">
      <w:pPr>
        <w:pStyle w:val="Copyright"/>
      </w:pPr>
      <w:r>
        <w:t xml:space="preserve">Email: </w:t>
      </w:r>
      <w:hyperlink r:id="rId11" w:history="1">
        <w:r w:rsidRPr="00D64888">
          <w:rPr>
            <w:rStyle w:val="Hyperlink"/>
          </w:rPr>
          <w:t>AERInquiry@aer.gov.au</w:t>
        </w:r>
      </w:hyperlink>
      <w:r w:rsidR="00951978">
        <w:rPr>
          <w:rStyle w:val="Hyperlink"/>
        </w:rPr>
        <w:br/>
      </w:r>
    </w:p>
    <w:p w:rsidR="009001B6" w:rsidRDefault="009001B6">
      <w:pPr>
        <w:spacing w:line="240" w:lineRule="auto"/>
      </w:pPr>
      <w:bookmarkStart w:id="1" w:name="_Toc404354899"/>
      <w:bookmarkStart w:id="2" w:name="_Toc404353070"/>
      <w:bookmarkStart w:id="3" w:name="_Toc404684201"/>
      <w:bookmarkStart w:id="4" w:name="_Toc404700923"/>
      <w:r>
        <w:br w:type="page"/>
      </w:r>
    </w:p>
    <w:p w:rsidR="008F07A3" w:rsidRDefault="00DA61F3" w:rsidP="00DE772C">
      <w:pPr>
        <w:pStyle w:val="UnnumberedHeading"/>
        <w:numPr>
          <w:ilvl w:val="0"/>
          <w:numId w:val="23"/>
        </w:numPr>
      </w:pPr>
      <w:bookmarkStart w:id="5" w:name="_Toc436042742"/>
      <w:r>
        <w:lastRenderedPageBreak/>
        <w:t>N</w:t>
      </w:r>
      <w:r w:rsidR="008F07A3">
        <w:t>ote</w:t>
      </w:r>
      <w:bookmarkEnd w:id="1"/>
      <w:bookmarkEnd w:id="2"/>
      <w:bookmarkEnd w:id="3"/>
      <w:bookmarkEnd w:id="4"/>
      <w:bookmarkEnd w:id="5"/>
    </w:p>
    <w:p w:rsidR="00415F31" w:rsidRDefault="00415F31" w:rsidP="00DE772C">
      <w:pPr>
        <w:numPr>
          <w:ilvl w:val="0"/>
          <w:numId w:val="24"/>
        </w:numPr>
        <w:spacing w:before="0" w:after="240" w:line="288" w:lineRule="auto"/>
        <w:jc w:val="both"/>
      </w:pPr>
    </w:p>
    <w:p w:rsidR="00415F31" w:rsidRDefault="008F07A3" w:rsidP="00DE772C">
      <w:pPr>
        <w:numPr>
          <w:ilvl w:val="0"/>
          <w:numId w:val="24"/>
        </w:numPr>
        <w:spacing w:before="0" w:after="240" w:line="288" w:lineRule="auto"/>
        <w:jc w:val="both"/>
      </w:pPr>
      <w:r>
        <w:t xml:space="preserve">This </w:t>
      </w:r>
      <w:r w:rsidR="00415F31">
        <w:t xml:space="preserve">attachment forms part of the AER's </w:t>
      </w:r>
      <w:r w:rsidR="00CF2C05">
        <w:t>draft</w:t>
      </w:r>
      <w:r w:rsidR="00415F31">
        <w:t xml:space="preserve"> decision on </w:t>
      </w:r>
      <w:r w:rsidR="0092379F">
        <w:t xml:space="preserve">the </w:t>
      </w:r>
      <w:r w:rsidR="00CF2C05">
        <w:t>access</w:t>
      </w:r>
      <w:r w:rsidR="00415F31">
        <w:t xml:space="preserve"> </w:t>
      </w:r>
      <w:r w:rsidR="00CF2C05">
        <w:t>arrangement for</w:t>
      </w:r>
      <w:r w:rsidR="00415F31">
        <w:t xml:space="preserve"> </w:t>
      </w:r>
      <w:r w:rsidR="0092379F">
        <w:t xml:space="preserve">the Amadeus Gas Pipeline for </w:t>
      </w:r>
      <w:r w:rsidR="00415F31">
        <w:t>201</w:t>
      </w:r>
      <w:r w:rsidR="005C0A7F">
        <w:t>6</w:t>
      </w:r>
      <w:r w:rsidR="00415F31" w:rsidRPr="00D904FA">
        <w:t>–</w:t>
      </w:r>
      <w:r w:rsidR="00103A67">
        <w:t>21</w:t>
      </w:r>
      <w:r w:rsidR="00415F31">
        <w:t xml:space="preserve">. It should be read with </w:t>
      </w:r>
      <w:r w:rsidR="005C0A7F">
        <w:t xml:space="preserve">all </w:t>
      </w:r>
      <w:r w:rsidR="00415F31">
        <w:t xml:space="preserve">other parts of the </w:t>
      </w:r>
      <w:r w:rsidR="00CF2C05">
        <w:t>draft</w:t>
      </w:r>
      <w:r w:rsidR="005C0A7F">
        <w:t xml:space="preserve"> </w:t>
      </w:r>
      <w:r w:rsidR="00415F31">
        <w:t>decision.</w:t>
      </w:r>
    </w:p>
    <w:p w:rsidR="00415F31" w:rsidRDefault="00415F31" w:rsidP="00DE772C">
      <w:pPr>
        <w:numPr>
          <w:ilvl w:val="0"/>
          <w:numId w:val="24"/>
        </w:numPr>
        <w:spacing w:before="0" w:after="240" w:line="288" w:lineRule="auto"/>
        <w:jc w:val="both"/>
      </w:pPr>
      <w:r>
        <w:t xml:space="preserve">The </w:t>
      </w:r>
      <w:r w:rsidR="00CF2C05">
        <w:t>draft</w:t>
      </w:r>
      <w:r w:rsidR="005C0A7F">
        <w:t xml:space="preserve"> </w:t>
      </w:r>
      <w:r>
        <w:t>decision includes the following documents:</w:t>
      </w:r>
    </w:p>
    <w:p w:rsidR="00415F31" w:rsidRDefault="00415F31" w:rsidP="00DE772C">
      <w:pPr>
        <w:numPr>
          <w:ilvl w:val="0"/>
          <w:numId w:val="24"/>
        </w:numPr>
        <w:spacing w:before="0" w:after="240" w:line="288" w:lineRule="auto"/>
        <w:jc w:val="both"/>
      </w:pPr>
      <w:r>
        <w:t>Overview</w:t>
      </w:r>
    </w:p>
    <w:p w:rsidR="0070011E" w:rsidRDefault="0070011E" w:rsidP="0070011E">
      <w:r>
        <w:t xml:space="preserve">Attachment 1 - </w:t>
      </w:r>
      <w:r w:rsidR="00EE77FA">
        <w:t>Services covered by the access arrangement</w:t>
      </w:r>
    </w:p>
    <w:p w:rsidR="0070011E" w:rsidRDefault="0070011E" w:rsidP="0070011E">
      <w:r>
        <w:t xml:space="preserve">Attachment 2 - </w:t>
      </w:r>
      <w:r w:rsidR="00EE77FA">
        <w:t>Capital base</w:t>
      </w:r>
    </w:p>
    <w:p w:rsidR="0070011E" w:rsidRDefault="0070011E" w:rsidP="0070011E">
      <w:r>
        <w:t xml:space="preserve">Attachment 3 - </w:t>
      </w:r>
      <w:r w:rsidR="00EE77FA">
        <w:t>R</w:t>
      </w:r>
      <w:r>
        <w:t>ate of return</w:t>
      </w:r>
    </w:p>
    <w:p w:rsidR="0070011E" w:rsidRDefault="0070011E" w:rsidP="0070011E">
      <w:r>
        <w:t>Attachment 4 - Value of imputation credits</w:t>
      </w:r>
    </w:p>
    <w:p w:rsidR="0070011E" w:rsidRDefault="0070011E" w:rsidP="0070011E">
      <w:r>
        <w:t>Attachment 5 - Regulatory depreciation</w:t>
      </w:r>
    </w:p>
    <w:p w:rsidR="0070011E" w:rsidRDefault="0070011E" w:rsidP="0070011E">
      <w:r>
        <w:t xml:space="preserve">Attachment 6 - Capital expenditure </w:t>
      </w:r>
    </w:p>
    <w:p w:rsidR="0070011E" w:rsidRDefault="0070011E" w:rsidP="0070011E">
      <w:r>
        <w:t>Attachment 7 - Operating expenditure</w:t>
      </w:r>
    </w:p>
    <w:p w:rsidR="0070011E" w:rsidRDefault="0070011E" w:rsidP="0070011E">
      <w:r>
        <w:t>Attachment 8 - Corporate income tax</w:t>
      </w:r>
    </w:p>
    <w:p w:rsidR="0070011E" w:rsidRDefault="0070011E" w:rsidP="0070011E">
      <w:r>
        <w:t xml:space="preserve">Attachment 9 - Efficiency </w:t>
      </w:r>
      <w:r w:rsidR="00EE77FA">
        <w:t>carryover mechanism</w:t>
      </w:r>
    </w:p>
    <w:p w:rsidR="0070011E" w:rsidRDefault="0070011E" w:rsidP="0070011E">
      <w:r>
        <w:t xml:space="preserve">Attachment 10 - </w:t>
      </w:r>
      <w:r w:rsidR="00EE77FA">
        <w:t>Reference tariff setting</w:t>
      </w:r>
    </w:p>
    <w:p w:rsidR="0070011E" w:rsidRDefault="0070011E" w:rsidP="0070011E">
      <w:r>
        <w:t xml:space="preserve">Attachment 11 - </w:t>
      </w:r>
      <w:r w:rsidR="00EE77FA">
        <w:t>Reference tariff variation mechanism</w:t>
      </w:r>
    </w:p>
    <w:p w:rsidR="0070011E" w:rsidRDefault="0070011E" w:rsidP="0070011E">
      <w:r>
        <w:t xml:space="preserve">Attachment 12 - </w:t>
      </w:r>
      <w:r w:rsidR="00EE77FA">
        <w:t>Non-tariff components</w:t>
      </w:r>
    </w:p>
    <w:p w:rsidR="0070011E" w:rsidRDefault="0070011E" w:rsidP="0070011E">
      <w:r>
        <w:t xml:space="preserve">Attachment 13 - </w:t>
      </w:r>
      <w:r w:rsidR="00EE77FA">
        <w:t>Demand</w:t>
      </w:r>
    </w:p>
    <w:p w:rsidR="00DE563D" w:rsidRPr="00A72B34" w:rsidRDefault="00DE563D" w:rsidP="00DE772C">
      <w:pPr>
        <w:pStyle w:val="UnnumberedHeading"/>
        <w:numPr>
          <w:ilvl w:val="0"/>
          <w:numId w:val="23"/>
        </w:numPr>
      </w:pPr>
      <w:bookmarkStart w:id="6" w:name="_Toc403144133"/>
      <w:bookmarkStart w:id="7" w:name="_Toc436042743"/>
      <w:r>
        <w:lastRenderedPageBreak/>
        <w:t>Contents</w:t>
      </w:r>
      <w:bookmarkEnd w:id="6"/>
      <w:bookmarkEnd w:id="7"/>
    </w:p>
    <w:p w:rsidR="005D7BA2" w:rsidRDefault="005D7BA2">
      <w:pPr>
        <w:spacing w:line="240" w:lineRule="auto"/>
      </w:pPr>
    </w:p>
    <w:sdt>
      <w:sdtPr>
        <w:rPr>
          <w:b w:val="0"/>
          <w:noProof w:val="0"/>
          <w:color w:val="auto"/>
          <w:sz w:val="22"/>
          <w:lang w:val="en-AU" w:eastAsia="en-US"/>
        </w:rPr>
        <w:id w:val="1269200322"/>
        <w:docPartObj>
          <w:docPartGallery w:val="Table of Contents"/>
          <w:docPartUnique/>
        </w:docPartObj>
      </w:sdtPr>
      <w:sdtEndPr>
        <w:rPr>
          <w:b/>
          <w:noProof/>
          <w:color w:val="70635A" w:themeColor="text2"/>
          <w:sz w:val="24"/>
          <w:lang w:val="en-US" w:eastAsia="ja-JP"/>
        </w:rPr>
      </w:sdtEndPr>
      <w:sdtContent>
        <w:p w:rsidR="00487261" w:rsidRDefault="003D1B28">
          <w:pPr>
            <w:pStyle w:val="TOC1"/>
            <w:rPr>
              <w:rFonts w:asciiTheme="minorHAnsi" w:eastAsiaTheme="minorEastAsia" w:hAnsiTheme="minorHAnsi"/>
              <w:b w:val="0"/>
              <w:color w:val="auto"/>
              <w:sz w:val="22"/>
              <w:lang w:val="en-AU" w:eastAsia="en-AU"/>
            </w:rPr>
          </w:pPr>
          <w:r>
            <w:rPr>
              <w:color w:val="auto"/>
              <w:sz w:val="22"/>
            </w:rPr>
            <w:fldChar w:fldCharType="begin"/>
          </w:r>
          <w:r>
            <w:rPr>
              <w:color w:val="auto"/>
              <w:sz w:val="22"/>
            </w:rPr>
            <w:instrText xml:space="preserve"> TOC \o "1-2" \h \z \t "Heading 3,3,Heading 7,1,Heading 8,2,Heading 9,3" </w:instrText>
          </w:r>
          <w:r>
            <w:rPr>
              <w:color w:val="auto"/>
              <w:sz w:val="22"/>
            </w:rPr>
            <w:fldChar w:fldCharType="separate"/>
          </w:r>
          <w:hyperlink w:anchor="_Toc436042742" w:history="1">
            <w:r w:rsidR="00487261" w:rsidRPr="00F70800">
              <w:rPr>
                <w:rStyle w:val="Hyperlink"/>
              </w:rPr>
              <w:t>Note</w:t>
            </w:r>
            <w:r w:rsidR="00487261">
              <w:rPr>
                <w:webHidden/>
              </w:rPr>
              <w:tab/>
            </w:r>
            <w:r w:rsidR="00487261">
              <w:rPr>
                <w:webHidden/>
              </w:rPr>
              <w:fldChar w:fldCharType="begin"/>
            </w:r>
            <w:r w:rsidR="00487261">
              <w:rPr>
                <w:webHidden/>
              </w:rPr>
              <w:instrText xml:space="preserve"> PAGEREF _Toc436042742 \h </w:instrText>
            </w:r>
            <w:r w:rsidR="00487261">
              <w:rPr>
                <w:webHidden/>
              </w:rPr>
            </w:r>
            <w:r w:rsidR="00487261">
              <w:rPr>
                <w:webHidden/>
              </w:rPr>
              <w:fldChar w:fldCharType="separate"/>
            </w:r>
            <w:r w:rsidR="00487261">
              <w:rPr>
                <w:webHidden/>
              </w:rPr>
              <w:t>6-2</w:t>
            </w:r>
            <w:r w:rsidR="00487261">
              <w:rPr>
                <w:webHidden/>
              </w:rPr>
              <w:fldChar w:fldCharType="end"/>
            </w:r>
          </w:hyperlink>
        </w:p>
        <w:p w:rsidR="00487261" w:rsidRDefault="0048171E">
          <w:pPr>
            <w:pStyle w:val="TOC1"/>
            <w:rPr>
              <w:rFonts w:asciiTheme="minorHAnsi" w:eastAsiaTheme="minorEastAsia" w:hAnsiTheme="minorHAnsi"/>
              <w:b w:val="0"/>
              <w:color w:val="auto"/>
              <w:sz w:val="22"/>
              <w:lang w:val="en-AU" w:eastAsia="en-AU"/>
            </w:rPr>
          </w:pPr>
          <w:hyperlink w:anchor="_Toc436042743" w:history="1">
            <w:r w:rsidR="00487261" w:rsidRPr="00F70800">
              <w:rPr>
                <w:rStyle w:val="Hyperlink"/>
              </w:rPr>
              <w:t>Contents</w:t>
            </w:r>
            <w:r w:rsidR="00487261">
              <w:rPr>
                <w:webHidden/>
              </w:rPr>
              <w:tab/>
            </w:r>
            <w:r w:rsidR="00487261">
              <w:rPr>
                <w:webHidden/>
              </w:rPr>
              <w:fldChar w:fldCharType="begin"/>
            </w:r>
            <w:r w:rsidR="00487261">
              <w:rPr>
                <w:webHidden/>
              </w:rPr>
              <w:instrText xml:space="preserve"> PAGEREF _Toc436042743 \h </w:instrText>
            </w:r>
            <w:r w:rsidR="00487261">
              <w:rPr>
                <w:webHidden/>
              </w:rPr>
            </w:r>
            <w:r w:rsidR="00487261">
              <w:rPr>
                <w:webHidden/>
              </w:rPr>
              <w:fldChar w:fldCharType="separate"/>
            </w:r>
            <w:r w:rsidR="00487261">
              <w:rPr>
                <w:webHidden/>
              </w:rPr>
              <w:t>6-3</w:t>
            </w:r>
            <w:r w:rsidR="00487261">
              <w:rPr>
                <w:webHidden/>
              </w:rPr>
              <w:fldChar w:fldCharType="end"/>
            </w:r>
          </w:hyperlink>
        </w:p>
        <w:p w:rsidR="00487261" w:rsidRDefault="0048171E">
          <w:pPr>
            <w:pStyle w:val="TOC1"/>
            <w:rPr>
              <w:rFonts w:asciiTheme="minorHAnsi" w:eastAsiaTheme="minorEastAsia" w:hAnsiTheme="minorHAnsi"/>
              <w:b w:val="0"/>
              <w:color w:val="auto"/>
              <w:sz w:val="22"/>
              <w:lang w:val="en-AU" w:eastAsia="en-AU"/>
            </w:rPr>
          </w:pPr>
          <w:hyperlink w:anchor="_Toc436042744" w:history="1">
            <w:r w:rsidR="00487261" w:rsidRPr="00F70800">
              <w:rPr>
                <w:rStyle w:val="Hyperlink"/>
              </w:rPr>
              <w:t>Shortened forms</w:t>
            </w:r>
            <w:r w:rsidR="00487261">
              <w:rPr>
                <w:webHidden/>
              </w:rPr>
              <w:tab/>
            </w:r>
            <w:r w:rsidR="00487261">
              <w:rPr>
                <w:webHidden/>
              </w:rPr>
              <w:fldChar w:fldCharType="begin"/>
            </w:r>
            <w:r w:rsidR="00487261">
              <w:rPr>
                <w:webHidden/>
              </w:rPr>
              <w:instrText xml:space="preserve"> PAGEREF _Toc436042744 \h </w:instrText>
            </w:r>
            <w:r w:rsidR="00487261">
              <w:rPr>
                <w:webHidden/>
              </w:rPr>
            </w:r>
            <w:r w:rsidR="00487261">
              <w:rPr>
                <w:webHidden/>
              </w:rPr>
              <w:fldChar w:fldCharType="separate"/>
            </w:r>
            <w:r w:rsidR="00487261">
              <w:rPr>
                <w:webHidden/>
              </w:rPr>
              <w:t>6-4</w:t>
            </w:r>
            <w:r w:rsidR="00487261">
              <w:rPr>
                <w:webHidden/>
              </w:rPr>
              <w:fldChar w:fldCharType="end"/>
            </w:r>
          </w:hyperlink>
        </w:p>
        <w:p w:rsidR="00487261" w:rsidRDefault="0048171E">
          <w:pPr>
            <w:pStyle w:val="TOC1"/>
            <w:rPr>
              <w:rFonts w:asciiTheme="minorHAnsi" w:eastAsiaTheme="minorEastAsia" w:hAnsiTheme="minorHAnsi"/>
              <w:b w:val="0"/>
              <w:color w:val="auto"/>
              <w:sz w:val="22"/>
              <w:lang w:val="en-AU" w:eastAsia="en-AU"/>
            </w:rPr>
          </w:pPr>
          <w:hyperlink w:anchor="_Toc436042745" w:history="1">
            <w:r w:rsidR="00487261" w:rsidRPr="00F70800">
              <w:rPr>
                <w:rStyle w:val="Hyperlink"/>
              </w:rPr>
              <w:t>6</w:t>
            </w:r>
            <w:r w:rsidR="00487261">
              <w:rPr>
                <w:rFonts w:asciiTheme="minorHAnsi" w:eastAsiaTheme="minorEastAsia" w:hAnsiTheme="minorHAnsi"/>
                <w:b w:val="0"/>
                <w:color w:val="auto"/>
                <w:sz w:val="22"/>
                <w:lang w:val="en-AU" w:eastAsia="en-AU"/>
              </w:rPr>
              <w:tab/>
            </w:r>
            <w:r w:rsidR="00487261" w:rsidRPr="00F70800">
              <w:rPr>
                <w:rStyle w:val="Hyperlink"/>
              </w:rPr>
              <w:t>Capital expenditure</w:t>
            </w:r>
            <w:r w:rsidR="00487261">
              <w:rPr>
                <w:webHidden/>
              </w:rPr>
              <w:tab/>
            </w:r>
            <w:r w:rsidR="00487261">
              <w:rPr>
                <w:webHidden/>
              </w:rPr>
              <w:fldChar w:fldCharType="begin"/>
            </w:r>
            <w:r w:rsidR="00487261">
              <w:rPr>
                <w:webHidden/>
              </w:rPr>
              <w:instrText xml:space="preserve"> PAGEREF _Toc436042745 \h </w:instrText>
            </w:r>
            <w:r w:rsidR="00487261">
              <w:rPr>
                <w:webHidden/>
              </w:rPr>
            </w:r>
            <w:r w:rsidR="00487261">
              <w:rPr>
                <w:webHidden/>
              </w:rPr>
              <w:fldChar w:fldCharType="separate"/>
            </w:r>
            <w:r w:rsidR="00487261">
              <w:rPr>
                <w:webHidden/>
              </w:rPr>
              <w:t>6-6</w:t>
            </w:r>
            <w:r w:rsidR="00487261">
              <w:rPr>
                <w:webHidden/>
              </w:rPr>
              <w:fldChar w:fldCharType="end"/>
            </w:r>
          </w:hyperlink>
        </w:p>
        <w:p w:rsidR="00487261" w:rsidRDefault="0048171E">
          <w:pPr>
            <w:pStyle w:val="TOC2"/>
            <w:rPr>
              <w:rFonts w:asciiTheme="minorHAnsi" w:eastAsiaTheme="minorEastAsia" w:hAnsiTheme="minorHAnsi"/>
              <w:b w:val="0"/>
              <w:color w:val="auto"/>
              <w:sz w:val="22"/>
              <w:lang w:eastAsia="en-AU"/>
            </w:rPr>
          </w:pPr>
          <w:hyperlink w:anchor="_Toc436042746" w:history="1">
            <w:r w:rsidR="00487261" w:rsidRPr="00F70800">
              <w:rPr>
                <w:rStyle w:val="Hyperlink"/>
                <w14:scene3d>
                  <w14:camera w14:prst="orthographicFront"/>
                  <w14:lightRig w14:rig="threePt" w14:dir="t">
                    <w14:rot w14:lat="0" w14:lon="0" w14:rev="0"/>
                  </w14:lightRig>
                </w14:scene3d>
              </w:rPr>
              <w:t>6.1</w:t>
            </w:r>
            <w:r w:rsidR="00487261">
              <w:rPr>
                <w:rFonts w:asciiTheme="minorHAnsi" w:eastAsiaTheme="minorEastAsia" w:hAnsiTheme="minorHAnsi"/>
                <w:b w:val="0"/>
                <w:color w:val="auto"/>
                <w:sz w:val="22"/>
                <w:lang w:eastAsia="en-AU"/>
              </w:rPr>
              <w:tab/>
            </w:r>
            <w:r w:rsidR="00487261" w:rsidRPr="00F70800">
              <w:rPr>
                <w:rStyle w:val="Hyperlink"/>
              </w:rPr>
              <w:t>Draft decision</w:t>
            </w:r>
            <w:r w:rsidR="00487261">
              <w:rPr>
                <w:webHidden/>
              </w:rPr>
              <w:tab/>
            </w:r>
            <w:r w:rsidR="00487261">
              <w:rPr>
                <w:webHidden/>
              </w:rPr>
              <w:fldChar w:fldCharType="begin"/>
            </w:r>
            <w:r w:rsidR="00487261">
              <w:rPr>
                <w:webHidden/>
              </w:rPr>
              <w:instrText xml:space="preserve"> PAGEREF _Toc436042746 \h </w:instrText>
            </w:r>
            <w:r w:rsidR="00487261">
              <w:rPr>
                <w:webHidden/>
              </w:rPr>
            </w:r>
            <w:r w:rsidR="00487261">
              <w:rPr>
                <w:webHidden/>
              </w:rPr>
              <w:fldChar w:fldCharType="separate"/>
            </w:r>
            <w:r w:rsidR="00487261">
              <w:rPr>
                <w:webHidden/>
              </w:rPr>
              <w:t>6-6</w:t>
            </w:r>
            <w:r w:rsidR="00487261">
              <w:rPr>
                <w:webHidden/>
              </w:rPr>
              <w:fldChar w:fldCharType="end"/>
            </w:r>
          </w:hyperlink>
        </w:p>
        <w:p w:rsidR="00487261" w:rsidRDefault="0048171E">
          <w:pPr>
            <w:pStyle w:val="TOC3"/>
            <w:rPr>
              <w:rFonts w:asciiTheme="minorHAnsi" w:eastAsiaTheme="minorEastAsia" w:hAnsiTheme="minorHAnsi"/>
              <w:lang w:eastAsia="en-AU"/>
            </w:rPr>
          </w:pPr>
          <w:hyperlink w:anchor="_Toc436042747" w:history="1">
            <w:r w:rsidR="00487261" w:rsidRPr="00F70800">
              <w:rPr>
                <w:rStyle w:val="Hyperlink"/>
                <w14:scene3d>
                  <w14:camera w14:prst="orthographicFront"/>
                  <w14:lightRig w14:rig="threePt" w14:dir="t">
                    <w14:rot w14:lat="0" w14:lon="0" w14:rev="0"/>
                  </w14:lightRig>
                </w14:scene3d>
              </w:rPr>
              <w:t>6.1.1</w:t>
            </w:r>
            <w:r w:rsidR="00487261">
              <w:rPr>
                <w:rFonts w:asciiTheme="minorHAnsi" w:eastAsiaTheme="minorEastAsia" w:hAnsiTheme="minorHAnsi"/>
                <w:lang w:eastAsia="en-AU"/>
              </w:rPr>
              <w:tab/>
            </w:r>
            <w:r w:rsidR="00487261" w:rsidRPr="00F70800">
              <w:rPr>
                <w:rStyle w:val="Hyperlink"/>
              </w:rPr>
              <w:t>Conforming capex for 2010–16</w:t>
            </w:r>
            <w:r w:rsidR="00487261">
              <w:rPr>
                <w:webHidden/>
              </w:rPr>
              <w:tab/>
            </w:r>
            <w:r w:rsidR="00487261">
              <w:rPr>
                <w:webHidden/>
              </w:rPr>
              <w:fldChar w:fldCharType="begin"/>
            </w:r>
            <w:r w:rsidR="00487261">
              <w:rPr>
                <w:webHidden/>
              </w:rPr>
              <w:instrText xml:space="preserve"> PAGEREF _Toc436042747 \h </w:instrText>
            </w:r>
            <w:r w:rsidR="00487261">
              <w:rPr>
                <w:webHidden/>
              </w:rPr>
            </w:r>
            <w:r w:rsidR="00487261">
              <w:rPr>
                <w:webHidden/>
              </w:rPr>
              <w:fldChar w:fldCharType="separate"/>
            </w:r>
            <w:r w:rsidR="00487261">
              <w:rPr>
                <w:webHidden/>
              </w:rPr>
              <w:t>6-6</w:t>
            </w:r>
            <w:r w:rsidR="00487261">
              <w:rPr>
                <w:webHidden/>
              </w:rPr>
              <w:fldChar w:fldCharType="end"/>
            </w:r>
          </w:hyperlink>
        </w:p>
        <w:p w:rsidR="00487261" w:rsidRDefault="0048171E">
          <w:pPr>
            <w:pStyle w:val="TOC3"/>
            <w:rPr>
              <w:rFonts w:asciiTheme="minorHAnsi" w:eastAsiaTheme="minorEastAsia" w:hAnsiTheme="minorHAnsi"/>
              <w:lang w:eastAsia="en-AU"/>
            </w:rPr>
          </w:pPr>
          <w:hyperlink w:anchor="_Toc436042748" w:history="1">
            <w:r w:rsidR="00487261" w:rsidRPr="00F70800">
              <w:rPr>
                <w:rStyle w:val="Hyperlink"/>
                <w14:scene3d>
                  <w14:camera w14:prst="orthographicFront"/>
                  <w14:lightRig w14:rig="threePt" w14:dir="t">
                    <w14:rot w14:lat="0" w14:lon="0" w14:rev="0"/>
                  </w14:lightRig>
                </w14:scene3d>
              </w:rPr>
              <w:t>6.1.2</w:t>
            </w:r>
            <w:r w:rsidR="00487261">
              <w:rPr>
                <w:rFonts w:asciiTheme="minorHAnsi" w:eastAsiaTheme="minorEastAsia" w:hAnsiTheme="minorHAnsi"/>
                <w:lang w:eastAsia="en-AU"/>
              </w:rPr>
              <w:tab/>
            </w:r>
            <w:r w:rsidR="00487261" w:rsidRPr="00F70800">
              <w:rPr>
                <w:rStyle w:val="Hyperlink"/>
              </w:rPr>
              <w:t>Conforming capex for the 2016–21 access arrangement period</w:t>
            </w:r>
            <w:r w:rsidR="00487261">
              <w:rPr>
                <w:webHidden/>
              </w:rPr>
              <w:tab/>
            </w:r>
            <w:r w:rsidR="00487261">
              <w:rPr>
                <w:webHidden/>
              </w:rPr>
              <w:fldChar w:fldCharType="begin"/>
            </w:r>
            <w:r w:rsidR="00487261">
              <w:rPr>
                <w:webHidden/>
              </w:rPr>
              <w:instrText xml:space="preserve"> PAGEREF _Toc436042748 \h </w:instrText>
            </w:r>
            <w:r w:rsidR="00487261">
              <w:rPr>
                <w:webHidden/>
              </w:rPr>
            </w:r>
            <w:r w:rsidR="00487261">
              <w:rPr>
                <w:webHidden/>
              </w:rPr>
              <w:fldChar w:fldCharType="separate"/>
            </w:r>
            <w:r w:rsidR="00487261">
              <w:rPr>
                <w:webHidden/>
              </w:rPr>
              <w:t>6-7</w:t>
            </w:r>
            <w:r w:rsidR="00487261">
              <w:rPr>
                <w:webHidden/>
              </w:rPr>
              <w:fldChar w:fldCharType="end"/>
            </w:r>
          </w:hyperlink>
        </w:p>
        <w:p w:rsidR="00487261" w:rsidRDefault="0048171E">
          <w:pPr>
            <w:pStyle w:val="TOC2"/>
            <w:rPr>
              <w:rFonts w:asciiTheme="minorHAnsi" w:eastAsiaTheme="minorEastAsia" w:hAnsiTheme="minorHAnsi"/>
              <w:b w:val="0"/>
              <w:color w:val="auto"/>
              <w:sz w:val="22"/>
              <w:lang w:eastAsia="en-AU"/>
            </w:rPr>
          </w:pPr>
          <w:hyperlink w:anchor="_Toc436042749" w:history="1">
            <w:r w:rsidR="00487261" w:rsidRPr="00F70800">
              <w:rPr>
                <w:rStyle w:val="Hyperlink"/>
                <w14:scene3d>
                  <w14:camera w14:prst="orthographicFront"/>
                  <w14:lightRig w14:rig="threePt" w14:dir="t">
                    <w14:rot w14:lat="0" w14:lon="0" w14:rev="0"/>
                  </w14:lightRig>
                </w14:scene3d>
              </w:rPr>
              <w:t>6.2</w:t>
            </w:r>
            <w:r w:rsidR="00487261">
              <w:rPr>
                <w:rFonts w:asciiTheme="minorHAnsi" w:eastAsiaTheme="minorEastAsia" w:hAnsiTheme="minorHAnsi"/>
                <w:b w:val="0"/>
                <w:color w:val="auto"/>
                <w:sz w:val="22"/>
                <w:lang w:eastAsia="en-AU"/>
              </w:rPr>
              <w:tab/>
            </w:r>
            <w:r w:rsidR="00487261" w:rsidRPr="00F70800">
              <w:rPr>
                <w:rStyle w:val="Hyperlink"/>
              </w:rPr>
              <w:t>APTNT’s proposal</w:t>
            </w:r>
            <w:r w:rsidR="00487261">
              <w:rPr>
                <w:webHidden/>
              </w:rPr>
              <w:tab/>
            </w:r>
            <w:r w:rsidR="00487261">
              <w:rPr>
                <w:webHidden/>
              </w:rPr>
              <w:fldChar w:fldCharType="begin"/>
            </w:r>
            <w:r w:rsidR="00487261">
              <w:rPr>
                <w:webHidden/>
              </w:rPr>
              <w:instrText xml:space="preserve"> PAGEREF _Toc436042749 \h </w:instrText>
            </w:r>
            <w:r w:rsidR="00487261">
              <w:rPr>
                <w:webHidden/>
              </w:rPr>
            </w:r>
            <w:r w:rsidR="00487261">
              <w:rPr>
                <w:webHidden/>
              </w:rPr>
              <w:fldChar w:fldCharType="separate"/>
            </w:r>
            <w:r w:rsidR="00487261">
              <w:rPr>
                <w:webHidden/>
              </w:rPr>
              <w:t>6-9</w:t>
            </w:r>
            <w:r w:rsidR="00487261">
              <w:rPr>
                <w:webHidden/>
              </w:rPr>
              <w:fldChar w:fldCharType="end"/>
            </w:r>
          </w:hyperlink>
        </w:p>
        <w:p w:rsidR="00487261" w:rsidRDefault="0048171E">
          <w:pPr>
            <w:pStyle w:val="TOC2"/>
            <w:rPr>
              <w:rFonts w:asciiTheme="minorHAnsi" w:eastAsiaTheme="minorEastAsia" w:hAnsiTheme="minorHAnsi"/>
              <w:b w:val="0"/>
              <w:color w:val="auto"/>
              <w:sz w:val="22"/>
              <w:lang w:eastAsia="en-AU"/>
            </w:rPr>
          </w:pPr>
          <w:hyperlink w:anchor="_Toc436042750" w:history="1">
            <w:r w:rsidR="00487261" w:rsidRPr="00F70800">
              <w:rPr>
                <w:rStyle w:val="Hyperlink"/>
                <w14:scene3d>
                  <w14:camera w14:prst="orthographicFront"/>
                  <w14:lightRig w14:rig="threePt" w14:dir="t">
                    <w14:rot w14:lat="0" w14:lon="0" w14:rev="0"/>
                  </w14:lightRig>
                </w14:scene3d>
              </w:rPr>
              <w:t>6.3</w:t>
            </w:r>
            <w:r w:rsidR="00487261">
              <w:rPr>
                <w:rFonts w:asciiTheme="minorHAnsi" w:eastAsiaTheme="minorEastAsia" w:hAnsiTheme="minorHAnsi"/>
                <w:b w:val="0"/>
                <w:color w:val="auto"/>
                <w:sz w:val="22"/>
                <w:lang w:eastAsia="en-AU"/>
              </w:rPr>
              <w:tab/>
            </w:r>
            <w:r w:rsidR="00487261" w:rsidRPr="00F70800">
              <w:rPr>
                <w:rStyle w:val="Hyperlink"/>
              </w:rPr>
              <w:t>AER’s assessment approach</w:t>
            </w:r>
            <w:r w:rsidR="00487261">
              <w:rPr>
                <w:webHidden/>
              </w:rPr>
              <w:tab/>
            </w:r>
            <w:r w:rsidR="00487261">
              <w:rPr>
                <w:webHidden/>
              </w:rPr>
              <w:fldChar w:fldCharType="begin"/>
            </w:r>
            <w:r w:rsidR="00487261">
              <w:rPr>
                <w:webHidden/>
              </w:rPr>
              <w:instrText xml:space="preserve"> PAGEREF _Toc436042750 \h </w:instrText>
            </w:r>
            <w:r w:rsidR="00487261">
              <w:rPr>
                <w:webHidden/>
              </w:rPr>
            </w:r>
            <w:r w:rsidR="00487261">
              <w:rPr>
                <w:webHidden/>
              </w:rPr>
              <w:fldChar w:fldCharType="separate"/>
            </w:r>
            <w:r w:rsidR="00487261">
              <w:rPr>
                <w:webHidden/>
              </w:rPr>
              <w:t>6-10</w:t>
            </w:r>
            <w:r w:rsidR="00487261">
              <w:rPr>
                <w:webHidden/>
              </w:rPr>
              <w:fldChar w:fldCharType="end"/>
            </w:r>
          </w:hyperlink>
        </w:p>
        <w:p w:rsidR="00487261" w:rsidRDefault="0048171E">
          <w:pPr>
            <w:pStyle w:val="TOC3"/>
            <w:rPr>
              <w:rFonts w:asciiTheme="minorHAnsi" w:eastAsiaTheme="minorEastAsia" w:hAnsiTheme="minorHAnsi"/>
              <w:lang w:eastAsia="en-AU"/>
            </w:rPr>
          </w:pPr>
          <w:hyperlink w:anchor="_Toc436042751" w:history="1">
            <w:r w:rsidR="00487261" w:rsidRPr="00F70800">
              <w:rPr>
                <w:rStyle w:val="Hyperlink"/>
                <w14:scene3d>
                  <w14:camera w14:prst="orthographicFront"/>
                  <w14:lightRig w14:rig="threePt" w14:dir="t">
                    <w14:rot w14:lat="0" w14:lon="0" w14:rev="0"/>
                  </w14:lightRig>
                </w14:scene3d>
              </w:rPr>
              <w:t>6.3.1</w:t>
            </w:r>
            <w:r w:rsidR="00487261">
              <w:rPr>
                <w:rFonts w:asciiTheme="minorHAnsi" w:eastAsiaTheme="minorEastAsia" w:hAnsiTheme="minorHAnsi"/>
                <w:lang w:eastAsia="en-AU"/>
              </w:rPr>
              <w:tab/>
            </w:r>
            <w:r w:rsidR="00487261" w:rsidRPr="00F70800">
              <w:rPr>
                <w:rStyle w:val="Hyperlink"/>
              </w:rPr>
              <w:t>NGR requirements for conforming capital expenditure</w:t>
            </w:r>
            <w:r w:rsidR="00487261">
              <w:rPr>
                <w:webHidden/>
              </w:rPr>
              <w:tab/>
            </w:r>
            <w:r w:rsidR="00487261">
              <w:rPr>
                <w:webHidden/>
              </w:rPr>
              <w:fldChar w:fldCharType="begin"/>
            </w:r>
            <w:r w:rsidR="00487261">
              <w:rPr>
                <w:webHidden/>
              </w:rPr>
              <w:instrText xml:space="preserve"> PAGEREF _Toc436042751 \h </w:instrText>
            </w:r>
            <w:r w:rsidR="00487261">
              <w:rPr>
                <w:webHidden/>
              </w:rPr>
            </w:r>
            <w:r w:rsidR="00487261">
              <w:rPr>
                <w:webHidden/>
              </w:rPr>
              <w:fldChar w:fldCharType="separate"/>
            </w:r>
            <w:r w:rsidR="00487261">
              <w:rPr>
                <w:webHidden/>
              </w:rPr>
              <w:t>6-11</w:t>
            </w:r>
            <w:r w:rsidR="00487261">
              <w:rPr>
                <w:webHidden/>
              </w:rPr>
              <w:fldChar w:fldCharType="end"/>
            </w:r>
          </w:hyperlink>
        </w:p>
        <w:p w:rsidR="00487261" w:rsidRDefault="0048171E">
          <w:pPr>
            <w:pStyle w:val="TOC3"/>
            <w:rPr>
              <w:rFonts w:asciiTheme="minorHAnsi" w:eastAsiaTheme="minorEastAsia" w:hAnsiTheme="minorHAnsi"/>
              <w:lang w:eastAsia="en-AU"/>
            </w:rPr>
          </w:pPr>
          <w:hyperlink w:anchor="_Toc436042752" w:history="1">
            <w:r w:rsidR="00487261" w:rsidRPr="00F70800">
              <w:rPr>
                <w:rStyle w:val="Hyperlink"/>
                <w14:scene3d>
                  <w14:camera w14:prst="orthographicFront"/>
                  <w14:lightRig w14:rig="threePt" w14:dir="t">
                    <w14:rot w14:lat="0" w14:lon="0" w14:rev="0"/>
                  </w14:lightRig>
                </w14:scene3d>
              </w:rPr>
              <w:t>6.3.2</w:t>
            </w:r>
            <w:r w:rsidR="00487261">
              <w:rPr>
                <w:rFonts w:asciiTheme="minorHAnsi" w:eastAsiaTheme="minorEastAsia" w:hAnsiTheme="minorHAnsi"/>
                <w:lang w:eastAsia="en-AU"/>
              </w:rPr>
              <w:tab/>
            </w:r>
            <w:r w:rsidR="00487261" w:rsidRPr="00F70800">
              <w:rPr>
                <w:rStyle w:val="Hyperlink"/>
              </w:rPr>
              <w:t>Assessment of conforming capital expenditure in the 2011–16 access arrangement period</w:t>
            </w:r>
            <w:r w:rsidR="00487261">
              <w:rPr>
                <w:webHidden/>
              </w:rPr>
              <w:tab/>
            </w:r>
            <w:r w:rsidR="00487261">
              <w:rPr>
                <w:webHidden/>
              </w:rPr>
              <w:fldChar w:fldCharType="begin"/>
            </w:r>
            <w:r w:rsidR="00487261">
              <w:rPr>
                <w:webHidden/>
              </w:rPr>
              <w:instrText xml:space="preserve"> PAGEREF _Toc436042752 \h </w:instrText>
            </w:r>
            <w:r w:rsidR="00487261">
              <w:rPr>
                <w:webHidden/>
              </w:rPr>
            </w:r>
            <w:r w:rsidR="00487261">
              <w:rPr>
                <w:webHidden/>
              </w:rPr>
              <w:fldChar w:fldCharType="separate"/>
            </w:r>
            <w:r w:rsidR="00487261">
              <w:rPr>
                <w:webHidden/>
              </w:rPr>
              <w:t>6-12</w:t>
            </w:r>
            <w:r w:rsidR="00487261">
              <w:rPr>
                <w:webHidden/>
              </w:rPr>
              <w:fldChar w:fldCharType="end"/>
            </w:r>
          </w:hyperlink>
        </w:p>
        <w:p w:rsidR="00487261" w:rsidRDefault="0048171E">
          <w:pPr>
            <w:pStyle w:val="TOC3"/>
            <w:rPr>
              <w:rFonts w:asciiTheme="minorHAnsi" w:eastAsiaTheme="minorEastAsia" w:hAnsiTheme="minorHAnsi"/>
              <w:lang w:eastAsia="en-AU"/>
            </w:rPr>
          </w:pPr>
          <w:hyperlink w:anchor="_Toc436042753" w:history="1">
            <w:r w:rsidR="00487261" w:rsidRPr="00F70800">
              <w:rPr>
                <w:rStyle w:val="Hyperlink"/>
                <w:rFonts w:eastAsia="Calibri"/>
                <w14:scene3d>
                  <w14:camera w14:prst="orthographicFront"/>
                  <w14:lightRig w14:rig="threePt" w14:dir="t">
                    <w14:rot w14:lat="0" w14:lon="0" w14:rev="0"/>
                  </w14:lightRig>
                </w14:scene3d>
              </w:rPr>
              <w:t>6.3.3</w:t>
            </w:r>
            <w:r w:rsidR="00487261">
              <w:rPr>
                <w:rFonts w:asciiTheme="minorHAnsi" w:eastAsiaTheme="minorEastAsia" w:hAnsiTheme="minorHAnsi"/>
                <w:lang w:eastAsia="en-AU"/>
              </w:rPr>
              <w:tab/>
            </w:r>
            <w:r w:rsidR="00487261" w:rsidRPr="00F70800">
              <w:rPr>
                <w:rStyle w:val="Hyperlink"/>
              </w:rPr>
              <w:t>Assessment of</w:t>
            </w:r>
            <w:r w:rsidR="00487261" w:rsidRPr="00F70800">
              <w:rPr>
                <w:rStyle w:val="Hyperlink"/>
                <w:rFonts w:eastAsia="Calibri"/>
              </w:rPr>
              <w:t xml:space="preserve"> forecast capex for the 2016–21 access arrangement period</w:t>
            </w:r>
            <w:r w:rsidR="00487261">
              <w:rPr>
                <w:webHidden/>
              </w:rPr>
              <w:tab/>
            </w:r>
            <w:r w:rsidR="00487261">
              <w:rPr>
                <w:webHidden/>
              </w:rPr>
              <w:fldChar w:fldCharType="begin"/>
            </w:r>
            <w:r w:rsidR="00487261">
              <w:rPr>
                <w:webHidden/>
              </w:rPr>
              <w:instrText xml:space="preserve"> PAGEREF _Toc436042753 \h </w:instrText>
            </w:r>
            <w:r w:rsidR="00487261">
              <w:rPr>
                <w:webHidden/>
              </w:rPr>
            </w:r>
            <w:r w:rsidR="00487261">
              <w:rPr>
                <w:webHidden/>
              </w:rPr>
              <w:fldChar w:fldCharType="separate"/>
            </w:r>
            <w:r w:rsidR="00487261">
              <w:rPr>
                <w:webHidden/>
              </w:rPr>
              <w:t>6-13</w:t>
            </w:r>
            <w:r w:rsidR="00487261">
              <w:rPr>
                <w:webHidden/>
              </w:rPr>
              <w:fldChar w:fldCharType="end"/>
            </w:r>
          </w:hyperlink>
        </w:p>
        <w:p w:rsidR="00487261" w:rsidRDefault="0048171E">
          <w:pPr>
            <w:pStyle w:val="TOC3"/>
            <w:rPr>
              <w:rFonts w:asciiTheme="minorHAnsi" w:eastAsiaTheme="minorEastAsia" w:hAnsiTheme="minorHAnsi"/>
              <w:lang w:eastAsia="en-AU"/>
            </w:rPr>
          </w:pPr>
          <w:hyperlink w:anchor="_Toc436042754" w:history="1">
            <w:r w:rsidR="00487261" w:rsidRPr="00F70800">
              <w:rPr>
                <w:rStyle w:val="Hyperlink"/>
                <w14:scene3d>
                  <w14:camera w14:prst="orthographicFront"/>
                  <w14:lightRig w14:rig="threePt" w14:dir="t">
                    <w14:rot w14:lat="0" w14:lon="0" w14:rev="0"/>
                  </w14:lightRig>
                </w14:scene3d>
              </w:rPr>
              <w:t>6.3.4</w:t>
            </w:r>
            <w:r w:rsidR="00487261">
              <w:rPr>
                <w:rFonts w:asciiTheme="minorHAnsi" w:eastAsiaTheme="minorEastAsia" w:hAnsiTheme="minorHAnsi"/>
                <w:lang w:eastAsia="en-AU"/>
              </w:rPr>
              <w:tab/>
            </w:r>
            <w:r w:rsidR="00487261" w:rsidRPr="00F70800">
              <w:rPr>
                <w:rStyle w:val="Hyperlink"/>
              </w:rPr>
              <w:t>Interrelationships</w:t>
            </w:r>
            <w:r w:rsidR="00487261">
              <w:rPr>
                <w:webHidden/>
              </w:rPr>
              <w:tab/>
            </w:r>
            <w:r w:rsidR="00487261">
              <w:rPr>
                <w:webHidden/>
              </w:rPr>
              <w:fldChar w:fldCharType="begin"/>
            </w:r>
            <w:r w:rsidR="00487261">
              <w:rPr>
                <w:webHidden/>
              </w:rPr>
              <w:instrText xml:space="preserve"> PAGEREF _Toc436042754 \h </w:instrText>
            </w:r>
            <w:r w:rsidR="00487261">
              <w:rPr>
                <w:webHidden/>
              </w:rPr>
            </w:r>
            <w:r w:rsidR="00487261">
              <w:rPr>
                <w:webHidden/>
              </w:rPr>
              <w:fldChar w:fldCharType="separate"/>
            </w:r>
            <w:r w:rsidR="00487261">
              <w:rPr>
                <w:webHidden/>
              </w:rPr>
              <w:t>6-14</w:t>
            </w:r>
            <w:r w:rsidR="00487261">
              <w:rPr>
                <w:webHidden/>
              </w:rPr>
              <w:fldChar w:fldCharType="end"/>
            </w:r>
          </w:hyperlink>
        </w:p>
        <w:p w:rsidR="00487261" w:rsidRDefault="0048171E">
          <w:pPr>
            <w:pStyle w:val="TOC2"/>
            <w:rPr>
              <w:rFonts w:asciiTheme="minorHAnsi" w:eastAsiaTheme="minorEastAsia" w:hAnsiTheme="minorHAnsi"/>
              <w:b w:val="0"/>
              <w:color w:val="auto"/>
              <w:sz w:val="22"/>
              <w:lang w:eastAsia="en-AU"/>
            </w:rPr>
          </w:pPr>
          <w:hyperlink w:anchor="_Toc436042755" w:history="1">
            <w:r w:rsidR="00487261" w:rsidRPr="00F70800">
              <w:rPr>
                <w:rStyle w:val="Hyperlink"/>
                <w14:scene3d>
                  <w14:camera w14:prst="orthographicFront"/>
                  <w14:lightRig w14:rig="threePt" w14:dir="t">
                    <w14:rot w14:lat="0" w14:lon="0" w14:rev="0"/>
                  </w14:lightRig>
                </w14:scene3d>
              </w:rPr>
              <w:t>6.4</w:t>
            </w:r>
            <w:r w:rsidR="00487261">
              <w:rPr>
                <w:rFonts w:asciiTheme="minorHAnsi" w:eastAsiaTheme="minorEastAsia" w:hAnsiTheme="minorHAnsi"/>
                <w:b w:val="0"/>
                <w:color w:val="auto"/>
                <w:sz w:val="22"/>
                <w:lang w:eastAsia="en-AU"/>
              </w:rPr>
              <w:tab/>
            </w:r>
            <w:r w:rsidR="00487261" w:rsidRPr="00F70800">
              <w:rPr>
                <w:rStyle w:val="Hyperlink"/>
              </w:rPr>
              <w:t>Reasons for draft decision</w:t>
            </w:r>
            <w:r w:rsidR="00487261">
              <w:rPr>
                <w:webHidden/>
              </w:rPr>
              <w:tab/>
            </w:r>
            <w:r w:rsidR="00487261">
              <w:rPr>
                <w:webHidden/>
              </w:rPr>
              <w:fldChar w:fldCharType="begin"/>
            </w:r>
            <w:r w:rsidR="00487261">
              <w:rPr>
                <w:webHidden/>
              </w:rPr>
              <w:instrText xml:space="preserve"> PAGEREF _Toc436042755 \h </w:instrText>
            </w:r>
            <w:r w:rsidR="00487261">
              <w:rPr>
                <w:webHidden/>
              </w:rPr>
            </w:r>
            <w:r w:rsidR="00487261">
              <w:rPr>
                <w:webHidden/>
              </w:rPr>
              <w:fldChar w:fldCharType="separate"/>
            </w:r>
            <w:r w:rsidR="00487261">
              <w:rPr>
                <w:webHidden/>
              </w:rPr>
              <w:t>6-14</w:t>
            </w:r>
            <w:r w:rsidR="00487261">
              <w:rPr>
                <w:webHidden/>
              </w:rPr>
              <w:fldChar w:fldCharType="end"/>
            </w:r>
          </w:hyperlink>
        </w:p>
        <w:p w:rsidR="00487261" w:rsidRDefault="0048171E">
          <w:pPr>
            <w:pStyle w:val="TOC3"/>
            <w:rPr>
              <w:rFonts w:asciiTheme="minorHAnsi" w:eastAsiaTheme="minorEastAsia" w:hAnsiTheme="minorHAnsi"/>
              <w:lang w:eastAsia="en-AU"/>
            </w:rPr>
          </w:pPr>
          <w:hyperlink w:anchor="_Toc436042756" w:history="1">
            <w:r w:rsidR="00487261" w:rsidRPr="00F70800">
              <w:rPr>
                <w:rStyle w:val="Hyperlink"/>
                <w:rFonts w:eastAsia="Calibri"/>
                <w14:scene3d>
                  <w14:camera w14:prst="orthographicFront"/>
                  <w14:lightRig w14:rig="threePt" w14:dir="t">
                    <w14:rot w14:lat="0" w14:lon="0" w14:rev="0"/>
                  </w14:lightRig>
                </w14:scene3d>
              </w:rPr>
              <w:t>6.4.1</w:t>
            </w:r>
            <w:r w:rsidR="00487261">
              <w:rPr>
                <w:rFonts w:asciiTheme="minorHAnsi" w:eastAsiaTheme="minorEastAsia" w:hAnsiTheme="minorHAnsi"/>
                <w:lang w:eastAsia="en-AU"/>
              </w:rPr>
              <w:tab/>
            </w:r>
            <w:r w:rsidR="00487261" w:rsidRPr="00F70800">
              <w:rPr>
                <w:rStyle w:val="Hyperlink"/>
              </w:rPr>
              <w:t>Conforming</w:t>
            </w:r>
            <w:r w:rsidR="00487261" w:rsidRPr="00F70800">
              <w:rPr>
                <w:rStyle w:val="Hyperlink"/>
                <w:rFonts w:eastAsia="Calibri"/>
              </w:rPr>
              <w:t xml:space="preserve"> capex for the 2010–16 period</w:t>
            </w:r>
            <w:r w:rsidR="00487261">
              <w:rPr>
                <w:webHidden/>
              </w:rPr>
              <w:tab/>
            </w:r>
            <w:r w:rsidR="00487261">
              <w:rPr>
                <w:webHidden/>
              </w:rPr>
              <w:fldChar w:fldCharType="begin"/>
            </w:r>
            <w:r w:rsidR="00487261">
              <w:rPr>
                <w:webHidden/>
              </w:rPr>
              <w:instrText xml:space="preserve"> PAGEREF _Toc436042756 \h </w:instrText>
            </w:r>
            <w:r w:rsidR="00487261">
              <w:rPr>
                <w:webHidden/>
              </w:rPr>
            </w:r>
            <w:r w:rsidR="00487261">
              <w:rPr>
                <w:webHidden/>
              </w:rPr>
              <w:fldChar w:fldCharType="separate"/>
            </w:r>
            <w:r w:rsidR="00487261">
              <w:rPr>
                <w:webHidden/>
              </w:rPr>
              <w:t>6-14</w:t>
            </w:r>
            <w:r w:rsidR="00487261">
              <w:rPr>
                <w:webHidden/>
              </w:rPr>
              <w:fldChar w:fldCharType="end"/>
            </w:r>
          </w:hyperlink>
        </w:p>
        <w:p w:rsidR="00487261" w:rsidRDefault="0048171E">
          <w:pPr>
            <w:pStyle w:val="TOC3"/>
            <w:rPr>
              <w:rFonts w:asciiTheme="minorHAnsi" w:eastAsiaTheme="minorEastAsia" w:hAnsiTheme="minorHAnsi"/>
              <w:lang w:eastAsia="en-AU"/>
            </w:rPr>
          </w:pPr>
          <w:hyperlink w:anchor="_Toc436042757" w:history="1">
            <w:r w:rsidR="00487261" w:rsidRPr="00F70800">
              <w:rPr>
                <w:rStyle w:val="Hyperlink"/>
                <w:rFonts w:eastAsia="Calibri"/>
                <w14:scene3d>
                  <w14:camera w14:prst="orthographicFront"/>
                  <w14:lightRig w14:rig="threePt" w14:dir="t">
                    <w14:rot w14:lat="0" w14:lon="0" w14:rev="0"/>
                  </w14:lightRig>
                </w14:scene3d>
              </w:rPr>
              <w:t>6.4.2</w:t>
            </w:r>
            <w:r w:rsidR="00487261">
              <w:rPr>
                <w:rFonts w:asciiTheme="minorHAnsi" w:eastAsiaTheme="minorEastAsia" w:hAnsiTheme="minorHAnsi"/>
                <w:lang w:eastAsia="en-AU"/>
              </w:rPr>
              <w:tab/>
            </w:r>
            <w:r w:rsidR="00487261" w:rsidRPr="00F70800">
              <w:rPr>
                <w:rStyle w:val="Hyperlink"/>
              </w:rPr>
              <w:t>Conforming</w:t>
            </w:r>
            <w:r w:rsidR="00487261" w:rsidRPr="00F70800">
              <w:rPr>
                <w:rStyle w:val="Hyperlink"/>
                <w:rFonts w:eastAsia="Calibri"/>
              </w:rPr>
              <w:t xml:space="preserve"> capex for the 2016–21 access arrangement period</w:t>
            </w:r>
            <w:r w:rsidR="00487261">
              <w:rPr>
                <w:webHidden/>
              </w:rPr>
              <w:tab/>
            </w:r>
            <w:r w:rsidR="00487261">
              <w:rPr>
                <w:webHidden/>
              </w:rPr>
              <w:fldChar w:fldCharType="begin"/>
            </w:r>
            <w:r w:rsidR="00487261">
              <w:rPr>
                <w:webHidden/>
              </w:rPr>
              <w:instrText xml:space="preserve"> PAGEREF _Toc436042757 \h </w:instrText>
            </w:r>
            <w:r w:rsidR="00487261">
              <w:rPr>
                <w:webHidden/>
              </w:rPr>
            </w:r>
            <w:r w:rsidR="00487261">
              <w:rPr>
                <w:webHidden/>
              </w:rPr>
              <w:fldChar w:fldCharType="separate"/>
            </w:r>
            <w:r w:rsidR="00487261">
              <w:rPr>
                <w:webHidden/>
              </w:rPr>
              <w:t>6-22</w:t>
            </w:r>
            <w:r w:rsidR="00487261">
              <w:rPr>
                <w:webHidden/>
              </w:rPr>
              <w:fldChar w:fldCharType="end"/>
            </w:r>
          </w:hyperlink>
        </w:p>
        <w:p w:rsidR="00487261" w:rsidRDefault="0048171E">
          <w:pPr>
            <w:pStyle w:val="TOC2"/>
            <w:rPr>
              <w:rFonts w:asciiTheme="minorHAnsi" w:eastAsiaTheme="minorEastAsia" w:hAnsiTheme="minorHAnsi"/>
              <w:b w:val="0"/>
              <w:color w:val="auto"/>
              <w:sz w:val="22"/>
              <w:lang w:eastAsia="en-AU"/>
            </w:rPr>
          </w:pPr>
          <w:hyperlink w:anchor="_Toc436042758" w:history="1">
            <w:r w:rsidR="00487261" w:rsidRPr="00F70800">
              <w:rPr>
                <w:rStyle w:val="Hyperlink"/>
                <w14:scene3d>
                  <w14:camera w14:prst="orthographicFront"/>
                  <w14:lightRig w14:rig="threePt" w14:dir="t">
                    <w14:rot w14:lat="0" w14:lon="0" w14:rev="0"/>
                  </w14:lightRig>
                </w14:scene3d>
              </w:rPr>
              <w:t>6.5</w:t>
            </w:r>
            <w:r w:rsidR="00487261">
              <w:rPr>
                <w:rFonts w:asciiTheme="minorHAnsi" w:eastAsiaTheme="minorEastAsia" w:hAnsiTheme="minorHAnsi"/>
                <w:b w:val="0"/>
                <w:color w:val="auto"/>
                <w:sz w:val="22"/>
                <w:lang w:eastAsia="en-AU"/>
              </w:rPr>
              <w:tab/>
            </w:r>
            <w:r w:rsidR="00487261" w:rsidRPr="00F70800">
              <w:rPr>
                <w:rStyle w:val="Hyperlink"/>
              </w:rPr>
              <w:t>Revisions</w:t>
            </w:r>
            <w:r w:rsidR="00487261">
              <w:rPr>
                <w:webHidden/>
              </w:rPr>
              <w:tab/>
            </w:r>
            <w:r w:rsidR="00487261">
              <w:rPr>
                <w:webHidden/>
              </w:rPr>
              <w:fldChar w:fldCharType="begin"/>
            </w:r>
            <w:r w:rsidR="00487261">
              <w:rPr>
                <w:webHidden/>
              </w:rPr>
              <w:instrText xml:space="preserve"> PAGEREF _Toc436042758 \h </w:instrText>
            </w:r>
            <w:r w:rsidR="00487261">
              <w:rPr>
                <w:webHidden/>
              </w:rPr>
            </w:r>
            <w:r w:rsidR="00487261">
              <w:rPr>
                <w:webHidden/>
              </w:rPr>
              <w:fldChar w:fldCharType="separate"/>
            </w:r>
            <w:r w:rsidR="00487261">
              <w:rPr>
                <w:webHidden/>
              </w:rPr>
              <w:t>6-33</w:t>
            </w:r>
            <w:r w:rsidR="00487261">
              <w:rPr>
                <w:webHidden/>
              </w:rPr>
              <w:fldChar w:fldCharType="end"/>
            </w:r>
          </w:hyperlink>
        </w:p>
        <w:p w:rsidR="00DE563D" w:rsidRDefault="003D1B28">
          <w:pPr>
            <w:pStyle w:val="TOC1"/>
          </w:pPr>
          <w:r>
            <w:fldChar w:fldCharType="end"/>
          </w:r>
        </w:p>
      </w:sdtContent>
    </w:sdt>
    <w:p w:rsidR="00DE563D" w:rsidRDefault="00C84560">
      <w:pPr>
        <w:spacing w:line="240" w:lineRule="auto"/>
      </w:pPr>
      <w:r>
        <w:t xml:space="preserve"> </w:t>
      </w:r>
    </w:p>
    <w:p w:rsidR="00EE77FA" w:rsidRDefault="00DE563D" w:rsidP="00DE772C">
      <w:pPr>
        <w:pStyle w:val="UnnumberedHeading"/>
        <w:numPr>
          <w:ilvl w:val="0"/>
          <w:numId w:val="23"/>
        </w:numPr>
      </w:pPr>
      <w:bookmarkStart w:id="8" w:name="_Toc404700925"/>
      <w:bookmarkStart w:id="9" w:name="_Toc436042744"/>
      <w:r>
        <w:lastRenderedPageBreak/>
        <w:t>Shortened forms</w:t>
      </w:r>
      <w:bookmarkEnd w:id="8"/>
      <w:bookmarkEnd w:id="9"/>
    </w:p>
    <w:tbl>
      <w:tblPr>
        <w:tblStyle w:val="AERtable-numbers"/>
        <w:tblW w:w="0" w:type="auto"/>
        <w:tblLook w:val="04A0" w:firstRow="1" w:lastRow="0" w:firstColumn="1" w:lastColumn="0" w:noHBand="0" w:noVBand="1"/>
      </w:tblPr>
      <w:tblGrid>
        <w:gridCol w:w="3652"/>
        <w:gridCol w:w="5041"/>
      </w:tblGrid>
      <w:tr w:rsidR="002C6AAE" w:rsidTr="002C6AA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t>Shortened form</w:t>
            </w:r>
          </w:p>
        </w:tc>
        <w:tc>
          <w:tcPr>
            <w:tcW w:w="5041" w:type="dxa"/>
            <w:tcBorders>
              <w:top w:val="nil"/>
              <w:left w:val="nil"/>
              <w:bottom w:val="nil"/>
              <w:right w:val="nil"/>
            </w:tcBorders>
            <w:hideMark/>
          </w:tcPr>
          <w:p w:rsidR="002C6AAE" w:rsidRDefault="002C6AAE" w:rsidP="002C6AAE">
            <w:pPr>
              <w:numPr>
                <w:ilvl w:val="0"/>
                <w:numId w:val="28"/>
              </w:numPr>
              <w:cnfStyle w:val="100000000000" w:firstRow="1" w:lastRow="0" w:firstColumn="0" w:lastColumn="0" w:oddVBand="0" w:evenVBand="0" w:oddHBand="0" w:evenHBand="0" w:firstRowFirstColumn="0" w:firstRowLastColumn="0" w:lastRowFirstColumn="0" w:lastRowLastColumn="0"/>
            </w:pPr>
            <w:r>
              <w:t>Extended form</w:t>
            </w:r>
          </w:p>
        </w:tc>
      </w:tr>
      <w:tr w:rsidR="002C6AAE" w:rsidTr="002C6AAE">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t>AA</w:t>
            </w:r>
          </w:p>
        </w:tc>
        <w:tc>
          <w:tcPr>
            <w:tcW w:w="5041" w:type="dxa"/>
            <w:tcBorders>
              <w:top w:val="nil"/>
              <w:left w:val="nil"/>
              <w:bottom w:val="nil"/>
              <w:right w:val="nil"/>
            </w:tcBorders>
            <w:hideMark/>
          </w:tcPr>
          <w:p w:rsidR="002C6AAE" w:rsidRDefault="002C6AAE">
            <w:pPr>
              <w:cnfStyle w:val="000000000000" w:firstRow="0" w:lastRow="0" w:firstColumn="0" w:lastColumn="0" w:oddVBand="0" w:evenVBand="0" w:oddHBand="0" w:evenHBand="0" w:firstRowFirstColumn="0" w:firstRowLastColumn="0" w:lastRowFirstColumn="0" w:lastRowLastColumn="0"/>
            </w:pPr>
            <w:r>
              <w:t>Access Arrangement</w:t>
            </w:r>
          </w:p>
        </w:tc>
      </w:tr>
      <w:tr w:rsidR="002C6AAE" w:rsidTr="002C6AA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t>AAI</w:t>
            </w:r>
          </w:p>
        </w:tc>
        <w:tc>
          <w:tcPr>
            <w:tcW w:w="5041" w:type="dxa"/>
            <w:tcBorders>
              <w:top w:val="nil"/>
              <w:left w:val="nil"/>
              <w:bottom w:val="nil"/>
              <w:right w:val="nil"/>
            </w:tcBorders>
            <w:hideMark/>
          </w:tcPr>
          <w:p w:rsidR="002C6AAE" w:rsidRDefault="002C6AAE">
            <w:pPr>
              <w:cnfStyle w:val="000000010000" w:firstRow="0" w:lastRow="0" w:firstColumn="0" w:lastColumn="0" w:oddVBand="0" w:evenVBand="0" w:oddHBand="0" w:evenHBand="1" w:firstRowFirstColumn="0" w:firstRowLastColumn="0" w:lastRowFirstColumn="0" w:lastRowLastColumn="0"/>
            </w:pPr>
            <w:r>
              <w:t>Access Arrangement Information</w:t>
            </w:r>
          </w:p>
        </w:tc>
      </w:tr>
      <w:tr w:rsidR="002C6AAE" w:rsidTr="002C6AAE">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t>AER</w:t>
            </w:r>
          </w:p>
        </w:tc>
        <w:tc>
          <w:tcPr>
            <w:tcW w:w="5041" w:type="dxa"/>
            <w:tcBorders>
              <w:top w:val="nil"/>
              <w:left w:val="nil"/>
              <w:bottom w:val="nil"/>
              <w:right w:val="nil"/>
            </w:tcBorders>
            <w:hideMark/>
          </w:tcPr>
          <w:p w:rsidR="002C6AAE" w:rsidRDefault="002C6AAE" w:rsidP="002C6AAE">
            <w:pPr>
              <w:numPr>
                <w:ilvl w:val="0"/>
                <w:numId w:val="28"/>
              </w:numPr>
              <w:cnfStyle w:val="000000000000" w:firstRow="0" w:lastRow="0" w:firstColumn="0" w:lastColumn="0" w:oddVBand="0" w:evenVBand="0" w:oddHBand="0" w:evenHBand="0" w:firstRowFirstColumn="0" w:firstRowLastColumn="0" w:lastRowFirstColumn="0" w:lastRowLastColumn="0"/>
            </w:pPr>
            <w:r>
              <w:t>Australian Energy Regulator</w:t>
            </w:r>
          </w:p>
        </w:tc>
      </w:tr>
      <w:tr w:rsidR="002C6AAE" w:rsidTr="002C6AA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t>AGP</w:t>
            </w:r>
          </w:p>
        </w:tc>
        <w:tc>
          <w:tcPr>
            <w:tcW w:w="5041" w:type="dxa"/>
            <w:tcBorders>
              <w:top w:val="nil"/>
              <w:left w:val="nil"/>
              <w:bottom w:val="nil"/>
              <w:right w:val="nil"/>
            </w:tcBorders>
            <w:hideMark/>
          </w:tcPr>
          <w:p w:rsidR="002C6AAE" w:rsidRDefault="002C6AAE">
            <w:pPr>
              <w:cnfStyle w:val="000000010000" w:firstRow="0" w:lastRow="0" w:firstColumn="0" w:lastColumn="0" w:oddVBand="0" w:evenVBand="0" w:oddHBand="0" w:evenHBand="1" w:firstRowFirstColumn="0" w:firstRowLastColumn="0" w:lastRowFirstColumn="0" w:lastRowLastColumn="0"/>
            </w:pPr>
            <w:r>
              <w:t>Amadeus Gas Pipeline</w:t>
            </w:r>
          </w:p>
        </w:tc>
      </w:tr>
      <w:tr w:rsidR="002C6AAE" w:rsidTr="002C6AAE">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t>ATO</w:t>
            </w:r>
          </w:p>
        </w:tc>
        <w:tc>
          <w:tcPr>
            <w:tcW w:w="5041" w:type="dxa"/>
            <w:tcBorders>
              <w:top w:val="nil"/>
              <w:left w:val="nil"/>
              <w:bottom w:val="nil"/>
              <w:right w:val="nil"/>
            </w:tcBorders>
            <w:hideMark/>
          </w:tcPr>
          <w:p w:rsidR="002C6AAE" w:rsidRDefault="002C6AAE">
            <w:pPr>
              <w:cnfStyle w:val="000000000000" w:firstRow="0" w:lastRow="0" w:firstColumn="0" w:lastColumn="0" w:oddVBand="0" w:evenVBand="0" w:oddHBand="0" w:evenHBand="0" w:firstRowFirstColumn="0" w:firstRowLastColumn="0" w:lastRowFirstColumn="0" w:lastRowLastColumn="0"/>
            </w:pPr>
            <w:r>
              <w:t>Australian Tax Office</w:t>
            </w:r>
          </w:p>
        </w:tc>
      </w:tr>
      <w:tr w:rsidR="002C6AAE" w:rsidTr="002C6AA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t>capex</w:t>
            </w:r>
          </w:p>
        </w:tc>
        <w:tc>
          <w:tcPr>
            <w:tcW w:w="5041" w:type="dxa"/>
            <w:tcBorders>
              <w:top w:val="nil"/>
              <w:left w:val="nil"/>
              <w:bottom w:val="nil"/>
              <w:right w:val="nil"/>
            </w:tcBorders>
            <w:hideMark/>
          </w:tcPr>
          <w:p w:rsidR="002C6AAE" w:rsidRDefault="002C6AAE" w:rsidP="002C6AAE">
            <w:pPr>
              <w:numPr>
                <w:ilvl w:val="0"/>
                <w:numId w:val="28"/>
              </w:numPr>
              <w:cnfStyle w:val="000000010000" w:firstRow="0" w:lastRow="0" w:firstColumn="0" w:lastColumn="0" w:oddVBand="0" w:evenVBand="0" w:oddHBand="0" w:evenHBand="1" w:firstRowFirstColumn="0" w:firstRowLastColumn="0" w:lastRowFirstColumn="0" w:lastRowLastColumn="0"/>
            </w:pPr>
            <w:r>
              <w:t>capital expenditure</w:t>
            </w:r>
          </w:p>
        </w:tc>
      </w:tr>
      <w:tr w:rsidR="002C6AAE" w:rsidTr="002C6AAE">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t>CAPM</w:t>
            </w:r>
          </w:p>
        </w:tc>
        <w:tc>
          <w:tcPr>
            <w:tcW w:w="5041" w:type="dxa"/>
            <w:tcBorders>
              <w:top w:val="nil"/>
              <w:left w:val="nil"/>
              <w:bottom w:val="nil"/>
              <w:right w:val="nil"/>
            </w:tcBorders>
            <w:hideMark/>
          </w:tcPr>
          <w:p w:rsidR="002C6AAE" w:rsidRDefault="002C6AAE" w:rsidP="002C6AAE">
            <w:pPr>
              <w:numPr>
                <w:ilvl w:val="0"/>
                <w:numId w:val="28"/>
              </w:numPr>
              <w:cnfStyle w:val="000000000000" w:firstRow="0" w:lastRow="0" w:firstColumn="0" w:lastColumn="0" w:oddVBand="0" w:evenVBand="0" w:oddHBand="0" w:evenHBand="0" w:firstRowFirstColumn="0" w:firstRowLastColumn="0" w:lastRowFirstColumn="0" w:lastRowLastColumn="0"/>
            </w:pPr>
            <w:r>
              <w:t>capital asset pricing model</w:t>
            </w:r>
          </w:p>
        </w:tc>
      </w:tr>
      <w:tr w:rsidR="002C6AAE" w:rsidTr="002C6AA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t>CESS</w:t>
            </w:r>
          </w:p>
        </w:tc>
        <w:tc>
          <w:tcPr>
            <w:tcW w:w="5041" w:type="dxa"/>
            <w:tcBorders>
              <w:top w:val="nil"/>
              <w:left w:val="nil"/>
              <w:bottom w:val="nil"/>
              <w:right w:val="nil"/>
            </w:tcBorders>
            <w:hideMark/>
          </w:tcPr>
          <w:p w:rsidR="002C6AAE" w:rsidRDefault="002C6AAE" w:rsidP="002C6AAE">
            <w:pPr>
              <w:numPr>
                <w:ilvl w:val="0"/>
                <w:numId w:val="28"/>
              </w:numPr>
              <w:cnfStyle w:val="000000010000" w:firstRow="0" w:lastRow="0" w:firstColumn="0" w:lastColumn="0" w:oddVBand="0" w:evenVBand="0" w:oddHBand="0" w:evenHBand="1" w:firstRowFirstColumn="0" w:firstRowLastColumn="0" w:lastRowFirstColumn="0" w:lastRowLastColumn="0"/>
            </w:pPr>
            <w:r>
              <w:t>Capital Expenditure Sharing Scheme</w:t>
            </w:r>
          </w:p>
        </w:tc>
      </w:tr>
      <w:tr w:rsidR="002C6AAE" w:rsidTr="002C6AAE">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t>CPI</w:t>
            </w:r>
          </w:p>
        </w:tc>
        <w:tc>
          <w:tcPr>
            <w:tcW w:w="5041" w:type="dxa"/>
            <w:tcBorders>
              <w:top w:val="nil"/>
              <w:left w:val="nil"/>
              <w:bottom w:val="nil"/>
              <w:right w:val="nil"/>
            </w:tcBorders>
            <w:hideMark/>
          </w:tcPr>
          <w:p w:rsidR="002C6AAE" w:rsidRDefault="002C6AAE" w:rsidP="002C6AAE">
            <w:pPr>
              <w:numPr>
                <w:ilvl w:val="0"/>
                <w:numId w:val="28"/>
              </w:numPr>
              <w:cnfStyle w:val="000000000000" w:firstRow="0" w:lastRow="0" w:firstColumn="0" w:lastColumn="0" w:oddVBand="0" w:evenVBand="0" w:oddHBand="0" w:evenHBand="0" w:firstRowFirstColumn="0" w:firstRowLastColumn="0" w:lastRowFirstColumn="0" w:lastRowLastColumn="0"/>
            </w:pPr>
            <w:r>
              <w:t>consumer price index</w:t>
            </w:r>
          </w:p>
        </w:tc>
      </w:tr>
      <w:tr w:rsidR="002C6AAE" w:rsidTr="002C6AA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t>DRP</w:t>
            </w:r>
          </w:p>
        </w:tc>
        <w:tc>
          <w:tcPr>
            <w:tcW w:w="5041" w:type="dxa"/>
            <w:tcBorders>
              <w:top w:val="nil"/>
              <w:left w:val="nil"/>
              <w:bottom w:val="nil"/>
              <w:right w:val="nil"/>
            </w:tcBorders>
            <w:hideMark/>
          </w:tcPr>
          <w:p w:rsidR="002C6AAE" w:rsidRDefault="002C6AAE" w:rsidP="002C6AAE">
            <w:pPr>
              <w:numPr>
                <w:ilvl w:val="0"/>
                <w:numId w:val="28"/>
              </w:numPr>
              <w:cnfStyle w:val="000000010000" w:firstRow="0" w:lastRow="0" w:firstColumn="0" w:lastColumn="0" w:oddVBand="0" w:evenVBand="0" w:oddHBand="0" w:evenHBand="1" w:firstRowFirstColumn="0" w:firstRowLastColumn="0" w:lastRowFirstColumn="0" w:lastRowLastColumn="0"/>
            </w:pPr>
            <w:r>
              <w:t>debt risk premium</w:t>
            </w:r>
          </w:p>
        </w:tc>
      </w:tr>
      <w:tr w:rsidR="002C6AAE" w:rsidTr="002C6AAE">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t>EBSS</w:t>
            </w:r>
          </w:p>
        </w:tc>
        <w:tc>
          <w:tcPr>
            <w:tcW w:w="5041" w:type="dxa"/>
            <w:tcBorders>
              <w:top w:val="nil"/>
              <w:left w:val="nil"/>
              <w:bottom w:val="nil"/>
              <w:right w:val="nil"/>
            </w:tcBorders>
            <w:hideMark/>
          </w:tcPr>
          <w:p w:rsidR="002C6AAE" w:rsidRDefault="002C6AAE">
            <w:pPr>
              <w:cnfStyle w:val="000000000000" w:firstRow="0" w:lastRow="0" w:firstColumn="0" w:lastColumn="0" w:oddVBand="0" w:evenVBand="0" w:oddHBand="0" w:evenHBand="0" w:firstRowFirstColumn="0" w:firstRowLastColumn="0" w:lastRowFirstColumn="0" w:lastRowLastColumn="0"/>
            </w:pPr>
            <w:r>
              <w:t>Efficiency Benefit Sharing Scheme</w:t>
            </w:r>
          </w:p>
        </w:tc>
      </w:tr>
      <w:tr w:rsidR="002C6AAE" w:rsidTr="002C6AA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t>ERP</w:t>
            </w:r>
          </w:p>
        </w:tc>
        <w:tc>
          <w:tcPr>
            <w:tcW w:w="5041" w:type="dxa"/>
            <w:tcBorders>
              <w:top w:val="nil"/>
              <w:left w:val="nil"/>
              <w:bottom w:val="nil"/>
              <w:right w:val="nil"/>
            </w:tcBorders>
            <w:hideMark/>
          </w:tcPr>
          <w:p w:rsidR="002C6AAE" w:rsidRDefault="002C6AAE" w:rsidP="002C6AAE">
            <w:pPr>
              <w:numPr>
                <w:ilvl w:val="0"/>
                <w:numId w:val="28"/>
              </w:numPr>
              <w:cnfStyle w:val="000000010000" w:firstRow="0" w:lastRow="0" w:firstColumn="0" w:lastColumn="0" w:oddVBand="0" w:evenVBand="0" w:oddHBand="0" w:evenHBand="1" w:firstRowFirstColumn="0" w:firstRowLastColumn="0" w:lastRowFirstColumn="0" w:lastRowLastColumn="0"/>
            </w:pPr>
            <w:r>
              <w:t>equity risk premium</w:t>
            </w:r>
          </w:p>
        </w:tc>
      </w:tr>
      <w:tr w:rsidR="002C6AAE" w:rsidTr="002C6AAE">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t>Expenditure Guideline</w:t>
            </w:r>
          </w:p>
        </w:tc>
        <w:tc>
          <w:tcPr>
            <w:tcW w:w="5041" w:type="dxa"/>
            <w:tcBorders>
              <w:top w:val="nil"/>
              <w:left w:val="nil"/>
              <w:bottom w:val="nil"/>
              <w:right w:val="nil"/>
            </w:tcBorders>
            <w:hideMark/>
          </w:tcPr>
          <w:p w:rsidR="002C6AAE" w:rsidRDefault="002C6AAE">
            <w:pPr>
              <w:cnfStyle w:val="000000000000" w:firstRow="0" w:lastRow="0" w:firstColumn="0" w:lastColumn="0" w:oddVBand="0" w:evenVBand="0" w:oddHBand="0" w:evenHBand="0" w:firstRowFirstColumn="0" w:firstRowLastColumn="0" w:lastRowFirstColumn="0" w:lastRowLastColumn="0"/>
            </w:pPr>
            <w:r>
              <w:t>Expenditure Forecast Assessment Guideline</w:t>
            </w:r>
          </w:p>
        </w:tc>
      </w:tr>
      <w:tr w:rsidR="002C6AAE" w:rsidTr="002C6AA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t>gamma</w:t>
            </w:r>
          </w:p>
        </w:tc>
        <w:tc>
          <w:tcPr>
            <w:tcW w:w="5041" w:type="dxa"/>
            <w:tcBorders>
              <w:top w:val="nil"/>
              <w:left w:val="nil"/>
              <w:bottom w:val="nil"/>
              <w:right w:val="nil"/>
            </w:tcBorders>
            <w:hideMark/>
          </w:tcPr>
          <w:p w:rsidR="002C6AAE" w:rsidRDefault="002C6AAE">
            <w:pPr>
              <w:cnfStyle w:val="000000010000" w:firstRow="0" w:lastRow="0" w:firstColumn="0" w:lastColumn="0" w:oddVBand="0" w:evenVBand="0" w:oddHBand="0" w:evenHBand="1" w:firstRowFirstColumn="0" w:firstRowLastColumn="0" w:lastRowFirstColumn="0" w:lastRowLastColumn="0"/>
            </w:pPr>
            <w:r>
              <w:t>Value of Imputation Credits</w:t>
            </w:r>
          </w:p>
        </w:tc>
      </w:tr>
      <w:tr w:rsidR="002C6AAE" w:rsidTr="002C6AAE">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t>GSL</w:t>
            </w:r>
          </w:p>
        </w:tc>
        <w:tc>
          <w:tcPr>
            <w:tcW w:w="5041" w:type="dxa"/>
            <w:tcBorders>
              <w:top w:val="nil"/>
              <w:left w:val="nil"/>
              <w:bottom w:val="nil"/>
              <w:right w:val="nil"/>
            </w:tcBorders>
            <w:hideMark/>
          </w:tcPr>
          <w:p w:rsidR="002C6AAE" w:rsidRDefault="002C6AAE">
            <w:pPr>
              <w:cnfStyle w:val="000000000000" w:firstRow="0" w:lastRow="0" w:firstColumn="0" w:lastColumn="0" w:oddVBand="0" w:evenVBand="0" w:oddHBand="0" w:evenHBand="0" w:firstRowFirstColumn="0" w:firstRowLastColumn="0" w:lastRowFirstColumn="0" w:lastRowLastColumn="0"/>
            </w:pPr>
            <w:r>
              <w:t>Guaranteed Service Level</w:t>
            </w:r>
          </w:p>
        </w:tc>
      </w:tr>
      <w:tr w:rsidR="002C6AAE" w:rsidTr="002C6AA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t>MRP</w:t>
            </w:r>
          </w:p>
        </w:tc>
        <w:tc>
          <w:tcPr>
            <w:tcW w:w="5041" w:type="dxa"/>
            <w:tcBorders>
              <w:top w:val="nil"/>
              <w:left w:val="nil"/>
              <w:bottom w:val="nil"/>
              <w:right w:val="nil"/>
            </w:tcBorders>
            <w:hideMark/>
          </w:tcPr>
          <w:p w:rsidR="002C6AAE" w:rsidRDefault="002C6AAE" w:rsidP="002C6AAE">
            <w:pPr>
              <w:numPr>
                <w:ilvl w:val="0"/>
                <w:numId w:val="28"/>
              </w:numPr>
              <w:cnfStyle w:val="000000010000" w:firstRow="0" w:lastRow="0" w:firstColumn="0" w:lastColumn="0" w:oddVBand="0" w:evenVBand="0" w:oddHBand="0" w:evenHBand="1" w:firstRowFirstColumn="0" w:firstRowLastColumn="0" w:lastRowFirstColumn="0" w:lastRowLastColumn="0"/>
            </w:pPr>
            <w:r>
              <w:t>market risk premium</w:t>
            </w:r>
          </w:p>
        </w:tc>
      </w:tr>
      <w:tr w:rsidR="002C6AAE" w:rsidTr="002C6AAE">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t>NEGI</w:t>
            </w:r>
          </w:p>
        </w:tc>
        <w:tc>
          <w:tcPr>
            <w:tcW w:w="5041" w:type="dxa"/>
            <w:tcBorders>
              <w:top w:val="nil"/>
              <w:left w:val="nil"/>
              <w:bottom w:val="nil"/>
              <w:right w:val="nil"/>
            </w:tcBorders>
            <w:hideMark/>
          </w:tcPr>
          <w:p w:rsidR="002C6AAE" w:rsidRDefault="002C6AAE" w:rsidP="002C6AAE">
            <w:pPr>
              <w:numPr>
                <w:ilvl w:val="0"/>
                <w:numId w:val="28"/>
              </w:numPr>
              <w:cnfStyle w:val="000000000000" w:firstRow="0" w:lastRow="0" w:firstColumn="0" w:lastColumn="0" w:oddVBand="0" w:evenVBand="0" w:oddHBand="0" w:evenHBand="0" w:firstRowFirstColumn="0" w:firstRowLastColumn="0" w:lastRowFirstColumn="0" w:lastRowLastColumn="0"/>
            </w:pPr>
            <w:r>
              <w:t>north eastern gas interconnector</w:t>
            </w:r>
          </w:p>
        </w:tc>
      </w:tr>
      <w:tr w:rsidR="002C6AAE" w:rsidTr="002C6AA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t>NGL</w:t>
            </w:r>
          </w:p>
        </w:tc>
        <w:tc>
          <w:tcPr>
            <w:tcW w:w="5041" w:type="dxa"/>
            <w:tcBorders>
              <w:top w:val="nil"/>
              <w:left w:val="nil"/>
              <w:bottom w:val="nil"/>
              <w:right w:val="nil"/>
            </w:tcBorders>
            <w:hideMark/>
          </w:tcPr>
          <w:p w:rsidR="002C6AAE" w:rsidRDefault="002C6AAE" w:rsidP="002C6AAE">
            <w:pPr>
              <w:numPr>
                <w:ilvl w:val="0"/>
                <w:numId w:val="28"/>
              </w:numPr>
              <w:cnfStyle w:val="000000010000" w:firstRow="0" w:lastRow="0" w:firstColumn="0" w:lastColumn="0" w:oddVBand="0" w:evenVBand="0" w:oddHBand="0" w:evenHBand="1" w:firstRowFirstColumn="0" w:firstRowLastColumn="0" w:lastRowFirstColumn="0" w:lastRowLastColumn="0"/>
            </w:pPr>
            <w:r>
              <w:t>national gas law</w:t>
            </w:r>
          </w:p>
        </w:tc>
      </w:tr>
      <w:tr w:rsidR="002C6AAE" w:rsidTr="002C6AAE">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t>NGO</w:t>
            </w:r>
          </w:p>
        </w:tc>
        <w:tc>
          <w:tcPr>
            <w:tcW w:w="5041" w:type="dxa"/>
            <w:tcBorders>
              <w:top w:val="nil"/>
              <w:left w:val="nil"/>
              <w:bottom w:val="nil"/>
              <w:right w:val="nil"/>
            </w:tcBorders>
            <w:hideMark/>
          </w:tcPr>
          <w:p w:rsidR="002C6AAE" w:rsidRDefault="002C6AAE" w:rsidP="002C6AAE">
            <w:pPr>
              <w:numPr>
                <w:ilvl w:val="0"/>
                <w:numId w:val="28"/>
              </w:numPr>
              <w:cnfStyle w:val="000000000000" w:firstRow="0" w:lastRow="0" w:firstColumn="0" w:lastColumn="0" w:oddVBand="0" w:evenVBand="0" w:oddHBand="0" w:evenHBand="0" w:firstRowFirstColumn="0" w:firstRowLastColumn="0" w:lastRowFirstColumn="0" w:lastRowLastColumn="0"/>
            </w:pPr>
            <w:r>
              <w:t>national gas objective</w:t>
            </w:r>
          </w:p>
        </w:tc>
      </w:tr>
      <w:tr w:rsidR="002C6AAE" w:rsidTr="002C6AA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t>NGR</w:t>
            </w:r>
          </w:p>
        </w:tc>
        <w:tc>
          <w:tcPr>
            <w:tcW w:w="5041" w:type="dxa"/>
            <w:tcBorders>
              <w:top w:val="nil"/>
              <w:left w:val="nil"/>
              <w:bottom w:val="nil"/>
              <w:right w:val="nil"/>
            </w:tcBorders>
            <w:hideMark/>
          </w:tcPr>
          <w:p w:rsidR="002C6AAE" w:rsidRDefault="002C6AAE" w:rsidP="002C6AAE">
            <w:pPr>
              <w:numPr>
                <w:ilvl w:val="0"/>
                <w:numId w:val="28"/>
              </w:numPr>
              <w:cnfStyle w:val="000000010000" w:firstRow="0" w:lastRow="0" w:firstColumn="0" w:lastColumn="0" w:oddVBand="0" w:evenVBand="0" w:oddHBand="0" w:evenHBand="1" w:firstRowFirstColumn="0" w:firstRowLastColumn="0" w:lastRowFirstColumn="0" w:lastRowLastColumn="0"/>
            </w:pPr>
            <w:r>
              <w:t>national gas rules</w:t>
            </w:r>
          </w:p>
        </w:tc>
      </w:tr>
      <w:tr w:rsidR="002C6AAE" w:rsidTr="002C6AAE">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t>NPV</w:t>
            </w:r>
          </w:p>
        </w:tc>
        <w:tc>
          <w:tcPr>
            <w:tcW w:w="5041" w:type="dxa"/>
            <w:tcBorders>
              <w:top w:val="nil"/>
              <w:left w:val="nil"/>
              <w:bottom w:val="nil"/>
              <w:right w:val="nil"/>
            </w:tcBorders>
            <w:hideMark/>
          </w:tcPr>
          <w:p w:rsidR="002C6AAE" w:rsidRDefault="002C6AAE">
            <w:pPr>
              <w:cnfStyle w:val="000000000000" w:firstRow="0" w:lastRow="0" w:firstColumn="0" w:lastColumn="0" w:oddVBand="0" w:evenVBand="0" w:oddHBand="0" w:evenHBand="0" w:firstRowFirstColumn="0" w:firstRowLastColumn="0" w:lastRowFirstColumn="0" w:lastRowLastColumn="0"/>
            </w:pPr>
            <w:r>
              <w:t>net present value</w:t>
            </w:r>
          </w:p>
        </w:tc>
      </w:tr>
      <w:tr w:rsidR="002C6AAE" w:rsidTr="002C6AA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t>opex</w:t>
            </w:r>
          </w:p>
        </w:tc>
        <w:tc>
          <w:tcPr>
            <w:tcW w:w="5041" w:type="dxa"/>
            <w:tcBorders>
              <w:top w:val="nil"/>
              <w:left w:val="nil"/>
              <w:bottom w:val="nil"/>
              <w:right w:val="nil"/>
            </w:tcBorders>
            <w:hideMark/>
          </w:tcPr>
          <w:p w:rsidR="002C6AAE" w:rsidRDefault="002C6AAE" w:rsidP="002C6AAE">
            <w:pPr>
              <w:numPr>
                <w:ilvl w:val="0"/>
                <w:numId w:val="28"/>
              </w:numPr>
              <w:cnfStyle w:val="000000010000" w:firstRow="0" w:lastRow="0" w:firstColumn="0" w:lastColumn="0" w:oddVBand="0" w:evenVBand="0" w:oddHBand="0" w:evenHBand="1" w:firstRowFirstColumn="0" w:firstRowLastColumn="0" w:lastRowFirstColumn="0" w:lastRowLastColumn="0"/>
            </w:pPr>
            <w:r>
              <w:t>operating expenditure</w:t>
            </w:r>
          </w:p>
        </w:tc>
      </w:tr>
      <w:tr w:rsidR="002C6AAE" w:rsidTr="002C6AAE">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t>PFP</w:t>
            </w:r>
          </w:p>
        </w:tc>
        <w:tc>
          <w:tcPr>
            <w:tcW w:w="5041" w:type="dxa"/>
            <w:tcBorders>
              <w:top w:val="nil"/>
              <w:left w:val="nil"/>
              <w:bottom w:val="nil"/>
              <w:right w:val="nil"/>
            </w:tcBorders>
            <w:hideMark/>
          </w:tcPr>
          <w:p w:rsidR="002C6AAE" w:rsidRDefault="002C6AAE">
            <w:pPr>
              <w:cnfStyle w:val="000000000000" w:firstRow="0" w:lastRow="0" w:firstColumn="0" w:lastColumn="0" w:oddVBand="0" w:evenVBand="0" w:oddHBand="0" w:evenHBand="0" w:firstRowFirstColumn="0" w:firstRowLastColumn="0" w:lastRowFirstColumn="0" w:lastRowLastColumn="0"/>
            </w:pPr>
            <w:r>
              <w:t>partial factor productivity</w:t>
            </w:r>
          </w:p>
        </w:tc>
      </w:tr>
      <w:tr w:rsidR="002C6AAE" w:rsidTr="002C6AA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t>PPI</w:t>
            </w:r>
          </w:p>
        </w:tc>
        <w:tc>
          <w:tcPr>
            <w:tcW w:w="5041" w:type="dxa"/>
            <w:tcBorders>
              <w:top w:val="nil"/>
              <w:left w:val="nil"/>
              <w:bottom w:val="nil"/>
              <w:right w:val="nil"/>
            </w:tcBorders>
            <w:hideMark/>
          </w:tcPr>
          <w:p w:rsidR="002C6AAE" w:rsidRDefault="002C6AAE" w:rsidP="002C6AAE">
            <w:pPr>
              <w:numPr>
                <w:ilvl w:val="0"/>
                <w:numId w:val="28"/>
              </w:numPr>
              <w:cnfStyle w:val="000000010000" w:firstRow="0" w:lastRow="0" w:firstColumn="0" w:lastColumn="0" w:oddVBand="0" w:evenVBand="0" w:oddHBand="0" w:evenHBand="1" w:firstRowFirstColumn="0" w:firstRowLastColumn="0" w:lastRowFirstColumn="0" w:lastRowLastColumn="0"/>
            </w:pPr>
            <w:r>
              <w:t>partial performance indicators</w:t>
            </w:r>
          </w:p>
        </w:tc>
      </w:tr>
      <w:tr w:rsidR="002C6AAE" w:rsidTr="002C6AAE">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t>PTRM</w:t>
            </w:r>
          </w:p>
        </w:tc>
        <w:tc>
          <w:tcPr>
            <w:tcW w:w="5041" w:type="dxa"/>
            <w:tcBorders>
              <w:top w:val="nil"/>
              <w:left w:val="nil"/>
              <w:bottom w:val="nil"/>
              <w:right w:val="nil"/>
            </w:tcBorders>
            <w:hideMark/>
          </w:tcPr>
          <w:p w:rsidR="002C6AAE" w:rsidRDefault="002C6AAE" w:rsidP="002C6AAE">
            <w:pPr>
              <w:numPr>
                <w:ilvl w:val="0"/>
                <w:numId w:val="28"/>
              </w:numPr>
              <w:cnfStyle w:val="000000000000" w:firstRow="0" w:lastRow="0" w:firstColumn="0" w:lastColumn="0" w:oddVBand="0" w:evenVBand="0" w:oddHBand="0" w:evenHBand="0" w:firstRowFirstColumn="0" w:firstRowLastColumn="0" w:lastRowFirstColumn="0" w:lastRowLastColumn="0"/>
            </w:pPr>
            <w:r>
              <w:t>post-tax revenue model</w:t>
            </w:r>
          </w:p>
        </w:tc>
      </w:tr>
      <w:tr w:rsidR="002C6AAE" w:rsidTr="002C6AA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t>RBA</w:t>
            </w:r>
          </w:p>
        </w:tc>
        <w:tc>
          <w:tcPr>
            <w:tcW w:w="5041" w:type="dxa"/>
            <w:tcBorders>
              <w:top w:val="nil"/>
              <w:left w:val="nil"/>
              <w:bottom w:val="nil"/>
              <w:right w:val="nil"/>
            </w:tcBorders>
            <w:hideMark/>
          </w:tcPr>
          <w:p w:rsidR="002C6AAE" w:rsidRDefault="002C6AAE" w:rsidP="002C6AAE">
            <w:pPr>
              <w:numPr>
                <w:ilvl w:val="0"/>
                <w:numId w:val="28"/>
              </w:numPr>
              <w:cnfStyle w:val="000000010000" w:firstRow="0" w:lastRow="0" w:firstColumn="0" w:lastColumn="0" w:oddVBand="0" w:evenVBand="0" w:oddHBand="0" w:evenHBand="1" w:firstRowFirstColumn="0" w:firstRowLastColumn="0" w:lastRowFirstColumn="0" w:lastRowLastColumn="0"/>
            </w:pPr>
            <w:r>
              <w:t>Reserve Bank of Australia</w:t>
            </w:r>
          </w:p>
        </w:tc>
      </w:tr>
      <w:tr w:rsidR="002C6AAE" w:rsidTr="002C6AAE">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t>RFM</w:t>
            </w:r>
          </w:p>
        </w:tc>
        <w:tc>
          <w:tcPr>
            <w:tcW w:w="5041" w:type="dxa"/>
            <w:tcBorders>
              <w:top w:val="nil"/>
              <w:left w:val="nil"/>
              <w:bottom w:val="nil"/>
              <w:right w:val="nil"/>
            </w:tcBorders>
            <w:hideMark/>
          </w:tcPr>
          <w:p w:rsidR="002C6AAE" w:rsidRDefault="002C6AAE" w:rsidP="002C6AAE">
            <w:pPr>
              <w:numPr>
                <w:ilvl w:val="0"/>
                <w:numId w:val="28"/>
              </w:numPr>
              <w:cnfStyle w:val="000000000000" w:firstRow="0" w:lastRow="0" w:firstColumn="0" w:lastColumn="0" w:oddVBand="0" w:evenVBand="0" w:oddHBand="0" w:evenHBand="0" w:firstRowFirstColumn="0" w:firstRowLastColumn="0" w:lastRowFirstColumn="0" w:lastRowLastColumn="0"/>
            </w:pPr>
            <w:r>
              <w:t>roll forward model</w:t>
            </w:r>
          </w:p>
        </w:tc>
      </w:tr>
      <w:tr w:rsidR="002C6AAE" w:rsidTr="002C6AA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t>RIN</w:t>
            </w:r>
          </w:p>
        </w:tc>
        <w:tc>
          <w:tcPr>
            <w:tcW w:w="5041" w:type="dxa"/>
            <w:tcBorders>
              <w:top w:val="nil"/>
              <w:left w:val="nil"/>
              <w:bottom w:val="nil"/>
              <w:right w:val="nil"/>
            </w:tcBorders>
            <w:hideMark/>
          </w:tcPr>
          <w:p w:rsidR="002C6AAE" w:rsidRDefault="002C6AAE" w:rsidP="002C6AAE">
            <w:pPr>
              <w:numPr>
                <w:ilvl w:val="0"/>
                <w:numId w:val="28"/>
              </w:numPr>
              <w:cnfStyle w:val="000000010000" w:firstRow="0" w:lastRow="0" w:firstColumn="0" w:lastColumn="0" w:oddVBand="0" w:evenVBand="0" w:oddHBand="0" w:evenHBand="1" w:firstRowFirstColumn="0" w:firstRowLastColumn="0" w:lastRowFirstColumn="0" w:lastRowLastColumn="0"/>
            </w:pPr>
            <w:r>
              <w:t>regulatory information notice</w:t>
            </w:r>
          </w:p>
        </w:tc>
      </w:tr>
      <w:tr w:rsidR="002C6AAE" w:rsidTr="002C6AAE">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t>RPP</w:t>
            </w:r>
          </w:p>
        </w:tc>
        <w:tc>
          <w:tcPr>
            <w:tcW w:w="5041" w:type="dxa"/>
            <w:tcBorders>
              <w:top w:val="nil"/>
              <w:left w:val="nil"/>
              <w:bottom w:val="nil"/>
              <w:right w:val="nil"/>
            </w:tcBorders>
            <w:hideMark/>
          </w:tcPr>
          <w:p w:rsidR="002C6AAE" w:rsidRDefault="002C6AAE" w:rsidP="002C6AAE">
            <w:pPr>
              <w:numPr>
                <w:ilvl w:val="0"/>
                <w:numId w:val="28"/>
              </w:numPr>
              <w:cnfStyle w:val="000000000000" w:firstRow="0" w:lastRow="0" w:firstColumn="0" w:lastColumn="0" w:oddVBand="0" w:evenVBand="0" w:oddHBand="0" w:evenHBand="0" w:firstRowFirstColumn="0" w:firstRowLastColumn="0" w:lastRowFirstColumn="0" w:lastRowLastColumn="0"/>
            </w:pPr>
            <w:r>
              <w:t>revenue and pricing principles</w:t>
            </w:r>
          </w:p>
        </w:tc>
      </w:tr>
      <w:tr w:rsidR="002C6AAE" w:rsidTr="002C6AA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t>SLCAPM</w:t>
            </w:r>
          </w:p>
        </w:tc>
        <w:tc>
          <w:tcPr>
            <w:tcW w:w="5041" w:type="dxa"/>
            <w:tcBorders>
              <w:top w:val="nil"/>
              <w:left w:val="nil"/>
              <w:bottom w:val="nil"/>
              <w:right w:val="nil"/>
            </w:tcBorders>
            <w:hideMark/>
          </w:tcPr>
          <w:p w:rsidR="002C6AAE" w:rsidRDefault="002C6AAE" w:rsidP="002C6AAE">
            <w:pPr>
              <w:numPr>
                <w:ilvl w:val="0"/>
                <w:numId w:val="28"/>
              </w:numPr>
              <w:cnfStyle w:val="000000010000" w:firstRow="0" w:lastRow="0" w:firstColumn="0" w:lastColumn="0" w:oddVBand="0" w:evenVBand="0" w:oddHBand="0" w:evenHBand="1" w:firstRowFirstColumn="0" w:firstRowLastColumn="0" w:lastRowFirstColumn="0" w:lastRowLastColumn="0"/>
            </w:pPr>
            <w:r>
              <w:t>Sharpe-Lintner capital asset pricing model</w:t>
            </w:r>
          </w:p>
        </w:tc>
      </w:tr>
      <w:tr w:rsidR="002C6AAE" w:rsidTr="002C6AAE">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lastRenderedPageBreak/>
              <w:t>TAB</w:t>
            </w:r>
          </w:p>
        </w:tc>
        <w:tc>
          <w:tcPr>
            <w:tcW w:w="5041" w:type="dxa"/>
            <w:tcBorders>
              <w:top w:val="nil"/>
              <w:left w:val="nil"/>
              <w:bottom w:val="nil"/>
              <w:right w:val="nil"/>
            </w:tcBorders>
            <w:hideMark/>
          </w:tcPr>
          <w:p w:rsidR="002C6AAE" w:rsidRDefault="002C6AAE">
            <w:pPr>
              <w:cnfStyle w:val="000000000000" w:firstRow="0" w:lastRow="0" w:firstColumn="0" w:lastColumn="0" w:oddVBand="0" w:evenVBand="0" w:oddHBand="0" w:evenHBand="0" w:firstRowFirstColumn="0" w:firstRowLastColumn="0" w:lastRowFirstColumn="0" w:lastRowLastColumn="0"/>
            </w:pPr>
            <w:r>
              <w:t>Tax asset base</w:t>
            </w:r>
          </w:p>
        </w:tc>
      </w:tr>
      <w:tr w:rsidR="002C6AAE" w:rsidTr="002C6AA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t>UAFG</w:t>
            </w:r>
          </w:p>
        </w:tc>
        <w:tc>
          <w:tcPr>
            <w:tcW w:w="5041" w:type="dxa"/>
            <w:tcBorders>
              <w:top w:val="nil"/>
              <w:left w:val="nil"/>
              <w:bottom w:val="nil"/>
              <w:right w:val="nil"/>
            </w:tcBorders>
            <w:hideMark/>
          </w:tcPr>
          <w:p w:rsidR="002C6AAE" w:rsidRDefault="002C6AAE">
            <w:pPr>
              <w:cnfStyle w:val="000000010000" w:firstRow="0" w:lastRow="0" w:firstColumn="0" w:lastColumn="0" w:oddVBand="0" w:evenVBand="0" w:oddHBand="0" w:evenHBand="1" w:firstRowFirstColumn="0" w:firstRowLastColumn="0" w:lastRowFirstColumn="0" w:lastRowLastColumn="0"/>
            </w:pPr>
            <w:r>
              <w:t>Unaccounted for gas</w:t>
            </w:r>
          </w:p>
        </w:tc>
      </w:tr>
      <w:tr w:rsidR="002C6AAE" w:rsidTr="002C6AAE">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2C6AAE" w:rsidRDefault="002C6AAE" w:rsidP="002C6AAE">
            <w:pPr>
              <w:numPr>
                <w:ilvl w:val="0"/>
                <w:numId w:val="28"/>
              </w:numPr>
            </w:pPr>
            <w:r>
              <w:t>WACC</w:t>
            </w:r>
          </w:p>
        </w:tc>
        <w:tc>
          <w:tcPr>
            <w:tcW w:w="5041" w:type="dxa"/>
            <w:tcBorders>
              <w:top w:val="nil"/>
              <w:left w:val="nil"/>
              <w:bottom w:val="nil"/>
              <w:right w:val="nil"/>
            </w:tcBorders>
            <w:hideMark/>
          </w:tcPr>
          <w:p w:rsidR="002C6AAE" w:rsidRDefault="002C6AAE" w:rsidP="002C6AAE">
            <w:pPr>
              <w:numPr>
                <w:ilvl w:val="0"/>
                <w:numId w:val="28"/>
              </w:numPr>
              <w:cnfStyle w:val="000000000000" w:firstRow="0" w:lastRow="0" w:firstColumn="0" w:lastColumn="0" w:oddVBand="0" w:evenVBand="0" w:oddHBand="0" w:evenHBand="0" w:firstRowFirstColumn="0" w:firstRowLastColumn="0" w:lastRowFirstColumn="0" w:lastRowLastColumn="0"/>
            </w:pPr>
            <w:r>
              <w:t>weighted average cost of capital</w:t>
            </w:r>
          </w:p>
        </w:tc>
      </w:tr>
      <w:tr w:rsidR="002C6AAE" w:rsidTr="002C6AA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single" w:sz="4" w:space="0" w:color="365F91"/>
              <w:right w:val="nil"/>
            </w:tcBorders>
            <w:hideMark/>
          </w:tcPr>
          <w:p w:rsidR="002C6AAE" w:rsidRDefault="002C6AAE" w:rsidP="002C6AAE">
            <w:pPr>
              <w:numPr>
                <w:ilvl w:val="0"/>
                <w:numId w:val="28"/>
              </w:numPr>
            </w:pPr>
            <w:r>
              <w:t>WPI</w:t>
            </w:r>
          </w:p>
        </w:tc>
        <w:tc>
          <w:tcPr>
            <w:tcW w:w="5041" w:type="dxa"/>
            <w:tcBorders>
              <w:top w:val="nil"/>
              <w:left w:val="nil"/>
              <w:bottom w:val="single" w:sz="4" w:space="0" w:color="365F91"/>
              <w:right w:val="nil"/>
            </w:tcBorders>
            <w:hideMark/>
          </w:tcPr>
          <w:p w:rsidR="002C6AAE" w:rsidRDefault="002C6AAE">
            <w:pPr>
              <w:cnfStyle w:val="000000010000" w:firstRow="0" w:lastRow="0" w:firstColumn="0" w:lastColumn="0" w:oddVBand="0" w:evenVBand="0" w:oddHBand="0" w:evenHBand="1" w:firstRowFirstColumn="0" w:firstRowLastColumn="0" w:lastRowFirstColumn="0" w:lastRowLastColumn="0"/>
            </w:pPr>
            <w:r>
              <w:t>Wage Price Index</w:t>
            </w:r>
          </w:p>
        </w:tc>
      </w:tr>
    </w:tbl>
    <w:p w:rsidR="002C6AAE" w:rsidRPr="002C6AAE" w:rsidRDefault="002C6AAE" w:rsidP="002C6AAE"/>
    <w:p w:rsidR="00DE563D" w:rsidRDefault="00060D7C" w:rsidP="00060D7C">
      <w:pPr>
        <w:pStyle w:val="Heading1"/>
      </w:pPr>
      <w:bookmarkStart w:id="10" w:name="_Toc436042745"/>
      <w:r>
        <w:lastRenderedPageBreak/>
        <w:t>Capital</w:t>
      </w:r>
      <w:r w:rsidR="009A2EC3">
        <w:t xml:space="preserve"> expenditure</w:t>
      </w:r>
      <w:bookmarkEnd w:id="10"/>
    </w:p>
    <w:p w:rsidR="00EE384C" w:rsidRPr="00EE384C" w:rsidRDefault="00EE384C" w:rsidP="00EE384C">
      <w:r w:rsidRPr="00EE386B">
        <w:t xml:space="preserve">This attachment outlines </w:t>
      </w:r>
      <w:r>
        <w:t>our</w:t>
      </w:r>
      <w:r w:rsidRPr="00EE386B">
        <w:t xml:space="preserve"> assessment of </w:t>
      </w:r>
      <w:r w:rsidRPr="00EE384C">
        <w:rPr>
          <w:lang w:val="en"/>
        </w:rPr>
        <w:t>APTNT</w:t>
      </w:r>
      <w:r w:rsidR="008B5C51">
        <w:t>’</w:t>
      </w:r>
      <w:r>
        <w:t xml:space="preserve">s </w:t>
      </w:r>
      <w:r w:rsidRPr="00EE386B">
        <w:t xml:space="preserve">proposed </w:t>
      </w:r>
      <w:r>
        <w:t xml:space="preserve">conforming </w:t>
      </w:r>
      <w:r w:rsidRPr="00EE386B">
        <w:t xml:space="preserve">capex for </w:t>
      </w:r>
      <w:r w:rsidR="00843CB1">
        <w:t>2010</w:t>
      </w:r>
      <w:r w:rsidRPr="00EE386B">
        <w:t>–</w:t>
      </w:r>
      <w:r w:rsidR="00120490">
        <w:t xml:space="preserve">2016 </w:t>
      </w:r>
      <w:r w:rsidRPr="00EE386B">
        <w:t xml:space="preserve">and forecast capex for the </w:t>
      </w:r>
      <w:r w:rsidR="006A555A">
        <w:t>2016–21</w:t>
      </w:r>
      <w:r w:rsidRPr="00EE386B">
        <w:t xml:space="preserve"> access arrangement period.</w:t>
      </w:r>
    </w:p>
    <w:p w:rsidR="009A5113" w:rsidRDefault="00CF2C05" w:rsidP="00140D62">
      <w:pPr>
        <w:pStyle w:val="Heading2"/>
      </w:pPr>
      <w:bookmarkStart w:id="11" w:name="_Toc408404320"/>
      <w:bookmarkStart w:id="12" w:name="_Toc436042746"/>
      <w:r w:rsidRPr="00666CC6">
        <w:t>Draft</w:t>
      </w:r>
      <w:r w:rsidR="009A5113" w:rsidRPr="0074565D">
        <w:t xml:space="preserve"> decision</w:t>
      </w:r>
      <w:bookmarkEnd w:id="11"/>
      <w:bookmarkEnd w:id="12"/>
    </w:p>
    <w:p w:rsidR="004241B0" w:rsidRPr="00FF31F7" w:rsidRDefault="00E03561" w:rsidP="00FF31F7">
      <w:pPr>
        <w:pStyle w:val="Heading3"/>
      </w:pPr>
      <w:bookmarkStart w:id="13" w:name="_Toc436042747"/>
      <w:r w:rsidRPr="00CA131C">
        <w:t xml:space="preserve">Conforming </w:t>
      </w:r>
      <w:r>
        <w:t xml:space="preserve">capex </w:t>
      </w:r>
      <w:r w:rsidR="00843CB1">
        <w:t xml:space="preserve">for </w:t>
      </w:r>
      <w:r w:rsidRPr="00CA131C">
        <w:t>201</w:t>
      </w:r>
      <w:r w:rsidR="00843CB1">
        <w:t>0</w:t>
      </w:r>
      <w:r w:rsidRPr="00CA131C">
        <w:t>–</w:t>
      </w:r>
      <w:r w:rsidRPr="00FF31F7">
        <w:t>16</w:t>
      </w:r>
      <w:bookmarkEnd w:id="13"/>
      <w:r w:rsidRPr="00FF31F7">
        <w:t xml:space="preserve"> </w:t>
      </w:r>
    </w:p>
    <w:p w:rsidR="00AB1037" w:rsidRDefault="004241B0" w:rsidP="0046531F">
      <w:r>
        <w:t>We</w:t>
      </w:r>
      <w:r w:rsidRPr="00EE386B">
        <w:t xml:space="preserve"> approve </w:t>
      </w:r>
      <w:r w:rsidRPr="00BA1584">
        <w:t>$</w:t>
      </w:r>
      <w:r w:rsidR="00BA1584" w:rsidRPr="00BA1584">
        <w:t>37.</w:t>
      </w:r>
      <w:r w:rsidR="009F041B">
        <w:t>4</w:t>
      </w:r>
      <w:r w:rsidRPr="00EE386B">
        <w:t xml:space="preserve"> million ($</w:t>
      </w:r>
      <w:r w:rsidR="000B70FD">
        <w:t>2015–16</w:t>
      </w:r>
      <w:r w:rsidRPr="00EE386B">
        <w:t xml:space="preserve">) </w:t>
      </w:r>
      <w:r w:rsidR="00453AFD">
        <w:t xml:space="preserve">of APTNT’s </w:t>
      </w:r>
      <w:r w:rsidR="00702FC2">
        <w:t xml:space="preserve">proposed </w:t>
      </w:r>
      <w:r w:rsidRPr="00EE386B">
        <w:t>total net capex</w:t>
      </w:r>
      <w:r w:rsidR="00702FC2">
        <w:t xml:space="preserve"> of $44.</w:t>
      </w:r>
      <w:r w:rsidR="006A555A">
        <w:t>4</w:t>
      </w:r>
      <w:r w:rsidR="00702FC2">
        <w:t> million</w:t>
      </w:r>
      <w:r w:rsidRPr="00EE386B">
        <w:t xml:space="preserve"> for </w:t>
      </w:r>
      <w:r w:rsidR="00173F9F">
        <w:t xml:space="preserve">the </w:t>
      </w:r>
      <w:r w:rsidR="006A555A">
        <w:t>2011–16</w:t>
      </w:r>
      <w:r w:rsidRPr="00EE386B">
        <w:t xml:space="preserve"> </w:t>
      </w:r>
      <w:r w:rsidR="00173F9F">
        <w:t xml:space="preserve">access arrangement period </w:t>
      </w:r>
      <w:r w:rsidRPr="00EE386B">
        <w:t>as conforming capex under r</w:t>
      </w:r>
      <w:r w:rsidR="00C9745C">
        <w:t>ule</w:t>
      </w:r>
      <w:r w:rsidR="006478AA">
        <w:t> </w:t>
      </w:r>
      <w:r w:rsidRPr="00EE386B">
        <w:t>79(1) of the NGR.</w:t>
      </w:r>
      <w:r w:rsidR="00702FC2">
        <w:t xml:space="preserve"> We also approve APTNT’s actual capex of $4.5 million ($</w:t>
      </w:r>
      <w:r w:rsidR="000B70FD">
        <w:t>2015–16</w:t>
      </w:r>
      <w:r w:rsidR="00702FC2">
        <w:t>) in the 2010</w:t>
      </w:r>
      <w:r w:rsidR="00C9745C">
        <w:t>–</w:t>
      </w:r>
      <w:r w:rsidR="00702FC2">
        <w:t>11 year as conforming capex</w:t>
      </w:r>
      <w:r w:rsidR="0046531F">
        <w:t xml:space="preserve"> for the purpose of establishing the opening capital base</w:t>
      </w:r>
      <w:r w:rsidR="005F7135">
        <w:t xml:space="preserve"> for the </w:t>
      </w:r>
      <w:r w:rsidR="006A555A">
        <w:t>2011–16</w:t>
      </w:r>
      <w:r w:rsidR="005F7135">
        <w:t xml:space="preserve"> access arrangement period.</w:t>
      </w:r>
      <w:r w:rsidR="00486F2F">
        <w:t xml:space="preserve"> </w:t>
      </w:r>
    </w:p>
    <w:p w:rsidR="0046531F" w:rsidRDefault="008D0B85" w:rsidP="0046531F">
      <w:r>
        <w:fldChar w:fldCharType="begin"/>
      </w:r>
      <w:r>
        <w:instrText xml:space="preserve"> REF _Ref404334270 \h </w:instrText>
      </w:r>
      <w:r>
        <w:fldChar w:fldCharType="separate"/>
      </w:r>
      <w:r w:rsidR="00F65E22">
        <w:t xml:space="preserve">Table </w:t>
      </w:r>
      <w:r w:rsidR="00F65E22">
        <w:rPr>
          <w:noProof/>
        </w:rPr>
        <w:t>6</w:t>
      </w:r>
      <w:r w:rsidR="00F65E22">
        <w:t>.</w:t>
      </w:r>
      <w:r w:rsidR="00F65E22">
        <w:rPr>
          <w:noProof/>
        </w:rPr>
        <w:t>1</w:t>
      </w:r>
      <w:r>
        <w:fldChar w:fldCharType="end"/>
      </w:r>
      <w:r w:rsidR="0046531F">
        <w:t xml:space="preserve"> </w:t>
      </w:r>
      <w:r w:rsidR="0046531F" w:rsidRPr="00CA131C">
        <w:t>shows approved capex for the 201</w:t>
      </w:r>
      <w:r w:rsidR="006A555A">
        <w:t>0–</w:t>
      </w:r>
      <w:r w:rsidR="0046531F">
        <w:t>16</w:t>
      </w:r>
      <w:r w:rsidR="0046531F" w:rsidRPr="00CA131C">
        <w:t xml:space="preserve"> period by category.</w:t>
      </w:r>
    </w:p>
    <w:p w:rsidR="004241B0" w:rsidRDefault="004241B0" w:rsidP="004241B0">
      <w:pPr>
        <w:pStyle w:val="Caption"/>
      </w:pPr>
      <w:bookmarkStart w:id="14" w:name="_Ref404334270"/>
      <w:r>
        <w:t xml:space="preserve">Table </w:t>
      </w:r>
      <w:fldSimple w:instr=" STYLEREF 1 \s ">
        <w:r w:rsidR="00F65E22">
          <w:rPr>
            <w:noProof/>
          </w:rPr>
          <w:t>6</w:t>
        </w:r>
      </w:fldSimple>
      <w:r w:rsidR="00F11395">
        <w:t>.</w:t>
      </w:r>
      <w:fldSimple w:instr=" SEQ Table \* ARABIC \s 1 ">
        <w:r w:rsidR="00F65E22">
          <w:rPr>
            <w:noProof/>
          </w:rPr>
          <w:t>1</w:t>
        </w:r>
      </w:fldSimple>
      <w:bookmarkEnd w:id="14"/>
      <w:r>
        <w:tab/>
      </w:r>
      <w:r w:rsidRPr="00EE71BA">
        <w:t xml:space="preserve">AER approved capital expenditure by </w:t>
      </w:r>
      <w:r w:rsidR="002F0B45">
        <w:t>category</w:t>
      </w:r>
      <w:r w:rsidRPr="00EE71BA">
        <w:t xml:space="preserve"> over </w:t>
      </w:r>
      <w:r w:rsidR="009632E7">
        <w:t xml:space="preserve">the </w:t>
      </w:r>
      <w:r w:rsidRPr="00EE71BA">
        <w:t>20</w:t>
      </w:r>
      <w:r w:rsidR="006A555A">
        <w:t>10</w:t>
      </w:r>
      <w:r w:rsidRPr="00EE71BA">
        <w:t>–1</w:t>
      </w:r>
      <w:r w:rsidR="00007116">
        <w:t>6</w:t>
      </w:r>
      <w:r w:rsidR="00F97C28">
        <w:t xml:space="preserve"> period</w:t>
      </w:r>
      <w:r w:rsidRPr="00EE71BA">
        <w:t xml:space="preserve"> ($million, </w:t>
      </w:r>
      <w:r w:rsidR="000B70FD">
        <w:t>2015–16</w:t>
      </w:r>
      <w:r w:rsidRPr="00EE71BA">
        <w:t>)</w:t>
      </w:r>
    </w:p>
    <w:tbl>
      <w:tblPr>
        <w:tblStyle w:val="AERtable-numbers"/>
        <w:tblW w:w="5000" w:type="pct"/>
        <w:tblLook w:val="04A0" w:firstRow="1" w:lastRow="0" w:firstColumn="1" w:lastColumn="0" w:noHBand="0" w:noVBand="1"/>
      </w:tblPr>
      <w:tblGrid>
        <w:gridCol w:w="2094"/>
        <w:gridCol w:w="943"/>
        <w:gridCol w:w="943"/>
        <w:gridCol w:w="943"/>
        <w:gridCol w:w="943"/>
        <w:gridCol w:w="943"/>
        <w:gridCol w:w="942"/>
        <w:gridCol w:w="942"/>
      </w:tblGrid>
      <w:tr w:rsidR="00486F2F" w:rsidRPr="004F416F" w:rsidTr="00AB1037">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203" w:type="pct"/>
            <w:hideMark/>
          </w:tcPr>
          <w:p w:rsidR="00486F2F" w:rsidRPr="00120490" w:rsidRDefault="00486F2F" w:rsidP="00D423BC">
            <w:pPr>
              <w:rPr>
                <w:szCs w:val="16"/>
              </w:rPr>
            </w:pPr>
            <w:r w:rsidRPr="00120490">
              <w:rPr>
                <w:szCs w:val="16"/>
              </w:rPr>
              <w:t> Category</w:t>
            </w:r>
          </w:p>
        </w:tc>
        <w:tc>
          <w:tcPr>
            <w:tcW w:w="542" w:type="pct"/>
            <w:hideMark/>
          </w:tcPr>
          <w:p w:rsidR="00486F2F" w:rsidRPr="00120490" w:rsidRDefault="00486F2F" w:rsidP="00007116">
            <w:pPr>
              <w:pStyle w:val="AERtabletextright"/>
              <w:cnfStyle w:val="100000000000" w:firstRow="1" w:lastRow="0" w:firstColumn="0" w:lastColumn="0" w:oddVBand="0" w:evenVBand="0" w:oddHBand="0" w:evenHBand="0" w:firstRowFirstColumn="0" w:firstRowLastColumn="0" w:lastRowFirstColumn="0" w:lastRowLastColumn="0"/>
              <w:rPr>
                <w:sz w:val="16"/>
                <w:szCs w:val="16"/>
              </w:rPr>
            </w:pPr>
            <w:r w:rsidRPr="00120490">
              <w:rPr>
                <w:sz w:val="16"/>
                <w:szCs w:val="16"/>
              </w:rPr>
              <w:t>2010</w:t>
            </w:r>
            <w:r>
              <w:rPr>
                <w:sz w:val="16"/>
                <w:szCs w:val="16"/>
              </w:rPr>
              <w:t>-</w:t>
            </w:r>
            <w:r w:rsidRPr="00120490">
              <w:rPr>
                <w:sz w:val="16"/>
                <w:szCs w:val="16"/>
              </w:rPr>
              <w:t>11</w:t>
            </w:r>
            <w:r w:rsidRPr="00AB1037">
              <w:rPr>
                <w:rStyle w:val="AERsuperscript"/>
              </w:rPr>
              <w:t>(a)</w:t>
            </w:r>
          </w:p>
        </w:tc>
        <w:tc>
          <w:tcPr>
            <w:tcW w:w="542" w:type="pct"/>
            <w:hideMark/>
          </w:tcPr>
          <w:p w:rsidR="00486F2F" w:rsidRPr="00120490" w:rsidRDefault="00486F2F" w:rsidP="00007116">
            <w:pPr>
              <w:pStyle w:val="AERtabletextright"/>
              <w:cnfStyle w:val="100000000000" w:firstRow="1" w:lastRow="0" w:firstColumn="0" w:lastColumn="0" w:oddVBand="0" w:evenVBand="0" w:oddHBand="0" w:evenHBand="0" w:firstRowFirstColumn="0" w:firstRowLastColumn="0" w:lastRowFirstColumn="0" w:lastRowLastColumn="0"/>
              <w:rPr>
                <w:sz w:val="16"/>
                <w:szCs w:val="16"/>
              </w:rPr>
            </w:pPr>
            <w:r w:rsidRPr="00120490">
              <w:rPr>
                <w:sz w:val="16"/>
                <w:szCs w:val="16"/>
              </w:rPr>
              <w:t>2011</w:t>
            </w:r>
            <w:r>
              <w:rPr>
                <w:sz w:val="16"/>
                <w:szCs w:val="16"/>
              </w:rPr>
              <w:t>-</w:t>
            </w:r>
            <w:r w:rsidRPr="00120490">
              <w:rPr>
                <w:sz w:val="16"/>
                <w:szCs w:val="16"/>
              </w:rPr>
              <w:t>12</w:t>
            </w:r>
          </w:p>
        </w:tc>
        <w:tc>
          <w:tcPr>
            <w:tcW w:w="542" w:type="pct"/>
            <w:hideMark/>
          </w:tcPr>
          <w:p w:rsidR="00486F2F" w:rsidRPr="00120490" w:rsidRDefault="00486F2F" w:rsidP="00007116">
            <w:pPr>
              <w:pStyle w:val="AERtabletextright"/>
              <w:cnfStyle w:val="100000000000" w:firstRow="1" w:lastRow="0" w:firstColumn="0" w:lastColumn="0" w:oddVBand="0" w:evenVBand="0" w:oddHBand="0" w:evenHBand="0" w:firstRowFirstColumn="0" w:firstRowLastColumn="0" w:lastRowFirstColumn="0" w:lastRowLastColumn="0"/>
              <w:rPr>
                <w:sz w:val="16"/>
                <w:szCs w:val="16"/>
              </w:rPr>
            </w:pPr>
            <w:r w:rsidRPr="00120490">
              <w:rPr>
                <w:sz w:val="16"/>
                <w:szCs w:val="16"/>
              </w:rPr>
              <w:t>2012</w:t>
            </w:r>
            <w:r>
              <w:rPr>
                <w:sz w:val="16"/>
                <w:szCs w:val="16"/>
              </w:rPr>
              <w:t>-</w:t>
            </w:r>
            <w:r w:rsidRPr="00120490">
              <w:rPr>
                <w:sz w:val="16"/>
                <w:szCs w:val="16"/>
              </w:rPr>
              <w:t>13</w:t>
            </w:r>
          </w:p>
        </w:tc>
        <w:tc>
          <w:tcPr>
            <w:tcW w:w="542" w:type="pct"/>
            <w:hideMark/>
          </w:tcPr>
          <w:p w:rsidR="00486F2F" w:rsidRPr="00120490" w:rsidRDefault="00486F2F" w:rsidP="00007116">
            <w:pPr>
              <w:pStyle w:val="AERtabletextright"/>
              <w:cnfStyle w:val="100000000000" w:firstRow="1" w:lastRow="0" w:firstColumn="0" w:lastColumn="0" w:oddVBand="0" w:evenVBand="0" w:oddHBand="0" w:evenHBand="0" w:firstRowFirstColumn="0" w:firstRowLastColumn="0" w:lastRowFirstColumn="0" w:lastRowLastColumn="0"/>
              <w:rPr>
                <w:sz w:val="16"/>
                <w:szCs w:val="16"/>
              </w:rPr>
            </w:pPr>
            <w:r w:rsidRPr="00120490">
              <w:rPr>
                <w:sz w:val="16"/>
                <w:szCs w:val="16"/>
              </w:rPr>
              <w:t>2013</w:t>
            </w:r>
            <w:r>
              <w:rPr>
                <w:sz w:val="16"/>
                <w:szCs w:val="16"/>
              </w:rPr>
              <w:t>-</w:t>
            </w:r>
            <w:r w:rsidRPr="00120490">
              <w:rPr>
                <w:sz w:val="16"/>
                <w:szCs w:val="16"/>
              </w:rPr>
              <w:t>14</w:t>
            </w:r>
          </w:p>
        </w:tc>
        <w:tc>
          <w:tcPr>
            <w:tcW w:w="542" w:type="pct"/>
            <w:hideMark/>
          </w:tcPr>
          <w:p w:rsidR="00486F2F" w:rsidRPr="00120490" w:rsidRDefault="00486F2F" w:rsidP="00007116">
            <w:pPr>
              <w:pStyle w:val="AERtabletextright"/>
              <w:cnfStyle w:val="100000000000" w:firstRow="1" w:lastRow="0" w:firstColumn="0" w:lastColumn="0" w:oddVBand="0" w:evenVBand="0" w:oddHBand="0" w:evenHBand="0" w:firstRowFirstColumn="0" w:firstRowLastColumn="0" w:lastRowFirstColumn="0" w:lastRowLastColumn="0"/>
              <w:rPr>
                <w:sz w:val="16"/>
                <w:szCs w:val="16"/>
              </w:rPr>
            </w:pPr>
            <w:r w:rsidRPr="00120490">
              <w:rPr>
                <w:sz w:val="16"/>
                <w:szCs w:val="16"/>
              </w:rPr>
              <w:t>2014</w:t>
            </w:r>
            <w:r>
              <w:rPr>
                <w:sz w:val="16"/>
                <w:szCs w:val="16"/>
              </w:rPr>
              <w:t>-</w:t>
            </w:r>
            <w:r w:rsidRPr="00120490">
              <w:rPr>
                <w:sz w:val="16"/>
                <w:szCs w:val="16"/>
              </w:rPr>
              <w:t>15</w:t>
            </w:r>
          </w:p>
        </w:tc>
        <w:tc>
          <w:tcPr>
            <w:tcW w:w="542" w:type="pct"/>
          </w:tcPr>
          <w:p w:rsidR="00486F2F" w:rsidRPr="00120490" w:rsidRDefault="00486F2F" w:rsidP="00007116">
            <w:pPr>
              <w:pStyle w:val="AERtabletextright"/>
              <w:cnfStyle w:val="100000000000" w:firstRow="1" w:lastRow="0" w:firstColumn="0" w:lastColumn="0" w:oddVBand="0" w:evenVBand="0" w:oddHBand="0" w:evenHBand="0" w:firstRowFirstColumn="0" w:firstRowLastColumn="0" w:lastRowFirstColumn="0" w:lastRowLastColumn="0"/>
              <w:rPr>
                <w:sz w:val="16"/>
                <w:szCs w:val="16"/>
              </w:rPr>
            </w:pPr>
            <w:r w:rsidRPr="00120490">
              <w:rPr>
                <w:sz w:val="16"/>
                <w:szCs w:val="16"/>
              </w:rPr>
              <w:t>2015</w:t>
            </w:r>
            <w:r>
              <w:rPr>
                <w:sz w:val="16"/>
                <w:szCs w:val="16"/>
              </w:rPr>
              <w:t>-</w:t>
            </w:r>
            <w:r w:rsidRPr="00120490">
              <w:rPr>
                <w:sz w:val="16"/>
                <w:szCs w:val="16"/>
              </w:rPr>
              <w:t>16</w:t>
            </w:r>
            <w:r w:rsidRPr="00120490">
              <w:rPr>
                <w:rStyle w:val="AERsuperscript"/>
                <w:szCs w:val="16"/>
              </w:rPr>
              <w:t>(</w:t>
            </w:r>
            <w:r>
              <w:rPr>
                <w:rStyle w:val="AERsuperscript"/>
                <w:szCs w:val="16"/>
              </w:rPr>
              <w:t>b</w:t>
            </w:r>
            <w:r w:rsidRPr="00120490">
              <w:rPr>
                <w:rStyle w:val="AERsuperscript"/>
                <w:szCs w:val="16"/>
              </w:rPr>
              <w:t>)</w:t>
            </w:r>
          </w:p>
        </w:tc>
        <w:tc>
          <w:tcPr>
            <w:tcW w:w="542" w:type="pct"/>
          </w:tcPr>
          <w:p w:rsidR="00486F2F" w:rsidRPr="00120490" w:rsidRDefault="00486F2F" w:rsidP="00007116">
            <w:pPr>
              <w:pStyle w:val="AERtabletextright"/>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Total (2011</w:t>
            </w:r>
            <w:r w:rsidR="00AB1037">
              <w:rPr>
                <w:sz w:val="16"/>
                <w:szCs w:val="16"/>
              </w:rPr>
              <w:t>-16</w:t>
            </w:r>
            <w:r>
              <w:rPr>
                <w:sz w:val="16"/>
                <w:szCs w:val="16"/>
              </w:rPr>
              <w:t>)</w:t>
            </w:r>
          </w:p>
        </w:tc>
      </w:tr>
      <w:tr w:rsidR="00486F2F" w:rsidRPr="004F416F" w:rsidTr="00AB1037">
        <w:trPr>
          <w:trHeight w:val="300"/>
        </w:trPr>
        <w:tc>
          <w:tcPr>
            <w:cnfStyle w:val="001000000000" w:firstRow="0" w:lastRow="0" w:firstColumn="1" w:lastColumn="0" w:oddVBand="0" w:evenVBand="0" w:oddHBand="0" w:evenHBand="0" w:firstRowFirstColumn="0" w:firstRowLastColumn="0" w:lastRowFirstColumn="0" w:lastRowLastColumn="0"/>
            <w:tcW w:w="1203" w:type="pct"/>
            <w:hideMark/>
          </w:tcPr>
          <w:p w:rsidR="00486F2F" w:rsidRPr="00120490" w:rsidRDefault="00486F2F" w:rsidP="002F0B45">
            <w:pPr>
              <w:rPr>
                <w:szCs w:val="16"/>
              </w:rPr>
            </w:pPr>
            <w:r w:rsidRPr="00120490">
              <w:rPr>
                <w:szCs w:val="16"/>
              </w:rPr>
              <w:t xml:space="preserve">Expansion </w:t>
            </w:r>
          </w:p>
        </w:tc>
        <w:tc>
          <w:tcPr>
            <w:tcW w:w="542" w:type="pct"/>
          </w:tcPr>
          <w:p w:rsidR="00486F2F" w:rsidRPr="00120490" w:rsidRDefault="00486F2F"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1.2</w:t>
            </w:r>
          </w:p>
        </w:tc>
        <w:tc>
          <w:tcPr>
            <w:tcW w:w="542" w:type="pct"/>
          </w:tcPr>
          <w:p w:rsidR="00486F2F" w:rsidRPr="00120490" w:rsidRDefault="00486F2F"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542" w:type="pct"/>
          </w:tcPr>
          <w:p w:rsidR="00486F2F" w:rsidRPr="00120490" w:rsidRDefault="00486F2F"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0.8</w:t>
            </w:r>
          </w:p>
        </w:tc>
        <w:tc>
          <w:tcPr>
            <w:tcW w:w="542" w:type="pct"/>
          </w:tcPr>
          <w:p w:rsidR="00486F2F" w:rsidRPr="00120490" w:rsidRDefault="00486F2F"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0.6</w:t>
            </w:r>
          </w:p>
        </w:tc>
        <w:tc>
          <w:tcPr>
            <w:tcW w:w="542" w:type="pct"/>
          </w:tcPr>
          <w:p w:rsidR="00486F2F" w:rsidRPr="00120490" w:rsidRDefault="00486F2F"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0.1</w:t>
            </w:r>
          </w:p>
        </w:tc>
        <w:tc>
          <w:tcPr>
            <w:tcW w:w="542" w:type="pct"/>
          </w:tcPr>
          <w:p w:rsidR="00486F2F" w:rsidRPr="00120490" w:rsidRDefault="00486F2F"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542" w:type="pct"/>
          </w:tcPr>
          <w:p w:rsidR="00486F2F" w:rsidRDefault="00AB1037"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1.4</w:t>
            </w:r>
          </w:p>
        </w:tc>
      </w:tr>
      <w:tr w:rsidR="00486F2F" w:rsidRPr="004F416F" w:rsidTr="00AB1037">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03" w:type="pct"/>
            <w:hideMark/>
          </w:tcPr>
          <w:p w:rsidR="00486F2F" w:rsidRPr="00120490" w:rsidRDefault="00486F2F" w:rsidP="002F0B45">
            <w:pPr>
              <w:rPr>
                <w:szCs w:val="16"/>
              </w:rPr>
            </w:pPr>
            <w:r w:rsidRPr="00120490">
              <w:rPr>
                <w:szCs w:val="16"/>
              </w:rPr>
              <w:t xml:space="preserve">Replacement </w:t>
            </w:r>
          </w:p>
        </w:tc>
        <w:tc>
          <w:tcPr>
            <w:tcW w:w="542" w:type="pct"/>
          </w:tcPr>
          <w:p w:rsidR="00486F2F" w:rsidRPr="00120490" w:rsidRDefault="00486F2F"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2.9</w:t>
            </w:r>
          </w:p>
        </w:tc>
        <w:tc>
          <w:tcPr>
            <w:tcW w:w="542" w:type="pct"/>
          </w:tcPr>
          <w:p w:rsidR="00486F2F" w:rsidRPr="00120490" w:rsidRDefault="00486F2F"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4.3</w:t>
            </w:r>
          </w:p>
        </w:tc>
        <w:tc>
          <w:tcPr>
            <w:tcW w:w="542" w:type="pct"/>
          </w:tcPr>
          <w:p w:rsidR="00486F2F" w:rsidRPr="00120490" w:rsidRDefault="00486F2F"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14.6</w:t>
            </w:r>
          </w:p>
        </w:tc>
        <w:tc>
          <w:tcPr>
            <w:tcW w:w="542" w:type="pct"/>
          </w:tcPr>
          <w:p w:rsidR="00486F2F" w:rsidRPr="00120490" w:rsidRDefault="00486F2F"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2.2</w:t>
            </w:r>
          </w:p>
        </w:tc>
        <w:tc>
          <w:tcPr>
            <w:tcW w:w="542" w:type="pct"/>
          </w:tcPr>
          <w:p w:rsidR="00486F2F" w:rsidRPr="00120490" w:rsidRDefault="00486F2F"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2.3</w:t>
            </w:r>
          </w:p>
        </w:tc>
        <w:tc>
          <w:tcPr>
            <w:tcW w:w="542" w:type="pct"/>
          </w:tcPr>
          <w:p w:rsidR="00486F2F" w:rsidRPr="00120490" w:rsidRDefault="00486F2F"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5.4</w:t>
            </w:r>
          </w:p>
        </w:tc>
        <w:tc>
          <w:tcPr>
            <w:tcW w:w="542" w:type="pct"/>
          </w:tcPr>
          <w:p w:rsidR="00486F2F" w:rsidRDefault="00AB1037"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28.8</w:t>
            </w:r>
          </w:p>
        </w:tc>
      </w:tr>
      <w:tr w:rsidR="00486F2F" w:rsidRPr="004F416F" w:rsidTr="00AB1037">
        <w:trPr>
          <w:trHeight w:val="300"/>
        </w:trPr>
        <w:tc>
          <w:tcPr>
            <w:cnfStyle w:val="001000000000" w:firstRow="0" w:lastRow="0" w:firstColumn="1" w:lastColumn="0" w:oddVBand="0" w:evenVBand="0" w:oddHBand="0" w:evenHBand="0" w:firstRowFirstColumn="0" w:firstRowLastColumn="0" w:lastRowFirstColumn="0" w:lastRowLastColumn="0"/>
            <w:tcW w:w="1203" w:type="pct"/>
            <w:hideMark/>
          </w:tcPr>
          <w:p w:rsidR="00486F2F" w:rsidRPr="00120490" w:rsidRDefault="00486F2F" w:rsidP="002F0B45">
            <w:pPr>
              <w:rPr>
                <w:szCs w:val="16"/>
              </w:rPr>
            </w:pPr>
            <w:r w:rsidRPr="00120490">
              <w:rPr>
                <w:szCs w:val="16"/>
              </w:rPr>
              <w:t>Non-system</w:t>
            </w:r>
          </w:p>
        </w:tc>
        <w:tc>
          <w:tcPr>
            <w:tcW w:w="542" w:type="pct"/>
          </w:tcPr>
          <w:p w:rsidR="00486F2F" w:rsidRPr="00120490" w:rsidRDefault="00486F2F"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0.4</w:t>
            </w:r>
          </w:p>
        </w:tc>
        <w:tc>
          <w:tcPr>
            <w:tcW w:w="542" w:type="pct"/>
          </w:tcPr>
          <w:p w:rsidR="00486F2F" w:rsidRPr="00120490" w:rsidRDefault="00486F2F"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0.2</w:t>
            </w:r>
          </w:p>
        </w:tc>
        <w:tc>
          <w:tcPr>
            <w:tcW w:w="542" w:type="pct"/>
          </w:tcPr>
          <w:p w:rsidR="00486F2F" w:rsidRPr="00120490" w:rsidRDefault="00486F2F"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1.6</w:t>
            </w:r>
          </w:p>
        </w:tc>
        <w:tc>
          <w:tcPr>
            <w:tcW w:w="542" w:type="pct"/>
          </w:tcPr>
          <w:p w:rsidR="00486F2F" w:rsidRPr="00120490" w:rsidRDefault="00486F2F"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1.6</w:t>
            </w:r>
          </w:p>
        </w:tc>
        <w:tc>
          <w:tcPr>
            <w:tcW w:w="542" w:type="pct"/>
          </w:tcPr>
          <w:p w:rsidR="00486F2F" w:rsidRPr="00120490" w:rsidRDefault="00486F2F"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1.9</w:t>
            </w:r>
          </w:p>
        </w:tc>
        <w:tc>
          <w:tcPr>
            <w:tcW w:w="542" w:type="pct"/>
          </w:tcPr>
          <w:p w:rsidR="00486F2F" w:rsidRPr="00120490" w:rsidRDefault="00486F2F"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2.4</w:t>
            </w:r>
          </w:p>
        </w:tc>
        <w:tc>
          <w:tcPr>
            <w:tcW w:w="542" w:type="pct"/>
          </w:tcPr>
          <w:p w:rsidR="00486F2F" w:rsidRDefault="00AB1037"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7.6</w:t>
            </w:r>
          </w:p>
        </w:tc>
      </w:tr>
      <w:tr w:rsidR="00486F2F" w:rsidRPr="004F416F" w:rsidTr="00AB1037">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03" w:type="pct"/>
            <w:hideMark/>
          </w:tcPr>
          <w:p w:rsidR="00486F2F" w:rsidRPr="00120490" w:rsidRDefault="00486F2F" w:rsidP="00D423BC">
            <w:pPr>
              <w:rPr>
                <w:szCs w:val="16"/>
              </w:rPr>
            </w:pPr>
            <w:r w:rsidRPr="00120490">
              <w:rPr>
                <w:szCs w:val="16"/>
              </w:rPr>
              <w:t>GROSS TOTAL CAPITAL EXPENDITURE</w:t>
            </w:r>
          </w:p>
        </w:tc>
        <w:tc>
          <w:tcPr>
            <w:tcW w:w="542" w:type="pct"/>
          </w:tcPr>
          <w:p w:rsidR="00486F2F" w:rsidRPr="00120490" w:rsidRDefault="00486F2F"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4.5</w:t>
            </w:r>
          </w:p>
        </w:tc>
        <w:tc>
          <w:tcPr>
            <w:tcW w:w="542" w:type="pct"/>
          </w:tcPr>
          <w:p w:rsidR="00486F2F" w:rsidRPr="00120490" w:rsidRDefault="00486F2F"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4.5</w:t>
            </w:r>
          </w:p>
        </w:tc>
        <w:tc>
          <w:tcPr>
            <w:tcW w:w="542" w:type="pct"/>
          </w:tcPr>
          <w:p w:rsidR="00486F2F" w:rsidRPr="00120490" w:rsidRDefault="00486F2F"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17.0</w:t>
            </w:r>
          </w:p>
        </w:tc>
        <w:tc>
          <w:tcPr>
            <w:tcW w:w="542" w:type="pct"/>
          </w:tcPr>
          <w:p w:rsidR="00486F2F" w:rsidRPr="00120490" w:rsidRDefault="00486F2F"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4.3</w:t>
            </w:r>
          </w:p>
        </w:tc>
        <w:tc>
          <w:tcPr>
            <w:tcW w:w="542" w:type="pct"/>
          </w:tcPr>
          <w:p w:rsidR="00486F2F" w:rsidRPr="00120490" w:rsidRDefault="00486F2F"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4.2</w:t>
            </w:r>
          </w:p>
        </w:tc>
        <w:tc>
          <w:tcPr>
            <w:tcW w:w="542" w:type="pct"/>
          </w:tcPr>
          <w:p w:rsidR="00486F2F" w:rsidRPr="00120490" w:rsidRDefault="00486F2F"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7.8</w:t>
            </w:r>
          </w:p>
        </w:tc>
        <w:tc>
          <w:tcPr>
            <w:tcW w:w="542" w:type="pct"/>
          </w:tcPr>
          <w:p w:rsidR="00486F2F" w:rsidRDefault="00AB1037"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37.8</w:t>
            </w:r>
          </w:p>
        </w:tc>
      </w:tr>
      <w:tr w:rsidR="00486F2F" w:rsidRPr="004F416F" w:rsidTr="00AB1037">
        <w:trPr>
          <w:trHeight w:val="300"/>
        </w:trPr>
        <w:tc>
          <w:tcPr>
            <w:cnfStyle w:val="001000000000" w:firstRow="0" w:lastRow="0" w:firstColumn="1" w:lastColumn="0" w:oddVBand="0" w:evenVBand="0" w:oddHBand="0" w:evenHBand="0" w:firstRowFirstColumn="0" w:firstRowLastColumn="0" w:lastRowFirstColumn="0" w:lastRowLastColumn="0"/>
            <w:tcW w:w="1203" w:type="pct"/>
          </w:tcPr>
          <w:p w:rsidR="00486F2F" w:rsidRPr="00120490" w:rsidRDefault="00486F2F" w:rsidP="00D423BC">
            <w:pPr>
              <w:rPr>
                <w:szCs w:val="16"/>
              </w:rPr>
            </w:pPr>
            <w:r>
              <w:rPr>
                <w:szCs w:val="16"/>
              </w:rPr>
              <w:t>Contributions</w:t>
            </w:r>
          </w:p>
        </w:tc>
        <w:tc>
          <w:tcPr>
            <w:tcW w:w="542" w:type="pct"/>
          </w:tcPr>
          <w:p w:rsidR="00486F2F" w:rsidRPr="00120490" w:rsidRDefault="00486F2F"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542" w:type="pct"/>
          </w:tcPr>
          <w:p w:rsidR="00486F2F" w:rsidRPr="00120490" w:rsidRDefault="00486F2F"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542" w:type="pct"/>
          </w:tcPr>
          <w:p w:rsidR="00486F2F" w:rsidRPr="00120490" w:rsidRDefault="00486F2F"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542" w:type="pct"/>
          </w:tcPr>
          <w:p w:rsidR="00486F2F" w:rsidRPr="00120490" w:rsidRDefault="00486F2F"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542" w:type="pct"/>
          </w:tcPr>
          <w:p w:rsidR="00486F2F" w:rsidRPr="00120490" w:rsidRDefault="00486F2F"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542" w:type="pct"/>
          </w:tcPr>
          <w:p w:rsidR="00486F2F" w:rsidRPr="00120490" w:rsidRDefault="00486F2F"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542" w:type="pct"/>
          </w:tcPr>
          <w:p w:rsidR="00486F2F" w:rsidRDefault="00AB1037"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r>
      <w:tr w:rsidR="00486F2F" w:rsidRPr="004F416F" w:rsidTr="00AB1037">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03" w:type="pct"/>
          </w:tcPr>
          <w:p w:rsidR="00486F2F" w:rsidRPr="00120490" w:rsidRDefault="00486F2F" w:rsidP="00D423BC">
            <w:pPr>
              <w:rPr>
                <w:szCs w:val="16"/>
              </w:rPr>
            </w:pPr>
            <w:r w:rsidRPr="00120490">
              <w:rPr>
                <w:szCs w:val="16"/>
              </w:rPr>
              <w:t>Asset disposals</w:t>
            </w:r>
          </w:p>
        </w:tc>
        <w:tc>
          <w:tcPr>
            <w:tcW w:w="542" w:type="pct"/>
          </w:tcPr>
          <w:p w:rsidR="00486F2F" w:rsidRPr="00120490" w:rsidRDefault="00486F2F"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w:t>
            </w:r>
          </w:p>
        </w:tc>
        <w:tc>
          <w:tcPr>
            <w:tcW w:w="542" w:type="pct"/>
          </w:tcPr>
          <w:p w:rsidR="00486F2F" w:rsidRPr="00120490" w:rsidRDefault="00486F2F"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w:t>
            </w:r>
          </w:p>
        </w:tc>
        <w:tc>
          <w:tcPr>
            <w:tcW w:w="542" w:type="pct"/>
          </w:tcPr>
          <w:p w:rsidR="00486F2F" w:rsidRPr="00A67508" w:rsidRDefault="00486F2F"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sidRPr="00A67508">
              <w:rPr>
                <w:sz w:val="16"/>
                <w:szCs w:val="16"/>
              </w:rPr>
              <w:t>0.0</w:t>
            </w:r>
          </w:p>
        </w:tc>
        <w:tc>
          <w:tcPr>
            <w:tcW w:w="542" w:type="pct"/>
          </w:tcPr>
          <w:p w:rsidR="00486F2F" w:rsidRPr="00A67508" w:rsidRDefault="00486F2F"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sidRPr="00A67508">
              <w:rPr>
                <w:sz w:val="16"/>
                <w:szCs w:val="16"/>
              </w:rPr>
              <w:t>0.</w:t>
            </w:r>
            <w:r w:rsidR="00A67508">
              <w:rPr>
                <w:sz w:val="16"/>
                <w:szCs w:val="16"/>
              </w:rPr>
              <w:t>3</w:t>
            </w:r>
          </w:p>
        </w:tc>
        <w:tc>
          <w:tcPr>
            <w:tcW w:w="542" w:type="pct"/>
          </w:tcPr>
          <w:p w:rsidR="00486F2F" w:rsidRPr="00A67508" w:rsidRDefault="00486F2F"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sidRPr="00A67508">
              <w:rPr>
                <w:sz w:val="16"/>
                <w:szCs w:val="16"/>
              </w:rPr>
              <w:t>0.</w:t>
            </w:r>
            <w:r w:rsidR="00A67508">
              <w:rPr>
                <w:sz w:val="16"/>
                <w:szCs w:val="16"/>
              </w:rPr>
              <w:t>1</w:t>
            </w:r>
          </w:p>
        </w:tc>
        <w:tc>
          <w:tcPr>
            <w:tcW w:w="542" w:type="pct"/>
          </w:tcPr>
          <w:p w:rsidR="00486F2F" w:rsidRPr="00120490" w:rsidRDefault="00486F2F"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w:t>
            </w:r>
          </w:p>
        </w:tc>
        <w:tc>
          <w:tcPr>
            <w:tcW w:w="542" w:type="pct"/>
          </w:tcPr>
          <w:p w:rsidR="00486F2F" w:rsidRDefault="00AB1037"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0.4</w:t>
            </w:r>
          </w:p>
        </w:tc>
      </w:tr>
      <w:tr w:rsidR="00486F2F" w:rsidRPr="004F416F" w:rsidTr="00AB1037">
        <w:trPr>
          <w:trHeight w:val="300"/>
        </w:trPr>
        <w:tc>
          <w:tcPr>
            <w:cnfStyle w:val="001000000000" w:firstRow="0" w:lastRow="0" w:firstColumn="1" w:lastColumn="0" w:oddVBand="0" w:evenVBand="0" w:oddHBand="0" w:evenHBand="0" w:firstRowFirstColumn="0" w:firstRowLastColumn="0" w:lastRowFirstColumn="0" w:lastRowLastColumn="0"/>
            <w:tcW w:w="1203" w:type="pct"/>
          </w:tcPr>
          <w:p w:rsidR="00486F2F" w:rsidRPr="00120490" w:rsidRDefault="00486F2F" w:rsidP="00E03561">
            <w:pPr>
              <w:spacing w:before="0"/>
              <w:rPr>
                <w:rStyle w:val="AERsuperscript"/>
                <w:szCs w:val="16"/>
              </w:rPr>
            </w:pPr>
            <w:r w:rsidRPr="00120490">
              <w:rPr>
                <w:szCs w:val="16"/>
              </w:rPr>
              <w:t>NET TOTAL CAPITAL EXPENDITURE</w:t>
            </w:r>
          </w:p>
        </w:tc>
        <w:tc>
          <w:tcPr>
            <w:tcW w:w="542" w:type="pct"/>
          </w:tcPr>
          <w:p w:rsidR="00486F2F" w:rsidRPr="00120490" w:rsidRDefault="00486F2F"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4.5</w:t>
            </w:r>
          </w:p>
        </w:tc>
        <w:tc>
          <w:tcPr>
            <w:tcW w:w="542" w:type="pct"/>
          </w:tcPr>
          <w:p w:rsidR="00486F2F" w:rsidRPr="00120490" w:rsidRDefault="00486F2F"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4.5</w:t>
            </w:r>
          </w:p>
        </w:tc>
        <w:tc>
          <w:tcPr>
            <w:tcW w:w="542" w:type="pct"/>
          </w:tcPr>
          <w:p w:rsidR="00486F2F" w:rsidRPr="00120490" w:rsidRDefault="00486F2F"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16.9</w:t>
            </w:r>
          </w:p>
        </w:tc>
        <w:tc>
          <w:tcPr>
            <w:tcW w:w="542" w:type="pct"/>
          </w:tcPr>
          <w:p w:rsidR="00486F2F" w:rsidRPr="00120490" w:rsidRDefault="00486F2F"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4.0</w:t>
            </w:r>
          </w:p>
        </w:tc>
        <w:tc>
          <w:tcPr>
            <w:tcW w:w="542" w:type="pct"/>
          </w:tcPr>
          <w:p w:rsidR="00486F2F" w:rsidRPr="00120490" w:rsidRDefault="00486F2F"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4.1</w:t>
            </w:r>
          </w:p>
        </w:tc>
        <w:tc>
          <w:tcPr>
            <w:tcW w:w="542" w:type="pct"/>
          </w:tcPr>
          <w:p w:rsidR="00486F2F" w:rsidRPr="00120490" w:rsidRDefault="00486F2F"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7.8</w:t>
            </w:r>
          </w:p>
        </w:tc>
        <w:tc>
          <w:tcPr>
            <w:tcW w:w="542" w:type="pct"/>
          </w:tcPr>
          <w:p w:rsidR="00486F2F" w:rsidRDefault="00486F2F"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37.</w:t>
            </w:r>
            <w:r w:rsidR="00A67508">
              <w:rPr>
                <w:sz w:val="16"/>
                <w:szCs w:val="16"/>
              </w:rPr>
              <w:t>4</w:t>
            </w:r>
          </w:p>
        </w:tc>
      </w:tr>
    </w:tbl>
    <w:p w:rsidR="004241B0" w:rsidRDefault="004241B0" w:rsidP="004241B0">
      <w:pPr>
        <w:pStyle w:val="AERtablesource"/>
      </w:pPr>
      <w:r w:rsidRPr="00F61681">
        <w:t>Source:</w:t>
      </w:r>
      <w:r w:rsidRPr="00F61681">
        <w:tab/>
        <w:t>AER analysis.</w:t>
      </w:r>
    </w:p>
    <w:p w:rsidR="00F97C28" w:rsidRDefault="004241B0" w:rsidP="004241B0">
      <w:pPr>
        <w:pStyle w:val="AERtablesource"/>
      </w:pPr>
      <w:r>
        <w:t>Note</w:t>
      </w:r>
      <w:r w:rsidR="008C0E4B">
        <w:t>s</w:t>
      </w:r>
      <w:r w:rsidRPr="005A3660">
        <w:t>:</w:t>
      </w:r>
      <w:r w:rsidRPr="005A3660">
        <w:tab/>
      </w:r>
      <w:r w:rsidR="00F97C28">
        <w:t>(a) We have made a decision on conforming capex for the 2010-11 year for the purposes of establishing the open</w:t>
      </w:r>
      <w:r w:rsidR="00AB1037">
        <w:t>ing capital base for the 2011–</w:t>
      </w:r>
      <w:r w:rsidR="00F97C28">
        <w:t>16 access arrangement period.</w:t>
      </w:r>
    </w:p>
    <w:p w:rsidR="004241B0" w:rsidRDefault="00F97C28" w:rsidP="004241B0">
      <w:pPr>
        <w:pStyle w:val="AERtablesource"/>
      </w:pPr>
      <w:r>
        <w:tab/>
      </w:r>
      <w:r w:rsidR="004241B0" w:rsidRPr="00942B45">
        <w:t>(</w:t>
      </w:r>
      <w:r>
        <w:t>b</w:t>
      </w:r>
      <w:r w:rsidR="004241B0" w:rsidRPr="00942B45">
        <w:t xml:space="preserve">) </w:t>
      </w:r>
      <w:r w:rsidR="00942B45" w:rsidRPr="00942B45">
        <w:t>This is our estimate of conforming capex for this year</w:t>
      </w:r>
      <w:r w:rsidR="00A67508">
        <w:t>, including our labour escalation adjustment</w:t>
      </w:r>
      <w:r w:rsidR="00942B45" w:rsidRPr="00942B45">
        <w:t xml:space="preserve">. We will assess whether APTNT’s actual capex for 2015–16 is conforming capex under the NGR in the next access arrangement review. We will adjust the capital base </w:t>
      </w:r>
      <w:r w:rsidR="0055014A">
        <w:t xml:space="preserve">actual conforming capex </w:t>
      </w:r>
      <w:r w:rsidR="00942B45" w:rsidRPr="00942B45">
        <w:t>at that time as required.</w:t>
      </w:r>
    </w:p>
    <w:p w:rsidR="00975794" w:rsidRPr="00A4447D" w:rsidRDefault="008D0B85" w:rsidP="00975794">
      <w:r>
        <w:rPr>
          <w:rFonts w:eastAsia="Calibri"/>
        </w:rPr>
        <w:fldChar w:fldCharType="begin"/>
      </w:r>
      <w:r>
        <w:rPr>
          <w:rFonts w:eastAsia="Calibri"/>
        </w:rPr>
        <w:instrText xml:space="preserve"> REF _Ref432759974 \h </w:instrText>
      </w:r>
      <w:r>
        <w:rPr>
          <w:rFonts w:eastAsia="Calibri"/>
        </w:rPr>
      </w:r>
      <w:r>
        <w:rPr>
          <w:rFonts w:eastAsia="Calibri"/>
        </w:rPr>
        <w:fldChar w:fldCharType="separate"/>
      </w:r>
      <w:r w:rsidR="00F65E22" w:rsidRPr="00975794">
        <w:t xml:space="preserve">Table </w:t>
      </w:r>
      <w:r w:rsidR="00F65E22">
        <w:rPr>
          <w:noProof/>
        </w:rPr>
        <w:t>6</w:t>
      </w:r>
      <w:r w:rsidR="00F65E22">
        <w:t>.</w:t>
      </w:r>
      <w:r w:rsidR="00F65E22">
        <w:rPr>
          <w:noProof/>
        </w:rPr>
        <w:t>2</w:t>
      </w:r>
      <w:r>
        <w:rPr>
          <w:rFonts w:eastAsia="Calibri"/>
        </w:rPr>
        <w:fldChar w:fldCharType="end"/>
      </w:r>
      <w:r w:rsidR="0046531F">
        <w:rPr>
          <w:rFonts w:eastAsia="Calibri"/>
        </w:rPr>
        <w:t xml:space="preserve"> </w:t>
      </w:r>
      <w:r w:rsidR="0046531F" w:rsidRPr="00333A31">
        <w:rPr>
          <w:rFonts w:eastAsia="Calibri"/>
        </w:rPr>
        <w:t xml:space="preserve">shows </w:t>
      </w:r>
      <w:r w:rsidR="0046531F">
        <w:rPr>
          <w:rFonts w:eastAsia="Calibri"/>
        </w:rPr>
        <w:t>APTNT</w:t>
      </w:r>
      <w:r w:rsidR="0046531F" w:rsidRPr="00333A31">
        <w:rPr>
          <w:rFonts w:eastAsia="Calibri"/>
        </w:rPr>
        <w:t xml:space="preserve">'s proposed capex compared with </w:t>
      </w:r>
      <w:r w:rsidR="00381B88">
        <w:rPr>
          <w:rFonts w:eastAsia="Calibri"/>
        </w:rPr>
        <w:t>our</w:t>
      </w:r>
      <w:r w:rsidR="0046531F" w:rsidRPr="00333A31">
        <w:rPr>
          <w:rFonts w:eastAsia="Calibri"/>
        </w:rPr>
        <w:t xml:space="preserve"> approved </w:t>
      </w:r>
      <w:r w:rsidR="0046531F">
        <w:rPr>
          <w:rFonts w:eastAsia="Calibri"/>
        </w:rPr>
        <w:t>conforming capex</w:t>
      </w:r>
      <w:r w:rsidR="0046531F" w:rsidRPr="00333A31">
        <w:rPr>
          <w:rFonts w:eastAsia="Calibri"/>
        </w:rPr>
        <w:t xml:space="preserve"> for each category</w:t>
      </w:r>
      <w:r w:rsidR="0046531F">
        <w:rPr>
          <w:rFonts w:eastAsia="Calibri"/>
        </w:rPr>
        <w:t xml:space="preserve"> in the </w:t>
      </w:r>
      <w:r w:rsidR="006A555A">
        <w:rPr>
          <w:rFonts w:eastAsia="Calibri"/>
        </w:rPr>
        <w:t>2011–16</w:t>
      </w:r>
      <w:r w:rsidR="0046531F">
        <w:rPr>
          <w:rFonts w:eastAsia="Calibri"/>
        </w:rPr>
        <w:t xml:space="preserve"> access arrangement period</w:t>
      </w:r>
      <w:r w:rsidR="0046531F" w:rsidRPr="00333A31">
        <w:rPr>
          <w:rFonts w:eastAsia="Calibri"/>
        </w:rPr>
        <w:t>.</w:t>
      </w:r>
      <w:r w:rsidR="00975794" w:rsidRPr="00975794">
        <w:t xml:space="preserve"> The reason for our reduction is that we consider that $7.0 million of APTNT’s estimated capex for the belowground station pipework recoating project in the 2015</w:t>
      </w:r>
      <w:r w:rsidR="000B70FD">
        <w:t>–</w:t>
      </w:r>
      <w:r w:rsidR="00975794" w:rsidRPr="00975794">
        <w:t xml:space="preserve">16 year should be deferred to the </w:t>
      </w:r>
      <w:r w:rsidR="006A555A">
        <w:t>2016–21</w:t>
      </w:r>
      <w:r w:rsidR="00975794" w:rsidRPr="00975794">
        <w:t xml:space="preserve"> access arrangement period. We are not satisfied that the timing of </w:t>
      </w:r>
      <w:r w:rsidR="0033139B">
        <w:t>capex for this</w:t>
      </w:r>
      <w:r w:rsidR="00975794" w:rsidRPr="00975794">
        <w:t xml:space="preserve"> project as proposed by APTNT is efficient or consistent with </w:t>
      </w:r>
      <w:r w:rsidR="00975794" w:rsidRPr="00975794">
        <w:lastRenderedPageBreak/>
        <w:t>achieving the lowest sustainable cost of providing services.</w:t>
      </w:r>
      <w:r w:rsidR="00F97C28">
        <w:rPr>
          <w:rStyle w:val="FootnoteReference"/>
        </w:rPr>
        <w:footnoteReference w:id="1"/>
      </w:r>
      <w:r w:rsidR="00B64986">
        <w:t xml:space="preserve"> W</w:t>
      </w:r>
      <w:r w:rsidR="00B64986" w:rsidRPr="00B64986">
        <w:t xml:space="preserve">e have </w:t>
      </w:r>
      <w:r w:rsidR="00B64986">
        <w:t>also amended</w:t>
      </w:r>
      <w:r w:rsidR="00B64986" w:rsidRPr="00B64986">
        <w:t xml:space="preserve"> APTNT’s forecast of real labour cost escalation</w:t>
      </w:r>
      <w:r w:rsidR="00B64986">
        <w:t>, as discussed in attachment 7 of this decision.</w:t>
      </w:r>
    </w:p>
    <w:p w:rsidR="0046531F" w:rsidRPr="00975794" w:rsidRDefault="0046531F" w:rsidP="00975794">
      <w:pPr>
        <w:pStyle w:val="Caption"/>
      </w:pPr>
      <w:bookmarkStart w:id="15" w:name="_Ref432759974"/>
      <w:r w:rsidRPr="00975794">
        <w:t xml:space="preserve">Table </w:t>
      </w:r>
      <w:fldSimple w:instr=" STYLEREF 1 \s ">
        <w:r w:rsidR="00F65E22">
          <w:rPr>
            <w:noProof/>
          </w:rPr>
          <w:t>6</w:t>
        </w:r>
      </w:fldSimple>
      <w:r w:rsidR="00F11395">
        <w:t>.</w:t>
      </w:r>
      <w:fldSimple w:instr=" SEQ Table \* ARABIC \s 1 ">
        <w:r w:rsidR="00F65E22">
          <w:rPr>
            <w:noProof/>
          </w:rPr>
          <w:t>2</w:t>
        </w:r>
      </w:fldSimple>
      <w:bookmarkEnd w:id="15"/>
      <w:r w:rsidRPr="00975794">
        <w:tab/>
        <w:t xml:space="preserve">Comparison of AER approved and APTNT’s proposed capital expenditure over the </w:t>
      </w:r>
      <w:r w:rsidR="006A555A">
        <w:t>2011–16</w:t>
      </w:r>
      <w:r w:rsidRPr="00975794">
        <w:t xml:space="preserve"> access arrangement period ($million, </w:t>
      </w:r>
      <w:r w:rsidR="000B70FD">
        <w:t>2015–16</w:t>
      </w:r>
      <w:r w:rsidRPr="00975794">
        <w:t>)</w:t>
      </w:r>
    </w:p>
    <w:tbl>
      <w:tblPr>
        <w:tblStyle w:val="AERtable-numbers"/>
        <w:tblW w:w="5000" w:type="pct"/>
        <w:tblLook w:val="04A0" w:firstRow="1" w:lastRow="0" w:firstColumn="1" w:lastColumn="0" w:noHBand="0" w:noVBand="1"/>
      </w:tblPr>
      <w:tblGrid>
        <w:gridCol w:w="2669"/>
        <w:gridCol w:w="1507"/>
        <w:gridCol w:w="1507"/>
        <w:gridCol w:w="1506"/>
        <w:gridCol w:w="1504"/>
      </w:tblGrid>
      <w:tr w:rsidR="0046531F" w:rsidRPr="004F416F" w:rsidTr="00975794">
        <w:trPr>
          <w:cnfStyle w:val="100000000000" w:firstRow="1" w:lastRow="0" w:firstColumn="0" w:lastColumn="0" w:oddVBand="0" w:evenVBand="0" w:oddHBand="0" w:evenHBand="0" w:firstRowFirstColumn="0" w:firstRowLastColumn="0" w:lastRowFirstColumn="0" w:lastRowLastColumn="0"/>
          <w:trHeight w:val="316"/>
        </w:trPr>
        <w:tc>
          <w:tcPr>
            <w:cnfStyle w:val="001000000000" w:firstRow="0" w:lastRow="0" w:firstColumn="1" w:lastColumn="0" w:oddVBand="0" w:evenVBand="0" w:oddHBand="0" w:evenHBand="0" w:firstRowFirstColumn="0" w:firstRowLastColumn="0" w:lastRowFirstColumn="0" w:lastRowLastColumn="0"/>
            <w:tcW w:w="1535" w:type="pct"/>
            <w:hideMark/>
          </w:tcPr>
          <w:p w:rsidR="0046531F" w:rsidRPr="00453AFD" w:rsidRDefault="0046531F" w:rsidP="00975794">
            <w:pPr>
              <w:rPr>
                <w:szCs w:val="16"/>
              </w:rPr>
            </w:pPr>
            <w:r w:rsidRPr="00453AFD">
              <w:rPr>
                <w:szCs w:val="16"/>
              </w:rPr>
              <w:t> Category</w:t>
            </w:r>
          </w:p>
        </w:tc>
        <w:tc>
          <w:tcPr>
            <w:tcW w:w="867" w:type="pct"/>
            <w:hideMark/>
          </w:tcPr>
          <w:p w:rsidR="0046531F" w:rsidRPr="00453AFD" w:rsidRDefault="0046531F" w:rsidP="00975794">
            <w:pPr>
              <w:pStyle w:val="AERtabletextright"/>
              <w:cnfStyle w:val="100000000000" w:firstRow="1" w:lastRow="0" w:firstColumn="0" w:lastColumn="0" w:oddVBand="0" w:evenVBand="0" w:oddHBand="0" w:evenHBand="0" w:firstRowFirstColumn="0" w:firstRowLastColumn="0" w:lastRowFirstColumn="0" w:lastRowLastColumn="0"/>
              <w:rPr>
                <w:sz w:val="16"/>
                <w:szCs w:val="16"/>
              </w:rPr>
            </w:pPr>
            <w:r w:rsidRPr="00453AFD">
              <w:rPr>
                <w:sz w:val="16"/>
                <w:szCs w:val="16"/>
              </w:rPr>
              <w:t>Proposed</w:t>
            </w:r>
          </w:p>
        </w:tc>
        <w:tc>
          <w:tcPr>
            <w:tcW w:w="867" w:type="pct"/>
            <w:hideMark/>
          </w:tcPr>
          <w:p w:rsidR="0046531F" w:rsidRPr="00453AFD" w:rsidRDefault="0046531F" w:rsidP="00975794">
            <w:pPr>
              <w:pStyle w:val="AERtabletextright"/>
              <w:cnfStyle w:val="100000000000" w:firstRow="1" w:lastRow="0" w:firstColumn="0" w:lastColumn="0" w:oddVBand="0" w:evenVBand="0" w:oddHBand="0" w:evenHBand="0" w:firstRowFirstColumn="0" w:firstRowLastColumn="0" w:lastRowFirstColumn="0" w:lastRowLastColumn="0"/>
              <w:rPr>
                <w:sz w:val="16"/>
                <w:szCs w:val="16"/>
              </w:rPr>
            </w:pPr>
            <w:r w:rsidRPr="00453AFD">
              <w:rPr>
                <w:sz w:val="16"/>
                <w:szCs w:val="16"/>
              </w:rPr>
              <w:t>Approved</w:t>
            </w:r>
            <w:r w:rsidRPr="00453AFD">
              <w:rPr>
                <w:rStyle w:val="AERsuperscript"/>
                <w:szCs w:val="16"/>
              </w:rPr>
              <w:t>(a)</w:t>
            </w:r>
          </w:p>
        </w:tc>
        <w:tc>
          <w:tcPr>
            <w:tcW w:w="866" w:type="pct"/>
          </w:tcPr>
          <w:p w:rsidR="0046531F" w:rsidRPr="00453AFD" w:rsidRDefault="0046531F" w:rsidP="00975794">
            <w:pPr>
              <w:pStyle w:val="AERtabletextright"/>
              <w:cnfStyle w:val="100000000000" w:firstRow="1" w:lastRow="0" w:firstColumn="0" w:lastColumn="0" w:oddVBand="0" w:evenVBand="0" w:oddHBand="0" w:evenHBand="0" w:firstRowFirstColumn="0" w:firstRowLastColumn="0" w:lastRowFirstColumn="0" w:lastRowLastColumn="0"/>
              <w:rPr>
                <w:sz w:val="16"/>
                <w:szCs w:val="16"/>
              </w:rPr>
            </w:pPr>
            <w:r w:rsidRPr="00453AFD">
              <w:rPr>
                <w:sz w:val="16"/>
                <w:szCs w:val="16"/>
              </w:rPr>
              <w:t>Difference ($millions)</w:t>
            </w:r>
          </w:p>
        </w:tc>
        <w:tc>
          <w:tcPr>
            <w:tcW w:w="865" w:type="pct"/>
          </w:tcPr>
          <w:p w:rsidR="0046531F" w:rsidRPr="00453AFD" w:rsidRDefault="0046531F" w:rsidP="00975794">
            <w:pPr>
              <w:pStyle w:val="AERtabletextright"/>
              <w:cnfStyle w:val="100000000000" w:firstRow="1" w:lastRow="0" w:firstColumn="0" w:lastColumn="0" w:oddVBand="0" w:evenVBand="0" w:oddHBand="0" w:evenHBand="0" w:firstRowFirstColumn="0" w:firstRowLastColumn="0" w:lastRowFirstColumn="0" w:lastRowLastColumn="0"/>
              <w:rPr>
                <w:sz w:val="16"/>
                <w:szCs w:val="16"/>
              </w:rPr>
            </w:pPr>
            <w:r w:rsidRPr="00453AFD">
              <w:rPr>
                <w:sz w:val="16"/>
                <w:szCs w:val="16"/>
              </w:rPr>
              <w:t>Difference (%)</w:t>
            </w:r>
          </w:p>
        </w:tc>
      </w:tr>
      <w:tr w:rsidR="0046531F" w:rsidRPr="004F416F" w:rsidTr="00975794">
        <w:trPr>
          <w:trHeight w:val="300"/>
        </w:trPr>
        <w:tc>
          <w:tcPr>
            <w:cnfStyle w:val="001000000000" w:firstRow="0" w:lastRow="0" w:firstColumn="1" w:lastColumn="0" w:oddVBand="0" w:evenVBand="0" w:oddHBand="0" w:evenHBand="0" w:firstRowFirstColumn="0" w:firstRowLastColumn="0" w:lastRowFirstColumn="0" w:lastRowLastColumn="0"/>
            <w:tcW w:w="1535" w:type="pct"/>
            <w:hideMark/>
          </w:tcPr>
          <w:p w:rsidR="0046531F" w:rsidRPr="00453AFD" w:rsidRDefault="0046531F" w:rsidP="00975794">
            <w:pPr>
              <w:rPr>
                <w:szCs w:val="16"/>
              </w:rPr>
            </w:pPr>
            <w:r w:rsidRPr="00453AFD">
              <w:rPr>
                <w:szCs w:val="16"/>
              </w:rPr>
              <w:t xml:space="preserve">Expansion </w:t>
            </w:r>
          </w:p>
        </w:tc>
        <w:tc>
          <w:tcPr>
            <w:tcW w:w="867" w:type="pct"/>
          </w:tcPr>
          <w:p w:rsidR="0046531F" w:rsidRPr="00453AFD" w:rsidRDefault="005F7135" w:rsidP="00975794">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1.4</w:t>
            </w:r>
          </w:p>
        </w:tc>
        <w:tc>
          <w:tcPr>
            <w:tcW w:w="867" w:type="pct"/>
          </w:tcPr>
          <w:p w:rsidR="0046531F" w:rsidRPr="00453AFD" w:rsidRDefault="005F7135" w:rsidP="00975794">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1.4</w:t>
            </w:r>
          </w:p>
        </w:tc>
        <w:tc>
          <w:tcPr>
            <w:tcW w:w="866" w:type="pct"/>
          </w:tcPr>
          <w:p w:rsidR="0046531F" w:rsidRPr="00453AFD" w:rsidRDefault="0046531F" w:rsidP="00975794">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453AFD">
              <w:rPr>
                <w:sz w:val="16"/>
                <w:szCs w:val="16"/>
              </w:rPr>
              <w:t>-</w:t>
            </w:r>
          </w:p>
        </w:tc>
        <w:tc>
          <w:tcPr>
            <w:tcW w:w="865" w:type="pct"/>
          </w:tcPr>
          <w:p w:rsidR="0046531F" w:rsidRPr="00453AFD" w:rsidRDefault="0046531F" w:rsidP="00975794">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453AFD">
              <w:rPr>
                <w:sz w:val="16"/>
                <w:szCs w:val="16"/>
              </w:rPr>
              <w:t>-</w:t>
            </w:r>
          </w:p>
        </w:tc>
      </w:tr>
      <w:tr w:rsidR="0046531F" w:rsidRPr="004F416F" w:rsidTr="00975794">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35" w:type="pct"/>
            <w:hideMark/>
          </w:tcPr>
          <w:p w:rsidR="0046531F" w:rsidRPr="00453AFD" w:rsidRDefault="0046531F" w:rsidP="00975794">
            <w:pPr>
              <w:rPr>
                <w:szCs w:val="16"/>
              </w:rPr>
            </w:pPr>
            <w:r w:rsidRPr="00453AFD">
              <w:rPr>
                <w:szCs w:val="16"/>
              </w:rPr>
              <w:t xml:space="preserve">Replacement </w:t>
            </w:r>
          </w:p>
        </w:tc>
        <w:tc>
          <w:tcPr>
            <w:tcW w:w="867" w:type="pct"/>
          </w:tcPr>
          <w:p w:rsidR="0046531F" w:rsidRPr="00453AFD" w:rsidRDefault="005F7135" w:rsidP="00975794">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35</w:t>
            </w:r>
            <w:r w:rsidR="0046531F" w:rsidRPr="00453AFD">
              <w:rPr>
                <w:sz w:val="16"/>
                <w:szCs w:val="16"/>
              </w:rPr>
              <w:t>.</w:t>
            </w:r>
            <w:r>
              <w:rPr>
                <w:sz w:val="16"/>
                <w:szCs w:val="16"/>
              </w:rPr>
              <w:t>8</w:t>
            </w:r>
          </w:p>
        </w:tc>
        <w:tc>
          <w:tcPr>
            <w:tcW w:w="867" w:type="pct"/>
          </w:tcPr>
          <w:p w:rsidR="0046531F" w:rsidRPr="00453AFD" w:rsidRDefault="005F7135" w:rsidP="00975794">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2</w:t>
            </w:r>
            <w:r w:rsidR="0046531F">
              <w:rPr>
                <w:sz w:val="16"/>
                <w:szCs w:val="16"/>
              </w:rPr>
              <w:t>8.</w:t>
            </w:r>
            <w:r>
              <w:rPr>
                <w:sz w:val="16"/>
                <w:szCs w:val="16"/>
              </w:rPr>
              <w:t>8</w:t>
            </w:r>
          </w:p>
        </w:tc>
        <w:tc>
          <w:tcPr>
            <w:tcW w:w="866" w:type="pct"/>
          </w:tcPr>
          <w:p w:rsidR="0046531F" w:rsidRPr="00453AFD" w:rsidRDefault="005F7135" w:rsidP="00975794">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-7</w:t>
            </w:r>
            <w:r w:rsidR="0046531F">
              <w:rPr>
                <w:sz w:val="16"/>
                <w:szCs w:val="16"/>
              </w:rPr>
              <w:t>.</w:t>
            </w:r>
            <w:r>
              <w:rPr>
                <w:sz w:val="16"/>
                <w:szCs w:val="16"/>
              </w:rPr>
              <w:t>0</w:t>
            </w:r>
          </w:p>
        </w:tc>
        <w:tc>
          <w:tcPr>
            <w:tcW w:w="865" w:type="pct"/>
          </w:tcPr>
          <w:p w:rsidR="0046531F" w:rsidRPr="00453AFD" w:rsidRDefault="005F7135" w:rsidP="00975794">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-20</w:t>
            </w:r>
            <w:r w:rsidR="0046531F">
              <w:rPr>
                <w:sz w:val="16"/>
                <w:szCs w:val="16"/>
              </w:rPr>
              <w:t>%</w:t>
            </w:r>
          </w:p>
        </w:tc>
      </w:tr>
      <w:tr w:rsidR="0046531F" w:rsidRPr="004F416F" w:rsidTr="00975794">
        <w:trPr>
          <w:trHeight w:val="300"/>
        </w:trPr>
        <w:tc>
          <w:tcPr>
            <w:cnfStyle w:val="001000000000" w:firstRow="0" w:lastRow="0" w:firstColumn="1" w:lastColumn="0" w:oddVBand="0" w:evenVBand="0" w:oddHBand="0" w:evenHBand="0" w:firstRowFirstColumn="0" w:firstRowLastColumn="0" w:lastRowFirstColumn="0" w:lastRowLastColumn="0"/>
            <w:tcW w:w="1535" w:type="pct"/>
            <w:hideMark/>
          </w:tcPr>
          <w:p w:rsidR="0046531F" w:rsidRPr="00453AFD" w:rsidRDefault="0046531F" w:rsidP="00975794">
            <w:pPr>
              <w:rPr>
                <w:szCs w:val="16"/>
              </w:rPr>
            </w:pPr>
            <w:r w:rsidRPr="00453AFD">
              <w:rPr>
                <w:szCs w:val="16"/>
              </w:rPr>
              <w:t>Non-system</w:t>
            </w:r>
          </w:p>
        </w:tc>
        <w:tc>
          <w:tcPr>
            <w:tcW w:w="867" w:type="pct"/>
          </w:tcPr>
          <w:p w:rsidR="0046531F" w:rsidRPr="00453AFD" w:rsidRDefault="005F7135" w:rsidP="00975794">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7</w:t>
            </w:r>
            <w:r w:rsidR="0046531F" w:rsidRPr="00453AFD">
              <w:rPr>
                <w:sz w:val="16"/>
                <w:szCs w:val="16"/>
              </w:rPr>
              <w:t>.</w:t>
            </w:r>
            <w:r>
              <w:rPr>
                <w:sz w:val="16"/>
                <w:szCs w:val="16"/>
              </w:rPr>
              <w:t>6</w:t>
            </w:r>
          </w:p>
        </w:tc>
        <w:tc>
          <w:tcPr>
            <w:tcW w:w="867" w:type="pct"/>
          </w:tcPr>
          <w:p w:rsidR="0046531F" w:rsidRPr="00453AFD" w:rsidRDefault="005F7135" w:rsidP="00975794">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7</w:t>
            </w:r>
            <w:r w:rsidR="0046531F">
              <w:rPr>
                <w:sz w:val="16"/>
                <w:szCs w:val="16"/>
              </w:rPr>
              <w:t>.</w:t>
            </w:r>
            <w:r>
              <w:rPr>
                <w:sz w:val="16"/>
                <w:szCs w:val="16"/>
              </w:rPr>
              <w:t>6</w:t>
            </w:r>
          </w:p>
        </w:tc>
        <w:tc>
          <w:tcPr>
            <w:tcW w:w="866" w:type="pct"/>
          </w:tcPr>
          <w:p w:rsidR="0046531F" w:rsidRPr="00453AFD" w:rsidRDefault="008B5C51" w:rsidP="00975794">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453AFD">
              <w:rPr>
                <w:sz w:val="16"/>
                <w:szCs w:val="16"/>
              </w:rPr>
              <w:t>-</w:t>
            </w:r>
          </w:p>
        </w:tc>
        <w:tc>
          <w:tcPr>
            <w:tcW w:w="865" w:type="pct"/>
          </w:tcPr>
          <w:p w:rsidR="0046531F" w:rsidRPr="00453AFD" w:rsidRDefault="0046531F" w:rsidP="008B5C51">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r w:rsidR="008B5C51" w:rsidRPr="00453AFD">
              <w:rPr>
                <w:sz w:val="16"/>
                <w:szCs w:val="16"/>
              </w:rPr>
              <w:t>-</w:t>
            </w:r>
          </w:p>
        </w:tc>
      </w:tr>
      <w:tr w:rsidR="0046531F" w:rsidRPr="004F416F" w:rsidTr="00975794">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35" w:type="pct"/>
            <w:hideMark/>
          </w:tcPr>
          <w:p w:rsidR="0046531F" w:rsidRPr="00453AFD" w:rsidRDefault="0046531F" w:rsidP="00975794">
            <w:pPr>
              <w:rPr>
                <w:szCs w:val="16"/>
              </w:rPr>
            </w:pPr>
            <w:r w:rsidRPr="00453AFD">
              <w:rPr>
                <w:szCs w:val="16"/>
              </w:rPr>
              <w:t>GROSS TOTAL CAPITAL EXPENDITURE</w:t>
            </w:r>
          </w:p>
        </w:tc>
        <w:tc>
          <w:tcPr>
            <w:tcW w:w="867" w:type="pct"/>
          </w:tcPr>
          <w:p w:rsidR="0046531F" w:rsidRPr="00453AFD" w:rsidRDefault="005F7135" w:rsidP="00975794">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44.8</w:t>
            </w:r>
          </w:p>
        </w:tc>
        <w:tc>
          <w:tcPr>
            <w:tcW w:w="867" w:type="pct"/>
          </w:tcPr>
          <w:p w:rsidR="0046531F" w:rsidRPr="00453AFD" w:rsidRDefault="005F7135" w:rsidP="00975794">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3</w:t>
            </w:r>
            <w:r w:rsidR="0046531F">
              <w:rPr>
                <w:sz w:val="16"/>
                <w:szCs w:val="16"/>
              </w:rPr>
              <w:t>7.</w:t>
            </w:r>
            <w:r>
              <w:rPr>
                <w:sz w:val="16"/>
                <w:szCs w:val="16"/>
              </w:rPr>
              <w:t>8</w:t>
            </w:r>
          </w:p>
        </w:tc>
        <w:tc>
          <w:tcPr>
            <w:tcW w:w="866" w:type="pct"/>
          </w:tcPr>
          <w:p w:rsidR="0046531F" w:rsidRPr="00453AFD" w:rsidRDefault="005F7135" w:rsidP="00975794">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-7</w:t>
            </w:r>
            <w:r w:rsidR="0046531F">
              <w:rPr>
                <w:sz w:val="16"/>
                <w:szCs w:val="16"/>
              </w:rPr>
              <w:t>.</w:t>
            </w:r>
            <w:r>
              <w:rPr>
                <w:sz w:val="16"/>
                <w:szCs w:val="16"/>
              </w:rPr>
              <w:t>0</w:t>
            </w:r>
          </w:p>
        </w:tc>
        <w:tc>
          <w:tcPr>
            <w:tcW w:w="865" w:type="pct"/>
          </w:tcPr>
          <w:p w:rsidR="0046531F" w:rsidRPr="00453AFD" w:rsidRDefault="005F7135" w:rsidP="00975794">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-16</w:t>
            </w:r>
            <w:r w:rsidR="0046531F">
              <w:rPr>
                <w:sz w:val="16"/>
                <w:szCs w:val="16"/>
              </w:rPr>
              <w:t>%</w:t>
            </w:r>
          </w:p>
        </w:tc>
      </w:tr>
      <w:tr w:rsidR="0046531F" w:rsidRPr="004F416F" w:rsidTr="00975794">
        <w:trPr>
          <w:trHeight w:val="300"/>
        </w:trPr>
        <w:tc>
          <w:tcPr>
            <w:cnfStyle w:val="001000000000" w:firstRow="0" w:lastRow="0" w:firstColumn="1" w:lastColumn="0" w:oddVBand="0" w:evenVBand="0" w:oddHBand="0" w:evenHBand="0" w:firstRowFirstColumn="0" w:firstRowLastColumn="0" w:lastRowFirstColumn="0" w:lastRowLastColumn="0"/>
            <w:tcW w:w="1535" w:type="pct"/>
            <w:hideMark/>
          </w:tcPr>
          <w:p w:rsidR="0046531F" w:rsidRPr="00453AFD" w:rsidRDefault="0046531F" w:rsidP="00975794">
            <w:pPr>
              <w:rPr>
                <w:szCs w:val="16"/>
              </w:rPr>
            </w:pPr>
            <w:r w:rsidRPr="00453AFD">
              <w:rPr>
                <w:szCs w:val="16"/>
              </w:rPr>
              <w:t>Contributions</w:t>
            </w:r>
          </w:p>
        </w:tc>
        <w:tc>
          <w:tcPr>
            <w:tcW w:w="867" w:type="pct"/>
          </w:tcPr>
          <w:p w:rsidR="0046531F" w:rsidRPr="00453AFD" w:rsidRDefault="0046531F" w:rsidP="00975794">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867" w:type="pct"/>
          </w:tcPr>
          <w:p w:rsidR="0046531F" w:rsidRPr="00453AFD" w:rsidRDefault="0046531F" w:rsidP="00975794">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866" w:type="pct"/>
          </w:tcPr>
          <w:p w:rsidR="0046531F" w:rsidRPr="00453AFD" w:rsidRDefault="0046531F" w:rsidP="00975794">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865" w:type="pct"/>
          </w:tcPr>
          <w:p w:rsidR="0046531F" w:rsidRPr="00453AFD" w:rsidRDefault="0046531F" w:rsidP="00975794">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r>
      <w:tr w:rsidR="0046531F" w:rsidRPr="004F416F" w:rsidTr="00975794">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35" w:type="pct"/>
            <w:hideMark/>
          </w:tcPr>
          <w:p w:rsidR="0046531F" w:rsidRPr="00453AFD" w:rsidRDefault="0046531F" w:rsidP="00975794">
            <w:pPr>
              <w:rPr>
                <w:szCs w:val="16"/>
              </w:rPr>
            </w:pPr>
            <w:r w:rsidRPr="00453AFD">
              <w:rPr>
                <w:szCs w:val="16"/>
              </w:rPr>
              <w:t>Asset disposals</w:t>
            </w:r>
          </w:p>
        </w:tc>
        <w:tc>
          <w:tcPr>
            <w:tcW w:w="867" w:type="pct"/>
          </w:tcPr>
          <w:p w:rsidR="0046531F" w:rsidRPr="009F041B" w:rsidRDefault="005F7135" w:rsidP="00975794">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sidRPr="009F041B">
              <w:rPr>
                <w:sz w:val="16"/>
                <w:szCs w:val="16"/>
              </w:rPr>
              <w:t>0.4</w:t>
            </w:r>
          </w:p>
        </w:tc>
        <w:tc>
          <w:tcPr>
            <w:tcW w:w="867" w:type="pct"/>
          </w:tcPr>
          <w:p w:rsidR="0046531F" w:rsidRPr="009F041B" w:rsidRDefault="0046531F" w:rsidP="00975794">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sidRPr="009F041B">
              <w:rPr>
                <w:sz w:val="16"/>
                <w:szCs w:val="16"/>
              </w:rPr>
              <w:t>0.</w:t>
            </w:r>
            <w:r w:rsidR="005F7135" w:rsidRPr="009F041B">
              <w:rPr>
                <w:sz w:val="16"/>
                <w:szCs w:val="16"/>
              </w:rPr>
              <w:t>4</w:t>
            </w:r>
          </w:p>
        </w:tc>
        <w:tc>
          <w:tcPr>
            <w:tcW w:w="866" w:type="pct"/>
          </w:tcPr>
          <w:p w:rsidR="0046531F" w:rsidRPr="00453AFD" w:rsidRDefault="005F7135" w:rsidP="00975794">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w:t>
            </w:r>
          </w:p>
        </w:tc>
        <w:tc>
          <w:tcPr>
            <w:tcW w:w="865" w:type="pct"/>
          </w:tcPr>
          <w:p w:rsidR="0046531F" w:rsidRPr="00453AFD" w:rsidRDefault="001C3D2D" w:rsidP="00975794">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t>N/A</w:t>
            </w:r>
          </w:p>
        </w:tc>
      </w:tr>
      <w:tr w:rsidR="0046531F" w:rsidRPr="004F416F" w:rsidTr="00975794">
        <w:trPr>
          <w:trHeight w:val="300"/>
        </w:trPr>
        <w:tc>
          <w:tcPr>
            <w:cnfStyle w:val="001000000000" w:firstRow="0" w:lastRow="0" w:firstColumn="1" w:lastColumn="0" w:oddVBand="0" w:evenVBand="0" w:oddHBand="0" w:evenHBand="0" w:firstRowFirstColumn="0" w:firstRowLastColumn="0" w:lastRowFirstColumn="0" w:lastRowLastColumn="0"/>
            <w:tcW w:w="1535" w:type="pct"/>
            <w:hideMark/>
          </w:tcPr>
          <w:p w:rsidR="0046531F" w:rsidRPr="00453AFD" w:rsidRDefault="0046531F" w:rsidP="00975794">
            <w:pPr>
              <w:spacing w:before="0"/>
              <w:rPr>
                <w:rStyle w:val="AERsuperscript"/>
                <w:szCs w:val="16"/>
              </w:rPr>
            </w:pPr>
            <w:r w:rsidRPr="00453AFD">
              <w:rPr>
                <w:szCs w:val="16"/>
              </w:rPr>
              <w:t>NET TOTAL CAPITAL EXPENDITURE</w:t>
            </w:r>
            <w:r w:rsidRPr="00453AFD">
              <w:rPr>
                <w:rStyle w:val="AERsuperscript"/>
                <w:szCs w:val="16"/>
              </w:rPr>
              <w:t>)</w:t>
            </w:r>
          </w:p>
        </w:tc>
        <w:tc>
          <w:tcPr>
            <w:tcW w:w="867" w:type="pct"/>
          </w:tcPr>
          <w:p w:rsidR="0046531F" w:rsidRPr="00453AFD" w:rsidRDefault="005F7135" w:rsidP="00975794">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44</w:t>
            </w:r>
            <w:r w:rsidR="0046531F" w:rsidRPr="00453AFD">
              <w:rPr>
                <w:sz w:val="16"/>
                <w:szCs w:val="16"/>
              </w:rPr>
              <w:t>.</w:t>
            </w:r>
            <w:r>
              <w:rPr>
                <w:sz w:val="16"/>
                <w:szCs w:val="16"/>
              </w:rPr>
              <w:t>4</w:t>
            </w:r>
          </w:p>
        </w:tc>
        <w:tc>
          <w:tcPr>
            <w:tcW w:w="867" w:type="pct"/>
          </w:tcPr>
          <w:p w:rsidR="0046531F" w:rsidRPr="00453AFD" w:rsidRDefault="005F7135" w:rsidP="00975794">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37</w:t>
            </w:r>
            <w:r w:rsidR="0046531F">
              <w:rPr>
                <w:sz w:val="16"/>
                <w:szCs w:val="16"/>
              </w:rPr>
              <w:t>.</w:t>
            </w:r>
            <w:r w:rsidR="009F041B">
              <w:rPr>
                <w:sz w:val="16"/>
                <w:szCs w:val="16"/>
              </w:rPr>
              <w:t>4</w:t>
            </w:r>
          </w:p>
        </w:tc>
        <w:tc>
          <w:tcPr>
            <w:tcW w:w="866" w:type="pct"/>
          </w:tcPr>
          <w:p w:rsidR="0046531F" w:rsidRPr="00453AFD" w:rsidRDefault="005F7135" w:rsidP="00975794">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-7</w:t>
            </w:r>
            <w:r w:rsidR="0046531F">
              <w:rPr>
                <w:sz w:val="16"/>
                <w:szCs w:val="16"/>
              </w:rPr>
              <w:t>.</w:t>
            </w:r>
            <w:r>
              <w:rPr>
                <w:sz w:val="16"/>
                <w:szCs w:val="16"/>
              </w:rPr>
              <w:t>0</w:t>
            </w:r>
          </w:p>
        </w:tc>
        <w:tc>
          <w:tcPr>
            <w:tcW w:w="865" w:type="pct"/>
          </w:tcPr>
          <w:p w:rsidR="0046531F" w:rsidRPr="00453AFD" w:rsidRDefault="00975794" w:rsidP="00975794">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-16</w:t>
            </w:r>
            <w:r w:rsidR="0046531F">
              <w:rPr>
                <w:sz w:val="16"/>
                <w:szCs w:val="16"/>
              </w:rPr>
              <w:t>%</w:t>
            </w:r>
          </w:p>
        </w:tc>
      </w:tr>
    </w:tbl>
    <w:p w:rsidR="0046531F" w:rsidRDefault="0046531F" w:rsidP="00975794">
      <w:pPr>
        <w:pStyle w:val="AERtablesource"/>
      </w:pPr>
      <w:r w:rsidRPr="00975794">
        <w:t>Source</w:t>
      </w:r>
      <w:r w:rsidRPr="00DE44F6">
        <w:t>:</w:t>
      </w:r>
      <w:r w:rsidRPr="00DE44F6">
        <w:tab/>
        <w:t>AER analysis.</w:t>
      </w:r>
    </w:p>
    <w:p w:rsidR="003A05BE" w:rsidRPr="003A05BE" w:rsidRDefault="003A05BE" w:rsidP="003A05BE">
      <w:pPr>
        <w:pStyle w:val="AERtablesource"/>
      </w:pPr>
      <w:r w:rsidRPr="00A91109">
        <w:t>Note:</w:t>
      </w:r>
      <w:r w:rsidRPr="00A91109">
        <w:tab/>
        <w:t>(</w:t>
      </w:r>
      <w:r w:rsidRPr="005F6AB8">
        <w:t>a) Including AER labour escalation adjustments.</w:t>
      </w:r>
    </w:p>
    <w:p w:rsidR="004241B0" w:rsidRDefault="004241B0" w:rsidP="0046531F">
      <w:pPr>
        <w:pStyle w:val="Heading3"/>
      </w:pPr>
      <w:bookmarkStart w:id="16" w:name="_Toc436042748"/>
      <w:r w:rsidRPr="00CA131C">
        <w:t xml:space="preserve">Conforming </w:t>
      </w:r>
      <w:r>
        <w:t xml:space="preserve">capex </w:t>
      </w:r>
      <w:r w:rsidRPr="00CA131C">
        <w:t xml:space="preserve">for the </w:t>
      </w:r>
      <w:r w:rsidR="006A555A">
        <w:t>2016–21</w:t>
      </w:r>
      <w:r w:rsidRPr="00CA131C">
        <w:t xml:space="preserve"> access arrangement period</w:t>
      </w:r>
      <w:bookmarkEnd w:id="16"/>
    </w:p>
    <w:p w:rsidR="00F9442F" w:rsidRDefault="004241B0" w:rsidP="00975794">
      <w:r>
        <w:t>We</w:t>
      </w:r>
      <w:r w:rsidRPr="00CA131C">
        <w:t xml:space="preserve"> approve </w:t>
      </w:r>
      <w:r w:rsidRPr="009F041B">
        <w:t>$</w:t>
      </w:r>
      <w:r w:rsidR="00173F9F" w:rsidRPr="009F041B">
        <w:t>26.5</w:t>
      </w:r>
      <w:r w:rsidR="00E03561" w:rsidRPr="009F041B">
        <w:t xml:space="preserve"> </w:t>
      </w:r>
      <w:r w:rsidRPr="009F041B">
        <w:t>million</w:t>
      </w:r>
      <w:r w:rsidRPr="00CA131C">
        <w:t xml:space="preserve"> ($</w:t>
      </w:r>
      <w:r w:rsidR="000B70FD">
        <w:t>2015–16</w:t>
      </w:r>
      <w:r w:rsidRPr="00CA131C">
        <w:t xml:space="preserve">) of </w:t>
      </w:r>
      <w:r w:rsidR="00E03561">
        <w:t>APTNT’s</w:t>
      </w:r>
      <w:r w:rsidRPr="00CA131C">
        <w:t xml:space="preserve"> proposed $</w:t>
      </w:r>
      <w:r w:rsidR="00E03561">
        <w:t>29.9</w:t>
      </w:r>
      <w:r w:rsidRPr="00CA131C">
        <w:t xml:space="preserve"> million ($201</w:t>
      </w:r>
      <w:r>
        <w:t>5</w:t>
      </w:r>
      <w:r w:rsidR="000B70FD">
        <w:t>–</w:t>
      </w:r>
      <w:r w:rsidR="001053FC">
        <w:t>16</w:t>
      </w:r>
      <w:r w:rsidRPr="00CA131C">
        <w:t>) total net capex for 201</w:t>
      </w:r>
      <w:r w:rsidR="001053FC">
        <w:t>6</w:t>
      </w:r>
      <w:r w:rsidRPr="00CA131C">
        <w:t>–</w:t>
      </w:r>
      <w:r>
        <w:t>2</w:t>
      </w:r>
      <w:r w:rsidR="001053FC">
        <w:t>1</w:t>
      </w:r>
      <w:r w:rsidRPr="00CA131C">
        <w:t xml:space="preserve"> as conforming capex under r. 79(1) of the NGR. </w:t>
      </w:r>
    </w:p>
    <w:p w:rsidR="00662426" w:rsidRDefault="00662426" w:rsidP="00975794">
      <w:r>
        <w:fldChar w:fldCharType="begin"/>
      </w:r>
      <w:r>
        <w:instrText xml:space="preserve"> REF _Ref404161318 \h </w:instrText>
      </w:r>
      <w:r>
        <w:fldChar w:fldCharType="separate"/>
      </w:r>
      <w:r w:rsidR="00F65E22">
        <w:t xml:space="preserve">Table </w:t>
      </w:r>
      <w:r w:rsidR="00F65E22">
        <w:rPr>
          <w:noProof/>
        </w:rPr>
        <w:t>6</w:t>
      </w:r>
      <w:r w:rsidR="00F65E22">
        <w:t>.</w:t>
      </w:r>
      <w:r w:rsidR="00F65E22">
        <w:rPr>
          <w:noProof/>
        </w:rPr>
        <w:t>3</w:t>
      </w:r>
      <w:r>
        <w:fldChar w:fldCharType="end"/>
      </w:r>
      <w:r>
        <w:t xml:space="preserve"> </w:t>
      </w:r>
      <w:r w:rsidRPr="00CA131C">
        <w:t>shows approved capex for the 201</w:t>
      </w:r>
      <w:r>
        <w:t>6–21</w:t>
      </w:r>
      <w:r w:rsidRPr="00CA131C">
        <w:t xml:space="preserve"> access arrangement period by category.</w:t>
      </w:r>
    </w:p>
    <w:p w:rsidR="00662426" w:rsidRDefault="00662426" w:rsidP="00C9745C">
      <w:pPr>
        <w:pStyle w:val="Caption"/>
      </w:pPr>
      <w:bookmarkStart w:id="17" w:name="_Ref404161318"/>
      <w:r>
        <w:lastRenderedPageBreak/>
        <w:t xml:space="preserve">Table </w:t>
      </w:r>
      <w:fldSimple w:instr=" STYLEREF 1 \s ">
        <w:r w:rsidR="00F65E22">
          <w:rPr>
            <w:noProof/>
          </w:rPr>
          <w:t>6</w:t>
        </w:r>
      </w:fldSimple>
      <w:r w:rsidR="00F11395">
        <w:t>.</w:t>
      </w:r>
      <w:fldSimple w:instr=" SEQ Table \* ARABIC \s 1 ">
        <w:r w:rsidR="00F65E22">
          <w:rPr>
            <w:noProof/>
          </w:rPr>
          <w:t>3</w:t>
        </w:r>
      </w:fldSimple>
      <w:bookmarkEnd w:id="17"/>
      <w:r>
        <w:tab/>
      </w:r>
      <w:r w:rsidRPr="00EB0E3D">
        <w:t>AER approved capital expenditure</w:t>
      </w:r>
      <w:r w:rsidRPr="00EB0E3D">
        <w:rPr>
          <w:rStyle w:val="AERsuperscript"/>
        </w:rPr>
        <w:t>(a)</w:t>
      </w:r>
      <w:r w:rsidRPr="00EB0E3D">
        <w:t xml:space="preserve"> by category over the </w:t>
      </w:r>
      <w:r w:rsidR="006A555A">
        <w:t>2016–21</w:t>
      </w:r>
      <w:r w:rsidRPr="00EB0E3D">
        <w:t xml:space="preserve"> access arrangement period ($million, 201</w:t>
      </w:r>
      <w:r>
        <w:t>5</w:t>
      </w:r>
      <w:r w:rsidR="000B70FD">
        <w:t>–</w:t>
      </w:r>
      <w:r>
        <w:t>16</w:t>
      </w:r>
      <w:r w:rsidRPr="00EB0E3D">
        <w:t>)</w:t>
      </w:r>
    </w:p>
    <w:tbl>
      <w:tblPr>
        <w:tblStyle w:val="AERtable-numbers"/>
        <w:tblW w:w="5000" w:type="pct"/>
        <w:tblLook w:val="04A0" w:firstRow="1" w:lastRow="0" w:firstColumn="1" w:lastColumn="0" w:noHBand="0" w:noVBand="1"/>
      </w:tblPr>
      <w:tblGrid>
        <w:gridCol w:w="3356"/>
        <w:gridCol w:w="889"/>
        <w:gridCol w:w="891"/>
        <w:gridCol w:w="889"/>
        <w:gridCol w:w="890"/>
        <w:gridCol w:w="888"/>
        <w:gridCol w:w="890"/>
      </w:tblGrid>
      <w:tr w:rsidR="00173F9F" w:rsidRPr="004F416F" w:rsidTr="00F11395">
        <w:trPr>
          <w:cnfStyle w:val="100000000000" w:firstRow="1" w:lastRow="0" w:firstColumn="0" w:lastColumn="0" w:oddVBand="0" w:evenVBand="0" w:oddHBand="0" w:evenHBand="0" w:firstRowFirstColumn="0" w:firstRowLastColumn="0" w:lastRowFirstColumn="0" w:lastRowLastColumn="0"/>
          <w:trHeight w:val="315"/>
          <w:tblHeader/>
        </w:trPr>
        <w:tc>
          <w:tcPr>
            <w:cnfStyle w:val="001000000000" w:firstRow="0" w:lastRow="0" w:firstColumn="1" w:lastColumn="0" w:oddVBand="0" w:evenVBand="0" w:oddHBand="0" w:evenHBand="0" w:firstRowFirstColumn="0" w:firstRowLastColumn="0" w:lastRowFirstColumn="0" w:lastRowLastColumn="0"/>
            <w:tcW w:w="1930" w:type="pct"/>
            <w:hideMark/>
          </w:tcPr>
          <w:p w:rsidR="00662426" w:rsidRPr="009309F6" w:rsidRDefault="00662426" w:rsidP="00C9745C">
            <w:pPr>
              <w:keepNext/>
              <w:rPr>
                <w:szCs w:val="16"/>
              </w:rPr>
            </w:pPr>
            <w:r w:rsidRPr="009309F6">
              <w:rPr>
                <w:szCs w:val="16"/>
              </w:rPr>
              <w:t> Category</w:t>
            </w:r>
          </w:p>
        </w:tc>
        <w:tc>
          <w:tcPr>
            <w:tcW w:w="511" w:type="pct"/>
            <w:hideMark/>
          </w:tcPr>
          <w:p w:rsidR="00662426" w:rsidRPr="009309F6" w:rsidRDefault="00662426" w:rsidP="00C9745C">
            <w:pPr>
              <w:pStyle w:val="AERtabletextright"/>
              <w:keepNext/>
              <w:cnfStyle w:val="100000000000" w:firstRow="1" w:lastRow="0" w:firstColumn="0" w:lastColumn="0" w:oddVBand="0" w:evenVBand="0" w:oddHBand="0" w:evenHBand="0" w:firstRowFirstColumn="0" w:firstRowLastColumn="0" w:lastRowFirstColumn="0" w:lastRowLastColumn="0"/>
              <w:rPr>
                <w:sz w:val="16"/>
                <w:szCs w:val="16"/>
              </w:rPr>
            </w:pPr>
            <w:r w:rsidRPr="009309F6">
              <w:rPr>
                <w:sz w:val="16"/>
                <w:szCs w:val="16"/>
              </w:rPr>
              <w:t>2016-17</w:t>
            </w:r>
          </w:p>
        </w:tc>
        <w:tc>
          <w:tcPr>
            <w:tcW w:w="512" w:type="pct"/>
            <w:hideMark/>
          </w:tcPr>
          <w:p w:rsidR="00662426" w:rsidRPr="009309F6" w:rsidRDefault="00662426" w:rsidP="00C9745C">
            <w:pPr>
              <w:pStyle w:val="AERtabletextright"/>
              <w:keepNext/>
              <w:cnfStyle w:val="100000000000" w:firstRow="1" w:lastRow="0" w:firstColumn="0" w:lastColumn="0" w:oddVBand="0" w:evenVBand="0" w:oddHBand="0" w:evenHBand="0" w:firstRowFirstColumn="0" w:firstRowLastColumn="0" w:lastRowFirstColumn="0" w:lastRowLastColumn="0"/>
              <w:rPr>
                <w:sz w:val="16"/>
                <w:szCs w:val="16"/>
              </w:rPr>
            </w:pPr>
            <w:r w:rsidRPr="009309F6">
              <w:rPr>
                <w:sz w:val="16"/>
                <w:szCs w:val="16"/>
              </w:rPr>
              <w:t>2017-18</w:t>
            </w:r>
          </w:p>
        </w:tc>
        <w:tc>
          <w:tcPr>
            <w:tcW w:w="511" w:type="pct"/>
            <w:hideMark/>
          </w:tcPr>
          <w:p w:rsidR="00662426" w:rsidRPr="009309F6" w:rsidRDefault="00662426" w:rsidP="00C9745C">
            <w:pPr>
              <w:pStyle w:val="AERtabletextright"/>
              <w:keepNext/>
              <w:cnfStyle w:val="100000000000" w:firstRow="1" w:lastRow="0" w:firstColumn="0" w:lastColumn="0" w:oddVBand="0" w:evenVBand="0" w:oddHBand="0" w:evenHBand="0" w:firstRowFirstColumn="0" w:firstRowLastColumn="0" w:lastRowFirstColumn="0" w:lastRowLastColumn="0"/>
              <w:rPr>
                <w:sz w:val="16"/>
                <w:szCs w:val="16"/>
              </w:rPr>
            </w:pPr>
            <w:r w:rsidRPr="009309F6">
              <w:rPr>
                <w:sz w:val="16"/>
                <w:szCs w:val="16"/>
              </w:rPr>
              <w:t>2018-19</w:t>
            </w:r>
          </w:p>
        </w:tc>
        <w:tc>
          <w:tcPr>
            <w:tcW w:w="512" w:type="pct"/>
            <w:hideMark/>
          </w:tcPr>
          <w:p w:rsidR="00662426" w:rsidRPr="009309F6" w:rsidRDefault="00662426" w:rsidP="00C9745C">
            <w:pPr>
              <w:pStyle w:val="AERtabletextright"/>
              <w:keepNext/>
              <w:cnfStyle w:val="100000000000" w:firstRow="1" w:lastRow="0" w:firstColumn="0" w:lastColumn="0" w:oddVBand="0" w:evenVBand="0" w:oddHBand="0" w:evenHBand="0" w:firstRowFirstColumn="0" w:firstRowLastColumn="0" w:lastRowFirstColumn="0" w:lastRowLastColumn="0"/>
              <w:rPr>
                <w:sz w:val="16"/>
                <w:szCs w:val="16"/>
              </w:rPr>
            </w:pPr>
            <w:r w:rsidRPr="009309F6">
              <w:rPr>
                <w:sz w:val="16"/>
                <w:szCs w:val="16"/>
              </w:rPr>
              <w:t>2019-20</w:t>
            </w:r>
          </w:p>
        </w:tc>
        <w:tc>
          <w:tcPr>
            <w:tcW w:w="511" w:type="pct"/>
            <w:hideMark/>
          </w:tcPr>
          <w:p w:rsidR="00662426" w:rsidRPr="009309F6" w:rsidRDefault="00662426" w:rsidP="00C9745C">
            <w:pPr>
              <w:pStyle w:val="AERtabletextright"/>
              <w:keepNext/>
              <w:cnfStyle w:val="100000000000" w:firstRow="1" w:lastRow="0" w:firstColumn="0" w:lastColumn="0" w:oddVBand="0" w:evenVBand="0" w:oddHBand="0" w:evenHBand="0" w:firstRowFirstColumn="0" w:firstRowLastColumn="0" w:lastRowFirstColumn="0" w:lastRowLastColumn="0"/>
              <w:rPr>
                <w:sz w:val="16"/>
                <w:szCs w:val="16"/>
              </w:rPr>
            </w:pPr>
            <w:r w:rsidRPr="009309F6">
              <w:rPr>
                <w:sz w:val="16"/>
                <w:szCs w:val="16"/>
              </w:rPr>
              <w:t>2020-21</w:t>
            </w:r>
          </w:p>
        </w:tc>
        <w:tc>
          <w:tcPr>
            <w:tcW w:w="512" w:type="pct"/>
          </w:tcPr>
          <w:p w:rsidR="00662426" w:rsidRPr="009309F6" w:rsidRDefault="00662426" w:rsidP="00C9745C">
            <w:pPr>
              <w:pStyle w:val="AERtabletextright"/>
              <w:keepNext/>
              <w:cnfStyle w:val="100000000000" w:firstRow="1" w:lastRow="0" w:firstColumn="0" w:lastColumn="0" w:oddVBand="0" w:evenVBand="0" w:oddHBand="0" w:evenHBand="0" w:firstRowFirstColumn="0" w:firstRowLastColumn="0" w:lastRowFirstColumn="0" w:lastRowLastColumn="0"/>
              <w:rPr>
                <w:sz w:val="16"/>
                <w:szCs w:val="16"/>
              </w:rPr>
            </w:pPr>
            <w:r w:rsidRPr="009309F6">
              <w:rPr>
                <w:sz w:val="16"/>
                <w:szCs w:val="16"/>
              </w:rPr>
              <w:t>Total</w:t>
            </w:r>
          </w:p>
        </w:tc>
      </w:tr>
      <w:tr w:rsidR="00173F9F" w:rsidRPr="004F416F" w:rsidTr="00173F9F">
        <w:trPr>
          <w:trHeight w:val="300"/>
        </w:trPr>
        <w:tc>
          <w:tcPr>
            <w:cnfStyle w:val="001000000000" w:firstRow="0" w:lastRow="0" w:firstColumn="1" w:lastColumn="0" w:oddVBand="0" w:evenVBand="0" w:oddHBand="0" w:evenHBand="0" w:firstRowFirstColumn="0" w:firstRowLastColumn="0" w:lastRowFirstColumn="0" w:lastRowLastColumn="0"/>
            <w:tcW w:w="1930" w:type="pct"/>
            <w:hideMark/>
          </w:tcPr>
          <w:p w:rsidR="00662426" w:rsidRPr="00A76366" w:rsidRDefault="00662426" w:rsidP="00C9745C">
            <w:pPr>
              <w:keepNext/>
            </w:pPr>
            <w:r>
              <w:t xml:space="preserve">Expansion </w:t>
            </w:r>
          </w:p>
        </w:tc>
        <w:tc>
          <w:tcPr>
            <w:tcW w:w="511" w:type="pct"/>
          </w:tcPr>
          <w:p w:rsidR="00662426" w:rsidRPr="009309F6" w:rsidRDefault="009309F6" w:rsidP="00C9745C">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sidRPr="009309F6">
              <w:rPr>
                <w:sz w:val="16"/>
                <w:szCs w:val="16"/>
              </w:rPr>
              <w:t>-</w:t>
            </w:r>
          </w:p>
        </w:tc>
        <w:tc>
          <w:tcPr>
            <w:tcW w:w="512" w:type="pct"/>
          </w:tcPr>
          <w:p w:rsidR="00662426" w:rsidRPr="009309F6" w:rsidRDefault="009309F6" w:rsidP="00C9745C">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sidRPr="009309F6">
              <w:rPr>
                <w:sz w:val="16"/>
                <w:szCs w:val="16"/>
              </w:rPr>
              <w:t>-</w:t>
            </w:r>
          </w:p>
        </w:tc>
        <w:tc>
          <w:tcPr>
            <w:tcW w:w="511" w:type="pct"/>
          </w:tcPr>
          <w:p w:rsidR="00662426" w:rsidRPr="009309F6" w:rsidRDefault="009309F6" w:rsidP="00C9745C">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sidRPr="009309F6">
              <w:rPr>
                <w:sz w:val="16"/>
                <w:szCs w:val="16"/>
              </w:rPr>
              <w:t>-</w:t>
            </w:r>
          </w:p>
        </w:tc>
        <w:tc>
          <w:tcPr>
            <w:tcW w:w="512" w:type="pct"/>
          </w:tcPr>
          <w:p w:rsidR="00662426" w:rsidRPr="009309F6" w:rsidRDefault="009309F6" w:rsidP="00C9745C">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sidRPr="009309F6">
              <w:rPr>
                <w:sz w:val="16"/>
                <w:szCs w:val="16"/>
              </w:rPr>
              <w:t>-</w:t>
            </w:r>
          </w:p>
        </w:tc>
        <w:tc>
          <w:tcPr>
            <w:tcW w:w="511" w:type="pct"/>
          </w:tcPr>
          <w:p w:rsidR="00662426" w:rsidRPr="009309F6" w:rsidRDefault="009309F6" w:rsidP="00C9745C">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sidRPr="009309F6">
              <w:rPr>
                <w:sz w:val="16"/>
                <w:szCs w:val="16"/>
              </w:rPr>
              <w:t>-</w:t>
            </w:r>
          </w:p>
        </w:tc>
        <w:tc>
          <w:tcPr>
            <w:tcW w:w="512" w:type="pct"/>
          </w:tcPr>
          <w:p w:rsidR="00662426" w:rsidRPr="009309F6" w:rsidRDefault="009309F6" w:rsidP="00C9745C">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sidRPr="009309F6">
              <w:rPr>
                <w:sz w:val="16"/>
                <w:szCs w:val="16"/>
              </w:rPr>
              <w:t>-</w:t>
            </w:r>
          </w:p>
        </w:tc>
      </w:tr>
      <w:tr w:rsidR="00173F9F" w:rsidRPr="004F416F" w:rsidTr="00173F9F">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30" w:type="pct"/>
            <w:hideMark/>
          </w:tcPr>
          <w:p w:rsidR="00662426" w:rsidRPr="00A76366" w:rsidRDefault="00662426" w:rsidP="00C9745C">
            <w:pPr>
              <w:keepNext/>
            </w:pPr>
            <w:r>
              <w:t xml:space="preserve">Replacement </w:t>
            </w:r>
          </w:p>
        </w:tc>
        <w:tc>
          <w:tcPr>
            <w:tcW w:w="511" w:type="pct"/>
          </w:tcPr>
          <w:p w:rsidR="00662426" w:rsidRPr="009309F6" w:rsidRDefault="00173F9F" w:rsidP="00C9745C">
            <w:pPr>
              <w:pStyle w:val="AERtabletextright"/>
              <w:keepNex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4.7</w:t>
            </w:r>
          </w:p>
        </w:tc>
        <w:tc>
          <w:tcPr>
            <w:tcW w:w="512" w:type="pct"/>
          </w:tcPr>
          <w:p w:rsidR="00662426" w:rsidRPr="009309F6" w:rsidRDefault="00173F9F" w:rsidP="00C9745C">
            <w:pPr>
              <w:pStyle w:val="AERtabletextright"/>
              <w:keepNex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3.7</w:t>
            </w:r>
          </w:p>
        </w:tc>
        <w:tc>
          <w:tcPr>
            <w:tcW w:w="511" w:type="pct"/>
          </w:tcPr>
          <w:p w:rsidR="00662426" w:rsidRPr="009309F6" w:rsidRDefault="00173F9F" w:rsidP="00C9745C">
            <w:pPr>
              <w:pStyle w:val="AERtabletextright"/>
              <w:keepNex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3.4</w:t>
            </w:r>
          </w:p>
        </w:tc>
        <w:tc>
          <w:tcPr>
            <w:tcW w:w="512" w:type="pct"/>
          </w:tcPr>
          <w:p w:rsidR="00662426" w:rsidRPr="009309F6" w:rsidRDefault="00173F9F" w:rsidP="00C9745C">
            <w:pPr>
              <w:pStyle w:val="AERtabletextright"/>
              <w:keepNex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3.4</w:t>
            </w:r>
          </w:p>
        </w:tc>
        <w:tc>
          <w:tcPr>
            <w:tcW w:w="511" w:type="pct"/>
          </w:tcPr>
          <w:p w:rsidR="00662426" w:rsidRPr="009309F6" w:rsidRDefault="00173F9F" w:rsidP="00C9745C">
            <w:pPr>
              <w:pStyle w:val="AERtabletextright"/>
              <w:keepNex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3.</w:t>
            </w:r>
            <w:r w:rsidR="009F041B">
              <w:rPr>
                <w:sz w:val="16"/>
                <w:szCs w:val="16"/>
              </w:rPr>
              <w:t>3</w:t>
            </w:r>
          </w:p>
        </w:tc>
        <w:tc>
          <w:tcPr>
            <w:tcW w:w="512" w:type="pct"/>
          </w:tcPr>
          <w:p w:rsidR="00662426" w:rsidRPr="009309F6" w:rsidRDefault="00173F9F" w:rsidP="00C9745C">
            <w:pPr>
              <w:pStyle w:val="AERtabletextright"/>
              <w:keepNex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18.</w:t>
            </w:r>
            <w:r w:rsidR="009F041B">
              <w:rPr>
                <w:sz w:val="16"/>
                <w:szCs w:val="16"/>
              </w:rPr>
              <w:t>5</w:t>
            </w:r>
          </w:p>
        </w:tc>
      </w:tr>
      <w:tr w:rsidR="00173F9F" w:rsidRPr="004F416F" w:rsidTr="00173F9F">
        <w:trPr>
          <w:trHeight w:val="300"/>
        </w:trPr>
        <w:tc>
          <w:tcPr>
            <w:cnfStyle w:val="001000000000" w:firstRow="0" w:lastRow="0" w:firstColumn="1" w:lastColumn="0" w:oddVBand="0" w:evenVBand="0" w:oddHBand="0" w:evenHBand="0" w:firstRowFirstColumn="0" w:firstRowLastColumn="0" w:lastRowFirstColumn="0" w:lastRowLastColumn="0"/>
            <w:tcW w:w="1930" w:type="pct"/>
            <w:hideMark/>
          </w:tcPr>
          <w:p w:rsidR="00662426" w:rsidRPr="00A76366" w:rsidRDefault="00662426" w:rsidP="00C9745C">
            <w:pPr>
              <w:keepNext/>
            </w:pPr>
            <w:r>
              <w:t>Non-system</w:t>
            </w:r>
          </w:p>
        </w:tc>
        <w:tc>
          <w:tcPr>
            <w:tcW w:w="511" w:type="pct"/>
          </w:tcPr>
          <w:p w:rsidR="00662426" w:rsidRPr="009309F6" w:rsidRDefault="00173F9F" w:rsidP="00C9745C">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4.4</w:t>
            </w:r>
          </w:p>
        </w:tc>
        <w:tc>
          <w:tcPr>
            <w:tcW w:w="512" w:type="pct"/>
          </w:tcPr>
          <w:p w:rsidR="00662426" w:rsidRPr="009309F6" w:rsidRDefault="00173F9F" w:rsidP="00C9745C">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0.9</w:t>
            </w:r>
          </w:p>
        </w:tc>
        <w:tc>
          <w:tcPr>
            <w:tcW w:w="511" w:type="pct"/>
          </w:tcPr>
          <w:p w:rsidR="00662426" w:rsidRPr="009309F6" w:rsidRDefault="00173F9F" w:rsidP="00C9745C">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1.0</w:t>
            </w:r>
          </w:p>
        </w:tc>
        <w:tc>
          <w:tcPr>
            <w:tcW w:w="512" w:type="pct"/>
          </w:tcPr>
          <w:p w:rsidR="00662426" w:rsidRPr="009309F6" w:rsidRDefault="00173F9F" w:rsidP="00C9745C">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1.1</w:t>
            </w:r>
          </w:p>
        </w:tc>
        <w:tc>
          <w:tcPr>
            <w:tcW w:w="511" w:type="pct"/>
          </w:tcPr>
          <w:p w:rsidR="00662426" w:rsidRPr="009309F6" w:rsidRDefault="00173F9F" w:rsidP="00C9745C">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1.3</w:t>
            </w:r>
          </w:p>
        </w:tc>
        <w:tc>
          <w:tcPr>
            <w:tcW w:w="512" w:type="pct"/>
          </w:tcPr>
          <w:p w:rsidR="00662426" w:rsidRPr="009309F6" w:rsidRDefault="00173F9F" w:rsidP="00C9745C">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8.7</w:t>
            </w:r>
          </w:p>
        </w:tc>
      </w:tr>
      <w:tr w:rsidR="00173F9F" w:rsidRPr="004F416F" w:rsidTr="00173F9F">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30" w:type="pct"/>
            <w:hideMark/>
          </w:tcPr>
          <w:p w:rsidR="00662426" w:rsidRPr="00A76366" w:rsidRDefault="00662426" w:rsidP="00C9745C">
            <w:pPr>
              <w:keepNext/>
            </w:pPr>
            <w:r w:rsidRPr="00A76366">
              <w:t>GROSS TOTAL CAPITAL EXPENDITURE</w:t>
            </w:r>
          </w:p>
        </w:tc>
        <w:tc>
          <w:tcPr>
            <w:tcW w:w="511" w:type="pct"/>
          </w:tcPr>
          <w:p w:rsidR="00662426" w:rsidRPr="009309F6" w:rsidRDefault="00173F9F" w:rsidP="00C9745C">
            <w:pPr>
              <w:pStyle w:val="AERtabletextright"/>
              <w:keepNex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9.1</w:t>
            </w:r>
          </w:p>
        </w:tc>
        <w:tc>
          <w:tcPr>
            <w:tcW w:w="512" w:type="pct"/>
          </w:tcPr>
          <w:p w:rsidR="00662426" w:rsidRPr="009309F6" w:rsidRDefault="00173F9F" w:rsidP="00C9745C">
            <w:pPr>
              <w:pStyle w:val="AERtabletextright"/>
              <w:keepNex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4.</w:t>
            </w:r>
            <w:r w:rsidR="005F6AB8">
              <w:rPr>
                <w:sz w:val="16"/>
                <w:szCs w:val="16"/>
              </w:rPr>
              <w:t>6</w:t>
            </w:r>
          </w:p>
        </w:tc>
        <w:tc>
          <w:tcPr>
            <w:tcW w:w="511" w:type="pct"/>
          </w:tcPr>
          <w:p w:rsidR="00662426" w:rsidRPr="009309F6" w:rsidRDefault="00173F9F" w:rsidP="00C9745C">
            <w:pPr>
              <w:pStyle w:val="AERtabletextright"/>
              <w:keepNex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4.4</w:t>
            </w:r>
          </w:p>
        </w:tc>
        <w:tc>
          <w:tcPr>
            <w:tcW w:w="512" w:type="pct"/>
          </w:tcPr>
          <w:p w:rsidR="00662426" w:rsidRPr="009309F6" w:rsidRDefault="00173F9F" w:rsidP="00C9745C">
            <w:pPr>
              <w:pStyle w:val="AERtabletextright"/>
              <w:keepNex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4.</w:t>
            </w:r>
            <w:r w:rsidR="005F6AB8">
              <w:rPr>
                <w:sz w:val="16"/>
                <w:szCs w:val="16"/>
              </w:rPr>
              <w:t>5</w:t>
            </w:r>
          </w:p>
        </w:tc>
        <w:tc>
          <w:tcPr>
            <w:tcW w:w="511" w:type="pct"/>
          </w:tcPr>
          <w:p w:rsidR="00662426" w:rsidRPr="009309F6" w:rsidRDefault="00173F9F" w:rsidP="00C9745C">
            <w:pPr>
              <w:pStyle w:val="AERtabletextright"/>
              <w:keepNex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4.</w:t>
            </w:r>
            <w:r w:rsidR="005F6AB8">
              <w:rPr>
                <w:sz w:val="16"/>
                <w:szCs w:val="16"/>
              </w:rPr>
              <w:t>6</w:t>
            </w:r>
          </w:p>
        </w:tc>
        <w:tc>
          <w:tcPr>
            <w:tcW w:w="512" w:type="pct"/>
          </w:tcPr>
          <w:p w:rsidR="00662426" w:rsidRPr="009309F6" w:rsidRDefault="00173F9F" w:rsidP="00C9745C">
            <w:pPr>
              <w:pStyle w:val="AERtabletextright"/>
              <w:keepNex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27.</w:t>
            </w:r>
            <w:r w:rsidR="005F6AB8">
              <w:rPr>
                <w:sz w:val="16"/>
                <w:szCs w:val="16"/>
              </w:rPr>
              <w:t>2</w:t>
            </w:r>
          </w:p>
        </w:tc>
      </w:tr>
      <w:tr w:rsidR="00173F9F" w:rsidRPr="004F416F" w:rsidTr="00173F9F">
        <w:trPr>
          <w:trHeight w:val="300"/>
        </w:trPr>
        <w:tc>
          <w:tcPr>
            <w:cnfStyle w:val="001000000000" w:firstRow="0" w:lastRow="0" w:firstColumn="1" w:lastColumn="0" w:oddVBand="0" w:evenVBand="0" w:oddHBand="0" w:evenHBand="0" w:firstRowFirstColumn="0" w:firstRowLastColumn="0" w:lastRowFirstColumn="0" w:lastRowLastColumn="0"/>
            <w:tcW w:w="1930" w:type="pct"/>
            <w:hideMark/>
          </w:tcPr>
          <w:p w:rsidR="00662426" w:rsidRPr="00A76366" w:rsidRDefault="00662426" w:rsidP="00C9745C">
            <w:pPr>
              <w:keepNext/>
            </w:pPr>
            <w:r w:rsidRPr="00A76366">
              <w:t>Contributions</w:t>
            </w:r>
          </w:p>
        </w:tc>
        <w:tc>
          <w:tcPr>
            <w:tcW w:w="511" w:type="pct"/>
          </w:tcPr>
          <w:p w:rsidR="00662426" w:rsidRPr="009309F6" w:rsidRDefault="009309F6" w:rsidP="00C9745C">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sidRPr="009309F6">
              <w:rPr>
                <w:sz w:val="16"/>
                <w:szCs w:val="16"/>
              </w:rPr>
              <w:t>-</w:t>
            </w:r>
          </w:p>
        </w:tc>
        <w:tc>
          <w:tcPr>
            <w:tcW w:w="512" w:type="pct"/>
          </w:tcPr>
          <w:p w:rsidR="00662426" w:rsidRPr="009309F6" w:rsidRDefault="009309F6" w:rsidP="00C9745C">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sidRPr="009309F6">
              <w:rPr>
                <w:sz w:val="16"/>
                <w:szCs w:val="16"/>
              </w:rPr>
              <w:t>-</w:t>
            </w:r>
          </w:p>
        </w:tc>
        <w:tc>
          <w:tcPr>
            <w:tcW w:w="511" w:type="pct"/>
          </w:tcPr>
          <w:p w:rsidR="00662426" w:rsidRPr="009309F6" w:rsidRDefault="009309F6" w:rsidP="00C9745C">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sidRPr="009309F6">
              <w:rPr>
                <w:sz w:val="16"/>
                <w:szCs w:val="16"/>
              </w:rPr>
              <w:t>-</w:t>
            </w:r>
          </w:p>
        </w:tc>
        <w:tc>
          <w:tcPr>
            <w:tcW w:w="512" w:type="pct"/>
          </w:tcPr>
          <w:p w:rsidR="00662426" w:rsidRPr="009309F6" w:rsidRDefault="009309F6" w:rsidP="00C9745C">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sidRPr="009309F6">
              <w:rPr>
                <w:sz w:val="16"/>
                <w:szCs w:val="16"/>
              </w:rPr>
              <w:t>-</w:t>
            </w:r>
          </w:p>
        </w:tc>
        <w:tc>
          <w:tcPr>
            <w:tcW w:w="511" w:type="pct"/>
          </w:tcPr>
          <w:p w:rsidR="00662426" w:rsidRPr="009309F6" w:rsidRDefault="009309F6" w:rsidP="00C9745C">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sidRPr="009309F6">
              <w:rPr>
                <w:sz w:val="16"/>
                <w:szCs w:val="16"/>
              </w:rPr>
              <w:t>-</w:t>
            </w:r>
          </w:p>
        </w:tc>
        <w:tc>
          <w:tcPr>
            <w:tcW w:w="512" w:type="pct"/>
          </w:tcPr>
          <w:p w:rsidR="00662426" w:rsidRPr="009309F6" w:rsidRDefault="009309F6" w:rsidP="00C9745C">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sidRPr="009309F6">
              <w:rPr>
                <w:sz w:val="16"/>
                <w:szCs w:val="16"/>
              </w:rPr>
              <w:t>-</w:t>
            </w:r>
          </w:p>
        </w:tc>
      </w:tr>
      <w:tr w:rsidR="00173F9F" w:rsidRPr="004F416F" w:rsidTr="00173F9F">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930" w:type="pct"/>
            <w:hideMark/>
          </w:tcPr>
          <w:p w:rsidR="00662426" w:rsidRPr="00AB3A65" w:rsidRDefault="00662426" w:rsidP="00C9745C">
            <w:pPr>
              <w:keepNext/>
            </w:pPr>
            <w:r w:rsidRPr="00AB3A65">
              <w:t>Asset disposals</w:t>
            </w:r>
          </w:p>
        </w:tc>
        <w:tc>
          <w:tcPr>
            <w:tcW w:w="511" w:type="pct"/>
          </w:tcPr>
          <w:p w:rsidR="00662426" w:rsidRPr="009309F6" w:rsidRDefault="009309F6" w:rsidP="00C9745C">
            <w:pPr>
              <w:pStyle w:val="AERtabletextright"/>
              <w:keepNext/>
              <w:cnfStyle w:val="000000010000" w:firstRow="0" w:lastRow="0" w:firstColumn="0" w:lastColumn="0" w:oddVBand="0" w:evenVBand="0" w:oddHBand="0" w:evenHBand="1" w:firstRowFirstColumn="0" w:firstRowLastColumn="0" w:lastRowFirstColumn="0" w:lastRowLastColumn="0"/>
              <w:rPr>
                <w:sz w:val="16"/>
                <w:szCs w:val="16"/>
              </w:rPr>
            </w:pPr>
            <w:r w:rsidRPr="009309F6">
              <w:rPr>
                <w:sz w:val="16"/>
                <w:szCs w:val="16"/>
              </w:rPr>
              <w:t>0.2</w:t>
            </w:r>
          </w:p>
        </w:tc>
        <w:tc>
          <w:tcPr>
            <w:tcW w:w="512" w:type="pct"/>
          </w:tcPr>
          <w:p w:rsidR="00662426" w:rsidRPr="009309F6" w:rsidRDefault="009309F6" w:rsidP="00C9745C">
            <w:pPr>
              <w:pStyle w:val="AERtabletextright"/>
              <w:keepNext/>
              <w:cnfStyle w:val="000000010000" w:firstRow="0" w:lastRow="0" w:firstColumn="0" w:lastColumn="0" w:oddVBand="0" w:evenVBand="0" w:oddHBand="0" w:evenHBand="1" w:firstRowFirstColumn="0" w:firstRowLastColumn="0" w:lastRowFirstColumn="0" w:lastRowLastColumn="0"/>
              <w:rPr>
                <w:sz w:val="16"/>
                <w:szCs w:val="16"/>
              </w:rPr>
            </w:pPr>
            <w:r w:rsidRPr="009309F6">
              <w:rPr>
                <w:sz w:val="16"/>
                <w:szCs w:val="16"/>
              </w:rPr>
              <w:t>0.1</w:t>
            </w:r>
          </w:p>
        </w:tc>
        <w:tc>
          <w:tcPr>
            <w:tcW w:w="511" w:type="pct"/>
          </w:tcPr>
          <w:p w:rsidR="00662426" w:rsidRPr="009309F6" w:rsidRDefault="009309F6" w:rsidP="00C9745C">
            <w:pPr>
              <w:pStyle w:val="AERtabletextright"/>
              <w:keepNext/>
              <w:cnfStyle w:val="000000010000" w:firstRow="0" w:lastRow="0" w:firstColumn="0" w:lastColumn="0" w:oddVBand="0" w:evenVBand="0" w:oddHBand="0" w:evenHBand="1" w:firstRowFirstColumn="0" w:firstRowLastColumn="0" w:lastRowFirstColumn="0" w:lastRowLastColumn="0"/>
              <w:rPr>
                <w:sz w:val="16"/>
                <w:szCs w:val="16"/>
              </w:rPr>
            </w:pPr>
            <w:r w:rsidRPr="009309F6">
              <w:rPr>
                <w:sz w:val="16"/>
                <w:szCs w:val="16"/>
              </w:rPr>
              <w:t>0.1</w:t>
            </w:r>
          </w:p>
        </w:tc>
        <w:tc>
          <w:tcPr>
            <w:tcW w:w="512" w:type="pct"/>
          </w:tcPr>
          <w:p w:rsidR="00662426" w:rsidRPr="009309F6" w:rsidRDefault="009309F6" w:rsidP="00C9745C">
            <w:pPr>
              <w:pStyle w:val="AERtabletextright"/>
              <w:keepNext/>
              <w:cnfStyle w:val="000000010000" w:firstRow="0" w:lastRow="0" w:firstColumn="0" w:lastColumn="0" w:oddVBand="0" w:evenVBand="0" w:oddHBand="0" w:evenHBand="1" w:firstRowFirstColumn="0" w:firstRowLastColumn="0" w:lastRowFirstColumn="0" w:lastRowLastColumn="0"/>
              <w:rPr>
                <w:sz w:val="16"/>
                <w:szCs w:val="16"/>
              </w:rPr>
            </w:pPr>
            <w:r w:rsidRPr="009309F6">
              <w:rPr>
                <w:sz w:val="16"/>
                <w:szCs w:val="16"/>
              </w:rPr>
              <w:t>0.1</w:t>
            </w:r>
          </w:p>
        </w:tc>
        <w:tc>
          <w:tcPr>
            <w:tcW w:w="511" w:type="pct"/>
          </w:tcPr>
          <w:p w:rsidR="00662426" w:rsidRPr="009309F6" w:rsidRDefault="009309F6" w:rsidP="00C9745C">
            <w:pPr>
              <w:pStyle w:val="AERtabletextright"/>
              <w:keepNext/>
              <w:cnfStyle w:val="000000010000" w:firstRow="0" w:lastRow="0" w:firstColumn="0" w:lastColumn="0" w:oddVBand="0" w:evenVBand="0" w:oddHBand="0" w:evenHBand="1" w:firstRowFirstColumn="0" w:firstRowLastColumn="0" w:lastRowFirstColumn="0" w:lastRowLastColumn="0"/>
              <w:rPr>
                <w:sz w:val="16"/>
                <w:szCs w:val="16"/>
              </w:rPr>
            </w:pPr>
            <w:r w:rsidRPr="009309F6">
              <w:rPr>
                <w:sz w:val="16"/>
                <w:szCs w:val="16"/>
              </w:rPr>
              <w:t>0.2</w:t>
            </w:r>
          </w:p>
        </w:tc>
        <w:tc>
          <w:tcPr>
            <w:tcW w:w="512" w:type="pct"/>
          </w:tcPr>
          <w:p w:rsidR="00662426" w:rsidRPr="009309F6" w:rsidRDefault="009309F6" w:rsidP="00C9745C">
            <w:pPr>
              <w:pStyle w:val="AERtabletextright"/>
              <w:keepNext/>
              <w:cnfStyle w:val="000000010000" w:firstRow="0" w:lastRow="0" w:firstColumn="0" w:lastColumn="0" w:oddVBand="0" w:evenVBand="0" w:oddHBand="0" w:evenHBand="1" w:firstRowFirstColumn="0" w:firstRowLastColumn="0" w:lastRowFirstColumn="0" w:lastRowLastColumn="0"/>
              <w:rPr>
                <w:sz w:val="16"/>
                <w:szCs w:val="16"/>
              </w:rPr>
            </w:pPr>
            <w:r w:rsidRPr="009309F6">
              <w:rPr>
                <w:sz w:val="16"/>
                <w:szCs w:val="16"/>
              </w:rPr>
              <w:t>0.7</w:t>
            </w:r>
          </w:p>
        </w:tc>
      </w:tr>
      <w:tr w:rsidR="00173F9F" w:rsidRPr="004F416F" w:rsidTr="00173F9F">
        <w:trPr>
          <w:trHeight w:val="300"/>
        </w:trPr>
        <w:tc>
          <w:tcPr>
            <w:cnfStyle w:val="001000000000" w:firstRow="0" w:lastRow="0" w:firstColumn="1" w:lastColumn="0" w:oddVBand="0" w:evenVBand="0" w:oddHBand="0" w:evenHBand="0" w:firstRowFirstColumn="0" w:firstRowLastColumn="0" w:lastRowFirstColumn="0" w:lastRowLastColumn="0"/>
            <w:tcW w:w="1930" w:type="pct"/>
            <w:hideMark/>
          </w:tcPr>
          <w:p w:rsidR="00662426" w:rsidRPr="0047287F" w:rsidRDefault="00662426" w:rsidP="00C9745C">
            <w:pPr>
              <w:keepNext/>
              <w:spacing w:before="0"/>
              <w:rPr>
                <w:rStyle w:val="AERsuperscript"/>
              </w:rPr>
            </w:pPr>
            <w:r w:rsidRPr="00AB3A65">
              <w:t>NET TOTAL CAPITAL EXPENDITURE</w:t>
            </w:r>
          </w:p>
        </w:tc>
        <w:tc>
          <w:tcPr>
            <w:tcW w:w="511" w:type="pct"/>
          </w:tcPr>
          <w:p w:rsidR="00662426" w:rsidRPr="009309F6" w:rsidRDefault="00173F9F" w:rsidP="00C9745C">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8.9</w:t>
            </w:r>
          </w:p>
        </w:tc>
        <w:tc>
          <w:tcPr>
            <w:tcW w:w="512" w:type="pct"/>
          </w:tcPr>
          <w:p w:rsidR="00662426" w:rsidRPr="009309F6" w:rsidRDefault="00173F9F" w:rsidP="00C9745C">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4.6</w:t>
            </w:r>
          </w:p>
        </w:tc>
        <w:tc>
          <w:tcPr>
            <w:tcW w:w="511" w:type="pct"/>
          </w:tcPr>
          <w:p w:rsidR="00662426" w:rsidRPr="009309F6" w:rsidRDefault="00173F9F" w:rsidP="00C9745C">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4.3</w:t>
            </w:r>
          </w:p>
        </w:tc>
        <w:tc>
          <w:tcPr>
            <w:tcW w:w="512" w:type="pct"/>
          </w:tcPr>
          <w:p w:rsidR="00662426" w:rsidRPr="009309F6" w:rsidRDefault="00173F9F" w:rsidP="00C9745C">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4.3</w:t>
            </w:r>
          </w:p>
        </w:tc>
        <w:tc>
          <w:tcPr>
            <w:tcW w:w="511" w:type="pct"/>
          </w:tcPr>
          <w:p w:rsidR="00662426" w:rsidRPr="009309F6" w:rsidRDefault="00173F9F" w:rsidP="00C9745C">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4.4</w:t>
            </w:r>
          </w:p>
        </w:tc>
        <w:tc>
          <w:tcPr>
            <w:tcW w:w="512" w:type="pct"/>
          </w:tcPr>
          <w:p w:rsidR="00662426" w:rsidRPr="009309F6" w:rsidRDefault="00173F9F" w:rsidP="00C9745C">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26.5</w:t>
            </w:r>
          </w:p>
        </w:tc>
      </w:tr>
    </w:tbl>
    <w:p w:rsidR="00662426" w:rsidRDefault="00662426" w:rsidP="00C9745C">
      <w:pPr>
        <w:pStyle w:val="AERtablesource"/>
        <w:keepNext/>
      </w:pPr>
      <w:r w:rsidRPr="00DE44F6">
        <w:t>Source:</w:t>
      </w:r>
      <w:r w:rsidRPr="00DE44F6">
        <w:tab/>
        <w:t>AER analysis.</w:t>
      </w:r>
    </w:p>
    <w:p w:rsidR="00662426" w:rsidRPr="00975794" w:rsidRDefault="00662426" w:rsidP="00662426">
      <w:pPr>
        <w:pStyle w:val="AERtablesource"/>
        <w:rPr>
          <w:rStyle w:val="AERtexthighlight"/>
        </w:rPr>
      </w:pPr>
      <w:r w:rsidRPr="00A91109">
        <w:t>Note:</w:t>
      </w:r>
      <w:r w:rsidRPr="00A91109">
        <w:tab/>
        <w:t>(</w:t>
      </w:r>
      <w:r w:rsidRPr="005F6AB8">
        <w:t>a) Including AER labour escalation adjustments.</w:t>
      </w:r>
      <w:r w:rsidRPr="005F6AB8">
        <w:tab/>
      </w:r>
    </w:p>
    <w:p w:rsidR="00662426" w:rsidRPr="00A4447D" w:rsidRDefault="00662426" w:rsidP="00662426">
      <w:pPr>
        <w:numPr>
          <w:ilvl w:val="0"/>
          <w:numId w:val="24"/>
        </w:numPr>
        <w:spacing w:before="0" w:after="240" w:line="288" w:lineRule="auto"/>
        <w:jc w:val="both"/>
      </w:pPr>
      <w:r>
        <w:rPr>
          <w:rFonts w:eastAsia="Calibri"/>
        </w:rPr>
        <w:fldChar w:fldCharType="begin"/>
      </w:r>
      <w:r>
        <w:rPr>
          <w:rFonts w:eastAsia="Calibri"/>
        </w:rPr>
        <w:instrText xml:space="preserve"> REF _Ref404161331 \h </w:instrText>
      </w:r>
      <w:r>
        <w:rPr>
          <w:rFonts w:eastAsia="Calibri"/>
        </w:rPr>
      </w:r>
      <w:r>
        <w:rPr>
          <w:rFonts w:eastAsia="Calibri"/>
        </w:rPr>
        <w:fldChar w:fldCharType="separate"/>
      </w:r>
      <w:r w:rsidR="00F65E22">
        <w:t xml:space="preserve">Table </w:t>
      </w:r>
      <w:r w:rsidR="00F65E22">
        <w:rPr>
          <w:noProof/>
        </w:rPr>
        <w:t>6.4</w:t>
      </w:r>
      <w:r>
        <w:rPr>
          <w:rFonts w:eastAsia="Calibri"/>
        </w:rPr>
        <w:fldChar w:fldCharType="end"/>
      </w:r>
      <w:r>
        <w:rPr>
          <w:rFonts w:eastAsia="Calibri"/>
        </w:rPr>
        <w:t xml:space="preserve"> </w:t>
      </w:r>
      <w:r w:rsidRPr="00333A31">
        <w:rPr>
          <w:rFonts w:eastAsia="Calibri"/>
        </w:rPr>
        <w:t xml:space="preserve">shows </w:t>
      </w:r>
      <w:r w:rsidR="00140D62">
        <w:rPr>
          <w:rFonts w:eastAsia="Calibri"/>
        </w:rPr>
        <w:t>APTNT</w:t>
      </w:r>
      <w:r w:rsidRPr="00333A31">
        <w:rPr>
          <w:rFonts w:eastAsia="Calibri"/>
        </w:rPr>
        <w:t>'s proposed capex compared with the AER's approved allowance for each category.</w:t>
      </w:r>
    </w:p>
    <w:p w:rsidR="00662426" w:rsidRPr="00333A31" w:rsidRDefault="00662426" w:rsidP="00662426">
      <w:pPr>
        <w:pStyle w:val="Caption"/>
      </w:pPr>
      <w:bookmarkStart w:id="18" w:name="_Ref404161331"/>
      <w:r>
        <w:t xml:space="preserve">Table </w:t>
      </w:r>
      <w:fldSimple w:instr=" STYLEREF 1 \s ">
        <w:r w:rsidR="00F65E22">
          <w:rPr>
            <w:noProof/>
          </w:rPr>
          <w:t>6</w:t>
        </w:r>
      </w:fldSimple>
      <w:r w:rsidR="00F11395">
        <w:rPr>
          <w:noProof/>
        </w:rPr>
        <w:t>.</w:t>
      </w:r>
      <w:fldSimple w:instr=" SEQ Table \* ARABIC \s 1 ">
        <w:r w:rsidR="00F65E22">
          <w:rPr>
            <w:noProof/>
          </w:rPr>
          <w:t>4</w:t>
        </w:r>
      </w:fldSimple>
      <w:bookmarkEnd w:id="18"/>
      <w:r>
        <w:tab/>
      </w:r>
      <w:r w:rsidRPr="00A4447D">
        <w:t xml:space="preserve">Comparison of AER approved and </w:t>
      </w:r>
      <w:r w:rsidR="005F2E93">
        <w:t>APTNT’s</w:t>
      </w:r>
      <w:r w:rsidRPr="00A4447D">
        <w:t xml:space="preserve"> proposed capital expenditure over the </w:t>
      </w:r>
      <w:r w:rsidR="006A555A">
        <w:t>2016–21</w:t>
      </w:r>
      <w:r w:rsidRPr="00A4447D">
        <w:t xml:space="preserve"> access arrangement period ($million, 201</w:t>
      </w:r>
      <w:r>
        <w:t>5</w:t>
      </w:r>
      <w:r w:rsidR="000B70FD">
        <w:t>–</w:t>
      </w:r>
      <w:r w:rsidR="005F2E93">
        <w:t>16</w:t>
      </w:r>
      <w:r w:rsidRPr="00A4447D">
        <w:t>)</w:t>
      </w:r>
    </w:p>
    <w:tbl>
      <w:tblPr>
        <w:tblStyle w:val="AERtable-numbers"/>
        <w:tblW w:w="5000" w:type="pct"/>
        <w:tblLook w:val="04A0" w:firstRow="1" w:lastRow="0" w:firstColumn="1" w:lastColumn="0" w:noHBand="0" w:noVBand="1"/>
      </w:tblPr>
      <w:tblGrid>
        <w:gridCol w:w="2669"/>
        <w:gridCol w:w="1507"/>
        <w:gridCol w:w="1507"/>
        <w:gridCol w:w="1506"/>
        <w:gridCol w:w="1504"/>
      </w:tblGrid>
      <w:tr w:rsidR="00662426" w:rsidRPr="004F416F" w:rsidTr="00453AFD">
        <w:trPr>
          <w:cnfStyle w:val="100000000000" w:firstRow="1" w:lastRow="0" w:firstColumn="0" w:lastColumn="0" w:oddVBand="0" w:evenVBand="0" w:oddHBand="0" w:evenHBand="0" w:firstRowFirstColumn="0" w:firstRowLastColumn="0" w:lastRowFirstColumn="0" w:lastRowLastColumn="0"/>
          <w:trHeight w:val="316"/>
        </w:trPr>
        <w:tc>
          <w:tcPr>
            <w:cnfStyle w:val="001000000000" w:firstRow="0" w:lastRow="0" w:firstColumn="1" w:lastColumn="0" w:oddVBand="0" w:evenVBand="0" w:oddHBand="0" w:evenHBand="0" w:firstRowFirstColumn="0" w:firstRowLastColumn="0" w:lastRowFirstColumn="0" w:lastRowLastColumn="0"/>
            <w:tcW w:w="1535" w:type="pct"/>
            <w:hideMark/>
          </w:tcPr>
          <w:p w:rsidR="00662426" w:rsidRPr="00453AFD" w:rsidRDefault="00662426" w:rsidP="00D423BC">
            <w:pPr>
              <w:rPr>
                <w:szCs w:val="16"/>
              </w:rPr>
            </w:pPr>
            <w:r w:rsidRPr="00453AFD">
              <w:rPr>
                <w:szCs w:val="16"/>
              </w:rPr>
              <w:t> Category</w:t>
            </w:r>
          </w:p>
        </w:tc>
        <w:tc>
          <w:tcPr>
            <w:tcW w:w="867" w:type="pct"/>
            <w:hideMark/>
          </w:tcPr>
          <w:p w:rsidR="00662426" w:rsidRPr="00453AFD" w:rsidRDefault="00662426" w:rsidP="00D423BC">
            <w:pPr>
              <w:pStyle w:val="AERtabletextright"/>
              <w:cnfStyle w:val="100000000000" w:firstRow="1" w:lastRow="0" w:firstColumn="0" w:lastColumn="0" w:oddVBand="0" w:evenVBand="0" w:oddHBand="0" w:evenHBand="0" w:firstRowFirstColumn="0" w:firstRowLastColumn="0" w:lastRowFirstColumn="0" w:lastRowLastColumn="0"/>
              <w:rPr>
                <w:sz w:val="16"/>
                <w:szCs w:val="16"/>
              </w:rPr>
            </w:pPr>
            <w:r w:rsidRPr="00453AFD">
              <w:rPr>
                <w:sz w:val="16"/>
                <w:szCs w:val="16"/>
              </w:rPr>
              <w:t>Proposed</w:t>
            </w:r>
          </w:p>
        </w:tc>
        <w:tc>
          <w:tcPr>
            <w:tcW w:w="867" w:type="pct"/>
            <w:hideMark/>
          </w:tcPr>
          <w:p w:rsidR="00662426" w:rsidRPr="00453AFD" w:rsidRDefault="00662426" w:rsidP="00D423BC">
            <w:pPr>
              <w:pStyle w:val="AERtabletextright"/>
              <w:cnfStyle w:val="100000000000" w:firstRow="1" w:lastRow="0" w:firstColumn="0" w:lastColumn="0" w:oddVBand="0" w:evenVBand="0" w:oddHBand="0" w:evenHBand="0" w:firstRowFirstColumn="0" w:firstRowLastColumn="0" w:lastRowFirstColumn="0" w:lastRowLastColumn="0"/>
              <w:rPr>
                <w:sz w:val="16"/>
                <w:szCs w:val="16"/>
              </w:rPr>
            </w:pPr>
            <w:r w:rsidRPr="00453AFD">
              <w:rPr>
                <w:sz w:val="16"/>
                <w:szCs w:val="16"/>
              </w:rPr>
              <w:t>Approved</w:t>
            </w:r>
            <w:r w:rsidRPr="00453AFD">
              <w:rPr>
                <w:rStyle w:val="AERsuperscript"/>
                <w:szCs w:val="16"/>
              </w:rPr>
              <w:t>(a)</w:t>
            </w:r>
          </w:p>
        </w:tc>
        <w:tc>
          <w:tcPr>
            <w:tcW w:w="866" w:type="pct"/>
          </w:tcPr>
          <w:p w:rsidR="00662426" w:rsidRPr="00453AFD" w:rsidRDefault="00662426" w:rsidP="00D423BC">
            <w:pPr>
              <w:pStyle w:val="AERtabletextright"/>
              <w:cnfStyle w:val="100000000000" w:firstRow="1" w:lastRow="0" w:firstColumn="0" w:lastColumn="0" w:oddVBand="0" w:evenVBand="0" w:oddHBand="0" w:evenHBand="0" w:firstRowFirstColumn="0" w:firstRowLastColumn="0" w:lastRowFirstColumn="0" w:lastRowLastColumn="0"/>
              <w:rPr>
                <w:sz w:val="16"/>
                <w:szCs w:val="16"/>
              </w:rPr>
            </w:pPr>
            <w:r w:rsidRPr="00453AFD">
              <w:rPr>
                <w:sz w:val="16"/>
                <w:szCs w:val="16"/>
              </w:rPr>
              <w:t>Difference ($millions)</w:t>
            </w:r>
          </w:p>
        </w:tc>
        <w:tc>
          <w:tcPr>
            <w:tcW w:w="865" w:type="pct"/>
          </w:tcPr>
          <w:p w:rsidR="00662426" w:rsidRPr="00453AFD" w:rsidRDefault="00662426" w:rsidP="00D423BC">
            <w:pPr>
              <w:pStyle w:val="AERtabletextright"/>
              <w:cnfStyle w:val="100000000000" w:firstRow="1" w:lastRow="0" w:firstColumn="0" w:lastColumn="0" w:oddVBand="0" w:evenVBand="0" w:oddHBand="0" w:evenHBand="0" w:firstRowFirstColumn="0" w:firstRowLastColumn="0" w:lastRowFirstColumn="0" w:lastRowLastColumn="0"/>
              <w:rPr>
                <w:sz w:val="16"/>
                <w:szCs w:val="16"/>
              </w:rPr>
            </w:pPr>
            <w:r w:rsidRPr="00453AFD">
              <w:rPr>
                <w:sz w:val="16"/>
                <w:szCs w:val="16"/>
              </w:rPr>
              <w:t>Difference (%)</w:t>
            </w:r>
          </w:p>
        </w:tc>
      </w:tr>
      <w:tr w:rsidR="005F2E93" w:rsidRPr="004F416F" w:rsidTr="00453AFD">
        <w:trPr>
          <w:trHeight w:val="300"/>
        </w:trPr>
        <w:tc>
          <w:tcPr>
            <w:cnfStyle w:val="001000000000" w:firstRow="0" w:lastRow="0" w:firstColumn="1" w:lastColumn="0" w:oddVBand="0" w:evenVBand="0" w:oddHBand="0" w:evenHBand="0" w:firstRowFirstColumn="0" w:firstRowLastColumn="0" w:lastRowFirstColumn="0" w:lastRowLastColumn="0"/>
            <w:tcW w:w="1535" w:type="pct"/>
            <w:hideMark/>
          </w:tcPr>
          <w:p w:rsidR="005F2E93" w:rsidRPr="00453AFD" w:rsidRDefault="005F2E93" w:rsidP="00D423BC">
            <w:pPr>
              <w:rPr>
                <w:szCs w:val="16"/>
              </w:rPr>
            </w:pPr>
            <w:r w:rsidRPr="00453AFD">
              <w:rPr>
                <w:szCs w:val="16"/>
              </w:rPr>
              <w:t xml:space="preserve">Expansion </w:t>
            </w:r>
          </w:p>
        </w:tc>
        <w:tc>
          <w:tcPr>
            <w:tcW w:w="867" w:type="pct"/>
          </w:tcPr>
          <w:p w:rsidR="005F2E93" w:rsidRPr="00453AFD" w:rsidRDefault="00C157CC"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453AFD">
              <w:rPr>
                <w:sz w:val="16"/>
                <w:szCs w:val="16"/>
              </w:rPr>
              <w:t>-</w:t>
            </w:r>
          </w:p>
        </w:tc>
        <w:tc>
          <w:tcPr>
            <w:tcW w:w="867" w:type="pct"/>
          </w:tcPr>
          <w:p w:rsidR="005F2E93" w:rsidRPr="00453AFD" w:rsidRDefault="00C157CC"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453AFD">
              <w:rPr>
                <w:sz w:val="16"/>
                <w:szCs w:val="16"/>
              </w:rPr>
              <w:t>-</w:t>
            </w:r>
          </w:p>
        </w:tc>
        <w:tc>
          <w:tcPr>
            <w:tcW w:w="866" w:type="pct"/>
          </w:tcPr>
          <w:p w:rsidR="005F2E93" w:rsidRPr="00453AFD" w:rsidRDefault="00C157CC"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453AFD">
              <w:rPr>
                <w:sz w:val="16"/>
                <w:szCs w:val="16"/>
              </w:rPr>
              <w:t>-</w:t>
            </w:r>
          </w:p>
        </w:tc>
        <w:tc>
          <w:tcPr>
            <w:tcW w:w="865" w:type="pct"/>
          </w:tcPr>
          <w:p w:rsidR="005F2E93" w:rsidRPr="00453AFD" w:rsidRDefault="00C157CC"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453AFD">
              <w:rPr>
                <w:sz w:val="16"/>
                <w:szCs w:val="16"/>
              </w:rPr>
              <w:t>-</w:t>
            </w:r>
          </w:p>
        </w:tc>
      </w:tr>
      <w:tr w:rsidR="005F2E93" w:rsidRPr="004F416F" w:rsidTr="00453AFD">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35" w:type="pct"/>
            <w:hideMark/>
          </w:tcPr>
          <w:p w:rsidR="005F2E93" w:rsidRPr="00453AFD" w:rsidRDefault="005F2E93" w:rsidP="00D423BC">
            <w:pPr>
              <w:rPr>
                <w:szCs w:val="16"/>
              </w:rPr>
            </w:pPr>
            <w:r w:rsidRPr="00453AFD">
              <w:rPr>
                <w:szCs w:val="16"/>
              </w:rPr>
              <w:t xml:space="preserve">Replacement </w:t>
            </w:r>
          </w:p>
        </w:tc>
        <w:tc>
          <w:tcPr>
            <w:tcW w:w="867" w:type="pct"/>
          </w:tcPr>
          <w:p w:rsidR="005F2E93" w:rsidRPr="00453AFD" w:rsidRDefault="00DC5561"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sidRPr="00453AFD">
              <w:rPr>
                <w:sz w:val="16"/>
                <w:szCs w:val="16"/>
              </w:rPr>
              <w:t>21.2</w:t>
            </w:r>
          </w:p>
        </w:tc>
        <w:tc>
          <w:tcPr>
            <w:tcW w:w="867" w:type="pct"/>
          </w:tcPr>
          <w:p w:rsidR="005F2E93" w:rsidRPr="00453AFD" w:rsidRDefault="00453AFD"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18.</w:t>
            </w:r>
            <w:r w:rsidR="005F6AB8">
              <w:rPr>
                <w:sz w:val="16"/>
                <w:szCs w:val="16"/>
              </w:rPr>
              <w:t>5</w:t>
            </w:r>
          </w:p>
        </w:tc>
        <w:tc>
          <w:tcPr>
            <w:tcW w:w="866" w:type="pct"/>
          </w:tcPr>
          <w:p w:rsidR="005F2E93" w:rsidRPr="00453AFD" w:rsidRDefault="00453AFD"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-2.</w:t>
            </w:r>
            <w:r w:rsidR="00A2124B">
              <w:rPr>
                <w:sz w:val="16"/>
                <w:szCs w:val="16"/>
              </w:rPr>
              <w:t>7</w:t>
            </w:r>
          </w:p>
        </w:tc>
        <w:tc>
          <w:tcPr>
            <w:tcW w:w="865" w:type="pct"/>
          </w:tcPr>
          <w:p w:rsidR="005F2E93" w:rsidRPr="00453AFD" w:rsidRDefault="00453AFD"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-13%</w:t>
            </w:r>
          </w:p>
        </w:tc>
      </w:tr>
      <w:tr w:rsidR="005F2E93" w:rsidRPr="004F416F" w:rsidTr="00453AFD">
        <w:trPr>
          <w:trHeight w:val="300"/>
        </w:trPr>
        <w:tc>
          <w:tcPr>
            <w:cnfStyle w:val="001000000000" w:firstRow="0" w:lastRow="0" w:firstColumn="1" w:lastColumn="0" w:oddVBand="0" w:evenVBand="0" w:oddHBand="0" w:evenHBand="0" w:firstRowFirstColumn="0" w:firstRowLastColumn="0" w:lastRowFirstColumn="0" w:lastRowLastColumn="0"/>
            <w:tcW w:w="1535" w:type="pct"/>
            <w:hideMark/>
          </w:tcPr>
          <w:p w:rsidR="005F2E93" w:rsidRPr="00453AFD" w:rsidRDefault="005F2E93" w:rsidP="00D423BC">
            <w:pPr>
              <w:rPr>
                <w:szCs w:val="16"/>
              </w:rPr>
            </w:pPr>
            <w:r w:rsidRPr="00453AFD">
              <w:rPr>
                <w:szCs w:val="16"/>
              </w:rPr>
              <w:t>Non-system</w:t>
            </w:r>
          </w:p>
        </w:tc>
        <w:tc>
          <w:tcPr>
            <w:tcW w:w="867" w:type="pct"/>
          </w:tcPr>
          <w:p w:rsidR="005F2E93" w:rsidRPr="00453AFD" w:rsidRDefault="00DC5561"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453AFD">
              <w:rPr>
                <w:sz w:val="16"/>
                <w:szCs w:val="16"/>
              </w:rPr>
              <w:t>8.7</w:t>
            </w:r>
          </w:p>
        </w:tc>
        <w:tc>
          <w:tcPr>
            <w:tcW w:w="867" w:type="pct"/>
          </w:tcPr>
          <w:p w:rsidR="005F2E93" w:rsidRPr="00453AFD" w:rsidRDefault="00453AFD"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8.7</w:t>
            </w:r>
          </w:p>
        </w:tc>
        <w:tc>
          <w:tcPr>
            <w:tcW w:w="866" w:type="pct"/>
          </w:tcPr>
          <w:p w:rsidR="005F2E93" w:rsidRPr="00453AFD" w:rsidRDefault="00453AFD"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r w:rsidR="00A2124B">
              <w:rPr>
                <w:sz w:val="16"/>
                <w:szCs w:val="16"/>
              </w:rPr>
              <w:t>0.1</w:t>
            </w:r>
          </w:p>
        </w:tc>
        <w:tc>
          <w:tcPr>
            <w:tcW w:w="865" w:type="pct"/>
          </w:tcPr>
          <w:p w:rsidR="005F2E93" w:rsidRPr="00453AFD" w:rsidRDefault="00453AFD"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r w:rsidR="00A2124B">
              <w:rPr>
                <w:sz w:val="16"/>
                <w:szCs w:val="16"/>
              </w:rPr>
              <w:t>1%</w:t>
            </w:r>
          </w:p>
        </w:tc>
      </w:tr>
      <w:tr w:rsidR="005F2E93" w:rsidRPr="004F416F" w:rsidTr="00453AFD">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35" w:type="pct"/>
            <w:hideMark/>
          </w:tcPr>
          <w:p w:rsidR="005F2E93" w:rsidRPr="00453AFD" w:rsidRDefault="005F2E93" w:rsidP="00D423BC">
            <w:pPr>
              <w:rPr>
                <w:szCs w:val="16"/>
              </w:rPr>
            </w:pPr>
            <w:r w:rsidRPr="00453AFD">
              <w:rPr>
                <w:szCs w:val="16"/>
              </w:rPr>
              <w:t>GROSS TOTAL CAPITAL EXPENDITURE</w:t>
            </w:r>
          </w:p>
        </w:tc>
        <w:tc>
          <w:tcPr>
            <w:tcW w:w="867" w:type="pct"/>
          </w:tcPr>
          <w:p w:rsidR="005F2E93" w:rsidRPr="00453AFD" w:rsidRDefault="00DC5561"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sidRPr="00453AFD">
              <w:rPr>
                <w:sz w:val="16"/>
                <w:szCs w:val="16"/>
              </w:rPr>
              <w:t>29.9</w:t>
            </w:r>
          </w:p>
        </w:tc>
        <w:tc>
          <w:tcPr>
            <w:tcW w:w="867" w:type="pct"/>
          </w:tcPr>
          <w:p w:rsidR="005F2E93" w:rsidRPr="00453AFD" w:rsidRDefault="00453AFD"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27.</w:t>
            </w:r>
            <w:r w:rsidR="005F6AB8">
              <w:rPr>
                <w:sz w:val="16"/>
                <w:szCs w:val="16"/>
              </w:rPr>
              <w:t>2</w:t>
            </w:r>
          </w:p>
        </w:tc>
        <w:tc>
          <w:tcPr>
            <w:tcW w:w="866" w:type="pct"/>
          </w:tcPr>
          <w:p w:rsidR="005F2E93" w:rsidRPr="00453AFD" w:rsidRDefault="00453AFD"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-2.8</w:t>
            </w:r>
          </w:p>
        </w:tc>
        <w:tc>
          <w:tcPr>
            <w:tcW w:w="865" w:type="pct"/>
          </w:tcPr>
          <w:p w:rsidR="005F2E93" w:rsidRPr="00453AFD" w:rsidRDefault="00453AFD"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-9%</w:t>
            </w:r>
          </w:p>
        </w:tc>
      </w:tr>
      <w:tr w:rsidR="005F2E93" w:rsidRPr="004F416F" w:rsidTr="00453AFD">
        <w:trPr>
          <w:trHeight w:val="300"/>
        </w:trPr>
        <w:tc>
          <w:tcPr>
            <w:cnfStyle w:val="001000000000" w:firstRow="0" w:lastRow="0" w:firstColumn="1" w:lastColumn="0" w:oddVBand="0" w:evenVBand="0" w:oddHBand="0" w:evenHBand="0" w:firstRowFirstColumn="0" w:firstRowLastColumn="0" w:lastRowFirstColumn="0" w:lastRowLastColumn="0"/>
            <w:tcW w:w="1535" w:type="pct"/>
            <w:hideMark/>
          </w:tcPr>
          <w:p w:rsidR="005F2E93" w:rsidRPr="00453AFD" w:rsidRDefault="005F2E93" w:rsidP="00D423BC">
            <w:pPr>
              <w:rPr>
                <w:szCs w:val="16"/>
              </w:rPr>
            </w:pPr>
            <w:r w:rsidRPr="00453AFD">
              <w:rPr>
                <w:szCs w:val="16"/>
              </w:rPr>
              <w:t>Contributions</w:t>
            </w:r>
          </w:p>
        </w:tc>
        <w:tc>
          <w:tcPr>
            <w:tcW w:w="867" w:type="pct"/>
          </w:tcPr>
          <w:p w:rsidR="005F2E93" w:rsidRPr="00453AFD" w:rsidRDefault="00453AFD"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867" w:type="pct"/>
          </w:tcPr>
          <w:p w:rsidR="005F2E93" w:rsidRPr="00453AFD" w:rsidRDefault="00453AFD"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866" w:type="pct"/>
          </w:tcPr>
          <w:p w:rsidR="005F2E93" w:rsidRPr="00453AFD" w:rsidRDefault="00453AFD"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865" w:type="pct"/>
          </w:tcPr>
          <w:p w:rsidR="005F2E93" w:rsidRPr="00453AFD" w:rsidRDefault="00453AFD"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r>
      <w:tr w:rsidR="005F2E93" w:rsidRPr="004F416F" w:rsidTr="00453AFD">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535" w:type="pct"/>
            <w:hideMark/>
          </w:tcPr>
          <w:p w:rsidR="005F2E93" w:rsidRPr="00453AFD" w:rsidRDefault="005F2E93" w:rsidP="00D423BC">
            <w:pPr>
              <w:rPr>
                <w:szCs w:val="16"/>
              </w:rPr>
            </w:pPr>
            <w:r w:rsidRPr="00453AFD">
              <w:rPr>
                <w:szCs w:val="16"/>
              </w:rPr>
              <w:t>Asset disposals</w:t>
            </w:r>
          </w:p>
        </w:tc>
        <w:tc>
          <w:tcPr>
            <w:tcW w:w="867" w:type="pct"/>
          </w:tcPr>
          <w:p w:rsidR="005F2E93" w:rsidRPr="00453AFD" w:rsidRDefault="00453AFD"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w:t>
            </w:r>
          </w:p>
        </w:tc>
        <w:tc>
          <w:tcPr>
            <w:tcW w:w="867" w:type="pct"/>
          </w:tcPr>
          <w:p w:rsidR="005F2E93" w:rsidRPr="00453AFD" w:rsidRDefault="00453AFD"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0.7</w:t>
            </w:r>
          </w:p>
        </w:tc>
        <w:tc>
          <w:tcPr>
            <w:tcW w:w="866" w:type="pct"/>
          </w:tcPr>
          <w:p w:rsidR="005F2E93" w:rsidRPr="00453AFD" w:rsidRDefault="00453AFD"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0.7</w:t>
            </w:r>
          </w:p>
        </w:tc>
        <w:tc>
          <w:tcPr>
            <w:tcW w:w="865" w:type="pct"/>
          </w:tcPr>
          <w:p w:rsidR="005F2E93" w:rsidRPr="00453AFD" w:rsidRDefault="006D5B26"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N/A</w:t>
            </w:r>
          </w:p>
        </w:tc>
      </w:tr>
      <w:tr w:rsidR="005F2E93" w:rsidRPr="004F416F" w:rsidTr="00453AFD">
        <w:trPr>
          <w:trHeight w:val="300"/>
        </w:trPr>
        <w:tc>
          <w:tcPr>
            <w:cnfStyle w:val="001000000000" w:firstRow="0" w:lastRow="0" w:firstColumn="1" w:lastColumn="0" w:oddVBand="0" w:evenVBand="0" w:oddHBand="0" w:evenHBand="0" w:firstRowFirstColumn="0" w:firstRowLastColumn="0" w:lastRowFirstColumn="0" w:lastRowLastColumn="0"/>
            <w:tcW w:w="1535" w:type="pct"/>
            <w:hideMark/>
          </w:tcPr>
          <w:p w:rsidR="005F2E93" w:rsidRPr="00453AFD" w:rsidRDefault="005F2E93" w:rsidP="00D423BC">
            <w:pPr>
              <w:spacing w:before="0"/>
              <w:rPr>
                <w:rStyle w:val="AERsuperscript"/>
                <w:szCs w:val="16"/>
              </w:rPr>
            </w:pPr>
            <w:r w:rsidRPr="00453AFD">
              <w:rPr>
                <w:szCs w:val="16"/>
              </w:rPr>
              <w:t>NET TOTAL CAPITAL EXPENDITURE</w:t>
            </w:r>
            <w:r w:rsidRPr="00453AFD">
              <w:rPr>
                <w:rStyle w:val="AERsuperscript"/>
                <w:szCs w:val="16"/>
              </w:rPr>
              <w:t>)</w:t>
            </w:r>
          </w:p>
        </w:tc>
        <w:tc>
          <w:tcPr>
            <w:tcW w:w="867" w:type="pct"/>
          </w:tcPr>
          <w:p w:rsidR="005F2E93" w:rsidRPr="00453AFD" w:rsidRDefault="00DC5561"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453AFD">
              <w:rPr>
                <w:sz w:val="16"/>
                <w:szCs w:val="16"/>
              </w:rPr>
              <w:t>29.9</w:t>
            </w:r>
          </w:p>
        </w:tc>
        <w:tc>
          <w:tcPr>
            <w:tcW w:w="867" w:type="pct"/>
          </w:tcPr>
          <w:p w:rsidR="005F2E93" w:rsidRPr="00453AFD" w:rsidRDefault="00453AFD"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26.5</w:t>
            </w:r>
          </w:p>
        </w:tc>
        <w:tc>
          <w:tcPr>
            <w:tcW w:w="866" w:type="pct"/>
          </w:tcPr>
          <w:p w:rsidR="005F2E93" w:rsidRPr="00453AFD" w:rsidRDefault="00453AFD"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-3.4</w:t>
            </w:r>
          </w:p>
        </w:tc>
        <w:tc>
          <w:tcPr>
            <w:tcW w:w="865" w:type="pct"/>
          </w:tcPr>
          <w:p w:rsidR="005F2E93" w:rsidRPr="00453AFD" w:rsidRDefault="00453AFD"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w:t>
            </w:r>
            <w:r w:rsidR="00A2124B">
              <w:rPr>
                <w:sz w:val="16"/>
                <w:szCs w:val="16"/>
              </w:rPr>
              <w:t>1</w:t>
            </w:r>
            <w:r>
              <w:rPr>
                <w:sz w:val="16"/>
                <w:szCs w:val="16"/>
              </w:rPr>
              <w:t>%</w:t>
            </w:r>
          </w:p>
        </w:tc>
      </w:tr>
    </w:tbl>
    <w:p w:rsidR="00662426" w:rsidRDefault="00662426" w:rsidP="00662426">
      <w:pPr>
        <w:pStyle w:val="AERtablesource"/>
      </w:pPr>
      <w:r w:rsidRPr="00DE44F6">
        <w:t>Source:</w:t>
      </w:r>
      <w:r w:rsidRPr="00DE44F6">
        <w:tab/>
        <w:t>AER analysis.</w:t>
      </w:r>
    </w:p>
    <w:p w:rsidR="00662426" w:rsidRPr="00A2124B" w:rsidRDefault="00662426" w:rsidP="00662426">
      <w:pPr>
        <w:pStyle w:val="AERtablesource"/>
      </w:pPr>
      <w:r w:rsidRPr="00A91109">
        <w:t>Note:</w:t>
      </w:r>
      <w:r w:rsidRPr="00A91109">
        <w:tab/>
        <w:t xml:space="preserve">(a) </w:t>
      </w:r>
      <w:r w:rsidRPr="00A2124B">
        <w:t>Including AER labour escalation adjustments.</w:t>
      </w:r>
    </w:p>
    <w:p w:rsidR="00662426" w:rsidRDefault="00662426" w:rsidP="00662426">
      <w:pPr>
        <w:numPr>
          <w:ilvl w:val="0"/>
          <w:numId w:val="24"/>
        </w:numPr>
        <w:spacing w:before="0" w:after="240" w:line="288" w:lineRule="auto"/>
        <w:jc w:val="both"/>
      </w:pPr>
      <w:r w:rsidRPr="00D5082B">
        <w:t xml:space="preserve">The reasons for </w:t>
      </w:r>
      <w:r w:rsidR="008B5C51">
        <w:t xml:space="preserve">the difference between APTNT’s proposal and our draft decision </w:t>
      </w:r>
      <w:r w:rsidRPr="00D5082B">
        <w:t>are:</w:t>
      </w:r>
    </w:p>
    <w:p w:rsidR="004241B0" w:rsidRDefault="0046531F" w:rsidP="00702FC2">
      <w:pPr>
        <w:pStyle w:val="AERbulletlistfirststyle"/>
      </w:pPr>
      <w:r>
        <w:t xml:space="preserve">we are not satisfied that forecast capex for the Channel Island bridge project is such as would be incurred by a prudent service provider acting efficiently to achieve the lowest sustainable cost of providing services. </w:t>
      </w:r>
      <w:r w:rsidRPr="0046531F">
        <w:t xml:space="preserve">We consider that forecast capex of $1.1 million </w:t>
      </w:r>
      <w:r w:rsidR="000F79A5">
        <w:t xml:space="preserve">rather than </w:t>
      </w:r>
      <w:r w:rsidR="008B5C51">
        <w:t xml:space="preserve">the proposed </w:t>
      </w:r>
      <w:r w:rsidR="000F79A5">
        <w:t xml:space="preserve">$10.9 million </w:t>
      </w:r>
      <w:r w:rsidRPr="0046531F">
        <w:t xml:space="preserve">is a </w:t>
      </w:r>
      <w:r w:rsidRPr="0046531F">
        <w:lastRenderedPageBreak/>
        <w:t>reasonable estimate of conforming capex for this project</w:t>
      </w:r>
      <w:r w:rsidR="0033139B">
        <w:t>, as discussed in section </w:t>
      </w:r>
      <w:r w:rsidR="00F11395">
        <w:fldChar w:fldCharType="begin"/>
      </w:r>
      <w:r w:rsidR="00F11395">
        <w:instrText xml:space="preserve"> REF _Ref433961344 \r \h </w:instrText>
      </w:r>
      <w:r w:rsidR="00F11395">
        <w:fldChar w:fldCharType="separate"/>
      </w:r>
      <w:r w:rsidR="00F65E22">
        <w:t>6.4.2</w:t>
      </w:r>
      <w:r w:rsidR="00F11395">
        <w:fldChar w:fldCharType="end"/>
      </w:r>
      <w:r w:rsidRPr="0046531F">
        <w:t>.</w:t>
      </w:r>
    </w:p>
    <w:p w:rsidR="00A2124B" w:rsidRDefault="0046531F" w:rsidP="00702FC2">
      <w:pPr>
        <w:pStyle w:val="AERbulletlistfirststyle"/>
      </w:pPr>
      <w:r>
        <w:t xml:space="preserve">APTNT has not accounted for the proceeds from expected disposals of motor vehicle assets in the </w:t>
      </w:r>
      <w:r w:rsidR="006A555A">
        <w:t>2016–21</w:t>
      </w:r>
      <w:r>
        <w:t xml:space="preserve"> access arrangement period</w:t>
      </w:r>
    </w:p>
    <w:p w:rsidR="00A2124B" w:rsidRDefault="00A2124B" w:rsidP="00702FC2">
      <w:pPr>
        <w:pStyle w:val="AERbulletlistfirststyle"/>
      </w:pPr>
      <w:r>
        <w:t xml:space="preserve">as discussed in attachment </w:t>
      </w:r>
      <w:r w:rsidR="008B5C51">
        <w:t>7</w:t>
      </w:r>
      <w:r>
        <w:t>, we have not accepted APTNT’s forecast of real labour cost escalation</w:t>
      </w:r>
    </w:p>
    <w:p w:rsidR="0046531F" w:rsidRPr="00702FC2" w:rsidRDefault="00A2124B" w:rsidP="00702FC2">
      <w:pPr>
        <w:pStyle w:val="AERbulletlistfirststyle"/>
      </w:pPr>
      <w:r>
        <w:t xml:space="preserve">we have deferred </w:t>
      </w:r>
      <w:r w:rsidRPr="00A2124B">
        <w:t>$7.0 million of APTNT’s estimated capex for the belowground station pipework recoating project in the 2015</w:t>
      </w:r>
      <w:r w:rsidR="000B70FD">
        <w:t>–</w:t>
      </w:r>
      <w:r w:rsidRPr="00A2124B">
        <w:t xml:space="preserve">16 year </w:t>
      </w:r>
      <w:r w:rsidR="00D177B1">
        <w:t>in</w:t>
      </w:r>
      <w:r w:rsidRPr="00A2124B">
        <w:t>to the 2016–21 access arrangement period.</w:t>
      </w:r>
    </w:p>
    <w:p w:rsidR="009A5113" w:rsidRDefault="00FF6DD8" w:rsidP="009A5113">
      <w:pPr>
        <w:pStyle w:val="Heading2"/>
      </w:pPr>
      <w:bookmarkStart w:id="19" w:name="_Toc436042749"/>
      <w:r>
        <w:t>APTNT’s</w:t>
      </w:r>
      <w:r w:rsidR="005C0A7F">
        <w:t xml:space="preserve"> proposal</w:t>
      </w:r>
      <w:bookmarkEnd w:id="19"/>
    </w:p>
    <w:p w:rsidR="004E4E86" w:rsidRDefault="009E13EA" w:rsidP="00AB1037">
      <w:pPr>
        <w:pStyle w:val="HeadingBoldBlue"/>
        <w:keepNext/>
      </w:pPr>
      <w:r>
        <w:t xml:space="preserve">Capital expenditure over the </w:t>
      </w:r>
      <w:r w:rsidR="006A555A">
        <w:t>2011–16</w:t>
      </w:r>
      <w:r>
        <w:t xml:space="preserve"> access arrangement period </w:t>
      </w:r>
    </w:p>
    <w:p w:rsidR="009E13EA" w:rsidRDefault="009E13EA" w:rsidP="00452867">
      <w:r>
        <w:t xml:space="preserve">APTNT </w:t>
      </w:r>
      <w:r w:rsidR="006D5B26">
        <w:t xml:space="preserve">proposed </w:t>
      </w:r>
      <w:r w:rsidRPr="005E1F06">
        <w:t xml:space="preserve">total </w:t>
      </w:r>
      <w:r w:rsidR="005651F5">
        <w:t xml:space="preserve">conforming </w:t>
      </w:r>
      <w:r w:rsidR="00B37996">
        <w:t xml:space="preserve">net </w:t>
      </w:r>
      <w:r w:rsidRPr="005E1F06">
        <w:t>capex of $</w:t>
      </w:r>
      <w:r w:rsidR="006D5B26">
        <w:t>44.</w:t>
      </w:r>
      <w:r w:rsidR="00B37996">
        <w:t>4</w:t>
      </w:r>
      <w:r w:rsidRPr="005E1F06">
        <w:t xml:space="preserve"> million ($201</w:t>
      </w:r>
      <w:r w:rsidR="005651F5">
        <w:t>5</w:t>
      </w:r>
      <w:r w:rsidR="000B70FD">
        <w:t>–</w:t>
      </w:r>
      <w:r w:rsidR="005651F5">
        <w:t>16</w:t>
      </w:r>
      <w:r w:rsidRPr="005E1F06">
        <w:t xml:space="preserve">) for </w:t>
      </w:r>
      <w:r w:rsidR="00934788">
        <w:t>the 2011</w:t>
      </w:r>
      <w:r w:rsidR="000B70FD">
        <w:t>–</w:t>
      </w:r>
      <w:r w:rsidR="00934788">
        <w:t>1</w:t>
      </w:r>
      <w:r w:rsidR="00556F25">
        <w:t>6</w:t>
      </w:r>
      <w:r w:rsidR="00934788">
        <w:t xml:space="preserve"> </w:t>
      </w:r>
      <w:r w:rsidR="006B7D10">
        <w:t xml:space="preserve">access arrangement </w:t>
      </w:r>
      <w:r w:rsidR="00934788">
        <w:t>period</w:t>
      </w:r>
      <w:r w:rsidRPr="005E1F06">
        <w:t>.</w:t>
      </w:r>
      <w:r w:rsidR="00934788">
        <w:rPr>
          <w:rStyle w:val="FootnoteReference"/>
        </w:rPr>
        <w:footnoteReference w:id="2"/>
      </w:r>
      <w:r w:rsidRPr="005E1F06">
        <w:t xml:space="preserve"> This is </w:t>
      </w:r>
      <w:r w:rsidR="005651F5">
        <w:t>9</w:t>
      </w:r>
      <w:r w:rsidR="00B47DEC">
        <w:t>0</w:t>
      </w:r>
      <w:r w:rsidRPr="005E1F06">
        <w:t xml:space="preserve"> per cent </w:t>
      </w:r>
      <w:r>
        <w:t>above</w:t>
      </w:r>
      <w:r w:rsidRPr="005E1F06">
        <w:t xml:space="preserve"> the approved </w:t>
      </w:r>
      <w:r w:rsidR="007106FF">
        <w:t xml:space="preserve">forecast </w:t>
      </w:r>
      <w:r>
        <w:t xml:space="preserve">for the </w:t>
      </w:r>
      <w:r w:rsidR="006A555A">
        <w:t>2011–16</w:t>
      </w:r>
      <w:r>
        <w:t xml:space="preserve"> access arrangement period</w:t>
      </w:r>
      <w:r w:rsidRPr="005E1F06">
        <w:t>.</w:t>
      </w:r>
      <w:r w:rsidR="003F677D">
        <w:t xml:space="preserve"> </w:t>
      </w:r>
    </w:p>
    <w:p w:rsidR="003F677D" w:rsidRDefault="00381B88" w:rsidP="00381B88">
      <w:pPr>
        <w:pStyle w:val="Caption"/>
      </w:pPr>
      <w:r>
        <w:t xml:space="preserve">Table </w:t>
      </w:r>
      <w:fldSimple w:instr=" STYLEREF 1 \s ">
        <w:r w:rsidR="00F65E22">
          <w:rPr>
            <w:noProof/>
          </w:rPr>
          <w:t>6</w:t>
        </w:r>
      </w:fldSimple>
      <w:r w:rsidR="00F11395">
        <w:t>.</w:t>
      </w:r>
      <w:fldSimple w:instr=" SEQ Table \* ARABIC \s 1 ">
        <w:r w:rsidR="00F65E22">
          <w:rPr>
            <w:noProof/>
          </w:rPr>
          <w:t>5</w:t>
        </w:r>
      </w:fldSimple>
      <w:r w:rsidR="003F677D">
        <w:tab/>
        <w:t>APTNT’s proposed capi</w:t>
      </w:r>
      <w:r w:rsidR="0093374B">
        <w:t>tal expenditure over the 2011</w:t>
      </w:r>
      <w:r w:rsidR="000B70FD">
        <w:t>–</w:t>
      </w:r>
      <w:r w:rsidR="0093374B">
        <w:t>16</w:t>
      </w:r>
      <w:r w:rsidR="003F677D">
        <w:t xml:space="preserve"> access arrangement period</w:t>
      </w:r>
      <w:r w:rsidR="003F677D" w:rsidRPr="00EB0E3D">
        <w:t xml:space="preserve"> ($million, 201</w:t>
      </w:r>
      <w:r w:rsidR="00D82FE0">
        <w:t>5</w:t>
      </w:r>
      <w:r w:rsidR="000B70FD">
        <w:t>–</w:t>
      </w:r>
      <w:r w:rsidR="00D82FE0">
        <w:t>16</w:t>
      </w:r>
      <w:r w:rsidR="003F677D" w:rsidRPr="00EB0E3D">
        <w:t>)</w:t>
      </w:r>
    </w:p>
    <w:tbl>
      <w:tblPr>
        <w:tblStyle w:val="AERtable-numbers"/>
        <w:tblW w:w="4954" w:type="pct"/>
        <w:tblLook w:val="04A0" w:firstRow="1" w:lastRow="0" w:firstColumn="1" w:lastColumn="0" w:noHBand="0" w:noVBand="1"/>
      </w:tblPr>
      <w:tblGrid>
        <w:gridCol w:w="2237"/>
        <w:gridCol w:w="1063"/>
        <w:gridCol w:w="1063"/>
        <w:gridCol w:w="1063"/>
        <w:gridCol w:w="1063"/>
        <w:gridCol w:w="1063"/>
        <w:gridCol w:w="1061"/>
      </w:tblGrid>
      <w:tr w:rsidR="005651F5" w:rsidRPr="004F416F" w:rsidTr="00B64986">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299" w:type="pct"/>
            <w:hideMark/>
          </w:tcPr>
          <w:p w:rsidR="005651F5" w:rsidRPr="005651F5" w:rsidRDefault="005651F5" w:rsidP="00D423BC">
            <w:pPr>
              <w:rPr>
                <w:szCs w:val="16"/>
              </w:rPr>
            </w:pPr>
            <w:r w:rsidRPr="005651F5">
              <w:rPr>
                <w:szCs w:val="16"/>
              </w:rPr>
              <w:t> Category</w:t>
            </w:r>
          </w:p>
        </w:tc>
        <w:tc>
          <w:tcPr>
            <w:tcW w:w="617" w:type="pct"/>
            <w:hideMark/>
          </w:tcPr>
          <w:p w:rsidR="005651F5" w:rsidRPr="005651F5" w:rsidRDefault="005651F5" w:rsidP="00CA0D07">
            <w:pPr>
              <w:pStyle w:val="AERtabletextright"/>
              <w:cnfStyle w:val="100000000000" w:firstRow="1" w:lastRow="0" w:firstColumn="0" w:lastColumn="0" w:oddVBand="0" w:evenVBand="0" w:oddHBand="0" w:evenHBand="0" w:firstRowFirstColumn="0" w:firstRowLastColumn="0" w:lastRowFirstColumn="0" w:lastRowLastColumn="0"/>
              <w:rPr>
                <w:sz w:val="16"/>
                <w:szCs w:val="16"/>
              </w:rPr>
            </w:pPr>
            <w:r w:rsidRPr="005651F5">
              <w:rPr>
                <w:sz w:val="16"/>
                <w:szCs w:val="16"/>
              </w:rPr>
              <w:t>2011-12</w:t>
            </w:r>
          </w:p>
        </w:tc>
        <w:tc>
          <w:tcPr>
            <w:tcW w:w="617" w:type="pct"/>
            <w:hideMark/>
          </w:tcPr>
          <w:p w:rsidR="005651F5" w:rsidRPr="005651F5" w:rsidRDefault="005651F5" w:rsidP="00CA0D07">
            <w:pPr>
              <w:pStyle w:val="AERtabletextright"/>
              <w:cnfStyle w:val="100000000000" w:firstRow="1" w:lastRow="0" w:firstColumn="0" w:lastColumn="0" w:oddVBand="0" w:evenVBand="0" w:oddHBand="0" w:evenHBand="0" w:firstRowFirstColumn="0" w:firstRowLastColumn="0" w:lastRowFirstColumn="0" w:lastRowLastColumn="0"/>
              <w:rPr>
                <w:sz w:val="16"/>
                <w:szCs w:val="16"/>
              </w:rPr>
            </w:pPr>
            <w:r w:rsidRPr="005651F5">
              <w:rPr>
                <w:sz w:val="16"/>
                <w:szCs w:val="16"/>
              </w:rPr>
              <w:t>2012-13</w:t>
            </w:r>
          </w:p>
        </w:tc>
        <w:tc>
          <w:tcPr>
            <w:tcW w:w="617" w:type="pct"/>
            <w:hideMark/>
          </w:tcPr>
          <w:p w:rsidR="005651F5" w:rsidRPr="005651F5" w:rsidRDefault="005651F5" w:rsidP="00CA0D07">
            <w:pPr>
              <w:pStyle w:val="AERtabletextright"/>
              <w:cnfStyle w:val="100000000000" w:firstRow="1" w:lastRow="0" w:firstColumn="0" w:lastColumn="0" w:oddVBand="0" w:evenVBand="0" w:oddHBand="0" w:evenHBand="0" w:firstRowFirstColumn="0" w:firstRowLastColumn="0" w:lastRowFirstColumn="0" w:lastRowLastColumn="0"/>
              <w:rPr>
                <w:sz w:val="16"/>
                <w:szCs w:val="16"/>
              </w:rPr>
            </w:pPr>
            <w:r w:rsidRPr="005651F5">
              <w:rPr>
                <w:sz w:val="16"/>
                <w:szCs w:val="16"/>
              </w:rPr>
              <w:t>2013-14</w:t>
            </w:r>
          </w:p>
        </w:tc>
        <w:tc>
          <w:tcPr>
            <w:tcW w:w="617" w:type="pct"/>
            <w:hideMark/>
          </w:tcPr>
          <w:p w:rsidR="005651F5" w:rsidRPr="005651F5" w:rsidRDefault="005651F5" w:rsidP="00CA0D07">
            <w:pPr>
              <w:pStyle w:val="AERtabletextright"/>
              <w:cnfStyle w:val="100000000000" w:firstRow="1" w:lastRow="0" w:firstColumn="0" w:lastColumn="0" w:oddVBand="0" w:evenVBand="0" w:oddHBand="0" w:evenHBand="0" w:firstRowFirstColumn="0" w:firstRowLastColumn="0" w:lastRowFirstColumn="0" w:lastRowLastColumn="0"/>
              <w:rPr>
                <w:sz w:val="16"/>
                <w:szCs w:val="16"/>
              </w:rPr>
            </w:pPr>
            <w:r w:rsidRPr="005651F5">
              <w:rPr>
                <w:sz w:val="16"/>
                <w:szCs w:val="16"/>
              </w:rPr>
              <w:t>2014-15</w:t>
            </w:r>
          </w:p>
        </w:tc>
        <w:tc>
          <w:tcPr>
            <w:tcW w:w="617" w:type="pct"/>
            <w:hideMark/>
          </w:tcPr>
          <w:p w:rsidR="005651F5" w:rsidRPr="005651F5" w:rsidRDefault="005651F5" w:rsidP="00CA0D07">
            <w:pPr>
              <w:pStyle w:val="AERtabletextright"/>
              <w:cnfStyle w:val="100000000000" w:firstRow="1" w:lastRow="0" w:firstColumn="0" w:lastColumn="0" w:oddVBand="0" w:evenVBand="0" w:oddHBand="0" w:evenHBand="0" w:firstRowFirstColumn="0" w:firstRowLastColumn="0" w:lastRowFirstColumn="0" w:lastRowLastColumn="0"/>
              <w:rPr>
                <w:sz w:val="16"/>
                <w:szCs w:val="16"/>
              </w:rPr>
            </w:pPr>
            <w:r w:rsidRPr="005651F5">
              <w:rPr>
                <w:sz w:val="16"/>
                <w:szCs w:val="16"/>
              </w:rPr>
              <w:t>2015-16</w:t>
            </w:r>
          </w:p>
        </w:tc>
        <w:tc>
          <w:tcPr>
            <w:tcW w:w="616" w:type="pct"/>
          </w:tcPr>
          <w:p w:rsidR="005651F5" w:rsidRPr="005651F5" w:rsidRDefault="005651F5" w:rsidP="00CA0D07">
            <w:pPr>
              <w:pStyle w:val="AERtabletextright"/>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Total</w:t>
            </w:r>
          </w:p>
        </w:tc>
      </w:tr>
      <w:tr w:rsidR="005651F5" w:rsidRPr="004F416F" w:rsidTr="00B64986">
        <w:trPr>
          <w:trHeight w:val="300"/>
        </w:trPr>
        <w:tc>
          <w:tcPr>
            <w:cnfStyle w:val="001000000000" w:firstRow="0" w:lastRow="0" w:firstColumn="1" w:lastColumn="0" w:oddVBand="0" w:evenVBand="0" w:oddHBand="0" w:evenHBand="0" w:firstRowFirstColumn="0" w:firstRowLastColumn="0" w:lastRowFirstColumn="0" w:lastRowLastColumn="0"/>
            <w:tcW w:w="1299" w:type="pct"/>
          </w:tcPr>
          <w:p w:rsidR="005651F5" w:rsidRPr="005651F5" w:rsidRDefault="005651F5" w:rsidP="00D423BC">
            <w:pPr>
              <w:rPr>
                <w:szCs w:val="16"/>
              </w:rPr>
            </w:pPr>
            <w:r w:rsidRPr="005651F5">
              <w:rPr>
                <w:szCs w:val="16"/>
              </w:rPr>
              <w:t>Expansion</w:t>
            </w:r>
          </w:p>
        </w:tc>
        <w:tc>
          <w:tcPr>
            <w:tcW w:w="617" w:type="pct"/>
          </w:tcPr>
          <w:p w:rsidR="005651F5" w:rsidRPr="005651F5" w:rsidRDefault="005651F5" w:rsidP="00140D62">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5651F5">
              <w:rPr>
                <w:sz w:val="16"/>
                <w:szCs w:val="16"/>
              </w:rPr>
              <w:t>0.0</w:t>
            </w:r>
          </w:p>
        </w:tc>
        <w:tc>
          <w:tcPr>
            <w:tcW w:w="617" w:type="pct"/>
          </w:tcPr>
          <w:p w:rsidR="005651F5" w:rsidRPr="005651F5" w:rsidRDefault="005651F5" w:rsidP="00140D62">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5651F5">
              <w:rPr>
                <w:sz w:val="16"/>
                <w:szCs w:val="16"/>
              </w:rPr>
              <w:t>0.8</w:t>
            </w:r>
          </w:p>
        </w:tc>
        <w:tc>
          <w:tcPr>
            <w:tcW w:w="617" w:type="pct"/>
          </w:tcPr>
          <w:p w:rsidR="005651F5" w:rsidRPr="005651F5" w:rsidRDefault="005651F5" w:rsidP="00140D62">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5651F5">
              <w:rPr>
                <w:sz w:val="16"/>
                <w:szCs w:val="16"/>
              </w:rPr>
              <w:t>0.6</w:t>
            </w:r>
          </w:p>
        </w:tc>
        <w:tc>
          <w:tcPr>
            <w:tcW w:w="617" w:type="pct"/>
          </w:tcPr>
          <w:p w:rsidR="005651F5" w:rsidRPr="005651F5" w:rsidRDefault="005651F5" w:rsidP="00140D62">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5651F5">
              <w:rPr>
                <w:sz w:val="16"/>
                <w:szCs w:val="16"/>
              </w:rPr>
              <w:t>0.1</w:t>
            </w:r>
          </w:p>
        </w:tc>
        <w:tc>
          <w:tcPr>
            <w:tcW w:w="617" w:type="pct"/>
          </w:tcPr>
          <w:p w:rsidR="005651F5" w:rsidRPr="005651F5" w:rsidRDefault="005651F5" w:rsidP="00140D62">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5651F5">
              <w:rPr>
                <w:sz w:val="16"/>
                <w:szCs w:val="16"/>
              </w:rPr>
              <w:t>0.0</w:t>
            </w:r>
          </w:p>
        </w:tc>
        <w:tc>
          <w:tcPr>
            <w:tcW w:w="616" w:type="pct"/>
          </w:tcPr>
          <w:p w:rsidR="005651F5" w:rsidRPr="005651F5" w:rsidRDefault="005651F5" w:rsidP="00140D62">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1.4</w:t>
            </w:r>
          </w:p>
        </w:tc>
      </w:tr>
      <w:tr w:rsidR="005651F5" w:rsidRPr="004F416F" w:rsidTr="00B64986">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99" w:type="pct"/>
          </w:tcPr>
          <w:p w:rsidR="005651F5" w:rsidRPr="005651F5" w:rsidRDefault="005651F5" w:rsidP="00140D62">
            <w:pPr>
              <w:rPr>
                <w:szCs w:val="16"/>
              </w:rPr>
            </w:pPr>
            <w:r w:rsidRPr="005651F5">
              <w:rPr>
                <w:szCs w:val="16"/>
              </w:rPr>
              <w:t>Replacement</w:t>
            </w:r>
          </w:p>
        </w:tc>
        <w:tc>
          <w:tcPr>
            <w:tcW w:w="617" w:type="pct"/>
          </w:tcPr>
          <w:p w:rsidR="005651F5" w:rsidRPr="005651F5" w:rsidRDefault="005651F5" w:rsidP="00140D62">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sidRPr="005651F5">
              <w:rPr>
                <w:sz w:val="16"/>
                <w:szCs w:val="16"/>
              </w:rPr>
              <w:t>4.3</w:t>
            </w:r>
          </w:p>
        </w:tc>
        <w:tc>
          <w:tcPr>
            <w:tcW w:w="617" w:type="pct"/>
          </w:tcPr>
          <w:p w:rsidR="005651F5" w:rsidRPr="005651F5" w:rsidRDefault="005651F5" w:rsidP="00140D62">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sidRPr="005651F5">
              <w:rPr>
                <w:sz w:val="16"/>
                <w:szCs w:val="16"/>
              </w:rPr>
              <w:t>14.6</w:t>
            </w:r>
          </w:p>
        </w:tc>
        <w:tc>
          <w:tcPr>
            <w:tcW w:w="617" w:type="pct"/>
          </w:tcPr>
          <w:p w:rsidR="005651F5" w:rsidRPr="005651F5" w:rsidRDefault="005651F5" w:rsidP="00140D62">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sidRPr="005651F5">
              <w:rPr>
                <w:sz w:val="16"/>
                <w:szCs w:val="16"/>
              </w:rPr>
              <w:t>2.2</w:t>
            </w:r>
          </w:p>
        </w:tc>
        <w:tc>
          <w:tcPr>
            <w:tcW w:w="617" w:type="pct"/>
          </w:tcPr>
          <w:p w:rsidR="005651F5" w:rsidRPr="005651F5" w:rsidRDefault="005651F5" w:rsidP="00140D62">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sidRPr="005651F5">
              <w:rPr>
                <w:sz w:val="16"/>
                <w:szCs w:val="16"/>
              </w:rPr>
              <w:t>2.3</w:t>
            </w:r>
          </w:p>
        </w:tc>
        <w:tc>
          <w:tcPr>
            <w:tcW w:w="617" w:type="pct"/>
          </w:tcPr>
          <w:p w:rsidR="005651F5" w:rsidRPr="005651F5" w:rsidRDefault="005651F5" w:rsidP="00140D62">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sidRPr="005651F5">
              <w:rPr>
                <w:sz w:val="16"/>
                <w:szCs w:val="16"/>
              </w:rPr>
              <w:t>12.5</w:t>
            </w:r>
          </w:p>
        </w:tc>
        <w:tc>
          <w:tcPr>
            <w:tcW w:w="616" w:type="pct"/>
          </w:tcPr>
          <w:p w:rsidR="005651F5" w:rsidRPr="005651F5" w:rsidRDefault="005651F5" w:rsidP="00140D62">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35.8</w:t>
            </w:r>
          </w:p>
        </w:tc>
      </w:tr>
      <w:tr w:rsidR="005651F5" w:rsidRPr="004F416F" w:rsidTr="00B64986">
        <w:trPr>
          <w:trHeight w:val="300"/>
        </w:trPr>
        <w:tc>
          <w:tcPr>
            <w:cnfStyle w:val="001000000000" w:firstRow="0" w:lastRow="0" w:firstColumn="1" w:lastColumn="0" w:oddVBand="0" w:evenVBand="0" w:oddHBand="0" w:evenHBand="0" w:firstRowFirstColumn="0" w:firstRowLastColumn="0" w:lastRowFirstColumn="0" w:lastRowLastColumn="0"/>
            <w:tcW w:w="1299" w:type="pct"/>
          </w:tcPr>
          <w:p w:rsidR="005651F5" w:rsidRPr="005651F5" w:rsidRDefault="005651F5" w:rsidP="00140D62">
            <w:pPr>
              <w:rPr>
                <w:szCs w:val="16"/>
              </w:rPr>
            </w:pPr>
            <w:r w:rsidRPr="005651F5">
              <w:rPr>
                <w:szCs w:val="16"/>
              </w:rPr>
              <w:t>Non-system</w:t>
            </w:r>
          </w:p>
        </w:tc>
        <w:tc>
          <w:tcPr>
            <w:tcW w:w="617" w:type="pct"/>
          </w:tcPr>
          <w:p w:rsidR="005651F5" w:rsidRPr="005651F5" w:rsidRDefault="005651F5" w:rsidP="00140D62">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5651F5">
              <w:rPr>
                <w:sz w:val="16"/>
                <w:szCs w:val="16"/>
              </w:rPr>
              <w:t>0.2</w:t>
            </w:r>
          </w:p>
        </w:tc>
        <w:tc>
          <w:tcPr>
            <w:tcW w:w="617" w:type="pct"/>
          </w:tcPr>
          <w:p w:rsidR="005651F5" w:rsidRPr="005651F5" w:rsidRDefault="005651F5" w:rsidP="00140D62">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5651F5">
              <w:rPr>
                <w:sz w:val="16"/>
                <w:szCs w:val="16"/>
              </w:rPr>
              <w:t>1.6</w:t>
            </w:r>
          </w:p>
        </w:tc>
        <w:tc>
          <w:tcPr>
            <w:tcW w:w="617" w:type="pct"/>
          </w:tcPr>
          <w:p w:rsidR="005651F5" w:rsidRPr="005651F5" w:rsidRDefault="005651F5" w:rsidP="00140D62">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5651F5">
              <w:rPr>
                <w:sz w:val="16"/>
                <w:szCs w:val="16"/>
              </w:rPr>
              <w:t>1.6</w:t>
            </w:r>
          </w:p>
        </w:tc>
        <w:tc>
          <w:tcPr>
            <w:tcW w:w="617" w:type="pct"/>
          </w:tcPr>
          <w:p w:rsidR="005651F5" w:rsidRPr="005651F5" w:rsidRDefault="005651F5" w:rsidP="00140D62">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5651F5">
              <w:rPr>
                <w:sz w:val="16"/>
                <w:szCs w:val="16"/>
              </w:rPr>
              <w:t>1.9</w:t>
            </w:r>
          </w:p>
        </w:tc>
        <w:tc>
          <w:tcPr>
            <w:tcW w:w="617" w:type="pct"/>
          </w:tcPr>
          <w:p w:rsidR="005651F5" w:rsidRPr="005651F5" w:rsidRDefault="005651F5" w:rsidP="00140D62">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5651F5">
              <w:rPr>
                <w:sz w:val="16"/>
                <w:szCs w:val="16"/>
              </w:rPr>
              <w:t>2.4</w:t>
            </w:r>
          </w:p>
        </w:tc>
        <w:tc>
          <w:tcPr>
            <w:tcW w:w="616" w:type="pct"/>
          </w:tcPr>
          <w:p w:rsidR="005651F5" w:rsidRPr="005651F5" w:rsidRDefault="005651F5" w:rsidP="00140D62">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7.6</w:t>
            </w:r>
          </w:p>
        </w:tc>
      </w:tr>
      <w:tr w:rsidR="002C6C62" w:rsidRPr="004F416F" w:rsidTr="00B64986">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99" w:type="pct"/>
          </w:tcPr>
          <w:p w:rsidR="002C6C62" w:rsidRDefault="002C6C62" w:rsidP="00D423BC">
            <w:pPr>
              <w:rPr>
                <w:szCs w:val="16"/>
              </w:rPr>
            </w:pPr>
            <w:r>
              <w:rPr>
                <w:szCs w:val="16"/>
              </w:rPr>
              <w:t>GROSS TOTAL CAPITAL EXPENDITURE</w:t>
            </w:r>
          </w:p>
        </w:tc>
        <w:tc>
          <w:tcPr>
            <w:tcW w:w="617" w:type="pct"/>
          </w:tcPr>
          <w:p w:rsidR="002C6C62" w:rsidRPr="005651F5" w:rsidRDefault="002C6C62" w:rsidP="00140D62">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4.5</w:t>
            </w:r>
          </w:p>
        </w:tc>
        <w:tc>
          <w:tcPr>
            <w:tcW w:w="617" w:type="pct"/>
          </w:tcPr>
          <w:p w:rsidR="002C6C62" w:rsidRPr="005651F5" w:rsidRDefault="002C6C62" w:rsidP="00140D62">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17.0</w:t>
            </w:r>
          </w:p>
        </w:tc>
        <w:tc>
          <w:tcPr>
            <w:tcW w:w="617" w:type="pct"/>
          </w:tcPr>
          <w:p w:rsidR="002C6C62" w:rsidRPr="005651F5" w:rsidRDefault="002C6C62" w:rsidP="00140D62">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4.3</w:t>
            </w:r>
          </w:p>
        </w:tc>
        <w:tc>
          <w:tcPr>
            <w:tcW w:w="617" w:type="pct"/>
          </w:tcPr>
          <w:p w:rsidR="002C6C62" w:rsidRPr="005651F5" w:rsidRDefault="002C6C62" w:rsidP="00140D62">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4.2</w:t>
            </w:r>
          </w:p>
        </w:tc>
        <w:tc>
          <w:tcPr>
            <w:tcW w:w="617" w:type="pct"/>
          </w:tcPr>
          <w:p w:rsidR="002C6C62" w:rsidRPr="005651F5" w:rsidRDefault="002C6C62" w:rsidP="00140D62">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14.9</w:t>
            </w:r>
          </w:p>
        </w:tc>
        <w:tc>
          <w:tcPr>
            <w:tcW w:w="616" w:type="pct"/>
          </w:tcPr>
          <w:p w:rsidR="002C6C62" w:rsidRDefault="002C6C62" w:rsidP="00140D62">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44.8</w:t>
            </w:r>
          </w:p>
        </w:tc>
      </w:tr>
      <w:tr w:rsidR="002C6C62" w:rsidRPr="004F416F" w:rsidTr="00B64986">
        <w:trPr>
          <w:trHeight w:val="300"/>
        </w:trPr>
        <w:tc>
          <w:tcPr>
            <w:cnfStyle w:val="001000000000" w:firstRow="0" w:lastRow="0" w:firstColumn="1" w:lastColumn="0" w:oddVBand="0" w:evenVBand="0" w:oddHBand="0" w:evenHBand="0" w:firstRowFirstColumn="0" w:firstRowLastColumn="0" w:lastRowFirstColumn="0" w:lastRowLastColumn="0"/>
            <w:tcW w:w="1299" w:type="pct"/>
          </w:tcPr>
          <w:p w:rsidR="002C6C62" w:rsidRDefault="002C6C62" w:rsidP="002C6C62">
            <w:pPr>
              <w:rPr>
                <w:szCs w:val="16"/>
              </w:rPr>
            </w:pPr>
            <w:r>
              <w:rPr>
                <w:szCs w:val="16"/>
              </w:rPr>
              <w:t>Contributions</w:t>
            </w:r>
          </w:p>
        </w:tc>
        <w:tc>
          <w:tcPr>
            <w:tcW w:w="617" w:type="pct"/>
          </w:tcPr>
          <w:p w:rsidR="002C6C62" w:rsidRPr="005651F5" w:rsidRDefault="002C6C62" w:rsidP="00140D62">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617" w:type="pct"/>
          </w:tcPr>
          <w:p w:rsidR="002C6C62" w:rsidRPr="005651F5" w:rsidRDefault="002C6C62" w:rsidP="00140D62">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617" w:type="pct"/>
          </w:tcPr>
          <w:p w:rsidR="002C6C62" w:rsidRPr="005651F5" w:rsidRDefault="002C6C62" w:rsidP="00140D62">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617" w:type="pct"/>
          </w:tcPr>
          <w:p w:rsidR="002C6C62" w:rsidRPr="005651F5" w:rsidRDefault="002C6C62" w:rsidP="00140D62">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617" w:type="pct"/>
          </w:tcPr>
          <w:p w:rsidR="002C6C62" w:rsidRPr="005651F5" w:rsidRDefault="002C6C62" w:rsidP="00140D62">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616" w:type="pct"/>
          </w:tcPr>
          <w:p w:rsidR="002C6C62" w:rsidRDefault="002C6C62" w:rsidP="00140D62">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r>
      <w:tr w:rsidR="006478AA" w:rsidRPr="004F416F" w:rsidTr="00B64986">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99" w:type="pct"/>
          </w:tcPr>
          <w:p w:rsidR="006478AA" w:rsidRDefault="006478AA" w:rsidP="002C6C62">
            <w:pPr>
              <w:rPr>
                <w:szCs w:val="16"/>
              </w:rPr>
            </w:pPr>
            <w:r>
              <w:rPr>
                <w:szCs w:val="16"/>
              </w:rPr>
              <w:t>Asset disposals</w:t>
            </w:r>
          </w:p>
        </w:tc>
        <w:tc>
          <w:tcPr>
            <w:tcW w:w="617" w:type="pct"/>
          </w:tcPr>
          <w:p w:rsidR="006478AA" w:rsidRDefault="006478AA" w:rsidP="00140D62">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w:t>
            </w:r>
          </w:p>
        </w:tc>
        <w:tc>
          <w:tcPr>
            <w:tcW w:w="617" w:type="pct"/>
          </w:tcPr>
          <w:p w:rsidR="006478AA" w:rsidRDefault="006478AA" w:rsidP="00140D62">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sidRPr="00A67508">
              <w:rPr>
                <w:sz w:val="16"/>
                <w:szCs w:val="16"/>
              </w:rPr>
              <w:t>0.0</w:t>
            </w:r>
          </w:p>
        </w:tc>
        <w:tc>
          <w:tcPr>
            <w:tcW w:w="617" w:type="pct"/>
          </w:tcPr>
          <w:p w:rsidR="006478AA" w:rsidRDefault="006478AA" w:rsidP="00140D62">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sidRPr="00A67508">
              <w:rPr>
                <w:sz w:val="16"/>
                <w:szCs w:val="16"/>
              </w:rPr>
              <w:t>0.</w:t>
            </w:r>
            <w:r>
              <w:rPr>
                <w:sz w:val="16"/>
                <w:szCs w:val="16"/>
              </w:rPr>
              <w:t>3</w:t>
            </w:r>
          </w:p>
        </w:tc>
        <w:tc>
          <w:tcPr>
            <w:tcW w:w="617" w:type="pct"/>
          </w:tcPr>
          <w:p w:rsidR="006478AA" w:rsidRDefault="006478AA" w:rsidP="00140D62">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sidRPr="00A67508">
              <w:rPr>
                <w:sz w:val="16"/>
                <w:szCs w:val="16"/>
              </w:rPr>
              <w:t>0.</w:t>
            </w:r>
            <w:r>
              <w:rPr>
                <w:sz w:val="16"/>
                <w:szCs w:val="16"/>
              </w:rPr>
              <w:t>1</w:t>
            </w:r>
          </w:p>
        </w:tc>
        <w:tc>
          <w:tcPr>
            <w:tcW w:w="617" w:type="pct"/>
          </w:tcPr>
          <w:p w:rsidR="006478AA" w:rsidRDefault="006478AA" w:rsidP="00140D62">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w:t>
            </w:r>
          </w:p>
        </w:tc>
        <w:tc>
          <w:tcPr>
            <w:tcW w:w="616" w:type="pct"/>
          </w:tcPr>
          <w:p w:rsidR="006478AA" w:rsidRDefault="006478AA" w:rsidP="00140D62">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0.4</w:t>
            </w:r>
          </w:p>
        </w:tc>
      </w:tr>
      <w:tr w:rsidR="006478AA" w:rsidRPr="004F416F" w:rsidTr="00B64986">
        <w:trPr>
          <w:trHeight w:val="300"/>
        </w:trPr>
        <w:tc>
          <w:tcPr>
            <w:cnfStyle w:val="001000000000" w:firstRow="0" w:lastRow="0" w:firstColumn="1" w:lastColumn="0" w:oddVBand="0" w:evenVBand="0" w:oddHBand="0" w:evenHBand="0" w:firstRowFirstColumn="0" w:firstRowLastColumn="0" w:lastRowFirstColumn="0" w:lastRowLastColumn="0"/>
            <w:tcW w:w="1299" w:type="pct"/>
            <w:hideMark/>
          </w:tcPr>
          <w:p w:rsidR="006478AA" w:rsidRPr="005651F5" w:rsidRDefault="006478AA" w:rsidP="00D423BC">
            <w:pPr>
              <w:rPr>
                <w:szCs w:val="16"/>
              </w:rPr>
            </w:pPr>
            <w:r>
              <w:rPr>
                <w:szCs w:val="16"/>
              </w:rPr>
              <w:t>NET CAPITAL EXPENDITURE</w:t>
            </w:r>
          </w:p>
        </w:tc>
        <w:tc>
          <w:tcPr>
            <w:tcW w:w="617" w:type="pct"/>
          </w:tcPr>
          <w:p w:rsidR="006478AA" w:rsidRPr="005651F5" w:rsidRDefault="006478AA" w:rsidP="00140D62">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4.5</w:t>
            </w:r>
          </w:p>
        </w:tc>
        <w:tc>
          <w:tcPr>
            <w:tcW w:w="617" w:type="pct"/>
          </w:tcPr>
          <w:p w:rsidR="006478AA" w:rsidRPr="005651F5" w:rsidRDefault="006478AA" w:rsidP="00140D62">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17.0</w:t>
            </w:r>
          </w:p>
        </w:tc>
        <w:tc>
          <w:tcPr>
            <w:tcW w:w="617" w:type="pct"/>
          </w:tcPr>
          <w:p w:rsidR="006478AA" w:rsidRPr="005651F5" w:rsidRDefault="006478AA" w:rsidP="00140D62">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4.0</w:t>
            </w:r>
          </w:p>
        </w:tc>
        <w:tc>
          <w:tcPr>
            <w:tcW w:w="617" w:type="pct"/>
          </w:tcPr>
          <w:p w:rsidR="006478AA" w:rsidRPr="005651F5" w:rsidRDefault="006478AA" w:rsidP="00140D62">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4.1</w:t>
            </w:r>
          </w:p>
        </w:tc>
        <w:tc>
          <w:tcPr>
            <w:tcW w:w="617" w:type="pct"/>
          </w:tcPr>
          <w:p w:rsidR="006478AA" w:rsidRPr="005651F5" w:rsidRDefault="00993FA3" w:rsidP="00140D62">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14.9</w:t>
            </w:r>
          </w:p>
        </w:tc>
        <w:tc>
          <w:tcPr>
            <w:tcW w:w="616" w:type="pct"/>
          </w:tcPr>
          <w:p w:rsidR="006478AA" w:rsidRPr="005651F5" w:rsidRDefault="006478AA" w:rsidP="00140D62">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44.4</w:t>
            </w:r>
          </w:p>
        </w:tc>
      </w:tr>
    </w:tbl>
    <w:p w:rsidR="003F677D" w:rsidRDefault="005651F5" w:rsidP="00B64986">
      <w:pPr>
        <w:pStyle w:val="AERtablesource"/>
      </w:pPr>
      <w:r>
        <w:t>Source:</w:t>
      </w:r>
      <w:r>
        <w:tab/>
      </w:r>
      <w:r w:rsidRPr="00B47DEC">
        <w:t>APTNT</w:t>
      </w:r>
      <w:r w:rsidR="003F5252">
        <w:t>,</w:t>
      </w:r>
      <w:r w:rsidR="003F677D" w:rsidRPr="00DE44F6">
        <w:t xml:space="preserve"> </w:t>
      </w:r>
      <w:r w:rsidR="00F9442F" w:rsidRPr="00F9442F">
        <w:rPr>
          <w:rStyle w:val="AERtextitalic"/>
        </w:rPr>
        <w:t xml:space="preserve">Attachment </w:t>
      </w:r>
      <w:r>
        <w:rPr>
          <w:rStyle w:val="AERtextitalic"/>
        </w:rPr>
        <w:t>B-6 Supporting model – Capital expenditure</w:t>
      </w:r>
      <w:r>
        <w:t>, August 2015</w:t>
      </w:r>
      <w:r w:rsidR="00993FA3">
        <w:t xml:space="preserve">; </w:t>
      </w:r>
      <w:r w:rsidR="00993FA3" w:rsidRPr="00B47DEC">
        <w:t>APTNT</w:t>
      </w:r>
      <w:r w:rsidR="00993FA3" w:rsidRPr="00993FA3">
        <w:t xml:space="preserve">, </w:t>
      </w:r>
      <w:r w:rsidR="00993FA3" w:rsidRPr="00B64986">
        <w:rPr>
          <w:rStyle w:val="AERtextitalic"/>
        </w:rPr>
        <w:t>Access Arrangement Revision Proposal Submission</w:t>
      </w:r>
      <w:r w:rsidR="00993FA3" w:rsidRPr="00993FA3">
        <w:t>, August 2015</w:t>
      </w:r>
      <w:r w:rsidR="00993FA3">
        <w:t>, p. 96; AER analysis.</w:t>
      </w:r>
    </w:p>
    <w:p w:rsidR="00A12F33" w:rsidRDefault="00556F25" w:rsidP="00C9745C">
      <w:pPr>
        <w:pStyle w:val="HeadingBoldBlue"/>
        <w:keepNext/>
      </w:pPr>
      <w:r>
        <w:lastRenderedPageBreak/>
        <w:t xml:space="preserve">Proposed capital expenditure </w:t>
      </w:r>
      <w:r w:rsidR="006D5B26">
        <w:t xml:space="preserve">for the </w:t>
      </w:r>
      <w:r>
        <w:t>201</w:t>
      </w:r>
      <w:r w:rsidR="0093374B">
        <w:t>6</w:t>
      </w:r>
      <w:r w:rsidR="000B70FD">
        <w:t>–</w:t>
      </w:r>
      <w:r w:rsidR="0093374B">
        <w:t>2</w:t>
      </w:r>
      <w:r>
        <w:t>1</w:t>
      </w:r>
      <w:r w:rsidR="006D5B26">
        <w:t xml:space="preserve"> access arrangement period</w:t>
      </w:r>
    </w:p>
    <w:p w:rsidR="00331218" w:rsidRPr="00A12F33" w:rsidRDefault="00D82FE0" w:rsidP="00A12F33">
      <w:r>
        <w:t>APTNT proposed</w:t>
      </w:r>
      <w:r w:rsidR="00331218" w:rsidRPr="00A12F33">
        <w:t xml:space="preserve"> total </w:t>
      </w:r>
      <w:r w:rsidR="00F9442F">
        <w:t xml:space="preserve">forecast </w:t>
      </w:r>
      <w:r w:rsidR="00B37996">
        <w:t xml:space="preserve">net </w:t>
      </w:r>
      <w:r w:rsidR="00331218" w:rsidRPr="00A12F33">
        <w:t>capex of $29.9</w:t>
      </w:r>
      <w:r w:rsidR="00F9442F">
        <w:t xml:space="preserve"> million ($2015</w:t>
      </w:r>
      <w:r w:rsidR="000B70FD">
        <w:noBreakHyphen/>
      </w:r>
      <w:r w:rsidR="00F9442F">
        <w:t xml:space="preserve">16) for the </w:t>
      </w:r>
      <w:r w:rsidR="006A555A">
        <w:t>2016–21</w:t>
      </w:r>
      <w:r w:rsidR="00331218" w:rsidRPr="00A12F33">
        <w:t xml:space="preserve"> access arrangement period.</w:t>
      </w:r>
      <w:r w:rsidR="00331218" w:rsidRPr="00A12F33">
        <w:rPr>
          <w:rStyle w:val="AERsuperscript"/>
        </w:rPr>
        <w:footnoteReference w:id="3"/>
      </w:r>
      <w:r w:rsidR="00331218" w:rsidRPr="00A12F33">
        <w:t xml:space="preserve"> This re</w:t>
      </w:r>
      <w:r>
        <w:t xml:space="preserve">presents a real </w:t>
      </w:r>
      <w:r w:rsidR="00452867">
        <w:t>decrease</w:t>
      </w:r>
      <w:r>
        <w:t xml:space="preserve"> of </w:t>
      </w:r>
      <w:r w:rsidR="00452867">
        <w:t xml:space="preserve">33 per cent from APTNT’s proposed actual and estimated </w:t>
      </w:r>
      <w:r w:rsidR="00B47DEC">
        <w:t xml:space="preserve">net </w:t>
      </w:r>
      <w:r w:rsidR="00452867">
        <w:t xml:space="preserve">capex for </w:t>
      </w:r>
      <w:r w:rsidR="00331218" w:rsidRPr="00A12F33">
        <w:t xml:space="preserve">the </w:t>
      </w:r>
      <w:r w:rsidR="006A555A">
        <w:t>2011–16</w:t>
      </w:r>
      <w:r w:rsidR="00331218" w:rsidRPr="00A12F33">
        <w:t xml:space="preserve"> access arrangement period</w:t>
      </w:r>
      <w:r w:rsidR="00452867">
        <w:t>.</w:t>
      </w:r>
    </w:p>
    <w:p w:rsidR="00331218" w:rsidRDefault="00381B88" w:rsidP="00331218">
      <w:pPr>
        <w:pStyle w:val="Caption"/>
        <w:numPr>
          <w:ilvl w:val="0"/>
          <w:numId w:val="24"/>
        </w:numPr>
      </w:pPr>
      <w:r>
        <w:t xml:space="preserve">Table </w:t>
      </w:r>
      <w:fldSimple w:instr=" STYLEREF 1 \s ">
        <w:r w:rsidR="00F65E22">
          <w:rPr>
            <w:noProof/>
          </w:rPr>
          <w:t>6</w:t>
        </w:r>
      </w:fldSimple>
      <w:r w:rsidR="00F11395">
        <w:t>.</w:t>
      </w:r>
      <w:fldSimple w:instr=" SEQ Table \* ARABIC \s 1 ">
        <w:r w:rsidR="00F65E22">
          <w:rPr>
            <w:noProof/>
          </w:rPr>
          <w:t>6</w:t>
        </w:r>
      </w:fldSimple>
      <w:r w:rsidR="00331218">
        <w:tab/>
        <w:t>APTNT’s proposed capital expenditure by category over the 2016</w:t>
      </w:r>
      <w:r w:rsidR="00A92ECD">
        <w:t>–</w:t>
      </w:r>
      <w:r w:rsidR="00331218">
        <w:t>21 access arrangement period</w:t>
      </w:r>
      <w:r w:rsidR="00331218" w:rsidRPr="00EB0E3D">
        <w:t xml:space="preserve"> ($million, 201</w:t>
      </w:r>
      <w:r w:rsidR="00331218">
        <w:t>5</w:t>
      </w:r>
      <w:r w:rsidR="000B70FD">
        <w:noBreakHyphen/>
      </w:r>
      <w:r w:rsidR="00331218">
        <w:t>16</w:t>
      </w:r>
      <w:r w:rsidR="00331218" w:rsidRPr="00EB0E3D">
        <w:t>)</w:t>
      </w:r>
    </w:p>
    <w:tbl>
      <w:tblPr>
        <w:tblStyle w:val="AERtable-numbers"/>
        <w:tblW w:w="5000" w:type="pct"/>
        <w:tblLook w:val="04A0" w:firstRow="1" w:lastRow="0" w:firstColumn="1" w:lastColumn="0" w:noHBand="0" w:noVBand="1"/>
      </w:tblPr>
      <w:tblGrid>
        <w:gridCol w:w="2035"/>
        <w:gridCol w:w="1110"/>
        <w:gridCol w:w="1110"/>
        <w:gridCol w:w="1110"/>
        <w:gridCol w:w="1110"/>
        <w:gridCol w:w="1109"/>
        <w:gridCol w:w="1109"/>
      </w:tblGrid>
      <w:tr w:rsidR="00D82FE0" w:rsidRPr="004F416F" w:rsidTr="00B64986">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170" w:type="pct"/>
            <w:hideMark/>
          </w:tcPr>
          <w:p w:rsidR="00D82FE0" w:rsidRPr="00D82FE0" w:rsidRDefault="00D82FE0" w:rsidP="00D423BC">
            <w:pPr>
              <w:rPr>
                <w:szCs w:val="16"/>
              </w:rPr>
            </w:pPr>
            <w:r w:rsidRPr="00D82FE0">
              <w:rPr>
                <w:szCs w:val="16"/>
              </w:rPr>
              <w:t> Category</w:t>
            </w:r>
          </w:p>
        </w:tc>
        <w:tc>
          <w:tcPr>
            <w:tcW w:w="638" w:type="pct"/>
            <w:hideMark/>
          </w:tcPr>
          <w:p w:rsidR="00D82FE0" w:rsidRPr="00D82FE0" w:rsidRDefault="00D82FE0" w:rsidP="00D423BC">
            <w:pPr>
              <w:pStyle w:val="AERtabletextright"/>
              <w:cnfStyle w:val="100000000000" w:firstRow="1" w:lastRow="0" w:firstColumn="0" w:lastColumn="0" w:oddVBand="0" w:evenVBand="0" w:oddHBand="0" w:evenHBand="0" w:firstRowFirstColumn="0" w:firstRowLastColumn="0" w:lastRowFirstColumn="0" w:lastRowLastColumn="0"/>
              <w:rPr>
                <w:sz w:val="16"/>
                <w:szCs w:val="16"/>
              </w:rPr>
            </w:pPr>
            <w:r w:rsidRPr="00D82FE0">
              <w:rPr>
                <w:sz w:val="16"/>
                <w:szCs w:val="16"/>
              </w:rPr>
              <w:t>2016-17</w:t>
            </w:r>
          </w:p>
        </w:tc>
        <w:tc>
          <w:tcPr>
            <w:tcW w:w="638" w:type="pct"/>
            <w:hideMark/>
          </w:tcPr>
          <w:p w:rsidR="00D82FE0" w:rsidRPr="00D82FE0" w:rsidRDefault="00D82FE0" w:rsidP="00D423BC">
            <w:pPr>
              <w:pStyle w:val="AERtabletextright"/>
              <w:cnfStyle w:val="100000000000" w:firstRow="1" w:lastRow="0" w:firstColumn="0" w:lastColumn="0" w:oddVBand="0" w:evenVBand="0" w:oddHBand="0" w:evenHBand="0" w:firstRowFirstColumn="0" w:firstRowLastColumn="0" w:lastRowFirstColumn="0" w:lastRowLastColumn="0"/>
              <w:rPr>
                <w:sz w:val="16"/>
                <w:szCs w:val="16"/>
              </w:rPr>
            </w:pPr>
            <w:r w:rsidRPr="00D82FE0">
              <w:rPr>
                <w:sz w:val="16"/>
                <w:szCs w:val="16"/>
              </w:rPr>
              <w:t>2017-18</w:t>
            </w:r>
          </w:p>
        </w:tc>
        <w:tc>
          <w:tcPr>
            <w:tcW w:w="638" w:type="pct"/>
            <w:hideMark/>
          </w:tcPr>
          <w:p w:rsidR="00D82FE0" w:rsidRPr="00D82FE0" w:rsidRDefault="00D82FE0" w:rsidP="00D423BC">
            <w:pPr>
              <w:pStyle w:val="AERtabletextright"/>
              <w:cnfStyle w:val="100000000000" w:firstRow="1" w:lastRow="0" w:firstColumn="0" w:lastColumn="0" w:oddVBand="0" w:evenVBand="0" w:oddHBand="0" w:evenHBand="0" w:firstRowFirstColumn="0" w:firstRowLastColumn="0" w:lastRowFirstColumn="0" w:lastRowLastColumn="0"/>
              <w:rPr>
                <w:sz w:val="16"/>
                <w:szCs w:val="16"/>
              </w:rPr>
            </w:pPr>
            <w:r w:rsidRPr="00D82FE0">
              <w:rPr>
                <w:sz w:val="16"/>
                <w:szCs w:val="16"/>
              </w:rPr>
              <w:t>2018-19</w:t>
            </w:r>
          </w:p>
        </w:tc>
        <w:tc>
          <w:tcPr>
            <w:tcW w:w="638" w:type="pct"/>
            <w:hideMark/>
          </w:tcPr>
          <w:p w:rsidR="00D82FE0" w:rsidRPr="00D82FE0" w:rsidRDefault="00D82FE0" w:rsidP="00D423BC">
            <w:pPr>
              <w:pStyle w:val="AERtabletextright"/>
              <w:cnfStyle w:val="100000000000" w:firstRow="1" w:lastRow="0" w:firstColumn="0" w:lastColumn="0" w:oddVBand="0" w:evenVBand="0" w:oddHBand="0" w:evenHBand="0" w:firstRowFirstColumn="0" w:firstRowLastColumn="0" w:lastRowFirstColumn="0" w:lastRowLastColumn="0"/>
              <w:rPr>
                <w:sz w:val="16"/>
                <w:szCs w:val="16"/>
              </w:rPr>
            </w:pPr>
            <w:r w:rsidRPr="00D82FE0">
              <w:rPr>
                <w:sz w:val="16"/>
                <w:szCs w:val="16"/>
              </w:rPr>
              <w:t>2019-20</w:t>
            </w:r>
          </w:p>
        </w:tc>
        <w:tc>
          <w:tcPr>
            <w:tcW w:w="638" w:type="pct"/>
            <w:hideMark/>
          </w:tcPr>
          <w:p w:rsidR="00D82FE0" w:rsidRPr="00D82FE0" w:rsidRDefault="00D82FE0" w:rsidP="00D423BC">
            <w:pPr>
              <w:pStyle w:val="AERtabletextright"/>
              <w:cnfStyle w:val="100000000000" w:firstRow="1" w:lastRow="0" w:firstColumn="0" w:lastColumn="0" w:oddVBand="0" w:evenVBand="0" w:oddHBand="0" w:evenHBand="0" w:firstRowFirstColumn="0" w:firstRowLastColumn="0" w:lastRowFirstColumn="0" w:lastRowLastColumn="0"/>
              <w:rPr>
                <w:sz w:val="16"/>
                <w:szCs w:val="16"/>
              </w:rPr>
            </w:pPr>
            <w:r w:rsidRPr="00D82FE0">
              <w:rPr>
                <w:sz w:val="16"/>
                <w:szCs w:val="16"/>
              </w:rPr>
              <w:t>2020-21</w:t>
            </w:r>
          </w:p>
        </w:tc>
        <w:tc>
          <w:tcPr>
            <w:tcW w:w="638" w:type="pct"/>
          </w:tcPr>
          <w:p w:rsidR="00D82FE0" w:rsidRPr="00D82FE0" w:rsidRDefault="00D82FE0" w:rsidP="00D423BC">
            <w:pPr>
              <w:pStyle w:val="AERtabletextright"/>
              <w:cnfStyle w:val="100000000000" w:firstRow="1" w:lastRow="0" w:firstColumn="0" w:lastColumn="0" w:oddVBand="0" w:evenVBand="0" w:oddHBand="0" w:evenHBand="0" w:firstRowFirstColumn="0" w:firstRowLastColumn="0" w:lastRowFirstColumn="0" w:lastRowLastColumn="0"/>
              <w:rPr>
                <w:sz w:val="16"/>
                <w:szCs w:val="16"/>
              </w:rPr>
            </w:pPr>
            <w:r>
              <w:rPr>
                <w:sz w:val="16"/>
                <w:szCs w:val="16"/>
              </w:rPr>
              <w:t>Total</w:t>
            </w:r>
          </w:p>
        </w:tc>
      </w:tr>
      <w:tr w:rsidR="00D82FE0" w:rsidRPr="004F416F" w:rsidTr="00B64986">
        <w:trPr>
          <w:trHeight w:val="300"/>
        </w:trPr>
        <w:tc>
          <w:tcPr>
            <w:cnfStyle w:val="001000000000" w:firstRow="0" w:lastRow="0" w:firstColumn="1" w:lastColumn="0" w:oddVBand="0" w:evenVBand="0" w:oddHBand="0" w:evenHBand="0" w:firstRowFirstColumn="0" w:firstRowLastColumn="0" w:lastRowFirstColumn="0" w:lastRowLastColumn="0"/>
            <w:tcW w:w="1170" w:type="pct"/>
          </w:tcPr>
          <w:p w:rsidR="00D82FE0" w:rsidRPr="00D82FE0" w:rsidRDefault="00D82FE0" w:rsidP="00D423BC">
            <w:pPr>
              <w:rPr>
                <w:szCs w:val="16"/>
              </w:rPr>
            </w:pPr>
            <w:r w:rsidRPr="00D82FE0">
              <w:rPr>
                <w:szCs w:val="16"/>
              </w:rPr>
              <w:t>Expansion</w:t>
            </w:r>
          </w:p>
        </w:tc>
        <w:tc>
          <w:tcPr>
            <w:tcW w:w="638" w:type="pct"/>
          </w:tcPr>
          <w:p w:rsidR="00D82FE0" w:rsidRPr="00D82FE0" w:rsidRDefault="00D82FE0"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D82FE0">
              <w:rPr>
                <w:sz w:val="16"/>
                <w:szCs w:val="16"/>
              </w:rPr>
              <w:t>-</w:t>
            </w:r>
          </w:p>
        </w:tc>
        <w:tc>
          <w:tcPr>
            <w:tcW w:w="638" w:type="pct"/>
          </w:tcPr>
          <w:p w:rsidR="00D82FE0" w:rsidRPr="00D82FE0" w:rsidRDefault="00D82FE0"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D82FE0">
              <w:rPr>
                <w:sz w:val="16"/>
                <w:szCs w:val="16"/>
              </w:rPr>
              <w:t>-</w:t>
            </w:r>
          </w:p>
        </w:tc>
        <w:tc>
          <w:tcPr>
            <w:tcW w:w="638" w:type="pct"/>
          </w:tcPr>
          <w:p w:rsidR="00D82FE0" w:rsidRPr="00D82FE0" w:rsidRDefault="00D82FE0"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D82FE0">
              <w:rPr>
                <w:sz w:val="16"/>
                <w:szCs w:val="16"/>
              </w:rPr>
              <w:t>-</w:t>
            </w:r>
          </w:p>
        </w:tc>
        <w:tc>
          <w:tcPr>
            <w:tcW w:w="638" w:type="pct"/>
          </w:tcPr>
          <w:p w:rsidR="00D82FE0" w:rsidRPr="00D82FE0" w:rsidRDefault="00D82FE0"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D82FE0">
              <w:rPr>
                <w:sz w:val="16"/>
                <w:szCs w:val="16"/>
              </w:rPr>
              <w:t>-</w:t>
            </w:r>
          </w:p>
        </w:tc>
        <w:tc>
          <w:tcPr>
            <w:tcW w:w="638" w:type="pct"/>
          </w:tcPr>
          <w:p w:rsidR="00D82FE0" w:rsidRPr="00D82FE0" w:rsidRDefault="00D82FE0"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D82FE0">
              <w:rPr>
                <w:sz w:val="16"/>
                <w:szCs w:val="16"/>
              </w:rPr>
              <w:t>-</w:t>
            </w:r>
          </w:p>
        </w:tc>
        <w:tc>
          <w:tcPr>
            <w:tcW w:w="638" w:type="pct"/>
          </w:tcPr>
          <w:p w:rsidR="00D82FE0" w:rsidRPr="00D82FE0" w:rsidRDefault="00D82FE0"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r>
      <w:tr w:rsidR="00D82FE0" w:rsidRPr="004F416F" w:rsidTr="00B64986">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70" w:type="pct"/>
          </w:tcPr>
          <w:p w:rsidR="00D82FE0" w:rsidRPr="00D82FE0" w:rsidRDefault="00D82FE0" w:rsidP="00D423BC">
            <w:pPr>
              <w:rPr>
                <w:szCs w:val="16"/>
              </w:rPr>
            </w:pPr>
            <w:r w:rsidRPr="00D82FE0">
              <w:rPr>
                <w:szCs w:val="16"/>
              </w:rPr>
              <w:t>Replacement</w:t>
            </w:r>
          </w:p>
        </w:tc>
        <w:tc>
          <w:tcPr>
            <w:tcW w:w="638" w:type="pct"/>
          </w:tcPr>
          <w:p w:rsidR="00D82FE0" w:rsidRPr="00D82FE0" w:rsidRDefault="00D82FE0"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sidRPr="00D82FE0">
              <w:rPr>
                <w:sz w:val="16"/>
                <w:szCs w:val="16"/>
              </w:rPr>
              <w:t>15.9</w:t>
            </w:r>
          </w:p>
        </w:tc>
        <w:tc>
          <w:tcPr>
            <w:tcW w:w="638" w:type="pct"/>
          </w:tcPr>
          <w:p w:rsidR="00D82FE0" w:rsidRPr="00D82FE0" w:rsidRDefault="00D82FE0"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sidRPr="00D82FE0">
              <w:rPr>
                <w:sz w:val="16"/>
                <w:szCs w:val="16"/>
              </w:rPr>
              <w:t>1.6</w:t>
            </w:r>
          </w:p>
        </w:tc>
        <w:tc>
          <w:tcPr>
            <w:tcW w:w="638" w:type="pct"/>
          </w:tcPr>
          <w:p w:rsidR="00D82FE0" w:rsidRPr="00D82FE0" w:rsidRDefault="00D82FE0"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sidRPr="00D82FE0">
              <w:rPr>
                <w:sz w:val="16"/>
                <w:szCs w:val="16"/>
              </w:rPr>
              <w:t>1.3</w:t>
            </w:r>
          </w:p>
        </w:tc>
        <w:tc>
          <w:tcPr>
            <w:tcW w:w="638" w:type="pct"/>
          </w:tcPr>
          <w:p w:rsidR="00D82FE0" w:rsidRPr="00D82FE0" w:rsidRDefault="00D82FE0"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sidRPr="00D82FE0">
              <w:rPr>
                <w:sz w:val="16"/>
                <w:szCs w:val="16"/>
              </w:rPr>
              <w:t>1.3</w:t>
            </w:r>
          </w:p>
        </w:tc>
        <w:tc>
          <w:tcPr>
            <w:tcW w:w="638" w:type="pct"/>
          </w:tcPr>
          <w:p w:rsidR="00D82FE0" w:rsidRPr="00D82FE0" w:rsidRDefault="00D82FE0"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sidRPr="00D82FE0">
              <w:rPr>
                <w:sz w:val="16"/>
                <w:szCs w:val="16"/>
              </w:rPr>
              <w:t>1.1</w:t>
            </w:r>
          </w:p>
        </w:tc>
        <w:tc>
          <w:tcPr>
            <w:tcW w:w="638" w:type="pct"/>
          </w:tcPr>
          <w:p w:rsidR="00D82FE0" w:rsidRPr="00D82FE0" w:rsidRDefault="00D82FE0"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21.2</w:t>
            </w:r>
          </w:p>
        </w:tc>
      </w:tr>
      <w:tr w:rsidR="00D82FE0" w:rsidRPr="004F416F" w:rsidTr="00B64986">
        <w:trPr>
          <w:trHeight w:val="300"/>
        </w:trPr>
        <w:tc>
          <w:tcPr>
            <w:cnfStyle w:val="001000000000" w:firstRow="0" w:lastRow="0" w:firstColumn="1" w:lastColumn="0" w:oddVBand="0" w:evenVBand="0" w:oddHBand="0" w:evenHBand="0" w:firstRowFirstColumn="0" w:firstRowLastColumn="0" w:lastRowFirstColumn="0" w:lastRowLastColumn="0"/>
            <w:tcW w:w="1170" w:type="pct"/>
          </w:tcPr>
          <w:p w:rsidR="00D82FE0" w:rsidRPr="00D82FE0" w:rsidRDefault="00D82FE0" w:rsidP="00D423BC">
            <w:pPr>
              <w:rPr>
                <w:szCs w:val="16"/>
              </w:rPr>
            </w:pPr>
            <w:r w:rsidRPr="00D82FE0">
              <w:rPr>
                <w:szCs w:val="16"/>
              </w:rPr>
              <w:t>Non-system</w:t>
            </w:r>
          </w:p>
        </w:tc>
        <w:tc>
          <w:tcPr>
            <w:tcW w:w="638" w:type="pct"/>
          </w:tcPr>
          <w:p w:rsidR="00D82FE0" w:rsidRPr="00D82FE0" w:rsidRDefault="00D82FE0"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D82FE0">
              <w:rPr>
                <w:sz w:val="16"/>
                <w:szCs w:val="16"/>
              </w:rPr>
              <w:t>4.4</w:t>
            </w:r>
          </w:p>
        </w:tc>
        <w:tc>
          <w:tcPr>
            <w:tcW w:w="638" w:type="pct"/>
          </w:tcPr>
          <w:p w:rsidR="00D82FE0" w:rsidRPr="00D82FE0" w:rsidRDefault="00D82FE0"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D82FE0">
              <w:rPr>
                <w:sz w:val="16"/>
                <w:szCs w:val="16"/>
              </w:rPr>
              <w:t>0.9</w:t>
            </w:r>
          </w:p>
        </w:tc>
        <w:tc>
          <w:tcPr>
            <w:tcW w:w="638" w:type="pct"/>
          </w:tcPr>
          <w:p w:rsidR="00D82FE0" w:rsidRPr="00D82FE0" w:rsidRDefault="00D82FE0"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D82FE0">
              <w:rPr>
                <w:sz w:val="16"/>
                <w:szCs w:val="16"/>
              </w:rPr>
              <w:t>1.0</w:t>
            </w:r>
          </w:p>
        </w:tc>
        <w:tc>
          <w:tcPr>
            <w:tcW w:w="638" w:type="pct"/>
          </w:tcPr>
          <w:p w:rsidR="00D82FE0" w:rsidRPr="00D82FE0" w:rsidRDefault="00D82FE0"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D82FE0">
              <w:rPr>
                <w:sz w:val="16"/>
                <w:szCs w:val="16"/>
              </w:rPr>
              <w:t>1.1</w:t>
            </w:r>
          </w:p>
        </w:tc>
        <w:tc>
          <w:tcPr>
            <w:tcW w:w="638" w:type="pct"/>
          </w:tcPr>
          <w:p w:rsidR="00D82FE0" w:rsidRPr="00D82FE0" w:rsidRDefault="00D82FE0"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D82FE0">
              <w:rPr>
                <w:sz w:val="16"/>
                <w:szCs w:val="16"/>
              </w:rPr>
              <w:t>1.3</w:t>
            </w:r>
          </w:p>
        </w:tc>
        <w:tc>
          <w:tcPr>
            <w:tcW w:w="638" w:type="pct"/>
          </w:tcPr>
          <w:p w:rsidR="00D82FE0" w:rsidRPr="00D82FE0" w:rsidRDefault="00D82FE0"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8.7</w:t>
            </w:r>
          </w:p>
        </w:tc>
      </w:tr>
      <w:tr w:rsidR="00B47DEC" w:rsidRPr="004F416F" w:rsidTr="00B64986">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70" w:type="pct"/>
          </w:tcPr>
          <w:p w:rsidR="00B47DEC" w:rsidRPr="00D82FE0" w:rsidRDefault="00B47DEC" w:rsidP="00D423BC">
            <w:pPr>
              <w:rPr>
                <w:szCs w:val="16"/>
              </w:rPr>
            </w:pPr>
            <w:r>
              <w:rPr>
                <w:szCs w:val="16"/>
              </w:rPr>
              <w:t>GROSS TOTAL CAPITAL EXPENDITURE</w:t>
            </w:r>
          </w:p>
        </w:tc>
        <w:tc>
          <w:tcPr>
            <w:tcW w:w="638" w:type="pct"/>
          </w:tcPr>
          <w:p w:rsidR="00B47DEC" w:rsidRPr="00D82FE0" w:rsidRDefault="00B47DEC"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20.3</w:t>
            </w:r>
          </w:p>
        </w:tc>
        <w:tc>
          <w:tcPr>
            <w:tcW w:w="638" w:type="pct"/>
          </w:tcPr>
          <w:p w:rsidR="00B47DEC" w:rsidRPr="00D82FE0" w:rsidRDefault="00B47DEC"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2.5</w:t>
            </w:r>
          </w:p>
        </w:tc>
        <w:tc>
          <w:tcPr>
            <w:tcW w:w="638" w:type="pct"/>
          </w:tcPr>
          <w:p w:rsidR="00B47DEC" w:rsidRPr="00D82FE0" w:rsidRDefault="00B47DEC"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2.3</w:t>
            </w:r>
          </w:p>
        </w:tc>
        <w:tc>
          <w:tcPr>
            <w:tcW w:w="638" w:type="pct"/>
          </w:tcPr>
          <w:p w:rsidR="00B47DEC" w:rsidRPr="00D82FE0" w:rsidRDefault="00B47DEC"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sidRPr="00D82FE0">
              <w:rPr>
                <w:sz w:val="16"/>
                <w:szCs w:val="16"/>
              </w:rPr>
              <w:t>2.3</w:t>
            </w:r>
          </w:p>
        </w:tc>
        <w:tc>
          <w:tcPr>
            <w:tcW w:w="638" w:type="pct"/>
          </w:tcPr>
          <w:p w:rsidR="00B47DEC" w:rsidRPr="00D82FE0" w:rsidRDefault="00B47DEC"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sidRPr="00D82FE0">
              <w:rPr>
                <w:sz w:val="16"/>
                <w:szCs w:val="16"/>
              </w:rPr>
              <w:t>2.4</w:t>
            </w:r>
          </w:p>
        </w:tc>
        <w:tc>
          <w:tcPr>
            <w:tcW w:w="638" w:type="pct"/>
          </w:tcPr>
          <w:p w:rsidR="00B47DEC" w:rsidRDefault="00B47DEC"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29.9</w:t>
            </w:r>
          </w:p>
        </w:tc>
      </w:tr>
      <w:tr w:rsidR="002C6C62" w:rsidRPr="004F416F" w:rsidTr="00B64986">
        <w:trPr>
          <w:trHeight w:val="300"/>
        </w:trPr>
        <w:tc>
          <w:tcPr>
            <w:cnfStyle w:val="001000000000" w:firstRow="0" w:lastRow="0" w:firstColumn="1" w:lastColumn="0" w:oddVBand="0" w:evenVBand="0" w:oddHBand="0" w:evenHBand="0" w:firstRowFirstColumn="0" w:firstRowLastColumn="0" w:lastRowFirstColumn="0" w:lastRowLastColumn="0"/>
            <w:tcW w:w="1170" w:type="pct"/>
          </w:tcPr>
          <w:p w:rsidR="002C6C62" w:rsidRDefault="002C6C62" w:rsidP="00D423BC">
            <w:pPr>
              <w:rPr>
                <w:szCs w:val="16"/>
              </w:rPr>
            </w:pPr>
            <w:r>
              <w:rPr>
                <w:szCs w:val="16"/>
              </w:rPr>
              <w:t>Contributions</w:t>
            </w:r>
          </w:p>
        </w:tc>
        <w:tc>
          <w:tcPr>
            <w:tcW w:w="638" w:type="pct"/>
          </w:tcPr>
          <w:p w:rsidR="002C6C62" w:rsidRPr="00D82FE0" w:rsidRDefault="00666BA5"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638" w:type="pct"/>
          </w:tcPr>
          <w:p w:rsidR="002C6C62" w:rsidRPr="00D82FE0" w:rsidRDefault="00666BA5"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638" w:type="pct"/>
          </w:tcPr>
          <w:p w:rsidR="002C6C62" w:rsidRPr="00D82FE0" w:rsidRDefault="00666BA5"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638" w:type="pct"/>
          </w:tcPr>
          <w:p w:rsidR="002C6C62" w:rsidRPr="00D82FE0" w:rsidRDefault="00666BA5"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638" w:type="pct"/>
          </w:tcPr>
          <w:p w:rsidR="002C6C62" w:rsidRPr="00D82FE0" w:rsidRDefault="00666BA5"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638" w:type="pct"/>
          </w:tcPr>
          <w:p w:rsidR="002C6C62" w:rsidRDefault="00666BA5"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r>
      <w:tr w:rsidR="002C6C62" w:rsidRPr="004F416F" w:rsidTr="00B64986">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70" w:type="pct"/>
          </w:tcPr>
          <w:p w:rsidR="002C6C62" w:rsidRDefault="002C6C62" w:rsidP="00D423BC">
            <w:pPr>
              <w:rPr>
                <w:szCs w:val="16"/>
              </w:rPr>
            </w:pPr>
            <w:r>
              <w:rPr>
                <w:szCs w:val="16"/>
              </w:rPr>
              <w:t>Asset disposals</w:t>
            </w:r>
          </w:p>
        </w:tc>
        <w:tc>
          <w:tcPr>
            <w:tcW w:w="638" w:type="pct"/>
          </w:tcPr>
          <w:p w:rsidR="002C6C62" w:rsidRPr="00D82FE0" w:rsidRDefault="00666BA5"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w:t>
            </w:r>
          </w:p>
        </w:tc>
        <w:tc>
          <w:tcPr>
            <w:tcW w:w="638" w:type="pct"/>
          </w:tcPr>
          <w:p w:rsidR="002C6C62" w:rsidRPr="00D82FE0" w:rsidRDefault="00666BA5"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w:t>
            </w:r>
          </w:p>
        </w:tc>
        <w:tc>
          <w:tcPr>
            <w:tcW w:w="638" w:type="pct"/>
          </w:tcPr>
          <w:p w:rsidR="002C6C62" w:rsidRPr="00D82FE0" w:rsidRDefault="00666BA5"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w:t>
            </w:r>
          </w:p>
        </w:tc>
        <w:tc>
          <w:tcPr>
            <w:tcW w:w="638" w:type="pct"/>
          </w:tcPr>
          <w:p w:rsidR="002C6C62" w:rsidRPr="00D82FE0" w:rsidRDefault="00666BA5"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w:t>
            </w:r>
          </w:p>
        </w:tc>
        <w:tc>
          <w:tcPr>
            <w:tcW w:w="638" w:type="pct"/>
          </w:tcPr>
          <w:p w:rsidR="002C6C62" w:rsidRPr="00D82FE0" w:rsidRDefault="00666BA5"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w:t>
            </w:r>
          </w:p>
        </w:tc>
        <w:tc>
          <w:tcPr>
            <w:tcW w:w="638" w:type="pct"/>
          </w:tcPr>
          <w:p w:rsidR="002C6C62" w:rsidRDefault="00666BA5" w:rsidP="00D423BC">
            <w:pPr>
              <w:pStyle w:val="AERtabletextrigh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w:t>
            </w:r>
          </w:p>
        </w:tc>
      </w:tr>
      <w:tr w:rsidR="00D82FE0" w:rsidRPr="004F416F" w:rsidTr="00B64986">
        <w:trPr>
          <w:trHeight w:val="300"/>
        </w:trPr>
        <w:tc>
          <w:tcPr>
            <w:cnfStyle w:val="001000000000" w:firstRow="0" w:lastRow="0" w:firstColumn="1" w:lastColumn="0" w:oddVBand="0" w:evenVBand="0" w:oddHBand="0" w:evenHBand="0" w:firstRowFirstColumn="0" w:firstRowLastColumn="0" w:lastRowFirstColumn="0" w:lastRowLastColumn="0"/>
            <w:tcW w:w="1170" w:type="pct"/>
          </w:tcPr>
          <w:p w:rsidR="00D82FE0" w:rsidRPr="00D82FE0" w:rsidRDefault="00666BA5" w:rsidP="00D423BC">
            <w:pPr>
              <w:rPr>
                <w:szCs w:val="16"/>
              </w:rPr>
            </w:pPr>
            <w:r>
              <w:rPr>
                <w:szCs w:val="16"/>
              </w:rPr>
              <w:t>NET TOTAL CAPITAL EXPENDITURE</w:t>
            </w:r>
          </w:p>
        </w:tc>
        <w:tc>
          <w:tcPr>
            <w:tcW w:w="638" w:type="pct"/>
          </w:tcPr>
          <w:p w:rsidR="00D82FE0" w:rsidRPr="00D82FE0" w:rsidRDefault="00D82FE0"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D82FE0">
              <w:rPr>
                <w:sz w:val="16"/>
                <w:szCs w:val="16"/>
              </w:rPr>
              <w:t>20.3</w:t>
            </w:r>
          </w:p>
        </w:tc>
        <w:tc>
          <w:tcPr>
            <w:tcW w:w="638" w:type="pct"/>
          </w:tcPr>
          <w:p w:rsidR="00D82FE0" w:rsidRPr="00D82FE0" w:rsidRDefault="00D82FE0"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D82FE0">
              <w:rPr>
                <w:sz w:val="16"/>
                <w:szCs w:val="16"/>
              </w:rPr>
              <w:t>2.5</w:t>
            </w:r>
          </w:p>
        </w:tc>
        <w:tc>
          <w:tcPr>
            <w:tcW w:w="638" w:type="pct"/>
          </w:tcPr>
          <w:p w:rsidR="00D82FE0" w:rsidRPr="00D82FE0" w:rsidRDefault="00D82FE0"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D82FE0">
              <w:rPr>
                <w:sz w:val="16"/>
                <w:szCs w:val="16"/>
              </w:rPr>
              <w:t>2.3</w:t>
            </w:r>
          </w:p>
        </w:tc>
        <w:tc>
          <w:tcPr>
            <w:tcW w:w="638" w:type="pct"/>
          </w:tcPr>
          <w:p w:rsidR="00D82FE0" w:rsidRPr="00D82FE0" w:rsidRDefault="00D82FE0"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D82FE0">
              <w:rPr>
                <w:sz w:val="16"/>
                <w:szCs w:val="16"/>
              </w:rPr>
              <w:t>2.3</w:t>
            </w:r>
          </w:p>
        </w:tc>
        <w:tc>
          <w:tcPr>
            <w:tcW w:w="638" w:type="pct"/>
          </w:tcPr>
          <w:p w:rsidR="00D82FE0" w:rsidRPr="00D82FE0" w:rsidRDefault="00D82FE0"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sidRPr="00D82FE0">
              <w:rPr>
                <w:sz w:val="16"/>
                <w:szCs w:val="16"/>
              </w:rPr>
              <w:t>2.4</w:t>
            </w:r>
          </w:p>
        </w:tc>
        <w:tc>
          <w:tcPr>
            <w:tcW w:w="638" w:type="pct"/>
          </w:tcPr>
          <w:p w:rsidR="00D82FE0" w:rsidRPr="00D82FE0" w:rsidRDefault="00D82FE0" w:rsidP="00D423BC">
            <w:pPr>
              <w:pStyle w:val="AERtabletextrigh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29.9</w:t>
            </w:r>
          </w:p>
        </w:tc>
      </w:tr>
    </w:tbl>
    <w:p w:rsidR="00331218" w:rsidRDefault="00331218" w:rsidP="00331218">
      <w:pPr>
        <w:pStyle w:val="AERtablesource"/>
        <w:numPr>
          <w:ilvl w:val="0"/>
          <w:numId w:val="24"/>
        </w:numPr>
      </w:pPr>
      <w:r w:rsidRPr="00DE44F6">
        <w:t>Source:</w:t>
      </w:r>
      <w:r w:rsidRPr="00DE44F6">
        <w:tab/>
      </w:r>
      <w:r w:rsidR="00D82FE0">
        <w:t>APTNT,</w:t>
      </w:r>
      <w:r w:rsidR="00D82FE0" w:rsidRPr="00DE44F6">
        <w:t xml:space="preserve"> </w:t>
      </w:r>
      <w:r w:rsidR="00D82FE0">
        <w:rPr>
          <w:rStyle w:val="AERtextitalic"/>
        </w:rPr>
        <w:t>B-6 Supporting model – Capital expenditure</w:t>
      </w:r>
      <w:r w:rsidR="00D82FE0">
        <w:t>, August 2015</w:t>
      </w:r>
      <w:r w:rsidR="00D82FE0" w:rsidRPr="00DE44F6">
        <w:t>.</w:t>
      </w:r>
    </w:p>
    <w:p w:rsidR="009E13EA" w:rsidRPr="004E4E86" w:rsidRDefault="008D7091" w:rsidP="004E4E86">
      <w:r>
        <w:t xml:space="preserve">APTNT proposed </w:t>
      </w:r>
      <w:r w:rsidR="00452867">
        <w:t>capex for</w:t>
      </w:r>
      <w:r>
        <w:t xml:space="preserve"> two c</w:t>
      </w:r>
      <w:r w:rsidR="00452867">
        <w:t>ategories</w:t>
      </w:r>
      <w:r>
        <w:t xml:space="preserve"> – replacement capex (7</w:t>
      </w:r>
      <w:r w:rsidR="00BE7C86">
        <w:t>1</w:t>
      </w:r>
      <w:r>
        <w:t xml:space="preserve"> per cent of total forecast capex) and non-system capex (29 per cent of total forecast capex). </w:t>
      </w:r>
    </w:p>
    <w:p w:rsidR="009A5113" w:rsidRDefault="009A5113" w:rsidP="009A5113">
      <w:pPr>
        <w:pStyle w:val="Heading2"/>
      </w:pPr>
      <w:bookmarkStart w:id="20" w:name="_Toc408404322"/>
      <w:bookmarkStart w:id="21" w:name="_Toc436042750"/>
      <w:r w:rsidRPr="0074565D">
        <w:t>AER’s assessment approach</w:t>
      </w:r>
      <w:bookmarkEnd w:id="20"/>
      <w:bookmarkEnd w:id="21"/>
    </w:p>
    <w:p w:rsidR="004E4085" w:rsidRDefault="002C5A50" w:rsidP="00452867">
      <w:r w:rsidRPr="00F745EE">
        <w:t xml:space="preserve">We must make two decisions regarding </w:t>
      </w:r>
      <w:r>
        <w:t>APTNT’s</w:t>
      </w:r>
      <w:r w:rsidRPr="00F745EE">
        <w:t xml:space="preserve"> capex. First, we are required to assess past </w:t>
      </w:r>
      <w:r w:rsidR="0033139B">
        <w:t>capex</w:t>
      </w:r>
      <w:r w:rsidRPr="00F745EE">
        <w:t xml:space="preserve"> and determine whether it meets the criteria set out in the NGR to be added to the starting capital base.</w:t>
      </w:r>
      <w:r w:rsidRPr="00F745EE">
        <w:rPr>
          <w:rStyle w:val="FootnoteReference"/>
        </w:rPr>
        <w:footnoteReference w:id="4"/>
      </w:r>
      <w:r w:rsidRPr="00F745EE">
        <w:t xml:space="preserve"> Where capex meets these criteria, it is referred to as "conforming</w:t>
      </w:r>
      <w:r>
        <w:t xml:space="preserve"> capex</w:t>
      </w:r>
      <w:r w:rsidRPr="00F745EE">
        <w:t>".</w:t>
      </w:r>
      <w:r w:rsidRPr="00F745EE">
        <w:rPr>
          <w:rStyle w:val="FootnoteReference"/>
        </w:rPr>
        <w:footnoteReference w:id="5"/>
      </w:r>
      <w:r w:rsidRPr="00F745EE">
        <w:t xml:space="preserve"> Secondly, we are required to assess </w:t>
      </w:r>
      <w:r w:rsidR="00D137F0">
        <w:t>APTNT’s</w:t>
      </w:r>
      <w:r w:rsidR="00140D62">
        <w:t xml:space="preserve"> </w:t>
      </w:r>
      <w:r w:rsidRPr="00F745EE">
        <w:t>forecast of required capex for the 201</w:t>
      </w:r>
      <w:r w:rsidR="00D137F0">
        <w:t>6</w:t>
      </w:r>
      <w:r w:rsidR="000B70FD">
        <w:noBreakHyphen/>
      </w:r>
      <w:r w:rsidRPr="00F745EE">
        <w:t>2</w:t>
      </w:r>
      <w:r w:rsidR="00D137F0">
        <w:t>1</w:t>
      </w:r>
      <w:r w:rsidRPr="00F745EE">
        <w:t xml:space="preserve"> </w:t>
      </w:r>
      <w:r w:rsidR="00452867">
        <w:t xml:space="preserve">access arrangement period to determine whether it is </w:t>
      </w:r>
      <w:r>
        <w:t>conforming</w:t>
      </w:r>
      <w:r w:rsidR="00D137F0">
        <w:t xml:space="preserve"> capex</w:t>
      </w:r>
      <w:r w:rsidRPr="00F745EE">
        <w:t xml:space="preserve">. The following sections set out our approach and the tools and techniques we employ in forming a view on these two issues. We also need to take into account timing issues associated with the lag between actual capex data being available </w:t>
      </w:r>
      <w:r w:rsidR="00666BA5">
        <w:t>in the last year of the 2011</w:t>
      </w:r>
      <w:r w:rsidR="000B70FD">
        <w:noBreakHyphen/>
      </w:r>
      <w:r w:rsidR="00666BA5">
        <w:t xml:space="preserve">16 access arrangement period </w:t>
      </w:r>
      <w:r w:rsidRPr="00F745EE">
        <w:t xml:space="preserve">and the need to </w:t>
      </w:r>
      <w:r w:rsidRPr="00F745EE">
        <w:lastRenderedPageBreak/>
        <w:t>forecast an opening capital base</w:t>
      </w:r>
      <w:r w:rsidR="00666BA5">
        <w:t xml:space="preserve"> for the 2016</w:t>
      </w:r>
      <w:r w:rsidR="000B70FD">
        <w:noBreakHyphen/>
      </w:r>
      <w:r w:rsidR="00666BA5">
        <w:t>21 access arrangement period</w:t>
      </w:r>
      <w:r w:rsidRPr="00F745EE">
        <w:t>. This is explained in the next section.</w:t>
      </w:r>
    </w:p>
    <w:p w:rsidR="00D137F0" w:rsidRDefault="00D137F0" w:rsidP="00140D62">
      <w:pPr>
        <w:pStyle w:val="Heading3"/>
      </w:pPr>
      <w:bookmarkStart w:id="22" w:name="_Toc404676544"/>
      <w:bookmarkStart w:id="23" w:name="_Toc404676594"/>
      <w:bookmarkStart w:id="24" w:name="_Toc436042751"/>
      <w:r w:rsidRPr="0023470D">
        <w:t>NGR requirements for conforming capital expenditure</w:t>
      </w:r>
      <w:bookmarkEnd w:id="22"/>
      <w:bookmarkEnd w:id="23"/>
      <w:bookmarkEnd w:id="24"/>
    </w:p>
    <w:p w:rsidR="00D137F0" w:rsidRPr="00A12F33" w:rsidRDefault="0033139B" w:rsidP="0033139B">
      <w:r>
        <w:t>T</w:t>
      </w:r>
      <w:r w:rsidR="00D137F0" w:rsidRPr="00F745EE">
        <w:t xml:space="preserve">he definition of capex </w:t>
      </w:r>
      <w:r>
        <w:t xml:space="preserve">is set out </w:t>
      </w:r>
      <w:r w:rsidR="00D137F0" w:rsidRPr="00F745EE">
        <w:t>in r</w:t>
      </w:r>
      <w:r w:rsidR="000B70FD">
        <w:t>ule</w:t>
      </w:r>
      <w:r w:rsidR="00D137F0" w:rsidRPr="00F745EE">
        <w:t xml:space="preserve"> 69 of the NGR. Capex is defined as costs and expenditure of a capital nature incurred to provide, or in providing, pipeline services</w:t>
      </w:r>
      <w:r w:rsidR="00666BA5">
        <w:t>.</w:t>
      </w:r>
    </w:p>
    <w:p w:rsidR="00D137F0" w:rsidRDefault="0033139B" w:rsidP="0033139B">
      <w:r>
        <w:t xml:space="preserve">Capex </w:t>
      </w:r>
      <w:r w:rsidR="00D137F0" w:rsidRPr="00A12F33">
        <w:t xml:space="preserve">based on a forecast or estimate </w:t>
      </w:r>
      <w:r>
        <w:t>must be</w:t>
      </w:r>
      <w:r w:rsidR="00D137F0" w:rsidRPr="00A12F33">
        <w:t xml:space="preserve"> supported by a statement of the basis of</w:t>
      </w:r>
      <w:r w:rsidR="00D137F0" w:rsidRPr="00F745EE">
        <w:t xml:space="preserve"> the fore</w:t>
      </w:r>
      <w:r>
        <w:t>cast or estimate (</w:t>
      </w:r>
      <w:r w:rsidR="00D137F0" w:rsidRPr="00F745EE">
        <w:t>r</w:t>
      </w:r>
      <w:r w:rsidR="000B70FD">
        <w:t>ule</w:t>
      </w:r>
      <w:r w:rsidR="00D137F0" w:rsidRPr="00F745EE">
        <w:t xml:space="preserve"> 74(1) of the NGR</w:t>
      </w:r>
      <w:r>
        <w:t>)</w:t>
      </w:r>
      <w:r w:rsidR="00D137F0" w:rsidRPr="00F745EE">
        <w:t>. In accordance with r</w:t>
      </w:r>
      <w:r w:rsidR="000B70FD">
        <w:t>ule</w:t>
      </w:r>
      <w:r w:rsidR="00D137F0" w:rsidRPr="00F745EE">
        <w:t xml:space="preserve"> 74(2) of the NGR, any forecast or estimate submitted must:</w:t>
      </w:r>
    </w:p>
    <w:p w:rsidR="00D137F0" w:rsidRPr="00F745EE" w:rsidRDefault="00D137F0" w:rsidP="0033139B">
      <w:pPr>
        <w:pStyle w:val="AERbulletlistfirststyle"/>
      </w:pPr>
      <w:r w:rsidRPr="00F745EE">
        <w:t xml:space="preserve">be </w:t>
      </w:r>
      <w:r w:rsidRPr="00452867">
        <w:t>arrived</w:t>
      </w:r>
      <w:r w:rsidRPr="00F745EE">
        <w:t xml:space="preserve"> at on a reasonable basis; and</w:t>
      </w:r>
    </w:p>
    <w:p w:rsidR="00D137F0" w:rsidRPr="00F745EE" w:rsidRDefault="00D137F0" w:rsidP="0033139B">
      <w:pPr>
        <w:pStyle w:val="AERbulletlistfirststyle"/>
      </w:pPr>
      <w:r w:rsidRPr="00452867">
        <w:t>represent</w:t>
      </w:r>
      <w:r w:rsidRPr="00F745EE">
        <w:t xml:space="preserve"> the best forecast or estimate possible in the circumstances.</w:t>
      </w:r>
    </w:p>
    <w:p w:rsidR="00D137F0" w:rsidRPr="00F745EE" w:rsidRDefault="0033139B" w:rsidP="0033139B">
      <w:r>
        <w:t xml:space="preserve">Capex will be ‘conforming’ if it </w:t>
      </w:r>
      <w:r w:rsidR="00D137F0" w:rsidRPr="00452867">
        <w:t>conforms</w:t>
      </w:r>
      <w:r w:rsidR="00D137F0" w:rsidRPr="00F745EE">
        <w:t xml:space="preserve"> with the </w:t>
      </w:r>
      <w:r w:rsidR="00D137F0">
        <w:t xml:space="preserve">new </w:t>
      </w:r>
      <w:r w:rsidR="00D137F0" w:rsidRPr="00F745EE">
        <w:t>capex criteria in r</w:t>
      </w:r>
      <w:r w:rsidR="000B70FD">
        <w:t>ule</w:t>
      </w:r>
      <w:r w:rsidR="00D137F0" w:rsidRPr="00F745EE">
        <w:t xml:space="preserve"> 79 of the NGR. There are two essential criteria that must both be met under this rule:</w:t>
      </w:r>
    </w:p>
    <w:p w:rsidR="00D137F0" w:rsidRPr="00452867" w:rsidRDefault="007903F2" w:rsidP="0033139B">
      <w:pPr>
        <w:pStyle w:val="AERbulletlistfirststyle"/>
      </w:pPr>
      <w:r>
        <w:t>t</w:t>
      </w:r>
      <w:r w:rsidR="00D137F0" w:rsidRPr="00F745EE">
        <w:t xml:space="preserve">he </w:t>
      </w:r>
      <w:r w:rsidR="00D137F0" w:rsidRPr="00452867">
        <w:t xml:space="preserve">expenditure must be such as would be incurred by a prudent service provider acting efficiently, in accordance with good industry practice, to achieve the lowest sustainable cost of providing services; and </w:t>
      </w:r>
    </w:p>
    <w:p w:rsidR="00D137F0" w:rsidRPr="00F745EE" w:rsidRDefault="007903F2" w:rsidP="0033139B">
      <w:pPr>
        <w:pStyle w:val="AERbulletlistfirststyle"/>
      </w:pPr>
      <w:r w:rsidRPr="00452867">
        <w:t>t</w:t>
      </w:r>
      <w:r w:rsidR="00D137F0" w:rsidRPr="00452867">
        <w:t>he expenditure</w:t>
      </w:r>
      <w:r w:rsidR="00D137F0" w:rsidRPr="00F745EE">
        <w:t xml:space="preserve"> must be justifiable on one of four grounds set out in r</w:t>
      </w:r>
      <w:r w:rsidR="000B70FD">
        <w:t>ule</w:t>
      </w:r>
      <w:r w:rsidR="00D137F0" w:rsidRPr="00F745EE">
        <w:t xml:space="preserve"> 79(2) of the NGR.</w:t>
      </w:r>
    </w:p>
    <w:p w:rsidR="00C47C15" w:rsidRPr="00C47C15" w:rsidRDefault="00D137F0" w:rsidP="00D137F0">
      <w:pPr>
        <w:rPr>
          <w:rStyle w:val="AERbody"/>
        </w:rPr>
      </w:pPr>
      <w:r w:rsidRPr="00F745EE">
        <w:t>The four grounds set out in r</w:t>
      </w:r>
      <w:r w:rsidR="000B70FD">
        <w:t>ule</w:t>
      </w:r>
      <w:r w:rsidRPr="00F745EE">
        <w:t xml:space="preserve"> 79(2) of the NGR can be summarised as follows. The capex must either:</w:t>
      </w:r>
    </w:p>
    <w:p w:rsidR="00D137F0" w:rsidRPr="00452867" w:rsidRDefault="00D137F0" w:rsidP="00452867">
      <w:pPr>
        <w:pStyle w:val="AERbulletlistfirststyle"/>
      </w:pPr>
      <w:r w:rsidRPr="00452867">
        <w:rPr>
          <w:rStyle w:val="AERbody"/>
        </w:rPr>
        <w:t>have an over</w:t>
      </w:r>
      <w:r w:rsidRPr="00452867">
        <w:t>all economic value that is positive</w:t>
      </w:r>
    </w:p>
    <w:p w:rsidR="00D137F0" w:rsidRPr="00452867" w:rsidRDefault="00D137F0" w:rsidP="00452867">
      <w:pPr>
        <w:pStyle w:val="AERbulletlistfirststyle"/>
      </w:pPr>
      <w:r w:rsidRPr="00452867">
        <w:t xml:space="preserve">demonstrate an expected present value of the incremental revenue that exceeds the </w:t>
      </w:r>
      <w:r w:rsidR="0033139B">
        <w:t xml:space="preserve">present value of the capital </w:t>
      </w:r>
      <w:r w:rsidRPr="00452867">
        <w:t>expenditure</w:t>
      </w:r>
    </w:p>
    <w:p w:rsidR="00D137F0" w:rsidRPr="00452867" w:rsidRDefault="00D137F0" w:rsidP="00452867">
      <w:pPr>
        <w:pStyle w:val="AERbulletlistfirststyle"/>
      </w:pPr>
      <w:r w:rsidRPr="00452867">
        <w:t>be necessary to maintain and improve the safety of services, or maintain the integrity of services, or comply with a regulatory obligation or requirement, or maintain capacity to meet levels of demand existing at the time the capex is incurred, or</w:t>
      </w:r>
    </w:p>
    <w:p w:rsidR="00D137F0" w:rsidRPr="00F745EE" w:rsidRDefault="00D137F0" w:rsidP="00452867">
      <w:pPr>
        <w:pStyle w:val="AERbulletlistfirststyle"/>
      </w:pPr>
      <w:r w:rsidRPr="00452867">
        <w:t>be justifiable as a combination of the preceding</w:t>
      </w:r>
      <w:r w:rsidRPr="00F745EE">
        <w:t xml:space="preserve"> two dot points.</w:t>
      </w:r>
    </w:p>
    <w:p w:rsidR="00D137F0" w:rsidRDefault="00D137F0" w:rsidP="00140D62">
      <w:r>
        <w:t>We have</w:t>
      </w:r>
      <w:r w:rsidRPr="00F745EE">
        <w:t xml:space="preserve"> limited discretion when making decisions under r</w:t>
      </w:r>
      <w:r w:rsidR="000B70FD">
        <w:t>ule</w:t>
      </w:r>
      <w:r w:rsidRPr="00F745EE">
        <w:t xml:space="preserve"> 79 of the NGR.</w:t>
      </w:r>
      <w:r w:rsidRPr="00F745EE">
        <w:rPr>
          <w:rStyle w:val="FootnoteReference"/>
          <w:rFonts w:eastAsia="Calibri"/>
        </w:rPr>
        <w:footnoteReference w:id="6"/>
      </w:r>
      <w:r w:rsidRPr="00F745EE">
        <w:t xml:space="preserve"> This means that </w:t>
      </w:r>
      <w:r>
        <w:t>we</w:t>
      </w:r>
      <w:r w:rsidRPr="00F745EE">
        <w:t xml:space="preserve"> must approve a particular element of the access arrangement proposal if </w:t>
      </w:r>
      <w:r>
        <w:t>we are</w:t>
      </w:r>
      <w:r w:rsidRPr="00F745EE">
        <w:t xml:space="preserve"> satisfied that that element complies with the applicable requirements of the NGR and NGL and is consistent with any criteria set out in the NGR or NGL.</w:t>
      </w:r>
      <w:r w:rsidRPr="00F745EE">
        <w:rPr>
          <w:rStyle w:val="FootnoteReference"/>
          <w:rFonts w:eastAsia="Calibri"/>
        </w:rPr>
        <w:footnoteReference w:id="7"/>
      </w:r>
    </w:p>
    <w:p w:rsidR="00C47C15" w:rsidRPr="005A6D57" w:rsidRDefault="00C47C15" w:rsidP="00C9745C">
      <w:pPr>
        <w:pStyle w:val="Heading3"/>
        <w:keepNext/>
      </w:pPr>
      <w:bookmarkStart w:id="25" w:name="_Toc404676545"/>
      <w:bookmarkStart w:id="26" w:name="_Toc404676595"/>
      <w:bookmarkStart w:id="27" w:name="_Toc436042752"/>
      <w:r w:rsidRPr="00452867">
        <w:lastRenderedPageBreak/>
        <w:t>Assessment</w:t>
      </w:r>
      <w:r w:rsidRPr="005A6D57">
        <w:t xml:space="preserve"> of conforming capital expenditure in the </w:t>
      </w:r>
      <w:r w:rsidR="006A555A">
        <w:t>2011–16</w:t>
      </w:r>
      <w:r w:rsidR="00452867">
        <w:t xml:space="preserve"> access arrangement period</w:t>
      </w:r>
      <w:bookmarkEnd w:id="25"/>
      <w:bookmarkEnd w:id="26"/>
      <w:bookmarkEnd w:id="27"/>
    </w:p>
    <w:p w:rsidR="00C47C15" w:rsidRPr="000A5610" w:rsidRDefault="00C47C15" w:rsidP="00452867">
      <w:r w:rsidRPr="00BA1C93">
        <w:t xml:space="preserve">In assessing </w:t>
      </w:r>
      <w:r w:rsidR="00BA1C93">
        <w:t>APTNT’s</w:t>
      </w:r>
      <w:r w:rsidRPr="00BA1C93">
        <w:t xml:space="preserve"> proposed</w:t>
      </w:r>
      <w:r w:rsidRPr="00F745EE">
        <w:rPr>
          <w:rStyle w:val="AERbody"/>
          <w:rFonts w:eastAsia="Calibri"/>
        </w:rPr>
        <w:t xml:space="preserve"> capex in the earlier access arrangement period, we reviewed </w:t>
      </w:r>
      <w:r w:rsidR="007971C9">
        <w:rPr>
          <w:rStyle w:val="AERbody"/>
          <w:rFonts w:eastAsia="Calibri"/>
        </w:rPr>
        <w:t>APTNT’s</w:t>
      </w:r>
      <w:r w:rsidRPr="00F745EE">
        <w:rPr>
          <w:rStyle w:val="AERbody"/>
          <w:rFonts w:eastAsia="Calibri"/>
        </w:rPr>
        <w:t xml:space="preserve"> supporting material. This included information on </w:t>
      </w:r>
      <w:r w:rsidR="004E4402">
        <w:rPr>
          <w:rStyle w:val="AERbody"/>
          <w:rFonts w:eastAsia="Calibri"/>
        </w:rPr>
        <w:t>APTNT’s</w:t>
      </w:r>
      <w:r w:rsidRPr="00F745EE">
        <w:rPr>
          <w:rStyle w:val="AERbody"/>
          <w:rFonts w:eastAsia="Calibri"/>
        </w:rPr>
        <w:t xml:space="preserve"> reasoning and, where relevant, business cases, </w:t>
      </w:r>
      <w:r w:rsidR="00452867">
        <w:rPr>
          <w:rStyle w:val="AERbody"/>
          <w:rFonts w:eastAsia="Calibri"/>
        </w:rPr>
        <w:t xml:space="preserve">responses to information requests </w:t>
      </w:r>
      <w:r w:rsidRPr="00F745EE">
        <w:rPr>
          <w:rStyle w:val="AERbody"/>
          <w:rFonts w:eastAsia="Calibri"/>
        </w:rPr>
        <w:t xml:space="preserve">and other relevant information. This information helped us identify whether capex over the </w:t>
      </w:r>
      <w:r w:rsidR="006A555A">
        <w:rPr>
          <w:rStyle w:val="AERbody"/>
          <w:rFonts w:eastAsia="Calibri"/>
        </w:rPr>
        <w:t>2011–16</w:t>
      </w:r>
      <w:r w:rsidRPr="00F745EE">
        <w:rPr>
          <w:rStyle w:val="AERbody"/>
          <w:rFonts w:eastAsia="Calibri"/>
        </w:rPr>
        <w:t xml:space="preserve"> access arrangement period was conforming capex and, in turn, whether that capex should be included in the opening cap</w:t>
      </w:r>
      <w:r w:rsidR="00714301">
        <w:rPr>
          <w:rStyle w:val="AERbody"/>
          <w:rFonts w:eastAsia="Calibri"/>
        </w:rPr>
        <w:t>ital base in accordance with rule </w:t>
      </w:r>
      <w:r w:rsidRPr="00F745EE">
        <w:rPr>
          <w:rStyle w:val="AERbody"/>
          <w:rFonts w:eastAsia="Calibri"/>
        </w:rPr>
        <w:t>77(2)(b) of the NGR.</w:t>
      </w:r>
      <w:r w:rsidR="00843CB1">
        <w:rPr>
          <w:rStyle w:val="AERbody"/>
          <w:rFonts w:eastAsia="Calibri"/>
        </w:rPr>
        <w:t xml:space="preserve"> Generally, our approach to assessing whether capex conforms with the new capex criteria of the NGR is the same for both historical and forecast or estimated capex. This approach is set out in more detail in section </w:t>
      </w:r>
      <w:r w:rsidR="00843CB1">
        <w:rPr>
          <w:rStyle w:val="AERbody"/>
          <w:rFonts w:eastAsia="Calibri"/>
        </w:rPr>
        <w:fldChar w:fldCharType="begin"/>
      </w:r>
      <w:r w:rsidR="00843CB1">
        <w:rPr>
          <w:rStyle w:val="AERbody"/>
          <w:rFonts w:eastAsia="Calibri"/>
        </w:rPr>
        <w:instrText xml:space="preserve"> REF _Ref432758648 \r </w:instrText>
      </w:r>
      <w:r w:rsidR="00843CB1">
        <w:rPr>
          <w:rStyle w:val="AERbody"/>
          <w:rFonts w:eastAsia="Calibri"/>
        </w:rPr>
        <w:fldChar w:fldCharType="separate"/>
      </w:r>
      <w:r w:rsidR="00F65E22">
        <w:rPr>
          <w:rStyle w:val="AERbody"/>
          <w:rFonts w:eastAsia="Calibri"/>
        </w:rPr>
        <w:t>6.3.3</w:t>
      </w:r>
      <w:r w:rsidR="00843CB1">
        <w:rPr>
          <w:rStyle w:val="AERbody"/>
          <w:rFonts w:eastAsia="Calibri"/>
        </w:rPr>
        <w:fldChar w:fldCharType="end"/>
      </w:r>
      <w:r w:rsidR="00843CB1">
        <w:rPr>
          <w:rStyle w:val="AERbody"/>
          <w:rFonts w:eastAsia="Calibri"/>
        </w:rPr>
        <w:t xml:space="preserve"> below.</w:t>
      </w:r>
    </w:p>
    <w:p w:rsidR="00C47C15" w:rsidRPr="004E4402" w:rsidRDefault="00C47C15" w:rsidP="004E4402">
      <w:r w:rsidRPr="000A5610">
        <w:t xml:space="preserve">We do not approve certain </w:t>
      </w:r>
      <w:r w:rsidR="00666BA5">
        <w:t>estimates</w:t>
      </w:r>
      <w:r w:rsidR="00666BA5" w:rsidRPr="000A5610">
        <w:t xml:space="preserve"> </w:t>
      </w:r>
      <w:r w:rsidRPr="000A5610">
        <w:t xml:space="preserve">and forecasts provided by </w:t>
      </w:r>
      <w:r w:rsidR="004E4402">
        <w:t xml:space="preserve">APTNT </w:t>
      </w:r>
      <w:r w:rsidRPr="00F745EE">
        <w:t>if the information does not meet the requirements set out in the NGR.</w:t>
      </w:r>
      <w:r w:rsidRPr="00F745EE">
        <w:rPr>
          <w:rStyle w:val="FootnoteReference"/>
        </w:rPr>
        <w:footnoteReference w:id="8"/>
      </w:r>
      <w:r w:rsidRPr="00F745EE">
        <w:t xml:space="preserve"> </w:t>
      </w:r>
      <w:r>
        <w:t>We must</w:t>
      </w:r>
      <w:r w:rsidRPr="00F745EE">
        <w:t xml:space="preserve"> exercise </w:t>
      </w:r>
      <w:r>
        <w:t>our</w:t>
      </w:r>
      <w:r w:rsidRPr="00F745EE">
        <w:t xml:space="preserve"> economic regulatory functions in a manner that will or is likely to contribute to the achievement of the NGO.</w:t>
      </w:r>
      <w:r w:rsidRPr="00F745EE">
        <w:rPr>
          <w:rStyle w:val="FootnoteReference"/>
        </w:rPr>
        <w:footnoteReference w:id="9"/>
      </w:r>
      <w:r w:rsidRPr="00F745EE">
        <w:t xml:space="preserve"> For instance, having regard to the NGO, </w:t>
      </w:r>
      <w:r>
        <w:t>we</w:t>
      </w:r>
      <w:r w:rsidRPr="00F745EE">
        <w:t xml:space="preserve"> take the view that a prudent service provider will seek cost efficiencies through continuous improvements, and that customers ultimately share in these benefits. This also provides the service provider with a reasonable opportunity to recover at least its efficient costs in accordance with the revenue and pricing principles. </w:t>
      </w:r>
    </w:p>
    <w:p w:rsidR="00C47C15" w:rsidRPr="004E4402" w:rsidRDefault="00C47C15" w:rsidP="004E4402">
      <w:r w:rsidRPr="004E4402">
        <w:t xml:space="preserve">Although the capital base roll forward relates to the </w:t>
      </w:r>
      <w:r w:rsidR="006A555A">
        <w:t>2011–16</w:t>
      </w:r>
      <w:r w:rsidRPr="00F745EE">
        <w:rPr>
          <w:rStyle w:val="AERbody"/>
        </w:rPr>
        <w:t xml:space="preserve"> access arrangement period, we are also required to adjust for the difference between actual and forecast capex in the capital base.</w:t>
      </w:r>
      <w:r w:rsidRPr="00F745EE">
        <w:rPr>
          <w:rStyle w:val="FootnoteReference"/>
        </w:rPr>
        <w:footnoteReference w:id="10"/>
      </w:r>
      <w:r w:rsidRPr="00F745EE">
        <w:rPr>
          <w:rStyle w:val="AERbody"/>
        </w:rPr>
        <w:t xml:space="preserve"> Generally, the final year of the previous access arrangement period is based on </w:t>
      </w:r>
      <w:r w:rsidR="00936E04">
        <w:rPr>
          <w:rStyle w:val="AERbody"/>
        </w:rPr>
        <w:t>estimated</w:t>
      </w:r>
      <w:r w:rsidR="00936E04" w:rsidRPr="00F745EE">
        <w:rPr>
          <w:rStyle w:val="AERbody"/>
        </w:rPr>
        <w:t xml:space="preserve"> </w:t>
      </w:r>
      <w:r w:rsidRPr="00F745EE">
        <w:rPr>
          <w:rStyle w:val="AERbody"/>
        </w:rPr>
        <w:t>capex (in this case, 20</w:t>
      </w:r>
      <w:r w:rsidR="00342B8C">
        <w:rPr>
          <w:rStyle w:val="AERbody"/>
        </w:rPr>
        <w:t>10</w:t>
      </w:r>
      <w:r w:rsidR="000B70FD">
        <w:rPr>
          <w:rStyle w:val="AERbody"/>
        </w:rPr>
        <w:noBreakHyphen/>
      </w:r>
      <w:r w:rsidRPr="00F745EE">
        <w:rPr>
          <w:rStyle w:val="AERbody"/>
        </w:rPr>
        <w:t>1</w:t>
      </w:r>
      <w:r w:rsidR="00342B8C">
        <w:rPr>
          <w:rStyle w:val="AERbody"/>
        </w:rPr>
        <w:t>1</w:t>
      </w:r>
      <w:r w:rsidRPr="00F745EE">
        <w:rPr>
          <w:rStyle w:val="AERbody"/>
        </w:rPr>
        <w:t>). Therefore, our assessment of conforming capex includes the regulatory years for 20</w:t>
      </w:r>
      <w:r w:rsidR="004E4402">
        <w:rPr>
          <w:rStyle w:val="AERbody"/>
        </w:rPr>
        <w:t>10</w:t>
      </w:r>
      <w:r w:rsidRPr="00F745EE">
        <w:rPr>
          <w:rStyle w:val="AERbody"/>
        </w:rPr>
        <w:t>–1</w:t>
      </w:r>
      <w:r w:rsidR="004E4402">
        <w:rPr>
          <w:rStyle w:val="AERbody"/>
        </w:rPr>
        <w:t>6</w:t>
      </w:r>
      <w:r w:rsidRPr="00F745EE">
        <w:rPr>
          <w:rStyle w:val="AERbody"/>
        </w:rPr>
        <w:t xml:space="preserve">. </w:t>
      </w:r>
      <w:r w:rsidR="00FB7114" w:rsidRPr="00FB7114">
        <w:t xml:space="preserve">We consider the following when determining the opening capital base for </w:t>
      </w:r>
      <w:r w:rsidR="006A555A">
        <w:t>2016–21</w:t>
      </w:r>
      <w:r w:rsidR="00FB7114" w:rsidRPr="00FB7114">
        <w:t>:</w:t>
      </w:r>
    </w:p>
    <w:p w:rsidR="00942B45" w:rsidRDefault="00C47C15" w:rsidP="00B64986">
      <w:pPr>
        <w:pStyle w:val="ListNumber"/>
      </w:pPr>
      <w:r w:rsidRPr="004E4402">
        <w:t>20</w:t>
      </w:r>
      <w:r w:rsidR="004E4402">
        <w:t>10</w:t>
      </w:r>
      <w:r w:rsidRPr="004E4402">
        <w:t>–1</w:t>
      </w:r>
      <w:r w:rsidR="004E4402">
        <w:t>1</w:t>
      </w:r>
      <w:r w:rsidRPr="00F745EE">
        <w:rPr>
          <w:rStyle w:val="AERbody"/>
        </w:rPr>
        <w:t xml:space="preserve"> capex—when conducting the previous access arrangement review, we did not yet have actual capex for 20</w:t>
      </w:r>
      <w:r w:rsidR="00F96B7B">
        <w:rPr>
          <w:rStyle w:val="AERbody"/>
        </w:rPr>
        <w:t>10</w:t>
      </w:r>
      <w:r w:rsidRPr="00F745EE">
        <w:rPr>
          <w:rStyle w:val="AERbody"/>
        </w:rPr>
        <w:t>–1</w:t>
      </w:r>
      <w:r w:rsidR="00F96B7B">
        <w:rPr>
          <w:rStyle w:val="AERbody"/>
        </w:rPr>
        <w:t>1</w:t>
      </w:r>
      <w:r w:rsidRPr="00F745EE">
        <w:rPr>
          <w:rStyle w:val="AERbody"/>
        </w:rPr>
        <w:t xml:space="preserve">. </w:t>
      </w:r>
      <w:r w:rsidR="00FB7114">
        <w:t>The NGR requires adjustment for differences between actual and estimated capex.</w:t>
      </w:r>
      <w:r w:rsidR="00FB7114">
        <w:rPr>
          <w:rStyle w:val="FootnoteReference"/>
        </w:rPr>
        <w:footnoteReference w:id="11"/>
      </w:r>
      <w:r w:rsidR="00FB7114">
        <w:t xml:space="preserve"> </w:t>
      </w:r>
      <w:r w:rsidRPr="00F745EE">
        <w:rPr>
          <w:rStyle w:val="AERbody"/>
        </w:rPr>
        <w:t xml:space="preserve">Since actual capex </w:t>
      </w:r>
      <w:r w:rsidR="00FB7114" w:rsidRPr="00F745EE">
        <w:rPr>
          <w:rStyle w:val="AERbody"/>
        </w:rPr>
        <w:t>for 20</w:t>
      </w:r>
      <w:r w:rsidR="00FB7114">
        <w:rPr>
          <w:rStyle w:val="AERbody"/>
        </w:rPr>
        <w:t>10</w:t>
      </w:r>
      <w:r w:rsidR="00FB7114" w:rsidRPr="00F745EE">
        <w:rPr>
          <w:rStyle w:val="AERbody"/>
        </w:rPr>
        <w:t>–1</w:t>
      </w:r>
      <w:r w:rsidR="00FB7114">
        <w:rPr>
          <w:rStyle w:val="AERbody"/>
        </w:rPr>
        <w:t>1</w:t>
      </w:r>
      <w:r w:rsidR="00942B45">
        <w:rPr>
          <w:rStyle w:val="AERbody"/>
        </w:rPr>
        <w:t xml:space="preserve"> </w:t>
      </w:r>
      <w:r w:rsidRPr="00F745EE">
        <w:rPr>
          <w:rStyle w:val="AERbody"/>
        </w:rPr>
        <w:t xml:space="preserve">is now available, </w:t>
      </w:r>
      <w:r w:rsidR="00942B45">
        <w:t>we have</w:t>
      </w:r>
      <w:r w:rsidR="00942B45" w:rsidRPr="00942B45">
        <w:t xml:space="preserve"> assess</w:t>
      </w:r>
      <w:r w:rsidR="00942B45">
        <w:t>ed</w:t>
      </w:r>
      <w:r w:rsidR="00942B45" w:rsidRPr="00942B45">
        <w:t xml:space="preserve"> whether this capex is conforming capex under the NGR.</w:t>
      </w:r>
      <w:r w:rsidR="00942B45">
        <w:t xml:space="preserve"> </w:t>
      </w:r>
    </w:p>
    <w:p w:rsidR="00942B45" w:rsidRDefault="00AE54C2" w:rsidP="00B64986">
      <w:pPr>
        <w:pStyle w:val="ListNumber"/>
      </w:pPr>
      <w:r w:rsidRPr="00F745EE">
        <w:rPr>
          <w:rStyle w:val="AERbody"/>
        </w:rPr>
        <w:t>201</w:t>
      </w:r>
      <w:r w:rsidR="00D76C03">
        <w:rPr>
          <w:rStyle w:val="AERbody"/>
        </w:rPr>
        <w:t>1</w:t>
      </w:r>
      <w:r w:rsidRPr="00F745EE">
        <w:rPr>
          <w:rStyle w:val="AERbody"/>
        </w:rPr>
        <w:t>–1</w:t>
      </w:r>
      <w:r w:rsidR="00942B45">
        <w:rPr>
          <w:rStyle w:val="AERbody"/>
        </w:rPr>
        <w:t>5</w:t>
      </w:r>
      <w:r w:rsidRPr="00F745EE">
        <w:rPr>
          <w:rStyle w:val="AERbody"/>
        </w:rPr>
        <w:t xml:space="preserve"> capex—</w:t>
      </w:r>
      <w:r w:rsidR="00942B45" w:rsidRPr="00942B45">
        <w:t xml:space="preserve"> </w:t>
      </w:r>
      <w:r w:rsidR="00942B45">
        <w:t xml:space="preserve">since we have actual capex </w:t>
      </w:r>
      <w:r w:rsidR="00E6745A">
        <w:t xml:space="preserve">data </w:t>
      </w:r>
      <w:r w:rsidR="00942B45">
        <w:t>for these years, we have assessed whether this is conforming capex under the NGR.</w:t>
      </w:r>
      <w:r w:rsidR="00942B45">
        <w:rPr>
          <w:rStyle w:val="FootnoteReference"/>
        </w:rPr>
        <w:footnoteReference w:id="12"/>
      </w:r>
      <w:r w:rsidR="00942B45">
        <w:t xml:space="preserve"> We have included conforming capex in the capital base roll forward.</w:t>
      </w:r>
      <w:r w:rsidR="00942B45">
        <w:rPr>
          <w:rStyle w:val="FootnoteReference"/>
        </w:rPr>
        <w:footnoteReference w:id="13"/>
      </w:r>
    </w:p>
    <w:p w:rsidR="00C47C15" w:rsidRPr="00887302" w:rsidRDefault="00D76C03" w:rsidP="00B64986">
      <w:pPr>
        <w:pStyle w:val="ListNumber"/>
      </w:pPr>
      <w:r w:rsidRPr="00F745EE">
        <w:rPr>
          <w:rStyle w:val="AERbody"/>
        </w:rPr>
        <w:lastRenderedPageBreak/>
        <w:t>201</w:t>
      </w:r>
      <w:r>
        <w:rPr>
          <w:rStyle w:val="AERbody"/>
        </w:rPr>
        <w:t>5</w:t>
      </w:r>
      <w:r w:rsidRPr="00F745EE">
        <w:rPr>
          <w:rStyle w:val="AERbody"/>
        </w:rPr>
        <w:t>–1</w:t>
      </w:r>
      <w:r>
        <w:rPr>
          <w:rStyle w:val="AERbody"/>
        </w:rPr>
        <w:t>6</w:t>
      </w:r>
      <w:r w:rsidRPr="00F745EE">
        <w:rPr>
          <w:rStyle w:val="AERbody"/>
        </w:rPr>
        <w:t xml:space="preserve"> capex—for this access arrangement review, we do not yet have actual capex for 201</w:t>
      </w:r>
      <w:r>
        <w:rPr>
          <w:rStyle w:val="AERbody"/>
        </w:rPr>
        <w:t>5</w:t>
      </w:r>
      <w:r w:rsidRPr="00F745EE">
        <w:rPr>
          <w:rStyle w:val="AERbody"/>
        </w:rPr>
        <w:t>–1</w:t>
      </w:r>
      <w:r>
        <w:rPr>
          <w:rStyle w:val="AERbody"/>
        </w:rPr>
        <w:t>6</w:t>
      </w:r>
      <w:r w:rsidR="00E6745A">
        <w:rPr>
          <w:rStyle w:val="AERbody"/>
        </w:rPr>
        <w:t xml:space="preserve"> and so must rely on an estimate</w:t>
      </w:r>
      <w:r w:rsidRPr="00F745EE">
        <w:rPr>
          <w:rStyle w:val="AERbody"/>
        </w:rPr>
        <w:t xml:space="preserve">. </w:t>
      </w:r>
      <w:r w:rsidR="00942B45">
        <w:t>For this decision, we have</w:t>
      </w:r>
      <w:r w:rsidR="00942B45" w:rsidRPr="00942B45">
        <w:t xml:space="preserve"> assess</w:t>
      </w:r>
      <w:r w:rsidR="00942B45">
        <w:t>ed whether this estimate is</w:t>
      </w:r>
      <w:r w:rsidR="00942B45" w:rsidRPr="00942B45">
        <w:t xml:space="preserve"> conforming capex under the NGR.</w:t>
      </w:r>
      <w:r w:rsidR="00942B45">
        <w:t xml:space="preserve"> </w:t>
      </w:r>
      <w:r w:rsidRPr="00F745EE">
        <w:rPr>
          <w:rStyle w:val="AERbody"/>
        </w:rPr>
        <w:t xml:space="preserve">At the next access arrangement review, we will assess whether </w:t>
      </w:r>
      <w:r>
        <w:rPr>
          <w:rStyle w:val="AERbody"/>
        </w:rPr>
        <w:t>APTNT’s</w:t>
      </w:r>
      <w:r w:rsidRPr="00F745EE">
        <w:rPr>
          <w:rStyle w:val="AERbody"/>
        </w:rPr>
        <w:t xml:space="preserve"> actual capex for 201</w:t>
      </w:r>
      <w:r>
        <w:rPr>
          <w:rStyle w:val="AERbody"/>
        </w:rPr>
        <w:t>5</w:t>
      </w:r>
      <w:r w:rsidRPr="00F745EE">
        <w:rPr>
          <w:rStyle w:val="AERbody"/>
        </w:rPr>
        <w:t>–1</w:t>
      </w:r>
      <w:r>
        <w:rPr>
          <w:rStyle w:val="AERbody"/>
        </w:rPr>
        <w:t>6</w:t>
      </w:r>
      <w:r w:rsidRPr="00F745EE">
        <w:rPr>
          <w:rStyle w:val="AERbody"/>
        </w:rPr>
        <w:t xml:space="preserve"> is conforming capex under the NGR</w:t>
      </w:r>
      <w:r w:rsidR="00802753">
        <w:rPr>
          <w:rStyle w:val="AERbody"/>
        </w:rPr>
        <w:t>, and adjust for any differences between actual and estimated capex</w:t>
      </w:r>
      <w:r w:rsidRPr="00F745EE">
        <w:rPr>
          <w:rStyle w:val="AERbody"/>
        </w:rPr>
        <w:t>.</w:t>
      </w:r>
      <w:r w:rsidRPr="00F745EE">
        <w:rPr>
          <w:rStyle w:val="FootnoteReference"/>
        </w:rPr>
        <w:footnoteReference w:id="14"/>
      </w:r>
    </w:p>
    <w:p w:rsidR="00887302" w:rsidRPr="00F745EE" w:rsidRDefault="00887302" w:rsidP="00F11395">
      <w:pPr>
        <w:pStyle w:val="Heading3"/>
        <w:keepNext/>
        <w:rPr>
          <w:rFonts w:eastAsia="Calibri"/>
        </w:rPr>
      </w:pPr>
      <w:bookmarkStart w:id="28" w:name="_Ref432758648"/>
      <w:bookmarkStart w:id="29" w:name="_Toc436042753"/>
      <w:r w:rsidRPr="00FB7114">
        <w:t>Assess</w:t>
      </w:r>
      <w:r w:rsidR="00843CB1">
        <w:t>ment of</w:t>
      </w:r>
      <w:r w:rsidRPr="00F745EE">
        <w:rPr>
          <w:rFonts w:eastAsia="Calibri"/>
        </w:rPr>
        <w:t xml:space="preserve"> forecast capex for the 201</w:t>
      </w:r>
      <w:r>
        <w:rPr>
          <w:rFonts w:eastAsia="Calibri"/>
        </w:rPr>
        <w:t>6</w:t>
      </w:r>
      <w:r w:rsidR="0032658E">
        <w:rPr>
          <w:rFonts w:eastAsia="Calibri"/>
        </w:rPr>
        <w:t>–</w:t>
      </w:r>
      <w:r>
        <w:rPr>
          <w:rFonts w:eastAsia="Calibri"/>
        </w:rPr>
        <w:t>21</w:t>
      </w:r>
      <w:r w:rsidRPr="00F745EE">
        <w:rPr>
          <w:rFonts w:eastAsia="Calibri"/>
        </w:rPr>
        <w:t xml:space="preserve"> </w:t>
      </w:r>
      <w:r>
        <w:rPr>
          <w:rFonts w:eastAsia="Calibri"/>
        </w:rPr>
        <w:t xml:space="preserve">access arrangement </w:t>
      </w:r>
      <w:r w:rsidRPr="00F745EE">
        <w:rPr>
          <w:rFonts w:eastAsia="Calibri"/>
        </w:rPr>
        <w:t>period</w:t>
      </w:r>
      <w:bookmarkEnd w:id="28"/>
      <w:bookmarkEnd w:id="29"/>
    </w:p>
    <w:p w:rsidR="00802753" w:rsidRPr="00F745EE" w:rsidRDefault="00802753" w:rsidP="00802753">
      <w:pPr>
        <w:rPr>
          <w:rStyle w:val="AERbody"/>
        </w:rPr>
      </w:pPr>
      <w:r w:rsidRPr="00D76C03">
        <w:t>We assessed the key</w:t>
      </w:r>
      <w:r w:rsidRPr="00F745EE">
        <w:rPr>
          <w:rStyle w:val="AERbody"/>
          <w:rFonts w:eastAsia="Calibri"/>
        </w:rPr>
        <w:t xml:space="preserve"> drivers </w:t>
      </w:r>
      <w:r>
        <w:rPr>
          <w:rStyle w:val="AERbody"/>
          <w:rFonts w:eastAsia="Calibri"/>
        </w:rPr>
        <w:t>of forecast</w:t>
      </w:r>
      <w:r w:rsidRPr="00F745EE">
        <w:rPr>
          <w:rStyle w:val="AERbody"/>
          <w:rFonts w:eastAsia="Calibri"/>
        </w:rPr>
        <w:t xml:space="preserve"> capex to </w:t>
      </w:r>
      <w:r w:rsidR="00D86287">
        <w:rPr>
          <w:rStyle w:val="AERbody"/>
          <w:rFonts w:eastAsia="Calibri"/>
        </w:rPr>
        <w:t>consider</w:t>
      </w:r>
      <w:r w:rsidRPr="00F745EE">
        <w:rPr>
          <w:rStyle w:val="AERbody"/>
          <w:rFonts w:eastAsia="Calibri"/>
        </w:rPr>
        <w:t xml:space="preserve"> whether </w:t>
      </w:r>
      <w:r>
        <w:rPr>
          <w:rStyle w:val="AERbody"/>
          <w:rFonts w:eastAsia="Calibri"/>
        </w:rPr>
        <w:t>APTNT</w:t>
      </w:r>
      <w:r w:rsidRPr="00F745EE">
        <w:rPr>
          <w:rStyle w:val="AERbody"/>
          <w:rFonts w:eastAsia="Calibri"/>
        </w:rPr>
        <w:t>’s proposed capex in the projected capital base compli</w:t>
      </w:r>
      <w:r>
        <w:rPr>
          <w:rStyle w:val="AERbody"/>
          <w:rFonts w:eastAsia="Calibri"/>
        </w:rPr>
        <w:t>es with the capex criteria in rule 79(1)</w:t>
      </w:r>
      <w:r w:rsidRPr="00F745EE">
        <w:rPr>
          <w:rStyle w:val="AERbody"/>
          <w:rFonts w:eastAsia="Calibri"/>
        </w:rPr>
        <w:t xml:space="preserve"> of the NGR. In doing so, we relied on </w:t>
      </w:r>
      <w:r w:rsidRPr="00F745EE">
        <w:rPr>
          <w:rStyle w:val="AERbody"/>
        </w:rPr>
        <w:t>information</w:t>
      </w:r>
      <w:r w:rsidR="00E6745A">
        <w:rPr>
          <w:rStyle w:val="AERbody"/>
        </w:rPr>
        <w:t>, including</w:t>
      </w:r>
      <w:r w:rsidRPr="00F745EE">
        <w:rPr>
          <w:rStyle w:val="AERbody"/>
        </w:rPr>
        <w:t>:</w:t>
      </w:r>
    </w:p>
    <w:p w:rsidR="00802753" w:rsidRPr="00F745EE" w:rsidRDefault="00802753" w:rsidP="00802753">
      <w:pPr>
        <w:pStyle w:val="AERbulletlistfirststyle"/>
      </w:pPr>
      <w:r>
        <w:t>th</w:t>
      </w:r>
      <w:r w:rsidRPr="00F745EE">
        <w:t xml:space="preserve">e </w:t>
      </w:r>
      <w:r w:rsidR="00440867">
        <w:t>access a</w:t>
      </w:r>
      <w:r>
        <w:t>rrangement revision submissi</w:t>
      </w:r>
      <w:r w:rsidR="00440867">
        <w:t>on and a</w:t>
      </w:r>
      <w:r w:rsidRPr="00F745EE">
        <w:t xml:space="preserve">ccess </w:t>
      </w:r>
      <w:r w:rsidR="00440867">
        <w:t>a</w:t>
      </w:r>
      <w:r w:rsidRPr="00F745EE">
        <w:t xml:space="preserve">rrangement </w:t>
      </w:r>
      <w:r w:rsidR="00440867">
        <w:t>i</w:t>
      </w:r>
      <w:r w:rsidRPr="00F745EE">
        <w:t>nformation (AAI) - th</w:t>
      </w:r>
      <w:r>
        <w:t>ese</w:t>
      </w:r>
      <w:r w:rsidRPr="00F745EE">
        <w:t xml:space="preserve"> document</w:t>
      </w:r>
      <w:r>
        <w:t>s</w:t>
      </w:r>
      <w:r w:rsidRPr="00F745EE">
        <w:t xml:space="preserve"> outline </w:t>
      </w:r>
      <w:r>
        <w:t>APTNT’s</w:t>
      </w:r>
      <w:r w:rsidRPr="00F745EE">
        <w:t xml:space="preserve"> program </w:t>
      </w:r>
      <w:r w:rsidR="00440867">
        <w:t>and main drivers</w:t>
      </w:r>
      <w:r w:rsidR="00440867" w:rsidRPr="00F745EE">
        <w:t xml:space="preserve"> </w:t>
      </w:r>
      <w:r w:rsidRPr="00F745EE">
        <w:t>of c</w:t>
      </w:r>
      <w:r w:rsidR="00016EE5">
        <w:t>apital expenditure</w:t>
      </w:r>
      <w:r w:rsidRPr="00F745EE">
        <w:rPr>
          <w:rStyle w:val="FootnoteReference"/>
        </w:rPr>
        <w:footnoteReference w:id="15"/>
      </w:r>
    </w:p>
    <w:p w:rsidR="00802753" w:rsidRPr="00F745EE" w:rsidRDefault="00802753" w:rsidP="00802753">
      <w:pPr>
        <w:pStyle w:val="AERbulletlistfirststyle"/>
      </w:pPr>
      <w:r>
        <w:t>t</w:t>
      </w:r>
      <w:r w:rsidRPr="00F745EE">
        <w:t xml:space="preserve">he </w:t>
      </w:r>
      <w:r w:rsidR="00440867">
        <w:t xml:space="preserve">Amadeus Gas Pipeline </w:t>
      </w:r>
      <w:r w:rsidRPr="00440867">
        <w:t>Asset Management Plan</w:t>
      </w:r>
      <w:r w:rsidR="00440867">
        <w:t>, Pipeline Integrity Management Plan</w:t>
      </w:r>
      <w:r w:rsidRPr="00440867">
        <w:t xml:space="preserve"> and </w:t>
      </w:r>
      <w:r w:rsidR="00D87E3F">
        <w:t xml:space="preserve">associated </w:t>
      </w:r>
      <w:r w:rsidRPr="00440867">
        <w:t xml:space="preserve">appendices </w:t>
      </w:r>
      <w:r w:rsidR="00D87E3F">
        <w:t>and reports which provide</w:t>
      </w:r>
      <w:r w:rsidRPr="00440867">
        <w:t xml:space="preserve"> specific expenditur</w:t>
      </w:r>
      <w:r w:rsidRPr="00F745EE">
        <w:t xml:space="preserve">e </w:t>
      </w:r>
      <w:r w:rsidR="00440867">
        <w:t xml:space="preserve">or technical </w:t>
      </w:r>
      <w:r w:rsidRPr="00F745EE">
        <w:t>detail</w:t>
      </w:r>
      <w:r w:rsidRPr="00F745EE">
        <w:rPr>
          <w:rStyle w:val="FootnoteReference"/>
        </w:rPr>
        <w:footnoteReference w:id="16"/>
      </w:r>
    </w:p>
    <w:p w:rsidR="00440867" w:rsidRPr="00F745EE" w:rsidRDefault="00440867" w:rsidP="00440867">
      <w:pPr>
        <w:pStyle w:val="AERbulletlistfirststyle"/>
        <w:rPr>
          <w:rFonts w:eastAsia="Calibri"/>
        </w:rPr>
      </w:pPr>
      <w:r w:rsidRPr="00802753">
        <w:t>business</w:t>
      </w:r>
      <w:r>
        <w:t xml:space="preserve"> cases which detail expenditure requirements for specific projects</w:t>
      </w:r>
    </w:p>
    <w:p w:rsidR="00802753" w:rsidRPr="00F745EE" w:rsidRDefault="00802753" w:rsidP="00802753">
      <w:pPr>
        <w:pStyle w:val="AERbulletlistfirststyle"/>
      </w:pPr>
      <w:r w:rsidRPr="00802753">
        <w:t>APTNT</w:t>
      </w:r>
      <w:r w:rsidR="00440867">
        <w:t>’s</w:t>
      </w:r>
      <w:r>
        <w:t xml:space="preserve"> </w:t>
      </w:r>
      <w:r w:rsidRPr="00F745EE">
        <w:t>RIN template</w:t>
      </w:r>
      <w:r w:rsidR="00440867">
        <w:t xml:space="preserve"> response</w:t>
      </w:r>
      <w:r w:rsidRPr="00F745EE">
        <w:rPr>
          <w:rStyle w:val="FootnoteReference"/>
        </w:rPr>
        <w:footnoteReference w:id="17"/>
      </w:r>
    </w:p>
    <w:p w:rsidR="00802753" w:rsidRPr="00D87E3F" w:rsidRDefault="00440867" w:rsidP="00802753">
      <w:pPr>
        <w:pStyle w:val="AERbulletlistfirststyle"/>
        <w:rPr>
          <w:rFonts w:eastAsia="Calibri"/>
        </w:rPr>
      </w:pPr>
      <w:r>
        <w:t xml:space="preserve">APTNT’s </w:t>
      </w:r>
      <w:r w:rsidR="00802753" w:rsidRPr="00802753">
        <w:t>capex</w:t>
      </w:r>
      <w:r w:rsidR="00802753" w:rsidRPr="00F745EE">
        <w:t xml:space="preserve"> </w:t>
      </w:r>
      <w:r w:rsidR="00802753" w:rsidRPr="00942B45">
        <w:t>forecast</w:t>
      </w:r>
      <w:r w:rsidR="00802753" w:rsidRPr="00F745EE">
        <w:t xml:space="preserve"> model</w:t>
      </w:r>
      <w:r w:rsidR="00802753" w:rsidRPr="00F745EE">
        <w:rPr>
          <w:rStyle w:val="FootnoteReference"/>
        </w:rPr>
        <w:footnoteReference w:id="18"/>
      </w:r>
    </w:p>
    <w:p w:rsidR="00D87E3F" w:rsidRPr="00E64769" w:rsidRDefault="00D87E3F" w:rsidP="00802753">
      <w:pPr>
        <w:pStyle w:val="AERbulletlistfirststyle"/>
        <w:rPr>
          <w:rFonts w:eastAsia="Calibri"/>
        </w:rPr>
      </w:pPr>
      <w:r>
        <w:t>net present value (NPV) analyses of incremental revenue associated with expansion projects</w:t>
      </w:r>
    </w:p>
    <w:p w:rsidR="00802753" w:rsidRPr="00F745EE" w:rsidRDefault="00802753" w:rsidP="00802753">
      <w:pPr>
        <w:pStyle w:val="AERbulletlistfirststyle"/>
        <w:rPr>
          <w:rFonts w:eastAsia="Calibri"/>
        </w:rPr>
      </w:pPr>
      <w:r w:rsidRPr="00802753">
        <w:t>engineering</w:t>
      </w:r>
      <w:r>
        <w:t xml:space="preserve"> advice </w:t>
      </w:r>
      <w:r w:rsidR="00E6745A">
        <w:t xml:space="preserve">we commissioned </w:t>
      </w:r>
      <w:r>
        <w:t xml:space="preserve">from Sleeman Consulting to assist in assessing the prudency and efficiency of selected projects in </w:t>
      </w:r>
      <w:r w:rsidR="00D87E3F">
        <w:t xml:space="preserve">both </w:t>
      </w:r>
      <w:r>
        <w:t xml:space="preserve">the </w:t>
      </w:r>
      <w:r w:rsidR="006A555A">
        <w:t>2011–16</w:t>
      </w:r>
      <w:r w:rsidR="00D87E3F">
        <w:t xml:space="preserve"> access arrangement period and the </w:t>
      </w:r>
      <w:r w:rsidR="006A555A">
        <w:t>2016–21</w:t>
      </w:r>
      <w:r>
        <w:t xml:space="preserve"> access arrangement period.</w:t>
      </w:r>
      <w:r>
        <w:rPr>
          <w:rStyle w:val="FootnoteReference"/>
        </w:rPr>
        <w:footnoteReference w:id="19"/>
      </w:r>
    </w:p>
    <w:p w:rsidR="00802753" w:rsidRPr="00F745EE" w:rsidRDefault="00802753" w:rsidP="00802753">
      <w:r w:rsidRPr="00F745EE">
        <w:t>For analysis purposes</w:t>
      </w:r>
      <w:r>
        <w:t>,</w:t>
      </w:r>
      <w:r w:rsidRPr="00F745EE">
        <w:t xml:space="preserve"> the capex was broken into categories depending on whether the expenditure is driven by:</w:t>
      </w:r>
    </w:p>
    <w:p w:rsidR="00802753" w:rsidRPr="00942B45" w:rsidRDefault="00936E04" w:rsidP="00802753">
      <w:pPr>
        <w:pStyle w:val="AERbulletlistfirststyle"/>
      </w:pPr>
      <w:r>
        <w:lastRenderedPageBreak/>
        <w:t>e</w:t>
      </w:r>
      <w:r w:rsidR="00802753" w:rsidRPr="00802753">
        <w:t>xpansion</w:t>
      </w:r>
      <w:r w:rsidR="00802753">
        <w:t>—</w:t>
      </w:r>
      <w:r w:rsidR="00802753" w:rsidRPr="00942B45">
        <w:t>required to expand the capacity of the pipeline to meet demand both within the access arrangement period and beyond</w:t>
      </w:r>
    </w:p>
    <w:p w:rsidR="00802753" w:rsidRPr="00942B45" w:rsidRDefault="00936E04" w:rsidP="00802753">
      <w:pPr>
        <w:pStyle w:val="AERbulletlistfirststyle"/>
      </w:pPr>
      <w:r>
        <w:t>r</w:t>
      </w:r>
      <w:r w:rsidR="00802753" w:rsidRPr="00802753">
        <w:t>eplacement</w:t>
      </w:r>
      <w:r w:rsidR="00802753">
        <w:t>—</w:t>
      </w:r>
      <w:r w:rsidR="00802753" w:rsidRPr="00714301">
        <w:t>on the basis of asset life, obsolescence, safety or regulatory obligations</w:t>
      </w:r>
      <w:r w:rsidR="00802753">
        <w:t>,</w:t>
      </w:r>
      <w:r w:rsidR="00802753" w:rsidRPr="00714301">
        <w:t xml:space="preserve"> </w:t>
      </w:r>
      <w:r w:rsidR="00802753" w:rsidRPr="00942B45">
        <w:t>which is required to maintain the integrity of the pipeline, or</w:t>
      </w:r>
    </w:p>
    <w:p w:rsidR="00802753" w:rsidRPr="00F745EE" w:rsidRDefault="00936E04" w:rsidP="00802753">
      <w:pPr>
        <w:pStyle w:val="AERbulletlistfirststyle"/>
      </w:pPr>
      <w:r>
        <w:t>n</w:t>
      </w:r>
      <w:r w:rsidR="00802753" w:rsidRPr="00942B45">
        <w:t>on-</w:t>
      </w:r>
      <w:r w:rsidR="00802753" w:rsidRPr="00802753">
        <w:t>system</w:t>
      </w:r>
      <w:r w:rsidR="00802753" w:rsidRPr="00942B45">
        <w:t xml:space="preserve"> capital</w:t>
      </w:r>
      <w:r w:rsidR="00802753">
        <w:t xml:space="preserve"> expenditure—relating</w:t>
      </w:r>
      <w:r w:rsidR="00802753" w:rsidRPr="003C54C6">
        <w:t xml:space="preserve"> to capital required for replacement of</w:t>
      </w:r>
      <w:r w:rsidR="00802753">
        <w:t xml:space="preserve"> </w:t>
      </w:r>
      <w:r w:rsidR="00802753" w:rsidRPr="003C54C6">
        <w:t xml:space="preserve">items such as </w:t>
      </w:r>
      <w:r w:rsidR="00802753">
        <w:t xml:space="preserve">motor vehicles, </w:t>
      </w:r>
      <w:r w:rsidR="00802753" w:rsidRPr="003C54C6">
        <w:t xml:space="preserve">office furniture and </w:t>
      </w:r>
      <w:r w:rsidR="00802753">
        <w:t>IT systems</w:t>
      </w:r>
      <w:r w:rsidR="00802753" w:rsidRPr="00F745EE">
        <w:t xml:space="preserve">. </w:t>
      </w:r>
    </w:p>
    <w:p w:rsidR="0081714E" w:rsidRDefault="0081714E" w:rsidP="00802753">
      <w:r>
        <w:t>We</w:t>
      </w:r>
      <w:r w:rsidRPr="00F745EE">
        <w:t xml:space="preserve"> assessed the prudency and efficiency of the proposed capex</w:t>
      </w:r>
      <w:r>
        <w:t>, to determine whether the capex is such as would be incurred by a prudent operator acting efficiently, in accordance with accepted good industry practice, to achieve the lowest sustainable cost of providing services</w:t>
      </w:r>
      <w:r w:rsidRPr="00F745EE">
        <w:t>.</w:t>
      </w:r>
      <w:r w:rsidR="00016EE5">
        <w:rPr>
          <w:rStyle w:val="FootnoteReference"/>
        </w:rPr>
        <w:footnoteReference w:id="20"/>
      </w:r>
      <w:r w:rsidRPr="00F745EE">
        <w:t xml:space="preserve"> </w:t>
      </w:r>
      <w:r w:rsidR="00016EE5">
        <w:t>W</w:t>
      </w:r>
      <w:r w:rsidR="00016EE5" w:rsidRPr="00F745EE">
        <w:t xml:space="preserve">e </w:t>
      </w:r>
      <w:r w:rsidR="00016EE5">
        <w:t xml:space="preserve">also </w:t>
      </w:r>
      <w:r w:rsidR="00016EE5" w:rsidRPr="00F745EE">
        <w:t>assessed whether the proposed capex is justified on one of the four grounds under NGR r. 79(2).</w:t>
      </w:r>
    </w:p>
    <w:p w:rsidR="00802753" w:rsidRDefault="00802753" w:rsidP="0081714E">
      <w:pPr>
        <w:rPr>
          <w:rFonts w:eastAsia="Calibri"/>
        </w:rPr>
      </w:pPr>
      <w:r w:rsidRPr="00F745EE">
        <w:t xml:space="preserve">For each category of expenditure the scope, timing and cost of the proposed expenditure was considered in order to form a view on the prudency and efficiency of the expenditure. </w:t>
      </w:r>
      <w:r w:rsidR="0081714E">
        <w:t>Our</w:t>
      </w:r>
      <w:r w:rsidRPr="00F745EE">
        <w:t xml:space="preserve"> assessment also considered whether cost forecasts have been arrived at on a reasonable basis and represent the best forecast possible in the circumstances.</w:t>
      </w:r>
      <w:r w:rsidR="00016EE5">
        <w:rPr>
          <w:rStyle w:val="FootnoteReference"/>
        </w:rPr>
        <w:footnoteReference w:id="21"/>
      </w:r>
    </w:p>
    <w:p w:rsidR="00887302" w:rsidRDefault="00887302" w:rsidP="006C48AF">
      <w:pPr>
        <w:pStyle w:val="Heading3"/>
      </w:pPr>
      <w:bookmarkStart w:id="30" w:name="_Toc404676547"/>
      <w:bookmarkStart w:id="31" w:name="_Toc404676597"/>
      <w:bookmarkStart w:id="32" w:name="_Toc436042754"/>
      <w:r w:rsidRPr="006C48AF">
        <w:t>Interrelationships</w:t>
      </w:r>
      <w:bookmarkEnd w:id="30"/>
      <w:bookmarkEnd w:id="31"/>
      <w:bookmarkEnd w:id="32"/>
    </w:p>
    <w:p w:rsidR="00887302" w:rsidRPr="00553F2C" w:rsidRDefault="00887302" w:rsidP="006C48AF">
      <w:r w:rsidRPr="00553F2C">
        <w:t xml:space="preserve">In assessing </w:t>
      </w:r>
      <w:r w:rsidR="00765765">
        <w:t>APTNT’s</w:t>
      </w:r>
      <w:r w:rsidRPr="00553F2C">
        <w:t xml:space="preserve"> total forecast </w:t>
      </w:r>
      <w:r w:rsidR="00765765">
        <w:t>cap</w:t>
      </w:r>
      <w:r w:rsidRPr="00553F2C">
        <w:t>ex we took into account ot</w:t>
      </w:r>
      <w:r w:rsidR="0033139B">
        <w:t>her components of its access arrangement</w:t>
      </w:r>
      <w:r w:rsidRPr="00553F2C">
        <w:t xml:space="preserve"> proposal, including:</w:t>
      </w:r>
    </w:p>
    <w:p w:rsidR="00887302" w:rsidRPr="006C48AF" w:rsidRDefault="00887302" w:rsidP="006C48AF">
      <w:pPr>
        <w:pStyle w:val="AERbulletlistfirststyle"/>
      </w:pPr>
      <w:r w:rsidRPr="00553F2C">
        <w:t xml:space="preserve">the </w:t>
      </w:r>
      <w:r w:rsidRPr="006C48AF">
        <w:t xml:space="preserve">trade-off between potential capex and opex solutions in our assessment of </w:t>
      </w:r>
      <w:r w:rsidR="00765765" w:rsidRPr="006C48AF">
        <w:t>APTNT’s</w:t>
      </w:r>
      <w:r w:rsidR="0032658E">
        <w:t xml:space="preserve"> proposed capex</w:t>
      </w:r>
    </w:p>
    <w:p w:rsidR="00E6745A" w:rsidRDefault="00765765" w:rsidP="006C48AF">
      <w:pPr>
        <w:pStyle w:val="AERbulletlistfirststyle"/>
      </w:pPr>
      <w:r w:rsidRPr="006C48AF">
        <w:t>a</w:t>
      </w:r>
      <w:r w:rsidR="00887302" w:rsidRPr="006C48AF">
        <w:t>ny change</w:t>
      </w:r>
      <w:r w:rsidR="00887302">
        <w:t xml:space="preserve"> in the capitalisation policy applied between the current access arrangement and the </w:t>
      </w:r>
      <w:r w:rsidR="006A555A">
        <w:t>2016–21</w:t>
      </w:r>
      <w:r w:rsidR="00887302">
        <w:t xml:space="preserve"> access arrangement period</w:t>
      </w:r>
      <w:r w:rsidR="001C3D2D">
        <w:t>, and</w:t>
      </w:r>
    </w:p>
    <w:p w:rsidR="00887302" w:rsidRDefault="00E6745A" w:rsidP="006C48AF">
      <w:pPr>
        <w:pStyle w:val="AERbulletlistfirststyle"/>
      </w:pPr>
      <w:r>
        <w:t xml:space="preserve">proposed real growth in the escalation of labour costs relevant to both opex and capex. </w:t>
      </w:r>
    </w:p>
    <w:p w:rsidR="00887302" w:rsidRDefault="00887302" w:rsidP="0032658E">
      <w:pPr>
        <w:pStyle w:val="Heading2"/>
      </w:pPr>
      <w:bookmarkStart w:id="33" w:name="_Toc404676548"/>
      <w:bookmarkStart w:id="34" w:name="_Toc404676598"/>
      <w:bookmarkStart w:id="35" w:name="_Toc436042755"/>
      <w:r w:rsidRPr="0032658E">
        <w:t>Reasons</w:t>
      </w:r>
      <w:r>
        <w:t xml:space="preserve"> for draft decision</w:t>
      </w:r>
      <w:bookmarkEnd w:id="33"/>
      <w:bookmarkEnd w:id="34"/>
      <w:bookmarkEnd w:id="35"/>
    </w:p>
    <w:p w:rsidR="00887302" w:rsidRPr="00413233" w:rsidRDefault="00887302" w:rsidP="006C48AF">
      <w:pPr>
        <w:pStyle w:val="Heading3"/>
        <w:rPr>
          <w:rFonts w:eastAsia="Calibri"/>
        </w:rPr>
      </w:pPr>
      <w:bookmarkStart w:id="36" w:name="_Ref331418230"/>
      <w:bookmarkStart w:id="37" w:name="_Toc404676549"/>
      <w:bookmarkStart w:id="38" w:name="_Toc404676599"/>
      <w:bookmarkStart w:id="39" w:name="_Toc436042756"/>
      <w:r w:rsidRPr="006C48AF">
        <w:t>Conforming</w:t>
      </w:r>
      <w:r w:rsidRPr="00413233">
        <w:rPr>
          <w:rFonts w:eastAsia="Calibri"/>
        </w:rPr>
        <w:t xml:space="preserve"> </w:t>
      </w:r>
      <w:r>
        <w:rPr>
          <w:rFonts w:eastAsia="Calibri"/>
        </w:rPr>
        <w:t>capex</w:t>
      </w:r>
      <w:r w:rsidRPr="00413233">
        <w:rPr>
          <w:rFonts w:eastAsia="Calibri"/>
        </w:rPr>
        <w:t xml:space="preserve"> for </w:t>
      </w:r>
      <w:r w:rsidR="00CC3C68">
        <w:rPr>
          <w:rFonts w:eastAsia="Calibri"/>
        </w:rPr>
        <w:t xml:space="preserve">the </w:t>
      </w:r>
      <w:r w:rsidRPr="00413233">
        <w:rPr>
          <w:rFonts w:eastAsia="Calibri"/>
        </w:rPr>
        <w:t>20</w:t>
      </w:r>
      <w:r w:rsidR="00FF31F7">
        <w:rPr>
          <w:rFonts w:eastAsia="Calibri"/>
        </w:rPr>
        <w:t>10</w:t>
      </w:r>
      <w:r w:rsidRPr="00413233">
        <w:rPr>
          <w:rFonts w:eastAsia="Calibri"/>
        </w:rPr>
        <w:t>–1</w:t>
      </w:r>
      <w:bookmarkEnd w:id="36"/>
      <w:bookmarkEnd w:id="37"/>
      <w:bookmarkEnd w:id="38"/>
      <w:r w:rsidR="00CC3C68">
        <w:rPr>
          <w:rFonts w:eastAsia="Calibri"/>
        </w:rPr>
        <w:t>6 period</w:t>
      </w:r>
      <w:bookmarkEnd w:id="39"/>
    </w:p>
    <w:p w:rsidR="002D5654" w:rsidRPr="002D5654" w:rsidRDefault="002D5654" w:rsidP="006C48AF">
      <w:r w:rsidRPr="002D5654">
        <w:t xml:space="preserve">We approve </w:t>
      </w:r>
      <w:r w:rsidR="00B47DEC">
        <w:t>net</w:t>
      </w:r>
      <w:r w:rsidR="00004796">
        <w:t xml:space="preserve"> </w:t>
      </w:r>
      <w:r w:rsidRPr="002D5654">
        <w:t>conforming capex of $</w:t>
      </w:r>
      <w:r w:rsidR="00FF31F7">
        <w:t>37.</w:t>
      </w:r>
      <w:r w:rsidR="00B47DEC">
        <w:t>4</w:t>
      </w:r>
      <w:r w:rsidRPr="002D5654">
        <w:t xml:space="preserve"> million ($2015</w:t>
      </w:r>
      <w:r w:rsidR="000B70FD">
        <w:noBreakHyphen/>
      </w:r>
      <w:r w:rsidRPr="002D5654">
        <w:t xml:space="preserve">16) for the </w:t>
      </w:r>
      <w:r w:rsidR="006A555A">
        <w:t>2011–16</w:t>
      </w:r>
      <w:r w:rsidRPr="002D5654">
        <w:t xml:space="preserve"> access arrangement period. This is a reduction of $</w:t>
      </w:r>
      <w:r w:rsidR="00FF31F7">
        <w:t>7.0</w:t>
      </w:r>
      <w:r w:rsidRPr="002D5654">
        <w:t xml:space="preserve"> million or </w:t>
      </w:r>
      <w:r w:rsidR="00FF31F7">
        <w:t>16</w:t>
      </w:r>
      <w:r w:rsidRPr="002D5654">
        <w:t xml:space="preserve"> per cent from APTNT’s </w:t>
      </w:r>
      <w:r w:rsidR="00936E04">
        <w:t>estimate</w:t>
      </w:r>
      <w:r w:rsidR="00936E04" w:rsidRPr="002D5654">
        <w:t xml:space="preserve"> </w:t>
      </w:r>
      <w:r w:rsidRPr="002D5654">
        <w:t xml:space="preserve">of conforming capex. </w:t>
      </w:r>
      <w:r w:rsidR="00215149">
        <w:t xml:space="preserve">We also approve APTNT’s actual capex </w:t>
      </w:r>
      <w:r w:rsidR="00FF31F7">
        <w:t>of $4.5 million ($2015</w:t>
      </w:r>
      <w:r w:rsidR="000B70FD">
        <w:noBreakHyphen/>
      </w:r>
      <w:r w:rsidR="00FF31F7">
        <w:t xml:space="preserve">16) </w:t>
      </w:r>
      <w:r w:rsidR="00215149">
        <w:t>for the 2010</w:t>
      </w:r>
      <w:r w:rsidR="000B70FD">
        <w:noBreakHyphen/>
      </w:r>
      <w:r w:rsidR="00215149">
        <w:t xml:space="preserve">11 year as conforming capex. </w:t>
      </w:r>
      <w:fldSimple w:instr=" REF _Ref432762753 ">
        <w:r w:rsidR="00F65E22">
          <w:t xml:space="preserve">Table </w:t>
        </w:r>
        <w:r w:rsidR="00F65E22">
          <w:rPr>
            <w:noProof/>
          </w:rPr>
          <w:t>6.7</w:t>
        </w:r>
      </w:fldSimple>
      <w:r w:rsidR="005D077A">
        <w:t xml:space="preserve"> </w:t>
      </w:r>
      <w:r w:rsidRPr="002D5654">
        <w:t>summ</w:t>
      </w:r>
      <w:r w:rsidR="00843CB1">
        <w:t xml:space="preserve">arises our approved </w:t>
      </w:r>
      <w:r w:rsidRPr="002D5654">
        <w:t xml:space="preserve">conforming capex for the </w:t>
      </w:r>
      <w:r w:rsidR="006A555A">
        <w:t>2011–16</w:t>
      </w:r>
      <w:r w:rsidRPr="002D5654">
        <w:t xml:space="preserve"> access arrangement period</w:t>
      </w:r>
      <w:r w:rsidR="00843CB1">
        <w:t>, and the preceding 2010</w:t>
      </w:r>
      <w:r w:rsidR="000B70FD">
        <w:noBreakHyphen/>
      </w:r>
      <w:r w:rsidR="00843CB1">
        <w:t>11 year</w:t>
      </w:r>
      <w:r w:rsidRPr="002D5654">
        <w:t>.</w:t>
      </w:r>
    </w:p>
    <w:p w:rsidR="002D5654" w:rsidRPr="002D5654" w:rsidRDefault="00381B88" w:rsidP="000B70FD">
      <w:pPr>
        <w:pStyle w:val="Caption"/>
      </w:pPr>
      <w:bookmarkStart w:id="40" w:name="_Ref432762753"/>
      <w:r>
        <w:lastRenderedPageBreak/>
        <w:t xml:space="preserve">Table </w:t>
      </w:r>
      <w:fldSimple w:instr=" STYLEREF 1 \s ">
        <w:r w:rsidR="00F65E22">
          <w:rPr>
            <w:noProof/>
          </w:rPr>
          <w:t>6</w:t>
        </w:r>
      </w:fldSimple>
      <w:r w:rsidR="00F11395">
        <w:rPr>
          <w:noProof/>
        </w:rPr>
        <w:t>.</w:t>
      </w:r>
      <w:fldSimple w:instr=" SEQ Table \* ARABIC \s 1 ">
        <w:r w:rsidR="00F65E22">
          <w:rPr>
            <w:noProof/>
          </w:rPr>
          <w:t>7</w:t>
        </w:r>
      </w:fldSimple>
      <w:bookmarkEnd w:id="40"/>
      <w:r w:rsidR="002D5654" w:rsidRPr="002D5654">
        <w:tab/>
        <w:t>AER approved capital expenditure over the 201</w:t>
      </w:r>
      <w:r w:rsidR="00F30120">
        <w:t>0</w:t>
      </w:r>
      <w:r w:rsidR="002D5654" w:rsidRPr="002D5654">
        <w:t>–20</w:t>
      </w:r>
      <w:r w:rsidR="00F30120">
        <w:t>16</w:t>
      </w:r>
      <w:r w:rsidR="002D5654" w:rsidRPr="002D5654">
        <w:t xml:space="preserve"> period ($million, 2015</w:t>
      </w:r>
      <w:r w:rsidR="000B70FD">
        <w:noBreakHyphen/>
      </w:r>
      <w:r w:rsidR="002D5654" w:rsidRPr="002D5654">
        <w:t>16)</w:t>
      </w:r>
    </w:p>
    <w:tbl>
      <w:tblPr>
        <w:tblStyle w:val="AERtable-numbers"/>
        <w:tblW w:w="0" w:type="auto"/>
        <w:tblLayout w:type="fixed"/>
        <w:tblLook w:val="04A0" w:firstRow="1" w:lastRow="0" w:firstColumn="1" w:lastColumn="0" w:noHBand="0" w:noVBand="1"/>
      </w:tblPr>
      <w:tblGrid>
        <w:gridCol w:w="2235"/>
        <w:gridCol w:w="922"/>
        <w:gridCol w:w="923"/>
        <w:gridCol w:w="922"/>
        <w:gridCol w:w="923"/>
        <w:gridCol w:w="922"/>
        <w:gridCol w:w="923"/>
        <w:gridCol w:w="923"/>
      </w:tblGrid>
      <w:tr w:rsidR="008C0E4B" w:rsidRPr="002D5654" w:rsidTr="00F1139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35" w:type="dxa"/>
          </w:tcPr>
          <w:p w:rsidR="00F30120" w:rsidRPr="002D5654" w:rsidRDefault="00F30120" w:rsidP="00487261">
            <w:pPr>
              <w:keepNext/>
            </w:pPr>
          </w:p>
        </w:tc>
        <w:tc>
          <w:tcPr>
            <w:tcW w:w="922" w:type="dxa"/>
          </w:tcPr>
          <w:p w:rsidR="00F30120" w:rsidRPr="002D5654" w:rsidRDefault="00F30120" w:rsidP="00487261">
            <w:pPr>
              <w:keepNext/>
              <w:cnfStyle w:val="100000000000" w:firstRow="1" w:lastRow="0" w:firstColumn="0" w:lastColumn="0" w:oddVBand="0" w:evenVBand="0" w:oddHBand="0" w:evenHBand="0" w:firstRowFirstColumn="0" w:firstRowLastColumn="0" w:lastRowFirstColumn="0" w:lastRowLastColumn="0"/>
            </w:pPr>
            <w:r>
              <w:t>2010-11</w:t>
            </w:r>
          </w:p>
        </w:tc>
        <w:tc>
          <w:tcPr>
            <w:tcW w:w="923" w:type="dxa"/>
          </w:tcPr>
          <w:p w:rsidR="00F30120" w:rsidRPr="002D5654" w:rsidRDefault="00F30120" w:rsidP="00487261">
            <w:pPr>
              <w:keepNext/>
              <w:cnfStyle w:val="100000000000" w:firstRow="1" w:lastRow="0" w:firstColumn="0" w:lastColumn="0" w:oddVBand="0" w:evenVBand="0" w:oddHBand="0" w:evenHBand="0" w:firstRowFirstColumn="0" w:firstRowLastColumn="0" w:lastRowFirstColumn="0" w:lastRowLastColumn="0"/>
            </w:pPr>
            <w:r w:rsidRPr="002D5654">
              <w:t>201</w:t>
            </w:r>
            <w:r>
              <w:t>1</w:t>
            </w:r>
            <w:r w:rsidRPr="002D5654">
              <w:t>-1</w:t>
            </w:r>
            <w:r>
              <w:t>2</w:t>
            </w:r>
          </w:p>
        </w:tc>
        <w:tc>
          <w:tcPr>
            <w:tcW w:w="922" w:type="dxa"/>
          </w:tcPr>
          <w:p w:rsidR="00F30120" w:rsidRPr="002D5654" w:rsidRDefault="00F30120" w:rsidP="00487261">
            <w:pPr>
              <w:keepNext/>
              <w:cnfStyle w:val="100000000000" w:firstRow="1" w:lastRow="0" w:firstColumn="0" w:lastColumn="0" w:oddVBand="0" w:evenVBand="0" w:oddHBand="0" w:evenHBand="0" w:firstRowFirstColumn="0" w:firstRowLastColumn="0" w:lastRowFirstColumn="0" w:lastRowLastColumn="0"/>
            </w:pPr>
            <w:r w:rsidRPr="002D5654">
              <w:t>201</w:t>
            </w:r>
            <w:r>
              <w:t>2</w:t>
            </w:r>
            <w:r w:rsidRPr="002D5654">
              <w:t>-1</w:t>
            </w:r>
            <w:r>
              <w:t>3</w:t>
            </w:r>
          </w:p>
        </w:tc>
        <w:tc>
          <w:tcPr>
            <w:tcW w:w="923" w:type="dxa"/>
          </w:tcPr>
          <w:p w:rsidR="00F30120" w:rsidRPr="002D5654" w:rsidRDefault="00F30120" w:rsidP="00487261">
            <w:pPr>
              <w:keepNext/>
              <w:cnfStyle w:val="100000000000" w:firstRow="1" w:lastRow="0" w:firstColumn="0" w:lastColumn="0" w:oddVBand="0" w:evenVBand="0" w:oddHBand="0" w:evenHBand="0" w:firstRowFirstColumn="0" w:firstRowLastColumn="0" w:lastRowFirstColumn="0" w:lastRowLastColumn="0"/>
            </w:pPr>
            <w:r w:rsidRPr="002D5654">
              <w:t>201</w:t>
            </w:r>
            <w:r>
              <w:t>3</w:t>
            </w:r>
            <w:r w:rsidRPr="002D5654">
              <w:t>-1</w:t>
            </w:r>
            <w:r>
              <w:t>4</w:t>
            </w:r>
          </w:p>
        </w:tc>
        <w:tc>
          <w:tcPr>
            <w:tcW w:w="922" w:type="dxa"/>
          </w:tcPr>
          <w:p w:rsidR="00F30120" w:rsidRPr="002D5654" w:rsidRDefault="00F30120" w:rsidP="00487261">
            <w:pPr>
              <w:keepNext/>
              <w:cnfStyle w:val="100000000000" w:firstRow="1" w:lastRow="0" w:firstColumn="0" w:lastColumn="0" w:oddVBand="0" w:evenVBand="0" w:oddHBand="0" w:evenHBand="0" w:firstRowFirstColumn="0" w:firstRowLastColumn="0" w:lastRowFirstColumn="0" w:lastRowLastColumn="0"/>
            </w:pPr>
            <w:r w:rsidRPr="002D5654">
              <w:t>201</w:t>
            </w:r>
            <w:r>
              <w:t>4</w:t>
            </w:r>
            <w:r w:rsidRPr="002D5654">
              <w:t>-</w:t>
            </w:r>
            <w:r>
              <w:t>15</w:t>
            </w:r>
          </w:p>
        </w:tc>
        <w:tc>
          <w:tcPr>
            <w:tcW w:w="923" w:type="dxa"/>
          </w:tcPr>
          <w:p w:rsidR="00F30120" w:rsidRPr="002D5654" w:rsidRDefault="00F30120" w:rsidP="00487261">
            <w:pPr>
              <w:keepNext/>
              <w:cnfStyle w:val="100000000000" w:firstRow="1" w:lastRow="0" w:firstColumn="0" w:lastColumn="0" w:oddVBand="0" w:evenVBand="0" w:oddHBand="0" w:evenHBand="0" w:firstRowFirstColumn="0" w:firstRowLastColumn="0" w:lastRowFirstColumn="0" w:lastRowLastColumn="0"/>
            </w:pPr>
            <w:r w:rsidRPr="002D5654">
              <w:t>20</w:t>
            </w:r>
            <w:r>
              <w:t>15</w:t>
            </w:r>
            <w:r w:rsidRPr="002D5654">
              <w:t>-</w:t>
            </w:r>
            <w:r>
              <w:t>16</w:t>
            </w:r>
          </w:p>
        </w:tc>
        <w:tc>
          <w:tcPr>
            <w:tcW w:w="923" w:type="dxa"/>
          </w:tcPr>
          <w:p w:rsidR="00F30120" w:rsidRPr="002D5654" w:rsidRDefault="00F30120" w:rsidP="00487261">
            <w:pPr>
              <w:keepNext/>
              <w:cnfStyle w:val="100000000000" w:firstRow="1" w:lastRow="0" w:firstColumn="0" w:lastColumn="0" w:oddVBand="0" w:evenVBand="0" w:oddHBand="0" w:evenHBand="0" w:firstRowFirstColumn="0" w:firstRowLastColumn="0" w:lastRowFirstColumn="0" w:lastRowLastColumn="0"/>
            </w:pPr>
            <w:r w:rsidRPr="002D5654">
              <w:t>Total</w:t>
            </w:r>
            <w:r w:rsidR="00FF31F7">
              <w:t xml:space="preserve"> </w:t>
            </w:r>
            <w:r w:rsidR="00FF31F7">
              <w:br/>
              <w:t>(2011-16)</w:t>
            </w:r>
          </w:p>
        </w:tc>
      </w:tr>
      <w:tr w:rsidR="00B64986" w:rsidRPr="002D5654" w:rsidTr="00B64986">
        <w:tc>
          <w:tcPr>
            <w:cnfStyle w:val="001000000000" w:firstRow="0" w:lastRow="0" w:firstColumn="1" w:lastColumn="0" w:oddVBand="0" w:evenVBand="0" w:oddHBand="0" w:evenHBand="0" w:firstRowFirstColumn="0" w:firstRowLastColumn="0" w:lastRowFirstColumn="0" w:lastRowLastColumn="0"/>
            <w:tcW w:w="2235" w:type="dxa"/>
          </w:tcPr>
          <w:p w:rsidR="00FF31F7" w:rsidRPr="002D5654" w:rsidRDefault="00FF31F7" w:rsidP="00487261">
            <w:pPr>
              <w:keepNext/>
            </w:pPr>
            <w:r w:rsidRPr="002D5654">
              <w:t>Expansion</w:t>
            </w:r>
          </w:p>
        </w:tc>
        <w:tc>
          <w:tcPr>
            <w:tcW w:w="922" w:type="dxa"/>
          </w:tcPr>
          <w:p w:rsidR="00FF31F7" w:rsidRPr="00120490" w:rsidRDefault="00FF31F7" w:rsidP="00487261">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1.2</w:t>
            </w:r>
          </w:p>
        </w:tc>
        <w:tc>
          <w:tcPr>
            <w:tcW w:w="923" w:type="dxa"/>
          </w:tcPr>
          <w:p w:rsidR="00FF31F7" w:rsidRPr="002D5654" w:rsidRDefault="00FF31F7" w:rsidP="00487261">
            <w:pPr>
              <w:keepNext/>
              <w:cnfStyle w:val="000000000000" w:firstRow="0" w:lastRow="0" w:firstColumn="0" w:lastColumn="0" w:oddVBand="0" w:evenVBand="0" w:oddHBand="0" w:evenHBand="0" w:firstRowFirstColumn="0" w:firstRowLastColumn="0" w:lastRowFirstColumn="0" w:lastRowLastColumn="0"/>
            </w:pPr>
            <w:r>
              <w:t>-</w:t>
            </w:r>
          </w:p>
        </w:tc>
        <w:tc>
          <w:tcPr>
            <w:tcW w:w="922" w:type="dxa"/>
          </w:tcPr>
          <w:p w:rsidR="00FF31F7" w:rsidRPr="002D5654" w:rsidRDefault="00FF31F7" w:rsidP="00487261">
            <w:pPr>
              <w:keepNext/>
              <w:cnfStyle w:val="000000000000" w:firstRow="0" w:lastRow="0" w:firstColumn="0" w:lastColumn="0" w:oddVBand="0" w:evenVBand="0" w:oddHBand="0" w:evenHBand="0" w:firstRowFirstColumn="0" w:firstRowLastColumn="0" w:lastRowFirstColumn="0" w:lastRowLastColumn="0"/>
            </w:pPr>
            <w:r>
              <w:t>0.8</w:t>
            </w:r>
          </w:p>
        </w:tc>
        <w:tc>
          <w:tcPr>
            <w:tcW w:w="923" w:type="dxa"/>
          </w:tcPr>
          <w:p w:rsidR="00FF31F7" w:rsidRPr="002D5654" w:rsidRDefault="00FF31F7" w:rsidP="00487261">
            <w:pPr>
              <w:keepNext/>
              <w:cnfStyle w:val="000000000000" w:firstRow="0" w:lastRow="0" w:firstColumn="0" w:lastColumn="0" w:oddVBand="0" w:evenVBand="0" w:oddHBand="0" w:evenHBand="0" w:firstRowFirstColumn="0" w:firstRowLastColumn="0" w:lastRowFirstColumn="0" w:lastRowLastColumn="0"/>
            </w:pPr>
            <w:r>
              <w:t>0.6</w:t>
            </w:r>
          </w:p>
        </w:tc>
        <w:tc>
          <w:tcPr>
            <w:tcW w:w="922" w:type="dxa"/>
          </w:tcPr>
          <w:p w:rsidR="00FF31F7" w:rsidRPr="002D5654" w:rsidRDefault="00FF31F7" w:rsidP="00487261">
            <w:pPr>
              <w:keepNext/>
              <w:cnfStyle w:val="000000000000" w:firstRow="0" w:lastRow="0" w:firstColumn="0" w:lastColumn="0" w:oddVBand="0" w:evenVBand="0" w:oddHBand="0" w:evenHBand="0" w:firstRowFirstColumn="0" w:firstRowLastColumn="0" w:lastRowFirstColumn="0" w:lastRowLastColumn="0"/>
            </w:pPr>
            <w:r>
              <w:t>0.1</w:t>
            </w:r>
          </w:p>
        </w:tc>
        <w:tc>
          <w:tcPr>
            <w:tcW w:w="923" w:type="dxa"/>
          </w:tcPr>
          <w:p w:rsidR="00FF31F7" w:rsidRPr="002D5654" w:rsidRDefault="00FF31F7" w:rsidP="00487261">
            <w:pPr>
              <w:keepNext/>
              <w:cnfStyle w:val="000000000000" w:firstRow="0" w:lastRow="0" w:firstColumn="0" w:lastColumn="0" w:oddVBand="0" w:evenVBand="0" w:oddHBand="0" w:evenHBand="0" w:firstRowFirstColumn="0" w:firstRowLastColumn="0" w:lastRowFirstColumn="0" w:lastRowLastColumn="0"/>
            </w:pPr>
            <w:r>
              <w:t>-</w:t>
            </w:r>
          </w:p>
        </w:tc>
        <w:tc>
          <w:tcPr>
            <w:tcW w:w="923" w:type="dxa"/>
          </w:tcPr>
          <w:p w:rsidR="00FF31F7" w:rsidRPr="002D5654" w:rsidRDefault="00FF31F7" w:rsidP="00487261">
            <w:pPr>
              <w:keepNext/>
              <w:cnfStyle w:val="000000000000" w:firstRow="0" w:lastRow="0" w:firstColumn="0" w:lastColumn="0" w:oddVBand="0" w:evenVBand="0" w:oddHBand="0" w:evenHBand="0" w:firstRowFirstColumn="0" w:firstRowLastColumn="0" w:lastRowFirstColumn="0" w:lastRowLastColumn="0"/>
            </w:pPr>
            <w:r>
              <w:t>1.4</w:t>
            </w:r>
          </w:p>
        </w:tc>
      </w:tr>
      <w:tr w:rsidR="008C0E4B" w:rsidRPr="002D5654" w:rsidTr="00B649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FF31F7" w:rsidRPr="002D5654" w:rsidRDefault="00FF31F7" w:rsidP="00487261">
            <w:pPr>
              <w:keepNext/>
            </w:pPr>
            <w:r w:rsidRPr="002D5654">
              <w:t>Replacement</w:t>
            </w:r>
          </w:p>
        </w:tc>
        <w:tc>
          <w:tcPr>
            <w:tcW w:w="922" w:type="dxa"/>
          </w:tcPr>
          <w:p w:rsidR="00FF31F7" w:rsidRPr="00120490" w:rsidRDefault="00FF31F7" w:rsidP="00487261">
            <w:pPr>
              <w:pStyle w:val="AERtabletextright"/>
              <w:keepNex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2.9</w:t>
            </w:r>
          </w:p>
        </w:tc>
        <w:tc>
          <w:tcPr>
            <w:tcW w:w="923" w:type="dxa"/>
          </w:tcPr>
          <w:p w:rsidR="00FF31F7" w:rsidRPr="002D5654" w:rsidRDefault="00FF31F7" w:rsidP="00487261">
            <w:pPr>
              <w:keepNext/>
              <w:cnfStyle w:val="000000010000" w:firstRow="0" w:lastRow="0" w:firstColumn="0" w:lastColumn="0" w:oddVBand="0" w:evenVBand="0" w:oddHBand="0" w:evenHBand="1" w:firstRowFirstColumn="0" w:firstRowLastColumn="0" w:lastRowFirstColumn="0" w:lastRowLastColumn="0"/>
            </w:pPr>
            <w:r>
              <w:t>4.3</w:t>
            </w:r>
          </w:p>
        </w:tc>
        <w:tc>
          <w:tcPr>
            <w:tcW w:w="922" w:type="dxa"/>
          </w:tcPr>
          <w:p w:rsidR="00FF31F7" w:rsidRPr="002D5654" w:rsidRDefault="00FF31F7" w:rsidP="00487261">
            <w:pPr>
              <w:keepNext/>
              <w:cnfStyle w:val="000000010000" w:firstRow="0" w:lastRow="0" w:firstColumn="0" w:lastColumn="0" w:oddVBand="0" w:evenVBand="0" w:oddHBand="0" w:evenHBand="1" w:firstRowFirstColumn="0" w:firstRowLastColumn="0" w:lastRowFirstColumn="0" w:lastRowLastColumn="0"/>
            </w:pPr>
            <w:r>
              <w:t>14.6</w:t>
            </w:r>
          </w:p>
        </w:tc>
        <w:tc>
          <w:tcPr>
            <w:tcW w:w="923" w:type="dxa"/>
          </w:tcPr>
          <w:p w:rsidR="00FF31F7" w:rsidRPr="002D5654" w:rsidRDefault="00FF31F7" w:rsidP="00487261">
            <w:pPr>
              <w:keepNext/>
              <w:cnfStyle w:val="000000010000" w:firstRow="0" w:lastRow="0" w:firstColumn="0" w:lastColumn="0" w:oddVBand="0" w:evenVBand="0" w:oddHBand="0" w:evenHBand="1" w:firstRowFirstColumn="0" w:firstRowLastColumn="0" w:lastRowFirstColumn="0" w:lastRowLastColumn="0"/>
            </w:pPr>
            <w:r>
              <w:t>2.2</w:t>
            </w:r>
          </w:p>
        </w:tc>
        <w:tc>
          <w:tcPr>
            <w:tcW w:w="922" w:type="dxa"/>
          </w:tcPr>
          <w:p w:rsidR="00FF31F7" w:rsidRPr="002D5654" w:rsidRDefault="00FF31F7" w:rsidP="00487261">
            <w:pPr>
              <w:keepNext/>
              <w:cnfStyle w:val="000000010000" w:firstRow="0" w:lastRow="0" w:firstColumn="0" w:lastColumn="0" w:oddVBand="0" w:evenVBand="0" w:oddHBand="0" w:evenHBand="1" w:firstRowFirstColumn="0" w:firstRowLastColumn="0" w:lastRowFirstColumn="0" w:lastRowLastColumn="0"/>
            </w:pPr>
            <w:r>
              <w:t>2.3</w:t>
            </w:r>
          </w:p>
        </w:tc>
        <w:tc>
          <w:tcPr>
            <w:tcW w:w="923" w:type="dxa"/>
          </w:tcPr>
          <w:p w:rsidR="00FF31F7" w:rsidRPr="002D5654" w:rsidRDefault="00FF31F7" w:rsidP="00487261">
            <w:pPr>
              <w:keepNext/>
              <w:cnfStyle w:val="000000010000" w:firstRow="0" w:lastRow="0" w:firstColumn="0" w:lastColumn="0" w:oddVBand="0" w:evenVBand="0" w:oddHBand="0" w:evenHBand="1" w:firstRowFirstColumn="0" w:firstRowLastColumn="0" w:lastRowFirstColumn="0" w:lastRowLastColumn="0"/>
            </w:pPr>
            <w:r>
              <w:t>5.4</w:t>
            </w:r>
          </w:p>
        </w:tc>
        <w:tc>
          <w:tcPr>
            <w:tcW w:w="923" w:type="dxa"/>
          </w:tcPr>
          <w:p w:rsidR="00FF31F7" w:rsidRPr="002D5654" w:rsidRDefault="00FF31F7" w:rsidP="00487261">
            <w:pPr>
              <w:keepNext/>
              <w:cnfStyle w:val="000000010000" w:firstRow="0" w:lastRow="0" w:firstColumn="0" w:lastColumn="0" w:oddVBand="0" w:evenVBand="0" w:oddHBand="0" w:evenHBand="1" w:firstRowFirstColumn="0" w:firstRowLastColumn="0" w:lastRowFirstColumn="0" w:lastRowLastColumn="0"/>
            </w:pPr>
            <w:r>
              <w:t>28.8</w:t>
            </w:r>
          </w:p>
        </w:tc>
      </w:tr>
      <w:tr w:rsidR="00B64986" w:rsidRPr="002D5654" w:rsidTr="00B64986">
        <w:tc>
          <w:tcPr>
            <w:cnfStyle w:val="001000000000" w:firstRow="0" w:lastRow="0" w:firstColumn="1" w:lastColumn="0" w:oddVBand="0" w:evenVBand="0" w:oddHBand="0" w:evenHBand="0" w:firstRowFirstColumn="0" w:firstRowLastColumn="0" w:lastRowFirstColumn="0" w:lastRowLastColumn="0"/>
            <w:tcW w:w="2235" w:type="dxa"/>
          </w:tcPr>
          <w:p w:rsidR="00FF31F7" w:rsidRPr="002D5654" w:rsidRDefault="00FF31F7" w:rsidP="00487261">
            <w:pPr>
              <w:keepNext/>
            </w:pPr>
            <w:r w:rsidRPr="002D5654">
              <w:t>Non-system</w:t>
            </w:r>
          </w:p>
        </w:tc>
        <w:tc>
          <w:tcPr>
            <w:tcW w:w="922" w:type="dxa"/>
          </w:tcPr>
          <w:p w:rsidR="00FF31F7" w:rsidRPr="00120490" w:rsidRDefault="00FF31F7" w:rsidP="00487261">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0.4</w:t>
            </w:r>
          </w:p>
        </w:tc>
        <w:tc>
          <w:tcPr>
            <w:tcW w:w="923" w:type="dxa"/>
          </w:tcPr>
          <w:p w:rsidR="00FF31F7" w:rsidRPr="002D5654" w:rsidRDefault="00FF31F7" w:rsidP="00487261">
            <w:pPr>
              <w:keepNext/>
              <w:cnfStyle w:val="000000000000" w:firstRow="0" w:lastRow="0" w:firstColumn="0" w:lastColumn="0" w:oddVBand="0" w:evenVBand="0" w:oddHBand="0" w:evenHBand="0" w:firstRowFirstColumn="0" w:firstRowLastColumn="0" w:lastRowFirstColumn="0" w:lastRowLastColumn="0"/>
            </w:pPr>
            <w:r>
              <w:t>0.2</w:t>
            </w:r>
          </w:p>
        </w:tc>
        <w:tc>
          <w:tcPr>
            <w:tcW w:w="922" w:type="dxa"/>
          </w:tcPr>
          <w:p w:rsidR="00FF31F7" w:rsidRPr="002D5654" w:rsidRDefault="00FF31F7" w:rsidP="00487261">
            <w:pPr>
              <w:keepNext/>
              <w:cnfStyle w:val="000000000000" w:firstRow="0" w:lastRow="0" w:firstColumn="0" w:lastColumn="0" w:oddVBand="0" w:evenVBand="0" w:oddHBand="0" w:evenHBand="0" w:firstRowFirstColumn="0" w:firstRowLastColumn="0" w:lastRowFirstColumn="0" w:lastRowLastColumn="0"/>
            </w:pPr>
            <w:r>
              <w:t>1.6</w:t>
            </w:r>
          </w:p>
        </w:tc>
        <w:tc>
          <w:tcPr>
            <w:tcW w:w="923" w:type="dxa"/>
          </w:tcPr>
          <w:p w:rsidR="00FF31F7" w:rsidRPr="002D5654" w:rsidRDefault="00FF31F7" w:rsidP="00487261">
            <w:pPr>
              <w:keepNext/>
              <w:cnfStyle w:val="000000000000" w:firstRow="0" w:lastRow="0" w:firstColumn="0" w:lastColumn="0" w:oddVBand="0" w:evenVBand="0" w:oddHBand="0" w:evenHBand="0" w:firstRowFirstColumn="0" w:firstRowLastColumn="0" w:lastRowFirstColumn="0" w:lastRowLastColumn="0"/>
            </w:pPr>
            <w:r>
              <w:t>1.6</w:t>
            </w:r>
          </w:p>
        </w:tc>
        <w:tc>
          <w:tcPr>
            <w:tcW w:w="922" w:type="dxa"/>
          </w:tcPr>
          <w:p w:rsidR="00FF31F7" w:rsidRPr="002D5654" w:rsidRDefault="00FF31F7" w:rsidP="00487261">
            <w:pPr>
              <w:keepNext/>
              <w:cnfStyle w:val="000000000000" w:firstRow="0" w:lastRow="0" w:firstColumn="0" w:lastColumn="0" w:oddVBand="0" w:evenVBand="0" w:oddHBand="0" w:evenHBand="0" w:firstRowFirstColumn="0" w:firstRowLastColumn="0" w:lastRowFirstColumn="0" w:lastRowLastColumn="0"/>
            </w:pPr>
            <w:r>
              <w:t>1.9</w:t>
            </w:r>
          </w:p>
        </w:tc>
        <w:tc>
          <w:tcPr>
            <w:tcW w:w="923" w:type="dxa"/>
          </w:tcPr>
          <w:p w:rsidR="00FF31F7" w:rsidRPr="002D5654" w:rsidRDefault="00FF31F7" w:rsidP="00487261">
            <w:pPr>
              <w:keepNext/>
              <w:cnfStyle w:val="000000000000" w:firstRow="0" w:lastRow="0" w:firstColumn="0" w:lastColumn="0" w:oddVBand="0" w:evenVBand="0" w:oddHBand="0" w:evenHBand="0" w:firstRowFirstColumn="0" w:firstRowLastColumn="0" w:lastRowFirstColumn="0" w:lastRowLastColumn="0"/>
            </w:pPr>
            <w:r>
              <w:t>2.4</w:t>
            </w:r>
          </w:p>
        </w:tc>
        <w:tc>
          <w:tcPr>
            <w:tcW w:w="923" w:type="dxa"/>
          </w:tcPr>
          <w:p w:rsidR="00FF31F7" w:rsidRPr="002D5654" w:rsidRDefault="00FF31F7" w:rsidP="00487261">
            <w:pPr>
              <w:keepNext/>
              <w:cnfStyle w:val="000000000000" w:firstRow="0" w:lastRow="0" w:firstColumn="0" w:lastColumn="0" w:oddVBand="0" w:evenVBand="0" w:oddHBand="0" w:evenHBand="0" w:firstRowFirstColumn="0" w:firstRowLastColumn="0" w:lastRowFirstColumn="0" w:lastRowLastColumn="0"/>
            </w:pPr>
            <w:r>
              <w:t>7.6</w:t>
            </w:r>
          </w:p>
        </w:tc>
      </w:tr>
      <w:tr w:rsidR="008C0E4B" w:rsidRPr="002D5654" w:rsidTr="00B649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8C0E4B" w:rsidRPr="002D5654" w:rsidRDefault="008C0E4B" w:rsidP="00487261">
            <w:pPr>
              <w:keepNext/>
            </w:pPr>
            <w:r w:rsidRPr="00120490">
              <w:rPr>
                <w:szCs w:val="16"/>
              </w:rPr>
              <w:t>GROSS TOTAL CAPITAL EXPENDITURE</w:t>
            </w:r>
          </w:p>
        </w:tc>
        <w:tc>
          <w:tcPr>
            <w:tcW w:w="922" w:type="dxa"/>
          </w:tcPr>
          <w:p w:rsidR="008C0E4B" w:rsidRPr="00120490" w:rsidRDefault="008C0E4B" w:rsidP="00487261">
            <w:pPr>
              <w:pStyle w:val="AERtabletextright"/>
              <w:keepNex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4.5</w:t>
            </w:r>
          </w:p>
        </w:tc>
        <w:tc>
          <w:tcPr>
            <w:tcW w:w="923" w:type="dxa"/>
          </w:tcPr>
          <w:p w:rsidR="008C0E4B" w:rsidRPr="002D5654" w:rsidRDefault="008C0E4B" w:rsidP="00487261">
            <w:pPr>
              <w:keepNext/>
              <w:cnfStyle w:val="000000010000" w:firstRow="0" w:lastRow="0" w:firstColumn="0" w:lastColumn="0" w:oddVBand="0" w:evenVBand="0" w:oddHBand="0" w:evenHBand="1" w:firstRowFirstColumn="0" w:firstRowLastColumn="0" w:lastRowFirstColumn="0" w:lastRowLastColumn="0"/>
            </w:pPr>
            <w:r>
              <w:rPr>
                <w:szCs w:val="16"/>
              </w:rPr>
              <w:t>4.5</w:t>
            </w:r>
          </w:p>
        </w:tc>
        <w:tc>
          <w:tcPr>
            <w:tcW w:w="922" w:type="dxa"/>
          </w:tcPr>
          <w:p w:rsidR="008C0E4B" w:rsidRPr="002D5654" w:rsidRDefault="008C0E4B" w:rsidP="00487261">
            <w:pPr>
              <w:keepNext/>
              <w:cnfStyle w:val="000000010000" w:firstRow="0" w:lastRow="0" w:firstColumn="0" w:lastColumn="0" w:oddVBand="0" w:evenVBand="0" w:oddHBand="0" w:evenHBand="1" w:firstRowFirstColumn="0" w:firstRowLastColumn="0" w:lastRowFirstColumn="0" w:lastRowLastColumn="0"/>
            </w:pPr>
            <w:r>
              <w:rPr>
                <w:szCs w:val="16"/>
              </w:rPr>
              <w:t>17.0</w:t>
            </w:r>
          </w:p>
        </w:tc>
        <w:tc>
          <w:tcPr>
            <w:tcW w:w="923" w:type="dxa"/>
          </w:tcPr>
          <w:p w:rsidR="008C0E4B" w:rsidRPr="002D5654" w:rsidRDefault="008C0E4B" w:rsidP="00487261">
            <w:pPr>
              <w:keepNext/>
              <w:cnfStyle w:val="000000010000" w:firstRow="0" w:lastRow="0" w:firstColumn="0" w:lastColumn="0" w:oddVBand="0" w:evenVBand="0" w:oddHBand="0" w:evenHBand="1" w:firstRowFirstColumn="0" w:firstRowLastColumn="0" w:lastRowFirstColumn="0" w:lastRowLastColumn="0"/>
            </w:pPr>
            <w:r>
              <w:rPr>
                <w:szCs w:val="16"/>
              </w:rPr>
              <w:t>4.3</w:t>
            </w:r>
          </w:p>
        </w:tc>
        <w:tc>
          <w:tcPr>
            <w:tcW w:w="922" w:type="dxa"/>
          </w:tcPr>
          <w:p w:rsidR="008C0E4B" w:rsidRPr="002D5654" w:rsidRDefault="008C0E4B" w:rsidP="00487261">
            <w:pPr>
              <w:keepNext/>
              <w:cnfStyle w:val="000000010000" w:firstRow="0" w:lastRow="0" w:firstColumn="0" w:lastColumn="0" w:oddVBand="0" w:evenVBand="0" w:oddHBand="0" w:evenHBand="1" w:firstRowFirstColumn="0" w:firstRowLastColumn="0" w:lastRowFirstColumn="0" w:lastRowLastColumn="0"/>
            </w:pPr>
            <w:r>
              <w:rPr>
                <w:szCs w:val="16"/>
              </w:rPr>
              <w:t>4.2</w:t>
            </w:r>
          </w:p>
        </w:tc>
        <w:tc>
          <w:tcPr>
            <w:tcW w:w="923" w:type="dxa"/>
          </w:tcPr>
          <w:p w:rsidR="008C0E4B" w:rsidRPr="002D5654" w:rsidRDefault="008C0E4B" w:rsidP="00487261">
            <w:pPr>
              <w:keepNext/>
              <w:cnfStyle w:val="000000010000" w:firstRow="0" w:lastRow="0" w:firstColumn="0" w:lastColumn="0" w:oddVBand="0" w:evenVBand="0" w:oddHBand="0" w:evenHBand="1" w:firstRowFirstColumn="0" w:firstRowLastColumn="0" w:lastRowFirstColumn="0" w:lastRowLastColumn="0"/>
            </w:pPr>
            <w:r>
              <w:rPr>
                <w:szCs w:val="16"/>
              </w:rPr>
              <w:t>7.8</w:t>
            </w:r>
          </w:p>
        </w:tc>
        <w:tc>
          <w:tcPr>
            <w:tcW w:w="923" w:type="dxa"/>
          </w:tcPr>
          <w:p w:rsidR="008C0E4B" w:rsidRPr="002D5654" w:rsidRDefault="008C0E4B" w:rsidP="00487261">
            <w:pPr>
              <w:keepNext/>
              <w:cnfStyle w:val="000000010000" w:firstRow="0" w:lastRow="0" w:firstColumn="0" w:lastColumn="0" w:oddVBand="0" w:evenVBand="0" w:oddHBand="0" w:evenHBand="1" w:firstRowFirstColumn="0" w:firstRowLastColumn="0" w:lastRowFirstColumn="0" w:lastRowLastColumn="0"/>
            </w:pPr>
            <w:r>
              <w:rPr>
                <w:szCs w:val="16"/>
              </w:rPr>
              <w:t>37.8</w:t>
            </w:r>
          </w:p>
        </w:tc>
      </w:tr>
      <w:tr w:rsidR="008C0E4B" w:rsidRPr="002D5654" w:rsidTr="008C0E4B">
        <w:tc>
          <w:tcPr>
            <w:cnfStyle w:val="001000000000" w:firstRow="0" w:lastRow="0" w:firstColumn="1" w:lastColumn="0" w:oddVBand="0" w:evenVBand="0" w:oddHBand="0" w:evenHBand="0" w:firstRowFirstColumn="0" w:firstRowLastColumn="0" w:lastRowFirstColumn="0" w:lastRowLastColumn="0"/>
            <w:tcW w:w="2235" w:type="dxa"/>
          </w:tcPr>
          <w:p w:rsidR="008C0E4B" w:rsidRPr="002D5654" w:rsidRDefault="008C0E4B" w:rsidP="00487261">
            <w:pPr>
              <w:keepNext/>
            </w:pPr>
            <w:r>
              <w:rPr>
                <w:szCs w:val="16"/>
              </w:rPr>
              <w:t>Contributions</w:t>
            </w:r>
          </w:p>
        </w:tc>
        <w:tc>
          <w:tcPr>
            <w:tcW w:w="922" w:type="dxa"/>
          </w:tcPr>
          <w:p w:rsidR="008C0E4B" w:rsidRDefault="008C0E4B" w:rsidP="00487261">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w:t>
            </w:r>
          </w:p>
        </w:tc>
        <w:tc>
          <w:tcPr>
            <w:tcW w:w="923" w:type="dxa"/>
          </w:tcPr>
          <w:p w:rsidR="008C0E4B" w:rsidRDefault="008C0E4B" w:rsidP="00487261">
            <w:pPr>
              <w:keepNext/>
              <w:cnfStyle w:val="000000000000" w:firstRow="0" w:lastRow="0" w:firstColumn="0" w:lastColumn="0" w:oddVBand="0" w:evenVBand="0" w:oddHBand="0" w:evenHBand="0" w:firstRowFirstColumn="0" w:firstRowLastColumn="0" w:lastRowFirstColumn="0" w:lastRowLastColumn="0"/>
            </w:pPr>
            <w:r>
              <w:rPr>
                <w:szCs w:val="16"/>
              </w:rPr>
              <w:t>-</w:t>
            </w:r>
          </w:p>
        </w:tc>
        <w:tc>
          <w:tcPr>
            <w:tcW w:w="922" w:type="dxa"/>
          </w:tcPr>
          <w:p w:rsidR="008C0E4B" w:rsidRDefault="008C0E4B" w:rsidP="00487261">
            <w:pPr>
              <w:keepNext/>
              <w:cnfStyle w:val="000000000000" w:firstRow="0" w:lastRow="0" w:firstColumn="0" w:lastColumn="0" w:oddVBand="0" w:evenVBand="0" w:oddHBand="0" w:evenHBand="0" w:firstRowFirstColumn="0" w:firstRowLastColumn="0" w:lastRowFirstColumn="0" w:lastRowLastColumn="0"/>
            </w:pPr>
            <w:r>
              <w:rPr>
                <w:szCs w:val="16"/>
              </w:rPr>
              <w:t>-</w:t>
            </w:r>
          </w:p>
        </w:tc>
        <w:tc>
          <w:tcPr>
            <w:tcW w:w="923" w:type="dxa"/>
          </w:tcPr>
          <w:p w:rsidR="008C0E4B" w:rsidRDefault="008C0E4B" w:rsidP="00487261">
            <w:pPr>
              <w:keepNext/>
              <w:cnfStyle w:val="000000000000" w:firstRow="0" w:lastRow="0" w:firstColumn="0" w:lastColumn="0" w:oddVBand="0" w:evenVBand="0" w:oddHBand="0" w:evenHBand="0" w:firstRowFirstColumn="0" w:firstRowLastColumn="0" w:lastRowFirstColumn="0" w:lastRowLastColumn="0"/>
            </w:pPr>
            <w:r>
              <w:rPr>
                <w:szCs w:val="16"/>
              </w:rPr>
              <w:t>-</w:t>
            </w:r>
          </w:p>
        </w:tc>
        <w:tc>
          <w:tcPr>
            <w:tcW w:w="922" w:type="dxa"/>
          </w:tcPr>
          <w:p w:rsidR="008C0E4B" w:rsidRDefault="008C0E4B" w:rsidP="00487261">
            <w:pPr>
              <w:keepNext/>
              <w:cnfStyle w:val="000000000000" w:firstRow="0" w:lastRow="0" w:firstColumn="0" w:lastColumn="0" w:oddVBand="0" w:evenVBand="0" w:oddHBand="0" w:evenHBand="0" w:firstRowFirstColumn="0" w:firstRowLastColumn="0" w:lastRowFirstColumn="0" w:lastRowLastColumn="0"/>
            </w:pPr>
            <w:r>
              <w:rPr>
                <w:szCs w:val="16"/>
              </w:rPr>
              <w:t>-</w:t>
            </w:r>
          </w:p>
        </w:tc>
        <w:tc>
          <w:tcPr>
            <w:tcW w:w="923" w:type="dxa"/>
          </w:tcPr>
          <w:p w:rsidR="008C0E4B" w:rsidRDefault="008C0E4B" w:rsidP="00487261">
            <w:pPr>
              <w:keepNext/>
              <w:cnfStyle w:val="000000000000" w:firstRow="0" w:lastRow="0" w:firstColumn="0" w:lastColumn="0" w:oddVBand="0" w:evenVBand="0" w:oddHBand="0" w:evenHBand="0" w:firstRowFirstColumn="0" w:firstRowLastColumn="0" w:lastRowFirstColumn="0" w:lastRowLastColumn="0"/>
            </w:pPr>
            <w:r>
              <w:rPr>
                <w:szCs w:val="16"/>
              </w:rPr>
              <w:t>-</w:t>
            </w:r>
          </w:p>
        </w:tc>
        <w:tc>
          <w:tcPr>
            <w:tcW w:w="923" w:type="dxa"/>
          </w:tcPr>
          <w:p w:rsidR="008C0E4B" w:rsidRDefault="008C0E4B" w:rsidP="00487261">
            <w:pPr>
              <w:keepNext/>
              <w:cnfStyle w:val="000000000000" w:firstRow="0" w:lastRow="0" w:firstColumn="0" w:lastColumn="0" w:oddVBand="0" w:evenVBand="0" w:oddHBand="0" w:evenHBand="0" w:firstRowFirstColumn="0" w:firstRowLastColumn="0" w:lastRowFirstColumn="0" w:lastRowLastColumn="0"/>
            </w:pPr>
            <w:r>
              <w:rPr>
                <w:szCs w:val="16"/>
              </w:rPr>
              <w:t>-</w:t>
            </w:r>
          </w:p>
        </w:tc>
      </w:tr>
      <w:tr w:rsidR="008C0E4B" w:rsidRPr="002D5654" w:rsidTr="00B6498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8C0E4B" w:rsidRPr="002D5654" w:rsidRDefault="008C0E4B" w:rsidP="00487261">
            <w:pPr>
              <w:keepNext/>
            </w:pPr>
            <w:r w:rsidRPr="00120490">
              <w:rPr>
                <w:szCs w:val="16"/>
              </w:rPr>
              <w:t>Asset disposals</w:t>
            </w:r>
          </w:p>
        </w:tc>
        <w:tc>
          <w:tcPr>
            <w:tcW w:w="922" w:type="dxa"/>
          </w:tcPr>
          <w:p w:rsidR="008C0E4B" w:rsidRDefault="008C0E4B" w:rsidP="00487261">
            <w:pPr>
              <w:pStyle w:val="AERtabletextright"/>
              <w:keepNex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w:t>
            </w:r>
          </w:p>
        </w:tc>
        <w:tc>
          <w:tcPr>
            <w:tcW w:w="923" w:type="dxa"/>
          </w:tcPr>
          <w:p w:rsidR="008C0E4B" w:rsidRDefault="008C0E4B" w:rsidP="00487261">
            <w:pPr>
              <w:keepNext/>
              <w:cnfStyle w:val="000000010000" w:firstRow="0" w:lastRow="0" w:firstColumn="0" w:lastColumn="0" w:oddVBand="0" w:evenVBand="0" w:oddHBand="0" w:evenHBand="1" w:firstRowFirstColumn="0" w:firstRowLastColumn="0" w:lastRowFirstColumn="0" w:lastRowLastColumn="0"/>
            </w:pPr>
            <w:r>
              <w:rPr>
                <w:szCs w:val="16"/>
              </w:rPr>
              <w:t>-</w:t>
            </w:r>
          </w:p>
        </w:tc>
        <w:tc>
          <w:tcPr>
            <w:tcW w:w="922" w:type="dxa"/>
          </w:tcPr>
          <w:p w:rsidR="008C0E4B" w:rsidRDefault="008C0E4B" w:rsidP="00487261">
            <w:pPr>
              <w:keepNext/>
              <w:cnfStyle w:val="000000010000" w:firstRow="0" w:lastRow="0" w:firstColumn="0" w:lastColumn="0" w:oddVBand="0" w:evenVBand="0" w:oddHBand="0" w:evenHBand="1" w:firstRowFirstColumn="0" w:firstRowLastColumn="0" w:lastRowFirstColumn="0" w:lastRowLastColumn="0"/>
            </w:pPr>
            <w:r w:rsidRPr="00A67508">
              <w:rPr>
                <w:szCs w:val="16"/>
              </w:rPr>
              <w:t>0.0</w:t>
            </w:r>
          </w:p>
        </w:tc>
        <w:tc>
          <w:tcPr>
            <w:tcW w:w="923" w:type="dxa"/>
          </w:tcPr>
          <w:p w:rsidR="008C0E4B" w:rsidRDefault="008C0E4B" w:rsidP="00487261">
            <w:pPr>
              <w:keepNext/>
              <w:cnfStyle w:val="000000010000" w:firstRow="0" w:lastRow="0" w:firstColumn="0" w:lastColumn="0" w:oddVBand="0" w:evenVBand="0" w:oddHBand="0" w:evenHBand="1" w:firstRowFirstColumn="0" w:firstRowLastColumn="0" w:lastRowFirstColumn="0" w:lastRowLastColumn="0"/>
            </w:pPr>
            <w:r w:rsidRPr="00A67508">
              <w:rPr>
                <w:szCs w:val="16"/>
              </w:rPr>
              <w:t>0.</w:t>
            </w:r>
            <w:r>
              <w:rPr>
                <w:szCs w:val="16"/>
              </w:rPr>
              <w:t>3</w:t>
            </w:r>
          </w:p>
        </w:tc>
        <w:tc>
          <w:tcPr>
            <w:tcW w:w="922" w:type="dxa"/>
          </w:tcPr>
          <w:p w:rsidR="008C0E4B" w:rsidRDefault="008C0E4B" w:rsidP="00487261">
            <w:pPr>
              <w:keepNext/>
              <w:cnfStyle w:val="000000010000" w:firstRow="0" w:lastRow="0" w:firstColumn="0" w:lastColumn="0" w:oddVBand="0" w:evenVBand="0" w:oddHBand="0" w:evenHBand="1" w:firstRowFirstColumn="0" w:firstRowLastColumn="0" w:lastRowFirstColumn="0" w:lastRowLastColumn="0"/>
            </w:pPr>
            <w:r w:rsidRPr="00A67508">
              <w:rPr>
                <w:szCs w:val="16"/>
              </w:rPr>
              <w:t>0.</w:t>
            </w:r>
            <w:r>
              <w:rPr>
                <w:szCs w:val="16"/>
              </w:rPr>
              <w:t>1</w:t>
            </w:r>
          </w:p>
        </w:tc>
        <w:tc>
          <w:tcPr>
            <w:tcW w:w="923" w:type="dxa"/>
          </w:tcPr>
          <w:p w:rsidR="008C0E4B" w:rsidRDefault="008C0E4B" w:rsidP="00487261">
            <w:pPr>
              <w:keepNext/>
              <w:cnfStyle w:val="000000010000" w:firstRow="0" w:lastRow="0" w:firstColumn="0" w:lastColumn="0" w:oddVBand="0" w:evenVBand="0" w:oddHBand="0" w:evenHBand="1" w:firstRowFirstColumn="0" w:firstRowLastColumn="0" w:lastRowFirstColumn="0" w:lastRowLastColumn="0"/>
            </w:pPr>
            <w:r>
              <w:rPr>
                <w:szCs w:val="16"/>
              </w:rPr>
              <w:t>-</w:t>
            </w:r>
          </w:p>
        </w:tc>
        <w:tc>
          <w:tcPr>
            <w:tcW w:w="923" w:type="dxa"/>
          </w:tcPr>
          <w:p w:rsidR="008C0E4B" w:rsidRDefault="008C0E4B" w:rsidP="00487261">
            <w:pPr>
              <w:keepNext/>
              <w:cnfStyle w:val="000000010000" w:firstRow="0" w:lastRow="0" w:firstColumn="0" w:lastColumn="0" w:oddVBand="0" w:evenVBand="0" w:oddHBand="0" w:evenHBand="1" w:firstRowFirstColumn="0" w:firstRowLastColumn="0" w:lastRowFirstColumn="0" w:lastRowLastColumn="0"/>
            </w:pPr>
            <w:r>
              <w:rPr>
                <w:szCs w:val="16"/>
              </w:rPr>
              <w:t>0.4</w:t>
            </w:r>
          </w:p>
        </w:tc>
      </w:tr>
      <w:tr w:rsidR="008C0E4B" w:rsidRPr="002D5654" w:rsidTr="008C0E4B">
        <w:tc>
          <w:tcPr>
            <w:cnfStyle w:val="001000000000" w:firstRow="0" w:lastRow="0" w:firstColumn="1" w:lastColumn="0" w:oddVBand="0" w:evenVBand="0" w:oddHBand="0" w:evenHBand="0" w:firstRowFirstColumn="0" w:firstRowLastColumn="0" w:lastRowFirstColumn="0" w:lastRowLastColumn="0"/>
            <w:tcW w:w="2235" w:type="dxa"/>
          </w:tcPr>
          <w:p w:rsidR="008C0E4B" w:rsidRPr="002D5654" w:rsidRDefault="008C0E4B" w:rsidP="00487261">
            <w:pPr>
              <w:keepNext/>
            </w:pPr>
            <w:r w:rsidRPr="00120490">
              <w:rPr>
                <w:szCs w:val="16"/>
              </w:rPr>
              <w:t>NET TOTAL CAPITAL EXPENDITURE</w:t>
            </w:r>
          </w:p>
        </w:tc>
        <w:tc>
          <w:tcPr>
            <w:tcW w:w="922" w:type="dxa"/>
          </w:tcPr>
          <w:p w:rsidR="008C0E4B" w:rsidRDefault="008C0E4B" w:rsidP="00487261">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4.5</w:t>
            </w:r>
          </w:p>
        </w:tc>
        <w:tc>
          <w:tcPr>
            <w:tcW w:w="923" w:type="dxa"/>
          </w:tcPr>
          <w:p w:rsidR="008C0E4B" w:rsidRDefault="008C0E4B" w:rsidP="00487261">
            <w:pPr>
              <w:keepNext/>
              <w:cnfStyle w:val="000000000000" w:firstRow="0" w:lastRow="0" w:firstColumn="0" w:lastColumn="0" w:oddVBand="0" w:evenVBand="0" w:oddHBand="0" w:evenHBand="0" w:firstRowFirstColumn="0" w:firstRowLastColumn="0" w:lastRowFirstColumn="0" w:lastRowLastColumn="0"/>
            </w:pPr>
            <w:r>
              <w:rPr>
                <w:szCs w:val="16"/>
              </w:rPr>
              <w:t>4.5</w:t>
            </w:r>
          </w:p>
        </w:tc>
        <w:tc>
          <w:tcPr>
            <w:tcW w:w="922" w:type="dxa"/>
          </w:tcPr>
          <w:p w:rsidR="008C0E4B" w:rsidRDefault="008C0E4B" w:rsidP="00487261">
            <w:pPr>
              <w:keepNext/>
              <w:cnfStyle w:val="000000000000" w:firstRow="0" w:lastRow="0" w:firstColumn="0" w:lastColumn="0" w:oddVBand="0" w:evenVBand="0" w:oddHBand="0" w:evenHBand="0" w:firstRowFirstColumn="0" w:firstRowLastColumn="0" w:lastRowFirstColumn="0" w:lastRowLastColumn="0"/>
            </w:pPr>
            <w:r>
              <w:rPr>
                <w:szCs w:val="16"/>
              </w:rPr>
              <w:t>16.9</w:t>
            </w:r>
          </w:p>
        </w:tc>
        <w:tc>
          <w:tcPr>
            <w:tcW w:w="923" w:type="dxa"/>
          </w:tcPr>
          <w:p w:rsidR="008C0E4B" w:rsidRDefault="008C0E4B" w:rsidP="00487261">
            <w:pPr>
              <w:keepNext/>
              <w:cnfStyle w:val="000000000000" w:firstRow="0" w:lastRow="0" w:firstColumn="0" w:lastColumn="0" w:oddVBand="0" w:evenVBand="0" w:oddHBand="0" w:evenHBand="0" w:firstRowFirstColumn="0" w:firstRowLastColumn="0" w:lastRowFirstColumn="0" w:lastRowLastColumn="0"/>
            </w:pPr>
            <w:r>
              <w:rPr>
                <w:szCs w:val="16"/>
              </w:rPr>
              <w:t>4.0</w:t>
            </w:r>
          </w:p>
        </w:tc>
        <w:tc>
          <w:tcPr>
            <w:tcW w:w="922" w:type="dxa"/>
          </w:tcPr>
          <w:p w:rsidR="008C0E4B" w:rsidRDefault="008C0E4B" w:rsidP="00487261">
            <w:pPr>
              <w:keepNext/>
              <w:cnfStyle w:val="000000000000" w:firstRow="0" w:lastRow="0" w:firstColumn="0" w:lastColumn="0" w:oddVBand="0" w:evenVBand="0" w:oddHBand="0" w:evenHBand="0" w:firstRowFirstColumn="0" w:firstRowLastColumn="0" w:lastRowFirstColumn="0" w:lastRowLastColumn="0"/>
            </w:pPr>
            <w:r>
              <w:rPr>
                <w:szCs w:val="16"/>
              </w:rPr>
              <w:t>4.1</w:t>
            </w:r>
          </w:p>
        </w:tc>
        <w:tc>
          <w:tcPr>
            <w:tcW w:w="923" w:type="dxa"/>
          </w:tcPr>
          <w:p w:rsidR="008C0E4B" w:rsidRDefault="008C0E4B" w:rsidP="00487261">
            <w:pPr>
              <w:keepNext/>
              <w:cnfStyle w:val="000000000000" w:firstRow="0" w:lastRow="0" w:firstColumn="0" w:lastColumn="0" w:oddVBand="0" w:evenVBand="0" w:oddHBand="0" w:evenHBand="0" w:firstRowFirstColumn="0" w:firstRowLastColumn="0" w:lastRowFirstColumn="0" w:lastRowLastColumn="0"/>
            </w:pPr>
            <w:r>
              <w:rPr>
                <w:szCs w:val="16"/>
              </w:rPr>
              <w:t>7.8</w:t>
            </w:r>
          </w:p>
        </w:tc>
        <w:tc>
          <w:tcPr>
            <w:tcW w:w="923" w:type="dxa"/>
          </w:tcPr>
          <w:p w:rsidR="008C0E4B" w:rsidRDefault="008C0E4B" w:rsidP="00487261">
            <w:pPr>
              <w:keepNext/>
              <w:cnfStyle w:val="000000000000" w:firstRow="0" w:lastRow="0" w:firstColumn="0" w:lastColumn="0" w:oddVBand="0" w:evenVBand="0" w:oddHBand="0" w:evenHBand="0" w:firstRowFirstColumn="0" w:firstRowLastColumn="0" w:lastRowFirstColumn="0" w:lastRowLastColumn="0"/>
            </w:pPr>
            <w:r>
              <w:rPr>
                <w:szCs w:val="16"/>
              </w:rPr>
              <w:t>37.4</w:t>
            </w:r>
          </w:p>
        </w:tc>
      </w:tr>
    </w:tbl>
    <w:p w:rsidR="002D5654" w:rsidRDefault="002D5654" w:rsidP="00487261">
      <w:pPr>
        <w:pStyle w:val="AERtablesource"/>
        <w:keepNext/>
      </w:pPr>
      <w:r w:rsidRPr="002D5654">
        <w:t xml:space="preserve">Source: </w:t>
      </w:r>
      <w:r w:rsidRPr="002D5654">
        <w:tab/>
        <w:t>AER analysis. Totals may not add due to rounding.</w:t>
      </w:r>
    </w:p>
    <w:p w:rsidR="00A30095" w:rsidRPr="00A30095" w:rsidRDefault="00A30095" w:rsidP="009D1015">
      <w:pPr>
        <w:pStyle w:val="AERtablesource"/>
      </w:pPr>
      <w:r>
        <w:t>Note:</w:t>
      </w:r>
      <w:r>
        <w:tab/>
        <w:t>Includes AER labour escalation adjustments.</w:t>
      </w:r>
    </w:p>
    <w:p w:rsidR="002D5654" w:rsidRPr="002D5654" w:rsidRDefault="002D5654" w:rsidP="002D5654">
      <w:r w:rsidRPr="002D5654">
        <w:t>Our analysis of the capex driver categories is set out below.</w:t>
      </w:r>
    </w:p>
    <w:p w:rsidR="002D5654" w:rsidRPr="00CD570B" w:rsidRDefault="002D5654" w:rsidP="00CD570B">
      <w:pPr>
        <w:pStyle w:val="HeadingBoldBlue"/>
      </w:pPr>
      <w:r w:rsidRPr="00CD570B">
        <w:t>Expansion capex</w:t>
      </w:r>
    </w:p>
    <w:p w:rsidR="00FF31F7" w:rsidRPr="00FF31F7" w:rsidRDefault="00FF31F7" w:rsidP="00FF31F7">
      <w:r w:rsidRPr="00FF31F7">
        <w:t xml:space="preserve">APTNT has proposed expansion capex of $1.4 million ($2015-16) for the </w:t>
      </w:r>
      <w:r w:rsidR="006A555A">
        <w:t>2011–16</w:t>
      </w:r>
      <w:r w:rsidRPr="00FF31F7">
        <w:t xml:space="preserve"> access arrangement period.</w:t>
      </w:r>
      <w:r w:rsidRPr="00FF31F7">
        <w:rPr>
          <w:vertAlign w:val="superscript"/>
        </w:rPr>
        <w:footnoteReference w:id="22"/>
      </w:r>
      <w:r w:rsidRPr="00FF31F7">
        <w:t xml:space="preserve"> </w:t>
      </w:r>
      <w:r>
        <w:t xml:space="preserve">In the previous access arrangement review, </w:t>
      </w:r>
      <w:r w:rsidRPr="00FF31F7">
        <w:t xml:space="preserve">APTNT did not propose, and the AER did not provide for, any expansion capex for the </w:t>
      </w:r>
      <w:r w:rsidR="006A555A">
        <w:t>2011–16</w:t>
      </w:r>
      <w:r w:rsidRPr="00FF31F7">
        <w:t xml:space="preserve"> access arrangement period. </w:t>
      </w:r>
      <w:r w:rsidR="00CB2B61">
        <w:t xml:space="preserve">Subsequently, APTNT completed two expansion projects in the </w:t>
      </w:r>
      <w:r w:rsidR="006A555A">
        <w:t>2011–16</w:t>
      </w:r>
      <w:r w:rsidR="00CB2B61">
        <w:t xml:space="preserve"> access arrangement period:</w:t>
      </w:r>
      <w:r w:rsidRPr="00FF31F7">
        <w:t xml:space="preserve"> the Katherine meter station upgrade ($0.8</w:t>
      </w:r>
      <w:r w:rsidR="008C0E4B">
        <w:t> </w:t>
      </w:r>
      <w:r w:rsidRPr="00FF31F7">
        <w:t>million ($2015</w:t>
      </w:r>
      <w:r w:rsidR="000B70FD">
        <w:noBreakHyphen/>
      </w:r>
      <w:r w:rsidRPr="00FF31F7">
        <w:t>16)) and the</w:t>
      </w:r>
      <w:r>
        <w:t xml:space="preserve"> Noonamah offtake</w:t>
      </w:r>
      <w:r w:rsidRPr="00FF31F7">
        <w:t xml:space="preserve"> ($0.6 million ($2015</w:t>
      </w:r>
      <w:r w:rsidR="000B70FD">
        <w:noBreakHyphen/>
      </w:r>
      <w:r w:rsidRPr="00FF31F7">
        <w:t>16)).</w:t>
      </w:r>
    </w:p>
    <w:p w:rsidR="00FF31F7" w:rsidRPr="00FF31F7" w:rsidRDefault="00D363E4" w:rsidP="00FF31F7">
      <w:r>
        <w:t>APTNT submitted that, although the possibility of work on the Katherine meter station was known at the time of the previous access arrangement review</w:t>
      </w:r>
      <w:r w:rsidR="00FF31F7" w:rsidRPr="00FF31F7">
        <w:t xml:space="preserve">, the customer </w:t>
      </w:r>
      <w:r>
        <w:t xml:space="preserve">had </w:t>
      </w:r>
      <w:r w:rsidR="00FF31F7" w:rsidRPr="00FF31F7">
        <w:t xml:space="preserve">asked APTNT to put the project on hold. </w:t>
      </w:r>
      <w:r>
        <w:t xml:space="preserve">The </w:t>
      </w:r>
      <w:r w:rsidR="00FF31F7" w:rsidRPr="00FF31F7">
        <w:t>customer subsequently asked APTNT to build a new outlet to the Katherine meter station, with associated valve and pipework, to allow it to connect some new gas turbine units. A</w:t>
      </w:r>
      <w:r>
        <w:t>PTNT submitted</w:t>
      </w:r>
      <w:r w:rsidR="00FF31F7" w:rsidRPr="00FF31F7">
        <w:t xml:space="preserve"> that a lack of information on the form of these works meant that APTNT did not include a forecast for this expenditure in its earlier access arrangement proposal.</w:t>
      </w:r>
      <w:r w:rsidR="00FF31F7" w:rsidRPr="00FF31F7">
        <w:rPr>
          <w:vertAlign w:val="superscript"/>
        </w:rPr>
        <w:footnoteReference w:id="23"/>
      </w:r>
      <w:r w:rsidR="00FF31F7" w:rsidRPr="00FF31F7">
        <w:t xml:space="preserve"> </w:t>
      </w:r>
    </w:p>
    <w:p w:rsidR="00FF31F7" w:rsidRPr="00FF31F7" w:rsidRDefault="00D363E4" w:rsidP="00FF31F7">
      <w:r>
        <w:t>T</w:t>
      </w:r>
      <w:r w:rsidR="00FF31F7" w:rsidRPr="00FF31F7">
        <w:t>he total capex for this work at the Katherine meter station site was $0.8 million ($2015</w:t>
      </w:r>
      <w:r w:rsidR="000B70FD">
        <w:noBreakHyphen/>
      </w:r>
      <w:r w:rsidR="00FF31F7" w:rsidRPr="00FF31F7">
        <w:t>16), incurred across 2012</w:t>
      </w:r>
      <w:r w:rsidR="000B70FD">
        <w:noBreakHyphen/>
      </w:r>
      <w:r w:rsidR="00FF31F7" w:rsidRPr="00FF31F7">
        <w:t>13 and 2013</w:t>
      </w:r>
      <w:r w:rsidR="000B70FD">
        <w:noBreakHyphen/>
      </w:r>
      <w:r w:rsidR="00FF31F7" w:rsidRPr="00FF31F7">
        <w:t xml:space="preserve">14. APTNT </w:t>
      </w:r>
      <w:r>
        <w:t>submitted</w:t>
      </w:r>
      <w:r w:rsidR="00FF31F7" w:rsidRPr="00FF31F7">
        <w:t xml:space="preserve"> that these works increased the capacity of the Katherine meter station site as a result of the new o</w:t>
      </w:r>
      <w:r>
        <w:t xml:space="preserve">utlet, and is justified under rule </w:t>
      </w:r>
      <w:r w:rsidR="00FF31F7" w:rsidRPr="00FF31F7">
        <w:t xml:space="preserve">79(2)(b) </w:t>
      </w:r>
      <w:r>
        <w:t xml:space="preserve">of the NGR </w:t>
      </w:r>
      <w:r w:rsidR="00FF31F7" w:rsidRPr="00FF31F7">
        <w:t xml:space="preserve">as the incremental revenue to be </w:t>
      </w:r>
      <w:r w:rsidR="00FF31F7" w:rsidRPr="00FF31F7">
        <w:lastRenderedPageBreak/>
        <w:t>generated from this expansion exceeds the present value of the capital expenditure.</w:t>
      </w:r>
      <w:r w:rsidR="00FF31F7" w:rsidRPr="00FF31F7">
        <w:rPr>
          <w:vertAlign w:val="superscript"/>
        </w:rPr>
        <w:footnoteReference w:id="24"/>
      </w:r>
      <w:r w:rsidR="00FF31F7" w:rsidRPr="00FF31F7">
        <w:t xml:space="preserve"> On the basis of the information provided by APTNT, </w:t>
      </w:r>
      <w:r w:rsidR="00CB2B61">
        <w:t xml:space="preserve">including an NPV analysis of the incremental revenue provided by the capacity expansion, </w:t>
      </w:r>
      <w:r>
        <w:t>we are satisfied</w:t>
      </w:r>
      <w:r w:rsidR="00FF31F7" w:rsidRPr="00FF31F7">
        <w:t xml:space="preserve"> that this amount is conf</w:t>
      </w:r>
      <w:r w:rsidR="008107F3">
        <w:t xml:space="preserve">orming capex in that it meets the criteria of rule </w:t>
      </w:r>
      <w:r w:rsidR="00FF31F7" w:rsidRPr="00FF31F7">
        <w:t xml:space="preserve">79(1)(a) </w:t>
      </w:r>
      <w:r w:rsidR="008107F3">
        <w:t xml:space="preserve">of the NGR </w:t>
      </w:r>
      <w:r w:rsidR="00FF31F7" w:rsidRPr="00FF31F7">
        <w:t xml:space="preserve">and </w:t>
      </w:r>
      <w:r w:rsidR="008107F3">
        <w:t xml:space="preserve">is justifiable on the basis of rule </w:t>
      </w:r>
      <w:r w:rsidR="00FF31F7" w:rsidRPr="00FF31F7">
        <w:t>79(2)(b) of the NGR.</w:t>
      </w:r>
    </w:p>
    <w:p w:rsidR="00FF31F7" w:rsidRPr="00FF31F7" w:rsidRDefault="00FF31F7" w:rsidP="00FF31F7">
      <w:r w:rsidRPr="00FF31F7">
        <w:t>In respect to the Noonamah offtake expansion project, APTNT stated that in 2013</w:t>
      </w:r>
      <w:r w:rsidR="000B70FD">
        <w:noBreakHyphen/>
      </w:r>
      <w:r w:rsidRPr="00FF31F7">
        <w:t xml:space="preserve">14 it built an offtake to supply a new </w:t>
      </w:r>
      <w:r w:rsidR="008107F3">
        <w:t xml:space="preserve">industrial </w:t>
      </w:r>
      <w:r w:rsidRPr="00FF31F7">
        <w:t>customer at a cost of $0.6 million ($2015</w:t>
      </w:r>
      <w:r w:rsidR="000B70FD">
        <w:noBreakHyphen/>
      </w:r>
      <w:r w:rsidRPr="00FF31F7">
        <w:t>16)</w:t>
      </w:r>
      <w:r w:rsidR="008107F3">
        <w:t>. This capex</w:t>
      </w:r>
      <w:r w:rsidRPr="00FF31F7">
        <w:t xml:space="preserve"> was not forecast in the earlier access arrangement period. APTNT </w:t>
      </w:r>
      <w:r w:rsidR="008107F3">
        <w:t>submitted</w:t>
      </w:r>
      <w:r w:rsidRPr="00FF31F7">
        <w:t xml:space="preserve"> that the project added an additional delivery </w:t>
      </w:r>
      <w:r w:rsidR="008107F3">
        <w:t xml:space="preserve">point to the AGP, and is justified under rule </w:t>
      </w:r>
      <w:r w:rsidRPr="00FF31F7">
        <w:t>79(2)(b) of the NGR as the incremental revenue to be generated from this expansion exceeds the present value of the capital expenditure.</w:t>
      </w:r>
      <w:r w:rsidRPr="00FF31F7">
        <w:rPr>
          <w:vertAlign w:val="superscript"/>
        </w:rPr>
        <w:footnoteReference w:id="25"/>
      </w:r>
      <w:r w:rsidRPr="00FF31F7">
        <w:rPr>
          <w:vertAlign w:val="superscript"/>
        </w:rPr>
        <w:t xml:space="preserve"> </w:t>
      </w:r>
      <w:r w:rsidR="008107F3" w:rsidRPr="00FF31F7">
        <w:t xml:space="preserve">On the basis of the information provided by APTNT, </w:t>
      </w:r>
      <w:r w:rsidR="008107F3">
        <w:t>including an NPV analysis of the incremental revenue provided by the capacity expansion, we are satisfied</w:t>
      </w:r>
      <w:r w:rsidR="008107F3" w:rsidRPr="00FF31F7">
        <w:t xml:space="preserve"> that this amount is conf</w:t>
      </w:r>
      <w:r w:rsidR="008107F3">
        <w:t xml:space="preserve">orming capex in that it meets the criteria of rule </w:t>
      </w:r>
      <w:r w:rsidR="008107F3" w:rsidRPr="00FF31F7">
        <w:t xml:space="preserve">79(1)(a) </w:t>
      </w:r>
      <w:r w:rsidR="008107F3">
        <w:t xml:space="preserve">of the NGR </w:t>
      </w:r>
      <w:r w:rsidR="008107F3" w:rsidRPr="00FF31F7">
        <w:t xml:space="preserve">and </w:t>
      </w:r>
      <w:r w:rsidR="008107F3">
        <w:t xml:space="preserve">is justifiable on the basis of rule </w:t>
      </w:r>
      <w:r w:rsidR="008107F3" w:rsidRPr="00FF31F7">
        <w:t>79(2)(b) of the NGR</w:t>
      </w:r>
      <w:r w:rsidR="008107F3">
        <w:t>.</w:t>
      </w:r>
    </w:p>
    <w:p w:rsidR="00FF31F7" w:rsidRPr="00FF31F7" w:rsidRDefault="00FF31F7" w:rsidP="00CD570B">
      <w:pPr>
        <w:pStyle w:val="HeadingBoldBlue"/>
      </w:pPr>
      <w:r w:rsidRPr="00FF31F7">
        <w:t>Replacement capex</w:t>
      </w:r>
    </w:p>
    <w:p w:rsidR="00FF31F7" w:rsidRPr="00FF31F7" w:rsidRDefault="008107F3" w:rsidP="00FF31F7">
      <w:pPr>
        <w:numPr>
          <w:ilvl w:val="0"/>
          <w:numId w:val="24"/>
        </w:numPr>
      </w:pPr>
      <w:r>
        <w:t>APTNT</w:t>
      </w:r>
      <w:r w:rsidR="00FF31F7" w:rsidRPr="00FF31F7">
        <w:t xml:space="preserve"> proposed replacement capex of $35.8 million ($2015</w:t>
      </w:r>
      <w:r w:rsidR="000B70FD">
        <w:noBreakHyphen/>
      </w:r>
      <w:r w:rsidR="00FF31F7" w:rsidRPr="00FF31F7">
        <w:t xml:space="preserve">16) for the </w:t>
      </w:r>
      <w:r w:rsidR="006A555A">
        <w:t>2011–16</w:t>
      </w:r>
      <w:r w:rsidR="00FF31F7" w:rsidRPr="00FF31F7">
        <w:t xml:space="preserve"> access arrangement period.</w:t>
      </w:r>
      <w:r w:rsidR="00FF31F7" w:rsidRPr="00FF31F7">
        <w:rPr>
          <w:vertAlign w:val="superscript"/>
        </w:rPr>
        <w:footnoteReference w:id="26"/>
      </w:r>
      <w:r w:rsidR="00FF31F7" w:rsidRPr="00FF31F7">
        <w:t xml:space="preserve"> This is $13</w:t>
      </w:r>
      <w:r>
        <w:t>.6 million ($2015</w:t>
      </w:r>
      <w:r w:rsidR="000B70FD">
        <w:noBreakHyphen/>
      </w:r>
      <w:r>
        <w:t>16) or 62 per cent</w:t>
      </w:r>
      <w:r w:rsidR="00FF31F7" w:rsidRPr="00FF31F7">
        <w:t xml:space="preserve"> more than the AER’s allowance for APTNT’s replacement capex for the </w:t>
      </w:r>
      <w:r w:rsidR="006A555A">
        <w:t>2011–16</w:t>
      </w:r>
      <w:r w:rsidR="00FF31F7" w:rsidRPr="00FF31F7">
        <w:t xml:space="preserve"> access arrangement period.</w:t>
      </w:r>
      <w:r w:rsidR="00FF31F7" w:rsidRPr="00FF31F7">
        <w:rPr>
          <w:vertAlign w:val="superscript"/>
        </w:rPr>
        <w:footnoteReference w:id="27"/>
      </w:r>
      <w:r w:rsidR="00FF31F7" w:rsidRPr="00FF31F7">
        <w:t xml:space="preserve"> APTNT stated that all proj</w:t>
      </w:r>
      <w:r>
        <w:t>ects in this category satisfy rule </w:t>
      </w:r>
      <w:r w:rsidR="00FF31F7" w:rsidRPr="00FF31F7">
        <w:t xml:space="preserve">79(2)(c) of the NGR as essential to maintain the safety and integrity of services, and to ensure continuing compliance with regulatory obligations, in particular those set out in </w:t>
      </w:r>
      <w:r w:rsidR="005E2A7C">
        <w:t xml:space="preserve">Australian Standard </w:t>
      </w:r>
      <w:r w:rsidR="00FF31F7" w:rsidRPr="00FF31F7">
        <w:t>2885.3.</w:t>
      </w:r>
      <w:r w:rsidR="00FF31F7" w:rsidRPr="00FF31F7">
        <w:rPr>
          <w:vertAlign w:val="superscript"/>
        </w:rPr>
        <w:footnoteReference w:id="28"/>
      </w:r>
    </w:p>
    <w:p w:rsidR="00FF31F7" w:rsidRPr="00FF31F7" w:rsidRDefault="00FF31F7" w:rsidP="00FF31F7">
      <w:r w:rsidRPr="00FF31F7">
        <w:t>We have included $28.8 million ($2015</w:t>
      </w:r>
      <w:r w:rsidR="000B70FD">
        <w:noBreakHyphen/>
      </w:r>
      <w:r w:rsidRPr="00FF31F7">
        <w:t xml:space="preserve">16) for replacement capex in our </w:t>
      </w:r>
      <w:r w:rsidR="005E2A7C">
        <w:t>estimate</w:t>
      </w:r>
      <w:r w:rsidRPr="00FF31F7">
        <w:t xml:space="preserve"> of conforming capex for the </w:t>
      </w:r>
      <w:r w:rsidR="006A555A">
        <w:t>2011–16</w:t>
      </w:r>
      <w:r w:rsidRPr="00FF31F7">
        <w:t xml:space="preserve"> access arrangement period. This is a reduction of $7.0 million or 20 per cent from APTNT’s proposed replacement capex for the </w:t>
      </w:r>
      <w:r w:rsidR="006A555A">
        <w:t>2011–16</w:t>
      </w:r>
      <w:r w:rsidRPr="00FF31F7">
        <w:t xml:space="preserve"> access arrangement per</w:t>
      </w:r>
      <w:r w:rsidR="005E2A7C">
        <w:t>iod. We consider this amount is</w:t>
      </w:r>
      <w:r w:rsidRPr="00FF31F7">
        <w:t xml:space="preserve"> sufficient for APTNT to maintain the safety, reliability and integrity of the AGP, and is prudent and efficient.</w:t>
      </w:r>
      <w:r w:rsidRPr="00FF31F7">
        <w:rPr>
          <w:vertAlign w:val="superscript"/>
        </w:rPr>
        <w:footnoteReference w:id="29"/>
      </w:r>
      <w:r w:rsidR="00F11395">
        <w:t xml:space="preserve"> </w:t>
      </w:r>
      <w:r w:rsidR="006E0A57">
        <w:t>Our reasoning is detailed below.</w:t>
      </w:r>
    </w:p>
    <w:p w:rsidR="00FF31F7" w:rsidRPr="00FF31F7" w:rsidRDefault="00FF31F7" w:rsidP="00FF31F7">
      <w:r w:rsidRPr="00FF31F7">
        <w:t xml:space="preserve">APTNT’s proposed replacement capex for the earlier access arrangement </w:t>
      </w:r>
      <w:r w:rsidR="00A94E3D">
        <w:t>period includes capex for thirty three</w:t>
      </w:r>
      <w:r w:rsidRPr="00FF31F7">
        <w:t xml:space="preserve"> separate replacement projects or programs. </w:t>
      </w:r>
      <w:r w:rsidR="005E2A7C">
        <w:t xml:space="preserve">Many of these projects span both the </w:t>
      </w:r>
      <w:r w:rsidR="006A555A">
        <w:t>2011–16</w:t>
      </w:r>
      <w:r w:rsidR="005E2A7C">
        <w:t xml:space="preserve"> and </w:t>
      </w:r>
      <w:r w:rsidR="006A555A">
        <w:t>2016–21</w:t>
      </w:r>
      <w:r w:rsidR="005E2A7C">
        <w:t xml:space="preserve"> </w:t>
      </w:r>
      <w:r w:rsidRPr="00FF31F7">
        <w:t>access arrangeme</w:t>
      </w:r>
      <w:r w:rsidR="007C718F">
        <w:t xml:space="preserve">nt periods. For the </w:t>
      </w:r>
      <w:r w:rsidR="006A555A">
        <w:t>2011–16</w:t>
      </w:r>
      <w:r w:rsidRPr="00FF31F7">
        <w:t xml:space="preserve"> access arrangement period, </w:t>
      </w:r>
      <w:r w:rsidR="007C718F">
        <w:t>thirty of</w:t>
      </w:r>
      <w:r w:rsidRPr="00FF31F7">
        <w:t xml:space="preserve"> these are </w:t>
      </w:r>
      <w:r w:rsidR="007C718F">
        <w:t xml:space="preserve">relatively </w:t>
      </w:r>
      <w:r w:rsidRPr="00FF31F7">
        <w:t>minor asset replacement or refurbishment projects</w:t>
      </w:r>
      <w:r w:rsidR="007C718F">
        <w:t xml:space="preserve"> or components within a program, </w:t>
      </w:r>
      <w:r w:rsidRPr="00FF31F7">
        <w:t xml:space="preserve">planned to ensure the AGP meets regulatory, safety, environmental, and </w:t>
      </w:r>
      <w:r w:rsidR="00004796">
        <w:t>service level</w:t>
      </w:r>
      <w:r w:rsidR="00004796" w:rsidRPr="00FF31F7">
        <w:t xml:space="preserve"> </w:t>
      </w:r>
      <w:r w:rsidRPr="00FF31F7">
        <w:lastRenderedPageBreak/>
        <w:t>requirements. T</w:t>
      </w:r>
      <w:r w:rsidR="007C718F">
        <w:t>he total cost of these thirty</w:t>
      </w:r>
      <w:r w:rsidRPr="00FF31F7">
        <w:t xml:space="preserve"> projects and programs is $</w:t>
      </w:r>
      <w:r w:rsidR="007C718F">
        <w:t>15.0</w:t>
      </w:r>
      <w:r w:rsidRPr="00FF31F7">
        <w:t xml:space="preserve"> million ($2015</w:t>
      </w:r>
      <w:r w:rsidR="000B70FD">
        <w:noBreakHyphen/>
      </w:r>
      <w:r w:rsidRPr="00FF31F7">
        <w:t>16). We accept APTNT’s actual and estimated capex for these minor projects as conforming capex in accordance with rule 79 of the NGR.</w:t>
      </w:r>
      <w:r w:rsidRPr="00FF31F7">
        <w:rPr>
          <w:vertAlign w:val="superscript"/>
        </w:rPr>
        <w:footnoteReference w:id="30"/>
      </w:r>
      <w:r w:rsidRPr="00FF31F7">
        <w:t xml:space="preserve"> </w:t>
      </w:r>
      <w:r w:rsidR="007C718F">
        <w:t>Based on our review of the information provided</w:t>
      </w:r>
      <w:r w:rsidR="00BD37DE">
        <w:t xml:space="preserve"> by APTNT in support of these projects, w</w:t>
      </w:r>
      <w:r w:rsidRPr="00FF31F7">
        <w:t xml:space="preserve">e are satisfied that: </w:t>
      </w:r>
    </w:p>
    <w:p w:rsidR="00FF31F7" w:rsidRPr="00FF31F7" w:rsidRDefault="00FF31F7" w:rsidP="00D95DB3">
      <w:pPr>
        <w:pStyle w:val="AERbulletlistfirststyle"/>
      </w:pPr>
      <w:r w:rsidRPr="00FF31F7">
        <w:t xml:space="preserve">APTNT’s access arrangement revision submission </w:t>
      </w:r>
      <w:r w:rsidR="006D69B5">
        <w:t xml:space="preserve">and pipeline integrity management plan </w:t>
      </w:r>
      <w:r w:rsidR="005E2A7C">
        <w:t>sufficiently justif</w:t>
      </w:r>
      <w:r w:rsidR="006D69B5">
        <w:t>y</w:t>
      </w:r>
      <w:r w:rsidRPr="00FF31F7">
        <w:t xml:space="preserve"> the basis, need, timing and cost of these minor projects and programs </w:t>
      </w:r>
    </w:p>
    <w:p w:rsidR="00FF31F7" w:rsidRPr="00FF31F7" w:rsidRDefault="00FF31F7" w:rsidP="00D95DB3">
      <w:pPr>
        <w:pStyle w:val="AERbulletlistfirststyle"/>
      </w:pPr>
      <w:r w:rsidRPr="00FF31F7">
        <w:t>the capex would be incurred by a prudent service provider acting efficiently, in accordance with accepted good industry practice, to achieve the lowest sustainable cost of providing services, and</w:t>
      </w:r>
    </w:p>
    <w:p w:rsidR="00FF31F7" w:rsidRPr="00FF31F7" w:rsidRDefault="00FF31F7" w:rsidP="00D95DB3">
      <w:pPr>
        <w:pStyle w:val="AERbulletlistfirststyle"/>
      </w:pPr>
      <w:r w:rsidRPr="00FF31F7">
        <w:t xml:space="preserve">the incurred capex is justifiable on the basis that the asset replacement works </w:t>
      </w:r>
      <w:r w:rsidRPr="00D95DB3">
        <w:t>are</w:t>
      </w:r>
      <w:r w:rsidRPr="00FF31F7">
        <w:t xml:space="preserve"> necessary to maintain the safety and integrity of pipeline services.</w:t>
      </w:r>
    </w:p>
    <w:p w:rsidR="00FF31F7" w:rsidRPr="00FF31F7" w:rsidRDefault="007C718F" w:rsidP="00FF31F7">
      <w:r>
        <w:t>T</w:t>
      </w:r>
      <w:r w:rsidR="00FF31F7" w:rsidRPr="00FF31F7">
        <w:t xml:space="preserve">he most significant replacement capex projects </w:t>
      </w:r>
      <w:r w:rsidR="00A94E3D">
        <w:t xml:space="preserve">contributing to the overspend in replacement capex </w:t>
      </w:r>
      <w:r>
        <w:t>are</w:t>
      </w:r>
      <w:r w:rsidR="0032658E">
        <w:t xml:space="preserve"> the belowground station p</w:t>
      </w:r>
      <w:r w:rsidR="00FF31F7" w:rsidRPr="00FF31F7">
        <w:t>ipewo</w:t>
      </w:r>
      <w:r w:rsidR="0032658E">
        <w:t>rk r</w:t>
      </w:r>
      <w:r w:rsidR="00407A96">
        <w:t>ecoating project s</w:t>
      </w:r>
      <w:r>
        <w:t>tage 1 ($6</w:t>
      </w:r>
      <w:r w:rsidR="00FF31F7" w:rsidRPr="00FF31F7">
        <w:t>.</w:t>
      </w:r>
      <w:r>
        <w:t>1</w:t>
      </w:r>
      <w:r w:rsidR="00407A96">
        <w:t xml:space="preserve"> million ($2015</w:t>
      </w:r>
      <w:r w:rsidR="000B70FD">
        <w:noBreakHyphen/>
      </w:r>
      <w:r w:rsidR="00407A96">
        <w:t>16)) and s</w:t>
      </w:r>
      <w:r w:rsidR="00FF31F7" w:rsidRPr="00FF31F7">
        <w:t>tage 2 ($9</w:t>
      </w:r>
      <w:r w:rsidR="0032658E">
        <w:t>.7 million ($2015</w:t>
      </w:r>
      <w:r w:rsidR="000B70FD">
        <w:noBreakHyphen/>
      </w:r>
      <w:r w:rsidR="0032658E">
        <w:t>16), and the b</w:t>
      </w:r>
      <w:r w:rsidR="00FF31F7" w:rsidRPr="00FF31F7">
        <w:t>idirectional pigging project ($5.</w:t>
      </w:r>
      <w:r w:rsidR="00A94E3D">
        <w:t>0 million ($2015</w:t>
      </w:r>
      <w:r w:rsidR="000B70FD">
        <w:noBreakHyphen/>
      </w:r>
      <w:r w:rsidR="00A94E3D">
        <w:t>16)). These</w:t>
      </w:r>
      <w:r>
        <w:t xml:space="preserve"> three projects account for $20.8 million or 5</w:t>
      </w:r>
      <w:r w:rsidR="00BD37DE">
        <w:t xml:space="preserve">8 per cent of </w:t>
      </w:r>
      <w:r w:rsidR="00AC50C8">
        <w:t xml:space="preserve">actual and estimated </w:t>
      </w:r>
      <w:r w:rsidR="00AC50C8" w:rsidRPr="00FF31F7">
        <w:t>replacement capex</w:t>
      </w:r>
      <w:r w:rsidR="00AC50C8">
        <w:t xml:space="preserve"> in </w:t>
      </w:r>
      <w:r w:rsidR="00BD37DE">
        <w:t xml:space="preserve">the </w:t>
      </w:r>
      <w:r w:rsidR="006A555A">
        <w:t>2011–16</w:t>
      </w:r>
      <w:r w:rsidR="00FF31F7" w:rsidRPr="00FF31F7">
        <w:t xml:space="preserve"> access arrangement period. </w:t>
      </w:r>
      <w:r w:rsidR="00AC50C8">
        <w:t>The total allowance for belowground station pipework recoating work and the bidirectional pigging project in the 2011–16 access arrangement period was $5.8 million.</w:t>
      </w:r>
      <w:r w:rsidR="00AC50C8">
        <w:rPr>
          <w:rStyle w:val="FootnoteReference"/>
        </w:rPr>
        <w:footnoteReference w:id="31"/>
      </w:r>
      <w:r w:rsidR="00AC50C8">
        <w:t xml:space="preserve"> </w:t>
      </w:r>
      <w:r w:rsidR="00FF31F7" w:rsidRPr="00FF31F7">
        <w:t>Our consideration of these projects is set out below.</w:t>
      </w:r>
    </w:p>
    <w:p w:rsidR="00FF31F7" w:rsidRPr="00FF31F7" w:rsidRDefault="00FF31F7" w:rsidP="00FF31F7">
      <w:pPr>
        <w:rPr>
          <w:b/>
          <w:bCs/>
        </w:rPr>
      </w:pPr>
      <w:r w:rsidRPr="00FF31F7">
        <w:rPr>
          <w:b/>
          <w:bCs/>
        </w:rPr>
        <w:t>Belowground station pipework recoating project</w:t>
      </w:r>
    </w:p>
    <w:p w:rsidR="00FF31F7" w:rsidRPr="00FF31F7" w:rsidRDefault="00CB3EB9" w:rsidP="00FF31F7">
      <w:pPr>
        <w:rPr>
          <w:bCs/>
        </w:rPr>
      </w:pPr>
      <w:r>
        <w:rPr>
          <w:bCs/>
        </w:rPr>
        <w:t>APTNT submitted</w:t>
      </w:r>
      <w:r w:rsidR="00FF31F7" w:rsidRPr="00FF31F7">
        <w:rPr>
          <w:bCs/>
        </w:rPr>
        <w:t xml:space="preserve"> that during the construction of the AGP</w:t>
      </w:r>
      <w:r w:rsidR="00407A96">
        <w:rPr>
          <w:bCs/>
        </w:rPr>
        <w:t xml:space="preserve"> in the 1980s</w:t>
      </w:r>
      <w:r w:rsidR="00FF31F7" w:rsidRPr="00FF31F7">
        <w:rPr>
          <w:bCs/>
        </w:rPr>
        <w:t xml:space="preserve">, complex joints, valves and fittings were coated with coal tar enamel. </w:t>
      </w:r>
      <w:r>
        <w:rPr>
          <w:bCs/>
        </w:rPr>
        <w:t>APTNT has</w:t>
      </w:r>
      <w:r w:rsidR="00FF31F7" w:rsidRPr="00FF31F7">
        <w:rPr>
          <w:bCs/>
        </w:rPr>
        <w:t xml:space="preserve"> identified coating defects at the majority of stations on the pipeline</w:t>
      </w:r>
      <w:r w:rsidR="00BD37DE">
        <w:rPr>
          <w:bCs/>
        </w:rPr>
        <w:t>.</w:t>
      </w:r>
      <w:r w:rsidR="00FF31F7" w:rsidRPr="00FF31F7">
        <w:rPr>
          <w:bCs/>
        </w:rPr>
        <w:t xml:space="preserve"> </w:t>
      </w:r>
      <w:r w:rsidR="00BD37DE">
        <w:rPr>
          <w:bCs/>
        </w:rPr>
        <w:t>S</w:t>
      </w:r>
      <w:r w:rsidR="00FF31F7" w:rsidRPr="00FF31F7">
        <w:rPr>
          <w:bCs/>
        </w:rPr>
        <w:t xml:space="preserve">pot samples of the coating within the scraper stations </w:t>
      </w:r>
      <w:r w:rsidR="00BD37DE">
        <w:rPr>
          <w:bCs/>
        </w:rPr>
        <w:t>have confirmed that</w:t>
      </w:r>
      <w:r w:rsidR="00FF31F7" w:rsidRPr="00FF31F7">
        <w:rPr>
          <w:bCs/>
        </w:rPr>
        <w:t xml:space="preserve"> coating defects exist in the coal tar enamel sections and at the heat shrink sleeves within the stations. APTNT consider</w:t>
      </w:r>
      <w:r w:rsidR="00BD37DE">
        <w:rPr>
          <w:bCs/>
        </w:rPr>
        <w:t>s that where coating</w:t>
      </w:r>
      <w:r w:rsidR="00FF31F7" w:rsidRPr="00FF31F7">
        <w:rPr>
          <w:bCs/>
        </w:rPr>
        <w:t xml:space="preserve"> defects exist in buried pipe work, there is high potential for the development of shielding of the pipe steel from the cathodic protection system</w:t>
      </w:r>
      <w:r w:rsidR="00BD37DE">
        <w:rPr>
          <w:bCs/>
        </w:rPr>
        <w:t>,</w:t>
      </w:r>
      <w:r w:rsidR="00FF31F7" w:rsidRPr="00FF31F7">
        <w:rPr>
          <w:bCs/>
        </w:rPr>
        <w:t xml:space="preserve"> resulting in corrosion. </w:t>
      </w:r>
      <w:r w:rsidR="00BD37DE">
        <w:rPr>
          <w:bCs/>
        </w:rPr>
        <w:t>N</w:t>
      </w:r>
      <w:r w:rsidR="00FF31F7" w:rsidRPr="00FF31F7">
        <w:rPr>
          <w:bCs/>
        </w:rPr>
        <w:t xml:space="preserve">one of this pipe work is able to be inspected through metal-loss pigging, and it is therefore necessary to excavate, inspect and repair each facility </w:t>
      </w:r>
      <w:r w:rsidR="00BD37DE" w:rsidRPr="00FF31F7">
        <w:rPr>
          <w:bCs/>
        </w:rPr>
        <w:t xml:space="preserve">where coal tar was used </w:t>
      </w:r>
      <w:r w:rsidR="00FF31F7" w:rsidRPr="00FF31F7">
        <w:rPr>
          <w:bCs/>
        </w:rPr>
        <w:t>by replacing the coatings with modern epoxy.</w:t>
      </w:r>
      <w:r w:rsidR="00FF31F7" w:rsidRPr="00FF31F7">
        <w:rPr>
          <w:bCs/>
          <w:vertAlign w:val="superscript"/>
        </w:rPr>
        <w:footnoteReference w:id="32"/>
      </w:r>
      <w:r w:rsidR="00FF31F7" w:rsidRPr="00FF31F7">
        <w:rPr>
          <w:bCs/>
        </w:rPr>
        <w:t xml:space="preserve"> </w:t>
      </w:r>
    </w:p>
    <w:p w:rsidR="00FF31F7" w:rsidRPr="00FF31F7" w:rsidRDefault="00FF31F7" w:rsidP="00FF31F7">
      <w:pPr>
        <w:rPr>
          <w:bCs/>
        </w:rPr>
      </w:pPr>
      <w:r w:rsidRPr="00FF31F7">
        <w:rPr>
          <w:bCs/>
        </w:rPr>
        <w:t>APTNT s</w:t>
      </w:r>
      <w:r w:rsidR="00BD37DE">
        <w:rPr>
          <w:bCs/>
        </w:rPr>
        <w:t>ubmitted</w:t>
      </w:r>
      <w:r w:rsidRPr="00FF31F7">
        <w:rPr>
          <w:bCs/>
        </w:rPr>
        <w:t xml:space="preserve"> that it has recoated nine stations to date </w:t>
      </w:r>
      <w:r w:rsidR="00BD37DE">
        <w:rPr>
          <w:bCs/>
        </w:rPr>
        <w:t>as part of stage one of this project at a cost of $6.1</w:t>
      </w:r>
      <w:r w:rsidRPr="00FF31F7">
        <w:rPr>
          <w:bCs/>
        </w:rPr>
        <w:t xml:space="preserve"> million ($2015</w:t>
      </w:r>
      <w:r w:rsidR="000B70FD">
        <w:rPr>
          <w:bCs/>
        </w:rPr>
        <w:noBreakHyphen/>
      </w:r>
      <w:r w:rsidRPr="00FF31F7">
        <w:rPr>
          <w:bCs/>
        </w:rPr>
        <w:t>16)</w:t>
      </w:r>
      <w:r w:rsidR="00BD37DE">
        <w:rPr>
          <w:bCs/>
        </w:rPr>
        <w:t>,</w:t>
      </w:r>
      <w:r w:rsidRPr="00FF31F7">
        <w:rPr>
          <w:bCs/>
        </w:rPr>
        <w:t xml:space="preserve"> compared to the AER’s approved forecast for this work of $5.6 million ($2015</w:t>
      </w:r>
      <w:r w:rsidR="000B70FD">
        <w:rPr>
          <w:bCs/>
        </w:rPr>
        <w:noBreakHyphen/>
      </w:r>
      <w:r w:rsidRPr="00FF31F7">
        <w:rPr>
          <w:bCs/>
        </w:rPr>
        <w:t xml:space="preserve">16). APTNT is proposing to complete recoating the </w:t>
      </w:r>
      <w:r w:rsidR="00D95DB3">
        <w:rPr>
          <w:bCs/>
        </w:rPr>
        <w:t>remaining 25 stations</w:t>
      </w:r>
      <w:r w:rsidRPr="00FF31F7">
        <w:rPr>
          <w:bCs/>
        </w:rPr>
        <w:t xml:space="preserve"> in stage</w:t>
      </w:r>
      <w:r w:rsidR="00D95DB3">
        <w:rPr>
          <w:bCs/>
        </w:rPr>
        <w:t xml:space="preserve"> 2 of the recoating project. APTNT has</w:t>
      </w:r>
      <w:r w:rsidRPr="00FF31F7">
        <w:rPr>
          <w:bCs/>
        </w:rPr>
        <w:t xml:space="preserve"> estimated </w:t>
      </w:r>
      <w:r w:rsidR="00D95DB3">
        <w:rPr>
          <w:bCs/>
        </w:rPr>
        <w:t>capex</w:t>
      </w:r>
      <w:r w:rsidRPr="00FF31F7">
        <w:rPr>
          <w:bCs/>
        </w:rPr>
        <w:t xml:space="preserve"> of $9.1 million ($2015</w:t>
      </w:r>
      <w:r w:rsidR="000B70FD">
        <w:rPr>
          <w:bCs/>
        </w:rPr>
        <w:noBreakHyphen/>
      </w:r>
      <w:r w:rsidRPr="00FF31F7">
        <w:rPr>
          <w:bCs/>
        </w:rPr>
        <w:t>16) in 2015</w:t>
      </w:r>
      <w:r w:rsidR="000B70FD">
        <w:rPr>
          <w:bCs/>
        </w:rPr>
        <w:noBreakHyphen/>
      </w:r>
      <w:r w:rsidRPr="00FF31F7">
        <w:rPr>
          <w:bCs/>
        </w:rPr>
        <w:t>16 for this work</w:t>
      </w:r>
      <w:r w:rsidR="00D95DB3">
        <w:rPr>
          <w:bCs/>
        </w:rPr>
        <w:t xml:space="preserve">, with further capex in the first year of the </w:t>
      </w:r>
      <w:r w:rsidR="006A555A">
        <w:rPr>
          <w:bCs/>
        </w:rPr>
        <w:t>2016–21</w:t>
      </w:r>
      <w:r w:rsidR="00D95DB3">
        <w:rPr>
          <w:bCs/>
        </w:rPr>
        <w:t xml:space="preserve"> access arrangement period</w:t>
      </w:r>
      <w:r w:rsidRPr="00FF31F7">
        <w:rPr>
          <w:bCs/>
        </w:rPr>
        <w:t xml:space="preserve">. APTNT stated that it is conducting </w:t>
      </w:r>
      <w:r w:rsidR="00D95DB3">
        <w:rPr>
          <w:bCs/>
        </w:rPr>
        <w:t>stage 2 of</w:t>
      </w:r>
      <w:r w:rsidRPr="00FF31F7">
        <w:rPr>
          <w:bCs/>
        </w:rPr>
        <w:t xml:space="preserve"> </w:t>
      </w:r>
      <w:r w:rsidRPr="00FF31F7">
        <w:rPr>
          <w:bCs/>
        </w:rPr>
        <w:lastRenderedPageBreak/>
        <w:t>this project through a fixed cost tender rather than a rates-based sole source contract it used for the first stage of the p</w:t>
      </w:r>
      <w:r w:rsidR="00D95DB3">
        <w:rPr>
          <w:bCs/>
        </w:rPr>
        <w:t>roject, which it expects to deliver cost efficiencies</w:t>
      </w:r>
      <w:r w:rsidRPr="00FF31F7">
        <w:rPr>
          <w:bCs/>
        </w:rPr>
        <w:t>.</w:t>
      </w:r>
      <w:r w:rsidRPr="00FF31F7">
        <w:rPr>
          <w:bCs/>
          <w:vertAlign w:val="superscript"/>
        </w:rPr>
        <w:footnoteReference w:id="33"/>
      </w:r>
    </w:p>
    <w:p w:rsidR="00FF31F7" w:rsidRPr="00FF31F7" w:rsidRDefault="00FF31F7" w:rsidP="00FF31F7">
      <w:pPr>
        <w:rPr>
          <w:bCs/>
        </w:rPr>
      </w:pPr>
      <w:r w:rsidRPr="00FF31F7">
        <w:rPr>
          <w:bCs/>
        </w:rPr>
        <w:t xml:space="preserve">We sought engineering advice from Sleeman Consulting to assist in assessing the need, timing and cost of the belowground station pipework recoating </w:t>
      </w:r>
      <w:r w:rsidR="00D95DB3">
        <w:rPr>
          <w:bCs/>
        </w:rPr>
        <w:t xml:space="preserve">work during the </w:t>
      </w:r>
      <w:r w:rsidR="006A555A">
        <w:rPr>
          <w:bCs/>
        </w:rPr>
        <w:t>2011–16</w:t>
      </w:r>
      <w:r w:rsidRPr="00FF31F7">
        <w:rPr>
          <w:bCs/>
        </w:rPr>
        <w:t xml:space="preserve"> access arrangement period. In summary, Sleeman Consulting advised that:</w:t>
      </w:r>
      <w:r w:rsidRPr="00FF31F7">
        <w:rPr>
          <w:bCs/>
          <w:vertAlign w:val="superscript"/>
        </w:rPr>
        <w:footnoteReference w:id="34"/>
      </w:r>
    </w:p>
    <w:p w:rsidR="00FF31F7" w:rsidRPr="00FF31F7" w:rsidRDefault="00FF31F7" w:rsidP="00D95DB3">
      <w:pPr>
        <w:pStyle w:val="AERbulletlistfirststyle"/>
      </w:pPr>
      <w:r w:rsidRPr="00FF31F7">
        <w:rPr>
          <w:lang w:val="en-US"/>
        </w:rPr>
        <w:t xml:space="preserve">when the AGP was constructed, below ground pipework within stations along the pipeline was coated in an </w:t>
      </w:r>
      <w:r w:rsidR="003962AE">
        <w:rPr>
          <w:lang w:val="en-US"/>
        </w:rPr>
        <w:t xml:space="preserve">manner consistent with </w:t>
      </w:r>
      <w:r w:rsidRPr="00FF31F7">
        <w:rPr>
          <w:lang w:val="en-US"/>
        </w:rPr>
        <w:t>industry standard</w:t>
      </w:r>
      <w:r w:rsidR="003962AE">
        <w:rPr>
          <w:lang w:val="en-US"/>
        </w:rPr>
        <w:t xml:space="preserve">s of the time, </w:t>
      </w:r>
      <w:r w:rsidRPr="00FF31F7">
        <w:rPr>
          <w:lang w:val="en-US"/>
        </w:rPr>
        <w:t xml:space="preserve">which included the use of both coal tar enamel (on complex-shaped fittings) and heat-shrink sleeves </w:t>
      </w:r>
    </w:p>
    <w:p w:rsidR="00FF31F7" w:rsidRPr="00FF31F7" w:rsidRDefault="00FF31F7" w:rsidP="00D95DB3">
      <w:pPr>
        <w:pStyle w:val="AERbulletlistfirststyle"/>
      </w:pPr>
      <w:r w:rsidRPr="00FF31F7">
        <w:rPr>
          <w:lang w:val="en-US"/>
        </w:rPr>
        <w:t>the existence of defects has been confirmed through direct current voltage gradient (DCVG) surveys, cathodic protection (CP) surveys and through visual inspection</w:t>
      </w:r>
    </w:p>
    <w:p w:rsidR="00FF31F7" w:rsidRPr="00FF31F7" w:rsidRDefault="00FF31F7" w:rsidP="00D95DB3">
      <w:pPr>
        <w:pStyle w:val="AERbulletlistfirststyle"/>
      </w:pPr>
      <w:r w:rsidRPr="00FF31F7">
        <w:rPr>
          <w:lang w:val="en-US"/>
        </w:rPr>
        <w:t>information provided by APTNT shows that in all cases where pipeline metal loss was detected, the metal loss was minor. Further, there was no threat to pipeline integrity and healthy factors of safety were demonstrated, allowing continued operation of the pipeline at its design</w:t>
      </w:r>
      <w:r w:rsidR="00D95DB3">
        <w:rPr>
          <w:lang w:val="en-US"/>
        </w:rPr>
        <w:t>ed</w:t>
      </w:r>
      <w:r w:rsidRPr="00FF31F7">
        <w:rPr>
          <w:lang w:val="en-US"/>
        </w:rPr>
        <w:t xml:space="preserve"> maximum pressure</w:t>
      </w:r>
    </w:p>
    <w:p w:rsidR="00FF31F7" w:rsidRPr="00FF31F7" w:rsidRDefault="00FF31F7" w:rsidP="00D95DB3">
      <w:pPr>
        <w:pStyle w:val="AERbulletlistfirststyle"/>
        <w:rPr>
          <w:bCs/>
        </w:rPr>
      </w:pPr>
      <w:r w:rsidRPr="00FF31F7">
        <w:t>on the basis of inspection work carried out to date, it is reasonable to expect that the remaining scraper stations and main line valves will have coating related issues</w:t>
      </w:r>
      <w:r w:rsidR="00D95DB3">
        <w:t>,</w:t>
      </w:r>
      <w:r w:rsidRPr="00FF31F7">
        <w:t xml:space="preserve"> but the pipeline itself will be in sound condition </w:t>
      </w:r>
    </w:p>
    <w:p w:rsidR="00FF31F7" w:rsidRPr="00FF31F7" w:rsidRDefault="00FF31F7" w:rsidP="00D95DB3">
      <w:pPr>
        <w:pStyle w:val="AERbulletlistfirststyle"/>
        <w:rPr>
          <w:bCs/>
        </w:rPr>
      </w:pPr>
      <w:r w:rsidRPr="00FF31F7">
        <w:rPr>
          <w:bCs/>
        </w:rPr>
        <w:t>in th</w:t>
      </w:r>
      <w:r w:rsidR="00D95DB3">
        <w:rPr>
          <w:bCs/>
        </w:rPr>
        <w:t xml:space="preserve">e context of r.79(1) of the NGR, </w:t>
      </w:r>
      <w:r w:rsidRPr="00FF31F7">
        <w:rPr>
          <w:bCs/>
        </w:rPr>
        <w:t>w</w:t>
      </w:r>
      <w:r w:rsidRPr="00FF31F7">
        <w:t>hilst it is prudent to inspect and repair below ground station pipeline coating at the remaining stations (since it is likely they will have coating related issues) undertaking such a programme of work on an accelerated basis, as proposed by APTNT, is inconsistent with achieving the lowest sustainable cost of providing services. Since the pipeline itself is expected to be in sound condition, undertaking work on an accelerated basis would mean costs are incurred prematurely and, in turn, the cost of providing services is not at the lowest sustainable level.</w:t>
      </w:r>
    </w:p>
    <w:p w:rsidR="00FF31F7" w:rsidRPr="00FF31F7" w:rsidRDefault="00FF31F7" w:rsidP="00D95DB3">
      <w:pPr>
        <w:pStyle w:val="AERbulletlistfirststyle"/>
      </w:pPr>
      <w:r w:rsidRPr="00FF31F7">
        <w:t xml:space="preserve">the remediation programme </w:t>
      </w:r>
      <w:r w:rsidR="00D95DB3">
        <w:t xml:space="preserve">should </w:t>
      </w:r>
      <w:r w:rsidRPr="00FF31F7">
        <w:t>be progressed at a slower rate</w:t>
      </w:r>
      <w:r w:rsidR="00D95DB3">
        <w:t>,</w:t>
      </w:r>
      <w:r w:rsidRPr="00FF31F7">
        <w:t xml:space="preserve"> balancing between:</w:t>
      </w:r>
    </w:p>
    <w:p w:rsidR="00FF31F7" w:rsidRPr="00FF31F7" w:rsidRDefault="00FF31F7" w:rsidP="00D95DB3">
      <w:pPr>
        <w:pStyle w:val="AERbulletlistsecondstyle"/>
      </w:pPr>
      <w:r w:rsidRPr="00FF31F7">
        <w:t>the need for coating repair wo</w:t>
      </w:r>
      <w:r w:rsidR="00D95DB3">
        <w:t>rk to be completed in a timely but not expedited</w:t>
      </w:r>
      <w:r w:rsidRPr="00FF31F7">
        <w:t xml:space="preserve"> manner; and</w:t>
      </w:r>
    </w:p>
    <w:p w:rsidR="00FF31F7" w:rsidRPr="00FF31F7" w:rsidRDefault="00FF31F7" w:rsidP="00D95DB3">
      <w:pPr>
        <w:pStyle w:val="AERbulletlistsecondstyle"/>
      </w:pPr>
      <w:r w:rsidRPr="00FF31F7">
        <w:t>the need for the repair programme to be coordinated so as to ensure the fixed cost tender benefits are secured</w:t>
      </w:r>
      <w:r w:rsidR="00D95DB3">
        <w:t>.</w:t>
      </w:r>
    </w:p>
    <w:p w:rsidR="00FF31F7" w:rsidRPr="00FF31F7" w:rsidRDefault="00FF31F7" w:rsidP="00FF31F7">
      <w:pPr>
        <w:numPr>
          <w:ilvl w:val="0"/>
          <w:numId w:val="34"/>
        </w:numPr>
        <w:rPr>
          <w:bCs/>
        </w:rPr>
      </w:pPr>
      <w:r w:rsidRPr="00FF31F7">
        <w:rPr>
          <w:bCs/>
        </w:rPr>
        <w:t xml:space="preserve">an </w:t>
      </w:r>
      <w:r w:rsidRPr="00FF31F7">
        <w:rPr>
          <w:bCs/>
          <w:lang w:val="en-US"/>
        </w:rPr>
        <w:t>inspection of four stations per annum would not be unreasonable as this will ensure all station coating repair work is completed by the end of 2020-21, and the benefit</w:t>
      </w:r>
      <w:r w:rsidR="00D95DB3">
        <w:rPr>
          <w:bCs/>
          <w:lang w:val="en-US"/>
        </w:rPr>
        <w:t>s of fixed cost tendering realis</w:t>
      </w:r>
      <w:r w:rsidRPr="00FF31F7">
        <w:rPr>
          <w:bCs/>
          <w:lang w:val="en-US"/>
        </w:rPr>
        <w:t>ed.</w:t>
      </w:r>
    </w:p>
    <w:p w:rsidR="009071C0" w:rsidRDefault="00FF31F7" w:rsidP="00FF31F7">
      <w:r w:rsidRPr="00FF31F7">
        <w:rPr>
          <w:bCs/>
        </w:rPr>
        <w:lastRenderedPageBreak/>
        <w:t xml:space="preserve">Having considered </w:t>
      </w:r>
      <w:r w:rsidRPr="00FF31F7">
        <w:t xml:space="preserve">APTNT’s proposal as well as the Sleeman Consulting engineering advice, we accept the need for and scope of the belowground station pipework recoating project. </w:t>
      </w:r>
      <w:r w:rsidR="00D95DB3">
        <w:t>A prudent operator would seek to address the pipework coating defects identified</w:t>
      </w:r>
      <w:r w:rsidR="009071C0">
        <w:t xml:space="preserve"> at the pipeline stations. </w:t>
      </w:r>
      <w:r w:rsidRPr="00FF31F7">
        <w:t xml:space="preserve">However, </w:t>
      </w:r>
      <w:r w:rsidR="00CB399F">
        <w:t>in respect of the timing</w:t>
      </w:r>
      <w:r w:rsidRPr="00FF31F7">
        <w:t xml:space="preserve"> of the project as proposed by APTNT</w:t>
      </w:r>
      <w:r w:rsidR="00CB399F">
        <w:t>, we are not satisfied that the capex</w:t>
      </w:r>
      <w:r w:rsidRPr="00FF31F7">
        <w:t xml:space="preserve"> is </w:t>
      </w:r>
      <w:r w:rsidR="00CB399F" w:rsidRPr="00CB399F">
        <w:t>such as would be incurred by a prudent service provider acting efficiently, in accordance with accepted good industry practice, to</w:t>
      </w:r>
      <w:r w:rsidR="00CB399F">
        <w:t xml:space="preserve"> </w:t>
      </w:r>
      <w:r w:rsidR="00CB399F" w:rsidRPr="00FF31F7">
        <w:t>achiev</w:t>
      </w:r>
      <w:r w:rsidR="00CB399F">
        <w:t>e</w:t>
      </w:r>
      <w:r w:rsidR="00CB399F" w:rsidRPr="00FF31F7">
        <w:t xml:space="preserve"> the lowest sustainable cost of providing services</w:t>
      </w:r>
      <w:r w:rsidRPr="00FF31F7">
        <w:t xml:space="preserve">. </w:t>
      </w:r>
      <w:r w:rsidR="009071C0">
        <w:t>It does not appear that an accelerated program of works which completes the bulk of the recoating work within two years is justified, given the generally sound condition of the pipework found at stations where recoating work was completed as part of stage one of the project. An accelerated program of replacement means that capex is incurred before it is required. In our view, this is likely to be inefficient and inconsistent with the need to achieve the lowest sustainable cost of providing services.</w:t>
      </w:r>
    </w:p>
    <w:p w:rsidR="00FF31F7" w:rsidRPr="00FF31F7" w:rsidRDefault="00FF31F7" w:rsidP="00FF31F7">
      <w:pPr>
        <w:rPr>
          <w:bCs/>
        </w:rPr>
      </w:pPr>
      <w:r w:rsidRPr="00FF31F7">
        <w:t xml:space="preserve">We consider that APTNT’s </w:t>
      </w:r>
      <w:r w:rsidR="009071C0">
        <w:t>estimated</w:t>
      </w:r>
      <w:r w:rsidRPr="00FF31F7">
        <w:t xml:space="preserve"> capex of $9.1 million ($</w:t>
      </w:r>
      <w:r w:rsidR="000B70FD">
        <w:t>2015–16</w:t>
      </w:r>
      <w:r w:rsidRPr="00FF31F7">
        <w:t xml:space="preserve">) for this project in </w:t>
      </w:r>
      <w:r w:rsidR="000B70FD">
        <w:t>2015–16</w:t>
      </w:r>
      <w:r w:rsidRPr="00FF31F7">
        <w:t xml:space="preserve"> should</w:t>
      </w:r>
      <w:r w:rsidR="009071C0">
        <w:t>, in part,</w:t>
      </w:r>
      <w:r w:rsidRPr="00FF31F7">
        <w:t xml:space="preserve"> be defer</w:t>
      </w:r>
      <w:r w:rsidR="009071C0">
        <w:t>red such that the project is</w:t>
      </w:r>
      <w:r w:rsidRPr="00FF31F7">
        <w:t xml:space="preserve"> completed </w:t>
      </w:r>
      <w:r w:rsidR="009071C0">
        <w:t>by the end of the</w:t>
      </w:r>
      <w:r w:rsidRPr="00FF31F7">
        <w:t xml:space="preserve"> 2016</w:t>
      </w:r>
      <w:r w:rsidR="00C9745C">
        <w:t>–</w:t>
      </w:r>
      <w:r w:rsidRPr="00FF31F7">
        <w:t xml:space="preserve">21 access arrangement period. </w:t>
      </w:r>
      <w:r w:rsidR="009071C0">
        <w:t xml:space="preserve">On the basis of the advice provided by Sleeman Consulting, we consider that an allowance to complete recoating work at four stations per annum over the period from </w:t>
      </w:r>
      <w:r w:rsidR="000B70FD">
        <w:t>2015–16</w:t>
      </w:r>
      <w:r w:rsidR="009071C0">
        <w:t xml:space="preserve"> to 2020</w:t>
      </w:r>
      <w:r w:rsidR="00C9745C">
        <w:t>–</w:t>
      </w:r>
      <w:r w:rsidR="009071C0">
        <w:t>21 is likely to</w:t>
      </w:r>
      <w:r w:rsidR="007633E9">
        <w:t xml:space="preserve"> reflect a reasonable estimate of conforming capex for this project. We have therefore reduced</w:t>
      </w:r>
      <w:r w:rsidRPr="00FF31F7">
        <w:t xml:space="preserve"> APTNT’s estimated capex for the final year of the </w:t>
      </w:r>
      <w:r w:rsidR="006A555A">
        <w:t>2011–16</w:t>
      </w:r>
      <w:r w:rsidRPr="00FF31F7">
        <w:t xml:space="preserve"> access arrangement period by $7.0 million ($</w:t>
      </w:r>
      <w:r w:rsidR="000B70FD">
        <w:t>2015–16</w:t>
      </w:r>
      <w:r w:rsidRPr="00FF31F7">
        <w:t>).</w:t>
      </w:r>
      <w:r w:rsidR="007633E9">
        <w:t xml:space="preserve"> This capex has been deferred to the </w:t>
      </w:r>
      <w:r w:rsidR="006A555A">
        <w:t>2016–21</w:t>
      </w:r>
      <w:r w:rsidR="007633E9">
        <w:t xml:space="preserve"> access arrangement period.</w:t>
      </w:r>
    </w:p>
    <w:p w:rsidR="00FF31F7" w:rsidRPr="00FF31F7" w:rsidRDefault="00FF31F7" w:rsidP="00FF31F7">
      <w:pPr>
        <w:rPr>
          <w:bCs/>
        </w:rPr>
      </w:pPr>
      <w:r w:rsidRPr="00FF31F7">
        <w:rPr>
          <w:b/>
          <w:bCs/>
        </w:rPr>
        <w:t>Bidirectional pigging project</w:t>
      </w:r>
    </w:p>
    <w:p w:rsidR="00FF31F7" w:rsidRPr="00FF31F7" w:rsidRDefault="00934ED9" w:rsidP="00FF31F7">
      <w:pPr>
        <w:rPr>
          <w:bCs/>
        </w:rPr>
      </w:pPr>
      <w:r>
        <w:rPr>
          <w:bCs/>
        </w:rPr>
        <w:t>APTNT submitted</w:t>
      </w:r>
      <w:r w:rsidR="00FF31F7" w:rsidRPr="00FF31F7">
        <w:rPr>
          <w:bCs/>
        </w:rPr>
        <w:t xml:space="preserve"> that the change in majority supply</w:t>
      </w:r>
      <w:r>
        <w:rPr>
          <w:bCs/>
        </w:rPr>
        <w:t xml:space="preserve"> to the AGP</w:t>
      </w:r>
      <w:r w:rsidR="00FF31F7" w:rsidRPr="00FF31F7">
        <w:rPr>
          <w:bCs/>
        </w:rPr>
        <w:t>, from the Amadeus to the Blacktip gas field, has resulted in majority southbound flows on the AGP between Ban Ban Springs and Palm Valley. As a consequence, this has required the AGP to be pigged</w:t>
      </w:r>
      <w:r w:rsidR="00407A96">
        <w:rPr>
          <w:rStyle w:val="FootnoteReference"/>
          <w:bCs/>
        </w:rPr>
        <w:footnoteReference w:id="35"/>
      </w:r>
      <w:r w:rsidR="00FF31F7" w:rsidRPr="00FF31F7">
        <w:rPr>
          <w:bCs/>
        </w:rPr>
        <w:t xml:space="preserve"> in the reverse direction compared to pipeline design. APTNT submitted that in addition, southbound flows are lower than required for effective metal-loss pigging and therefore it has been necessary to create a pressure/flow regime suitable for pigging.</w:t>
      </w:r>
      <w:r w:rsidR="00FF31F7" w:rsidRPr="00FF31F7">
        <w:rPr>
          <w:bCs/>
          <w:vertAlign w:val="superscript"/>
        </w:rPr>
        <w:footnoteReference w:id="36"/>
      </w:r>
    </w:p>
    <w:p w:rsidR="00FF31F7" w:rsidRPr="00FF31F7" w:rsidRDefault="00FF31F7" w:rsidP="006D52FC">
      <w:r w:rsidRPr="00FF31F7">
        <w:rPr>
          <w:bCs/>
        </w:rPr>
        <w:t xml:space="preserve">APTNT submitted that it </w:t>
      </w:r>
      <w:r w:rsidR="00934ED9">
        <w:rPr>
          <w:bCs/>
        </w:rPr>
        <w:t>incurred $5.0</w:t>
      </w:r>
      <w:r w:rsidRPr="00FF31F7">
        <w:rPr>
          <w:bCs/>
        </w:rPr>
        <w:t xml:space="preserve"> million ($</w:t>
      </w:r>
      <w:r w:rsidR="000B70FD">
        <w:rPr>
          <w:bCs/>
        </w:rPr>
        <w:t>2015–16</w:t>
      </w:r>
      <w:r w:rsidRPr="00FF31F7">
        <w:rPr>
          <w:bCs/>
        </w:rPr>
        <w:t xml:space="preserve">) </w:t>
      </w:r>
      <w:r w:rsidR="00934ED9">
        <w:rPr>
          <w:bCs/>
        </w:rPr>
        <w:t xml:space="preserve">in capex </w:t>
      </w:r>
      <w:r w:rsidRPr="00FF31F7">
        <w:rPr>
          <w:bCs/>
        </w:rPr>
        <w:t xml:space="preserve">on this project </w:t>
      </w:r>
      <w:r w:rsidR="00934ED9">
        <w:rPr>
          <w:bCs/>
        </w:rPr>
        <w:t xml:space="preserve">in the </w:t>
      </w:r>
      <w:r w:rsidR="006A555A">
        <w:rPr>
          <w:bCs/>
        </w:rPr>
        <w:t>2011–16</w:t>
      </w:r>
      <w:r w:rsidR="00934ED9">
        <w:rPr>
          <w:bCs/>
        </w:rPr>
        <w:t xml:space="preserve"> access arrangement period compared to the</w:t>
      </w:r>
      <w:r w:rsidRPr="00FF31F7">
        <w:rPr>
          <w:bCs/>
        </w:rPr>
        <w:t xml:space="preserve"> </w:t>
      </w:r>
      <w:r w:rsidR="00934ED9">
        <w:rPr>
          <w:bCs/>
        </w:rPr>
        <w:t>approved allowance of $0.2</w:t>
      </w:r>
      <w:r w:rsidR="009D20AC">
        <w:rPr>
          <w:bCs/>
        </w:rPr>
        <w:t> </w:t>
      </w:r>
      <w:r w:rsidRPr="00FF31F7">
        <w:rPr>
          <w:bCs/>
        </w:rPr>
        <w:t>million ($</w:t>
      </w:r>
      <w:r w:rsidR="000B70FD">
        <w:rPr>
          <w:bCs/>
        </w:rPr>
        <w:t>2015–16</w:t>
      </w:r>
      <w:r w:rsidRPr="00FF31F7">
        <w:rPr>
          <w:bCs/>
        </w:rPr>
        <w:t>). APTNT justified this additional expenditure on the basis that</w:t>
      </w:r>
      <w:r w:rsidR="009D20AC">
        <w:rPr>
          <w:bCs/>
        </w:rPr>
        <w:t xml:space="preserve"> </w:t>
      </w:r>
      <w:r w:rsidRPr="00FF31F7">
        <w:t>its original plan to use insertion sleeves to allow the launch and retrieval of pigs without physical modification of the stations was found</w:t>
      </w:r>
      <w:r w:rsidR="009D20AC" w:rsidRPr="009D20AC">
        <w:t xml:space="preserve"> </w:t>
      </w:r>
      <w:r w:rsidR="009D20AC" w:rsidRPr="00FF31F7">
        <w:t>to be unsuitable for the configuration of the AGP</w:t>
      </w:r>
      <w:r w:rsidR="009D20AC">
        <w:t>. APTNT reached this conclusion following</w:t>
      </w:r>
      <w:r w:rsidRPr="00FF31F7">
        <w:t xml:space="preserve"> </w:t>
      </w:r>
      <w:r w:rsidR="009D20AC">
        <w:t>further</w:t>
      </w:r>
      <w:r w:rsidR="009D20AC" w:rsidRPr="00FF31F7">
        <w:t xml:space="preserve"> </w:t>
      </w:r>
      <w:r w:rsidRPr="00FF31F7">
        <w:t xml:space="preserve">investigation </w:t>
      </w:r>
      <w:r w:rsidR="009D20AC">
        <w:t xml:space="preserve">of this option </w:t>
      </w:r>
      <w:r w:rsidR="009C2D41">
        <w:t>and</w:t>
      </w:r>
      <w:r w:rsidR="009D20AC">
        <w:t xml:space="preserve"> </w:t>
      </w:r>
      <w:r w:rsidRPr="00FF31F7">
        <w:t>discussions with other pipeline operators</w:t>
      </w:r>
      <w:r w:rsidR="009D20AC">
        <w:t xml:space="preserve">. </w:t>
      </w:r>
      <w:r w:rsidRPr="00FF31F7">
        <w:t>APTNT’s ri</w:t>
      </w:r>
      <w:r w:rsidR="00934ED9">
        <w:t>sk assessment concluded that this</w:t>
      </w:r>
      <w:r w:rsidRPr="00FF31F7">
        <w:t xml:space="preserve"> approach was not acceptable for the pipeline. As a consequence, APTNT </w:t>
      </w:r>
      <w:r w:rsidR="00DC2EE3">
        <w:t>has</w:t>
      </w:r>
      <w:r w:rsidRPr="00FF31F7">
        <w:t xml:space="preserve"> </w:t>
      </w:r>
      <w:r w:rsidRPr="00FF31F7">
        <w:lastRenderedPageBreak/>
        <w:t>had to physically modify the stations to all</w:t>
      </w:r>
      <w:r w:rsidR="00DC2EE3">
        <w:t>ow for bidirectional pigging. APTNT completed this project</w:t>
      </w:r>
      <w:r w:rsidRPr="00FF31F7">
        <w:t xml:space="preserve"> in </w:t>
      </w:r>
      <w:r w:rsidR="000B70FD">
        <w:t>2013–14</w:t>
      </w:r>
      <w:r w:rsidRPr="00FF31F7">
        <w:t xml:space="preserve"> a</w:t>
      </w:r>
      <w:r w:rsidR="00DC2EE3">
        <w:t>t a total cost of $5.0 million ($</w:t>
      </w:r>
      <w:r w:rsidR="000B70FD">
        <w:t>2015–16</w:t>
      </w:r>
      <w:r w:rsidRPr="00FF31F7">
        <w:t>).</w:t>
      </w:r>
      <w:r w:rsidRPr="00FF31F7">
        <w:rPr>
          <w:vertAlign w:val="superscript"/>
        </w:rPr>
        <w:footnoteReference w:id="37"/>
      </w:r>
    </w:p>
    <w:p w:rsidR="00FF31F7" w:rsidRPr="00FF31F7" w:rsidRDefault="00FF31F7" w:rsidP="00FF31F7">
      <w:pPr>
        <w:rPr>
          <w:bCs/>
        </w:rPr>
      </w:pPr>
      <w:r w:rsidRPr="00FF31F7">
        <w:rPr>
          <w:bCs/>
        </w:rPr>
        <w:t>We sought engineering advice from Sleeman Consulting to assist in assessing the need, timing and cost of the bidirectional pigging project during the earlier access arrangement period. In summary, Sleeman Consulting advised that:</w:t>
      </w:r>
      <w:r w:rsidRPr="00FF31F7">
        <w:rPr>
          <w:bCs/>
          <w:vertAlign w:val="superscript"/>
        </w:rPr>
        <w:footnoteReference w:id="38"/>
      </w:r>
    </w:p>
    <w:p w:rsidR="00FF31F7" w:rsidRPr="00FF31F7" w:rsidRDefault="00FF31F7" w:rsidP="00DC2EE3">
      <w:pPr>
        <w:pStyle w:val="AERbulletlistfirststyle"/>
      </w:pPr>
      <w:r w:rsidRPr="00FF31F7">
        <w:t>the factors APTNT raised to justify the additional expenditure are valid</w:t>
      </w:r>
      <w:r w:rsidR="00DC2EE3">
        <w:t>, including that:</w:t>
      </w:r>
    </w:p>
    <w:p w:rsidR="00FF31F7" w:rsidRPr="00FF31F7" w:rsidRDefault="00FF31F7" w:rsidP="00DC2EE3">
      <w:pPr>
        <w:pStyle w:val="AERbulletlistsecondstyle"/>
      </w:pPr>
      <w:r w:rsidRPr="00FF31F7">
        <w:t>there was a material risk that a pig exiting the pipeline might strike the door of the pig receiver which necessitated modification of eleven scraper stations</w:t>
      </w:r>
      <w:r w:rsidRPr="00FF31F7">
        <w:rPr>
          <w:vertAlign w:val="superscript"/>
        </w:rPr>
        <w:footnoteReference w:id="39"/>
      </w:r>
    </w:p>
    <w:p w:rsidR="00FF31F7" w:rsidRPr="00FF31F7" w:rsidRDefault="00FF31F7" w:rsidP="00DC2EE3">
      <w:pPr>
        <w:pStyle w:val="AERbulletlistsecondstyle"/>
      </w:pPr>
      <w:r w:rsidRPr="00FF31F7">
        <w:t>the present low rate of gas flow in a southerly direction is insufficient to propel pigs at a speed that is steady and meets requirements for intelligent pigging. Through use of pressure control facilities, a pressure gradient and gas flow regime can be created to facilitate pigging activities</w:t>
      </w:r>
    </w:p>
    <w:p w:rsidR="00FF31F7" w:rsidRPr="00FF31F7" w:rsidRDefault="00DC2EE3" w:rsidP="00DC2EE3">
      <w:pPr>
        <w:pStyle w:val="AERbulletlistfirststyle"/>
      </w:pPr>
      <w:r>
        <w:t>the additional</w:t>
      </w:r>
      <w:r w:rsidR="00FF31F7" w:rsidRPr="00FF31F7">
        <w:t xml:space="preserve"> expenditure </w:t>
      </w:r>
      <w:r>
        <w:t xml:space="preserve">incurred </w:t>
      </w:r>
      <w:r w:rsidR="00FF31F7" w:rsidRPr="00FF31F7">
        <w:t xml:space="preserve">in excess of what was approved for the </w:t>
      </w:r>
      <w:r>
        <w:t xml:space="preserve">access arrangement period </w:t>
      </w:r>
      <w:r w:rsidR="00FF31F7" w:rsidRPr="00FF31F7">
        <w:t xml:space="preserve">covered the costs of: </w:t>
      </w:r>
    </w:p>
    <w:p w:rsidR="00FF31F7" w:rsidRPr="00FF31F7" w:rsidRDefault="00FF31F7" w:rsidP="00FF31F7">
      <w:pPr>
        <w:numPr>
          <w:ilvl w:val="1"/>
          <w:numId w:val="34"/>
        </w:numPr>
      </w:pPr>
      <w:r w:rsidRPr="00FF31F7">
        <w:t>modifications to pig launching stations to</w:t>
      </w:r>
      <w:r w:rsidR="00DC2EE3">
        <w:t xml:space="preserve"> allow them to receive pigs, </w:t>
      </w:r>
      <w:r w:rsidRPr="00FF31F7">
        <w:t>overcoming the problem that a pig exiting the pipeline might stri</w:t>
      </w:r>
      <w:r w:rsidR="00DC2EE3">
        <w:t>ke the door of the pig receiver</w:t>
      </w:r>
      <w:r w:rsidRPr="00FF31F7">
        <w:t xml:space="preserve">. These modifications were relatively extensive, with the pig launcher having to be extended by 1.9 metres, kicker and vent lines relocated and balance lines installed </w:t>
      </w:r>
    </w:p>
    <w:p w:rsidR="00FF31F7" w:rsidRPr="00FF31F7" w:rsidRDefault="00FF31F7" w:rsidP="00FF31F7">
      <w:pPr>
        <w:numPr>
          <w:ilvl w:val="1"/>
          <w:numId w:val="34"/>
        </w:numPr>
      </w:pPr>
      <w:r w:rsidRPr="00FF31F7">
        <w:t xml:space="preserve">fabrication of a </w:t>
      </w:r>
      <w:r w:rsidR="00DC2EE3">
        <w:t xml:space="preserve">mobile pressure reduction skid, </w:t>
      </w:r>
      <w:r w:rsidRPr="00FF31F7">
        <w:t>to be used to overcome the present low rate of ga</w:t>
      </w:r>
      <w:r w:rsidR="00DC2EE3">
        <w:t>s flow in a southerly direction</w:t>
      </w:r>
    </w:p>
    <w:p w:rsidR="00FF31F7" w:rsidRPr="00FF31F7" w:rsidRDefault="00FF31F7" w:rsidP="00FF31F7">
      <w:pPr>
        <w:numPr>
          <w:ilvl w:val="1"/>
          <w:numId w:val="34"/>
        </w:numPr>
      </w:pPr>
      <w:r w:rsidRPr="00FF31F7">
        <w:t xml:space="preserve">modification to pig receival stations to allow safe movement of pigs and to allow connection of the mobile pressure reduction skid.   </w:t>
      </w:r>
    </w:p>
    <w:p w:rsidR="00DC2EE3" w:rsidRPr="00DC2EE3" w:rsidRDefault="00FF31F7" w:rsidP="00CD570B">
      <w:pPr>
        <w:pStyle w:val="AERbulletlistfirststyle"/>
        <w:rPr>
          <w:bCs/>
        </w:rPr>
      </w:pPr>
      <w:r w:rsidRPr="00FF31F7">
        <w:t xml:space="preserve">the expenditure incurred </w:t>
      </w:r>
      <w:r w:rsidR="00DC2EE3">
        <w:t>is</w:t>
      </w:r>
      <w:r w:rsidRPr="00FF31F7">
        <w:t xml:space="preserve"> reasonable </w:t>
      </w:r>
      <w:r w:rsidR="00DC2EE3">
        <w:t>given</w:t>
      </w:r>
      <w:r w:rsidRPr="00FF31F7">
        <w:t xml:space="preserve"> the relatively extensive modificatio</w:t>
      </w:r>
      <w:r w:rsidR="00DC2EE3">
        <w:t xml:space="preserve">ns that were completed </w:t>
      </w:r>
    </w:p>
    <w:p w:rsidR="00FF31F7" w:rsidRPr="00FF31F7" w:rsidRDefault="00FF31F7" w:rsidP="00CD570B">
      <w:pPr>
        <w:pStyle w:val="AERbulletlistfirststyle"/>
        <w:rPr>
          <w:bCs/>
        </w:rPr>
      </w:pPr>
      <w:r w:rsidRPr="00FF31F7">
        <w:t>expenditure incurred by APTNT on the bi-directional pigging project is prudent and efficient.</w:t>
      </w:r>
    </w:p>
    <w:p w:rsidR="00FF31F7" w:rsidRPr="00FF31F7" w:rsidRDefault="00FF31F7" w:rsidP="00FF31F7">
      <w:pPr>
        <w:rPr>
          <w:bCs/>
        </w:rPr>
      </w:pPr>
      <w:r w:rsidRPr="00FF31F7">
        <w:rPr>
          <w:bCs/>
        </w:rPr>
        <w:t xml:space="preserve">Having considered APTNT’s proposal as well as the Sleeman Consulting engineering advice, we accept the need, scope and timing of the bidirectional pigging project. </w:t>
      </w:r>
      <w:r w:rsidR="00CD570B">
        <w:rPr>
          <w:bCs/>
        </w:rPr>
        <w:t xml:space="preserve">The capex for this project </w:t>
      </w:r>
      <w:r w:rsidR="00CD570B">
        <w:t xml:space="preserve">meets the criteria of rule </w:t>
      </w:r>
      <w:r w:rsidR="00CD570B" w:rsidRPr="00FF31F7">
        <w:t xml:space="preserve">79(1)(a) </w:t>
      </w:r>
      <w:r w:rsidR="00CD570B">
        <w:t xml:space="preserve">of the NGR </w:t>
      </w:r>
      <w:r w:rsidR="00CD570B" w:rsidRPr="00FF31F7">
        <w:t xml:space="preserve">and </w:t>
      </w:r>
      <w:r w:rsidR="00CD570B">
        <w:t>is justifiable on the basis of rule 79(2)(c</w:t>
      </w:r>
      <w:r w:rsidR="00CD570B" w:rsidRPr="00FF31F7">
        <w:t>) of the NGR</w:t>
      </w:r>
      <w:r w:rsidR="00CD570B">
        <w:t>.</w:t>
      </w:r>
      <w:r w:rsidR="00CD570B">
        <w:rPr>
          <w:bCs/>
        </w:rPr>
        <w:t xml:space="preserve"> </w:t>
      </w:r>
      <w:r w:rsidR="00CB399F">
        <w:rPr>
          <w:bCs/>
        </w:rPr>
        <w:t xml:space="preserve">The capital expenditure was necessary to maintain APTNT’s ability to conduct inline inspection of the pipeline. </w:t>
      </w:r>
      <w:r w:rsidRPr="00FF31F7">
        <w:rPr>
          <w:bCs/>
        </w:rPr>
        <w:t xml:space="preserve">We have </w:t>
      </w:r>
      <w:r w:rsidRPr="00FF31F7">
        <w:t xml:space="preserve">included </w:t>
      </w:r>
      <w:r w:rsidRPr="00FF31F7">
        <w:lastRenderedPageBreak/>
        <w:t>$5.0 million ($</w:t>
      </w:r>
      <w:r w:rsidR="000B70FD">
        <w:t>2015–16</w:t>
      </w:r>
      <w:r w:rsidRPr="00FF31F7">
        <w:t xml:space="preserve">) for the bidirectional pigging project </w:t>
      </w:r>
      <w:r w:rsidR="00CD570B">
        <w:t>as proposed by APTNT as</w:t>
      </w:r>
      <w:r w:rsidRPr="00FF31F7">
        <w:t xml:space="preserve"> </w:t>
      </w:r>
      <w:r w:rsidR="00CD570B">
        <w:t xml:space="preserve">conforming capex for the </w:t>
      </w:r>
      <w:r w:rsidR="006A555A">
        <w:t>2011–16</w:t>
      </w:r>
      <w:r w:rsidRPr="00FF31F7">
        <w:t xml:space="preserve"> access arrangeme</w:t>
      </w:r>
      <w:r w:rsidR="00CD570B">
        <w:t>nt period</w:t>
      </w:r>
      <w:r w:rsidRPr="00FF31F7">
        <w:t>.</w:t>
      </w:r>
    </w:p>
    <w:p w:rsidR="00FF31F7" w:rsidRPr="00FF31F7" w:rsidRDefault="00FF31F7" w:rsidP="00CD570B">
      <w:pPr>
        <w:pStyle w:val="HeadingBoldBlue"/>
      </w:pPr>
      <w:r w:rsidRPr="00FF31F7">
        <w:t>Non-system capex</w:t>
      </w:r>
    </w:p>
    <w:p w:rsidR="00FF31F7" w:rsidRPr="00FF31F7" w:rsidRDefault="00FF31F7" w:rsidP="00FF31F7">
      <w:pPr>
        <w:rPr>
          <w:bCs/>
        </w:rPr>
      </w:pPr>
      <w:r w:rsidRPr="00FF31F7">
        <w:rPr>
          <w:bCs/>
        </w:rPr>
        <w:t xml:space="preserve">APTNT proposed two non-system capex categories for the </w:t>
      </w:r>
      <w:r w:rsidR="000B70FD">
        <w:rPr>
          <w:bCs/>
        </w:rPr>
        <w:t>2011–16</w:t>
      </w:r>
      <w:r w:rsidR="009223D7" w:rsidRPr="00FF31F7">
        <w:rPr>
          <w:bCs/>
        </w:rPr>
        <w:t xml:space="preserve"> </w:t>
      </w:r>
      <w:r w:rsidRPr="00FF31F7">
        <w:rPr>
          <w:bCs/>
        </w:rPr>
        <w:t>access arrangement period – information technology and motor vehicles.</w:t>
      </w:r>
    </w:p>
    <w:p w:rsidR="00FF31F7" w:rsidRPr="00FF31F7" w:rsidRDefault="00FF31F7" w:rsidP="00F11395">
      <w:pPr>
        <w:keepNext/>
        <w:rPr>
          <w:b/>
          <w:bCs/>
        </w:rPr>
      </w:pPr>
      <w:r w:rsidRPr="00FF31F7">
        <w:rPr>
          <w:b/>
          <w:bCs/>
        </w:rPr>
        <w:t>Information technology</w:t>
      </w:r>
    </w:p>
    <w:p w:rsidR="00A0424B" w:rsidRDefault="00325A20" w:rsidP="00CD570B">
      <w:r>
        <w:t>APTNT incurred actual and estimated capex of $4.4 million ($</w:t>
      </w:r>
      <w:r w:rsidR="000B70FD">
        <w:t>2015–16</w:t>
      </w:r>
      <w:r>
        <w:t xml:space="preserve">) for IT capex in the </w:t>
      </w:r>
      <w:r w:rsidR="006A555A">
        <w:t>2011–16</w:t>
      </w:r>
      <w:r>
        <w:t xml:space="preserve"> access arrangement period. </w:t>
      </w:r>
    </w:p>
    <w:p w:rsidR="00FF31F7" w:rsidRDefault="00325A20" w:rsidP="00CD570B">
      <w:pPr>
        <w:rPr>
          <w:rStyle w:val="AERbody"/>
        </w:rPr>
      </w:pPr>
      <w:r>
        <w:t xml:space="preserve">APTNT’s IT capex in the </w:t>
      </w:r>
      <w:r w:rsidR="006A555A">
        <w:t>2011–16</w:t>
      </w:r>
      <w:r>
        <w:t xml:space="preserve"> access arrangement period was in large part driven by APTNT’s share of corporate level costs</w:t>
      </w:r>
      <w:r w:rsidR="009223D7">
        <w:t>,</w:t>
      </w:r>
      <w:r>
        <w:t xml:space="preserve"> as a number of</w:t>
      </w:r>
      <w:r w:rsidRPr="00476A84">
        <w:t xml:space="preserve"> stand-alone systems </w:t>
      </w:r>
      <w:r>
        <w:t>relating to the AGP were integrated into</w:t>
      </w:r>
      <w:r w:rsidRPr="00476A84">
        <w:t xml:space="preserve"> the</w:t>
      </w:r>
      <w:r>
        <w:t xml:space="preserve"> broader</w:t>
      </w:r>
      <w:r w:rsidRPr="00476A84">
        <w:t xml:space="preserve"> APA Group systems.</w:t>
      </w:r>
      <w:r>
        <w:t xml:space="preserve"> </w:t>
      </w:r>
      <w:r>
        <w:rPr>
          <w:rStyle w:val="AERbody"/>
        </w:rPr>
        <w:t>APTNT submitted that this transition has led to efficiencies, which ha</w:t>
      </w:r>
      <w:r w:rsidR="009223D7">
        <w:rPr>
          <w:rStyle w:val="AERbody"/>
        </w:rPr>
        <w:t>ve</w:t>
      </w:r>
      <w:r>
        <w:rPr>
          <w:rStyle w:val="AERbody"/>
        </w:rPr>
        <w:t xml:space="preserve"> led to a reduction in opex. The majority of the increased capex is concentrated in the later years of the </w:t>
      </w:r>
      <w:r w:rsidR="006A555A">
        <w:rPr>
          <w:rStyle w:val="AERbody"/>
        </w:rPr>
        <w:t>2011–16</w:t>
      </w:r>
      <w:r>
        <w:rPr>
          <w:rStyle w:val="AERbody"/>
        </w:rPr>
        <w:t xml:space="preserve"> access arrangement period. As this expenditure was not contemplated at the time of submission of the access arrangement revision proposal for the current period, it was not included in the forecast for this period.</w:t>
      </w:r>
      <w:r>
        <w:rPr>
          <w:rStyle w:val="FootnoteReference"/>
        </w:rPr>
        <w:footnoteReference w:id="40"/>
      </w:r>
    </w:p>
    <w:p w:rsidR="00A0424B" w:rsidRPr="00325A20" w:rsidRDefault="00A0424B" w:rsidP="00CD570B">
      <w:r>
        <w:rPr>
          <w:rStyle w:val="AERbody"/>
        </w:rPr>
        <w:t>Based on our review of the information submitted by APTNT in support of its IT capex, we are satisfied that the capex is such as would be incurred by a prudent service provider acting efficiently.</w:t>
      </w:r>
      <w:r>
        <w:rPr>
          <w:rStyle w:val="FootnoteReference"/>
        </w:rPr>
        <w:footnoteReference w:id="41"/>
      </w:r>
      <w:r>
        <w:rPr>
          <w:rStyle w:val="AERbody"/>
        </w:rPr>
        <w:t xml:space="preserve"> </w:t>
      </w:r>
      <w:r w:rsidR="00081BD5">
        <w:rPr>
          <w:rStyle w:val="AERbody"/>
        </w:rPr>
        <w:t xml:space="preserve">The integration of stand-alone systems into APA Group systems has provided operational efficiencies and improved system flexibility and reliability. </w:t>
      </w:r>
      <w:r w:rsidR="006D694F">
        <w:rPr>
          <w:rStyle w:val="AERbody"/>
        </w:rPr>
        <w:t xml:space="preserve">The capex </w:t>
      </w:r>
      <w:r w:rsidR="006D694F">
        <w:t>is justifiable on the basis of rule 79(2)(c</w:t>
      </w:r>
      <w:r w:rsidR="006D694F" w:rsidRPr="00FF31F7">
        <w:t>) of the NGR</w:t>
      </w:r>
      <w:r w:rsidR="006D694F">
        <w:t xml:space="preserve">. </w:t>
      </w:r>
      <w:r>
        <w:t>We accept APTNT’s actual and estimated IT capex of $4.4 million ($</w:t>
      </w:r>
      <w:r w:rsidR="000B70FD">
        <w:t>2015–16</w:t>
      </w:r>
      <w:r>
        <w:t xml:space="preserve">) in the </w:t>
      </w:r>
      <w:r w:rsidR="006A555A">
        <w:t>2011–16</w:t>
      </w:r>
      <w:r>
        <w:t xml:space="preserve"> access arrangement period as conforming capex.</w:t>
      </w:r>
    </w:p>
    <w:p w:rsidR="00FF31F7" w:rsidRPr="00FF31F7" w:rsidRDefault="00FF31F7" w:rsidP="00FF31F7">
      <w:pPr>
        <w:rPr>
          <w:bCs/>
        </w:rPr>
      </w:pPr>
      <w:r w:rsidRPr="00FF31F7">
        <w:rPr>
          <w:b/>
          <w:bCs/>
        </w:rPr>
        <w:t>Motor vehicles</w:t>
      </w:r>
    </w:p>
    <w:p w:rsidR="00FF31F7" w:rsidRPr="00FF31F7" w:rsidRDefault="00FF31F7" w:rsidP="00CD570B">
      <w:pPr>
        <w:rPr>
          <w:vertAlign w:val="superscript"/>
        </w:rPr>
      </w:pPr>
      <w:r w:rsidRPr="00FF31F7">
        <w:t>APTNT incurred capex of $2.2 million ($</w:t>
      </w:r>
      <w:r w:rsidR="000B70FD">
        <w:t>2015–16</w:t>
      </w:r>
      <w:r w:rsidRPr="00FF31F7">
        <w:t xml:space="preserve">) for motor vehicles in the </w:t>
      </w:r>
      <w:r w:rsidR="006A555A">
        <w:t>2011–16</w:t>
      </w:r>
      <w:r w:rsidR="00CD570B">
        <w:t xml:space="preserve"> </w:t>
      </w:r>
      <w:r w:rsidRPr="00FF31F7">
        <w:t xml:space="preserve">access arrangement period. APTNT </w:t>
      </w:r>
      <w:r w:rsidR="00CD570B">
        <w:t>submitted</w:t>
      </w:r>
      <w:r w:rsidRPr="00FF31F7">
        <w:t xml:space="preserve"> that this category of expenditure was overlooked in its submission forecasts for the </w:t>
      </w:r>
      <w:r w:rsidR="006A555A">
        <w:t>2011–16</w:t>
      </w:r>
      <w:r w:rsidRPr="00FF31F7">
        <w:t xml:space="preserve"> access arrangement period</w:t>
      </w:r>
      <w:r w:rsidR="00CD570B">
        <w:t>,</w:t>
      </w:r>
      <w:r w:rsidRPr="00FF31F7">
        <w:t xml:space="preserve"> and therefore there was no approved capex </w:t>
      </w:r>
      <w:r w:rsidR="00CD570B">
        <w:t xml:space="preserve">allowance </w:t>
      </w:r>
      <w:r w:rsidRPr="00FF31F7">
        <w:t>for motor vehicles.</w:t>
      </w:r>
      <w:r w:rsidRPr="00FF31F7">
        <w:rPr>
          <w:vertAlign w:val="superscript"/>
        </w:rPr>
        <w:footnoteReference w:id="42"/>
      </w:r>
    </w:p>
    <w:p w:rsidR="00FF31F7" w:rsidRPr="00FF31F7" w:rsidRDefault="00CD570B" w:rsidP="00CD570B">
      <w:r>
        <w:t>We are satisfied</w:t>
      </w:r>
      <w:r w:rsidRPr="00FF31F7">
        <w:t xml:space="preserve"> that APTNT’s motor vehicle capex of $2.2 million ($2015–16) for the </w:t>
      </w:r>
      <w:r w:rsidR="006A555A">
        <w:t>2011–16</w:t>
      </w:r>
      <w:r w:rsidRPr="00FF31F7">
        <w:t xml:space="preserve"> access arrangement period is such as would be incurred by a prudent operator acting efficiently. </w:t>
      </w:r>
      <w:r w:rsidR="00157E04">
        <w:t xml:space="preserve">As discussed in section </w:t>
      </w:r>
      <w:fldSimple w:instr=" REF _Ref432776718 \r ">
        <w:r w:rsidR="00F65E22">
          <w:t>6.4.2</w:t>
        </w:r>
      </w:fldSimple>
      <w:r w:rsidR="00157E04">
        <w:t xml:space="preserve"> below, we consider that APTNT’s vehicle</w:t>
      </w:r>
      <w:r w:rsidR="00157E04" w:rsidRPr="00474A29">
        <w:t xml:space="preserve"> replacement criteria are comparable with other Australian </w:t>
      </w:r>
      <w:r w:rsidR="00157E04">
        <w:t>network</w:t>
      </w:r>
      <w:r w:rsidR="00157E04" w:rsidRPr="00474A29">
        <w:t xml:space="preserve"> service providers for similar vehicles</w:t>
      </w:r>
      <w:r w:rsidR="00157E04">
        <w:t xml:space="preserve">. </w:t>
      </w:r>
      <w:r w:rsidR="00FF31F7" w:rsidRPr="00FF31F7">
        <w:t xml:space="preserve">We consider APTNT’s approach to fleet management is consistent with good industry practice and the need to achieve the </w:t>
      </w:r>
      <w:r w:rsidR="00FF31F7" w:rsidRPr="00FF31F7">
        <w:lastRenderedPageBreak/>
        <w:t>lowest sustainable cost of providing services.</w:t>
      </w:r>
      <w:r w:rsidR="00FF31F7" w:rsidRPr="00FF31F7">
        <w:rPr>
          <w:vertAlign w:val="superscript"/>
        </w:rPr>
        <w:footnoteReference w:id="43"/>
      </w:r>
      <w:r w:rsidR="00FF31F7" w:rsidRPr="00FF31F7">
        <w:t xml:space="preserve"> </w:t>
      </w:r>
      <w:r w:rsidR="006D694F">
        <w:rPr>
          <w:rStyle w:val="AERbody"/>
        </w:rPr>
        <w:t xml:space="preserve">The capex </w:t>
      </w:r>
      <w:r w:rsidR="006D694F">
        <w:t>is justifiable on the basis of rule 79(2)(c</w:t>
      </w:r>
      <w:r w:rsidR="006D694F" w:rsidRPr="00FF31F7">
        <w:t>) of the NGR</w:t>
      </w:r>
      <w:r w:rsidR="006D694F">
        <w:t xml:space="preserve">. </w:t>
      </w:r>
      <w:r w:rsidR="00157E04">
        <w:t>We accept APTNT’s actual and estimated motor vehicle capex of $2.2 million ($</w:t>
      </w:r>
      <w:r w:rsidR="000B70FD">
        <w:t>2015–16</w:t>
      </w:r>
      <w:r w:rsidR="00157E04">
        <w:t xml:space="preserve">) in the </w:t>
      </w:r>
      <w:r w:rsidR="006A555A">
        <w:t>2011–16</w:t>
      </w:r>
      <w:r w:rsidR="00157E04">
        <w:t xml:space="preserve"> access arrangement period as conforming capex.</w:t>
      </w:r>
    </w:p>
    <w:p w:rsidR="00FF31F7" w:rsidRPr="00FF31F7" w:rsidRDefault="00FF31F7" w:rsidP="0032658E">
      <w:pPr>
        <w:pStyle w:val="HeadingBoldBlue"/>
        <w:keepNext/>
      </w:pPr>
      <w:r w:rsidRPr="00FF31F7">
        <w:t xml:space="preserve">Capital expenditure in </w:t>
      </w:r>
      <w:r w:rsidR="00CD570B">
        <w:t xml:space="preserve">the </w:t>
      </w:r>
      <w:r w:rsidRPr="00FF31F7">
        <w:t>2010-11</w:t>
      </w:r>
      <w:r w:rsidR="00CD570B">
        <w:t xml:space="preserve"> year</w:t>
      </w:r>
    </w:p>
    <w:p w:rsidR="00FF31F7" w:rsidRPr="00FF31F7" w:rsidRDefault="00325A20" w:rsidP="00CD570B">
      <w:r>
        <w:t>In our previous access arrangement review, we</w:t>
      </w:r>
      <w:r w:rsidR="00FF31F7" w:rsidRPr="00FF31F7">
        <w:t xml:space="preserve"> included an </w:t>
      </w:r>
      <w:r>
        <w:t>estimate</w:t>
      </w:r>
      <w:r w:rsidR="00FF31F7" w:rsidRPr="00FF31F7">
        <w:t xml:space="preserve"> for </w:t>
      </w:r>
      <w:r>
        <w:t>capex</w:t>
      </w:r>
      <w:r w:rsidR="00157E04">
        <w:t xml:space="preserve"> for APTNT in 2010-11 of $6.4 million ($</w:t>
      </w:r>
      <w:r w:rsidR="000B70FD">
        <w:t>2015–16</w:t>
      </w:r>
      <w:r w:rsidR="00FF31F7" w:rsidRPr="00FF31F7">
        <w:t>).</w:t>
      </w:r>
      <w:r w:rsidR="00FF31F7" w:rsidRPr="00FF31F7">
        <w:rPr>
          <w:vertAlign w:val="superscript"/>
        </w:rPr>
        <w:footnoteReference w:id="44"/>
      </w:r>
      <w:r w:rsidR="00FF31F7" w:rsidRPr="00FF31F7">
        <w:t xml:space="preserve"> APTNT stated that its actual capital expenditure for the 13 month period between 1 July 2010 and 31 July 20</w:t>
      </w:r>
      <w:r w:rsidR="00157E04">
        <w:t xml:space="preserve">11 was </w:t>
      </w:r>
      <w:r>
        <w:t>$4.5 </w:t>
      </w:r>
      <w:r w:rsidR="00157E04">
        <w:t>million ($</w:t>
      </w:r>
      <w:r w:rsidR="000B70FD">
        <w:t>2015–16</w:t>
      </w:r>
      <w:r w:rsidR="00FF31F7" w:rsidRPr="00FF31F7">
        <w:t>).</w:t>
      </w:r>
      <w:r w:rsidR="00FF31F7" w:rsidRPr="00FF31F7">
        <w:rPr>
          <w:vertAlign w:val="superscript"/>
        </w:rPr>
        <w:footnoteReference w:id="45"/>
      </w:r>
      <w:r w:rsidR="00FF31F7" w:rsidRPr="00FF31F7">
        <w:t xml:space="preserve"> </w:t>
      </w:r>
    </w:p>
    <w:p w:rsidR="00381B88" w:rsidRPr="00B82021" w:rsidRDefault="00325A20" w:rsidP="00CD570B">
      <w:pPr>
        <w:rPr>
          <w:rStyle w:val="Strong"/>
          <w:b w:val="0"/>
        </w:rPr>
      </w:pPr>
      <w:r>
        <w:t xml:space="preserve">Noting the underspend in capex of $1.8 million or 29 per cent, </w:t>
      </w:r>
      <w:r w:rsidR="0008244C">
        <w:t xml:space="preserve">and given the majority of this expenditure appears to be related to business as usual requirements, </w:t>
      </w:r>
      <w:r>
        <w:t>w</w:t>
      </w:r>
      <w:r w:rsidR="00FF31F7" w:rsidRPr="00FF31F7">
        <w:t>e accept</w:t>
      </w:r>
      <w:r>
        <w:t xml:space="preserve"> APTNT’s actual capex</w:t>
      </w:r>
      <w:r w:rsidR="00157E04">
        <w:t xml:space="preserve"> of $4.5 million ($</w:t>
      </w:r>
      <w:r w:rsidR="000B70FD">
        <w:t>2015–16</w:t>
      </w:r>
      <w:r w:rsidR="00157E04">
        <w:t>)</w:t>
      </w:r>
      <w:r>
        <w:t xml:space="preserve"> for the 13 </w:t>
      </w:r>
      <w:r w:rsidR="00FF31F7" w:rsidRPr="00FF31F7">
        <w:t>month perio</w:t>
      </w:r>
      <w:r>
        <w:t>d between 1 </w:t>
      </w:r>
      <w:r w:rsidR="00FF31F7" w:rsidRPr="00FF31F7">
        <w:t>July 2010 and 31 July 2011</w:t>
      </w:r>
      <w:r>
        <w:t xml:space="preserve"> as conforming capex.</w:t>
      </w:r>
      <w:r w:rsidR="006D694F">
        <w:t xml:space="preserve"> We are satisfied that capex is such as would be incurred by a prudent operator acting efficiently, in accordance with accepted good industry practice, to achieve the lowest sustainable cost of providing services. </w:t>
      </w:r>
      <w:r w:rsidR="006D694F">
        <w:rPr>
          <w:rStyle w:val="AERbody"/>
        </w:rPr>
        <w:t xml:space="preserve">The capex </w:t>
      </w:r>
      <w:r w:rsidR="006D694F">
        <w:t>is justifiable on the basis of one or more of the grounds stated in rule 79(2)</w:t>
      </w:r>
      <w:r w:rsidR="006D694F" w:rsidRPr="00FF31F7">
        <w:t xml:space="preserve"> of the NGR</w:t>
      </w:r>
      <w:r w:rsidR="006D694F">
        <w:t>.</w:t>
      </w:r>
    </w:p>
    <w:p w:rsidR="00C47C15" w:rsidRPr="00F745EE" w:rsidRDefault="005A6D57" w:rsidP="006C48AF">
      <w:pPr>
        <w:pStyle w:val="Heading3"/>
        <w:rPr>
          <w:rFonts w:eastAsia="Calibri"/>
        </w:rPr>
      </w:pPr>
      <w:bookmarkStart w:id="41" w:name="_Toc404676546"/>
      <w:bookmarkStart w:id="42" w:name="_Toc404676596"/>
      <w:bookmarkStart w:id="43" w:name="_Ref432776718"/>
      <w:bookmarkStart w:id="44" w:name="_Ref433274554"/>
      <w:bookmarkStart w:id="45" w:name="_Ref433961344"/>
      <w:bookmarkStart w:id="46" w:name="_Toc436042757"/>
      <w:r w:rsidRPr="006C48AF">
        <w:t>Conforming</w:t>
      </w:r>
      <w:r>
        <w:rPr>
          <w:rFonts w:eastAsia="Calibri"/>
        </w:rPr>
        <w:t xml:space="preserve"> capex</w:t>
      </w:r>
      <w:r w:rsidR="00C47C15" w:rsidRPr="00F745EE">
        <w:rPr>
          <w:rFonts w:eastAsia="Calibri"/>
        </w:rPr>
        <w:t xml:space="preserve"> for the </w:t>
      </w:r>
      <w:r w:rsidR="000B70FD">
        <w:rPr>
          <w:rFonts w:eastAsia="Calibri"/>
        </w:rPr>
        <w:t>2016–21</w:t>
      </w:r>
      <w:r w:rsidR="00C47C15" w:rsidRPr="00F745EE">
        <w:rPr>
          <w:rFonts w:eastAsia="Calibri"/>
        </w:rPr>
        <w:t xml:space="preserve"> </w:t>
      </w:r>
      <w:r w:rsidR="00C47C15">
        <w:rPr>
          <w:rFonts w:eastAsia="Calibri"/>
        </w:rPr>
        <w:t xml:space="preserve">access arrangement </w:t>
      </w:r>
      <w:r w:rsidR="00C47C15" w:rsidRPr="00F745EE">
        <w:rPr>
          <w:rFonts w:eastAsia="Calibri"/>
        </w:rPr>
        <w:t>period</w:t>
      </w:r>
      <w:bookmarkEnd w:id="41"/>
      <w:bookmarkEnd w:id="42"/>
      <w:bookmarkEnd w:id="43"/>
      <w:bookmarkEnd w:id="44"/>
      <w:bookmarkEnd w:id="45"/>
      <w:bookmarkEnd w:id="46"/>
    </w:p>
    <w:p w:rsidR="006C48AF" w:rsidRDefault="006C48AF" w:rsidP="00CD570B">
      <w:r>
        <w:t xml:space="preserve">We approve conforming </w:t>
      </w:r>
      <w:r w:rsidR="008C0E4B">
        <w:t>net</w:t>
      </w:r>
      <w:r w:rsidR="00B64986">
        <w:t xml:space="preserve"> </w:t>
      </w:r>
      <w:r>
        <w:t>capex of $2</w:t>
      </w:r>
      <w:r w:rsidR="008C0E4B">
        <w:t>6</w:t>
      </w:r>
      <w:r>
        <w:t>.</w:t>
      </w:r>
      <w:r w:rsidR="008C0E4B">
        <w:t>5</w:t>
      </w:r>
      <w:r>
        <w:t xml:space="preserve"> million ($</w:t>
      </w:r>
      <w:r w:rsidR="000B70FD">
        <w:t>2015–16</w:t>
      </w:r>
      <w:r>
        <w:t xml:space="preserve">) for the </w:t>
      </w:r>
      <w:r w:rsidR="006A555A">
        <w:t>2016–21</w:t>
      </w:r>
      <w:r>
        <w:t xml:space="preserve"> access arrangement period. This is </w:t>
      </w:r>
      <w:r w:rsidR="00B64986">
        <w:t>a reduction of $3.4</w:t>
      </w:r>
      <w:r w:rsidR="008C0E4B">
        <w:t xml:space="preserve"> million or 11</w:t>
      </w:r>
      <w:r>
        <w:t xml:space="preserve"> per cent from APTNT’s forecast of conforming capex. </w:t>
      </w:r>
      <w:r w:rsidR="004B169C">
        <w:fldChar w:fldCharType="begin"/>
      </w:r>
      <w:r w:rsidR="004B169C">
        <w:instrText xml:space="preserve"> REF _Ref432762825 \h </w:instrText>
      </w:r>
      <w:r w:rsidR="004B169C">
        <w:fldChar w:fldCharType="separate"/>
      </w:r>
      <w:r w:rsidR="00F65E22">
        <w:t xml:space="preserve">Table </w:t>
      </w:r>
      <w:r w:rsidR="00F65E22">
        <w:rPr>
          <w:noProof/>
        </w:rPr>
        <w:t>6.8</w:t>
      </w:r>
      <w:r w:rsidR="004B169C">
        <w:fldChar w:fldCharType="end"/>
      </w:r>
      <w:r w:rsidR="005D077A">
        <w:t xml:space="preserve"> </w:t>
      </w:r>
      <w:r>
        <w:t xml:space="preserve">summarises our approved forecast of conforming capex for the </w:t>
      </w:r>
      <w:r w:rsidR="006A555A">
        <w:t>2016–21</w:t>
      </w:r>
      <w:r>
        <w:t xml:space="preserve"> access arrangement period.</w:t>
      </w:r>
    </w:p>
    <w:p w:rsidR="006C48AF" w:rsidRDefault="006C48AF" w:rsidP="003D1B28">
      <w:pPr>
        <w:pStyle w:val="Caption"/>
      </w:pPr>
      <w:bookmarkStart w:id="47" w:name="_Ref432762825"/>
      <w:r>
        <w:lastRenderedPageBreak/>
        <w:t xml:space="preserve">Table </w:t>
      </w:r>
      <w:fldSimple w:instr=" STYLEREF 1 \s ">
        <w:r w:rsidR="00F65E22">
          <w:rPr>
            <w:noProof/>
          </w:rPr>
          <w:t>6</w:t>
        </w:r>
      </w:fldSimple>
      <w:r w:rsidR="00F11395">
        <w:rPr>
          <w:noProof/>
        </w:rPr>
        <w:t>.</w:t>
      </w:r>
      <w:fldSimple w:instr=" SEQ Table \* ARABIC \s 1 ">
        <w:r w:rsidR="00F65E22">
          <w:rPr>
            <w:noProof/>
          </w:rPr>
          <w:t>8</w:t>
        </w:r>
      </w:fldSimple>
      <w:bookmarkEnd w:id="47"/>
      <w:r>
        <w:tab/>
        <w:t xml:space="preserve">AER approved capital expenditure over the </w:t>
      </w:r>
      <w:r w:rsidR="006A555A">
        <w:t>2016–21</w:t>
      </w:r>
      <w:r>
        <w:t xml:space="preserve"> access arrangement period ($million, </w:t>
      </w:r>
      <w:r w:rsidR="000B70FD">
        <w:t>2015–16</w:t>
      </w:r>
      <w:r>
        <w:t>)</w:t>
      </w:r>
    </w:p>
    <w:tbl>
      <w:tblPr>
        <w:tblStyle w:val="AERtable-numbers"/>
        <w:tblW w:w="0" w:type="auto"/>
        <w:tblLayout w:type="fixed"/>
        <w:tblLook w:val="04A0" w:firstRow="1" w:lastRow="0" w:firstColumn="1" w:lastColumn="0" w:noHBand="0" w:noVBand="1"/>
      </w:tblPr>
      <w:tblGrid>
        <w:gridCol w:w="2235"/>
        <w:gridCol w:w="1076"/>
        <w:gridCol w:w="1076"/>
        <w:gridCol w:w="1077"/>
        <w:gridCol w:w="1076"/>
        <w:gridCol w:w="1076"/>
        <w:gridCol w:w="1077"/>
      </w:tblGrid>
      <w:tr w:rsidR="006C48AF" w:rsidTr="008C0E4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6C48AF" w:rsidRDefault="006C48AF" w:rsidP="00487261">
            <w:pPr>
              <w:keepNext/>
            </w:pPr>
          </w:p>
        </w:tc>
        <w:tc>
          <w:tcPr>
            <w:tcW w:w="1076" w:type="dxa"/>
          </w:tcPr>
          <w:p w:rsidR="006C48AF" w:rsidRDefault="006C48AF" w:rsidP="00487261">
            <w:pPr>
              <w:keepNext/>
              <w:cnfStyle w:val="100000000000" w:firstRow="1" w:lastRow="0" w:firstColumn="0" w:lastColumn="0" w:oddVBand="0" w:evenVBand="0" w:oddHBand="0" w:evenHBand="0" w:firstRowFirstColumn="0" w:firstRowLastColumn="0" w:lastRowFirstColumn="0" w:lastRowLastColumn="0"/>
            </w:pPr>
            <w:r>
              <w:t>2016-17</w:t>
            </w:r>
          </w:p>
        </w:tc>
        <w:tc>
          <w:tcPr>
            <w:tcW w:w="1076" w:type="dxa"/>
          </w:tcPr>
          <w:p w:rsidR="006C48AF" w:rsidRDefault="006C48AF" w:rsidP="00487261">
            <w:pPr>
              <w:keepNext/>
              <w:cnfStyle w:val="100000000000" w:firstRow="1" w:lastRow="0" w:firstColumn="0" w:lastColumn="0" w:oddVBand="0" w:evenVBand="0" w:oddHBand="0" w:evenHBand="0" w:firstRowFirstColumn="0" w:firstRowLastColumn="0" w:lastRowFirstColumn="0" w:lastRowLastColumn="0"/>
            </w:pPr>
            <w:r>
              <w:t>2017-18</w:t>
            </w:r>
          </w:p>
        </w:tc>
        <w:tc>
          <w:tcPr>
            <w:tcW w:w="1077" w:type="dxa"/>
          </w:tcPr>
          <w:p w:rsidR="006C48AF" w:rsidRDefault="006C48AF" w:rsidP="00487261">
            <w:pPr>
              <w:keepNext/>
              <w:cnfStyle w:val="100000000000" w:firstRow="1" w:lastRow="0" w:firstColumn="0" w:lastColumn="0" w:oddVBand="0" w:evenVBand="0" w:oddHBand="0" w:evenHBand="0" w:firstRowFirstColumn="0" w:firstRowLastColumn="0" w:lastRowFirstColumn="0" w:lastRowLastColumn="0"/>
            </w:pPr>
            <w:r>
              <w:t>2018-19</w:t>
            </w:r>
          </w:p>
        </w:tc>
        <w:tc>
          <w:tcPr>
            <w:tcW w:w="1076" w:type="dxa"/>
          </w:tcPr>
          <w:p w:rsidR="006C48AF" w:rsidRDefault="006C48AF" w:rsidP="00487261">
            <w:pPr>
              <w:keepNext/>
              <w:cnfStyle w:val="100000000000" w:firstRow="1" w:lastRow="0" w:firstColumn="0" w:lastColumn="0" w:oddVBand="0" w:evenVBand="0" w:oddHBand="0" w:evenHBand="0" w:firstRowFirstColumn="0" w:firstRowLastColumn="0" w:lastRowFirstColumn="0" w:lastRowLastColumn="0"/>
            </w:pPr>
            <w:r>
              <w:t>2019-20</w:t>
            </w:r>
          </w:p>
        </w:tc>
        <w:tc>
          <w:tcPr>
            <w:tcW w:w="1076" w:type="dxa"/>
          </w:tcPr>
          <w:p w:rsidR="006C48AF" w:rsidRDefault="006C48AF" w:rsidP="00487261">
            <w:pPr>
              <w:keepNext/>
              <w:cnfStyle w:val="100000000000" w:firstRow="1" w:lastRow="0" w:firstColumn="0" w:lastColumn="0" w:oddVBand="0" w:evenVBand="0" w:oddHBand="0" w:evenHBand="0" w:firstRowFirstColumn="0" w:firstRowLastColumn="0" w:lastRowFirstColumn="0" w:lastRowLastColumn="0"/>
            </w:pPr>
            <w:r>
              <w:t>2020-21</w:t>
            </w:r>
          </w:p>
        </w:tc>
        <w:tc>
          <w:tcPr>
            <w:tcW w:w="1077" w:type="dxa"/>
          </w:tcPr>
          <w:p w:rsidR="006C48AF" w:rsidRDefault="006C48AF" w:rsidP="00487261">
            <w:pPr>
              <w:keepNext/>
              <w:cnfStyle w:val="100000000000" w:firstRow="1" w:lastRow="0" w:firstColumn="0" w:lastColumn="0" w:oddVBand="0" w:evenVBand="0" w:oddHBand="0" w:evenHBand="0" w:firstRowFirstColumn="0" w:firstRowLastColumn="0" w:lastRowFirstColumn="0" w:lastRowLastColumn="0"/>
            </w:pPr>
            <w:r>
              <w:t>Total</w:t>
            </w:r>
          </w:p>
        </w:tc>
      </w:tr>
      <w:tr w:rsidR="006C48AF" w:rsidTr="008C0E4B">
        <w:tc>
          <w:tcPr>
            <w:cnfStyle w:val="001000000000" w:firstRow="0" w:lastRow="0" w:firstColumn="1" w:lastColumn="0" w:oddVBand="0" w:evenVBand="0" w:oddHBand="0" w:evenHBand="0" w:firstRowFirstColumn="0" w:firstRowLastColumn="0" w:lastRowFirstColumn="0" w:lastRowLastColumn="0"/>
            <w:tcW w:w="2235" w:type="dxa"/>
          </w:tcPr>
          <w:p w:rsidR="006C48AF" w:rsidRDefault="006C48AF" w:rsidP="00487261">
            <w:pPr>
              <w:keepNext/>
            </w:pPr>
            <w:r>
              <w:t>Expansion</w:t>
            </w:r>
          </w:p>
        </w:tc>
        <w:tc>
          <w:tcPr>
            <w:tcW w:w="1076" w:type="dxa"/>
          </w:tcPr>
          <w:p w:rsidR="006C48AF" w:rsidRDefault="006C48AF" w:rsidP="00487261">
            <w:pPr>
              <w:keepNext/>
              <w:cnfStyle w:val="000000000000" w:firstRow="0" w:lastRow="0" w:firstColumn="0" w:lastColumn="0" w:oddVBand="0" w:evenVBand="0" w:oddHBand="0" w:evenHBand="0" w:firstRowFirstColumn="0" w:firstRowLastColumn="0" w:lastRowFirstColumn="0" w:lastRowLastColumn="0"/>
            </w:pPr>
            <w:r>
              <w:t>-</w:t>
            </w:r>
          </w:p>
        </w:tc>
        <w:tc>
          <w:tcPr>
            <w:tcW w:w="1076" w:type="dxa"/>
          </w:tcPr>
          <w:p w:rsidR="006C48AF" w:rsidRDefault="006C48AF" w:rsidP="00487261">
            <w:pPr>
              <w:keepNext/>
              <w:cnfStyle w:val="000000000000" w:firstRow="0" w:lastRow="0" w:firstColumn="0" w:lastColumn="0" w:oddVBand="0" w:evenVBand="0" w:oddHBand="0" w:evenHBand="0" w:firstRowFirstColumn="0" w:firstRowLastColumn="0" w:lastRowFirstColumn="0" w:lastRowLastColumn="0"/>
            </w:pPr>
            <w:r>
              <w:t>-</w:t>
            </w:r>
          </w:p>
        </w:tc>
        <w:tc>
          <w:tcPr>
            <w:tcW w:w="1077" w:type="dxa"/>
          </w:tcPr>
          <w:p w:rsidR="006C48AF" w:rsidRDefault="006C48AF" w:rsidP="00487261">
            <w:pPr>
              <w:keepNext/>
              <w:cnfStyle w:val="000000000000" w:firstRow="0" w:lastRow="0" w:firstColumn="0" w:lastColumn="0" w:oddVBand="0" w:evenVBand="0" w:oddHBand="0" w:evenHBand="0" w:firstRowFirstColumn="0" w:firstRowLastColumn="0" w:lastRowFirstColumn="0" w:lastRowLastColumn="0"/>
            </w:pPr>
            <w:r>
              <w:t>-</w:t>
            </w:r>
          </w:p>
        </w:tc>
        <w:tc>
          <w:tcPr>
            <w:tcW w:w="1076" w:type="dxa"/>
          </w:tcPr>
          <w:p w:rsidR="006C48AF" w:rsidRDefault="006C48AF" w:rsidP="00487261">
            <w:pPr>
              <w:keepNext/>
              <w:cnfStyle w:val="000000000000" w:firstRow="0" w:lastRow="0" w:firstColumn="0" w:lastColumn="0" w:oddVBand="0" w:evenVBand="0" w:oddHBand="0" w:evenHBand="0" w:firstRowFirstColumn="0" w:firstRowLastColumn="0" w:lastRowFirstColumn="0" w:lastRowLastColumn="0"/>
            </w:pPr>
            <w:r>
              <w:t>-</w:t>
            </w:r>
          </w:p>
        </w:tc>
        <w:tc>
          <w:tcPr>
            <w:tcW w:w="1076" w:type="dxa"/>
          </w:tcPr>
          <w:p w:rsidR="006C48AF" w:rsidRDefault="006C48AF" w:rsidP="00487261">
            <w:pPr>
              <w:keepNext/>
              <w:cnfStyle w:val="000000000000" w:firstRow="0" w:lastRow="0" w:firstColumn="0" w:lastColumn="0" w:oddVBand="0" w:evenVBand="0" w:oddHBand="0" w:evenHBand="0" w:firstRowFirstColumn="0" w:firstRowLastColumn="0" w:lastRowFirstColumn="0" w:lastRowLastColumn="0"/>
            </w:pPr>
            <w:r>
              <w:t>-</w:t>
            </w:r>
          </w:p>
        </w:tc>
        <w:tc>
          <w:tcPr>
            <w:tcW w:w="1077" w:type="dxa"/>
          </w:tcPr>
          <w:p w:rsidR="006C48AF" w:rsidRDefault="006C48AF" w:rsidP="00487261">
            <w:pPr>
              <w:keepNext/>
              <w:cnfStyle w:val="000000000000" w:firstRow="0" w:lastRow="0" w:firstColumn="0" w:lastColumn="0" w:oddVBand="0" w:evenVBand="0" w:oddHBand="0" w:evenHBand="0" w:firstRowFirstColumn="0" w:firstRowLastColumn="0" w:lastRowFirstColumn="0" w:lastRowLastColumn="0"/>
            </w:pPr>
            <w:r>
              <w:t>-</w:t>
            </w:r>
          </w:p>
        </w:tc>
      </w:tr>
      <w:tr w:rsidR="006C48AF" w:rsidTr="008C0E4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6C48AF" w:rsidRDefault="006C48AF" w:rsidP="00487261">
            <w:pPr>
              <w:keepNext/>
            </w:pPr>
            <w:r>
              <w:t>Replacement</w:t>
            </w:r>
          </w:p>
        </w:tc>
        <w:tc>
          <w:tcPr>
            <w:tcW w:w="1076" w:type="dxa"/>
          </w:tcPr>
          <w:p w:rsidR="006C48AF" w:rsidRDefault="006C48AF" w:rsidP="00487261">
            <w:pPr>
              <w:keepNext/>
              <w:cnfStyle w:val="000000010000" w:firstRow="0" w:lastRow="0" w:firstColumn="0" w:lastColumn="0" w:oddVBand="0" w:evenVBand="0" w:oddHBand="0" w:evenHBand="1" w:firstRowFirstColumn="0" w:firstRowLastColumn="0" w:lastRowFirstColumn="0" w:lastRowLastColumn="0"/>
            </w:pPr>
            <w:r>
              <w:t>4.7</w:t>
            </w:r>
          </w:p>
        </w:tc>
        <w:tc>
          <w:tcPr>
            <w:tcW w:w="1076" w:type="dxa"/>
          </w:tcPr>
          <w:p w:rsidR="006C48AF" w:rsidRDefault="006C48AF" w:rsidP="00487261">
            <w:pPr>
              <w:keepNext/>
              <w:cnfStyle w:val="000000010000" w:firstRow="0" w:lastRow="0" w:firstColumn="0" w:lastColumn="0" w:oddVBand="0" w:evenVBand="0" w:oddHBand="0" w:evenHBand="1" w:firstRowFirstColumn="0" w:firstRowLastColumn="0" w:lastRowFirstColumn="0" w:lastRowLastColumn="0"/>
            </w:pPr>
            <w:r>
              <w:t>3.7</w:t>
            </w:r>
          </w:p>
        </w:tc>
        <w:tc>
          <w:tcPr>
            <w:tcW w:w="1077" w:type="dxa"/>
          </w:tcPr>
          <w:p w:rsidR="006C48AF" w:rsidRDefault="006C48AF" w:rsidP="00487261">
            <w:pPr>
              <w:keepNext/>
              <w:cnfStyle w:val="000000010000" w:firstRow="0" w:lastRow="0" w:firstColumn="0" w:lastColumn="0" w:oddVBand="0" w:evenVBand="0" w:oddHBand="0" w:evenHBand="1" w:firstRowFirstColumn="0" w:firstRowLastColumn="0" w:lastRowFirstColumn="0" w:lastRowLastColumn="0"/>
            </w:pPr>
            <w:r>
              <w:t>3.4</w:t>
            </w:r>
          </w:p>
        </w:tc>
        <w:tc>
          <w:tcPr>
            <w:tcW w:w="1076" w:type="dxa"/>
          </w:tcPr>
          <w:p w:rsidR="006C48AF" w:rsidRDefault="006C48AF" w:rsidP="00487261">
            <w:pPr>
              <w:keepNext/>
              <w:cnfStyle w:val="000000010000" w:firstRow="0" w:lastRow="0" w:firstColumn="0" w:lastColumn="0" w:oddVBand="0" w:evenVBand="0" w:oddHBand="0" w:evenHBand="1" w:firstRowFirstColumn="0" w:firstRowLastColumn="0" w:lastRowFirstColumn="0" w:lastRowLastColumn="0"/>
            </w:pPr>
            <w:r>
              <w:t>3.4</w:t>
            </w:r>
          </w:p>
        </w:tc>
        <w:tc>
          <w:tcPr>
            <w:tcW w:w="1076" w:type="dxa"/>
          </w:tcPr>
          <w:p w:rsidR="006C48AF" w:rsidRDefault="006C48AF" w:rsidP="00487261">
            <w:pPr>
              <w:keepNext/>
              <w:cnfStyle w:val="000000010000" w:firstRow="0" w:lastRow="0" w:firstColumn="0" w:lastColumn="0" w:oddVBand="0" w:evenVBand="0" w:oddHBand="0" w:evenHBand="1" w:firstRowFirstColumn="0" w:firstRowLastColumn="0" w:lastRowFirstColumn="0" w:lastRowLastColumn="0"/>
            </w:pPr>
            <w:r>
              <w:t>3.</w:t>
            </w:r>
            <w:r w:rsidR="00A30095">
              <w:t>3</w:t>
            </w:r>
          </w:p>
        </w:tc>
        <w:tc>
          <w:tcPr>
            <w:tcW w:w="1077" w:type="dxa"/>
          </w:tcPr>
          <w:p w:rsidR="006C48AF" w:rsidRDefault="006C48AF" w:rsidP="00487261">
            <w:pPr>
              <w:keepNext/>
              <w:cnfStyle w:val="000000010000" w:firstRow="0" w:lastRow="0" w:firstColumn="0" w:lastColumn="0" w:oddVBand="0" w:evenVBand="0" w:oddHBand="0" w:evenHBand="1" w:firstRowFirstColumn="0" w:firstRowLastColumn="0" w:lastRowFirstColumn="0" w:lastRowLastColumn="0"/>
            </w:pPr>
            <w:r>
              <w:t>18.</w:t>
            </w:r>
            <w:r w:rsidR="00D177B1">
              <w:t>5</w:t>
            </w:r>
          </w:p>
        </w:tc>
      </w:tr>
      <w:tr w:rsidR="006C48AF" w:rsidTr="008C0E4B">
        <w:tc>
          <w:tcPr>
            <w:cnfStyle w:val="001000000000" w:firstRow="0" w:lastRow="0" w:firstColumn="1" w:lastColumn="0" w:oddVBand="0" w:evenVBand="0" w:oddHBand="0" w:evenHBand="0" w:firstRowFirstColumn="0" w:firstRowLastColumn="0" w:lastRowFirstColumn="0" w:lastRowLastColumn="0"/>
            <w:tcW w:w="2235" w:type="dxa"/>
          </w:tcPr>
          <w:p w:rsidR="006C48AF" w:rsidRDefault="006C48AF" w:rsidP="00487261">
            <w:pPr>
              <w:keepNext/>
            </w:pPr>
            <w:r>
              <w:t>Non-system</w:t>
            </w:r>
          </w:p>
        </w:tc>
        <w:tc>
          <w:tcPr>
            <w:tcW w:w="1076" w:type="dxa"/>
          </w:tcPr>
          <w:p w:rsidR="006C48AF" w:rsidRDefault="006C48AF" w:rsidP="00487261">
            <w:pPr>
              <w:keepNext/>
              <w:cnfStyle w:val="000000000000" w:firstRow="0" w:lastRow="0" w:firstColumn="0" w:lastColumn="0" w:oddVBand="0" w:evenVBand="0" w:oddHBand="0" w:evenHBand="0" w:firstRowFirstColumn="0" w:firstRowLastColumn="0" w:lastRowFirstColumn="0" w:lastRowLastColumn="0"/>
            </w:pPr>
            <w:r>
              <w:t>4.4</w:t>
            </w:r>
          </w:p>
        </w:tc>
        <w:tc>
          <w:tcPr>
            <w:tcW w:w="1076" w:type="dxa"/>
          </w:tcPr>
          <w:p w:rsidR="006C48AF" w:rsidRDefault="006C48AF" w:rsidP="00487261">
            <w:pPr>
              <w:keepNext/>
              <w:cnfStyle w:val="000000000000" w:firstRow="0" w:lastRow="0" w:firstColumn="0" w:lastColumn="0" w:oddVBand="0" w:evenVBand="0" w:oddHBand="0" w:evenHBand="0" w:firstRowFirstColumn="0" w:firstRowLastColumn="0" w:lastRowFirstColumn="0" w:lastRowLastColumn="0"/>
            </w:pPr>
            <w:r>
              <w:t>0.9</w:t>
            </w:r>
          </w:p>
        </w:tc>
        <w:tc>
          <w:tcPr>
            <w:tcW w:w="1077" w:type="dxa"/>
          </w:tcPr>
          <w:p w:rsidR="006C48AF" w:rsidRDefault="006C48AF" w:rsidP="00487261">
            <w:pPr>
              <w:keepNext/>
              <w:cnfStyle w:val="000000000000" w:firstRow="0" w:lastRow="0" w:firstColumn="0" w:lastColumn="0" w:oddVBand="0" w:evenVBand="0" w:oddHBand="0" w:evenHBand="0" w:firstRowFirstColumn="0" w:firstRowLastColumn="0" w:lastRowFirstColumn="0" w:lastRowLastColumn="0"/>
            </w:pPr>
            <w:r>
              <w:t>1.0</w:t>
            </w:r>
          </w:p>
        </w:tc>
        <w:tc>
          <w:tcPr>
            <w:tcW w:w="1076" w:type="dxa"/>
          </w:tcPr>
          <w:p w:rsidR="006C48AF" w:rsidRDefault="006C48AF" w:rsidP="00487261">
            <w:pPr>
              <w:keepNext/>
              <w:cnfStyle w:val="000000000000" w:firstRow="0" w:lastRow="0" w:firstColumn="0" w:lastColumn="0" w:oddVBand="0" w:evenVBand="0" w:oddHBand="0" w:evenHBand="0" w:firstRowFirstColumn="0" w:firstRowLastColumn="0" w:lastRowFirstColumn="0" w:lastRowLastColumn="0"/>
            </w:pPr>
            <w:r>
              <w:t>1.1</w:t>
            </w:r>
          </w:p>
        </w:tc>
        <w:tc>
          <w:tcPr>
            <w:tcW w:w="1076" w:type="dxa"/>
          </w:tcPr>
          <w:p w:rsidR="006C48AF" w:rsidRDefault="006C48AF" w:rsidP="00487261">
            <w:pPr>
              <w:keepNext/>
              <w:cnfStyle w:val="000000000000" w:firstRow="0" w:lastRow="0" w:firstColumn="0" w:lastColumn="0" w:oddVBand="0" w:evenVBand="0" w:oddHBand="0" w:evenHBand="0" w:firstRowFirstColumn="0" w:firstRowLastColumn="0" w:lastRowFirstColumn="0" w:lastRowLastColumn="0"/>
            </w:pPr>
            <w:r>
              <w:t>1.3</w:t>
            </w:r>
          </w:p>
        </w:tc>
        <w:tc>
          <w:tcPr>
            <w:tcW w:w="1077" w:type="dxa"/>
          </w:tcPr>
          <w:p w:rsidR="006C48AF" w:rsidRDefault="006C48AF" w:rsidP="00487261">
            <w:pPr>
              <w:keepNext/>
              <w:cnfStyle w:val="000000000000" w:firstRow="0" w:lastRow="0" w:firstColumn="0" w:lastColumn="0" w:oddVBand="0" w:evenVBand="0" w:oddHBand="0" w:evenHBand="0" w:firstRowFirstColumn="0" w:firstRowLastColumn="0" w:lastRowFirstColumn="0" w:lastRowLastColumn="0"/>
            </w:pPr>
            <w:r>
              <w:t>8.7</w:t>
            </w:r>
          </w:p>
        </w:tc>
      </w:tr>
      <w:tr w:rsidR="008C0E4B" w:rsidTr="008C0E4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8C0E4B" w:rsidRPr="00A76366" w:rsidRDefault="008C0E4B" w:rsidP="00487261">
            <w:pPr>
              <w:keepNext/>
            </w:pPr>
            <w:r w:rsidRPr="00A76366">
              <w:t>GROSS TOTAL CAPITAL EXPENDITURE</w:t>
            </w:r>
          </w:p>
        </w:tc>
        <w:tc>
          <w:tcPr>
            <w:tcW w:w="1076" w:type="dxa"/>
          </w:tcPr>
          <w:p w:rsidR="008C0E4B" w:rsidRPr="009309F6" w:rsidRDefault="008C0E4B" w:rsidP="00487261">
            <w:pPr>
              <w:pStyle w:val="AERtabletextright"/>
              <w:keepNex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9.1</w:t>
            </w:r>
          </w:p>
        </w:tc>
        <w:tc>
          <w:tcPr>
            <w:tcW w:w="1076" w:type="dxa"/>
          </w:tcPr>
          <w:p w:rsidR="008C0E4B" w:rsidRPr="009309F6" w:rsidRDefault="008C0E4B" w:rsidP="00487261">
            <w:pPr>
              <w:pStyle w:val="AERtabletextright"/>
              <w:keepNex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4.6</w:t>
            </w:r>
          </w:p>
        </w:tc>
        <w:tc>
          <w:tcPr>
            <w:tcW w:w="1077" w:type="dxa"/>
          </w:tcPr>
          <w:p w:rsidR="008C0E4B" w:rsidRPr="009309F6" w:rsidRDefault="008C0E4B" w:rsidP="00487261">
            <w:pPr>
              <w:pStyle w:val="AERtabletextright"/>
              <w:keepNex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4.4</w:t>
            </w:r>
          </w:p>
        </w:tc>
        <w:tc>
          <w:tcPr>
            <w:tcW w:w="1076" w:type="dxa"/>
          </w:tcPr>
          <w:p w:rsidR="008C0E4B" w:rsidRPr="009309F6" w:rsidRDefault="008C0E4B" w:rsidP="00487261">
            <w:pPr>
              <w:pStyle w:val="AERtabletextright"/>
              <w:keepNex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4.5</w:t>
            </w:r>
          </w:p>
        </w:tc>
        <w:tc>
          <w:tcPr>
            <w:tcW w:w="1076" w:type="dxa"/>
          </w:tcPr>
          <w:p w:rsidR="008C0E4B" w:rsidRPr="009309F6" w:rsidRDefault="008C0E4B" w:rsidP="00487261">
            <w:pPr>
              <w:pStyle w:val="AERtabletextright"/>
              <w:keepNex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4.6</w:t>
            </w:r>
          </w:p>
        </w:tc>
        <w:tc>
          <w:tcPr>
            <w:tcW w:w="1077" w:type="dxa"/>
          </w:tcPr>
          <w:p w:rsidR="008C0E4B" w:rsidRPr="009309F6" w:rsidRDefault="008C0E4B" w:rsidP="00487261">
            <w:pPr>
              <w:pStyle w:val="AERtabletextright"/>
              <w:keepNext/>
              <w:cnfStyle w:val="000000010000" w:firstRow="0" w:lastRow="0" w:firstColumn="0" w:lastColumn="0" w:oddVBand="0" w:evenVBand="0" w:oddHBand="0" w:evenHBand="1" w:firstRowFirstColumn="0" w:firstRowLastColumn="0" w:lastRowFirstColumn="0" w:lastRowLastColumn="0"/>
              <w:rPr>
                <w:sz w:val="16"/>
                <w:szCs w:val="16"/>
              </w:rPr>
            </w:pPr>
            <w:r>
              <w:rPr>
                <w:sz w:val="16"/>
                <w:szCs w:val="16"/>
              </w:rPr>
              <w:t>27.2</w:t>
            </w:r>
          </w:p>
        </w:tc>
      </w:tr>
      <w:tr w:rsidR="008C0E4B" w:rsidTr="008C0E4B">
        <w:tc>
          <w:tcPr>
            <w:cnfStyle w:val="001000000000" w:firstRow="0" w:lastRow="0" w:firstColumn="1" w:lastColumn="0" w:oddVBand="0" w:evenVBand="0" w:oddHBand="0" w:evenHBand="0" w:firstRowFirstColumn="0" w:firstRowLastColumn="0" w:lastRowFirstColumn="0" w:lastRowLastColumn="0"/>
            <w:tcW w:w="2235" w:type="dxa"/>
          </w:tcPr>
          <w:p w:rsidR="008C0E4B" w:rsidRPr="00A76366" w:rsidRDefault="008C0E4B" w:rsidP="00487261">
            <w:pPr>
              <w:keepNext/>
            </w:pPr>
            <w:r w:rsidRPr="00A76366">
              <w:t>Contributions</w:t>
            </w:r>
          </w:p>
        </w:tc>
        <w:tc>
          <w:tcPr>
            <w:tcW w:w="1076" w:type="dxa"/>
          </w:tcPr>
          <w:p w:rsidR="008C0E4B" w:rsidRPr="009309F6" w:rsidRDefault="008C0E4B" w:rsidP="00487261">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sidRPr="009309F6">
              <w:rPr>
                <w:sz w:val="16"/>
                <w:szCs w:val="16"/>
              </w:rPr>
              <w:t>-</w:t>
            </w:r>
          </w:p>
        </w:tc>
        <w:tc>
          <w:tcPr>
            <w:tcW w:w="1076" w:type="dxa"/>
          </w:tcPr>
          <w:p w:rsidR="008C0E4B" w:rsidRPr="009309F6" w:rsidRDefault="008C0E4B" w:rsidP="00487261">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sidRPr="009309F6">
              <w:rPr>
                <w:sz w:val="16"/>
                <w:szCs w:val="16"/>
              </w:rPr>
              <w:t>-</w:t>
            </w:r>
          </w:p>
        </w:tc>
        <w:tc>
          <w:tcPr>
            <w:tcW w:w="1077" w:type="dxa"/>
          </w:tcPr>
          <w:p w:rsidR="008C0E4B" w:rsidRPr="009309F6" w:rsidRDefault="008C0E4B" w:rsidP="00487261">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sidRPr="009309F6">
              <w:rPr>
                <w:sz w:val="16"/>
                <w:szCs w:val="16"/>
              </w:rPr>
              <w:t>-</w:t>
            </w:r>
          </w:p>
        </w:tc>
        <w:tc>
          <w:tcPr>
            <w:tcW w:w="1076" w:type="dxa"/>
          </w:tcPr>
          <w:p w:rsidR="008C0E4B" w:rsidRPr="009309F6" w:rsidRDefault="008C0E4B" w:rsidP="00487261">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sidRPr="009309F6">
              <w:rPr>
                <w:sz w:val="16"/>
                <w:szCs w:val="16"/>
              </w:rPr>
              <w:t>-</w:t>
            </w:r>
          </w:p>
        </w:tc>
        <w:tc>
          <w:tcPr>
            <w:tcW w:w="1076" w:type="dxa"/>
          </w:tcPr>
          <w:p w:rsidR="008C0E4B" w:rsidRPr="009309F6" w:rsidRDefault="008C0E4B" w:rsidP="00487261">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sidRPr="009309F6">
              <w:rPr>
                <w:sz w:val="16"/>
                <w:szCs w:val="16"/>
              </w:rPr>
              <w:t>-</w:t>
            </w:r>
          </w:p>
        </w:tc>
        <w:tc>
          <w:tcPr>
            <w:tcW w:w="1077" w:type="dxa"/>
          </w:tcPr>
          <w:p w:rsidR="008C0E4B" w:rsidRPr="009309F6" w:rsidRDefault="008C0E4B" w:rsidP="00487261">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sidRPr="009309F6">
              <w:rPr>
                <w:sz w:val="16"/>
                <w:szCs w:val="16"/>
              </w:rPr>
              <w:t>-</w:t>
            </w:r>
          </w:p>
        </w:tc>
      </w:tr>
      <w:tr w:rsidR="008C0E4B" w:rsidTr="008C0E4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rsidR="008C0E4B" w:rsidRPr="00AB3A65" w:rsidRDefault="008C0E4B" w:rsidP="00487261">
            <w:pPr>
              <w:keepNext/>
            </w:pPr>
            <w:r w:rsidRPr="00AB3A65">
              <w:t>Asset disposals</w:t>
            </w:r>
          </w:p>
        </w:tc>
        <w:tc>
          <w:tcPr>
            <w:tcW w:w="1076" w:type="dxa"/>
          </w:tcPr>
          <w:p w:rsidR="008C0E4B" w:rsidRPr="009309F6" w:rsidRDefault="008C0E4B" w:rsidP="00487261">
            <w:pPr>
              <w:pStyle w:val="AERtabletextright"/>
              <w:keepNext/>
              <w:cnfStyle w:val="000000010000" w:firstRow="0" w:lastRow="0" w:firstColumn="0" w:lastColumn="0" w:oddVBand="0" w:evenVBand="0" w:oddHBand="0" w:evenHBand="1" w:firstRowFirstColumn="0" w:firstRowLastColumn="0" w:lastRowFirstColumn="0" w:lastRowLastColumn="0"/>
              <w:rPr>
                <w:sz w:val="16"/>
                <w:szCs w:val="16"/>
              </w:rPr>
            </w:pPr>
            <w:r w:rsidRPr="009309F6">
              <w:rPr>
                <w:sz w:val="16"/>
                <w:szCs w:val="16"/>
              </w:rPr>
              <w:t>0.2</w:t>
            </w:r>
          </w:p>
        </w:tc>
        <w:tc>
          <w:tcPr>
            <w:tcW w:w="1076" w:type="dxa"/>
          </w:tcPr>
          <w:p w:rsidR="008C0E4B" w:rsidRPr="009309F6" w:rsidRDefault="008C0E4B" w:rsidP="00487261">
            <w:pPr>
              <w:pStyle w:val="AERtabletextright"/>
              <w:keepNext/>
              <w:cnfStyle w:val="000000010000" w:firstRow="0" w:lastRow="0" w:firstColumn="0" w:lastColumn="0" w:oddVBand="0" w:evenVBand="0" w:oddHBand="0" w:evenHBand="1" w:firstRowFirstColumn="0" w:firstRowLastColumn="0" w:lastRowFirstColumn="0" w:lastRowLastColumn="0"/>
              <w:rPr>
                <w:sz w:val="16"/>
                <w:szCs w:val="16"/>
              </w:rPr>
            </w:pPr>
            <w:r w:rsidRPr="009309F6">
              <w:rPr>
                <w:sz w:val="16"/>
                <w:szCs w:val="16"/>
              </w:rPr>
              <w:t>0.1</w:t>
            </w:r>
          </w:p>
        </w:tc>
        <w:tc>
          <w:tcPr>
            <w:tcW w:w="1077" w:type="dxa"/>
          </w:tcPr>
          <w:p w:rsidR="008C0E4B" w:rsidRPr="009309F6" w:rsidRDefault="008C0E4B" w:rsidP="00487261">
            <w:pPr>
              <w:pStyle w:val="AERtabletextright"/>
              <w:keepNext/>
              <w:cnfStyle w:val="000000010000" w:firstRow="0" w:lastRow="0" w:firstColumn="0" w:lastColumn="0" w:oddVBand="0" w:evenVBand="0" w:oddHBand="0" w:evenHBand="1" w:firstRowFirstColumn="0" w:firstRowLastColumn="0" w:lastRowFirstColumn="0" w:lastRowLastColumn="0"/>
              <w:rPr>
                <w:sz w:val="16"/>
                <w:szCs w:val="16"/>
              </w:rPr>
            </w:pPr>
            <w:r w:rsidRPr="009309F6">
              <w:rPr>
                <w:sz w:val="16"/>
                <w:szCs w:val="16"/>
              </w:rPr>
              <w:t>0.1</w:t>
            </w:r>
          </w:p>
        </w:tc>
        <w:tc>
          <w:tcPr>
            <w:tcW w:w="1076" w:type="dxa"/>
          </w:tcPr>
          <w:p w:rsidR="008C0E4B" w:rsidRPr="009309F6" w:rsidRDefault="008C0E4B" w:rsidP="00487261">
            <w:pPr>
              <w:pStyle w:val="AERtabletextright"/>
              <w:keepNext/>
              <w:cnfStyle w:val="000000010000" w:firstRow="0" w:lastRow="0" w:firstColumn="0" w:lastColumn="0" w:oddVBand="0" w:evenVBand="0" w:oddHBand="0" w:evenHBand="1" w:firstRowFirstColumn="0" w:firstRowLastColumn="0" w:lastRowFirstColumn="0" w:lastRowLastColumn="0"/>
              <w:rPr>
                <w:sz w:val="16"/>
                <w:szCs w:val="16"/>
              </w:rPr>
            </w:pPr>
            <w:r w:rsidRPr="009309F6">
              <w:rPr>
                <w:sz w:val="16"/>
                <w:szCs w:val="16"/>
              </w:rPr>
              <w:t>0.1</w:t>
            </w:r>
          </w:p>
        </w:tc>
        <w:tc>
          <w:tcPr>
            <w:tcW w:w="1076" w:type="dxa"/>
          </w:tcPr>
          <w:p w:rsidR="008C0E4B" w:rsidRPr="009309F6" w:rsidRDefault="008C0E4B" w:rsidP="00487261">
            <w:pPr>
              <w:pStyle w:val="AERtabletextright"/>
              <w:keepNext/>
              <w:cnfStyle w:val="000000010000" w:firstRow="0" w:lastRow="0" w:firstColumn="0" w:lastColumn="0" w:oddVBand="0" w:evenVBand="0" w:oddHBand="0" w:evenHBand="1" w:firstRowFirstColumn="0" w:firstRowLastColumn="0" w:lastRowFirstColumn="0" w:lastRowLastColumn="0"/>
              <w:rPr>
                <w:sz w:val="16"/>
                <w:szCs w:val="16"/>
              </w:rPr>
            </w:pPr>
            <w:r w:rsidRPr="009309F6">
              <w:rPr>
                <w:sz w:val="16"/>
                <w:szCs w:val="16"/>
              </w:rPr>
              <w:t>0.2</w:t>
            </w:r>
          </w:p>
        </w:tc>
        <w:tc>
          <w:tcPr>
            <w:tcW w:w="1077" w:type="dxa"/>
          </w:tcPr>
          <w:p w:rsidR="008C0E4B" w:rsidRPr="009309F6" w:rsidRDefault="008C0E4B" w:rsidP="00487261">
            <w:pPr>
              <w:pStyle w:val="AERtabletextright"/>
              <w:keepNext/>
              <w:cnfStyle w:val="000000010000" w:firstRow="0" w:lastRow="0" w:firstColumn="0" w:lastColumn="0" w:oddVBand="0" w:evenVBand="0" w:oddHBand="0" w:evenHBand="1" w:firstRowFirstColumn="0" w:firstRowLastColumn="0" w:lastRowFirstColumn="0" w:lastRowLastColumn="0"/>
              <w:rPr>
                <w:sz w:val="16"/>
                <w:szCs w:val="16"/>
              </w:rPr>
            </w:pPr>
            <w:r w:rsidRPr="009309F6">
              <w:rPr>
                <w:sz w:val="16"/>
                <w:szCs w:val="16"/>
              </w:rPr>
              <w:t>0.7</w:t>
            </w:r>
          </w:p>
        </w:tc>
      </w:tr>
      <w:tr w:rsidR="008C0E4B" w:rsidTr="008C0E4B">
        <w:tc>
          <w:tcPr>
            <w:cnfStyle w:val="001000000000" w:firstRow="0" w:lastRow="0" w:firstColumn="1" w:lastColumn="0" w:oddVBand="0" w:evenVBand="0" w:oddHBand="0" w:evenHBand="0" w:firstRowFirstColumn="0" w:firstRowLastColumn="0" w:lastRowFirstColumn="0" w:lastRowLastColumn="0"/>
            <w:tcW w:w="2235" w:type="dxa"/>
          </w:tcPr>
          <w:p w:rsidR="008C0E4B" w:rsidRPr="0047287F" w:rsidRDefault="008C0E4B" w:rsidP="00487261">
            <w:pPr>
              <w:keepNext/>
              <w:spacing w:before="0"/>
              <w:rPr>
                <w:rStyle w:val="AERsuperscript"/>
                <w:szCs w:val="24"/>
              </w:rPr>
            </w:pPr>
            <w:r w:rsidRPr="00AB3A65">
              <w:t>NET TOTAL CAPITAL EXPENDITURE</w:t>
            </w:r>
          </w:p>
        </w:tc>
        <w:tc>
          <w:tcPr>
            <w:tcW w:w="1076" w:type="dxa"/>
          </w:tcPr>
          <w:p w:rsidR="008C0E4B" w:rsidRPr="009309F6" w:rsidRDefault="008C0E4B" w:rsidP="00487261">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8.9</w:t>
            </w:r>
          </w:p>
        </w:tc>
        <w:tc>
          <w:tcPr>
            <w:tcW w:w="1076" w:type="dxa"/>
          </w:tcPr>
          <w:p w:rsidR="008C0E4B" w:rsidRPr="009309F6" w:rsidRDefault="008C0E4B" w:rsidP="00487261">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4.6</w:t>
            </w:r>
          </w:p>
        </w:tc>
        <w:tc>
          <w:tcPr>
            <w:tcW w:w="1077" w:type="dxa"/>
          </w:tcPr>
          <w:p w:rsidR="008C0E4B" w:rsidRPr="009309F6" w:rsidRDefault="008C0E4B" w:rsidP="00487261">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4.3</w:t>
            </w:r>
          </w:p>
        </w:tc>
        <w:tc>
          <w:tcPr>
            <w:tcW w:w="1076" w:type="dxa"/>
          </w:tcPr>
          <w:p w:rsidR="008C0E4B" w:rsidRPr="009309F6" w:rsidRDefault="008C0E4B" w:rsidP="00487261">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4.3</w:t>
            </w:r>
          </w:p>
        </w:tc>
        <w:tc>
          <w:tcPr>
            <w:tcW w:w="1076" w:type="dxa"/>
          </w:tcPr>
          <w:p w:rsidR="008C0E4B" w:rsidRPr="009309F6" w:rsidRDefault="008C0E4B" w:rsidP="00487261">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4.4</w:t>
            </w:r>
          </w:p>
        </w:tc>
        <w:tc>
          <w:tcPr>
            <w:tcW w:w="1077" w:type="dxa"/>
          </w:tcPr>
          <w:p w:rsidR="008C0E4B" w:rsidRPr="009309F6" w:rsidRDefault="008C0E4B" w:rsidP="00487261">
            <w:pPr>
              <w:pStyle w:val="AERtabletextright"/>
              <w:keepNext/>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26.5</w:t>
            </w:r>
          </w:p>
        </w:tc>
      </w:tr>
    </w:tbl>
    <w:p w:rsidR="006C48AF" w:rsidRDefault="006C48AF" w:rsidP="00487261">
      <w:pPr>
        <w:pStyle w:val="AERtablesource"/>
        <w:keepNext/>
      </w:pPr>
      <w:r>
        <w:t xml:space="preserve">Source: </w:t>
      </w:r>
      <w:r>
        <w:tab/>
        <w:t>AER analysis. Totals may not add due to rounding.</w:t>
      </w:r>
    </w:p>
    <w:p w:rsidR="00A30095" w:rsidRPr="00A30095" w:rsidRDefault="00A30095" w:rsidP="00A30095">
      <w:pPr>
        <w:pStyle w:val="AERtablesource"/>
      </w:pPr>
      <w:r>
        <w:t>Note:</w:t>
      </w:r>
      <w:r>
        <w:tab/>
        <w:t>Includes AER labour escalation adjustments.</w:t>
      </w:r>
    </w:p>
    <w:p w:rsidR="006C48AF" w:rsidRDefault="006C48AF" w:rsidP="006C48AF">
      <w:r>
        <w:t>Our analysis of the capex driver categories is set out below.</w:t>
      </w:r>
    </w:p>
    <w:p w:rsidR="006C48AF" w:rsidRDefault="006C48AF" w:rsidP="0032658E">
      <w:pPr>
        <w:pStyle w:val="HeadingBoldBlue"/>
        <w:keepNext/>
      </w:pPr>
      <w:r>
        <w:t>Expansion capex</w:t>
      </w:r>
    </w:p>
    <w:p w:rsidR="006C48AF" w:rsidRDefault="006C48AF" w:rsidP="006C48AF">
      <w:r>
        <w:t xml:space="preserve">Expansion capex is </w:t>
      </w:r>
      <w:r w:rsidR="006D694F">
        <w:t xml:space="preserve">capex that is </w:t>
      </w:r>
      <w:r>
        <w:t xml:space="preserve">required to expand the capacity of the pipeline to meet forecast demand both within and beyond the access arrangement period. APTNT has not forecast any expansion capex in the </w:t>
      </w:r>
      <w:r w:rsidR="006A555A">
        <w:t>2016–21</w:t>
      </w:r>
      <w:r>
        <w:t xml:space="preserve"> access arrangement period.</w:t>
      </w:r>
    </w:p>
    <w:p w:rsidR="006C48AF" w:rsidRDefault="006C48AF" w:rsidP="006C48AF">
      <w:pPr>
        <w:pStyle w:val="HeadingBoldBlue"/>
      </w:pPr>
      <w:r>
        <w:t>Replacement capex</w:t>
      </w:r>
    </w:p>
    <w:p w:rsidR="006C48AF" w:rsidRDefault="006C48AF" w:rsidP="006C48AF">
      <w:r>
        <w:t xml:space="preserve">Replacement capex is </w:t>
      </w:r>
      <w:r w:rsidR="006D694F">
        <w:t xml:space="preserve">capex that is </w:t>
      </w:r>
      <w:r>
        <w:t xml:space="preserve">required to maintain the safety and integrity of the pipeline. This category includes the refurbishment and replacement of: </w:t>
      </w:r>
    </w:p>
    <w:p w:rsidR="006C48AF" w:rsidRDefault="006C48AF" w:rsidP="006C48AF">
      <w:pPr>
        <w:pStyle w:val="AERbulletlistfirststyle"/>
      </w:pPr>
      <w:r>
        <w:t>instrumentation, including metering, telemetry and remote terminal units</w:t>
      </w:r>
    </w:p>
    <w:p w:rsidR="006C48AF" w:rsidRDefault="006C48AF" w:rsidP="006C48AF">
      <w:pPr>
        <w:pStyle w:val="AERbulletlistfirststyle"/>
      </w:pPr>
      <w:r>
        <w:t>pipeline hardware, including pipes, meter valves, regulators and fittings</w:t>
      </w:r>
    </w:p>
    <w:p w:rsidR="006C48AF" w:rsidRDefault="006C48AF" w:rsidP="006C48AF">
      <w:pPr>
        <w:pStyle w:val="AERbulletlistfirststyle"/>
      </w:pPr>
      <w:r>
        <w:t>site capital improvements, such as fencing and security</w:t>
      </w:r>
    </w:p>
    <w:p w:rsidR="006C48AF" w:rsidRDefault="006C48AF" w:rsidP="006C48AF">
      <w:pPr>
        <w:pStyle w:val="AERbulletlistfirststyle"/>
      </w:pPr>
      <w:r>
        <w:t>specialised major spares.</w:t>
      </w:r>
    </w:p>
    <w:p w:rsidR="006C48AF" w:rsidRDefault="006C48AF" w:rsidP="006C48AF">
      <w:r>
        <w:t>APTNT forecast replacement capex of $21.2 million ($</w:t>
      </w:r>
      <w:r w:rsidR="000B70FD">
        <w:t>2015–16</w:t>
      </w:r>
      <w:r>
        <w:t xml:space="preserve">) for the </w:t>
      </w:r>
      <w:r w:rsidR="006A555A">
        <w:t>2016–21</w:t>
      </w:r>
      <w:r>
        <w:t xml:space="preserve"> access arrangement period. This is a reduction of $14.6 million or 41 per cent from actual and estimated replacement capex in the </w:t>
      </w:r>
      <w:r w:rsidR="006A555A">
        <w:t>2011–16</w:t>
      </w:r>
      <w:r>
        <w:t xml:space="preserve"> access arrangement period. Replacement capex accounts for 71 per cent of APTNT’s total forecast capex for the </w:t>
      </w:r>
      <w:r w:rsidR="006A555A">
        <w:t>2016–21</w:t>
      </w:r>
      <w:r>
        <w:t xml:space="preserve"> access arrangement period.</w:t>
      </w:r>
    </w:p>
    <w:p w:rsidR="006C48AF" w:rsidRDefault="006C48AF" w:rsidP="006C48AF">
      <w:r>
        <w:lastRenderedPageBreak/>
        <w:t>We have included $18.</w:t>
      </w:r>
      <w:r w:rsidR="00A30095">
        <w:t>5</w:t>
      </w:r>
      <w:r>
        <w:t xml:space="preserve"> million ($</w:t>
      </w:r>
      <w:r w:rsidR="000B70FD">
        <w:t>2015–16</w:t>
      </w:r>
      <w:r>
        <w:t xml:space="preserve">) for replacement capex in our forecast of conforming capex for the </w:t>
      </w:r>
      <w:r w:rsidR="006A555A">
        <w:t>2016–21</w:t>
      </w:r>
      <w:r>
        <w:t xml:space="preserve"> access arrangement period. This is a reduction of $2.8 million or 13 per cent from APTNT’s forecast of required replacement capex. We consider this amount is sufficient for APTNT to maintain the safety, reliability and integrity of the AGP, and is prudent and efficient.</w:t>
      </w:r>
      <w:r>
        <w:rPr>
          <w:rStyle w:val="FootnoteReference"/>
        </w:rPr>
        <w:footnoteReference w:id="46"/>
      </w:r>
    </w:p>
    <w:p w:rsidR="006C48AF" w:rsidRDefault="006C48AF" w:rsidP="006C48AF">
      <w:r>
        <w:t xml:space="preserve">APTNT’s forecast replacement capex program includes capex for nineteen separate replacement projects or programs. Seventeen of these are minor asset replacement or refurbishment projects or programs, planned to ensure the AGP continues to meet regulatory, safety, environmental, and </w:t>
      </w:r>
      <w:r w:rsidR="00081BD5">
        <w:t xml:space="preserve">service level </w:t>
      </w:r>
      <w:r>
        <w:t xml:space="preserve">requirements in the </w:t>
      </w:r>
      <w:r w:rsidR="006A555A">
        <w:t>2016–21</w:t>
      </w:r>
      <w:r>
        <w:t xml:space="preserve"> access arrangement period. These projects and programs are typically routine and ongoing in nature, such as the purchase of minor plant and equipment or the replacement of various classes of assets due to obsolescence or poor condition. The total cost of these seventeen minor projects and programs is $6.8 million ($</w:t>
      </w:r>
      <w:r w:rsidR="000B70FD">
        <w:t>2015–16</w:t>
      </w:r>
      <w:r>
        <w:t>). We accept APTNT’s forecast capex for these minor projects as conforming capex in accordance with rule 79 of the NGR.</w:t>
      </w:r>
      <w:r>
        <w:rPr>
          <w:rStyle w:val="FootnoteReference"/>
        </w:rPr>
        <w:footnoteReference w:id="47"/>
      </w:r>
      <w:r>
        <w:t xml:space="preserve"> We are satisfied that: </w:t>
      </w:r>
    </w:p>
    <w:p w:rsidR="006C48AF" w:rsidRDefault="006C48AF" w:rsidP="006C48AF">
      <w:pPr>
        <w:pStyle w:val="AERbulletlistfirststyle"/>
      </w:pPr>
      <w:r>
        <w:t xml:space="preserve">APTNT’s access arrangement revision submission and asset management plan sufficiently justify the need, timing and cost of these minor projects and programs </w:t>
      </w:r>
    </w:p>
    <w:p w:rsidR="006C48AF" w:rsidRDefault="006C48AF" w:rsidP="006C48AF">
      <w:pPr>
        <w:pStyle w:val="AERbulletlistfirststyle"/>
      </w:pPr>
      <w:r>
        <w:t>the basis of the forecast capex for each project as set out in APTNT’s asset management plan for 2016–2020 appears reasonable</w:t>
      </w:r>
    </w:p>
    <w:p w:rsidR="006C48AF" w:rsidRDefault="006C48AF" w:rsidP="006C48AF">
      <w:pPr>
        <w:pStyle w:val="AERbulletlistfirststyle"/>
      </w:pPr>
      <w:r>
        <w:t xml:space="preserve">the forecast capex would be incurred by a prudent service provider acting efficiently, in accordance with accepted good industry practice, to achieve the lowest sustainable cost of providing services </w:t>
      </w:r>
    </w:p>
    <w:p w:rsidR="006C48AF" w:rsidRDefault="006C48AF" w:rsidP="006C48AF">
      <w:pPr>
        <w:pStyle w:val="AERbulletlistfirststyle"/>
      </w:pPr>
      <w:r>
        <w:t>the forecast capex is likely to be justifiable on the basis that the asset replacement works are necessary to maintain the safety and integrity of pipeline services.</w:t>
      </w:r>
    </w:p>
    <w:p w:rsidR="006C48AF" w:rsidRDefault="006C48AF" w:rsidP="006C48AF">
      <w:r>
        <w:t>The remaining two projects, the Channel Island Bridge and Belowground Station Pipework Recoating projects, account for $14.4 million or 68 per cent of the forecast replacement capex. Our consideration of these projects is set out below.</w:t>
      </w:r>
    </w:p>
    <w:p w:rsidR="006C48AF" w:rsidRPr="00031721" w:rsidRDefault="006C48AF" w:rsidP="005A7405">
      <w:pPr>
        <w:keepNext/>
        <w:rPr>
          <w:rStyle w:val="Strong"/>
        </w:rPr>
      </w:pPr>
      <w:r w:rsidRPr="00031721">
        <w:rPr>
          <w:rStyle w:val="Strong"/>
        </w:rPr>
        <w:t>Channel Island Bridge project</w:t>
      </w:r>
    </w:p>
    <w:p w:rsidR="006C48AF" w:rsidRDefault="006C48AF" w:rsidP="006C48AF">
      <w:r>
        <w:t>APTNT forecast capex of $10.9 million ($</w:t>
      </w:r>
      <w:r w:rsidR="000B70FD">
        <w:t>2015–16</w:t>
      </w:r>
      <w:r>
        <w:t xml:space="preserve">) for the Channel Island bridge project in the </w:t>
      </w:r>
      <w:r w:rsidR="006A555A">
        <w:t>2016–21</w:t>
      </w:r>
      <w:r>
        <w:t xml:space="preserve"> access arrangement period. </w:t>
      </w:r>
    </w:p>
    <w:p w:rsidR="006C48AF" w:rsidRDefault="006C48AF" w:rsidP="006C48AF">
      <w:r>
        <w:t xml:space="preserve">The purpose of the Channel Island bridge project is to make the existing 12 kilometre spurline of the AGP which runs from the Darwin City Gate Station to Channel Island able to be inspected by intelligent inline inspection tools. APTNT is currently unable to inspect the Channel Island spurline using inline inspection tools (known as intelligent pigs) because the pipeline does not have a consistent diameter for its entire length. </w:t>
      </w:r>
      <w:r>
        <w:lastRenderedPageBreak/>
        <w:t>The diameter of the pipeline changes from 300mm to 200mm for the 800 meter section running over the Channel Island bridge.</w:t>
      </w:r>
      <w:r w:rsidR="006D52FC">
        <w:rPr>
          <w:rStyle w:val="FootnoteReference"/>
        </w:rPr>
        <w:footnoteReference w:id="48"/>
      </w:r>
      <w:r>
        <w:t xml:space="preserve"> </w:t>
      </w:r>
    </w:p>
    <w:p w:rsidR="006C48AF" w:rsidRDefault="006C48AF" w:rsidP="006C48AF">
      <w:r>
        <w:t>APTNT considers that it is imperative to ensure the Channel Island spurline is piggable to manage its ongoing integrity.</w:t>
      </w:r>
      <w:r w:rsidR="005D224A">
        <w:rPr>
          <w:rStyle w:val="FootnoteReference"/>
        </w:rPr>
        <w:footnoteReference w:id="49"/>
      </w:r>
      <w:r>
        <w:t xml:space="preserve"> In order to achieve this, APTNT considered three options, all of which would allow intelligent pigging of the entire length of the pipeline. APTNT’s preferred option is to install pig launching and receiving facilities on the spurline and replace the existing bridge crossing with a new horizontal directionally drilled 300mm pipeline. The total cost of the project in the </w:t>
      </w:r>
      <w:r w:rsidR="006A555A">
        <w:t>2016–21</w:t>
      </w:r>
      <w:r>
        <w:t xml:space="preserve"> access arrangement period is $10.9 million ($</w:t>
      </w:r>
      <w:r w:rsidR="000B70FD">
        <w:t>2015–16</w:t>
      </w:r>
      <w:r>
        <w:t xml:space="preserve">), with additional minor preparatory costs incurred in the </w:t>
      </w:r>
      <w:r w:rsidR="006A555A">
        <w:t>2011–16</w:t>
      </w:r>
      <w:r>
        <w:t xml:space="preserve"> access arrangement period.</w:t>
      </w:r>
      <w:r w:rsidR="005D224A">
        <w:rPr>
          <w:rStyle w:val="FootnoteReference"/>
        </w:rPr>
        <w:footnoteReference w:id="50"/>
      </w:r>
    </w:p>
    <w:p w:rsidR="006C48AF" w:rsidRDefault="006C48AF" w:rsidP="006C48AF">
      <w:r>
        <w:t>We sought engineering advice from Sleeman Consulting to assist in assessing the need, timing and cost of the proposed Channel Island bridge project.</w:t>
      </w:r>
      <w:r w:rsidRPr="00001BE2">
        <w:t xml:space="preserve"> </w:t>
      </w:r>
      <w:r>
        <w:t>In summary, Sleeman Consulting advised that:</w:t>
      </w:r>
      <w:r>
        <w:rPr>
          <w:rStyle w:val="FootnoteReference"/>
        </w:rPr>
        <w:footnoteReference w:id="51"/>
      </w:r>
    </w:p>
    <w:p w:rsidR="006C48AF" w:rsidRDefault="006C48AF" w:rsidP="006C48AF">
      <w:pPr>
        <w:pStyle w:val="AERbulletlistfirststyle"/>
      </w:pPr>
      <w:r>
        <w:t>APTNT is correct in stating that it cannot undertake inline inspection of the Channel Island spurline as intelligent pigging tools capable of handling both 300mm and 200mm diameter pipeline are not available</w:t>
      </w:r>
    </w:p>
    <w:p w:rsidR="006C48AF" w:rsidRDefault="006C48AF" w:rsidP="006C48AF">
      <w:pPr>
        <w:pStyle w:val="AERbulletlistfirststyle"/>
      </w:pPr>
      <w:r>
        <w:t>intelligent pigging of gas pipelines, while desirable, is not mandated by Australian Standard AS2885</w:t>
      </w:r>
    </w:p>
    <w:p w:rsidR="006C48AF" w:rsidRDefault="006C48AF" w:rsidP="006C48AF">
      <w:pPr>
        <w:pStyle w:val="AERbulletlistfirststyle"/>
      </w:pPr>
      <w:r>
        <w:t>it is not necessary to be able to intelligently pig the section of the Channel Island spurline that crosses the Channel Island bridge as this section can be readily inspected</w:t>
      </w:r>
    </w:p>
    <w:p w:rsidR="006C48AF" w:rsidRDefault="006C48AF" w:rsidP="006C48AF">
      <w:pPr>
        <w:pStyle w:val="AERbulletlistfirststyle"/>
      </w:pPr>
      <w:r>
        <w:t>the condition of the short section of pipeline from the Channel Island bridge to the Channel Island meter station can be reliably assessed by a combination of Direct Current Voltage Gradient (DCVG) surveys, excavations and inspections, and the extrapolation of findings from survey work carried out on pipework upstream of the bridge crossing</w:t>
      </w:r>
    </w:p>
    <w:p w:rsidR="006C48AF" w:rsidRDefault="006C48AF" w:rsidP="006C48AF">
      <w:pPr>
        <w:pStyle w:val="AERbulletlistfirststyle"/>
      </w:pPr>
      <w:r>
        <w:t>the extent of work proposed by APTNT to facilitate intelligent pigging of the entire Channel Island spurline is excessive and is not consistent with achieving the lowest sustainable cost of providing services</w:t>
      </w:r>
    </w:p>
    <w:p w:rsidR="006C48AF" w:rsidRDefault="006C48AF" w:rsidP="006C48AF">
      <w:pPr>
        <w:pStyle w:val="AERbulletlistfirststyle"/>
      </w:pPr>
      <w:r>
        <w:t xml:space="preserve">the preferred option that is prudent, consistent with good industry practice and consistent with achieving the lowest sustainable cost of providing services is to install pig launching and receiving facilities at the Darwin City Gate Station and upstream of the Channel Island bridge respectively, to enable intelligent pigging of that section of the pipeline </w:t>
      </w:r>
    </w:p>
    <w:p w:rsidR="006C48AF" w:rsidRDefault="006C48AF" w:rsidP="006C48AF">
      <w:pPr>
        <w:pStyle w:val="AERbulletlistfirststyle"/>
      </w:pPr>
      <w:r>
        <w:lastRenderedPageBreak/>
        <w:t>forecast capex required to deliver this option is estimated at $1.1 million</w:t>
      </w:r>
      <w:r w:rsidR="000F79A5">
        <w:t>, as compared to the proposed cost of AP</w:t>
      </w:r>
      <w:r w:rsidR="00407A96">
        <w:t>T</w:t>
      </w:r>
      <w:r w:rsidR="000F79A5">
        <w:t>NT’s option of $10.9 million ($</w:t>
      </w:r>
      <w:r w:rsidR="000B70FD">
        <w:t>2015–16</w:t>
      </w:r>
      <w:r w:rsidR="000F79A5">
        <w:t>)</w:t>
      </w:r>
      <w:r>
        <w:t>.</w:t>
      </w:r>
    </w:p>
    <w:p w:rsidR="006C48AF" w:rsidRDefault="006C48AF" w:rsidP="006C48AF">
      <w:r>
        <w:t>We also sought further information from APTNT to justify the need for and scope of the proposed Channel Island bridge project.</w:t>
      </w:r>
      <w:r>
        <w:rPr>
          <w:rStyle w:val="FootnoteReference"/>
        </w:rPr>
        <w:footnoteReference w:id="52"/>
      </w:r>
      <w:r>
        <w:t xml:space="preserve"> </w:t>
      </w:r>
    </w:p>
    <w:p w:rsidR="006C48AF" w:rsidRDefault="006C48AF" w:rsidP="006C48AF">
      <w:r>
        <w:t>APTNT submitted that inline inspection is good industry practice, and should be carried out wherever there are specific integrity threats which must be managed, where there is a risk to public safety, or where continuity of supply is critical. APTNT considers that the form of construction and location of the Channel Island spurline mean it is subject to specific integrity threats such as electric currents induced by proximity to high voltage power lines, lightning strike damage, and third party damage. Also, excavation and visual inspection of the pipeline is difficult and costly as the pipeline is, in parts, located in a road reserve, in mangrove environments, and in areas of inundation where excavation is difficult or impossible for the majority of the year. APTNT submitted that in these circumstances, inline inspection is necessary to manage pipeline integrity, to minimise risk to the public and to maintain continuity of supply to the Channel Island Power Station (the main source of electricity for the Darwin-Katherine power system).</w:t>
      </w:r>
      <w:r w:rsidR="005D224A">
        <w:rPr>
          <w:rStyle w:val="FootnoteReference"/>
        </w:rPr>
        <w:footnoteReference w:id="53"/>
      </w:r>
    </w:p>
    <w:p w:rsidR="006C48AF" w:rsidRDefault="006C48AF" w:rsidP="006C48AF">
      <w:r>
        <w:t xml:space="preserve">Having considered APTNT’s proposal and response to our information request, as well as the Sleeman Consulting engineering advice, we are not satisfied that the </w:t>
      </w:r>
      <w:r w:rsidR="00DF26C7">
        <w:t xml:space="preserve">capex associated with the </w:t>
      </w:r>
      <w:r>
        <w:t xml:space="preserve">full scope of the Channel Island spurline modification works proposed by APTNT meets the conforming capex criteria of the NGR. </w:t>
      </w:r>
    </w:p>
    <w:p w:rsidR="006C48AF" w:rsidRDefault="006C48AF" w:rsidP="006C48AF">
      <w:r>
        <w:t>We agree with APTNT that inline inspection is accepted good industry practice. However, we also note that inline inspection is not mandated by the relevant Australian Standard.</w:t>
      </w:r>
      <w:r>
        <w:rPr>
          <w:rStyle w:val="FootnoteReference"/>
        </w:rPr>
        <w:footnoteReference w:id="54"/>
      </w:r>
      <w:r>
        <w:t xml:space="preserve"> Inline inspection is therefore not the only approach to pipeline integrity management that is consistent with accepted good industry practice. There is no new or existing regulatory obligation that requires modifications to permit the inline inspection of gas pipelines regardless of the cost of doing so. The criteria for conforming capex in the NGR require not only that capex be in accordance with good industry practice, but also that the capex be efficient and achieve the lowest sustainable cost of providing services.</w:t>
      </w:r>
      <w:r>
        <w:rPr>
          <w:rStyle w:val="FootnoteReference"/>
        </w:rPr>
        <w:footnoteReference w:id="55"/>
      </w:r>
      <w:r>
        <w:t xml:space="preserve"> We are not satisfied that APTNT’s forecast capex for the Channel Island bridge project </w:t>
      </w:r>
      <w:r w:rsidR="00DF26C7">
        <w:t>meets</w:t>
      </w:r>
      <w:r>
        <w:t xml:space="preserve"> the criteria for conforming capex in rule 79 of the NGR.</w:t>
      </w:r>
    </w:p>
    <w:p w:rsidR="006C48AF" w:rsidRDefault="006C48AF" w:rsidP="006C48AF">
      <w:r>
        <w:t xml:space="preserve">APTNT considered three options for modifying the Channel Island spurline. All options provide for 100 per cent of the pipeline to be made piggable, including the section running over the Channel Island bridge, at a cost of approximately $11 million in each </w:t>
      </w:r>
      <w:r>
        <w:lastRenderedPageBreak/>
        <w:t xml:space="preserve">case. The preferred option recommended by Sleeman Consulting provides for approximately 90 per cent of the pipeline to be made piggable, for an estimated cost of approximately $1.1 million. In our view, the option identified by Sleeman Consulting is </w:t>
      </w:r>
      <w:r w:rsidR="00437E19">
        <w:t xml:space="preserve">prudent </w:t>
      </w:r>
      <w:r>
        <w:t>and likely to be consistent with achieving the lowest sustainable cost of providing services. It provides many of the benefits provided by APTNT’s proposed option, but at one tenth of the cost.</w:t>
      </w:r>
      <w:r w:rsidRPr="0071041E">
        <w:t xml:space="preserve"> </w:t>
      </w:r>
    </w:p>
    <w:p w:rsidR="006C48AF" w:rsidRDefault="006C48AF" w:rsidP="006C48AF">
      <w:r>
        <w:t xml:space="preserve">We are not satisfied that a service provider acting efficiently to achieve the lowest sustainable cost of providing services would seek to replace the section of pipeline crossing the Channel Island bridge. This section of pipeline can be visually inspected for external damage or corrosion. APTNT can continue to manage pipeline integrity risks associated with this section of pipeline in accordance with existing practices. In our view, the forecast capex to replace this section of the Channel Island spurline is not consistent with achieving the lowest sustainable cost of providing services, and is not necessary to meet a regulatory obligation or to maintain the safety or integrity of services. </w:t>
      </w:r>
    </w:p>
    <w:p w:rsidR="006C48AF" w:rsidRDefault="006C48AF" w:rsidP="006C48AF">
      <w:r>
        <w:t>We consider that forecast capex of $1.1 million is a reasonable estimate of conforming capex for this project. This level of capex is sufficient to provide for inline inspection of the majority of the underground portion of the Channel Island spurline, at a substantially lower cost than the project proposed by APTNT. The condition of the remaining section of unpiggable pipeline can continue to be assessed by visual inspection of the exposed pipeline and by a combination of DCVG surveys, excavations and the extrapolation of upstream pigging results. In our view, this approach is prudent, efficient, and consistent with achieving the lowest sustainable cost of providing services. This option is also consistent with good industry practice and, when documented in APTNT’s pipeline integrity management plan, meets the requirements of Australian Standard AS2885. We have included $1.1 million ($</w:t>
      </w:r>
      <w:r w:rsidR="000B70FD">
        <w:t>2015–16</w:t>
      </w:r>
      <w:r>
        <w:t xml:space="preserve">) for the Channel Island spurline piggability project in our forecast of conforming capex for the </w:t>
      </w:r>
      <w:r w:rsidR="006A555A">
        <w:t>2016–21</w:t>
      </w:r>
      <w:r>
        <w:t xml:space="preserve"> access arrangement period.</w:t>
      </w:r>
    </w:p>
    <w:p w:rsidR="006C48AF" w:rsidRPr="00031721" w:rsidRDefault="006C48AF" w:rsidP="006C48AF">
      <w:pPr>
        <w:rPr>
          <w:rStyle w:val="Strong"/>
        </w:rPr>
      </w:pPr>
      <w:r w:rsidRPr="00031721">
        <w:rPr>
          <w:rStyle w:val="Strong"/>
        </w:rPr>
        <w:t>Belowground station pipework recoating project</w:t>
      </w:r>
      <w:r>
        <w:rPr>
          <w:rStyle w:val="Strong"/>
        </w:rPr>
        <w:t xml:space="preserve"> – phase two</w:t>
      </w:r>
    </w:p>
    <w:p w:rsidR="006C48AF" w:rsidRDefault="006C48AF" w:rsidP="006C48AF">
      <w:r>
        <w:t>APTNT forecast capex of $3.5 million ($</w:t>
      </w:r>
      <w:r w:rsidR="000B70FD">
        <w:t>2015–16</w:t>
      </w:r>
      <w:r>
        <w:t xml:space="preserve">) for the belowground station pipework recoating project in the </w:t>
      </w:r>
      <w:r w:rsidR="006A555A">
        <w:t>2016–21</w:t>
      </w:r>
      <w:r>
        <w:t xml:space="preserve"> access arrangement period. The total cost of the project is $13.2 million, with the majority of the work scheduled to be completed in the </w:t>
      </w:r>
      <w:r w:rsidR="000B70FD">
        <w:t>2015–16</w:t>
      </w:r>
      <w:r>
        <w:t xml:space="preserve"> year.</w:t>
      </w:r>
    </w:p>
    <w:p w:rsidR="006C48AF" w:rsidRPr="0092352B" w:rsidRDefault="006C48AF" w:rsidP="006C48AF">
      <w:r>
        <w:t xml:space="preserve">As discussed in our assessment of conforming capex </w:t>
      </w:r>
      <w:r w:rsidR="00DF26C7">
        <w:t>for</w:t>
      </w:r>
      <w:r w:rsidR="000F79A5">
        <w:t xml:space="preserve"> this project </w:t>
      </w:r>
      <w:r w:rsidR="00DF26C7">
        <w:t>in the 2011–16</w:t>
      </w:r>
      <w:r>
        <w:t xml:space="preserve"> access arrangement period, we have accepted the need for and scope of the belowground station pipework recoating project. However, we are not satisfied that the timing of the </w:t>
      </w:r>
      <w:r w:rsidR="00DF26C7">
        <w:t xml:space="preserve">capex for this </w:t>
      </w:r>
      <w:r>
        <w:t xml:space="preserve">project as proposed by APTNT is efficient or consistent with achieving the lowest sustainable cost of providing services. We consider that APTNT’s forecast capex for this project in the </w:t>
      </w:r>
      <w:r w:rsidR="000B70FD">
        <w:t>2015–16</w:t>
      </w:r>
      <w:r>
        <w:t xml:space="preserve"> and 2016-17 years should be deferred such that the project is completed by the end of 2020-21. This has the effect of reducing APTNT’s estimated capex for the final year of the </w:t>
      </w:r>
      <w:r w:rsidR="006A555A">
        <w:t>2011–16</w:t>
      </w:r>
      <w:r>
        <w:t xml:space="preserve"> access arrangement period by $7.0 million ($</w:t>
      </w:r>
      <w:r w:rsidR="000B70FD">
        <w:t>2015–16</w:t>
      </w:r>
      <w:r>
        <w:t xml:space="preserve">) and increasing forecast capex in the </w:t>
      </w:r>
      <w:r w:rsidR="006A555A">
        <w:t>2016–21</w:t>
      </w:r>
      <w:r>
        <w:t xml:space="preserve"> access arrangement period by the same amount. </w:t>
      </w:r>
      <w:r w:rsidRPr="00AA0FD7">
        <w:t xml:space="preserve">We have included </w:t>
      </w:r>
      <w:r w:rsidRPr="00AA0FD7">
        <w:lastRenderedPageBreak/>
        <w:t>$1</w:t>
      </w:r>
      <w:r>
        <w:t>0.</w:t>
      </w:r>
      <w:r w:rsidR="00A30095">
        <w:t>7</w:t>
      </w:r>
      <w:r w:rsidR="00C9745C">
        <w:t> </w:t>
      </w:r>
      <w:r w:rsidRPr="00AA0FD7">
        <w:t>million ($</w:t>
      </w:r>
      <w:r w:rsidR="000B70FD">
        <w:t>2015–16</w:t>
      </w:r>
      <w:r w:rsidRPr="00AA0FD7">
        <w:t xml:space="preserve">) for the </w:t>
      </w:r>
      <w:r>
        <w:t>belowground station pipework recoating project</w:t>
      </w:r>
      <w:r w:rsidRPr="00AA0FD7">
        <w:t xml:space="preserve"> in our forecast of conforming capex for the </w:t>
      </w:r>
      <w:r w:rsidR="006A555A">
        <w:t>2016–21</w:t>
      </w:r>
      <w:r w:rsidRPr="00AA0FD7">
        <w:t xml:space="preserve"> access arrangement period.</w:t>
      </w:r>
    </w:p>
    <w:p w:rsidR="006C48AF" w:rsidRDefault="006C48AF" w:rsidP="006C48AF">
      <w:pPr>
        <w:pStyle w:val="HeadingBoldBlue"/>
      </w:pPr>
      <w:r>
        <w:t>Non-system capex</w:t>
      </w:r>
    </w:p>
    <w:p w:rsidR="006C48AF" w:rsidRDefault="006C48AF" w:rsidP="006C48AF">
      <w:r>
        <w:t>Non-system capex relates to the replacement or refurbishment of non-system assets such as motor vehicles, buildings and information technology. APTNT forecast non-system capex of $8.7 million ($</w:t>
      </w:r>
      <w:r w:rsidR="000B70FD">
        <w:t>2015–16</w:t>
      </w:r>
      <w:r>
        <w:t xml:space="preserve">) for the </w:t>
      </w:r>
      <w:r w:rsidR="006A555A">
        <w:t>2016–21</w:t>
      </w:r>
      <w:r>
        <w:t xml:space="preserve"> access arrangement period. This is an increase of $1.1 million or 15 per cent from actual non-system capex in the </w:t>
      </w:r>
      <w:r w:rsidR="006A555A">
        <w:t>2011–16</w:t>
      </w:r>
      <w:r>
        <w:t xml:space="preserve"> access arrangement period. Non-system capex accounts for 29 per cent of APTNT’s total forecast capex. </w:t>
      </w:r>
    </w:p>
    <w:p w:rsidR="006C48AF" w:rsidRDefault="006C48AF" w:rsidP="006C48AF">
      <w:r>
        <w:t>We accept APTNT’s forecast of $8.7 million ($</w:t>
      </w:r>
      <w:r w:rsidR="000B70FD">
        <w:t>2015–16</w:t>
      </w:r>
      <w:r>
        <w:t>) for non-system capex.</w:t>
      </w:r>
      <w:r w:rsidR="00A30095">
        <w:rPr>
          <w:rStyle w:val="FootnoteReference"/>
        </w:rPr>
        <w:footnoteReference w:id="56"/>
      </w:r>
      <w:r>
        <w:t xml:space="preserve"> We have included it in our forecast of conforming capex for the </w:t>
      </w:r>
      <w:r w:rsidR="006A555A">
        <w:t>2016–21</w:t>
      </w:r>
      <w:r>
        <w:t xml:space="preserve"> access arrangement period. We consider the forecast non-system capex is such as would be incurred by a prudent service provider acting efficiently, in accordance with accepted good industry practice, to achieve the lowest sustainable cost of providing services. The forecast capex is necessary to maintain the integrity of services and APTNT’s capacity to meet existing levels of demand for services. The main categories of non-system capex—motor vehicles, buildings and IT—are discussed below.</w:t>
      </w:r>
    </w:p>
    <w:p w:rsidR="006C48AF" w:rsidRDefault="006C48AF" w:rsidP="0032658E">
      <w:pPr>
        <w:keepNext/>
        <w:rPr>
          <w:rStyle w:val="Strong"/>
        </w:rPr>
      </w:pPr>
      <w:r w:rsidRPr="00031721">
        <w:rPr>
          <w:rStyle w:val="Strong"/>
        </w:rPr>
        <w:t>Motor vehicles</w:t>
      </w:r>
    </w:p>
    <w:p w:rsidR="006C48AF" w:rsidRPr="00474A29" w:rsidRDefault="006C48AF" w:rsidP="006C48AF">
      <w:r w:rsidRPr="00474A29">
        <w:t>APTNT forecast capex of $2.2 million ($</w:t>
      </w:r>
      <w:r w:rsidR="000B70FD">
        <w:t>2015–16</w:t>
      </w:r>
      <w:r w:rsidRPr="00474A29">
        <w:t xml:space="preserve">) for motor vehicles in the </w:t>
      </w:r>
      <w:r w:rsidR="006A555A">
        <w:t>2016–21</w:t>
      </w:r>
      <w:r>
        <w:t xml:space="preserve"> access arrangement period.</w:t>
      </w:r>
      <w:r w:rsidRPr="00474A29">
        <w:rPr>
          <w:vertAlign w:val="superscript"/>
        </w:rPr>
        <w:footnoteReference w:id="57"/>
      </w:r>
      <w:r w:rsidRPr="00474A29">
        <w:t xml:space="preserve"> APTNT </w:t>
      </w:r>
      <w:r>
        <w:t>operates a</w:t>
      </w:r>
      <w:r w:rsidRPr="00474A29">
        <w:t xml:space="preserve"> fleet of vehicles </w:t>
      </w:r>
      <w:r>
        <w:t>to service the</w:t>
      </w:r>
      <w:r w:rsidRPr="00474A29">
        <w:t xml:space="preserve"> A</w:t>
      </w:r>
      <w:r>
        <w:t xml:space="preserve">GP system including </w:t>
      </w:r>
      <w:r w:rsidRPr="00474A29">
        <w:t>utilities and 4WD trucks</w:t>
      </w:r>
      <w:r>
        <w:t>. V</w:t>
      </w:r>
      <w:r w:rsidRPr="00474A29">
        <w:t xml:space="preserve">ehicles are purchased or replaced on an as required basis depending on personnel, project or operational requirements. </w:t>
      </w:r>
      <w:r>
        <w:t xml:space="preserve">APTNT’s </w:t>
      </w:r>
      <w:r w:rsidRPr="00474A29">
        <w:t>vehicles are purchased, replaced and maintained in accordance with the national APA Group procurement policy.</w:t>
      </w:r>
      <w:r w:rsidRPr="00474A29">
        <w:rPr>
          <w:vertAlign w:val="superscript"/>
        </w:rPr>
        <w:footnoteReference w:id="58"/>
      </w:r>
      <w:r w:rsidRPr="00474A29">
        <w:t xml:space="preserve"> </w:t>
      </w:r>
    </w:p>
    <w:p w:rsidR="006C48AF" w:rsidRPr="00474A29" w:rsidRDefault="006C48AF" w:rsidP="006C48AF">
      <w:r w:rsidRPr="00474A29">
        <w:t xml:space="preserve">We have reviewed </w:t>
      </w:r>
      <w:r>
        <w:t xml:space="preserve">the information provided with </w:t>
      </w:r>
      <w:r w:rsidRPr="00474A29">
        <w:t>APTNT’s proposal</w:t>
      </w:r>
      <w:r>
        <w:t>,</w:t>
      </w:r>
      <w:r w:rsidRPr="00474A29">
        <w:t xml:space="preserve"> and </w:t>
      </w:r>
      <w:r>
        <w:t>sought further information regarding APTNT’s forecast motor vehicles capex.</w:t>
      </w:r>
      <w:r>
        <w:rPr>
          <w:rStyle w:val="FootnoteReference"/>
        </w:rPr>
        <w:footnoteReference w:id="59"/>
      </w:r>
      <w:r>
        <w:t xml:space="preserve"> </w:t>
      </w:r>
      <w:r w:rsidRPr="00474A29">
        <w:t>APTNT’s proposed total motor vehicle ca</w:t>
      </w:r>
      <w:r>
        <w:t xml:space="preserve">pex is similar to its </w:t>
      </w:r>
      <w:r w:rsidRPr="00474A29">
        <w:t>actual</w:t>
      </w:r>
      <w:r>
        <w:t xml:space="preserve"> and estimated</w:t>
      </w:r>
      <w:r w:rsidRPr="00474A29">
        <w:t xml:space="preserve"> motor vehicle capex for the </w:t>
      </w:r>
      <w:r w:rsidR="006A555A">
        <w:t>2011–16</w:t>
      </w:r>
      <w:r w:rsidRPr="00474A29">
        <w:t xml:space="preserve"> access arrangement period.</w:t>
      </w:r>
      <w:r w:rsidRPr="00474A29">
        <w:rPr>
          <w:vertAlign w:val="superscript"/>
        </w:rPr>
        <w:footnoteReference w:id="60"/>
      </w:r>
      <w:r w:rsidRPr="00474A29">
        <w:rPr>
          <w:vertAlign w:val="superscript"/>
        </w:rPr>
        <w:t xml:space="preserve"> </w:t>
      </w:r>
      <w:r w:rsidRPr="00474A29">
        <w:t>In its response to our information request, APTNT stated that the number of motor vehicl</w:t>
      </w:r>
      <w:r>
        <w:t xml:space="preserve">es in its fleet over the </w:t>
      </w:r>
      <w:r w:rsidR="006A555A">
        <w:t>2016–21</w:t>
      </w:r>
      <w:r w:rsidRPr="00474A29">
        <w:t xml:space="preserve"> access arrangement period is forecast to be consistent with the existing fleet levels of 22 light commercial vehicles with gross vehi</w:t>
      </w:r>
      <w:r>
        <w:t>cle mass (GVM) of less than 4.5 </w:t>
      </w:r>
      <w:r w:rsidRPr="00474A29">
        <w:t>tonnes and two heavy commercial trucks with GVM greater than 4.5 tonnes.</w:t>
      </w:r>
      <w:r w:rsidRPr="00474A29">
        <w:rPr>
          <w:vertAlign w:val="superscript"/>
        </w:rPr>
        <w:footnoteReference w:id="61"/>
      </w:r>
      <w:r w:rsidRPr="00474A29">
        <w:t xml:space="preserve"> </w:t>
      </w:r>
    </w:p>
    <w:p w:rsidR="006C48AF" w:rsidRPr="00474A29" w:rsidRDefault="006C48AF" w:rsidP="006C48AF">
      <w:r w:rsidRPr="00474A29">
        <w:lastRenderedPageBreak/>
        <w:t>APTNT’s replacement criterion for light commercial vehicles is the earlier of four years or 200,000km and for heavy commercial trucks 10 years.</w:t>
      </w:r>
      <w:r w:rsidRPr="00474A29">
        <w:rPr>
          <w:vertAlign w:val="superscript"/>
        </w:rPr>
        <w:footnoteReference w:id="62"/>
      </w:r>
      <w:r w:rsidRPr="00474A29">
        <w:t xml:space="preserve"> These replacement criteria are comparable with other Australian </w:t>
      </w:r>
      <w:r>
        <w:t>network</w:t>
      </w:r>
      <w:r w:rsidRPr="00474A29">
        <w:t xml:space="preserve"> service providers for similar vehicles, particularly when considering the operating conditions in the Northern Territory.</w:t>
      </w:r>
      <w:r w:rsidR="009F4760">
        <w:rPr>
          <w:rStyle w:val="FootnoteReference"/>
        </w:rPr>
        <w:footnoteReference w:id="63"/>
      </w:r>
      <w:r w:rsidRPr="00474A29">
        <w:t xml:space="preserve"> </w:t>
      </w:r>
    </w:p>
    <w:p w:rsidR="006C48AF" w:rsidRPr="00474A29" w:rsidRDefault="006C48AF" w:rsidP="006C48AF">
      <w:r w:rsidRPr="00474A29">
        <w:t>APTNT has estimated the replacement cost of light commercial vehicles to be $72,000 per vehicle</w:t>
      </w:r>
      <w:r>
        <w:t xml:space="preserve">, </w:t>
      </w:r>
      <w:r w:rsidRPr="00474A29">
        <w:t>based on historical vehicle replacement costs.</w:t>
      </w:r>
      <w:r w:rsidRPr="00474A29">
        <w:rPr>
          <w:vertAlign w:val="superscript"/>
        </w:rPr>
        <w:footnoteReference w:id="64"/>
      </w:r>
      <w:r w:rsidRPr="00474A29">
        <w:t xml:space="preserve"> </w:t>
      </w:r>
      <w:r w:rsidR="00DF26C7">
        <w:t>In our view, t</w:t>
      </w:r>
      <w:r w:rsidRPr="00474A29">
        <w:t>his</w:t>
      </w:r>
      <w:r>
        <w:t xml:space="preserve"> cost estimate is </w:t>
      </w:r>
      <w:r w:rsidR="00D67AFF">
        <w:t xml:space="preserve">reasonable as it is </w:t>
      </w:r>
      <w:r>
        <w:t>comparable to vehicle cost estimates</w:t>
      </w:r>
      <w:r w:rsidRPr="00474A29">
        <w:t xml:space="preserve"> </w:t>
      </w:r>
      <w:r>
        <w:t>provided by</w:t>
      </w:r>
      <w:r w:rsidRPr="00474A29">
        <w:t xml:space="preserve"> other Australian energy </w:t>
      </w:r>
      <w:r>
        <w:t>network service providers.</w:t>
      </w:r>
      <w:r w:rsidRPr="00474A29">
        <w:t xml:space="preserve"> </w:t>
      </w:r>
      <w:r>
        <w:t>The cost estimates account for</w:t>
      </w:r>
      <w:r w:rsidRPr="00474A29">
        <w:t xml:space="preserve"> the range of accessories that APTNT </w:t>
      </w:r>
      <w:r>
        <w:t>specifies for these vehicles</w:t>
      </w:r>
      <w:r w:rsidRPr="00474A29">
        <w:t xml:space="preserve"> in order to manage the remote off-road conditions </w:t>
      </w:r>
      <w:r>
        <w:t xml:space="preserve">encountered where these vehicles </w:t>
      </w:r>
      <w:r w:rsidRPr="00474A29">
        <w:t>operate.</w:t>
      </w:r>
      <w:r w:rsidRPr="00474A29">
        <w:rPr>
          <w:vertAlign w:val="superscript"/>
        </w:rPr>
        <w:footnoteReference w:id="65"/>
      </w:r>
      <w:r w:rsidRPr="00474A29">
        <w:t xml:space="preserve"> </w:t>
      </w:r>
      <w:r>
        <w:t>APTNT submitted</w:t>
      </w:r>
      <w:r w:rsidRPr="00474A29">
        <w:t xml:space="preserve"> that at the time of vehicle replacement, </w:t>
      </w:r>
      <w:r>
        <w:t xml:space="preserve">it assesses </w:t>
      </w:r>
      <w:r w:rsidRPr="00474A29">
        <w:t>the cond</w:t>
      </w:r>
      <w:r>
        <w:t xml:space="preserve">ition of vehicle accessories such as </w:t>
      </w:r>
      <w:r w:rsidRPr="00474A29">
        <w:t>communication equipment, winches, recovery equipment, compressors and driving lights</w:t>
      </w:r>
      <w:r>
        <w:t>,</w:t>
      </w:r>
      <w:r w:rsidRPr="00474A29">
        <w:t xml:space="preserve"> and where possible </w:t>
      </w:r>
      <w:r>
        <w:t>transfers them</w:t>
      </w:r>
      <w:r w:rsidRPr="00474A29">
        <w:t xml:space="preserve"> </w:t>
      </w:r>
      <w:r>
        <w:t xml:space="preserve">to </w:t>
      </w:r>
      <w:r w:rsidRPr="00474A29">
        <w:t>the n</w:t>
      </w:r>
      <w:r>
        <w:t>ew vehicle</w:t>
      </w:r>
      <w:r w:rsidRPr="00474A29">
        <w:t>.</w:t>
      </w:r>
      <w:r w:rsidRPr="00474A29">
        <w:rPr>
          <w:vertAlign w:val="superscript"/>
        </w:rPr>
        <w:footnoteReference w:id="66"/>
      </w:r>
      <w:r>
        <w:t xml:space="preserve"> </w:t>
      </w:r>
    </w:p>
    <w:p w:rsidR="006C48AF" w:rsidRDefault="006C48AF" w:rsidP="006C48AF">
      <w:r>
        <w:t>W</w:t>
      </w:r>
      <w:r w:rsidRPr="00474A29">
        <w:t>e are satisfied that APTNT’s forecast motor vehicle capex</w:t>
      </w:r>
      <w:r>
        <w:t xml:space="preserve"> of </w:t>
      </w:r>
      <w:r w:rsidRPr="00474A29">
        <w:t xml:space="preserve">$2.2 million ($2015–16) </w:t>
      </w:r>
      <w:r>
        <w:t>is such as would be incurred by a prudent operator acting efficiently</w:t>
      </w:r>
      <w:r w:rsidRPr="00474A29">
        <w:t xml:space="preserve">. </w:t>
      </w:r>
      <w:r>
        <w:t>We consider APTNT’s approach to fleet management is consistent with good industry practice and the need to achieve the lowest sustainable cost of providing services.</w:t>
      </w:r>
      <w:r w:rsidRPr="00474A29">
        <w:rPr>
          <w:vertAlign w:val="superscript"/>
        </w:rPr>
        <w:footnoteReference w:id="67"/>
      </w:r>
      <w:r>
        <w:t xml:space="preserve"> </w:t>
      </w:r>
      <w:r w:rsidR="00DF26C7">
        <w:rPr>
          <w:rStyle w:val="AERbody"/>
        </w:rPr>
        <w:t xml:space="preserve">The capex </w:t>
      </w:r>
      <w:r w:rsidR="00DF26C7">
        <w:t>is justifiable on the basis of rule 79(2)(c</w:t>
      </w:r>
      <w:r w:rsidR="00DF26C7" w:rsidRPr="00FF31F7">
        <w:t>) of the NGR</w:t>
      </w:r>
      <w:r w:rsidR="00DF26C7">
        <w:t xml:space="preserve">. </w:t>
      </w:r>
      <w:r w:rsidRPr="00474A29">
        <w:t xml:space="preserve">We will make an allowance for it in our estimate of </w:t>
      </w:r>
      <w:r>
        <w:t xml:space="preserve">conforming </w:t>
      </w:r>
      <w:r w:rsidRPr="00474A29">
        <w:t>capex for the 2016</w:t>
      </w:r>
      <w:r w:rsidR="00A92ECD">
        <w:t>–</w:t>
      </w:r>
      <w:r>
        <w:t>21 access arrangement period</w:t>
      </w:r>
      <w:r w:rsidRPr="00474A29">
        <w:t>.</w:t>
      </w:r>
    </w:p>
    <w:p w:rsidR="006C48AF" w:rsidRPr="00F738E0" w:rsidRDefault="006C48AF" w:rsidP="006C48AF">
      <w:r>
        <w:t>However, APTNT</w:t>
      </w:r>
      <w:r w:rsidRPr="00F738E0">
        <w:t xml:space="preserve"> did not account for any </w:t>
      </w:r>
      <w:r>
        <w:t xml:space="preserve">forecast </w:t>
      </w:r>
      <w:r w:rsidRPr="00F738E0">
        <w:t xml:space="preserve">disposals of </w:t>
      </w:r>
      <w:r>
        <w:t>motor vehicles</w:t>
      </w:r>
      <w:r w:rsidRPr="00F738E0">
        <w:t xml:space="preserve"> in its </w:t>
      </w:r>
      <w:r>
        <w:t>access arrangement revision</w:t>
      </w:r>
      <w:r w:rsidRPr="00F738E0">
        <w:t xml:space="preserve"> proposal. In assessing </w:t>
      </w:r>
      <w:r>
        <w:t>APTNT</w:t>
      </w:r>
      <w:r w:rsidRPr="00F738E0">
        <w:t>'s</w:t>
      </w:r>
      <w:r>
        <w:t xml:space="preserve"> forecast non-system</w:t>
      </w:r>
      <w:r w:rsidRPr="00F738E0">
        <w:t xml:space="preserve"> capex, we sought further information regarding </w:t>
      </w:r>
      <w:r>
        <w:t xml:space="preserve">APTNT's forecast motor vehicle disposals in the </w:t>
      </w:r>
      <w:r w:rsidR="006A555A">
        <w:t>2016–21</w:t>
      </w:r>
      <w:r w:rsidRPr="00F738E0">
        <w:t xml:space="preserve"> </w:t>
      </w:r>
      <w:r>
        <w:t>access arrangement period.</w:t>
      </w:r>
      <w:r w:rsidRPr="00F738E0">
        <w:rPr>
          <w:vertAlign w:val="superscript"/>
        </w:rPr>
        <w:footnoteReference w:id="68"/>
      </w:r>
      <w:r w:rsidRPr="00F738E0">
        <w:t xml:space="preserve"> </w:t>
      </w:r>
    </w:p>
    <w:p w:rsidR="006C48AF" w:rsidRPr="00F738E0" w:rsidRDefault="006C48AF" w:rsidP="006C48AF">
      <w:r w:rsidRPr="00F738E0">
        <w:t xml:space="preserve">In response to our information request, </w:t>
      </w:r>
      <w:r>
        <w:t>APTNT</w:t>
      </w:r>
      <w:r w:rsidRPr="00F738E0">
        <w:t xml:space="preserve"> advised that it expected proceeds from the sal</w:t>
      </w:r>
      <w:r>
        <w:t xml:space="preserve">e of motor vehicle assets over the </w:t>
      </w:r>
      <w:r w:rsidR="006A555A">
        <w:t>2016–21</w:t>
      </w:r>
      <w:r w:rsidRPr="00F738E0">
        <w:t xml:space="preserve"> </w:t>
      </w:r>
      <w:r>
        <w:t>access arrangement period of $0.7 million</w:t>
      </w:r>
      <w:r w:rsidRPr="00F738E0">
        <w:t>.</w:t>
      </w:r>
      <w:r w:rsidRPr="00F738E0">
        <w:rPr>
          <w:vertAlign w:val="superscript"/>
        </w:rPr>
        <w:footnoteReference w:id="69"/>
      </w:r>
      <w:r w:rsidRPr="00F738E0">
        <w:t xml:space="preserve"> We have accounted for these disposals in modelling </w:t>
      </w:r>
      <w:r>
        <w:t>APTNT</w:t>
      </w:r>
      <w:r w:rsidRPr="00F738E0">
        <w:t>'s re</w:t>
      </w:r>
      <w:r>
        <w:t xml:space="preserve">quired revenue for the </w:t>
      </w:r>
      <w:r w:rsidR="006A555A">
        <w:t>2016–21</w:t>
      </w:r>
      <w:r>
        <w:t xml:space="preserve"> access arrangement period</w:t>
      </w:r>
      <w:r w:rsidRPr="00F738E0">
        <w:t>.</w:t>
      </w:r>
    </w:p>
    <w:p w:rsidR="006C48AF" w:rsidRPr="00E978B2" w:rsidRDefault="006C48AF" w:rsidP="006C48AF">
      <w:pPr>
        <w:rPr>
          <w:b/>
        </w:rPr>
      </w:pPr>
      <w:r w:rsidRPr="00E978B2">
        <w:rPr>
          <w:b/>
        </w:rPr>
        <w:t>Buildings</w:t>
      </w:r>
    </w:p>
    <w:p w:rsidR="006C48AF" w:rsidRPr="007438C2" w:rsidRDefault="006C48AF" w:rsidP="006C48AF">
      <w:r>
        <w:t xml:space="preserve">APTNT forecast non-system buildings </w:t>
      </w:r>
      <w:r w:rsidRPr="007438C2">
        <w:t xml:space="preserve">capex </w:t>
      </w:r>
      <w:r>
        <w:t>of $3.1</w:t>
      </w:r>
      <w:r w:rsidRPr="007438C2">
        <w:t xml:space="preserve"> million ($2015) </w:t>
      </w:r>
      <w:r>
        <w:t>for building modifications at its corporate office site in Palmerston.</w:t>
      </w:r>
      <w:r>
        <w:rPr>
          <w:rStyle w:val="FootnoteReference"/>
        </w:rPr>
        <w:footnoteReference w:id="70"/>
      </w:r>
      <w:r w:rsidRPr="007438C2">
        <w:t xml:space="preserve"> </w:t>
      </w:r>
      <w:r>
        <w:t>APTNT currently operates an owned office site and a leased maintenance base</w:t>
      </w:r>
      <w:r w:rsidRPr="007438C2">
        <w:t xml:space="preserve"> depot</w:t>
      </w:r>
      <w:r>
        <w:t xml:space="preserve">, both in Palmerston. The </w:t>
      </w:r>
      <w:r w:rsidRPr="007438C2">
        <w:t xml:space="preserve">office </w:t>
      </w:r>
      <w:r w:rsidRPr="007438C2">
        <w:lastRenderedPageBreak/>
        <w:t>accommodation ha</w:t>
      </w:r>
      <w:r>
        <w:t>s a building age approaching 30 years and has had only minor internal modification since construction</w:t>
      </w:r>
      <w:r w:rsidRPr="007438C2">
        <w:t>.</w:t>
      </w:r>
      <w:r w:rsidRPr="007438C2">
        <w:rPr>
          <w:vertAlign w:val="superscript"/>
        </w:rPr>
        <w:footnoteReference w:id="71"/>
      </w:r>
    </w:p>
    <w:p w:rsidR="006C48AF" w:rsidRPr="007438C2" w:rsidRDefault="006C48AF" w:rsidP="006C48AF">
      <w:r>
        <w:t>APTNT</w:t>
      </w:r>
      <w:r w:rsidRPr="007438C2">
        <w:t xml:space="preserve"> pr</w:t>
      </w:r>
      <w:r>
        <w:t>oposed to redevelop the</w:t>
      </w:r>
      <w:r w:rsidRPr="007438C2">
        <w:t xml:space="preserve"> </w:t>
      </w:r>
      <w:r>
        <w:t>corporate office site at Palmerston</w:t>
      </w:r>
      <w:r w:rsidRPr="007438C2">
        <w:t xml:space="preserve"> in order to:</w:t>
      </w:r>
      <w:r w:rsidRPr="007438C2">
        <w:rPr>
          <w:vertAlign w:val="superscript"/>
        </w:rPr>
        <w:footnoteReference w:id="72"/>
      </w:r>
    </w:p>
    <w:p w:rsidR="006C48AF" w:rsidRDefault="006C48AF" w:rsidP="006C48AF">
      <w:pPr>
        <w:pStyle w:val="AERbulletlistfirststyle"/>
      </w:pPr>
      <w:r>
        <w:t>refurbish and expand office accommodation to provide sufficient space for both corporate and field services staff</w:t>
      </w:r>
    </w:p>
    <w:p w:rsidR="006C48AF" w:rsidRPr="007438C2" w:rsidRDefault="006C48AF" w:rsidP="006C48AF">
      <w:pPr>
        <w:pStyle w:val="AERbulletlistfirststyle"/>
      </w:pPr>
      <w:r>
        <w:t>extend the existing warehouse area to provide adequate facilities for the field services function</w:t>
      </w:r>
    </w:p>
    <w:p w:rsidR="006C48AF" w:rsidRPr="007438C2" w:rsidRDefault="006C48AF" w:rsidP="006C48AF">
      <w:pPr>
        <w:pStyle w:val="AERbulletlistfirststyle"/>
      </w:pPr>
      <w:r>
        <w:t>upgrade bathroom and kitchen amenities</w:t>
      </w:r>
    </w:p>
    <w:p w:rsidR="006C48AF" w:rsidRDefault="006C48AF" w:rsidP="006C48AF">
      <w:pPr>
        <w:pStyle w:val="AERbulletlistfirststyle"/>
      </w:pPr>
      <w:r>
        <w:t xml:space="preserve">install chemical storage </w:t>
      </w:r>
    </w:p>
    <w:p w:rsidR="006C48AF" w:rsidRDefault="006C48AF" w:rsidP="006C48AF">
      <w:pPr>
        <w:pStyle w:val="AERbulletlistfirststyle"/>
      </w:pPr>
      <w:r>
        <w:t>install building and perimeter security</w:t>
      </w:r>
    </w:p>
    <w:p w:rsidR="006C48AF" w:rsidRPr="007438C2" w:rsidRDefault="006C48AF" w:rsidP="006C48AF">
      <w:pPr>
        <w:pStyle w:val="AERbulletlistfirststyle"/>
      </w:pPr>
      <w:r>
        <w:t>undertake civil works including paving, car parking and landscaping</w:t>
      </w:r>
      <w:r w:rsidRPr="007438C2">
        <w:t>.</w:t>
      </w:r>
    </w:p>
    <w:p w:rsidR="006C48AF" w:rsidRPr="007438C2" w:rsidRDefault="006C48AF" w:rsidP="006C48AF">
      <w:r>
        <w:t>APTNT’s access arrangement revision proposal and asset management plan provided a summary of the proposed building modification works.</w:t>
      </w:r>
      <w:r>
        <w:rPr>
          <w:rStyle w:val="FootnoteReference"/>
        </w:rPr>
        <w:footnoteReference w:id="73"/>
      </w:r>
      <w:r>
        <w:t xml:space="preserve"> However, APTNT did not provide a business case or other supporting documentation setting out the justification for the proposed investment. We therefore sought further information from APTNT to justify the need, timing and cost of the proposed building works.</w:t>
      </w:r>
      <w:r w:rsidRPr="007438C2">
        <w:rPr>
          <w:vertAlign w:val="superscript"/>
        </w:rPr>
        <w:footnoteReference w:id="74"/>
      </w:r>
      <w:r>
        <w:t xml:space="preserve"> APTNT submitted a business case which, in our view, </w:t>
      </w:r>
      <w:r w:rsidRPr="007438C2">
        <w:t>provided appropriate evidence to support the preferred redevelopment option, including:</w:t>
      </w:r>
      <w:r w:rsidR="00A718BB">
        <w:rPr>
          <w:rStyle w:val="FootnoteReference"/>
        </w:rPr>
        <w:footnoteReference w:id="75"/>
      </w:r>
    </w:p>
    <w:p w:rsidR="006C48AF" w:rsidRPr="007438C2" w:rsidRDefault="006C48AF" w:rsidP="006C48AF">
      <w:pPr>
        <w:pStyle w:val="AERbulletlistfirststyle"/>
      </w:pPr>
      <w:r>
        <w:t xml:space="preserve">a </w:t>
      </w:r>
      <w:r w:rsidRPr="007438C2">
        <w:t xml:space="preserve">description of the need </w:t>
      </w:r>
      <w:r>
        <w:t xml:space="preserve">for investment, with </w:t>
      </w:r>
      <w:r w:rsidRPr="007438C2">
        <w:t>evidence as to the nature of asset obsolescence and other specific site condition</w:t>
      </w:r>
      <w:r>
        <w:t>, capacity, amenity</w:t>
      </w:r>
      <w:r w:rsidRPr="007438C2">
        <w:t xml:space="preserve"> and compliance issues </w:t>
      </w:r>
    </w:p>
    <w:p w:rsidR="006C48AF" w:rsidRPr="007438C2" w:rsidRDefault="006C48AF" w:rsidP="006C48AF">
      <w:pPr>
        <w:pStyle w:val="AERbulletlistfirststyle"/>
      </w:pPr>
      <w:r w:rsidRPr="007438C2">
        <w:t>evidence that a range of alternative options has been considered</w:t>
      </w:r>
      <w:r>
        <w:t>, including a do nothing option</w:t>
      </w:r>
      <w:r w:rsidRPr="007438C2">
        <w:t xml:space="preserve"> </w:t>
      </w:r>
    </w:p>
    <w:p w:rsidR="006C48AF" w:rsidRDefault="006C48AF" w:rsidP="006C48AF">
      <w:pPr>
        <w:pStyle w:val="AERbulletlistfirststyle"/>
      </w:pPr>
      <w:r w:rsidRPr="007438C2">
        <w:t xml:space="preserve">a </w:t>
      </w:r>
      <w:r>
        <w:t>summary</w:t>
      </w:r>
      <w:r w:rsidRPr="007438C2">
        <w:t xml:space="preserve"> of </w:t>
      </w:r>
      <w:r>
        <w:t xml:space="preserve">the </w:t>
      </w:r>
      <w:r w:rsidRPr="007438C2">
        <w:t>costs and benefits for the options considered</w:t>
      </w:r>
    </w:p>
    <w:p w:rsidR="006C48AF" w:rsidRDefault="006C48AF" w:rsidP="006C48AF">
      <w:pPr>
        <w:pStyle w:val="AERbulletlistfirststyle"/>
      </w:pPr>
      <w:r>
        <w:t>the basis of selection of the preferred development option</w:t>
      </w:r>
    </w:p>
    <w:p w:rsidR="006C48AF" w:rsidRPr="007438C2" w:rsidRDefault="006C48AF" w:rsidP="006C48AF">
      <w:pPr>
        <w:pStyle w:val="AERbulletlistfirststyle"/>
      </w:pPr>
      <w:r>
        <w:t>a breakdown of the proposed scope of works and estimated costs</w:t>
      </w:r>
      <w:r w:rsidRPr="007438C2">
        <w:t>.</w:t>
      </w:r>
    </w:p>
    <w:p w:rsidR="006C48AF" w:rsidRPr="007438C2" w:rsidRDefault="006C48AF" w:rsidP="006C48AF">
      <w:r>
        <w:t>APTNT’s business case</w:t>
      </w:r>
      <w:r w:rsidRPr="007438C2">
        <w:t xml:space="preserve"> </w:t>
      </w:r>
      <w:r>
        <w:t>identified</w:t>
      </w:r>
      <w:r w:rsidRPr="007438C2">
        <w:t xml:space="preserve"> that the 'do nothing' option was not viable for </w:t>
      </w:r>
      <w:r>
        <w:t>APTNT’s</w:t>
      </w:r>
      <w:r w:rsidRPr="007438C2">
        <w:t xml:space="preserve"> </w:t>
      </w:r>
      <w:r>
        <w:t xml:space="preserve">Palmerston operations </w:t>
      </w:r>
      <w:r w:rsidRPr="007438C2">
        <w:t>because:</w:t>
      </w:r>
      <w:r w:rsidRPr="007438C2">
        <w:rPr>
          <w:vertAlign w:val="superscript"/>
        </w:rPr>
        <w:footnoteReference w:id="76"/>
      </w:r>
    </w:p>
    <w:p w:rsidR="006C48AF" w:rsidRDefault="006C48AF" w:rsidP="006C48AF">
      <w:pPr>
        <w:pStyle w:val="AERbulletlistfirststyle"/>
      </w:pPr>
      <w:r w:rsidRPr="007438C2">
        <w:t xml:space="preserve">the existing </w:t>
      </w:r>
      <w:r>
        <w:t xml:space="preserve">office </w:t>
      </w:r>
      <w:r w:rsidRPr="007438C2">
        <w:t xml:space="preserve">premises </w:t>
      </w:r>
      <w:r>
        <w:t>require significant maintenance, including ceiling, roof and air-conditioning replacement,</w:t>
      </w:r>
      <w:r w:rsidRPr="007438C2">
        <w:t xml:space="preserve"> and provide sub-</w:t>
      </w:r>
      <w:r>
        <w:t>standard</w:t>
      </w:r>
      <w:r w:rsidRPr="007438C2">
        <w:t xml:space="preserve"> amenity</w:t>
      </w:r>
    </w:p>
    <w:p w:rsidR="006C48AF" w:rsidRDefault="006C48AF" w:rsidP="006C48AF">
      <w:pPr>
        <w:pStyle w:val="AERbulletlistfirststyle"/>
      </w:pPr>
      <w:r>
        <w:lastRenderedPageBreak/>
        <w:t>the office accommodation is at full capacity, with an inefficient distribution of workspace and inadequate meeting facilities</w:t>
      </w:r>
    </w:p>
    <w:p w:rsidR="006C48AF" w:rsidRDefault="006C48AF" w:rsidP="006C48AF">
      <w:pPr>
        <w:pStyle w:val="AERbulletlistfirststyle"/>
      </w:pPr>
      <w:r>
        <w:t>the maintenance base is under a month by month lease, providing no security of tenure</w:t>
      </w:r>
    </w:p>
    <w:p w:rsidR="006C48AF" w:rsidRPr="007438C2" w:rsidRDefault="006C48AF" w:rsidP="006C48AF">
      <w:pPr>
        <w:pStyle w:val="AERbulletlistfirststyle"/>
      </w:pPr>
      <w:r>
        <w:t>the current rental of the maintenance base is significantly less than market rental for similar properties and is not expected to continue into the future.</w:t>
      </w:r>
    </w:p>
    <w:p w:rsidR="006C48AF" w:rsidRDefault="006C48AF" w:rsidP="006C48AF">
      <w:r w:rsidRPr="007438C2">
        <w:t xml:space="preserve">On the basis of the information submitted by </w:t>
      </w:r>
      <w:r>
        <w:t>APTNT</w:t>
      </w:r>
      <w:r w:rsidRPr="007438C2">
        <w:t xml:space="preserve">, we are satisfied that the </w:t>
      </w:r>
      <w:r>
        <w:t>forecast capex for</w:t>
      </w:r>
      <w:r w:rsidRPr="007438C2">
        <w:t xml:space="preserve"> red</w:t>
      </w:r>
      <w:r>
        <w:t>evelopment of the Palmerston corporate office is likely to be prudent, efficient and consistent with achieving the lowest sustainable cost of providing services.</w:t>
      </w:r>
      <w:r w:rsidR="00DF26C7">
        <w:rPr>
          <w:rStyle w:val="FootnoteReference"/>
        </w:rPr>
        <w:footnoteReference w:id="77"/>
      </w:r>
      <w:r>
        <w:t xml:space="preserve"> </w:t>
      </w:r>
      <w:r w:rsidR="00DF26C7">
        <w:rPr>
          <w:rStyle w:val="AERbody"/>
        </w:rPr>
        <w:t xml:space="preserve">The capex </w:t>
      </w:r>
      <w:r w:rsidR="00DF26C7">
        <w:t>is justifiable on the basis of rule 79(2)(c</w:t>
      </w:r>
      <w:r w:rsidR="00DF26C7" w:rsidRPr="00FF31F7">
        <w:t>) of the NGR</w:t>
      </w:r>
      <w:r w:rsidR="00DF26C7">
        <w:t xml:space="preserve">. </w:t>
      </w:r>
      <w:r>
        <w:t>The</w:t>
      </w:r>
      <w:r w:rsidRPr="007438C2">
        <w:t xml:space="preserve"> </w:t>
      </w:r>
      <w:r>
        <w:t>project will address the existing site</w:t>
      </w:r>
      <w:r w:rsidRPr="007438C2">
        <w:t xml:space="preserve"> condition, safet</w:t>
      </w:r>
      <w:r>
        <w:t xml:space="preserve">y </w:t>
      </w:r>
      <w:r w:rsidRPr="007438C2">
        <w:t xml:space="preserve">and </w:t>
      </w:r>
      <w:r>
        <w:t>capacity</w:t>
      </w:r>
      <w:r w:rsidRPr="007438C2">
        <w:t xml:space="preserve"> issues identified by </w:t>
      </w:r>
      <w:r>
        <w:t>APTNT, and allow for the consolidation of corporate and field services functions. This option will utilise excess land at the owned corporate office site, and provide ongoing savings in annual rental and security patrol costs through termination of the maintenance depot lease</w:t>
      </w:r>
      <w:r w:rsidRPr="007438C2">
        <w:t xml:space="preserve">. </w:t>
      </w:r>
      <w:r>
        <w:t>W</w:t>
      </w:r>
      <w:r w:rsidRPr="007438C2">
        <w:t xml:space="preserve">e have included the forecast costs associated with this project in our estimate of </w:t>
      </w:r>
      <w:r>
        <w:t>conforming</w:t>
      </w:r>
      <w:r w:rsidRPr="007438C2">
        <w:t xml:space="preserve"> capex </w:t>
      </w:r>
      <w:r>
        <w:t xml:space="preserve">for the </w:t>
      </w:r>
      <w:r w:rsidR="006A555A">
        <w:t>2016–21</w:t>
      </w:r>
      <w:r>
        <w:t xml:space="preserve"> access arrangement period</w:t>
      </w:r>
      <w:r w:rsidRPr="007438C2">
        <w:t>.</w:t>
      </w:r>
    </w:p>
    <w:p w:rsidR="006C48AF" w:rsidRPr="007438C2" w:rsidRDefault="006C48AF" w:rsidP="006C48AF">
      <w:r>
        <w:t xml:space="preserve">In order to achieve the lowest sustainable cost of providing services, it is important that opex savings achieved through consolidation of the two operating sites in Palmerston are passed on to users. In response to our information request, APTNT submitted that the forecast opex savings in rental and security patrol costs associated with this project were not reflected in its forecast opex for the </w:t>
      </w:r>
      <w:r w:rsidR="006A555A">
        <w:t>2016–21</w:t>
      </w:r>
      <w:r>
        <w:t xml:space="preserve"> access arrangement period.</w:t>
      </w:r>
      <w:r>
        <w:rPr>
          <w:rStyle w:val="FootnoteReference"/>
        </w:rPr>
        <w:footnoteReference w:id="78"/>
      </w:r>
      <w:r>
        <w:t xml:space="preserve"> </w:t>
      </w:r>
      <w:r w:rsidR="00DD1329">
        <w:t xml:space="preserve">We expect </w:t>
      </w:r>
      <w:r>
        <w:t xml:space="preserve">APTNT </w:t>
      </w:r>
      <w:r w:rsidR="00DD1329">
        <w:t>to</w:t>
      </w:r>
      <w:r>
        <w:t xml:space="preserve"> reflect these opex savings in its revised opex proposal.</w:t>
      </w:r>
    </w:p>
    <w:p w:rsidR="006C48AF" w:rsidRPr="00031721" w:rsidRDefault="006C48AF" w:rsidP="006C48AF">
      <w:pPr>
        <w:rPr>
          <w:rStyle w:val="Strong"/>
        </w:rPr>
      </w:pPr>
      <w:r w:rsidRPr="00031721">
        <w:rPr>
          <w:rStyle w:val="Strong"/>
        </w:rPr>
        <w:t>Information technology</w:t>
      </w:r>
    </w:p>
    <w:p w:rsidR="006C48AF" w:rsidRPr="00476A84" w:rsidRDefault="006C48AF" w:rsidP="006C48AF">
      <w:r w:rsidRPr="00476A84">
        <w:t>APTNT proposed $3.4 million ($</w:t>
      </w:r>
      <w:r w:rsidR="000B70FD">
        <w:t>2015–16</w:t>
      </w:r>
      <w:r w:rsidRPr="00476A84">
        <w:t>, including cost escalation) for IT capex</w:t>
      </w:r>
      <w:r>
        <w:t xml:space="preserve"> in the </w:t>
      </w:r>
      <w:r w:rsidR="006A555A">
        <w:t>2016–21</w:t>
      </w:r>
      <w:r>
        <w:t xml:space="preserve"> access arrangement period</w:t>
      </w:r>
      <w:r w:rsidRPr="00476A84">
        <w:t>.</w:t>
      </w:r>
      <w:r w:rsidRPr="00476A84">
        <w:rPr>
          <w:vertAlign w:val="superscript"/>
        </w:rPr>
        <w:footnoteReference w:id="79"/>
      </w:r>
      <w:r w:rsidRPr="00476A84">
        <w:t xml:space="preserve"> This is a decrease </w:t>
      </w:r>
      <w:r>
        <w:t>of $1 million or 23 per </w:t>
      </w:r>
      <w:r w:rsidRPr="00476A84">
        <w:t xml:space="preserve">cent from actual </w:t>
      </w:r>
      <w:r>
        <w:t xml:space="preserve">and estimated </w:t>
      </w:r>
      <w:r w:rsidRPr="00476A84">
        <w:t>e</w:t>
      </w:r>
      <w:r>
        <w:t xml:space="preserve">xpenditure in the </w:t>
      </w:r>
      <w:r w:rsidR="006A555A">
        <w:t>2011–16</w:t>
      </w:r>
      <w:r>
        <w:t xml:space="preserve"> access arrangement period</w:t>
      </w:r>
      <w:r w:rsidRPr="00476A84">
        <w:t>.</w:t>
      </w:r>
      <w:r w:rsidRPr="00476A84">
        <w:rPr>
          <w:vertAlign w:val="superscript"/>
        </w:rPr>
        <w:footnoteReference w:id="80"/>
      </w:r>
      <w:r w:rsidRPr="00476A84">
        <w:t xml:space="preserve"> However, it is an increase of $2.2 million from the forecast for the current period.</w:t>
      </w:r>
      <w:r w:rsidRPr="00476A84">
        <w:rPr>
          <w:vertAlign w:val="superscript"/>
        </w:rPr>
        <w:footnoteReference w:id="81"/>
      </w:r>
    </w:p>
    <w:p w:rsidR="006C48AF" w:rsidRPr="00476A84" w:rsidRDefault="006C48AF" w:rsidP="006C48AF">
      <w:r w:rsidRPr="00476A84">
        <w:t>We accept APTNT’s proposed IT capex forec</w:t>
      </w:r>
      <w:r>
        <w:t xml:space="preserve">ast and have included it in our forecast of conforming capex for the </w:t>
      </w:r>
      <w:r w:rsidR="006A555A">
        <w:t>2016–21</w:t>
      </w:r>
      <w:r>
        <w:t xml:space="preserve"> access arrangement period</w:t>
      </w:r>
      <w:r w:rsidRPr="00476A84">
        <w:t>.</w:t>
      </w:r>
      <w:r w:rsidR="009D1015">
        <w:rPr>
          <w:rStyle w:val="FootnoteReference"/>
        </w:rPr>
        <w:footnoteReference w:id="82"/>
      </w:r>
      <w:r w:rsidRPr="00476A84">
        <w:t xml:space="preserve"> In our analysis</w:t>
      </w:r>
      <w:r>
        <w:t xml:space="preserve">, we have </w:t>
      </w:r>
      <w:r w:rsidRPr="00476A84">
        <w:t xml:space="preserve">reviewed the two </w:t>
      </w:r>
      <w:r>
        <w:t xml:space="preserve">specific </w:t>
      </w:r>
      <w:r w:rsidRPr="00476A84">
        <w:t xml:space="preserve">projects proposed for the upcoming access arrangement period. </w:t>
      </w:r>
    </w:p>
    <w:p w:rsidR="006C48AF" w:rsidRPr="00476A84" w:rsidRDefault="006C48AF" w:rsidP="006C48AF">
      <w:r>
        <w:t xml:space="preserve">APTNT’s IT capex in the </w:t>
      </w:r>
      <w:r w:rsidR="006A555A">
        <w:t>2011–16</w:t>
      </w:r>
      <w:r>
        <w:t xml:space="preserve"> access arrangement period was in large part driven by APTNT’s share of corporate level costs as a number of</w:t>
      </w:r>
      <w:r w:rsidRPr="00476A84">
        <w:t xml:space="preserve"> stand-alone systems </w:t>
      </w:r>
      <w:r>
        <w:t>relating to the AGP were integrated into</w:t>
      </w:r>
      <w:r w:rsidRPr="00476A84">
        <w:t xml:space="preserve"> the</w:t>
      </w:r>
      <w:r>
        <w:t xml:space="preserve"> broader</w:t>
      </w:r>
      <w:r w:rsidRPr="00476A84">
        <w:t xml:space="preserve"> APA Group systems. This work </w:t>
      </w:r>
      <w:r w:rsidRPr="00476A84">
        <w:lastRenderedPageBreak/>
        <w:t>program is due to</w:t>
      </w:r>
      <w:r>
        <w:t xml:space="preserve"> be completed during the </w:t>
      </w:r>
      <w:r w:rsidR="006A555A">
        <w:t>2011–16</w:t>
      </w:r>
      <w:r>
        <w:t xml:space="preserve"> access arrangement period</w:t>
      </w:r>
      <w:r w:rsidRPr="00476A84">
        <w:t xml:space="preserve">. As a consequence, APTNT’s forecast IT capex for the </w:t>
      </w:r>
      <w:r w:rsidR="006A555A">
        <w:t>2016–21</w:t>
      </w:r>
      <w:r w:rsidRPr="00476A84">
        <w:t xml:space="preserve"> access arrangement period is 23 per cent lower than actual expenditure in t</w:t>
      </w:r>
      <w:r>
        <w:t xml:space="preserve">he </w:t>
      </w:r>
      <w:r w:rsidR="006A555A">
        <w:t>2011–16</w:t>
      </w:r>
      <w:r>
        <w:t xml:space="preserve"> access arrangement period.</w:t>
      </w:r>
      <w:r w:rsidRPr="00476A84">
        <w:rPr>
          <w:vertAlign w:val="superscript"/>
        </w:rPr>
        <w:footnoteReference w:id="83"/>
      </w:r>
      <w:r w:rsidRPr="00476A84">
        <w:t xml:space="preserve"> </w:t>
      </w:r>
    </w:p>
    <w:p w:rsidR="006C48AF" w:rsidRPr="00476A84" w:rsidRDefault="006C48AF" w:rsidP="006C48AF">
      <w:r w:rsidRPr="00476A84">
        <w:t xml:space="preserve">APTNT identified two IT capex projects for the </w:t>
      </w:r>
      <w:r w:rsidR="006A555A">
        <w:t>2016–21</w:t>
      </w:r>
      <w:r>
        <w:t xml:space="preserve"> </w:t>
      </w:r>
      <w:r w:rsidRPr="00476A84">
        <w:t>access arrangement period, an infrastructure upgrade project and an applications re</w:t>
      </w:r>
      <w:r>
        <w:t>newal program. Each of these is</w:t>
      </w:r>
      <w:r w:rsidRPr="00476A84">
        <w:t xml:space="preserve"> suppor</w:t>
      </w:r>
      <w:r>
        <w:t>ted by an individual business case</w:t>
      </w:r>
      <w:r w:rsidRPr="00476A84">
        <w:t xml:space="preserve"> setting out the scope, business need and justification fo</w:t>
      </w:r>
      <w:r>
        <w:t>r the proposed IT capex project</w:t>
      </w:r>
      <w:r w:rsidRPr="00476A84">
        <w:t>, as well as costs, options considered and a risk assessment.</w:t>
      </w:r>
      <w:r w:rsidRPr="00476A84">
        <w:rPr>
          <w:vertAlign w:val="superscript"/>
        </w:rPr>
        <w:footnoteReference w:id="84"/>
      </w:r>
      <w:r w:rsidRPr="00476A84">
        <w:t xml:space="preserve"> The infrastructure upgrade project is to upgrade both the desktop infrastructure to the Windows 8/10 operating system and to upgrade the telephony infrastructure. The applications renewal program is to upgrade all of APTNT’s major applications on a two yearly cycle to maintain currency and vendor support. On the basis of the information provided, we are satisfied that these projects are appropriately justified in regard to APTNT’s business needs. We are therefore satisfied that the scope and nature of the capex proposed is such as would be incurred by a prudent service provider.</w:t>
      </w:r>
    </w:p>
    <w:p w:rsidR="006C48AF" w:rsidRPr="00476A84" w:rsidRDefault="006C48AF" w:rsidP="006C48AF">
      <w:r w:rsidRPr="00476A84">
        <w:t xml:space="preserve">APTNT has utilised an industry standard </w:t>
      </w:r>
      <w:r>
        <w:t>project methodology</w:t>
      </w:r>
      <w:r w:rsidRPr="00476A84">
        <w:t xml:space="preserve"> to develop its project plans.</w:t>
      </w:r>
      <w:r w:rsidRPr="00476A84">
        <w:rPr>
          <w:vertAlign w:val="superscript"/>
        </w:rPr>
        <w:footnoteReference w:id="85"/>
      </w:r>
      <w:r w:rsidRPr="00476A84">
        <w:t xml:space="preserve"> APTNT’s cost estimates are derived </w:t>
      </w:r>
      <w:r>
        <w:t xml:space="preserve">from </w:t>
      </w:r>
      <w:r w:rsidRPr="00476A84">
        <w:t>historical figures for resource costs estimates. On this basis, we are satisfied that APTNT’s estimate of IT capex costs has been arrived at on a reasonable basis.</w:t>
      </w:r>
      <w:r>
        <w:rPr>
          <w:rStyle w:val="FootnoteReference"/>
        </w:rPr>
        <w:footnoteReference w:id="86"/>
      </w:r>
    </w:p>
    <w:p w:rsidR="006C48AF" w:rsidRDefault="006C48AF" w:rsidP="006C48AF">
      <w:r w:rsidRPr="00476A84">
        <w:t>Based on our review of the information submitted by APTNT in support of its forecast IT capex, we are satisfied that the forecast capex is such as would be incurred by a prudent service provider acting efficiently.</w:t>
      </w:r>
      <w:r w:rsidRPr="00476A84">
        <w:rPr>
          <w:vertAlign w:val="superscript"/>
        </w:rPr>
        <w:footnoteReference w:id="87"/>
      </w:r>
      <w:r w:rsidRPr="00476A84">
        <w:t xml:space="preserve"> The projects included in the forecast capex are necessary to maintain the integrity of services.</w:t>
      </w:r>
      <w:r w:rsidRPr="00476A84">
        <w:rPr>
          <w:vertAlign w:val="superscript"/>
        </w:rPr>
        <w:footnoteReference w:id="88"/>
      </w:r>
      <w:r w:rsidRPr="00476A84">
        <w:t xml:space="preserve"> On this basis, we accept APTNT’s IT capex forecast of $3.4 million and have included it in our </w:t>
      </w:r>
      <w:r>
        <w:t xml:space="preserve">estimate of conforming capex for the </w:t>
      </w:r>
      <w:r w:rsidR="006A555A">
        <w:t>2016–21</w:t>
      </w:r>
      <w:r>
        <w:t xml:space="preserve"> access arrangement period</w:t>
      </w:r>
      <w:r w:rsidRPr="00476A84">
        <w:t>.</w:t>
      </w:r>
    </w:p>
    <w:p w:rsidR="00A718BB" w:rsidRPr="00476A84" w:rsidRDefault="00A718BB" w:rsidP="00AB1037">
      <w:pPr>
        <w:pStyle w:val="HeadingBoldBlue"/>
      </w:pPr>
      <w:r>
        <w:t>Labour cost escalation</w:t>
      </w:r>
    </w:p>
    <w:p w:rsidR="00474EC7" w:rsidRDefault="00FD1E11">
      <w:r>
        <w:t>APTNT’s forecast capex for the 2016–21 access arrangement period included $0.5 million related to forecast real escalation of labour costs. As discussed in attachment 7 of this decision, w</w:t>
      </w:r>
      <w:r w:rsidR="00A718BB">
        <w:t xml:space="preserve">e have </w:t>
      </w:r>
      <w:r>
        <w:t xml:space="preserve">not accepted APTNT’s forecast of real labour cost escalation in the 2016–21 access arrangement period. We have substituted our forecast of labour cost escalation in place of APTNT’s forecast in determining our </w:t>
      </w:r>
      <w:r>
        <w:lastRenderedPageBreak/>
        <w:t xml:space="preserve">estimate of conforming capex for the 2016–21 access arrangement period. The impact of applying our forecast for labour cost escalation </w:t>
      </w:r>
      <w:r w:rsidRPr="009D1015">
        <w:t>is a reduction in forecast capex of $0.</w:t>
      </w:r>
      <w:r w:rsidR="009D1015" w:rsidRPr="009D1015">
        <w:t>2</w:t>
      </w:r>
      <w:r w:rsidRPr="009D1015">
        <w:t> million ($</w:t>
      </w:r>
      <w:r w:rsidR="000B70FD">
        <w:t>2015–16</w:t>
      </w:r>
      <w:r w:rsidRPr="009D1015">
        <w:t xml:space="preserve">). </w:t>
      </w:r>
    </w:p>
    <w:p w:rsidR="005E2888" w:rsidRDefault="005E2888" w:rsidP="005E2888">
      <w:pPr>
        <w:pStyle w:val="Heading2"/>
      </w:pPr>
      <w:bookmarkStart w:id="48" w:name="_Toc436042758"/>
      <w:r>
        <w:t>Revisions</w:t>
      </w:r>
      <w:bookmarkEnd w:id="48"/>
    </w:p>
    <w:p w:rsidR="005E2888" w:rsidRDefault="005E2888" w:rsidP="005E2888">
      <w:r>
        <w:t>We require the following revisions to make the access arrangement proposal acceptable:</w:t>
      </w:r>
    </w:p>
    <w:p w:rsidR="005E2888" w:rsidRDefault="005E2888" w:rsidP="005E2888">
      <w:pPr>
        <w:pStyle w:val="AERrevisionbox"/>
      </w:pPr>
      <w:r>
        <w:rPr>
          <w:b/>
          <w:bCs/>
        </w:rPr>
        <w:t xml:space="preserve">Revision 6.1: </w:t>
      </w:r>
      <w:r>
        <w:t xml:space="preserve">Make all necessary amendments to reflect our draft decision on conforming capex for 2010–16, as set out in </w:t>
      </w:r>
      <w:r>
        <w:fldChar w:fldCharType="begin"/>
      </w:r>
      <w:r>
        <w:instrText xml:space="preserve"> REF _Ref404334270 \h  \* MERGEFORMAT </w:instrText>
      </w:r>
      <w:r>
        <w:fldChar w:fldCharType="separate"/>
      </w:r>
      <w:r w:rsidR="00F65E22">
        <w:t xml:space="preserve">Table </w:t>
      </w:r>
      <w:r w:rsidR="00F65E22">
        <w:rPr>
          <w:noProof/>
        </w:rPr>
        <w:t>6.1</w:t>
      </w:r>
      <w:r>
        <w:fldChar w:fldCharType="end"/>
      </w:r>
      <w:r>
        <w:t>.</w:t>
      </w:r>
    </w:p>
    <w:p w:rsidR="005E2888" w:rsidRPr="009D1015" w:rsidRDefault="005E2888" w:rsidP="005E2888">
      <w:pPr>
        <w:pStyle w:val="AERrevisionbox"/>
      </w:pPr>
      <w:r w:rsidRPr="005E2888">
        <w:rPr>
          <w:rStyle w:val="Strong"/>
        </w:rPr>
        <w:t>Revision 6.2:</w:t>
      </w:r>
      <w:r>
        <w:t xml:space="preserve"> Make all necessary amendments to reflect our draft decision on conforming capex for 2016–21, as set out in </w:t>
      </w:r>
      <w:r w:rsidR="00A32F83">
        <w:fldChar w:fldCharType="begin"/>
      </w:r>
      <w:r w:rsidR="00A32F83">
        <w:instrText xml:space="preserve"> REF _Ref404161318 \h </w:instrText>
      </w:r>
      <w:r w:rsidR="00A32F83">
        <w:fldChar w:fldCharType="separate"/>
      </w:r>
      <w:r w:rsidR="00A32F83">
        <w:t xml:space="preserve">Table </w:t>
      </w:r>
      <w:r w:rsidR="00A32F83">
        <w:rPr>
          <w:noProof/>
        </w:rPr>
        <w:t>6</w:t>
      </w:r>
      <w:r w:rsidR="00A32F83">
        <w:t>.</w:t>
      </w:r>
      <w:r w:rsidR="00A32F83">
        <w:rPr>
          <w:noProof/>
        </w:rPr>
        <w:t>3</w:t>
      </w:r>
      <w:r w:rsidR="00A32F83">
        <w:fldChar w:fldCharType="end"/>
      </w:r>
      <w:r w:rsidR="00A32F83">
        <w:t>.</w:t>
      </w:r>
    </w:p>
    <w:sectPr w:rsidR="005E2888" w:rsidRPr="009D1015" w:rsidSect="00B757A6">
      <w:headerReference w:type="even" r:id="rId12"/>
      <w:headerReference w:type="default" r:id="rId13"/>
      <w:footerReference w:type="even" r:id="rId14"/>
      <w:footerReference w:type="default" r:id="rId15"/>
      <w:headerReference w:type="first" r:id="rId16"/>
      <w:footerReference w:type="first" r:id="rId17"/>
      <w:pgSz w:w="11906" w:h="16838" w:code="9"/>
      <w:pgMar w:top="1440" w:right="1700" w:bottom="1582" w:left="1729" w:header="720" w:footer="0" w:gutter="0"/>
      <w:pgNumType w:start="0" w:chapStyle="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E22" w:rsidRPr="00290C63" w:rsidRDefault="00F65E22" w:rsidP="00290C63">
      <w:r>
        <w:separator/>
      </w:r>
    </w:p>
    <w:p w:rsidR="00F65E22" w:rsidRDefault="00F65E22"/>
  </w:endnote>
  <w:endnote w:type="continuationSeparator" w:id="0">
    <w:p w:rsidR="00F65E22" w:rsidRPr="00290C63" w:rsidRDefault="00F65E22" w:rsidP="00290C63">
      <w:r>
        <w:continuationSeparator/>
      </w:r>
    </w:p>
    <w:p w:rsidR="00F65E22" w:rsidRDefault="00F65E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dge Round">
    <w:altName w:val="Calibri"/>
    <w:panose1 w:val="00000000000000000000"/>
    <w:charset w:val="00"/>
    <w:family w:val="modern"/>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E22" w:rsidRDefault="00F65E22">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26</w:t>
    </w:r>
    <w:r>
      <w:rPr>
        <w:rStyle w:val="PageNumber"/>
      </w:rPr>
      <w:fldChar w:fldCharType="end"/>
    </w:r>
    <w:r>
      <w:rPr>
        <w:rStyle w:val="PageNumber"/>
      </w:rPr>
      <w:tab/>
    </w:r>
    <w:r>
      <w:t>ES 1 Customer Connection Information</w:t>
    </w:r>
  </w:p>
  <w:p w:rsidR="00F65E22" w:rsidRDefault="00F65E22">
    <w:pPr>
      <w:pStyle w:val="Footer"/>
    </w:pPr>
  </w:p>
  <w:p w:rsidR="00F65E22" w:rsidRDefault="00F65E22">
    <w:pPr>
      <w:pStyle w:val="Footer"/>
    </w:pPr>
    <w:r>
      <w:fldChar w:fldCharType="begin"/>
    </w:r>
    <w:r>
      <w:instrText xml:space="preserve"> DOCPROPERTY DocumentID \* MERGEFORMAT </w:instrText>
    </w:r>
    <w:r>
      <w:fldChar w:fldCharType="separate"/>
    </w:r>
    <w:r>
      <w:rPr>
        <w:b/>
        <w:bCs/>
        <w:lang w:val="en-US"/>
      </w:rPr>
      <w:t>Error! Unknown document property name.</w:t>
    </w:r>
    <w:r>
      <w:rPr>
        <w:color w:val="191919"/>
        <w:sz w:val="13"/>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4776863"/>
      <w:docPartObj>
        <w:docPartGallery w:val="Page Numbers (Bottom of Page)"/>
        <w:docPartUnique/>
      </w:docPartObj>
    </w:sdtPr>
    <w:sdtEndPr/>
    <w:sdtContent>
      <w:p w:rsidR="00F65E22" w:rsidRPr="00CA52A2" w:rsidRDefault="00F65E22" w:rsidP="00CA52A2">
        <w:pPr>
          <w:pStyle w:val="Footer"/>
        </w:pPr>
        <w:r w:rsidRPr="00CA52A2">
          <w:fldChar w:fldCharType="begin"/>
        </w:r>
        <w:r>
          <w:instrText xml:space="preserve"> PAGE   \* MERGEFORMAT </w:instrText>
        </w:r>
        <w:r w:rsidRPr="00CA52A2">
          <w:fldChar w:fldCharType="separate"/>
        </w:r>
        <w:r w:rsidR="0048171E">
          <w:rPr>
            <w:noProof/>
          </w:rPr>
          <w:t>6-0</w:t>
        </w:r>
        <w:r w:rsidRPr="00CA52A2">
          <w:fldChar w:fldCharType="end"/>
        </w:r>
        <w:r w:rsidRPr="00CA52A2">
          <w:t xml:space="preserve">          Attachment </w:t>
        </w:r>
        <w:r>
          <w:t xml:space="preserve">6 </w:t>
        </w:r>
        <w:r w:rsidRPr="00CA52A2">
          <w:t xml:space="preserve">– </w:t>
        </w:r>
        <w:r>
          <w:t xml:space="preserve">Capital expenditure </w:t>
        </w:r>
        <w:r w:rsidRPr="00CA52A2">
          <w:t xml:space="preserve">| </w:t>
        </w:r>
        <w:r>
          <w:t>Draft decision: Amadeus Gas Pipeline Access Arrangement 2016</w:t>
        </w:r>
        <w:r w:rsidRPr="00CA52A2">
          <w:t>–</w:t>
        </w:r>
        <w:r>
          <w:t>21</w:t>
        </w:r>
      </w:p>
    </w:sdtContent>
  </w:sdt>
  <w:p w:rsidR="00F65E22" w:rsidRDefault="00F65E22">
    <w:pPr>
      <w:pStyle w:val="Footer"/>
      <w:tabs>
        <w:tab w:val="right" w:pos="9639"/>
      </w:tabs>
      <w:rPr>
        <w:rFonts w:ascii="Cambridge Round" w:hAnsi="Cambridge Round"/>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261" w:rsidRDefault="0048726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E22" w:rsidRPr="00290C63" w:rsidRDefault="00F65E22" w:rsidP="00290C63">
      <w:r>
        <w:separator/>
      </w:r>
    </w:p>
    <w:p w:rsidR="00F65E22" w:rsidRDefault="00F65E22"/>
  </w:footnote>
  <w:footnote w:type="continuationSeparator" w:id="0">
    <w:p w:rsidR="00F65E22" w:rsidRPr="00290C63" w:rsidRDefault="00F65E22" w:rsidP="00290C63">
      <w:r>
        <w:continuationSeparator/>
      </w:r>
    </w:p>
    <w:p w:rsidR="00F65E22" w:rsidRDefault="00F65E22"/>
  </w:footnote>
  <w:footnote w:id="1">
    <w:p w:rsidR="00F65E22" w:rsidRDefault="00F65E22">
      <w:pPr>
        <w:pStyle w:val="FootnoteText"/>
      </w:pPr>
      <w:r>
        <w:rPr>
          <w:rStyle w:val="FootnoteReference"/>
        </w:rPr>
        <w:footnoteRef/>
      </w:r>
      <w:r>
        <w:t xml:space="preserve"> </w:t>
      </w:r>
      <w:r>
        <w:tab/>
        <w:t>NGR, r. 79(1)(a).</w:t>
      </w:r>
    </w:p>
  </w:footnote>
  <w:footnote w:id="2">
    <w:p w:rsidR="00F65E22" w:rsidRPr="00F9442F" w:rsidRDefault="00F65E22">
      <w:pPr>
        <w:pStyle w:val="FootnoteText"/>
      </w:pPr>
      <w:r>
        <w:rPr>
          <w:rStyle w:val="FootnoteReference"/>
        </w:rPr>
        <w:footnoteRef/>
      </w:r>
      <w:r>
        <w:t xml:space="preserve"> </w:t>
      </w:r>
      <w:r>
        <w:tab/>
      </w:r>
      <w:r w:rsidRPr="00F9442F">
        <w:t xml:space="preserve">APTNT, </w:t>
      </w:r>
      <w:r w:rsidRPr="00F9442F">
        <w:rPr>
          <w:rStyle w:val="AERtextitalic"/>
        </w:rPr>
        <w:t>Access arrangement information</w:t>
      </w:r>
      <w:r w:rsidRPr="00F9442F">
        <w:t>, August 2015, p. 3.</w:t>
      </w:r>
    </w:p>
  </w:footnote>
  <w:footnote w:id="3">
    <w:p w:rsidR="00F65E22" w:rsidRDefault="00F65E22">
      <w:pPr>
        <w:pStyle w:val="FootnoteText"/>
      </w:pPr>
      <w:r>
        <w:rPr>
          <w:rStyle w:val="FootnoteReference"/>
        </w:rPr>
        <w:footnoteRef/>
      </w:r>
      <w:r>
        <w:t xml:space="preserve"> </w:t>
      </w:r>
      <w:r>
        <w:tab/>
        <w:t xml:space="preserve">APA Group, </w:t>
      </w:r>
      <w:r w:rsidRPr="002618E5">
        <w:rPr>
          <w:i/>
        </w:rPr>
        <w:t>Amadeus Gas Pipeline,</w:t>
      </w:r>
      <w:r>
        <w:t xml:space="preserve"> </w:t>
      </w:r>
      <w:r w:rsidRPr="00B16798">
        <w:rPr>
          <w:i/>
        </w:rPr>
        <w:t xml:space="preserve">Access Arrangement </w:t>
      </w:r>
      <w:r>
        <w:rPr>
          <w:i/>
        </w:rPr>
        <w:t>Revision Proposal, Submission</w:t>
      </w:r>
      <w:r w:rsidRPr="00B16798">
        <w:rPr>
          <w:i/>
        </w:rPr>
        <w:t>, 1 July 2016 to 30 June 2021</w:t>
      </w:r>
      <w:r>
        <w:t>, August 2015, p. 88</w:t>
      </w:r>
      <w:r w:rsidRPr="00DE44F6">
        <w:t>.</w:t>
      </w:r>
    </w:p>
  </w:footnote>
  <w:footnote w:id="4">
    <w:p w:rsidR="00F65E22" w:rsidRDefault="00F65E22" w:rsidP="002C5A50">
      <w:pPr>
        <w:pStyle w:val="FootnoteText"/>
      </w:pPr>
      <w:r>
        <w:rPr>
          <w:rStyle w:val="FootnoteReference"/>
        </w:rPr>
        <w:footnoteRef/>
      </w:r>
      <w:r>
        <w:t xml:space="preserve"> </w:t>
      </w:r>
      <w:r>
        <w:tab/>
        <w:t>NGR, r. 77(2)(b).</w:t>
      </w:r>
    </w:p>
  </w:footnote>
  <w:footnote w:id="5">
    <w:p w:rsidR="00F65E22" w:rsidRDefault="00F65E22" w:rsidP="002C5A50">
      <w:pPr>
        <w:pStyle w:val="FootnoteText"/>
      </w:pPr>
      <w:r>
        <w:rPr>
          <w:rStyle w:val="FootnoteReference"/>
        </w:rPr>
        <w:footnoteRef/>
      </w:r>
      <w:r>
        <w:t xml:space="preserve"> </w:t>
      </w:r>
      <w:r>
        <w:tab/>
        <w:t>NGR, r. 79.</w:t>
      </w:r>
    </w:p>
  </w:footnote>
  <w:footnote w:id="6">
    <w:p w:rsidR="00F65E22" w:rsidRDefault="00F65E22" w:rsidP="00D137F0">
      <w:pPr>
        <w:pStyle w:val="FootnoteText"/>
      </w:pPr>
      <w:r>
        <w:rPr>
          <w:rStyle w:val="FootnoteReference"/>
        </w:rPr>
        <w:footnoteRef/>
      </w:r>
      <w:r>
        <w:t xml:space="preserve"> </w:t>
      </w:r>
      <w:r>
        <w:tab/>
        <w:t>NGR, r. 79(6).</w:t>
      </w:r>
    </w:p>
  </w:footnote>
  <w:footnote w:id="7">
    <w:p w:rsidR="00F65E22" w:rsidRDefault="00F65E22" w:rsidP="00D137F0">
      <w:pPr>
        <w:pStyle w:val="FootnoteText"/>
      </w:pPr>
      <w:r>
        <w:rPr>
          <w:rStyle w:val="FootnoteReference"/>
        </w:rPr>
        <w:footnoteRef/>
      </w:r>
      <w:r>
        <w:t xml:space="preserve"> </w:t>
      </w:r>
      <w:r>
        <w:tab/>
        <w:t>NGR, r. 40(2).</w:t>
      </w:r>
    </w:p>
  </w:footnote>
  <w:footnote w:id="8">
    <w:p w:rsidR="00F65E22" w:rsidRDefault="00F65E22" w:rsidP="00C47C15">
      <w:pPr>
        <w:pStyle w:val="FootnoteText"/>
        <w:rPr>
          <w:rFonts w:eastAsia="Calibri"/>
        </w:rPr>
      </w:pPr>
      <w:r>
        <w:rPr>
          <w:rStyle w:val="FootnoteReference"/>
        </w:rPr>
        <w:footnoteRef/>
      </w:r>
      <w:r>
        <w:t xml:space="preserve"> </w:t>
      </w:r>
      <w:r>
        <w:tab/>
      </w:r>
      <w:r>
        <w:rPr>
          <w:rFonts w:eastAsia="Calibri"/>
        </w:rPr>
        <w:t>For instance, r. 74 of the NGR requires estimates and forecasts to be made on a reasonable basis, amongst</w:t>
      </w:r>
    </w:p>
    <w:p w:rsidR="00F65E22" w:rsidRDefault="00F65E22" w:rsidP="00C47C15">
      <w:pPr>
        <w:pStyle w:val="FootnoteText"/>
      </w:pPr>
      <w:r>
        <w:rPr>
          <w:rFonts w:eastAsia="Calibri"/>
        </w:rPr>
        <w:tab/>
        <w:t>other things.</w:t>
      </w:r>
    </w:p>
  </w:footnote>
  <w:footnote w:id="9">
    <w:p w:rsidR="00F65E22" w:rsidRDefault="00F65E22" w:rsidP="00C47C15">
      <w:pPr>
        <w:pStyle w:val="FootnoteText"/>
      </w:pPr>
      <w:r>
        <w:rPr>
          <w:rStyle w:val="FootnoteReference"/>
        </w:rPr>
        <w:footnoteRef/>
      </w:r>
      <w:r>
        <w:t xml:space="preserve"> </w:t>
      </w:r>
      <w:r>
        <w:tab/>
      </w:r>
      <w:r>
        <w:rPr>
          <w:rFonts w:eastAsia="Calibri"/>
        </w:rPr>
        <w:t>NGL, s. 28(1).</w:t>
      </w:r>
    </w:p>
  </w:footnote>
  <w:footnote w:id="10">
    <w:p w:rsidR="00F65E22" w:rsidRDefault="00F65E22" w:rsidP="00C47C15">
      <w:pPr>
        <w:pStyle w:val="FootnoteText"/>
      </w:pPr>
      <w:r>
        <w:rPr>
          <w:rStyle w:val="FootnoteReference"/>
        </w:rPr>
        <w:footnoteRef/>
      </w:r>
      <w:r>
        <w:t xml:space="preserve"> </w:t>
      </w:r>
      <w:r>
        <w:tab/>
        <w:t>NGR, r. 77(2)(a).</w:t>
      </w:r>
    </w:p>
  </w:footnote>
  <w:footnote w:id="11">
    <w:p w:rsidR="00F65E22" w:rsidRDefault="00F65E22" w:rsidP="00FB7114">
      <w:pPr>
        <w:pStyle w:val="FootnoteText"/>
      </w:pPr>
      <w:r>
        <w:rPr>
          <w:rStyle w:val="FootnoteReference"/>
        </w:rPr>
        <w:footnoteRef/>
      </w:r>
      <w:r>
        <w:t xml:space="preserve"> </w:t>
      </w:r>
      <w:r>
        <w:tab/>
        <w:t>NGR, r. 77(2)(a).</w:t>
      </w:r>
    </w:p>
  </w:footnote>
  <w:footnote w:id="12">
    <w:p w:rsidR="00F65E22" w:rsidRDefault="00F65E22" w:rsidP="00942B45">
      <w:pPr>
        <w:pStyle w:val="FootnoteText"/>
      </w:pPr>
      <w:r>
        <w:rPr>
          <w:rStyle w:val="FootnoteReference"/>
        </w:rPr>
        <w:footnoteRef/>
      </w:r>
      <w:r>
        <w:t xml:space="preserve"> </w:t>
      </w:r>
      <w:r>
        <w:tab/>
        <w:t xml:space="preserve">NGR, rr. 77(2)(b), 79. </w:t>
      </w:r>
    </w:p>
  </w:footnote>
  <w:footnote w:id="13">
    <w:p w:rsidR="00F65E22" w:rsidRDefault="00F65E22" w:rsidP="00942B45">
      <w:pPr>
        <w:pStyle w:val="FootnoteText"/>
      </w:pPr>
      <w:r>
        <w:rPr>
          <w:rStyle w:val="FootnoteReference"/>
        </w:rPr>
        <w:footnoteRef/>
      </w:r>
      <w:r>
        <w:t xml:space="preserve"> </w:t>
      </w:r>
      <w:r>
        <w:tab/>
        <w:t>NGR, r. 77(2)(b).</w:t>
      </w:r>
    </w:p>
  </w:footnote>
  <w:footnote w:id="14">
    <w:p w:rsidR="00F65E22" w:rsidRDefault="00F65E22" w:rsidP="00D76C03">
      <w:pPr>
        <w:pStyle w:val="FootnoteText"/>
      </w:pPr>
      <w:r>
        <w:rPr>
          <w:rStyle w:val="FootnoteReference"/>
        </w:rPr>
        <w:footnoteRef/>
      </w:r>
      <w:r>
        <w:t xml:space="preserve"> </w:t>
      </w:r>
      <w:r>
        <w:tab/>
        <w:t>NGR, rr. 77(2)(a), 79.</w:t>
      </w:r>
    </w:p>
  </w:footnote>
  <w:footnote w:id="15">
    <w:p w:rsidR="00F65E22" w:rsidRDefault="00F65E22" w:rsidP="00802753">
      <w:pPr>
        <w:pStyle w:val="FootnoteText"/>
      </w:pPr>
      <w:r>
        <w:rPr>
          <w:rStyle w:val="FootnoteReference"/>
        </w:rPr>
        <w:footnoteRef/>
      </w:r>
      <w:r>
        <w:t xml:space="preserve"> </w:t>
      </w:r>
      <w:r>
        <w:tab/>
        <w:t xml:space="preserve">APTNT, </w:t>
      </w:r>
      <w:r w:rsidRPr="00B16798">
        <w:rPr>
          <w:i/>
        </w:rPr>
        <w:t xml:space="preserve">Access Arrangement </w:t>
      </w:r>
      <w:r>
        <w:rPr>
          <w:i/>
        </w:rPr>
        <w:t>Revision Proposal Submission</w:t>
      </w:r>
      <w:r>
        <w:t>, August 2015; and APTNT,</w:t>
      </w:r>
      <w:r>
        <w:rPr>
          <w:i/>
        </w:rPr>
        <w:t xml:space="preserve"> </w:t>
      </w:r>
      <w:r>
        <w:rPr>
          <w:rStyle w:val="AERtextitalic"/>
        </w:rPr>
        <w:t>Access Arrangement Information</w:t>
      </w:r>
      <w:r>
        <w:t>, August 2015.</w:t>
      </w:r>
    </w:p>
  </w:footnote>
  <w:footnote w:id="16">
    <w:p w:rsidR="00F65E22" w:rsidRDefault="00F65E22" w:rsidP="00215149">
      <w:pPr>
        <w:pStyle w:val="FootnoteText"/>
      </w:pPr>
      <w:r>
        <w:rPr>
          <w:rStyle w:val="FootnoteReference"/>
        </w:rPr>
        <w:footnoteRef/>
      </w:r>
      <w:r>
        <w:t xml:space="preserve"> </w:t>
      </w:r>
      <w:r>
        <w:tab/>
        <w:t xml:space="preserve">APTNT, </w:t>
      </w:r>
      <w:r>
        <w:rPr>
          <w:i/>
        </w:rPr>
        <w:t xml:space="preserve">Amadeus Gas Pipeline </w:t>
      </w:r>
      <w:r w:rsidRPr="00EE0C06">
        <w:rPr>
          <w:i/>
        </w:rPr>
        <w:t>Asset Management Plan 2016-2020</w:t>
      </w:r>
      <w:r>
        <w:t xml:space="preserve">, August 2015; and APA Group, </w:t>
      </w:r>
      <w:r w:rsidRPr="00215149">
        <w:rPr>
          <w:rStyle w:val="AERtextitalic"/>
        </w:rPr>
        <w:t>Pipeline Integrity Management Plan - Northern Territory APA Group Assets</w:t>
      </w:r>
      <w:r>
        <w:rPr>
          <w:rStyle w:val="AERtextitalic"/>
        </w:rPr>
        <w:t>.</w:t>
      </w:r>
    </w:p>
  </w:footnote>
  <w:footnote w:id="17">
    <w:p w:rsidR="00F65E22" w:rsidRPr="00215149" w:rsidRDefault="00F65E22" w:rsidP="00802753">
      <w:pPr>
        <w:pStyle w:val="FootnoteText"/>
      </w:pPr>
      <w:r>
        <w:rPr>
          <w:rStyle w:val="FootnoteReference"/>
        </w:rPr>
        <w:footnoteRef/>
      </w:r>
      <w:r>
        <w:t xml:space="preserve"> </w:t>
      </w:r>
      <w:r>
        <w:tab/>
        <w:t xml:space="preserve">APTNT, </w:t>
      </w:r>
      <w:r>
        <w:rPr>
          <w:rStyle w:val="AERtextitalic"/>
        </w:rPr>
        <w:t>Amadeus Gas Pipeline AA Final RIN – 2016</w:t>
      </w:r>
      <w:r>
        <w:t>, A</w:t>
      </w:r>
      <w:r w:rsidRPr="00215149">
        <w:t>ugust 2015.</w:t>
      </w:r>
    </w:p>
  </w:footnote>
  <w:footnote w:id="18">
    <w:p w:rsidR="00F65E22" w:rsidRDefault="00F65E22" w:rsidP="00802753">
      <w:pPr>
        <w:pStyle w:val="FootnoteText"/>
      </w:pPr>
      <w:r>
        <w:rPr>
          <w:rStyle w:val="FootnoteReference"/>
        </w:rPr>
        <w:footnoteRef/>
      </w:r>
      <w:r>
        <w:t xml:space="preserve"> </w:t>
      </w:r>
      <w:r>
        <w:tab/>
        <w:t xml:space="preserve">APTNT, </w:t>
      </w:r>
      <w:r w:rsidRPr="00215149">
        <w:rPr>
          <w:rStyle w:val="AERtextitalic"/>
        </w:rPr>
        <w:t>Attachment B-6 Supporting model - Capital expenditure</w:t>
      </w:r>
      <w:r>
        <w:t xml:space="preserve">, </w:t>
      </w:r>
      <w:r w:rsidRPr="00B222AF">
        <w:t>August 2015</w:t>
      </w:r>
      <w:r>
        <w:t>.</w:t>
      </w:r>
    </w:p>
  </w:footnote>
  <w:footnote w:id="19">
    <w:p w:rsidR="00F65E22" w:rsidRPr="008C0E4B" w:rsidRDefault="00F65E22" w:rsidP="008C0E4B">
      <w:pPr>
        <w:pStyle w:val="FootnoteText"/>
      </w:pPr>
      <w:r>
        <w:rPr>
          <w:rStyle w:val="FootnoteReference"/>
        </w:rPr>
        <w:footnoteRef/>
      </w:r>
      <w:r>
        <w:t xml:space="preserve"> </w:t>
      </w:r>
      <w:r>
        <w:tab/>
        <w:t xml:space="preserve">Sleeman Consulting, </w:t>
      </w:r>
      <w:r w:rsidRPr="00DF6C22">
        <w:rPr>
          <w:rStyle w:val="AERtextitalic"/>
        </w:rPr>
        <w:t>Review of Actual and Forecast Capex for Selected Projects</w:t>
      </w:r>
      <w:r>
        <w:t xml:space="preserve">, 22 September 2015. </w:t>
      </w:r>
      <w:r w:rsidRPr="008C0E4B">
        <w:t xml:space="preserve">We engaged an engineering consultant, Sleeman Consulting, to provide specialist technical advice on the need, timing and cost for selected projects over both the 2011–16 access arrangement period and the </w:t>
      </w:r>
      <w:r>
        <w:t>2016–21</w:t>
      </w:r>
      <w:r w:rsidRPr="008C0E4B">
        <w:t xml:space="preserve"> access arrangement period.</w:t>
      </w:r>
    </w:p>
    <w:p w:rsidR="00F65E22" w:rsidRDefault="00F65E22" w:rsidP="00802753">
      <w:pPr>
        <w:pStyle w:val="FootnoteText"/>
      </w:pPr>
    </w:p>
  </w:footnote>
  <w:footnote w:id="20">
    <w:p w:rsidR="00F65E22" w:rsidRDefault="00F65E22">
      <w:pPr>
        <w:pStyle w:val="FootnoteText"/>
      </w:pPr>
      <w:r>
        <w:rPr>
          <w:rStyle w:val="FootnoteReference"/>
        </w:rPr>
        <w:footnoteRef/>
      </w:r>
      <w:r>
        <w:t xml:space="preserve"> </w:t>
      </w:r>
      <w:r>
        <w:tab/>
        <w:t>NGR, r. 79(1)(a).</w:t>
      </w:r>
    </w:p>
  </w:footnote>
  <w:footnote w:id="21">
    <w:p w:rsidR="00F65E22" w:rsidRDefault="00F65E22">
      <w:pPr>
        <w:pStyle w:val="FootnoteText"/>
      </w:pPr>
      <w:r>
        <w:rPr>
          <w:rStyle w:val="FootnoteReference"/>
        </w:rPr>
        <w:footnoteRef/>
      </w:r>
      <w:r>
        <w:t xml:space="preserve"> </w:t>
      </w:r>
      <w:r>
        <w:tab/>
        <w:t>NGR, r. 74(2).</w:t>
      </w:r>
    </w:p>
  </w:footnote>
  <w:footnote w:id="22">
    <w:p w:rsidR="00F65E22" w:rsidRDefault="00F65E22" w:rsidP="00FF31F7">
      <w:pPr>
        <w:pStyle w:val="FootnoteText"/>
      </w:pPr>
      <w:r>
        <w:rPr>
          <w:rStyle w:val="FootnoteReference"/>
        </w:rPr>
        <w:footnoteRef/>
      </w:r>
      <w:r>
        <w:t xml:space="preserve"> </w:t>
      </w:r>
      <w:r>
        <w:tab/>
        <w:t xml:space="preserve">APTNT, </w:t>
      </w:r>
      <w:r w:rsidRPr="00B16798">
        <w:rPr>
          <w:i/>
        </w:rPr>
        <w:t xml:space="preserve">Access Arrangement </w:t>
      </w:r>
      <w:r>
        <w:rPr>
          <w:i/>
        </w:rPr>
        <w:t>Revision Proposal Submission</w:t>
      </w:r>
      <w:r>
        <w:t>, August 2015, p. 87</w:t>
      </w:r>
      <w:r w:rsidRPr="00DE44F6">
        <w:t>.</w:t>
      </w:r>
    </w:p>
  </w:footnote>
  <w:footnote w:id="23">
    <w:p w:rsidR="00F65E22" w:rsidRDefault="00F65E22" w:rsidP="00FF31F7">
      <w:pPr>
        <w:pStyle w:val="FootnoteText"/>
      </w:pPr>
      <w:r>
        <w:rPr>
          <w:rStyle w:val="FootnoteReference"/>
        </w:rPr>
        <w:footnoteRef/>
      </w:r>
      <w:r>
        <w:t xml:space="preserve"> </w:t>
      </w:r>
      <w:r>
        <w:tab/>
        <w:t xml:space="preserve">APTNT, </w:t>
      </w:r>
      <w:r w:rsidRPr="00B16798">
        <w:rPr>
          <w:i/>
        </w:rPr>
        <w:t xml:space="preserve">Access Arrangement </w:t>
      </w:r>
      <w:r>
        <w:rPr>
          <w:i/>
        </w:rPr>
        <w:t>Revision Proposal Submission</w:t>
      </w:r>
      <w:r>
        <w:t>, August 2015, pp. 61</w:t>
      </w:r>
      <w:r>
        <w:noBreakHyphen/>
        <w:t>62</w:t>
      </w:r>
      <w:r w:rsidRPr="00DE44F6">
        <w:t>.</w:t>
      </w:r>
    </w:p>
  </w:footnote>
  <w:footnote w:id="24">
    <w:p w:rsidR="00F65E22" w:rsidRDefault="00F65E22" w:rsidP="00FF31F7">
      <w:pPr>
        <w:pStyle w:val="FootnoteText"/>
      </w:pPr>
      <w:r>
        <w:rPr>
          <w:rStyle w:val="FootnoteReference"/>
        </w:rPr>
        <w:footnoteRef/>
      </w:r>
      <w:r>
        <w:t xml:space="preserve"> </w:t>
      </w:r>
      <w:r>
        <w:tab/>
        <w:t xml:space="preserve">APTNT, </w:t>
      </w:r>
      <w:r w:rsidRPr="00B16798">
        <w:rPr>
          <w:i/>
        </w:rPr>
        <w:t xml:space="preserve">Access Arrangement </w:t>
      </w:r>
      <w:r>
        <w:rPr>
          <w:i/>
        </w:rPr>
        <w:t>Revision Proposal Submission</w:t>
      </w:r>
      <w:r>
        <w:t>, August 2015, p. 62</w:t>
      </w:r>
      <w:r w:rsidRPr="00DE44F6">
        <w:t>.</w:t>
      </w:r>
    </w:p>
  </w:footnote>
  <w:footnote w:id="25">
    <w:p w:rsidR="00F65E22" w:rsidRDefault="00F65E22" w:rsidP="00FF31F7">
      <w:pPr>
        <w:pStyle w:val="FootnoteText"/>
      </w:pPr>
      <w:r>
        <w:rPr>
          <w:rStyle w:val="FootnoteReference"/>
        </w:rPr>
        <w:footnoteRef/>
      </w:r>
      <w:r>
        <w:t xml:space="preserve"> </w:t>
      </w:r>
      <w:r>
        <w:tab/>
        <w:t xml:space="preserve">APTNT, </w:t>
      </w:r>
      <w:r w:rsidRPr="00B16798">
        <w:rPr>
          <w:i/>
        </w:rPr>
        <w:t xml:space="preserve">Access Arrangement </w:t>
      </w:r>
      <w:r>
        <w:rPr>
          <w:i/>
        </w:rPr>
        <w:t>Revision Proposal Submission</w:t>
      </w:r>
      <w:r>
        <w:t>, August 2015, p. 62</w:t>
      </w:r>
      <w:r w:rsidRPr="00DE44F6">
        <w:t>.</w:t>
      </w:r>
    </w:p>
  </w:footnote>
  <w:footnote w:id="26">
    <w:p w:rsidR="00F65E22" w:rsidRDefault="00F65E22" w:rsidP="00FF31F7">
      <w:pPr>
        <w:pStyle w:val="FootnoteText"/>
      </w:pPr>
      <w:r>
        <w:rPr>
          <w:rStyle w:val="FootnoteReference"/>
        </w:rPr>
        <w:footnoteRef/>
      </w:r>
      <w:r>
        <w:t xml:space="preserve"> </w:t>
      </w:r>
      <w:r>
        <w:tab/>
        <w:t xml:space="preserve">APTNT, </w:t>
      </w:r>
      <w:r w:rsidRPr="00B16798">
        <w:rPr>
          <w:i/>
        </w:rPr>
        <w:t xml:space="preserve">Access Arrangement </w:t>
      </w:r>
      <w:r>
        <w:rPr>
          <w:i/>
        </w:rPr>
        <w:t>Revision Proposal Submission</w:t>
      </w:r>
      <w:r>
        <w:t>, August 2015, p. 87</w:t>
      </w:r>
      <w:r w:rsidRPr="00DE44F6">
        <w:t>.</w:t>
      </w:r>
    </w:p>
  </w:footnote>
  <w:footnote w:id="27">
    <w:p w:rsidR="00F65E22" w:rsidRDefault="00F65E22" w:rsidP="00FF31F7">
      <w:pPr>
        <w:pStyle w:val="FootnoteText"/>
      </w:pPr>
      <w:r>
        <w:rPr>
          <w:rStyle w:val="FootnoteReference"/>
        </w:rPr>
        <w:footnoteRef/>
      </w:r>
      <w:r>
        <w:t xml:space="preserve"> </w:t>
      </w:r>
      <w:r>
        <w:tab/>
        <w:t xml:space="preserve">APTNT, </w:t>
      </w:r>
      <w:r w:rsidRPr="00B16798">
        <w:rPr>
          <w:i/>
        </w:rPr>
        <w:t xml:space="preserve">Access Arrangement </w:t>
      </w:r>
      <w:r>
        <w:rPr>
          <w:i/>
        </w:rPr>
        <w:t>Revision Proposal Submission</w:t>
      </w:r>
      <w:r>
        <w:t>, August 2015, p. 87</w:t>
      </w:r>
      <w:r w:rsidRPr="00DE44F6">
        <w:t>.</w:t>
      </w:r>
    </w:p>
  </w:footnote>
  <w:footnote w:id="28">
    <w:p w:rsidR="00F65E22" w:rsidRDefault="00F65E22" w:rsidP="00FF31F7">
      <w:pPr>
        <w:pStyle w:val="FootnoteText"/>
      </w:pPr>
      <w:r>
        <w:rPr>
          <w:rStyle w:val="FootnoteReference"/>
        </w:rPr>
        <w:footnoteRef/>
      </w:r>
      <w:r>
        <w:t xml:space="preserve"> </w:t>
      </w:r>
      <w:r>
        <w:tab/>
        <w:t xml:space="preserve">APTNT, </w:t>
      </w:r>
      <w:r w:rsidRPr="00B16798">
        <w:rPr>
          <w:i/>
        </w:rPr>
        <w:t xml:space="preserve">Access Arrangement </w:t>
      </w:r>
      <w:r>
        <w:rPr>
          <w:i/>
        </w:rPr>
        <w:t>Revision Proposal Submission</w:t>
      </w:r>
      <w:r>
        <w:t>, August 2015, p. 63</w:t>
      </w:r>
      <w:r w:rsidRPr="00DE44F6">
        <w:t>.</w:t>
      </w:r>
    </w:p>
  </w:footnote>
  <w:footnote w:id="29">
    <w:p w:rsidR="00F65E22" w:rsidRDefault="00F65E22" w:rsidP="00FF31F7">
      <w:pPr>
        <w:pStyle w:val="FootnoteText"/>
      </w:pPr>
      <w:r>
        <w:rPr>
          <w:rStyle w:val="FootnoteReference"/>
        </w:rPr>
        <w:footnoteRef/>
      </w:r>
      <w:r>
        <w:t xml:space="preserve"> </w:t>
      </w:r>
      <w:r>
        <w:tab/>
        <w:t>NGR, rr. 79(1)(a), 79(2)(c).</w:t>
      </w:r>
    </w:p>
  </w:footnote>
  <w:footnote w:id="30">
    <w:p w:rsidR="00F65E22" w:rsidRDefault="00F65E22" w:rsidP="00FF31F7">
      <w:pPr>
        <w:pStyle w:val="FootnoteText"/>
      </w:pPr>
      <w:r>
        <w:rPr>
          <w:rStyle w:val="FootnoteReference"/>
        </w:rPr>
        <w:footnoteRef/>
      </w:r>
      <w:r>
        <w:t xml:space="preserve"> </w:t>
      </w:r>
      <w:r>
        <w:tab/>
        <w:t>With the exception of labour cost escalation as discussed below.</w:t>
      </w:r>
    </w:p>
  </w:footnote>
  <w:footnote w:id="31">
    <w:p w:rsidR="00F65E22" w:rsidRDefault="00F65E22">
      <w:pPr>
        <w:pStyle w:val="FootnoteText"/>
      </w:pPr>
      <w:r>
        <w:rPr>
          <w:rStyle w:val="FootnoteReference"/>
        </w:rPr>
        <w:footnoteRef/>
      </w:r>
      <w:r>
        <w:t xml:space="preserve"> </w:t>
      </w:r>
      <w:r>
        <w:tab/>
        <w:t xml:space="preserve">APTNT, </w:t>
      </w:r>
      <w:r w:rsidRPr="00B16798">
        <w:rPr>
          <w:i/>
        </w:rPr>
        <w:t xml:space="preserve">Access Arrangement </w:t>
      </w:r>
      <w:r>
        <w:rPr>
          <w:i/>
        </w:rPr>
        <w:t>Revision Proposal Submission</w:t>
      </w:r>
      <w:r>
        <w:t>, August 2015, pp. 66 and 71</w:t>
      </w:r>
      <w:r w:rsidRPr="00DE44F6">
        <w:t>.</w:t>
      </w:r>
    </w:p>
  </w:footnote>
  <w:footnote w:id="32">
    <w:p w:rsidR="00F65E22" w:rsidRDefault="00F65E22" w:rsidP="00FF31F7">
      <w:pPr>
        <w:pStyle w:val="FootnoteText"/>
      </w:pPr>
      <w:r>
        <w:rPr>
          <w:rStyle w:val="FootnoteReference"/>
        </w:rPr>
        <w:footnoteRef/>
      </w:r>
      <w:r>
        <w:t xml:space="preserve"> </w:t>
      </w:r>
      <w:r>
        <w:tab/>
        <w:t xml:space="preserve">APTNT, </w:t>
      </w:r>
      <w:r w:rsidRPr="00B16798">
        <w:rPr>
          <w:i/>
        </w:rPr>
        <w:t xml:space="preserve">Access Arrangement </w:t>
      </w:r>
      <w:r>
        <w:rPr>
          <w:i/>
        </w:rPr>
        <w:t>Revision Proposal Submission</w:t>
      </w:r>
      <w:r>
        <w:t>, August 2015, p. 71</w:t>
      </w:r>
      <w:r w:rsidRPr="00DE44F6">
        <w:t>.</w:t>
      </w:r>
    </w:p>
  </w:footnote>
  <w:footnote w:id="33">
    <w:p w:rsidR="00F65E22" w:rsidRDefault="00F65E22" w:rsidP="00FF31F7">
      <w:pPr>
        <w:pStyle w:val="FootnoteText"/>
      </w:pPr>
      <w:r>
        <w:rPr>
          <w:rStyle w:val="FootnoteReference"/>
        </w:rPr>
        <w:footnoteRef/>
      </w:r>
      <w:r>
        <w:t xml:space="preserve"> </w:t>
      </w:r>
      <w:r>
        <w:tab/>
        <w:t xml:space="preserve">APTNT, </w:t>
      </w:r>
      <w:r w:rsidRPr="00B16798">
        <w:rPr>
          <w:i/>
        </w:rPr>
        <w:t xml:space="preserve">Access Arrangement </w:t>
      </w:r>
      <w:r>
        <w:rPr>
          <w:i/>
        </w:rPr>
        <w:t>Revision Proposal Submission</w:t>
      </w:r>
      <w:r>
        <w:t xml:space="preserve">, </w:t>
      </w:r>
      <w:r w:rsidRPr="0085335B">
        <w:t>August 2015, p. 71.</w:t>
      </w:r>
    </w:p>
  </w:footnote>
  <w:footnote w:id="34">
    <w:p w:rsidR="00F65E22" w:rsidRDefault="00F65E22" w:rsidP="00FF31F7">
      <w:pPr>
        <w:pStyle w:val="FootnoteText"/>
      </w:pPr>
      <w:r>
        <w:rPr>
          <w:rStyle w:val="FootnoteReference"/>
        </w:rPr>
        <w:footnoteRef/>
      </w:r>
      <w:r>
        <w:t xml:space="preserve"> </w:t>
      </w:r>
      <w:r>
        <w:tab/>
        <w:t xml:space="preserve">Sleeman Consulting, </w:t>
      </w:r>
      <w:r w:rsidRPr="00031721">
        <w:rPr>
          <w:rStyle w:val="AERtextitalic"/>
        </w:rPr>
        <w:t>Review of Actual and Forecast Capex for Selected Projects</w:t>
      </w:r>
      <w:r>
        <w:t>, 22 September 2015, pp. 5–7.</w:t>
      </w:r>
    </w:p>
  </w:footnote>
  <w:footnote w:id="35">
    <w:p w:rsidR="00F65E22" w:rsidRDefault="00F65E22">
      <w:pPr>
        <w:pStyle w:val="FootnoteText"/>
      </w:pPr>
      <w:r>
        <w:rPr>
          <w:rStyle w:val="FootnoteReference"/>
        </w:rPr>
        <w:footnoteRef/>
      </w:r>
      <w:r>
        <w:t xml:space="preserve"> </w:t>
      </w:r>
      <w:r>
        <w:tab/>
        <w:t>The term ‘pigging’ refers to the internal inspection of a pipeline using an inline inspection tool.</w:t>
      </w:r>
    </w:p>
  </w:footnote>
  <w:footnote w:id="36">
    <w:p w:rsidR="00F65E22" w:rsidRDefault="00F65E22" w:rsidP="00FF31F7">
      <w:pPr>
        <w:pStyle w:val="FootnoteText"/>
      </w:pPr>
      <w:r>
        <w:rPr>
          <w:rStyle w:val="FootnoteReference"/>
        </w:rPr>
        <w:footnoteRef/>
      </w:r>
      <w:r>
        <w:t xml:space="preserve"> </w:t>
      </w:r>
      <w:r>
        <w:tab/>
        <w:t xml:space="preserve">APTNT, </w:t>
      </w:r>
      <w:r w:rsidRPr="00B16798">
        <w:rPr>
          <w:i/>
        </w:rPr>
        <w:t xml:space="preserve">Access Arrangement </w:t>
      </w:r>
      <w:r>
        <w:rPr>
          <w:i/>
        </w:rPr>
        <w:t>Revision Proposal Submission</w:t>
      </w:r>
      <w:r>
        <w:t>, August 2015, pp. 65–66</w:t>
      </w:r>
      <w:r w:rsidRPr="00DE44F6">
        <w:t>.</w:t>
      </w:r>
    </w:p>
  </w:footnote>
  <w:footnote w:id="37">
    <w:p w:rsidR="00F65E22" w:rsidRDefault="00F65E22" w:rsidP="00FF31F7">
      <w:pPr>
        <w:pStyle w:val="FootnoteText"/>
      </w:pPr>
      <w:r>
        <w:rPr>
          <w:rStyle w:val="FootnoteReference"/>
        </w:rPr>
        <w:footnoteRef/>
      </w:r>
      <w:r>
        <w:t xml:space="preserve"> </w:t>
      </w:r>
      <w:r>
        <w:tab/>
        <w:t xml:space="preserve">APTNT, </w:t>
      </w:r>
      <w:r w:rsidRPr="00B16798">
        <w:rPr>
          <w:i/>
        </w:rPr>
        <w:t xml:space="preserve">Access Arrangement </w:t>
      </w:r>
      <w:r>
        <w:rPr>
          <w:i/>
        </w:rPr>
        <w:t>Revision Proposal Submission</w:t>
      </w:r>
      <w:r>
        <w:t xml:space="preserve">, </w:t>
      </w:r>
      <w:r w:rsidRPr="00D74D3B">
        <w:t>August 2015, p. 66.</w:t>
      </w:r>
    </w:p>
  </w:footnote>
  <w:footnote w:id="38">
    <w:p w:rsidR="00F65E22" w:rsidRDefault="00F65E22" w:rsidP="00FF31F7">
      <w:pPr>
        <w:pStyle w:val="FootnoteText"/>
      </w:pPr>
      <w:r>
        <w:rPr>
          <w:rStyle w:val="FootnoteReference"/>
        </w:rPr>
        <w:footnoteRef/>
      </w:r>
      <w:r>
        <w:t xml:space="preserve"> </w:t>
      </w:r>
      <w:r>
        <w:tab/>
        <w:t xml:space="preserve">Sleeman Consulting, </w:t>
      </w:r>
      <w:r w:rsidRPr="00031721">
        <w:rPr>
          <w:rStyle w:val="AERtextitalic"/>
        </w:rPr>
        <w:t>Review of Actual and Forecast Capex for Selected Projects</w:t>
      </w:r>
      <w:r>
        <w:t>, 22 September 2015, pp. 3–4.</w:t>
      </w:r>
    </w:p>
  </w:footnote>
  <w:footnote w:id="39">
    <w:p w:rsidR="00F65E22" w:rsidRDefault="00F65E22" w:rsidP="00FF31F7">
      <w:pPr>
        <w:pStyle w:val="FootnoteText"/>
      </w:pPr>
      <w:r>
        <w:rPr>
          <w:rStyle w:val="FootnoteReference"/>
        </w:rPr>
        <w:footnoteRef/>
      </w:r>
      <w:r>
        <w:t xml:space="preserve"> </w:t>
      </w:r>
      <w:r>
        <w:tab/>
        <w:t xml:space="preserve">APTNT, </w:t>
      </w:r>
      <w:r w:rsidRPr="00AB1037">
        <w:rPr>
          <w:rStyle w:val="AERtextitalic"/>
        </w:rPr>
        <w:t>Response to information request AER Amadeus 004</w:t>
      </w:r>
      <w:r>
        <w:t>, 31 August 2015.</w:t>
      </w:r>
    </w:p>
  </w:footnote>
  <w:footnote w:id="40">
    <w:p w:rsidR="00F65E22" w:rsidRDefault="00F65E22" w:rsidP="00325A20">
      <w:pPr>
        <w:pStyle w:val="FootnoteText"/>
      </w:pPr>
      <w:r>
        <w:rPr>
          <w:rStyle w:val="FootnoteReference"/>
        </w:rPr>
        <w:footnoteRef/>
      </w:r>
      <w:r>
        <w:t xml:space="preserve"> </w:t>
      </w:r>
      <w:r>
        <w:tab/>
        <w:t xml:space="preserve">APTNT, </w:t>
      </w:r>
      <w:r w:rsidRPr="00A0424B">
        <w:rPr>
          <w:rStyle w:val="AERtextitalic"/>
        </w:rPr>
        <w:t>Response to information request AER Amadeus 010</w:t>
      </w:r>
      <w:r>
        <w:t>, 9 October 2015, p. 4.</w:t>
      </w:r>
    </w:p>
  </w:footnote>
  <w:footnote w:id="41">
    <w:p w:rsidR="00F65E22" w:rsidRDefault="00F65E22" w:rsidP="00A0424B">
      <w:pPr>
        <w:pStyle w:val="FootnoteText"/>
      </w:pPr>
      <w:r>
        <w:rPr>
          <w:rStyle w:val="FootnoteReference"/>
        </w:rPr>
        <w:footnoteRef/>
      </w:r>
      <w:r>
        <w:t xml:space="preserve"> </w:t>
      </w:r>
      <w:r>
        <w:tab/>
        <w:t>NGR, r. 79(1)(a).</w:t>
      </w:r>
    </w:p>
  </w:footnote>
  <w:footnote w:id="42">
    <w:p w:rsidR="00F65E22" w:rsidRDefault="00F65E22" w:rsidP="00FF31F7">
      <w:pPr>
        <w:pStyle w:val="FootnoteText"/>
      </w:pPr>
      <w:r>
        <w:rPr>
          <w:rStyle w:val="FootnoteReference"/>
        </w:rPr>
        <w:footnoteRef/>
      </w:r>
      <w:r>
        <w:t xml:space="preserve"> </w:t>
      </w:r>
      <w:r>
        <w:tab/>
        <w:t xml:space="preserve">APTNT, </w:t>
      </w:r>
      <w:r w:rsidRPr="00B16798">
        <w:rPr>
          <w:i/>
        </w:rPr>
        <w:t xml:space="preserve">Access Arrangement </w:t>
      </w:r>
      <w:r>
        <w:rPr>
          <w:i/>
        </w:rPr>
        <w:t>Revision Proposal Submission</w:t>
      </w:r>
      <w:r>
        <w:t>, August 2015, p. 86</w:t>
      </w:r>
      <w:r w:rsidRPr="00DE44F6">
        <w:t>.</w:t>
      </w:r>
    </w:p>
  </w:footnote>
  <w:footnote w:id="43">
    <w:p w:rsidR="00F65E22" w:rsidRDefault="00F65E22" w:rsidP="00FF31F7">
      <w:pPr>
        <w:pStyle w:val="FootnoteText"/>
      </w:pPr>
      <w:r>
        <w:rPr>
          <w:rStyle w:val="FootnoteReference"/>
        </w:rPr>
        <w:footnoteRef/>
      </w:r>
      <w:r>
        <w:t xml:space="preserve"> </w:t>
      </w:r>
      <w:r>
        <w:tab/>
        <w:t>NGR, r. 79(1)(a).</w:t>
      </w:r>
    </w:p>
  </w:footnote>
  <w:footnote w:id="44">
    <w:p w:rsidR="00F65E22" w:rsidRDefault="00F65E22" w:rsidP="00FF31F7">
      <w:pPr>
        <w:pStyle w:val="FootnoteText"/>
      </w:pPr>
      <w:r>
        <w:rPr>
          <w:rStyle w:val="FootnoteReference"/>
        </w:rPr>
        <w:footnoteRef/>
      </w:r>
      <w:r>
        <w:t xml:space="preserve"> </w:t>
      </w:r>
      <w:r>
        <w:tab/>
      </w:r>
      <w:r w:rsidRPr="00DE44F6">
        <w:t>AER</w:t>
      </w:r>
      <w:r>
        <w:t>,</w:t>
      </w:r>
      <w:r w:rsidRPr="00DE44F6">
        <w:t xml:space="preserve"> </w:t>
      </w:r>
      <w:r w:rsidRPr="003F5252">
        <w:rPr>
          <w:rStyle w:val="AERtextitalic"/>
        </w:rPr>
        <w:t>N.T. Gas Access arrangement proposal for the Amadeus Gas Pipeline 1 August 2011 – 30 June 2016</w:t>
      </w:r>
      <w:r>
        <w:t>, July 2011, p. 49; APTNT</w:t>
      </w:r>
      <w:r w:rsidRPr="00D74D3B">
        <w:t xml:space="preserve">, </w:t>
      </w:r>
      <w:r w:rsidRPr="00D74D3B">
        <w:rPr>
          <w:i/>
        </w:rPr>
        <w:t>Acces</w:t>
      </w:r>
      <w:r>
        <w:rPr>
          <w:i/>
        </w:rPr>
        <w:t>s Arrangement Revision Proposal</w:t>
      </w:r>
      <w:r w:rsidRPr="00D74D3B">
        <w:rPr>
          <w:i/>
        </w:rPr>
        <w:t xml:space="preserve"> Submission</w:t>
      </w:r>
      <w:r w:rsidRPr="00D74D3B">
        <w:t xml:space="preserve">, August 2015, p. </w:t>
      </w:r>
      <w:r>
        <w:t xml:space="preserve">94; and APTNT, </w:t>
      </w:r>
      <w:r w:rsidRPr="005A7405">
        <w:rPr>
          <w:rStyle w:val="AERtextitalic"/>
        </w:rPr>
        <w:t>Attachment B-6 Supporting model - Capital expenditure</w:t>
      </w:r>
      <w:r>
        <w:t xml:space="preserve">, </w:t>
      </w:r>
      <w:r w:rsidRPr="00B222AF">
        <w:t>August 2015</w:t>
      </w:r>
      <w:r>
        <w:t>.</w:t>
      </w:r>
    </w:p>
  </w:footnote>
  <w:footnote w:id="45">
    <w:p w:rsidR="00F65E22" w:rsidRDefault="00F65E22" w:rsidP="00FF31F7">
      <w:pPr>
        <w:pStyle w:val="FootnoteText"/>
      </w:pPr>
      <w:r>
        <w:rPr>
          <w:rStyle w:val="FootnoteReference"/>
        </w:rPr>
        <w:footnoteRef/>
      </w:r>
      <w:r>
        <w:t xml:space="preserve"> </w:t>
      </w:r>
      <w:r>
        <w:tab/>
        <w:t xml:space="preserve">APA Group, </w:t>
      </w:r>
      <w:r w:rsidRPr="00D74D3B">
        <w:rPr>
          <w:i/>
        </w:rPr>
        <w:t>Acces</w:t>
      </w:r>
      <w:r>
        <w:rPr>
          <w:i/>
        </w:rPr>
        <w:t>s Arrangement Revision Proposal Submission</w:t>
      </w:r>
      <w:r w:rsidRPr="005A7405">
        <w:t>,</w:t>
      </w:r>
      <w:r>
        <w:rPr>
          <w:i/>
        </w:rPr>
        <w:t xml:space="preserve"> </w:t>
      </w:r>
      <w:r w:rsidRPr="005A7405">
        <w:t>August 2015, p. 94</w:t>
      </w:r>
      <w:r>
        <w:t xml:space="preserve"> and APTNT, </w:t>
      </w:r>
      <w:r w:rsidRPr="005A7405">
        <w:rPr>
          <w:rStyle w:val="AERtextitalic"/>
        </w:rPr>
        <w:t>Attachment B-6 Supporting model - Capital expenditure</w:t>
      </w:r>
      <w:r>
        <w:t xml:space="preserve">, </w:t>
      </w:r>
      <w:r w:rsidRPr="00B222AF">
        <w:t>August 2015</w:t>
      </w:r>
      <w:r>
        <w:t>.</w:t>
      </w:r>
    </w:p>
  </w:footnote>
  <w:footnote w:id="46">
    <w:p w:rsidR="00F65E22" w:rsidRDefault="00F65E22" w:rsidP="006C48AF">
      <w:pPr>
        <w:pStyle w:val="FootnoteText"/>
      </w:pPr>
      <w:r>
        <w:rPr>
          <w:rStyle w:val="FootnoteReference"/>
        </w:rPr>
        <w:footnoteRef/>
      </w:r>
      <w:r>
        <w:t xml:space="preserve"> </w:t>
      </w:r>
      <w:r>
        <w:tab/>
        <w:t>NGR, rr. 79(1)(a), 79(2)(c).</w:t>
      </w:r>
    </w:p>
  </w:footnote>
  <w:footnote w:id="47">
    <w:p w:rsidR="00F65E22" w:rsidRDefault="00F65E22" w:rsidP="006C48AF">
      <w:pPr>
        <w:pStyle w:val="FootnoteText"/>
      </w:pPr>
      <w:r>
        <w:rPr>
          <w:rStyle w:val="FootnoteReference"/>
        </w:rPr>
        <w:footnoteRef/>
      </w:r>
      <w:r>
        <w:t xml:space="preserve"> </w:t>
      </w:r>
      <w:r>
        <w:tab/>
        <w:t>With the exception of labour cost escalation as discussed below.</w:t>
      </w:r>
    </w:p>
  </w:footnote>
  <w:footnote w:id="48">
    <w:p w:rsidR="00F65E22" w:rsidRDefault="00F65E22">
      <w:pPr>
        <w:pStyle w:val="FootnoteText"/>
      </w:pPr>
      <w:r>
        <w:rPr>
          <w:rStyle w:val="FootnoteReference"/>
        </w:rPr>
        <w:footnoteRef/>
      </w:r>
      <w:r>
        <w:t xml:space="preserve"> </w:t>
      </w:r>
      <w:r>
        <w:tab/>
        <w:t xml:space="preserve">APTNT, </w:t>
      </w:r>
      <w:r w:rsidRPr="00B16798">
        <w:rPr>
          <w:i/>
        </w:rPr>
        <w:t xml:space="preserve">Access Arrangement </w:t>
      </w:r>
      <w:r>
        <w:rPr>
          <w:i/>
        </w:rPr>
        <w:t>Revision Proposal Submission</w:t>
      </w:r>
      <w:r>
        <w:t xml:space="preserve">, August 2015, p. 64; APTNT, </w:t>
      </w:r>
      <w:r>
        <w:rPr>
          <w:i/>
        </w:rPr>
        <w:t xml:space="preserve">Amadeus Gas Pipeline </w:t>
      </w:r>
      <w:r w:rsidRPr="00EE0C06">
        <w:rPr>
          <w:i/>
        </w:rPr>
        <w:t>Asset Management Plan 2016-2020</w:t>
      </w:r>
      <w:r>
        <w:t>, August 2015, Appendix C Item 15.</w:t>
      </w:r>
    </w:p>
  </w:footnote>
  <w:footnote w:id="49">
    <w:p w:rsidR="00F65E22" w:rsidRDefault="00F65E22">
      <w:pPr>
        <w:pStyle w:val="FootnoteText"/>
      </w:pPr>
      <w:r>
        <w:rPr>
          <w:rStyle w:val="FootnoteReference"/>
        </w:rPr>
        <w:footnoteRef/>
      </w:r>
      <w:r>
        <w:t xml:space="preserve"> </w:t>
      </w:r>
      <w:r>
        <w:tab/>
        <w:t xml:space="preserve">APTNT, </w:t>
      </w:r>
      <w:r>
        <w:rPr>
          <w:i/>
        </w:rPr>
        <w:t xml:space="preserve">Amadeus Gas Pipeline </w:t>
      </w:r>
      <w:r w:rsidRPr="00EE0C06">
        <w:rPr>
          <w:i/>
        </w:rPr>
        <w:t>Asset Management Plan 2016-2020</w:t>
      </w:r>
      <w:r>
        <w:t>, August 2015, p. 5.</w:t>
      </w:r>
    </w:p>
  </w:footnote>
  <w:footnote w:id="50">
    <w:p w:rsidR="00F65E22" w:rsidRDefault="00F65E22">
      <w:pPr>
        <w:pStyle w:val="FootnoteText"/>
      </w:pPr>
      <w:r>
        <w:rPr>
          <w:rStyle w:val="FootnoteReference"/>
        </w:rPr>
        <w:footnoteRef/>
      </w:r>
      <w:r>
        <w:t xml:space="preserve"> </w:t>
      </w:r>
      <w:r>
        <w:tab/>
        <w:t xml:space="preserve">APTNT, </w:t>
      </w:r>
      <w:r w:rsidRPr="00B16798">
        <w:rPr>
          <w:i/>
        </w:rPr>
        <w:t xml:space="preserve">Access Arrangement </w:t>
      </w:r>
      <w:r>
        <w:rPr>
          <w:i/>
        </w:rPr>
        <w:t>Revision Proposal Submission</w:t>
      </w:r>
      <w:r>
        <w:t>, August 2015, pp. 64–65.</w:t>
      </w:r>
    </w:p>
  </w:footnote>
  <w:footnote w:id="51">
    <w:p w:rsidR="00F65E22" w:rsidRDefault="00F65E22" w:rsidP="006C48AF">
      <w:pPr>
        <w:pStyle w:val="FootnoteText"/>
      </w:pPr>
      <w:r>
        <w:rPr>
          <w:rStyle w:val="FootnoteReference"/>
        </w:rPr>
        <w:footnoteRef/>
      </w:r>
      <w:r>
        <w:t xml:space="preserve"> </w:t>
      </w:r>
      <w:r>
        <w:tab/>
        <w:t xml:space="preserve">Sleeman Consulting, </w:t>
      </w:r>
      <w:r w:rsidRPr="00031721">
        <w:rPr>
          <w:rStyle w:val="AERtextitalic"/>
        </w:rPr>
        <w:t>Review of Actual and Forecast Capex for Selected Projects</w:t>
      </w:r>
      <w:r>
        <w:t>, 22 September 2015, pp. 8–10.</w:t>
      </w:r>
    </w:p>
  </w:footnote>
  <w:footnote w:id="52">
    <w:p w:rsidR="00F65E22" w:rsidRDefault="00F65E22" w:rsidP="006C48AF">
      <w:pPr>
        <w:pStyle w:val="FootnoteText"/>
      </w:pPr>
      <w:r>
        <w:rPr>
          <w:rStyle w:val="FootnoteReference"/>
        </w:rPr>
        <w:footnoteRef/>
      </w:r>
      <w:r>
        <w:t xml:space="preserve"> </w:t>
      </w:r>
      <w:r>
        <w:tab/>
        <w:t xml:space="preserve">AER, </w:t>
      </w:r>
      <w:r w:rsidRPr="00A90FA9">
        <w:rPr>
          <w:rStyle w:val="AERtextitalic"/>
        </w:rPr>
        <w:t>Inf</w:t>
      </w:r>
      <w:r>
        <w:rPr>
          <w:rStyle w:val="AERtextitalic"/>
        </w:rPr>
        <w:t>ormation request AER Amadeus 004</w:t>
      </w:r>
      <w:r>
        <w:t>, 21 August 2015.</w:t>
      </w:r>
    </w:p>
  </w:footnote>
  <w:footnote w:id="53">
    <w:p w:rsidR="00F65E22" w:rsidRDefault="00F65E22">
      <w:pPr>
        <w:pStyle w:val="FootnoteText"/>
      </w:pPr>
      <w:r>
        <w:rPr>
          <w:rStyle w:val="FootnoteReference"/>
        </w:rPr>
        <w:footnoteRef/>
      </w:r>
      <w:r>
        <w:t xml:space="preserve"> </w:t>
      </w:r>
      <w:r>
        <w:tab/>
        <w:t xml:space="preserve">APTNT, </w:t>
      </w:r>
      <w:r w:rsidRPr="00151D2B">
        <w:rPr>
          <w:rStyle w:val="AERtextitalic"/>
        </w:rPr>
        <w:t>Response to information request</w:t>
      </w:r>
      <w:r>
        <w:rPr>
          <w:rStyle w:val="AERtextitalic"/>
        </w:rPr>
        <w:t xml:space="preserve"> AER Amadeus 004</w:t>
      </w:r>
      <w:r>
        <w:t>, 31 August 2015, p. 4</w:t>
      </w:r>
    </w:p>
  </w:footnote>
  <w:footnote w:id="54">
    <w:p w:rsidR="00F65E22" w:rsidRDefault="00F65E22" w:rsidP="006C48AF">
      <w:pPr>
        <w:pStyle w:val="FootnoteText"/>
      </w:pPr>
      <w:r>
        <w:rPr>
          <w:rStyle w:val="FootnoteReference"/>
        </w:rPr>
        <w:footnoteRef/>
      </w:r>
      <w:r>
        <w:t xml:space="preserve"> </w:t>
      </w:r>
      <w:r>
        <w:tab/>
        <w:t>Australian Standard AS2885.3 provides that “where a pipeline (or section of a pipeline) is not capable of being inspected by an inline tool, the Licensee shall consider whether the pipeline needs to be modified to permit inspection by an inline inspection tool. Any decision not to undertake modifications for this purpose shall be consistent with the safety management study and the pipeline integrity management plan, and shall be documented.”</w:t>
      </w:r>
    </w:p>
  </w:footnote>
  <w:footnote w:id="55">
    <w:p w:rsidR="00F65E22" w:rsidRDefault="00F65E22" w:rsidP="006C48AF">
      <w:pPr>
        <w:pStyle w:val="FootnoteText"/>
      </w:pPr>
      <w:r>
        <w:rPr>
          <w:rStyle w:val="FootnoteReference"/>
        </w:rPr>
        <w:footnoteRef/>
      </w:r>
      <w:r>
        <w:t xml:space="preserve"> </w:t>
      </w:r>
      <w:r>
        <w:tab/>
        <w:t>NGR, r. 79(1)(a).</w:t>
      </w:r>
    </w:p>
  </w:footnote>
  <w:footnote w:id="56">
    <w:p w:rsidR="00F65E22" w:rsidRDefault="00F65E22">
      <w:pPr>
        <w:pStyle w:val="FootnoteText"/>
      </w:pPr>
      <w:r>
        <w:rPr>
          <w:rStyle w:val="FootnoteReference"/>
        </w:rPr>
        <w:footnoteRef/>
      </w:r>
      <w:r>
        <w:t xml:space="preserve"> </w:t>
      </w:r>
      <w:r>
        <w:tab/>
        <w:t>Excluding labour cost escalation as discussed below.</w:t>
      </w:r>
    </w:p>
  </w:footnote>
  <w:footnote w:id="57">
    <w:p w:rsidR="00F65E22" w:rsidRDefault="00F65E22" w:rsidP="006C48AF">
      <w:pPr>
        <w:pStyle w:val="FootnoteText"/>
      </w:pPr>
      <w:r>
        <w:rPr>
          <w:rStyle w:val="FootnoteReference"/>
        </w:rPr>
        <w:footnoteRef/>
      </w:r>
      <w:r>
        <w:t xml:space="preserve"> </w:t>
      </w:r>
      <w:r>
        <w:tab/>
        <w:t xml:space="preserve">APTNT, </w:t>
      </w:r>
      <w:r w:rsidRPr="00B16798">
        <w:rPr>
          <w:i/>
        </w:rPr>
        <w:t xml:space="preserve">Access Arrangement </w:t>
      </w:r>
      <w:r>
        <w:rPr>
          <w:i/>
        </w:rPr>
        <w:t>Revision Proposal Submission</w:t>
      </w:r>
      <w:r>
        <w:t>, August 2015, p. 86</w:t>
      </w:r>
      <w:r w:rsidRPr="00DE44F6">
        <w:t>.</w:t>
      </w:r>
    </w:p>
  </w:footnote>
  <w:footnote w:id="58">
    <w:p w:rsidR="00F65E22" w:rsidRDefault="00F65E22" w:rsidP="006C48AF">
      <w:pPr>
        <w:pStyle w:val="FootnoteText"/>
      </w:pPr>
      <w:r>
        <w:rPr>
          <w:rStyle w:val="FootnoteReference"/>
        </w:rPr>
        <w:footnoteRef/>
      </w:r>
      <w:r>
        <w:t xml:space="preserve"> </w:t>
      </w:r>
      <w:r>
        <w:tab/>
        <w:t xml:space="preserve">APTNT, </w:t>
      </w:r>
      <w:r>
        <w:rPr>
          <w:i/>
        </w:rPr>
        <w:t xml:space="preserve">Amadeus Gas Pipeline </w:t>
      </w:r>
      <w:r w:rsidRPr="00EE0C06">
        <w:rPr>
          <w:i/>
        </w:rPr>
        <w:t>Asset Management Plan 2016-2020</w:t>
      </w:r>
      <w:r>
        <w:t>, August 2015, Appendix C Item 25.</w:t>
      </w:r>
    </w:p>
  </w:footnote>
  <w:footnote w:id="59">
    <w:p w:rsidR="00F65E22" w:rsidRDefault="00F65E22" w:rsidP="006C48AF">
      <w:pPr>
        <w:pStyle w:val="FootnoteText"/>
      </w:pPr>
      <w:r>
        <w:rPr>
          <w:rStyle w:val="FootnoteReference"/>
        </w:rPr>
        <w:footnoteRef/>
      </w:r>
      <w:r>
        <w:t xml:space="preserve"> </w:t>
      </w:r>
      <w:r>
        <w:tab/>
        <w:t xml:space="preserve">AER, </w:t>
      </w:r>
      <w:r w:rsidRPr="00031721">
        <w:rPr>
          <w:rStyle w:val="AERtextitalic"/>
        </w:rPr>
        <w:t>Information request AER Amadeus 010</w:t>
      </w:r>
      <w:r>
        <w:t>, 28 September 2015.</w:t>
      </w:r>
    </w:p>
  </w:footnote>
  <w:footnote w:id="60">
    <w:p w:rsidR="00F65E22" w:rsidRDefault="00F65E22" w:rsidP="006C48AF">
      <w:pPr>
        <w:pStyle w:val="FootnoteText"/>
      </w:pPr>
      <w:r>
        <w:rPr>
          <w:rStyle w:val="FootnoteReference"/>
        </w:rPr>
        <w:footnoteRef/>
      </w:r>
      <w:r>
        <w:t xml:space="preserve"> </w:t>
      </w:r>
      <w:r>
        <w:tab/>
        <w:t xml:space="preserve">APTNT, </w:t>
      </w:r>
      <w:r w:rsidRPr="00B16798">
        <w:rPr>
          <w:i/>
        </w:rPr>
        <w:t xml:space="preserve">Access Arrangement </w:t>
      </w:r>
      <w:r>
        <w:rPr>
          <w:i/>
        </w:rPr>
        <w:t>Revision Proposal Submission</w:t>
      </w:r>
      <w:r>
        <w:t>, August 2015, p. 86</w:t>
      </w:r>
      <w:r w:rsidRPr="00DE44F6">
        <w:t>.</w:t>
      </w:r>
    </w:p>
  </w:footnote>
  <w:footnote w:id="61">
    <w:p w:rsidR="00F65E22" w:rsidRDefault="00F65E22" w:rsidP="006C48AF">
      <w:pPr>
        <w:pStyle w:val="FootnoteText"/>
      </w:pPr>
      <w:r>
        <w:rPr>
          <w:rStyle w:val="FootnoteReference"/>
        </w:rPr>
        <w:footnoteRef/>
      </w:r>
      <w:r>
        <w:t xml:space="preserve"> </w:t>
      </w:r>
      <w:r>
        <w:tab/>
        <w:t xml:space="preserve">APTNT, </w:t>
      </w:r>
      <w:r w:rsidRPr="00151D2B">
        <w:rPr>
          <w:rStyle w:val="AERtextitalic"/>
        </w:rPr>
        <w:t>Response to information request</w:t>
      </w:r>
      <w:r>
        <w:rPr>
          <w:rStyle w:val="AERtextitalic"/>
        </w:rPr>
        <w:t xml:space="preserve"> AER Amadeus 010</w:t>
      </w:r>
      <w:r>
        <w:t>, 9 October 2015, p. 1.</w:t>
      </w:r>
    </w:p>
  </w:footnote>
  <w:footnote w:id="62">
    <w:p w:rsidR="00F65E22" w:rsidRDefault="00F65E22" w:rsidP="006C48AF">
      <w:pPr>
        <w:pStyle w:val="FootnoteText"/>
      </w:pPr>
      <w:r>
        <w:rPr>
          <w:rStyle w:val="FootnoteReference"/>
        </w:rPr>
        <w:footnoteRef/>
      </w:r>
      <w:r>
        <w:t xml:space="preserve"> </w:t>
      </w:r>
      <w:r>
        <w:tab/>
        <w:t xml:space="preserve">APTNT, </w:t>
      </w:r>
      <w:r w:rsidRPr="00151D2B">
        <w:rPr>
          <w:rStyle w:val="AERtextitalic"/>
        </w:rPr>
        <w:t>Response to information request</w:t>
      </w:r>
      <w:r>
        <w:rPr>
          <w:rStyle w:val="AERtextitalic"/>
        </w:rPr>
        <w:t xml:space="preserve"> AER Amadeus 010</w:t>
      </w:r>
      <w:r>
        <w:t>, 9 October 2015, p. 1.</w:t>
      </w:r>
    </w:p>
  </w:footnote>
  <w:footnote w:id="63">
    <w:p w:rsidR="00F65E22" w:rsidRDefault="00F65E22">
      <w:pPr>
        <w:pStyle w:val="FootnoteText"/>
      </w:pPr>
      <w:r>
        <w:rPr>
          <w:rStyle w:val="FootnoteReference"/>
        </w:rPr>
        <w:footnoteRef/>
      </w:r>
      <w:r>
        <w:t xml:space="preserve"> </w:t>
      </w:r>
      <w:r>
        <w:tab/>
        <w:t xml:space="preserve">For example, Ergon Energy, </w:t>
      </w:r>
      <w:r w:rsidRPr="00AB1037">
        <w:rPr>
          <w:rStyle w:val="AERtextitalic"/>
        </w:rPr>
        <w:t>Fleet asset management strategy 2015-2020</w:t>
      </w:r>
      <w:r>
        <w:t>, May 2015.</w:t>
      </w:r>
    </w:p>
  </w:footnote>
  <w:footnote w:id="64">
    <w:p w:rsidR="00F65E22" w:rsidRDefault="00F65E22" w:rsidP="006C48AF">
      <w:pPr>
        <w:pStyle w:val="FootnoteText"/>
      </w:pPr>
      <w:r>
        <w:rPr>
          <w:rStyle w:val="FootnoteReference"/>
        </w:rPr>
        <w:footnoteRef/>
      </w:r>
      <w:r>
        <w:t xml:space="preserve"> </w:t>
      </w:r>
      <w:r>
        <w:tab/>
        <w:t xml:space="preserve">APTNT, </w:t>
      </w:r>
      <w:r w:rsidRPr="00151D2B">
        <w:rPr>
          <w:rStyle w:val="AERtextitalic"/>
        </w:rPr>
        <w:t>Response to information request</w:t>
      </w:r>
      <w:r>
        <w:rPr>
          <w:rStyle w:val="AERtextitalic"/>
        </w:rPr>
        <w:t xml:space="preserve"> AER Amadeus 010</w:t>
      </w:r>
      <w:r>
        <w:t>, 9 October 2015, p. 2.</w:t>
      </w:r>
    </w:p>
  </w:footnote>
  <w:footnote w:id="65">
    <w:p w:rsidR="00F65E22" w:rsidRDefault="00F65E22" w:rsidP="006C48AF">
      <w:pPr>
        <w:pStyle w:val="FootnoteText"/>
      </w:pPr>
      <w:r>
        <w:rPr>
          <w:rStyle w:val="FootnoteReference"/>
        </w:rPr>
        <w:footnoteRef/>
      </w:r>
      <w:r>
        <w:t xml:space="preserve"> </w:t>
      </w:r>
      <w:r>
        <w:tab/>
        <w:t xml:space="preserve">APTNT, </w:t>
      </w:r>
      <w:r w:rsidRPr="00151D2B">
        <w:rPr>
          <w:rStyle w:val="AERtextitalic"/>
        </w:rPr>
        <w:t>Response to information request</w:t>
      </w:r>
      <w:r>
        <w:rPr>
          <w:rStyle w:val="AERtextitalic"/>
        </w:rPr>
        <w:t xml:space="preserve"> AER Amadeus 010</w:t>
      </w:r>
      <w:r>
        <w:t>, 9 October 2015, pp. 2</w:t>
      </w:r>
      <w:r>
        <w:noBreakHyphen/>
        <w:t>3.</w:t>
      </w:r>
    </w:p>
  </w:footnote>
  <w:footnote w:id="66">
    <w:p w:rsidR="00F65E22" w:rsidRDefault="00F65E22" w:rsidP="006C48AF">
      <w:pPr>
        <w:pStyle w:val="FootnoteText"/>
      </w:pPr>
      <w:r>
        <w:rPr>
          <w:rStyle w:val="FootnoteReference"/>
        </w:rPr>
        <w:footnoteRef/>
      </w:r>
      <w:r>
        <w:t xml:space="preserve"> </w:t>
      </w:r>
      <w:r>
        <w:tab/>
        <w:t xml:space="preserve">APTNT, </w:t>
      </w:r>
      <w:r w:rsidRPr="00151D2B">
        <w:rPr>
          <w:rStyle w:val="AERtextitalic"/>
        </w:rPr>
        <w:t>Response to information request</w:t>
      </w:r>
      <w:r>
        <w:rPr>
          <w:rStyle w:val="AERtextitalic"/>
        </w:rPr>
        <w:t xml:space="preserve"> AER Amadeus 010</w:t>
      </w:r>
      <w:r>
        <w:t>, 9 October 2015, p. 2.</w:t>
      </w:r>
    </w:p>
  </w:footnote>
  <w:footnote w:id="67">
    <w:p w:rsidR="00F65E22" w:rsidRDefault="00F65E22" w:rsidP="006C48AF">
      <w:pPr>
        <w:pStyle w:val="FootnoteText"/>
      </w:pPr>
      <w:r>
        <w:rPr>
          <w:rStyle w:val="FootnoteReference"/>
        </w:rPr>
        <w:footnoteRef/>
      </w:r>
      <w:r>
        <w:t xml:space="preserve"> </w:t>
      </w:r>
      <w:r>
        <w:tab/>
        <w:t>NGR, r. 79(1)(a).</w:t>
      </w:r>
    </w:p>
  </w:footnote>
  <w:footnote w:id="68">
    <w:p w:rsidR="00F65E22" w:rsidRDefault="00F65E22" w:rsidP="006C48AF">
      <w:pPr>
        <w:pStyle w:val="FootnoteText"/>
      </w:pPr>
      <w:r>
        <w:rPr>
          <w:rStyle w:val="FootnoteReference"/>
        </w:rPr>
        <w:footnoteRef/>
      </w:r>
      <w:r>
        <w:t xml:space="preserve"> </w:t>
      </w:r>
      <w:r>
        <w:tab/>
        <w:t xml:space="preserve">AER, </w:t>
      </w:r>
      <w:r w:rsidRPr="002F1913">
        <w:rPr>
          <w:rStyle w:val="AERtextitalic"/>
        </w:rPr>
        <w:t>Infor</w:t>
      </w:r>
      <w:r>
        <w:rPr>
          <w:rStyle w:val="AERtextitalic"/>
        </w:rPr>
        <w:t>mation request AER Amadeus 010</w:t>
      </w:r>
      <w:r>
        <w:t>, 28 September 2015.</w:t>
      </w:r>
    </w:p>
  </w:footnote>
  <w:footnote w:id="69">
    <w:p w:rsidR="00F65E22" w:rsidRDefault="00F65E22" w:rsidP="006C48AF">
      <w:pPr>
        <w:pStyle w:val="FootnoteText"/>
      </w:pPr>
      <w:r>
        <w:rPr>
          <w:rStyle w:val="FootnoteReference"/>
        </w:rPr>
        <w:footnoteRef/>
      </w:r>
      <w:r>
        <w:t xml:space="preserve"> </w:t>
      </w:r>
      <w:r>
        <w:tab/>
        <w:t xml:space="preserve">APTNT, </w:t>
      </w:r>
      <w:r w:rsidRPr="00151D2B">
        <w:rPr>
          <w:rStyle w:val="AERtextitalic"/>
        </w:rPr>
        <w:t>Response to information request</w:t>
      </w:r>
      <w:r>
        <w:rPr>
          <w:rStyle w:val="AERtextitalic"/>
        </w:rPr>
        <w:t xml:space="preserve"> AER Amadeus 010</w:t>
      </w:r>
      <w:r>
        <w:t>, 9 October 2015.</w:t>
      </w:r>
    </w:p>
  </w:footnote>
  <w:footnote w:id="70">
    <w:p w:rsidR="00F65E22" w:rsidRDefault="00F65E22" w:rsidP="006C48AF">
      <w:pPr>
        <w:pStyle w:val="FootnoteText"/>
      </w:pPr>
      <w:r>
        <w:rPr>
          <w:rStyle w:val="FootnoteReference"/>
        </w:rPr>
        <w:footnoteRef/>
      </w:r>
      <w:r>
        <w:t xml:space="preserve"> </w:t>
      </w:r>
      <w:r>
        <w:tab/>
        <w:t xml:space="preserve">APTNT, </w:t>
      </w:r>
      <w:r w:rsidRPr="00031721">
        <w:rPr>
          <w:rStyle w:val="AERtextitalic"/>
        </w:rPr>
        <w:t xml:space="preserve">Access arrangement revision </w:t>
      </w:r>
      <w:r>
        <w:rPr>
          <w:rStyle w:val="AERtextitalic"/>
        </w:rPr>
        <w:t xml:space="preserve">proposal </w:t>
      </w:r>
      <w:r w:rsidRPr="00031721">
        <w:rPr>
          <w:rStyle w:val="AERtextitalic"/>
        </w:rPr>
        <w:t>submission</w:t>
      </w:r>
      <w:r>
        <w:t>, August 2015, pp. 86</w:t>
      </w:r>
      <w:r>
        <w:noBreakHyphen/>
        <w:t>87.</w:t>
      </w:r>
    </w:p>
  </w:footnote>
  <w:footnote w:id="71">
    <w:p w:rsidR="00F65E22" w:rsidRDefault="00F65E22" w:rsidP="006C48AF">
      <w:pPr>
        <w:pStyle w:val="FootnoteText"/>
      </w:pPr>
      <w:r>
        <w:rPr>
          <w:rStyle w:val="FootnoteReference"/>
        </w:rPr>
        <w:footnoteRef/>
      </w:r>
      <w:r>
        <w:t xml:space="preserve"> </w:t>
      </w:r>
      <w:r>
        <w:tab/>
        <w:t xml:space="preserve">APTNT, </w:t>
      </w:r>
      <w:r>
        <w:rPr>
          <w:rStyle w:val="AERtextitalic"/>
        </w:rPr>
        <w:t>Business case – Palmerston office facility building</w:t>
      </w:r>
      <w:r>
        <w:t>, October 2015, p. 2.</w:t>
      </w:r>
    </w:p>
  </w:footnote>
  <w:footnote w:id="72">
    <w:p w:rsidR="00F65E22" w:rsidRDefault="00F65E22" w:rsidP="006C48AF">
      <w:pPr>
        <w:pStyle w:val="FootnoteText"/>
      </w:pPr>
      <w:r>
        <w:rPr>
          <w:rStyle w:val="FootnoteReference"/>
        </w:rPr>
        <w:footnoteRef/>
      </w:r>
      <w:r>
        <w:t xml:space="preserve"> </w:t>
      </w:r>
      <w:r>
        <w:tab/>
        <w:t xml:space="preserve">APTNT, </w:t>
      </w:r>
      <w:r>
        <w:rPr>
          <w:rStyle w:val="AERtextitalic"/>
        </w:rPr>
        <w:t>Business case – Palmerston office facility building</w:t>
      </w:r>
      <w:r>
        <w:t>, October 2015, p. 6.</w:t>
      </w:r>
    </w:p>
  </w:footnote>
  <w:footnote w:id="73">
    <w:p w:rsidR="00F65E22" w:rsidRDefault="00F65E22" w:rsidP="006C48AF">
      <w:pPr>
        <w:pStyle w:val="FootnoteText"/>
      </w:pPr>
      <w:r>
        <w:rPr>
          <w:rStyle w:val="FootnoteReference"/>
        </w:rPr>
        <w:footnoteRef/>
      </w:r>
      <w:r>
        <w:t xml:space="preserve"> </w:t>
      </w:r>
      <w:r>
        <w:tab/>
        <w:t xml:space="preserve">APTNT, </w:t>
      </w:r>
      <w:r w:rsidRPr="00A90FA9">
        <w:rPr>
          <w:rStyle w:val="AERtextitalic"/>
        </w:rPr>
        <w:t xml:space="preserve">Access arrangement revision </w:t>
      </w:r>
      <w:r>
        <w:rPr>
          <w:rStyle w:val="AERtextitalic"/>
        </w:rPr>
        <w:t xml:space="preserve">proposal </w:t>
      </w:r>
      <w:r w:rsidRPr="00A90FA9">
        <w:rPr>
          <w:rStyle w:val="AERtextitalic"/>
        </w:rPr>
        <w:t>submission</w:t>
      </w:r>
      <w:r>
        <w:t>, August 2015, pp. 86</w:t>
      </w:r>
      <w:r>
        <w:noBreakHyphen/>
        <w:t xml:space="preserve">87; and APTNT, </w:t>
      </w:r>
      <w:r w:rsidRPr="00031721">
        <w:rPr>
          <w:rStyle w:val="AERtextitalic"/>
        </w:rPr>
        <w:t>Amadeus Gas Pipeline Asset Management Plan 2016–2020</w:t>
      </w:r>
      <w:r>
        <w:t>, 27 July 2015, Appendix C - Item 26.</w:t>
      </w:r>
    </w:p>
  </w:footnote>
  <w:footnote w:id="74">
    <w:p w:rsidR="00F65E22" w:rsidRDefault="00F65E22" w:rsidP="006C48AF">
      <w:pPr>
        <w:pStyle w:val="FootnoteText"/>
      </w:pPr>
      <w:r>
        <w:rPr>
          <w:rStyle w:val="FootnoteReference"/>
        </w:rPr>
        <w:footnoteRef/>
      </w:r>
      <w:r>
        <w:t xml:space="preserve"> </w:t>
      </w:r>
      <w:r>
        <w:tab/>
        <w:t xml:space="preserve">AER, </w:t>
      </w:r>
      <w:r>
        <w:rPr>
          <w:rStyle w:val="AERtextitalic"/>
        </w:rPr>
        <w:t>Information request AER Amadeus</w:t>
      </w:r>
      <w:r w:rsidRPr="004F30AB">
        <w:rPr>
          <w:rStyle w:val="AERtextitalic"/>
        </w:rPr>
        <w:t xml:space="preserve"> </w:t>
      </w:r>
      <w:r>
        <w:rPr>
          <w:rStyle w:val="AERtextitalic"/>
        </w:rPr>
        <w:t>010</w:t>
      </w:r>
      <w:r>
        <w:t>, 28 September 2015.</w:t>
      </w:r>
    </w:p>
  </w:footnote>
  <w:footnote w:id="75">
    <w:p w:rsidR="00F65E22" w:rsidRDefault="00F65E22">
      <w:pPr>
        <w:pStyle w:val="FootnoteText"/>
      </w:pPr>
      <w:r>
        <w:rPr>
          <w:rStyle w:val="FootnoteReference"/>
        </w:rPr>
        <w:footnoteRef/>
      </w:r>
      <w:r>
        <w:t xml:space="preserve"> </w:t>
      </w:r>
      <w:r>
        <w:tab/>
        <w:t xml:space="preserve">APTNT, </w:t>
      </w:r>
      <w:r>
        <w:rPr>
          <w:rStyle w:val="AERtextitalic"/>
        </w:rPr>
        <w:t>Business case – Palmerston office facility building</w:t>
      </w:r>
      <w:r>
        <w:t>, October 2015.</w:t>
      </w:r>
    </w:p>
  </w:footnote>
  <w:footnote w:id="76">
    <w:p w:rsidR="00F65E22" w:rsidRDefault="00F65E22" w:rsidP="006C48AF">
      <w:pPr>
        <w:pStyle w:val="FootnoteText"/>
      </w:pPr>
      <w:r>
        <w:rPr>
          <w:rStyle w:val="FootnoteReference"/>
        </w:rPr>
        <w:footnoteRef/>
      </w:r>
      <w:r>
        <w:t xml:space="preserve"> </w:t>
      </w:r>
      <w:r>
        <w:tab/>
        <w:t xml:space="preserve">APTNT, </w:t>
      </w:r>
      <w:r>
        <w:rPr>
          <w:rStyle w:val="AERtextitalic"/>
        </w:rPr>
        <w:t>Business case – Palmerston office facility building</w:t>
      </w:r>
      <w:r>
        <w:t>, October 2015, pp. 4</w:t>
      </w:r>
      <w:r>
        <w:noBreakHyphen/>
        <w:t>5.</w:t>
      </w:r>
    </w:p>
  </w:footnote>
  <w:footnote w:id="77">
    <w:p w:rsidR="00F65E22" w:rsidRDefault="00F65E22">
      <w:pPr>
        <w:pStyle w:val="FootnoteText"/>
      </w:pPr>
      <w:r>
        <w:rPr>
          <w:rStyle w:val="FootnoteReference"/>
        </w:rPr>
        <w:footnoteRef/>
      </w:r>
      <w:r>
        <w:t xml:space="preserve"> </w:t>
      </w:r>
      <w:r>
        <w:tab/>
        <w:t>NGR, r. 79(1)(a).</w:t>
      </w:r>
    </w:p>
  </w:footnote>
  <w:footnote w:id="78">
    <w:p w:rsidR="00F65E22" w:rsidRDefault="00F65E22" w:rsidP="006C48AF">
      <w:pPr>
        <w:pStyle w:val="FootnoteText"/>
      </w:pPr>
      <w:r>
        <w:rPr>
          <w:rStyle w:val="FootnoteReference"/>
        </w:rPr>
        <w:footnoteRef/>
      </w:r>
      <w:r>
        <w:t xml:space="preserve"> </w:t>
      </w:r>
      <w:r>
        <w:tab/>
        <w:t xml:space="preserve">APTNT, </w:t>
      </w:r>
      <w:r w:rsidRPr="00151D2B">
        <w:rPr>
          <w:rStyle w:val="AERtextitalic"/>
        </w:rPr>
        <w:t>Response to information request</w:t>
      </w:r>
      <w:r>
        <w:rPr>
          <w:rStyle w:val="AERtextitalic"/>
        </w:rPr>
        <w:t xml:space="preserve"> AER Amadeus 010</w:t>
      </w:r>
      <w:r>
        <w:t>, 9 October 2015, p. 3.</w:t>
      </w:r>
    </w:p>
  </w:footnote>
  <w:footnote w:id="79">
    <w:p w:rsidR="00F65E22" w:rsidRPr="0001272B" w:rsidRDefault="00F65E22" w:rsidP="006C48AF">
      <w:pPr>
        <w:pStyle w:val="FootnoteText"/>
        <w:rPr>
          <w:i/>
        </w:rPr>
      </w:pPr>
      <w:r>
        <w:rPr>
          <w:rStyle w:val="FootnoteReference"/>
        </w:rPr>
        <w:footnoteRef/>
      </w:r>
      <w:r>
        <w:t xml:space="preserve"> </w:t>
      </w:r>
      <w:r>
        <w:tab/>
        <w:t xml:space="preserve">APTNT, </w:t>
      </w:r>
      <w:r w:rsidRPr="00031721">
        <w:rPr>
          <w:i/>
        </w:rPr>
        <w:t>Access Arrangement Revision Proposal Submission</w:t>
      </w:r>
      <w:r w:rsidRPr="0001272B">
        <w:t>, August 2015, pp. 84</w:t>
      </w:r>
      <w:r>
        <w:t>–</w:t>
      </w:r>
      <w:r w:rsidRPr="0001272B">
        <w:t>85.</w:t>
      </w:r>
    </w:p>
  </w:footnote>
  <w:footnote w:id="80">
    <w:p w:rsidR="00F65E22" w:rsidRDefault="00F65E22" w:rsidP="006C48AF">
      <w:pPr>
        <w:pStyle w:val="FootnoteText"/>
      </w:pPr>
      <w:r>
        <w:rPr>
          <w:rStyle w:val="FootnoteReference"/>
        </w:rPr>
        <w:footnoteRef/>
      </w:r>
      <w:r>
        <w:t xml:space="preserve"> </w:t>
      </w:r>
      <w:r>
        <w:tab/>
        <w:t xml:space="preserve">APTNT, </w:t>
      </w:r>
      <w:r w:rsidRPr="00031721">
        <w:rPr>
          <w:i/>
        </w:rPr>
        <w:t>Access Arrangement Revision Proposal Submission</w:t>
      </w:r>
      <w:r w:rsidRPr="0001272B">
        <w:t>, August 2015, p</w:t>
      </w:r>
      <w:r>
        <w:t>. 83.</w:t>
      </w:r>
    </w:p>
  </w:footnote>
  <w:footnote w:id="81">
    <w:p w:rsidR="00F65E22" w:rsidRDefault="00F65E22" w:rsidP="006C48AF">
      <w:pPr>
        <w:pStyle w:val="FootnoteText"/>
      </w:pPr>
      <w:r>
        <w:rPr>
          <w:rStyle w:val="FootnoteReference"/>
        </w:rPr>
        <w:footnoteRef/>
      </w:r>
      <w:r>
        <w:t xml:space="preserve"> </w:t>
      </w:r>
      <w:r>
        <w:tab/>
        <w:t xml:space="preserve">APTNT, </w:t>
      </w:r>
      <w:r w:rsidRPr="00031721">
        <w:rPr>
          <w:i/>
        </w:rPr>
        <w:t>Access Arrangement Revision Proposal Submission</w:t>
      </w:r>
      <w:r w:rsidRPr="0001272B">
        <w:t>, August 2015, p</w:t>
      </w:r>
      <w:r>
        <w:t>. 87.</w:t>
      </w:r>
    </w:p>
  </w:footnote>
  <w:footnote w:id="82">
    <w:p w:rsidR="00F65E22" w:rsidRDefault="00F65E22">
      <w:pPr>
        <w:pStyle w:val="FootnoteText"/>
      </w:pPr>
      <w:r>
        <w:rPr>
          <w:rStyle w:val="FootnoteReference"/>
        </w:rPr>
        <w:footnoteRef/>
      </w:r>
      <w:r>
        <w:t xml:space="preserve"> </w:t>
      </w:r>
      <w:r>
        <w:tab/>
        <w:t>Excluding labour cost escalation as discussed below.</w:t>
      </w:r>
    </w:p>
  </w:footnote>
  <w:footnote w:id="83">
    <w:p w:rsidR="00F65E22" w:rsidRDefault="00F65E22" w:rsidP="006C48AF">
      <w:pPr>
        <w:pStyle w:val="FootnoteText"/>
      </w:pPr>
      <w:r>
        <w:rPr>
          <w:rStyle w:val="FootnoteReference"/>
        </w:rPr>
        <w:footnoteRef/>
      </w:r>
      <w:r>
        <w:t xml:space="preserve"> </w:t>
      </w:r>
      <w:r>
        <w:tab/>
        <w:t xml:space="preserve">APTNT, </w:t>
      </w:r>
      <w:r w:rsidRPr="00031721">
        <w:rPr>
          <w:i/>
        </w:rPr>
        <w:t>Amadeus Gas Pipeline Access Arrangement Revision Proposal Submission</w:t>
      </w:r>
      <w:r w:rsidRPr="0001272B">
        <w:t>, August 2015, p</w:t>
      </w:r>
      <w:r>
        <w:t>. 83.</w:t>
      </w:r>
    </w:p>
  </w:footnote>
  <w:footnote w:id="84">
    <w:p w:rsidR="00F65E22" w:rsidRPr="00031721" w:rsidRDefault="00F65E22" w:rsidP="006C48AF">
      <w:pPr>
        <w:pStyle w:val="FootnoteText"/>
      </w:pPr>
      <w:r>
        <w:rPr>
          <w:rStyle w:val="FootnoteReference"/>
        </w:rPr>
        <w:footnoteRef/>
      </w:r>
      <w:r>
        <w:t xml:space="preserve"> </w:t>
      </w:r>
      <w:r>
        <w:tab/>
        <w:t xml:space="preserve">APTNT, </w:t>
      </w:r>
      <w:r w:rsidRPr="00031721">
        <w:rPr>
          <w:i/>
        </w:rPr>
        <w:t>Amadeus Gas Pipeline – C-2 IT AM01 Applications Renewal Program – August 2015</w:t>
      </w:r>
      <w:r w:rsidRPr="00031721">
        <w:t>, August 2015 and</w:t>
      </w:r>
      <w:r>
        <w:rPr>
          <w:i/>
        </w:rPr>
        <w:t xml:space="preserve"> </w:t>
      </w:r>
      <w:r>
        <w:t xml:space="preserve">APTNT, </w:t>
      </w:r>
      <w:r w:rsidRPr="00031721">
        <w:rPr>
          <w:i/>
        </w:rPr>
        <w:t>Amadeus Gas Pipeline – C-3 IT AM03 Infrastructure Renewal Program – August 2015</w:t>
      </w:r>
      <w:r w:rsidRPr="00031721">
        <w:t>, August 2015.</w:t>
      </w:r>
    </w:p>
  </w:footnote>
  <w:footnote w:id="85">
    <w:p w:rsidR="00F65E22" w:rsidRPr="00031721" w:rsidRDefault="00F65E22" w:rsidP="006C48AF">
      <w:pPr>
        <w:pStyle w:val="FootnoteText"/>
      </w:pPr>
      <w:r>
        <w:rPr>
          <w:rStyle w:val="FootnoteReference"/>
        </w:rPr>
        <w:footnoteRef/>
      </w:r>
      <w:r>
        <w:t xml:space="preserve"> </w:t>
      </w:r>
      <w:r>
        <w:tab/>
        <w:t xml:space="preserve">APTNT, </w:t>
      </w:r>
      <w:r w:rsidRPr="00031721">
        <w:rPr>
          <w:i/>
        </w:rPr>
        <w:t>Amadeus Gas Pipeline – C-2 IT AM01 Applications Renewal Program – August 2015</w:t>
      </w:r>
      <w:r w:rsidRPr="00031721">
        <w:t xml:space="preserve">, August 2015, p. 9 and APTNT, </w:t>
      </w:r>
      <w:r w:rsidRPr="00031721">
        <w:rPr>
          <w:i/>
        </w:rPr>
        <w:t>Amadeus Gas Pipeline – C-3 IT AM03 Infrastructure Renewal Program – August 2015</w:t>
      </w:r>
      <w:r w:rsidRPr="00031721">
        <w:t>, August 2015, p. 8.</w:t>
      </w:r>
    </w:p>
  </w:footnote>
  <w:footnote w:id="86">
    <w:p w:rsidR="00F65E22" w:rsidRDefault="00F65E22" w:rsidP="006C48AF">
      <w:pPr>
        <w:pStyle w:val="FootnoteText"/>
      </w:pPr>
      <w:r>
        <w:rPr>
          <w:rStyle w:val="FootnoteReference"/>
        </w:rPr>
        <w:footnoteRef/>
      </w:r>
      <w:r>
        <w:t xml:space="preserve"> </w:t>
      </w:r>
      <w:r>
        <w:tab/>
        <w:t>NGR, r. 74(2).</w:t>
      </w:r>
    </w:p>
  </w:footnote>
  <w:footnote w:id="87">
    <w:p w:rsidR="00F65E22" w:rsidRDefault="00F65E22" w:rsidP="006C48AF">
      <w:pPr>
        <w:pStyle w:val="FootnoteText"/>
      </w:pPr>
      <w:r>
        <w:rPr>
          <w:rStyle w:val="FootnoteReference"/>
        </w:rPr>
        <w:footnoteRef/>
      </w:r>
      <w:r>
        <w:t xml:space="preserve"> </w:t>
      </w:r>
      <w:r>
        <w:tab/>
        <w:t>NGR, r. 79(1).</w:t>
      </w:r>
    </w:p>
  </w:footnote>
  <w:footnote w:id="88">
    <w:p w:rsidR="00F65E22" w:rsidRDefault="00F65E22" w:rsidP="006C48AF">
      <w:pPr>
        <w:pStyle w:val="FootnoteText"/>
      </w:pPr>
      <w:r>
        <w:rPr>
          <w:rStyle w:val="FootnoteReference"/>
        </w:rPr>
        <w:footnoteRef/>
      </w:r>
      <w:r>
        <w:t xml:space="preserve"> </w:t>
      </w:r>
      <w:r>
        <w:tab/>
        <w:t>NGR, r. 79(2)(c).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E22" w:rsidRDefault="0048171E">
    <w:pPr>
      <w:pStyle w:val="Header"/>
      <w:jc w:val="right"/>
    </w:pPr>
    <w:r>
      <w:rPr>
        <w:noProof/>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left:0;text-align:left;margin-left:0;margin-top:0;width:608.75pt;height:110.65pt;rotation:315;z-index:-251645952;mso-position-horizontal:center;mso-position-horizontal-relative:margin;mso-position-vertical:center;mso-position-vertical-relative:margin" o:allowincell="f" fillcolor="red" stroked="f">
          <v:fill opacity=".5"/>
          <v:textpath style="font-family:&quot;Arial&quot;;font-size:1pt" string="WITHDRAWN"/>
          <w10:wrap anchorx="margin" anchory="margin"/>
        </v:shape>
      </w:pict>
    </w:r>
    <w:r>
      <w:rPr>
        <w:noProof/>
        <w:lang w:val="en-US"/>
      </w:rPr>
      <w:pict>
        <v:shape id="_x0000_s2058" type="#_x0000_t136" style="position:absolute;left:0;text-align:left;margin-left:0;margin-top:0;width:485.65pt;height:194.25pt;rotation:315;z-index:-251648000;mso-position-horizontal:center;mso-position-horizontal-relative:margin;mso-position-vertical:center;mso-position-vertical-relative:margin" wrapcoords="21300 2419 14000 2502 13967 2836 14600 4587 14567 8256 12300 3669 11467 2002 10467 9341 7800 3336 7167 2168 7000 2585 5467 2419 4833 2502 4833 2752 5433 6171 5433 8006 3700 3753 2700 2002 2500 2585 933 2419 167 2419 67 2585 333 4086 700 5588 667 15012 433 16263 100 16429 67 16680 167 16930 2233 17013 2867 16680 3367 16096 3800 15262 4067 15929 5133 17180 5233 17013 6833 16930 6700 16179 6133 13594 6433 14261 8167 17097 10633 16930 10533 16012 10233 14344 10400 12927 11633 16012 12567 17597 12800 17013 15967 16930 15867 16346 15300 13844 15300 10008 15600 10842 18767 17013 20300 16930 20533 16846 20533 16429 19933 14094 19933 4670 20233 3586 21333 5921 21433 6088 21400 2752 21300 2419" fillcolor="#999" stroked="f">
          <v:fill opacity=".5"/>
          <v:textpath style="font-family:&quot;Times New Roman&quot;;font-size:1pt" string="DRAFT"/>
          <w10:wrap anchorx="margin" anchory="margin"/>
        </v:shape>
      </w:pict>
    </w:r>
    <w:r w:rsidR="00F65E22">
      <w:t>January 2005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7261" w:rsidRDefault="0048726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5E22" w:rsidRDefault="0048171E">
    <w:pPr>
      <w:pStyle w:val="Header"/>
    </w:pPr>
    <w:r>
      <w:rPr>
        <w:noProof/>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608.75pt;height:110.65pt;rotation:315;z-index:-251646976;mso-position-horizontal:center;mso-position-horizontal-relative:margin;mso-position-vertical:center;mso-position-vertical-relative:margin" o:allowincell="f" fillcolor="red" stroked="f">
          <v:fill opacity=".5"/>
          <v:textpath style="font-family:&quot;Arial&quot;;font-size:1pt" string="WITHDRAWN"/>
          <w10:wrap anchorx="margin" anchory="margin"/>
        </v:shape>
      </w:pict>
    </w:r>
    <w:r>
      <w:rPr>
        <w:noProof/>
        <w:lang w:val="en-US"/>
      </w:rPr>
      <w:pict>
        <v:shape id="_x0000_s2057" type="#_x0000_t136" style="position:absolute;margin-left:0;margin-top:0;width:485.65pt;height:194.25pt;rotation:315;z-index:-251649024;mso-position-horizontal:center;mso-position-horizontal-relative:margin;mso-position-vertical:center;mso-position-vertical-relative:margin" wrapcoords="21300 2419 14000 2502 13967 2836 14600 4587 14567 8256 12300 3669 11467 2002 10467 9341 7800 3336 7167 2168 7000 2585 5467 2419 4833 2502 4833 2752 5433 6171 5433 8006 3700 3753 2700 2002 2500 2585 933 2419 167 2419 67 2585 333 4086 700 5588 667 15012 433 16263 100 16429 67 16680 167 16930 2233 17013 2867 16680 3367 16096 3800 15262 4067 15929 5133 17180 5233 17013 6833 16930 6700 16179 6133 13594 6433 14261 8167 17097 10633 16930 10533 16012 10233 14344 10400 12927 11633 16012 12567 17597 12800 17013 15967 16930 15867 16346 15300 13844 15300 10008 15600 10842 18767 17013 20300 16930 20533 16846 20533 16429 19933 14094 19933 4670 20233 3586 21333 5921 21433 6088 21400 2752 21300 2419" fillcolor="#999"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0E8D0B0"/>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56075B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7D84C18C"/>
    <w:lvl w:ilvl="0">
      <w:start w:val="1"/>
      <w:numFmt w:val="decimal"/>
      <w:pStyle w:val="ListNumber3"/>
      <w:lvlText w:val="%1."/>
      <w:lvlJc w:val="left"/>
      <w:pPr>
        <w:tabs>
          <w:tab w:val="num" w:pos="1021"/>
        </w:tabs>
        <w:ind w:left="1021" w:hanging="341"/>
      </w:pPr>
      <w:rPr>
        <w:rFonts w:hint="default"/>
      </w:rPr>
    </w:lvl>
  </w:abstractNum>
  <w:abstractNum w:abstractNumId="3">
    <w:nsid w:val="FFFFFF7F"/>
    <w:multiLevelType w:val="singleLevel"/>
    <w:tmpl w:val="C9043968"/>
    <w:lvl w:ilvl="0">
      <w:start w:val="1"/>
      <w:numFmt w:val="decimal"/>
      <w:pStyle w:val="ListNumber2"/>
      <w:lvlText w:val="%1."/>
      <w:lvlJc w:val="left"/>
      <w:pPr>
        <w:ind w:left="700" w:hanging="360"/>
      </w:pPr>
    </w:lvl>
  </w:abstractNum>
  <w:abstractNum w:abstractNumId="4">
    <w:nsid w:val="FFFFFF80"/>
    <w:multiLevelType w:val="singleLevel"/>
    <w:tmpl w:val="E38619F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3BE8B6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C6AE9A80"/>
    <w:lvl w:ilvl="0">
      <w:start w:val="1"/>
      <w:numFmt w:val="upperLetter"/>
      <w:pStyle w:val="ListBullet3"/>
      <w:lvlText w:val="(%1)"/>
      <w:lvlJc w:val="left"/>
      <w:pPr>
        <w:ind w:left="720" w:hanging="360"/>
      </w:pPr>
      <w:rPr>
        <w:rFonts w:hint="default"/>
      </w:rPr>
    </w:lvl>
  </w:abstractNum>
  <w:abstractNum w:abstractNumId="7">
    <w:nsid w:val="FFFFFF83"/>
    <w:multiLevelType w:val="singleLevel"/>
    <w:tmpl w:val="72802F94"/>
    <w:lvl w:ilvl="0">
      <w:start w:val="1"/>
      <w:numFmt w:val="lowerLetter"/>
      <w:pStyle w:val="ListBullet2"/>
      <w:lvlText w:val="(%1)"/>
      <w:lvlJc w:val="left"/>
      <w:pPr>
        <w:ind w:left="700" w:hanging="360"/>
      </w:pPr>
      <w:rPr>
        <w:rFonts w:hint="default"/>
      </w:rPr>
    </w:lvl>
  </w:abstractNum>
  <w:abstractNum w:abstractNumId="8">
    <w:nsid w:val="FFFFFF88"/>
    <w:multiLevelType w:val="singleLevel"/>
    <w:tmpl w:val="F0E083E8"/>
    <w:lvl w:ilvl="0">
      <w:start w:val="1"/>
      <w:numFmt w:val="decimal"/>
      <w:pStyle w:val="ListNumber"/>
      <w:lvlText w:val="%1."/>
      <w:lvlJc w:val="left"/>
      <w:pPr>
        <w:tabs>
          <w:tab w:val="num" w:pos="360"/>
        </w:tabs>
        <w:ind w:left="360" w:hanging="360"/>
      </w:pPr>
    </w:lvl>
  </w:abstractNum>
  <w:abstractNum w:abstractNumId="9">
    <w:nsid w:val="031C7FA6"/>
    <w:multiLevelType w:val="hybridMultilevel"/>
    <w:tmpl w:val="1A7E9E04"/>
    <w:lvl w:ilvl="0" w:tplc="A356B254">
      <w:start w:val="1"/>
      <w:numFmt w:val="bullet"/>
      <w:lvlText w:val=""/>
      <w:lvlJc w:val="left"/>
      <w:pPr>
        <w:ind w:left="107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0">
    <w:nsid w:val="0C4312B0"/>
    <w:multiLevelType w:val="hybridMultilevel"/>
    <w:tmpl w:val="C1266B52"/>
    <w:lvl w:ilvl="0" w:tplc="990A9FAA">
      <w:start w:val="1"/>
      <w:numFmt w:val="lowerLetter"/>
      <w:pStyle w:val="Listalphabet"/>
      <w:lvlText w:val="(%1)"/>
      <w:lvlJc w:val="left"/>
      <w:pPr>
        <w:ind w:left="1040" w:hanging="360"/>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11">
    <w:nsid w:val="0DD2542B"/>
    <w:multiLevelType w:val="hybridMultilevel"/>
    <w:tmpl w:val="60FAC388"/>
    <w:lvl w:ilvl="0" w:tplc="50264BE2">
      <w:start w:val="1"/>
      <w:numFmt w:val="decimal"/>
      <w:pStyle w:val="ListParagraph"/>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133E73B6"/>
    <w:multiLevelType w:val="hybridMultilevel"/>
    <w:tmpl w:val="80220B84"/>
    <w:lvl w:ilvl="0" w:tplc="F5987420">
      <w:start w:val="1"/>
      <w:numFmt w:val="decimal"/>
      <w:pStyle w:val="Numberedparagraph"/>
      <w:lvlText w:val="%1."/>
      <w:lvlJc w:val="left"/>
      <w:pPr>
        <w:ind w:left="360" w:hanging="360"/>
      </w:pPr>
      <w:rPr>
        <w:rFonts w:hint="default"/>
      </w:rPr>
    </w:lvl>
    <w:lvl w:ilvl="1" w:tplc="A5728FDE" w:tentative="1">
      <w:start w:val="1"/>
      <w:numFmt w:val="bullet"/>
      <w:lvlText w:val="o"/>
      <w:lvlJc w:val="left"/>
      <w:pPr>
        <w:ind w:left="2520" w:hanging="360"/>
      </w:pPr>
      <w:rPr>
        <w:rFonts w:ascii="Courier New" w:hAnsi="Courier New" w:cs="Courier New" w:hint="default"/>
      </w:rPr>
    </w:lvl>
    <w:lvl w:ilvl="2" w:tplc="B6B8266A" w:tentative="1">
      <w:start w:val="1"/>
      <w:numFmt w:val="bullet"/>
      <w:lvlText w:val=""/>
      <w:lvlJc w:val="left"/>
      <w:pPr>
        <w:ind w:left="3240" w:hanging="360"/>
      </w:pPr>
      <w:rPr>
        <w:rFonts w:ascii="Wingdings" w:hAnsi="Wingdings" w:hint="default"/>
      </w:rPr>
    </w:lvl>
    <w:lvl w:ilvl="3" w:tplc="0E067E3E" w:tentative="1">
      <w:start w:val="1"/>
      <w:numFmt w:val="bullet"/>
      <w:lvlText w:val=""/>
      <w:lvlJc w:val="left"/>
      <w:pPr>
        <w:ind w:left="3960" w:hanging="360"/>
      </w:pPr>
      <w:rPr>
        <w:rFonts w:ascii="Symbol" w:hAnsi="Symbol" w:hint="default"/>
      </w:rPr>
    </w:lvl>
    <w:lvl w:ilvl="4" w:tplc="9D8444DE" w:tentative="1">
      <w:start w:val="1"/>
      <w:numFmt w:val="bullet"/>
      <w:lvlText w:val="o"/>
      <w:lvlJc w:val="left"/>
      <w:pPr>
        <w:ind w:left="4680" w:hanging="360"/>
      </w:pPr>
      <w:rPr>
        <w:rFonts w:ascii="Courier New" w:hAnsi="Courier New" w:cs="Courier New" w:hint="default"/>
      </w:rPr>
    </w:lvl>
    <w:lvl w:ilvl="5" w:tplc="47DE7D34" w:tentative="1">
      <w:start w:val="1"/>
      <w:numFmt w:val="bullet"/>
      <w:lvlText w:val=""/>
      <w:lvlJc w:val="left"/>
      <w:pPr>
        <w:ind w:left="5400" w:hanging="360"/>
      </w:pPr>
      <w:rPr>
        <w:rFonts w:ascii="Wingdings" w:hAnsi="Wingdings" w:hint="default"/>
      </w:rPr>
    </w:lvl>
    <w:lvl w:ilvl="6" w:tplc="9D0AFFEA" w:tentative="1">
      <w:start w:val="1"/>
      <w:numFmt w:val="bullet"/>
      <w:lvlText w:val=""/>
      <w:lvlJc w:val="left"/>
      <w:pPr>
        <w:ind w:left="6120" w:hanging="360"/>
      </w:pPr>
      <w:rPr>
        <w:rFonts w:ascii="Symbol" w:hAnsi="Symbol" w:hint="default"/>
      </w:rPr>
    </w:lvl>
    <w:lvl w:ilvl="7" w:tplc="663EE25A" w:tentative="1">
      <w:start w:val="1"/>
      <w:numFmt w:val="bullet"/>
      <w:lvlText w:val="o"/>
      <w:lvlJc w:val="left"/>
      <w:pPr>
        <w:ind w:left="6840" w:hanging="360"/>
      </w:pPr>
      <w:rPr>
        <w:rFonts w:ascii="Courier New" w:hAnsi="Courier New" w:cs="Courier New" w:hint="default"/>
      </w:rPr>
    </w:lvl>
    <w:lvl w:ilvl="8" w:tplc="2DD24F62" w:tentative="1">
      <w:start w:val="1"/>
      <w:numFmt w:val="bullet"/>
      <w:lvlText w:val=""/>
      <w:lvlJc w:val="left"/>
      <w:pPr>
        <w:ind w:left="7560" w:hanging="360"/>
      </w:pPr>
      <w:rPr>
        <w:rFonts w:ascii="Wingdings" w:hAnsi="Wingdings" w:hint="default"/>
      </w:rPr>
    </w:lvl>
  </w:abstractNum>
  <w:abstractNum w:abstractNumId="13">
    <w:nsid w:val="1CF519CE"/>
    <w:multiLevelType w:val="multilevel"/>
    <w:tmpl w:val="FDC07CAE"/>
    <w:lvl w:ilvl="0">
      <w:start w:val="1"/>
      <w:numFmt w:val="decimal"/>
      <w:pStyle w:val="Numbered1111111"/>
      <w:lvlText w:val="%1."/>
      <w:lvlJc w:val="left"/>
      <w:pPr>
        <w:ind w:left="360" w:hanging="360"/>
      </w:pPr>
    </w:lvl>
    <w:lvl w:ilvl="1">
      <w:start w:val="1"/>
      <w:numFmt w:val="decimal"/>
      <w:pStyle w:val="Numberedparagraph11"/>
      <w:lvlText w:val="%1.%2."/>
      <w:lvlJc w:val="left"/>
      <w:pPr>
        <w:ind w:left="792" w:hanging="432"/>
      </w:pPr>
    </w:lvl>
    <w:lvl w:ilvl="2">
      <w:start w:val="1"/>
      <w:numFmt w:val="decimal"/>
      <w:pStyle w:val="Numbered11111111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pStyle w:val="Numbered1111111"/>
      <w:lvlText w:val="%1.%2.%3.%4.%5.%6.%7."/>
      <w:lvlJc w:val="left"/>
      <w:pPr>
        <w:ind w:left="3240" w:hanging="1080"/>
      </w:pPr>
    </w:lvl>
    <w:lvl w:ilvl="7">
      <w:start w:val="1"/>
      <w:numFmt w:val="decimal"/>
      <w:lvlText w:val="%1.%2.%3.%4.%5.%6.%7.%8."/>
      <w:lvlJc w:val="left"/>
      <w:pPr>
        <w:ind w:left="3744" w:hanging="1224"/>
      </w:pPr>
    </w:lvl>
    <w:lvl w:ilvl="8">
      <w:start w:val="1"/>
      <w:numFmt w:val="decimal"/>
      <w:pStyle w:val="Numbered111111111"/>
      <w:lvlText w:val="%1.%2.%3.%4.%5.%6.%7.%8.%9."/>
      <w:lvlJc w:val="left"/>
      <w:pPr>
        <w:ind w:left="4320" w:hanging="1440"/>
      </w:pPr>
    </w:lvl>
  </w:abstractNum>
  <w:abstractNum w:abstractNumId="14">
    <w:nsid w:val="26AA0DA7"/>
    <w:multiLevelType w:val="multilevel"/>
    <w:tmpl w:val="F49485A8"/>
    <w:lvl w:ilvl="0">
      <w:start w:val="1"/>
      <w:numFmt w:val="upperLetter"/>
      <w:pStyle w:val="Heading7"/>
      <w:lvlText w:val="%1"/>
      <w:lvlJc w:val="left"/>
      <w:pPr>
        <w:ind w:left="340" w:hanging="340"/>
      </w:pPr>
      <w:rPr>
        <w:rFonts w:hint="default"/>
      </w:rPr>
    </w:lvl>
    <w:lvl w:ilvl="1">
      <w:start w:val="1"/>
      <w:numFmt w:val="decimal"/>
      <w:lvlRestart w:val="0"/>
      <w:pStyle w:val="Heading8"/>
      <w:lvlText w:val="%1.%2"/>
      <w:lvlJc w:val="left"/>
      <w:pPr>
        <w:tabs>
          <w:tab w:val="num" w:pos="1021"/>
        </w:tabs>
        <w:ind w:left="1021" w:hanging="1021"/>
      </w:pPr>
      <w:rPr>
        <w:rFonts w:hint="default"/>
      </w:rPr>
    </w:lvl>
    <w:lvl w:ilvl="2">
      <w:start w:val="1"/>
      <w:numFmt w:val="decimal"/>
      <w:pStyle w:val="Heading9"/>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28865DF8"/>
    <w:multiLevelType w:val="hybridMultilevel"/>
    <w:tmpl w:val="EC0E5568"/>
    <w:lvl w:ilvl="0" w:tplc="D90E7D7A">
      <w:start w:val="1"/>
      <w:numFmt w:val="lowerLetter"/>
      <w:pStyle w:val="AERnumberedlistsecondstyle"/>
      <w:lvlText w:val="(%1)"/>
      <w:lvlJc w:val="left"/>
      <w:pPr>
        <w:ind w:left="1040" w:hanging="360"/>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16">
    <w:nsid w:val="2FB612CC"/>
    <w:multiLevelType w:val="multilevel"/>
    <w:tmpl w:val="950A1C52"/>
    <w:styleLink w:val="AERHeadings"/>
    <w:lvl w:ilvl="0">
      <w:start w:val="1"/>
      <w:numFmt w:val="none"/>
      <w:lvlText w:val="%1"/>
      <w:lvlJc w:val="left"/>
      <w:pPr>
        <w:tabs>
          <w:tab w:val="num" w:pos="0"/>
        </w:tabs>
        <w:ind w:left="0" w:firstLine="0"/>
      </w:pPr>
      <w:rPr>
        <w:rFonts w:hint="default"/>
      </w:rPr>
    </w:lvl>
    <w:lvl w:ilvl="1">
      <w:start w:val="1"/>
      <w:numFmt w:val="decimal"/>
      <w:lvlText w:val="%1%2"/>
      <w:lvlJc w:val="left"/>
      <w:pPr>
        <w:tabs>
          <w:tab w:val="num" w:pos="0"/>
        </w:tabs>
        <w:ind w:left="0" w:hanging="851"/>
      </w:pPr>
      <w:rPr>
        <w:rFonts w:hint="default"/>
      </w:rPr>
    </w:lvl>
    <w:lvl w:ilvl="2">
      <w:start w:val="1"/>
      <w:numFmt w:val="decimal"/>
      <w:lvlText w:val="%1%2.%3"/>
      <w:lvlJc w:val="left"/>
      <w:pPr>
        <w:tabs>
          <w:tab w:val="num" w:pos="0"/>
        </w:tabs>
        <w:ind w:left="0" w:hanging="851"/>
      </w:pPr>
      <w:rPr>
        <w:rFonts w:hint="default"/>
      </w:rPr>
    </w:lvl>
    <w:lvl w:ilvl="3">
      <w:start w:val="1"/>
      <w:numFmt w:val="decimal"/>
      <w:lvlText w:val="%2.%3.%4"/>
      <w:lvlJc w:val="left"/>
      <w:pPr>
        <w:tabs>
          <w:tab w:val="num" w:pos="0"/>
        </w:tabs>
        <w:ind w:left="0" w:hanging="851"/>
      </w:pPr>
      <w:rPr>
        <w:rFonts w:hint="default"/>
      </w:rPr>
    </w:lvl>
    <w:lvl w:ilvl="4">
      <w:start w:val="1"/>
      <w:numFmt w:val="upperLetter"/>
      <w:lvlRestart w:val="1"/>
      <w:lvlText w:val="%5"/>
      <w:lvlJc w:val="left"/>
      <w:pPr>
        <w:tabs>
          <w:tab w:val="num" w:pos="0"/>
        </w:tabs>
        <w:ind w:left="0" w:hanging="851"/>
      </w:pPr>
      <w:rPr>
        <w:rFonts w:hint="default"/>
      </w:rPr>
    </w:lvl>
    <w:lvl w:ilvl="5">
      <w:start w:val="1"/>
      <w:numFmt w:val="decimal"/>
      <w:lvlText w:val="%5.%6"/>
      <w:lvlJc w:val="left"/>
      <w:pPr>
        <w:tabs>
          <w:tab w:val="num" w:pos="0"/>
        </w:tabs>
        <w:ind w:left="0" w:hanging="851"/>
      </w:pPr>
      <w:rPr>
        <w:rFonts w:hint="default"/>
      </w:rPr>
    </w:lvl>
    <w:lvl w:ilvl="6">
      <w:start w:val="1"/>
      <w:numFmt w:val="decimal"/>
      <w:lvlText w:val="%5.%6.%7"/>
      <w:lvlJc w:val="left"/>
      <w:pPr>
        <w:tabs>
          <w:tab w:val="num" w:pos="0"/>
        </w:tabs>
        <w:ind w:left="0" w:hanging="851"/>
      </w:pPr>
      <w:rPr>
        <w:rFonts w:hint="default"/>
      </w:rPr>
    </w:lvl>
    <w:lvl w:ilvl="7">
      <w:start w:val="1"/>
      <w:numFmt w:val="none"/>
      <w:lvlRestart w:val="0"/>
      <w:lvlText w:val=""/>
      <w:lvlJc w:val="left"/>
      <w:pPr>
        <w:tabs>
          <w:tab w:val="num" w:pos="0"/>
        </w:tabs>
        <w:ind w:left="0" w:firstLine="0"/>
      </w:pPr>
      <w:rPr>
        <w:rFonts w:hint="default"/>
      </w:rPr>
    </w:lvl>
    <w:lvl w:ilvl="8">
      <w:start w:val="1"/>
      <w:numFmt w:val="none"/>
      <w:lvlRestart w:val="0"/>
      <w:lvlText w:val=""/>
      <w:lvlJc w:val="left"/>
      <w:pPr>
        <w:ind w:left="0" w:firstLine="0"/>
      </w:pPr>
      <w:rPr>
        <w:rFonts w:hint="default"/>
      </w:rPr>
    </w:lvl>
  </w:abstractNum>
  <w:abstractNum w:abstractNumId="17">
    <w:nsid w:val="31AA058E"/>
    <w:multiLevelType w:val="hybridMultilevel"/>
    <w:tmpl w:val="3C70101E"/>
    <w:lvl w:ilvl="0" w:tplc="B336B1FC">
      <w:start w:val="1"/>
      <w:numFmt w:val="bullet"/>
      <w:lvlText w:val=""/>
      <w:lvlJc w:val="left"/>
      <w:pPr>
        <w:ind w:left="107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8">
    <w:nsid w:val="34AC7051"/>
    <w:multiLevelType w:val="multilevel"/>
    <w:tmpl w:val="265C1DE2"/>
    <w:styleLink w:val="OldAERheading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3923347D"/>
    <w:multiLevelType w:val="hybridMultilevel"/>
    <w:tmpl w:val="8E96A9EE"/>
    <w:lvl w:ilvl="0" w:tplc="5E568C86">
      <w:start w:val="1"/>
      <w:numFmt w:val="decimal"/>
      <w:pStyle w:val="ListBullet"/>
      <w:lvlText w:val="(%1)"/>
      <w:lvlJc w:val="left"/>
      <w:pPr>
        <w:ind w:left="360" w:hanging="360"/>
      </w:pPr>
      <w:rPr>
        <w:rFonts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3AF336BC"/>
    <w:multiLevelType w:val="hybridMultilevel"/>
    <w:tmpl w:val="955A02CC"/>
    <w:lvl w:ilvl="0" w:tplc="C90C7928">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99F124F"/>
    <w:multiLevelType w:val="multilevel"/>
    <w:tmpl w:val="5666D91E"/>
    <w:styleLink w:val="AlphanumericList"/>
    <w:lvl w:ilvl="0">
      <w:start w:val="1"/>
      <w:numFmt w:val="decimal"/>
      <w:lvlText w:val="A.%1"/>
      <w:lvlJc w:val="left"/>
      <w:pPr>
        <w:ind w:left="360" w:hanging="360"/>
      </w:pPr>
      <w:rPr>
        <w:rFonts w:ascii="Arial" w:hAnsi="Arial" w:hint="default"/>
        <w:sz w:val="22"/>
      </w:rPr>
    </w:lvl>
    <w:lvl w:ilvl="1">
      <w:start w:val="1"/>
      <w:numFmt w:val="decimal"/>
      <w:lvlRestart w:val="0"/>
      <w:lvlText w:val="A.%1.%2"/>
      <w:lvlJc w:val="left"/>
      <w:pPr>
        <w:ind w:left="3621" w:hanging="360"/>
      </w:pPr>
      <w:rPr>
        <w:rFonts w:hint="default"/>
      </w:rPr>
    </w:lvl>
    <w:lvl w:ilvl="2">
      <w:start w:val="1"/>
      <w:numFmt w:val="decimal"/>
      <w:lvlRestart w:val="0"/>
      <w:lvlText w:val="A.%1.%2.%3"/>
      <w:lvlJc w:val="left"/>
      <w:pPr>
        <w:ind w:left="1080" w:hanging="360"/>
      </w:pPr>
      <w:rPr>
        <w:rFonts w:hint="default"/>
      </w:rPr>
    </w:lvl>
    <w:lvl w:ilvl="3">
      <w:start w:val="1"/>
      <w:numFmt w:val="none"/>
      <w:lvlText w:val="(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nsid w:val="49E52C90"/>
    <w:multiLevelType w:val="hybridMultilevel"/>
    <w:tmpl w:val="8C0ACE80"/>
    <w:lvl w:ilvl="0" w:tplc="9D00B0D8">
      <w:start w:val="1"/>
      <w:numFmt w:val="lowerRoman"/>
      <w:pStyle w:val="ListLegal"/>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4C6A3DDE"/>
    <w:multiLevelType w:val="hybridMultilevel"/>
    <w:tmpl w:val="F51A789C"/>
    <w:lvl w:ilvl="0" w:tplc="92E84616">
      <w:start w:val="1"/>
      <w:numFmt w:val="bullet"/>
      <w:pStyle w:val="AERquotebullet1"/>
      <w:lvlText w:val=""/>
      <w:lvlJc w:val="left"/>
      <w:pPr>
        <w:ind w:left="1040" w:hanging="360"/>
      </w:pPr>
      <w:rPr>
        <w:rFonts w:ascii="Symbol" w:hAnsi="Symbol" w:hint="default"/>
      </w:rPr>
    </w:lvl>
    <w:lvl w:ilvl="1" w:tplc="0C090003" w:tentative="1">
      <w:start w:val="1"/>
      <w:numFmt w:val="bullet"/>
      <w:lvlText w:val="o"/>
      <w:lvlJc w:val="left"/>
      <w:pPr>
        <w:ind w:left="1760" w:hanging="360"/>
      </w:pPr>
      <w:rPr>
        <w:rFonts w:ascii="Courier New" w:hAnsi="Courier New" w:cs="Courier New" w:hint="default"/>
      </w:rPr>
    </w:lvl>
    <w:lvl w:ilvl="2" w:tplc="0C090005" w:tentative="1">
      <w:start w:val="1"/>
      <w:numFmt w:val="bullet"/>
      <w:lvlText w:val=""/>
      <w:lvlJc w:val="left"/>
      <w:pPr>
        <w:ind w:left="2480" w:hanging="360"/>
      </w:pPr>
      <w:rPr>
        <w:rFonts w:ascii="Wingdings" w:hAnsi="Wingdings" w:hint="default"/>
      </w:rPr>
    </w:lvl>
    <w:lvl w:ilvl="3" w:tplc="0C090001" w:tentative="1">
      <w:start w:val="1"/>
      <w:numFmt w:val="bullet"/>
      <w:lvlText w:val=""/>
      <w:lvlJc w:val="left"/>
      <w:pPr>
        <w:ind w:left="3200" w:hanging="360"/>
      </w:pPr>
      <w:rPr>
        <w:rFonts w:ascii="Symbol" w:hAnsi="Symbol" w:hint="default"/>
      </w:rPr>
    </w:lvl>
    <w:lvl w:ilvl="4" w:tplc="0C090003" w:tentative="1">
      <w:start w:val="1"/>
      <w:numFmt w:val="bullet"/>
      <w:lvlText w:val="o"/>
      <w:lvlJc w:val="left"/>
      <w:pPr>
        <w:ind w:left="3920" w:hanging="360"/>
      </w:pPr>
      <w:rPr>
        <w:rFonts w:ascii="Courier New" w:hAnsi="Courier New" w:cs="Courier New" w:hint="default"/>
      </w:rPr>
    </w:lvl>
    <w:lvl w:ilvl="5" w:tplc="0C090005" w:tentative="1">
      <w:start w:val="1"/>
      <w:numFmt w:val="bullet"/>
      <w:lvlText w:val=""/>
      <w:lvlJc w:val="left"/>
      <w:pPr>
        <w:ind w:left="4640" w:hanging="360"/>
      </w:pPr>
      <w:rPr>
        <w:rFonts w:ascii="Wingdings" w:hAnsi="Wingdings" w:hint="default"/>
      </w:rPr>
    </w:lvl>
    <w:lvl w:ilvl="6" w:tplc="0C090001" w:tentative="1">
      <w:start w:val="1"/>
      <w:numFmt w:val="bullet"/>
      <w:lvlText w:val=""/>
      <w:lvlJc w:val="left"/>
      <w:pPr>
        <w:ind w:left="5360" w:hanging="360"/>
      </w:pPr>
      <w:rPr>
        <w:rFonts w:ascii="Symbol" w:hAnsi="Symbol" w:hint="default"/>
      </w:rPr>
    </w:lvl>
    <w:lvl w:ilvl="7" w:tplc="0C090003" w:tentative="1">
      <w:start w:val="1"/>
      <w:numFmt w:val="bullet"/>
      <w:lvlText w:val="o"/>
      <w:lvlJc w:val="left"/>
      <w:pPr>
        <w:ind w:left="6080" w:hanging="360"/>
      </w:pPr>
      <w:rPr>
        <w:rFonts w:ascii="Courier New" w:hAnsi="Courier New" w:cs="Courier New" w:hint="default"/>
      </w:rPr>
    </w:lvl>
    <w:lvl w:ilvl="8" w:tplc="0C090005" w:tentative="1">
      <w:start w:val="1"/>
      <w:numFmt w:val="bullet"/>
      <w:lvlText w:val=""/>
      <w:lvlJc w:val="left"/>
      <w:pPr>
        <w:ind w:left="6800" w:hanging="360"/>
      </w:pPr>
      <w:rPr>
        <w:rFonts w:ascii="Wingdings" w:hAnsi="Wingdings" w:hint="default"/>
      </w:rPr>
    </w:lvl>
  </w:abstractNum>
  <w:abstractNum w:abstractNumId="24">
    <w:nsid w:val="51487971"/>
    <w:multiLevelType w:val="multilevel"/>
    <w:tmpl w:val="39D4CB02"/>
    <w:styleLink w:val="AERnumberedlist"/>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57"/>
        </w:tabs>
        <w:ind w:left="357" w:hanging="357"/>
      </w:pPr>
      <w:rPr>
        <w:rFonts w:hint="default"/>
      </w:rPr>
    </w:lvl>
    <w:lvl w:ilvl="2">
      <w:start w:val="1"/>
      <w:numFmt w:val="lowerLetter"/>
      <w:lvlText w:val="%3."/>
      <w:lvlJc w:val="left"/>
      <w:pPr>
        <w:tabs>
          <w:tab w:val="num" w:pos="720"/>
        </w:tabs>
        <w:ind w:left="720" w:hanging="363"/>
      </w:pPr>
      <w:rPr>
        <w:rFonts w:hint="default"/>
      </w:rPr>
    </w:lvl>
    <w:lvl w:ilvl="3">
      <w:start w:val="1"/>
      <w:numFmt w:val="lowerRoman"/>
      <w:lvlText w:val="%4."/>
      <w:lvlJc w:val="left"/>
      <w:pPr>
        <w:tabs>
          <w:tab w:val="num" w:pos="1077"/>
        </w:tabs>
        <w:ind w:left="1077" w:hanging="357"/>
      </w:pPr>
      <w:rPr>
        <w:rFonts w:hint="default"/>
      </w:rPr>
    </w:lvl>
    <w:lvl w:ilvl="4">
      <w:start w:val="1"/>
      <w:numFmt w:val="decimal"/>
      <w:lvlRestart w:val="1"/>
      <w:lvlText w:val="(%5)"/>
      <w:lvlJc w:val="left"/>
      <w:pPr>
        <w:tabs>
          <w:tab w:val="num" w:pos="454"/>
        </w:tabs>
        <w:ind w:left="454" w:hanging="454"/>
      </w:pPr>
      <w:rPr>
        <w:rFonts w:hint="default"/>
      </w:rPr>
    </w:lvl>
    <w:lvl w:ilvl="5">
      <w:start w:val="1"/>
      <w:numFmt w:val="lowerLetter"/>
      <w:lvlText w:val="(%6)"/>
      <w:lvlJc w:val="left"/>
      <w:pPr>
        <w:tabs>
          <w:tab w:val="num" w:pos="811"/>
        </w:tabs>
        <w:ind w:left="811" w:hanging="357"/>
      </w:pPr>
      <w:rPr>
        <w:rFonts w:hint="default"/>
      </w:rPr>
    </w:lvl>
    <w:lvl w:ilvl="6">
      <w:start w:val="1"/>
      <w:numFmt w:val="lowerRoman"/>
      <w:lvlText w:val="(%7)"/>
      <w:lvlJc w:val="left"/>
      <w:pPr>
        <w:tabs>
          <w:tab w:val="num" w:pos="1446"/>
        </w:tabs>
        <w:ind w:left="1446" w:hanging="635"/>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59474DF1"/>
    <w:multiLevelType w:val="multilevel"/>
    <w:tmpl w:val="5BC065FC"/>
    <w:lvl w:ilvl="0">
      <w:start w:val="1"/>
      <w:numFmt w:val="decimal"/>
      <w:pStyle w:val="LegalNumbering"/>
      <w:isLgl/>
      <w:lvlText w:val="%1)"/>
      <w:lvlJc w:val="left"/>
      <w:pPr>
        <w:ind w:left="340" w:hanging="340"/>
      </w:pPr>
      <w:rPr>
        <w:rFonts w:hint="default"/>
      </w:rPr>
    </w:lvl>
    <w:lvl w:ilvl="1">
      <w:start w:val="1"/>
      <w:numFmt w:val="lowerLetter"/>
      <w:lvlText w:val="%2) "/>
      <w:lvlJc w:val="left"/>
      <w:pPr>
        <w:ind w:left="680" w:hanging="340"/>
      </w:pPr>
      <w:rPr>
        <w:rFonts w:hint="default"/>
      </w:rPr>
    </w:lvl>
    <w:lvl w:ilvl="2">
      <w:start w:val="1"/>
      <w:numFmt w:val="lowerRoman"/>
      <w:lvlText w:val="%3)"/>
      <w:lvlJc w:val="left"/>
      <w:pPr>
        <w:tabs>
          <w:tab w:val="num" w:pos="1701"/>
        </w:tabs>
        <w:ind w:left="1021" w:hanging="341"/>
      </w:pPr>
      <w:rPr>
        <w:rFonts w:hint="default"/>
      </w:rPr>
    </w:lvl>
    <w:lvl w:ilvl="3">
      <w:start w:val="1"/>
      <w:numFmt w:val="decimal"/>
      <w:lvlText w:val="(%4) "/>
      <w:lvlJc w:val="left"/>
      <w:pPr>
        <w:tabs>
          <w:tab w:val="num" w:pos="1758"/>
        </w:tabs>
        <w:ind w:left="1361" w:hanging="340"/>
      </w:pPr>
      <w:rPr>
        <w:rFonts w:hint="default"/>
      </w:rPr>
    </w:lvl>
    <w:lvl w:ilvl="4">
      <w:start w:val="1"/>
      <w:numFmt w:val="lowerLetter"/>
      <w:lvlText w:val="(%5)"/>
      <w:lvlJc w:val="left"/>
      <w:pPr>
        <w:ind w:left="1701" w:hanging="340"/>
      </w:pPr>
      <w:rPr>
        <w:rFonts w:hint="default"/>
      </w:rPr>
    </w:lvl>
    <w:lvl w:ilvl="5">
      <w:start w:val="1"/>
      <w:numFmt w:val="lowerRoman"/>
      <w:lvlText w:val="(%6)"/>
      <w:lvlJc w:val="left"/>
      <w:pPr>
        <w:tabs>
          <w:tab w:val="num" w:pos="2608"/>
        </w:tabs>
        <w:ind w:left="2041" w:hanging="340"/>
      </w:pPr>
      <w:rPr>
        <w:rFonts w:hint="default"/>
      </w:rPr>
    </w:lvl>
    <w:lvl w:ilvl="6">
      <w:start w:val="1"/>
      <w:numFmt w:val="decimal"/>
      <w:lvlText w:val="%7."/>
      <w:lvlJc w:val="left"/>
      <w:pPr>
        <w:tabs>
          <w:tab w:val="num" w:pos="3175"/>
        </w:tabs>
        <w:ind w:left="2381" w:hanging="340"/>
      </w:pPr>
      <w:rPr>
        <w:rFonts w:hint="default"/>
      </w:rPr>
    </w:lvl>
    <w:lvl w:ilvl="7">
      <w:start w:val="1"/>
      <w:numFmt w:val="lowerLetter"/>
      <w:lvlText w:val="%8."/>
      <w:lvlJc w:val="left"/>
      <w:pPr>
        <w:tabs>
          <w:tab w:val="num" w:pos="3799"/>
        </w:tabs>
        <w:ind w:left="2722" w:hanging="341"/>
      </w:pPr>
      <w:rPr>
        <w:rFonts w:hint="default"/>
      </w:rPr>
    </w:lvl>
    <w:lvl w:ilvl="8">
      <w:start w:val="1"/>
      <w:numFmt w:val="lowerRoman"/>
      <w:lvlText w:val="%9."/>
      <w:lvlJc w:val="left"/>
      <w:pPr>
        <w:ind w:left="3062" w:hanging="340"/>
      </w:pPr>
      <w:rPr>
        <w:rFonts w:hint="default"/>
      </w:rPr>
    </w:lvl>
  </w:abstractNum>
  <w:abstractNum w:abstractNumId="26">
    <w:nsid w:val="5E176F39"/>
    <w:multiLevelType w:val="hybridMultilevel"/>
    <w:tmpl w:val="6ECE74A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nsid w:val="5ECE4384"/>
    <w:multiLevelType w:val="multilevel"/>
    <w:tmpl w:val="6DC23084"/>
    <w:lvl w:ilvl="0">
      <w:start w:val="6"/>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rPr>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6726588A"/>
    <w:multiLevelType w:val="hybridMultilevel"/>
    <w:tmpl w:val="6568C8B8"/>
    <w:lvl w:ilvl="0" w:tplc="0C09000F">
      <w:start w:val="1"/>
      <w:numFmt w:val="bullet"/>
      <w:pStyle w:val="AERbulletlistsecondstyle"/>
      <w:lvlText w:val="o"/>
      <w:lvlJc w:val="left"/>
      <w:pPr>
        <w:ind w:left="1081" w:hanging="360"/>
      </w:pPr>
      <w:rPr>
        <w:rFonts w:ascii="Courier New" w:hAnsi="Courier New" w:cs="Courier New" w:hint="default"/>
      </w:rPr>
    </w:lvl>
    <w:lvl w:ilvl="1" w:tplc="0C090019" w:tentative="1">
      <w:start w:val="1"/>
      <w:numFmt w:val="bullet"/>
      <w:lvlText w:val="o"/>
      <w:lvlJc w:val="left"/>
      <w:pPr>
        <w:ind w:left="1801" w:hanging="360"/>
      </w:pPr>
      <w:rPr>
        <w:rFonts w:ascii="Courier New" w:hAnsi="Courier New" w:cs="Courier New" w:hint="default"/>
      </w:rPr>
    </w:lvl>
    <w:lvl w:ilvl="2" w:tplc="C38EC922">
      <w:start w:val="1"/>
      <w:numFmt w:val="bullet"/>
      <w:pStyle w:val="AERbulletlistthirdstyle"/>
      <w:lvlText w:val=""/>
      <w:lvlJc w:val="left"/>
      <w:pPr>
        <w:ind w:left="2521" w:hanging="360"/>
      </w:pPr>
      <w:rPr>
        <w:rFonts w:ascii="Wingdings" w:hAnsi="Wingdings" w:hint="default"/>
      </w:rPr>
    </w:lvl>
    <w:lvl w:ilvl="3" w:tplc="0C09000F" w:tentative="1">
      <w:start w:val="1"/>
      <w:numFmt w:val="bullet"/>
      <w:lvlText w:val=""/>
      <w:lvlJc w:val="left"/>
      <w:pPr>
        <w:ind w:left="3241" w:hanging="360"/>
      </w:pPr>
      <w:rPr>
        <w:rFonts w:ascii="Symbol" w:hAnsi="Symbol" w:hint="default"/>
      </w:rPr>
    </w:lvl>
    <w:lvl w:ilvl="4" w:tplc="0C090019" w:tentative="1">
      <w:start w:val="1"/>
      <w:numFmt w:val="bullet"/>
      <w:lvlText w:val="o"/>
      <w:lvlJc w:val="left"/>
      <w:pPr>
        <w:ind w:left="3961" w:hanging="360"/>
      </w:pPr>
      <w:rPr>
        <w:rFonts w:ascii="Courier New" w:hAnsi="Courier New" w:cs="Courier New" w:hint="default"/>
      </w:rPr>
    </w:lvl>
    <w:lvl w:ilvl="5" w:tplc="0C09001B" w:tentative="1">
      <w:start w:val="1"/>
      <w:numFmt w:val="bullet"/>
      <w:lvlText w:val=""/>
      <w:lvlJc w:val="left"/>
      <w:pPr>
        <w:ind w:left="4681" w:hanging="360"/>
      </w:pPr>
      <w:rPr>
        <w:rFonts w:ascii="Wingdings" w:hAnsi="Wingdings" w:hint="default"/>
      </w:rPr>
    </w:lvl>
    <w:lvl w:ilvl="6" w:tplc="0C09000F" w:tentative="1">
      <w:start w:val="1"/>
      <w:numFmt w:val="bullet"/>
      <w:lvlText w:val=""/>
      <w:lvlJc w:val="left"/>
      <w:pPr>
        <w:ind w:left="5401" w:hanging="360"/>
      </w:pPr>
      <w:rPr>
        <w:rFonts w:ascii="Symbol" w:hAnsi="Symbol" w:hint="default"/>
      </w:rPr>
    </w:lvl>
    <w:lvl w:ilvl="7" w:tplc="0C090019" w:tentative="1">
      <w:start w:val="1"/>
      <w:numFmt w:val="bullet"/>
      <w:lvlText w:val="o"/>
      <w:lvlJc w:val="left"/>
      <w:pPr>
        <w:ind w:left="6121" w:hanging="360"/>
      </w:pPr>
      <w:rPr>
        <w:rFonts w:ascii="Courier New" w:hAnsi="Courier New" w:cs="Courier New" w:hint="default"/>
      </w:rPr>
    </w:lvl>
    <w:lvl w:ilvl="8" w:tplc="0C09001B" w:tentative="1">
      <w:start w:val="1"/>
      <w:numFmt w:val="bullet"/>
      <w:lvlText w:val=""/>
      <w:lvlJc w:val="left"/>
      <w:pPr>
        <w:ind w:left="6841" w:hanging="360"/>
      </w:pPr>
      <w:rPr>
        <w:rFonts w:ascii="Wingdings" w:hAnsi="Wingdings" w:hint="default"/>
      </w:rPr>
    </w:lvl>
  </w:abstractNum>
  <w:abstractNum w:abstractNumId="29">
    <w:nsid w:val="71052EFE"/>
    <w:multiLevelType w:val="hybridMultilevel"/>
    <w:tmpl w:val="52FCFAA8"/>
    <w:lvl w:ilvl="0" w:tplc="C846CA5C">
      <w:start w:val="1"/>
      <w:numFmt w:val="lowerRoman"/>
      <w:pStyle w:val="AERnumberedlistthirdstyle"/>
      <w:lvlText w:val="%1."/>
      <w:lvlJc w:val="righ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78C20645"/>
    <w:multiLevelType w:val="hybridMultilevel"/>
    <w:tmpl w:val="B9F0BA8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nsid w:val="7E2819EC"/>
    <w:multiLevelType w:val="multilevel"/>
    <w:tmpl w:val="1250F310"/>
    <w:lvl w:ilvl="0">
      <w:start w:val="1"/>
      <w:numFmt w:val="bullet"/>
      <w:pStyle w:val="AERbulletlistfirststyle"/>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31"/>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8"/>
  </w:num>
  <w:num w:numId="13">
    <w:abstractNumId w:val="19"/>
  </w:num>
  <w:num w:numId="14">
    <w:abstractNumId w:val="11"/>
  </w:num>
  <w:num w:numId="15">
    <w:abstractNumId w:val="13"/>
  </w:num>
  <w:num w:numId="16">
    <w:abstractNumId w:val="21"/>
  </w:num>
  <w:num w:numId="17">
    <w:abstractNumId w:val="10"/>
  </w:num>
  <w:num w:numId="18">
    <w:abstractNumId w:val="15"/>
  </w:num>
  <w:num w:numId="19">
    <w:abstractNumId w:val="22"/>
  </w:num>
  <w:num w:numId="20">
    <w:abstractNumId w:val="29"/>
  </w:num>
  <w:num w:numId="21">
    <w:abstractNumId w:val="25"/>
  </w:num>
  <w:num w:numId="22">
    <w:abstractNumId w:val="23"/>
  </w:num>
  <w:num w:numId="23">
    <w:abstractNumId w:val="16"/>
  </w:num>
  <w:num w:numId="24">
    <w:abstractNumId w:val="24"/>
  </w:num>
  <w:num w:numId="25">
    <w:abstractNumId w:val="27"/>
  </w:num>
  <w:num w:numId="26">
    <w:abstractNumId w:val="18"/>
  </w:num>
  <w:num w:numId="27">
    <w:abstractNumId w:val="14"/>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20"/>
  </w:num>
  <w:num w:numId="31">
    <w:abstractNumId w:val="9"/>
  </w:num>
  <w:num w:numId="32">
    <w:abstractNumId w:val="31"/>
  </w:num>
  <w:num w:numId="33">
    <w:abstractNumId w:val="26"/>
  </w:num>
  <w:num w:numId="34">
    <w:abstractNumId w:val="3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stylePaneFormatFilter w:val="9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documentProtection w:formatting="1" w:enforcement="0"/>
  <w:defaultTabStop w:val="340"/>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rrentname" w:val="C:\Users\jkuzn\AppData\Local\Microsoft\Windows\Temporary Internet Files\Content.MSO\AE4C9764.docx"/>
  </w:docVars>
  <w:rsids>
    <w:rsidRoot w:val="00961A4A"/>
    <w:rsid w:val="00003694"/>
    <w:rsid w:val="00004796"/>
    <w:rsid w:val="00007116"/>
    <w:rsid w:val="00010286"/>
    <w:rsid w:val="00016EE5"/>
    <w:rsid w:val="00021202"/>
    <w:rsid w:val="00021C2B"/>
    <w:rsid w:val="0002517F"/>
    <w:rsid w:val="00026495"/>
    <w:rsid w:val="0003578C"/>
    <w:rsid w:val="000401AF"/>
    <w:rsid w:val="00060D7C"/>
    <w:rsid w:val="00063247"/>
    <w:rsid w:val="00066D05"/>
    <w:rsid w:val="00070F9F"/>
    <w:rsid w:val="0007137B"/>
    <w:rsid w:val="00075E8A"/>
    <w:rsid w:val="00081BD5"/>
    <w:rsid w:val="0008244C"/>
    <w:rsid w:val="00085663"/>
    <w:rsid w:val="00085EBF"/>
    <w:rsid w:val="00091B15"/>
    <w:rsid w:val="00095703"/>
    <w:rsid w:val="000A0507"/>
    <w:rsid w:val="000A3020"/>
    <w:rsid w:val="000A3AA0"/>
    <w:rsid w:val="000A5610"/>
    <w:rsid w:val="000A5FED"/>
    <w:rsid w:val="000A6C7B"/>
    <w:rsid w:val="000B70FD"/>
    <w:rsid w:val="000C29A6"/>
    <w:rsid w:val="000C2B40"/>
    <w:rsid w:val="000D06C1"/>
    <w:rsid w:val="000D122C"/>
    <w:rsid w:val="000D3016"/>
    <w:rsid w:val="000D64F2"/>
    <w:rsid w:val="000E1819"/>
    <w:rsid w:val="000E4821"/>
    <w:rsid w:val="000E6C72"/>
    <w:rsid w:val="000F0B2B"/>
    <w:rsid w:val="000F3E72"/>
    <w:rsid w:val="000F48B1"/>
    <w:rsid w:val="000F79A5"/>
    <w:rsid w:val="00103A67"/>
    <w:rsid w:val="001053FC"/>
    <w:rsid w:val="00116EB2"/>
    <w:rsid w:val="00120490"/>
    <w:rsid w:val="00124609"/>
    <w:rsid w:val="00126A4C"/>
    <w:rsid w:val="00134717"/>
    <w:rsid w:val="00134D63"/>
    <w:rsid w:val="00140D62"/>
    <w:rsid w:val="00142AB6"/>
    <w:rsid w:val="0014573B"/>
    <w:rsid w:val="001573E4"/>
    <w:rsid w:val="00157E04"/>
    <w:rsid w:val="00160756"/>
    <w:rsid w:val="00165869"/>
    <w:rsid w:val="0017232E"/>
    <w:rsid w:val="00173F9F"/>
    <w:rsid w:val="00174102"/>
    <w:rsid w:val="001754EE"/>
    <w:rsid w:val="00180157"/>
    <w:rsid w:val="00185CB9"/>
    <w:rsid w:val="00186F77"/>
    <w:rsid w:val="001905F1"/>
    <w:rsid w:val="001926A4"/>
    <w:rsid w:val="00192AD5"/>
    <w:rsid w:val="001A03F4"/>
    <w:rsid w:val="001A07F4"/>
    <w:rsid w:val="001B45A0"/>
    <w:rsid w:val="001B7D00"/>
    <w:rsid w:val="001C3D2D"/>
    <w:rsid w:val="001D055E"/>
    <w:rsid w:val="001F05A4"/>
    <w:rsid w:val="001F492E"/>
    <w:rsid w:val="001F6DA3"/>
    <w:rsid w:val="002010BC"/>
    <w:rsid w:val="002016E7"/>
    <w:rsid w:val="00201F98"/>
    <w:rsid w:val="00202E03"/>
    <w:rsid w:val="0020478D"/>
    <w:rsid w:val="0020492C"/>
    <w:rsid w:val="00205A33"/>
    <w:rsid w:val="00215149"/>
    <w:rsid w:val="00224502"/>
    <w:rsid w:val="00224DB9"/>
    <w:rsid w:val="00224F81"/>
    <w:rsid w:val="00227DCE"/>
    <w:rsid w:val="0023276C"/>
    <w:rsid w:val="00233775"/>
    <w:rsid w:val="0023470D"/>
    <w:rsid w:val="00251745"/>
    <w:rsid w:val="00263AC0"/>
    <w:rsid w:val="00264264"/>
    <w:rsid w:val="0026772D"/>
    <w:rsid w:val="00286874"/>
    <w:rsid w:val="00290C63"/>
    <w:rsid w:val="002965B5"/>
    <w:rsid w:val="00296B65"/>
    <w:rsid w:val="002A7DEF"/>
    <w:rsid w:val="002B1003"/>
    <w:rsid w:val="002B12E4"/>
    <w:rsid w:val="002B573C"/>
    <w:rsid w:val="002C233C"/>
    <w:rsid w:val="002C5A50"/>
    <w:rsid w:val="002C6AAE"/>
    <w:rsid w:val="002C6C62"/>
    <w:rsid w:val="002D5654"/>
    <w:rsid w:val="002D72E8"/>
    <w:rsid w:val="002E0167"/>
    <w:rsid w:val="002E7B22"/>
    <w:rsid w:val="002F0B45"/>
    <w:rsid w:val="002F7986"/>
    <w:rsid w:val="00301B40"/>
    <w:rsid w:val="003029EE"/>
    <w:rsid w:val="0030370B"/>
    <w:rsid w:val="00305CC8"/>
    <w:rsid w:val="00307F6D"/>
    <w:rsid w:val="003177A2"/>
    <w:rsid w:val="00320172"/>
    <w:rsid w:val="00325A20"/>
    <w:rsid w:val="0032658E"/>
    <w:rsid w:val="003271B5"/>
    <w:rsid w:val="00327A1E"/>
    <w:rsid w:val="00330F15"/>
    <w:rsid w:val="00331218"/>
    <w:rsid w:val="00331264"/>
    <w:rsid w:val="0033139B"/>
    <w:rsid w:val="00334C8D"/>
    <w:rsid w:val="00336E32"/>
    <w:rsid w:val="00342B8C"/>
    <w:rsid w:val="00343A18"/>
    <w:rsid w:val="00344473"/>
    <w:rsid w:val="003518B3"/>
    <w:rsid w:val="00381B88"/>
    <w:rsid w:val="003846F1"/>
    <w:rsid w:val="003931A7"/>
    <w:rsid w:val="003962AE"/>
    <w:rsid w:val="003A05BE"/>
    <w:rsid w:val="003B484F"/>
    <w:rsid w:val="003B7FBA"/>
    <w:rsid w:val="003C54C6"/>
    <w:rsid w:val="003D1B28"/>
    <w:rsid w:val="003F174D"/>
    <w:rsid w:val="003F5252"/>
    <w:rsid w:val="003F677D"/>
    <w:rsid w:val="003F7442"/>
    <w:rsid w:val="00407A96"/>
    <w:rsid w:val="00415F31"/>
    <w:rsid w:val="00423A77"/>
    <w:rsid w:val="004241B0"/>
    <w:rsid w:val="00437E19"/>
    <w:rsid w:val="00440867"/>
    <w:rsid w:val="00452867"/>
    <w:rsid w:val="00453AFD"/>
    <w:rsid w:val="0045777E"/>
    <w:rsid w:val="0046531F"/>
    <w:rsid w:val="00474EC7"/>
    <w:rsid w:val="00480B4B"/>
    <w:rsid w:val="0048171E"/>
    <w:rsid w:val="00485DC4"/>
    <w:rsid w:val="00486F2F"/>
    <w:rsid w:val="00487261"/>
    <w:rsid w:val="0049098C"/>
    <w:rsid w:val="00493751"/>
    <w:rsid w:val="004A43D1"/>
    <w:rsid w:val="004B0F1F"/>
    <w:rsid w:val="004B169C"/>
    <w:rsid w:val="004B355D"/>
    <w:rsid w:val="004B4412"/>
    <w:rsid w:val="004B766D"/>
    <w:rsid w:val="004C0383"/>
    <w:rsid w:val="004C348C"/>
    <w:rsid w:val="004D55BA"/>
    <w:rsid w:val="004D7BE7"/>
    <w:rsid w:val="004E22EC"/>
    <w:rsid w:val="004E4085"/>
    <w:rsid w:val="004E4402"/>
    <w:rsid w:val="004E4E86"/>
    <w:rsid w:val="004F6A0E"/>
    <w:rsid w:val="00500BC1"/>
    <w:rsid w:val="00530128"/>
    <w:rsid w:val="00532467"/>
    <w:rsid w:val="00535239"/>
    <w:rsid w:val="00537FD6"/>
    <w:rsid w:val="0055014A"/>
    <w:rsid w:val="00556F25"/>
    <w:rsid w:val="005641F3"/>
    <w:rsid w:val="00564A4D"/>
    <w:rsid w:val="005651F5"/>
    <w:rsid w:val="0056588A"/>
    <w:rsid w:val="00567BA5"/>
    <w:rsid w:val="00571B35"/>
    <w:rsid w:val="00571D57"/>
    <w:rsid w:val="00577A09"/>
    <w:rsid w:val="005829C2"/>
    <w:rsid w:val="00584D8F"/>
    <w:rsid w:val="00586819"/>
    <w:rsid w:val="0059704C"/>
    <w:rsid w:val="005A404D"/>
    <w:rsid w:val="005A6D57"/>
    <w:rsid w:val="005A7405"/>
    <w:rsid w:val="005B0751"/>
    <w:rsid w:val="005B1E3C"/>
    <w:rsid w:val="005B3FB7"/>
    <w:rsid w:val="005B704A"/>
    <w:rsid w:val="005C0A7F"/>
    <w:rsid w:val="005C26CC"/>
    <w:rsid w:val="005C4C9C"/>
    <w:rsid w:val="005D077A"/>
    <w:rsid w:val="005D1171"/>
    <w:rsid w:val="005D224A"/>
    <w:rsid w:val="005D7BA2"/>
    <w:rsid w:val="005E2888"/>
    <w:rsid w:val="005E2A7C"/>
    <w:rsid w:val="005E36C2"/>
    <w:rsid w:val="005F2E93"/>
    <w:rsid w:val="005F6AB8"/>
    <w:rsid w:val="005F7135"/>
    <w:rsid w:val="006007DE"/>
    <w:rsid w:val="00601638"/>
    <w:rsid w:val="00610EF9"/>
    <w:rsid w:val="00612F4F"/>
    <w:rsid w:val="00615C6B"/>
    <w:rsid w:val="00621DCE"/>
    <w:rsid w:val="00632D6D"/>
    <w:rsid w:val="00633270"/>
    <w:rsid w:val="00642C3E"/>
    <w:rsid w:val="00643AA2"/>
    <w:rsid w:val="00643AF3"/>
    <w:rsid w:val="006478AA"/>
    <w:rsid w:val="00651C3A"/>
    <w:rsid w:val="00651CB2"/>
    <w:rsid w:val="00652324"/>
    <w:rsid w:val="006553B6"/>
    <w:rsid w:val="006560CA"/>
    <w:rsid w:val="0066104A"/>
    <w:rsid w:val="00662426"/>
    <w:rsid w:val="00663DAD"/>
    <w:rsid w:val="00665649"/>
    <w:rsid w:val="00666BA5"/>
    <w:rsid w:val="00666CC6"/>
    <w:rsid w:val="006672AA"/>
    <w:rsid w:val="00675E20"/>
    <w:rsid w:val="00676679"/>
    <w:rsid w:val="00683C89"/>
    <w:rsid w:val="00691D9A"/>
    <w:rsid w:val="006962E2"/>
    <w:rsid w:val="006A555A"/>
    <w:rsid w:val="006B2395"/>
    <w:rsid w:val="006B45A4"/>
    <w:rsid w:val="006B4CF9"/>
    <w:rsid w:val="006B785B"/>
    <w:rsid w:val="006B7AC8"/>
    <w:rsid w:val="006B7D10"/>
    <w:rsid w:val="006C1736"/>
    <w:rsid w:val="006C367E"/>
    <w:rsid w:val="006C4798"/>
    <w:rsid w:val="006C48AF"/>
    <w:rsid w:val="006D52FC"/>
    <w:rsid w:val="006D550F"/>
    <w:rsid w:val="006D5B26"/>
    <w:rsid w:val="006D694F"/>
    <w:rsid w:val="006D69B5"/>
    <w:rsid w:val="006E0A57"/>
    <w:rsid w:val="006F3AD1"/>
    <w:rsid w:val="006F3FC8"/>
    <w:rsid w:val="006F508E"/>
    <w:rsid w:val="006F5E7B"/>
    <w:rsid w:val="0070011E"/>
    <w:rsid w:val="00701CAB"/>
    <w:rsid w:val="00702FC2"/>
    <w:rsid w:val="00707563"/>
    <w:rsid w:val="007106FF"/>
    <w:rsid w:val="00711A50"/>
    <w:rsid w:val="00714301"/>
    <w:rsid w:val="0072348C"/>
    <w:rsid w:val="00724A37"/>
    <w:rsid w:val="007303C3"/>
    <w:rsid w:val="007368B1"/>
    <w:rsid w:val="00741C46"/>
    <w:rsid w:val="00741E23"/>
    <w:rsid w:val="007429BE"/>
    <w:rsid w:val="00743223"/>
    <w:rsid w:val="00746E01"/>
    <w:rsid w:val="00747EEA"/>
    <w:rsid w:val="00757364"/>
    <w:rsid w:val="00757BDF"/>
    <w:rsid w:val="007605AA"/>
    <w:rsid w:val="007609D0"/>
    <w:rsid w:val="007633E9"/>
    <w:rsid w:val="00763E5D"/>
    <w:rsid w:val="00765765"/>
    <w:rsid w:val="00767740"/>
    <w:rsid w:val="00777EE6"/>
    <w:rsid w:val="00782EEA"/>
    <w:rsid w:val="00787A29"/>
    <w:rsid w:val="007903F2"/>
    <w:rsid w:val="00792520"/>
    <w:rsid w:val="007971C9"/>
    <w:rsid w:val="007A6E18"/>
    <w:rsid w:val="007B186E"/>
    <w:rsid w:val="007B1D34"/>
    <w:rsid w:val="007B2C72"/>
    <w:rsid w:val="007B6A91"/>
    <w:rsid w:val="007C1C53"/>
    <w:rsid w:val="007C718F"/>
    <w:rsid w:val="007C74BB"/>
    <w:rsid w:val="007D456E"/>
    <w:rsid w:val="007E446F"/>
    <w:rsid w:val="007E4904"/>
    <w:rsid w:val="007E4CB5"/>
    <w:rsid w:val="007F00D9"/>
    <w:rsid w:val="007F066B"/>
    <w:rsid w:val="007F213A"/>
    <w:rsid w:val="007F75C4"/>
    <w:rsid w:val="00802753"/>
    <w:rsid w:val="008033C4"/>
    <w:rsid w:val="00806C88"/>
    <w:rsid w:val="0081034E"/>
    <w:rsid w:val="008107F3"/>
    <w:rsid w:val="00812ADB"/>
    <w:rsid w:val="0081714E"/>
    <w:rsid w:val="008221F2"/>
    <w:rsid w:val="00825985"/>
    <w:rsid w:val="008344F6"/>
    <w:rsid w:val="0083510F"/>
    <w:rsid w:val="008408C5"/>
    <w:rsid w:val="00843CB1"/>
    <w:rsid w:val="00851209"/>
    <w:rsid w:val="0085722A"/>
    <w:rsid w:val="0086185B"/>
    <w:rsid w:val="00864B35"/>
    <w:rsid w:val="00882481"/>
    <w:rsid w:val="008833ED"/>
    <w:rsid w:val="00883789"/>
    <w:rsid w:val="008837AC"/>
    <w:rsid w:val="00887302"/>
    <w:rsid w:val="008A587D"/>
    <w:rsid w:val="008B2C5E"/>
    <w:rsid w:val="008B35CD"/>
    <w:rsid w:val="008B5C51"/>
    <w:rsid w:val="008B5FCC"/>
    <w:rsid w:val="008B7544"/>
    <w:rsid w:val="008C0E4B"/>
    <w:rsid w:val="008C3374"/>
    <w:rsid w:val="008C5486"/>
    <w:rsid w:val="008C5970"/>
    <w:rsid w:val="008C708B"/>
    <w:rsid w:val="008D0B85"/>
    <w:rsid w:val="008D1661"/>
    <w:rsid w:val="008D6800"/>
    <w:rsid w:val="008D7091"/>
    <w:rsid w:val="008E7031"/>
    <w:rsid w:val="008E77DE"/>
    <w:rsid w:val="008F07A3"/>
    <w:rsid w:val="008F34DD"/>
    <w:rsid w:val="009001B6"/>
    <w:rsid w:val="00900E1B"/>
    <w:rsid w:val="00901C3C"/>
    <w:rsid w:val="009071C0"/>
    <w:rsid w:val="009223D7"/>
    <w:rsid w:val="009233EE"/>
    <w:rsid w:val="0092379F"/>
    <w:rsid w:val="009272AD"/>
    <w:rsid w:val="009277DC"/>
    <w:rsid w:val="009309F6"/>
    <w:rsid w:val="0093374B"/>
    <w:rsid w:val="009337EC"/>
    <w:rsid w:val="00934788"/>
    <w:rsid w:val="00934ED9"/>
    <w:rsid w:val="00936E04"/>
    <w:rsid w:val="00941317"/>
    <w:rsid w:val="00942B45"/>
    <w:rsid w:val="009460AA"/>
    <w:rsid w:val="00947AF8"/>
    <w:rsid w:val="00951978"/>
    <w:rsid w:val="00961A4A"/>
    <w:rsid w:val="009632E7"/>
    <w:rsid w:val="009661DE"/>
    <w:rsid w:val="00975794"/>
    <w:rsid w:val="00983C25"/>
    <w:rsid w:val="009856B7"/>
    <w:rsid w:val="00985C86"/>
    <w:rsid w:val="00993FA3"/>
    <w:rsid w:val="009A2EC3"/>
    <w:rsid w:val="009A5113"/>
    <w:rsid w:val="009A5FC3"/>
    <w:rsid w:val="009B6F84"/>
    <w:rsid w:val="009B74B0"/>
    <w:rsid w:val="009C2D41"/>
    <w:rsid w:val="009C3085"/>
    <w:rsid w:val="009D1015"/>
    <w:rsid w:val="009D20AC"/>
    <w:rsid w:val="009D3906"/>
    <w:rsid w:val="009D6B46"/>
    <w:rsid w:val="009E13EA"/>
    <w:rsid w:val="009F041B"/>
    <w:rsid w:val="009F057E"/>
    <w:rsid w:val="009F4760"/>
    <w:rsid w:val="009F4940"/>
    <w:rsid w:val="009F5BA1"/>
    <w:rsid w:val="00A02A88"/>
    <w:rsid w:val="00A0424B"/>
    <w:rsid w:val="00A04DC4"/>
    <w:rsid w:val="00A0562E"/>
    <w:rsid w:val="00A06085"/>
    <w:rsid w:val="00A0726D"/>
    <w:rsid w:val="00A106D7"/>
    <w:rsid w:val="00A12F33"/>
    <w:rsid w:val="00A2124B"/>
    <w:rsid w:val="00A2157E"/>
    <w:rsid w:val="00A30095"/>
    <w:rsid w:val="00A32F83"/>
    <w:rsid w:val="00A32FBB"/>
    <w:rsid w:val="00A428EE"/>
    <w:rsid w:val="00A4478A"/>
    <w:rsid w:val="00A44852"/>
    <w:rsid w:val="00A4532E"/>
    <w:rsid w:val="00A4650A"/>
    <w:rsid w:val="00A50502"/>
    <w:rsid w:val="00A57D04"/>
    <w:rsid w:val="00A60A26"/>
    <w:rsid w:val="00A61598"/>
    <w:rsid w:val="00A67508"/>
    <w:rsid w:val="00A718BB"/>
    <w:rsid w:val="00A84A99"/>
    <w:rsid w:val="00A84F46"/>
    <w:rsid w:val="00A871F4"/>
    <w:rsid w:val="00A92ECD"/>
    <w:rsid w:val="00A94E3D"/>
    <w:rsid w:val="00AA2C7F"/>
    <w:rsid w:val="00AB1037"/>
    <w:rsid w:val="00AB78D5"/>
    <w:rsid w:val="00AC1B2C"/>
    <w:rsid w:val="00AC1C84"/>
    <w:rsid w:val="00AC3264"/>
    <w:rsid w:val="00AC50C8"/>
    <w:rsid w:val="00AE1BF1"/>
    <w:rsid w:val="00AE54C2"/>
    <w:rsid w:val="00AF0DD2"/>
    <w:rsid w:val="00AF422C"/>
    <w:rsid w:val="00B0209D"/>
    <w:rsid w:val="00B07CEA"/>
    <w:rsid w:val="00B13048"/>
    <w:rsid w:val="00B1716D"/>
    <w:rsid w:val="00B176F7"/>
    <w:rsid w:val="00B17A1D"/>
    <w:rsid w:val="00B207A0"/>
    <w:rsid w:val="00B222AF"/>
    <w:rsid w:val="00B24AD4"/>
    <w:rsid w:val="00B37996"/>
    <w:rsid w:val="00B40CAA"/>
    <w:rsid w:val="00B47DEC"/>
    <w:rsid w:val="00B514DD"/>
    <w:rsid w:val="00B51F3F"/>
    <w:rsid w:val="00B52AF0"/>
    <w:rsid w:val="00B561BD"/>
    <w:rsid w:val="00B56E03"/>
    <w:rsid w:val="00B61EDF"/>
    <w:rsid w:val="00B64986"/>
    <w:rsid w:val="00B757A6"/>
    <w:rsid w:val="00B8080B"/>
    <w:rsid w:val="00B82021"/>
    <w:rsid w:val="00B82223"/>
    <w:rsid w:val="00B87BA5"/>
    <w:rsid w:val="00B87C39"/>
    <w:rsid w:val="00B9562D"/>
    <w:rsid w:val="00B96B8F"/>
    <w:rsid w:val="00BA1584"/>
    <w:rsid w:val="00BA1C93"/>
    <w:rsid w:val="00BA4665"/>
    <w:rsid w:val="00BA478B"/>
    <w:rsid w:val="00BB2FB2"/>
    <w:rsid w:val="00BB3304"/>
    <w:rsid w:val="00BB3FD7"/>
    <w:rsid w:val="00BB7528"/>
    <w:rsid w:val="00BD310B"/>
    <w:rsid w:val="00BD3446"/>
    <w:rsid w:val="00BD37DE"/>
    <w:rsid w:val="00BE1F1B"/>
    <w:rsid w:val="00BE47B5"/>
    <w:rsid w:val="00BE5D56"/>
    <w:rsid w:val="00BE7C86"/>
    <w:rsid w:val="00BF2A93"/>
    <w:rsid w:val="00C04223"/>
    <w:rsid w:val="00C157CC"/>
    <w:rsid w:val="00C16780"/>
    <w:rsid w:val="00C25FA6"/>
    <w:rsid w:val="00C275C4"/>
    <w:rsid w:val="00C32735"/>
    <w:rsid w:val="00C37B44"/>
    <w:rsid w:val="00C407CF"/>
    <w:rsid w:val="00C42ACA"/>
    <w:rsid w:val="00C44CDA"/>
    <w:rsid w:val="00C47C15"/>
    <w:rsid w:val="00C538A9"/>
    <w:rsid w:val="00C53B5A"/>
    <w:rsid w:val="00C54F5A"/>
    <w:rsid w:val="00C569B4"/>
    <w:rsid w:val="00C56A3E"/>
    <w:rsid w:val="00C67A92"/>
    <w:rsid w:val="00C7497E"/>
    <w:rsid w:val="00C8356A"/>
    <w:rsid w:val="00C84560"/>
    <w:rsid w:val="00C84F52"/>
    <w:rsid w:val="00C86679"/>
    <w:rsid w:val="00C9745C"/>
    <w:rsid w:val="00CA0D07"/>
    <w:rsid w:val="00CA489E"/>
    <w:rsid w:val="00CA52A2"/>
    <w:rsid w:val="00CB0279"/>
    <w:rsid w:val="00CB2B61"/>
    <w:rsid w:val="00CB399F"/>
    <w:rsid w:val="00CB3EB9"/>
    <w:rsid w:val="00CB666B"/>
    <w:rsid w:val="00CC235F"/>
    <w:rsid w:val="00CC3C68"/>
    <w:rsid w:val="00CC7F1D"/>
    <w:rsid w:val="00CD570B"/>
    <w:rsid w:val="00CE484B"/>
    <w:rsid w:val="00CF0DEE"/>
    <w:rsid w:val="00CF2C05"/>
    <w:rsid w:val="00CF6EDE"/>
    <w:rsid w:val="00D006AE"/>
    <w:rsid w:val="00D01CF0"/>
    <w:rsid w:val="00D01EFD"/>
    <w:rsid w:val="00D0442A"/>
    <w:rsid w:val="00D121F6"/>
    <w:rsid w:val="00D1283D"/>
    <w:rsid w:val="00D137F0"/>
    <w:rsid w:val="00D17683"/>
    <w:rsid w:val="00D177B1"/>
    <w:rsid w:val="00D34BC7"/>
    <w:rsid w:val="00D363E4"/>
    <w:rsid w:val="00D423BC"/>
    <w:rsid w:val="00D45694"/>
    <w:rsid w:val="00D61388"/>
    <w:rsid w:val="00D61A54"/>
    <w:rsid w:val="00D64DEA"/>
    <w:rsid w:val="00D67AFF"/>
    <w:rsid w:val="00D7168E"/>
    <w:rsid w:val="00D71E57"/>
    <w:rsid w:val="00D75AA2"/>
    <w:rsid w:val="00D76C03"/>
    <w:rsid w:val="00D80893"/>
    <w:rsid w:val="00D82FE0"/>
    <w:rsid w:val="00D84854"/>
    <w:rsid w:val="00D848B4"/>
    <w:rsid w:val="00D86287"/>
    <w:rsid w:val="00D87E3F"/>
    <w:rsid w:val="00D92CF1"/>
    <w:rsid w:val="00D92D38"/>
    <w:rsid w:val="00D950F5"/>
    <w:rsid w:val="00D95DB3"/>
    <w:rsid w:val="00DA4752"/>
    <w:rsid w:val="00DA61F3"/>
    <w:rsid w:val="00DA6B93"/>
    <w:rsid w:val="00DB0F93"/>
    <w:rsid w:val="00DB1A67"/>
    <w:rsid w:val="00DB5074"/>
    <w:rsid w:val="00DB5B21"/>
    <w:rsid w:val="00DC2EE3"/>
    <w:rsid w:val="00DC5561"/>
    <w:rsid w:val="00DC7981"/>
    <w:rsid w:val="00DD125E"/>
    <w:rsid w:val="00DD1329"/>
    <w:rsid w:val="00DE0714"/>
    <w:rsid w:val="00DE1093"/>
    <w:rsid w:val="00DE4EFA"/>
    <w:rsid w:val="00DE5520"/>
    <w:rsid w:val="00DE563D"/>
    <w:rsid w:val="00DE5E2E"/>
    <w:rsid w:val="00DE772C"/>
    <w:rsid w:val="00DF26C7"/>
    <w:rsid w:val="00DF312A"/>
    <w:rsid w:val="00E03561"/>
    <w:rsid w:val="00E04818"/>
    <w:rsid w:val="00E06442"/>
    <w:rsid w:val="00E06BCF"/>
    <w:rsid w:val="00E1001C"/>
    <w:rsid w:val="00E23993"/>
    <w:rsid w:val="00E257D6"/>
    <w:rsid w:val="00E25B8C"/>
    <w:rsid w:val="00E27C76"/>
    <w:rsid w:val="00E51D65"/>
    <w:rsid w:val="00E6200B"/>
    <w:rsid w:val="00E63A9A"/>
    <w:rsid w:val="00E64769"/>
    <w:rsid w:val="00E65C85"/>
    <w:rsid w:val="00E66199"/>
    <w:rsid w:val="00E6745A"/>
    <w:rsid w:val="00E711C7"/>
    <w:rsid w:val="00E755EC"/>
    <w:rsid w:val="00E7624D"/>
    <w:rsid w:val="00EA2300"/>
    <w:rsid w:val="00EA3D42"/>
    <w:rsid w:val="00EA6B1B"/>
    <w:rsid w:val="00EB5BC8"/>
    <w:rsid w:val="00EB606C"/>
    <w:rsid w:val="00EC04F1"/>
    <w:rsid w:val="00ED0EC2"/>
    <w:rsid w:val="00ED258A"/>
    <w:rsid w:val="00ED7323"/>
    <w:rsid w:val="00EE28F3"/>
    <w:rsid w:val="00EE384C"/>
    <w:rsid w:val="00EE50D1"/>
    <w:rsid w:val="00EE77FA"/>
    <w:rsid w:val="00EE7CCC"/>
    <w:rsid w:val="00EF5110"/>
    <w:rsid w:val="00F0334E"/>
    <w:rsid w:val="00F10411"/>
    <w:rsid w:val="00F11395"/>
    <w:rsid w:val="00F15882"/>
    <w:rsid w:val="00F171E0"/>
    <w:rsid w:val="00F20BD3"/>
    <w:rsid w:val="00F2526A"/>
    <w:rsid w:val="00F30120"/>
    <w:rsid w:val="00F373A5"/>
    <w:rsid w:val="00F47559"/>
    <w:rsid w:val="00F50ED1"/>
    <w:rsid w:val="00F61176"/>
    <w:rsid w:val="00F64C7B"/>
    <w:rsid w:val="00F65B25"/>
    <w:rsid w:val="00F65E22"/>
    <w:rsid w:val="00F676DD"/>
    <w:rsid w:val="00F71667"/>
    <w:rsid w:val="00F75A26"/>
    <w:rsid w:val="00F76706"/>
    <w:rsid w:val="00F768C8"/>
    <w:rsid w:val="00F81B8D"/>
    <w:rsid w:val="00F83FAD"/>
    <w:rsid w:val="00F8653A"/>
    <w:rsid w:val="00F92349"/>
    <w:rsid w:val="00F9442F"/>
    <w:rsid w:val="00F952A0"/>
    <w:rsid w:val="00F96B7B"/>
    <w:rsid w:val="00F97C28"/>
    <w:rsid w:val="00FA3C7F"/>
    <w:rsid w:val="00FB4402"/>
    <w:rsid w:val="00FB60FE"/>
    <w:rsid w:val="00FB7114"/>
    <w:rsid w:val="00FB74E2"/>
    <w:rsid w:val="00FC71DC"/>
    <w:rsid w:val="00FC79BA"/>
    <w:rsid w:val="00FD1E11"/>
    <w:rsid w:val="00FD2ED2"/>
    <w:rsid w:val="00FD51A2"/>
    <w:rsid w:val="00FD5614"/>
    <w:rsid w:val="00FD5E78"/>
    <w:rsid w:val="00FE0BE1"/>
    <w:rsid w:val="00FE1DE9"/>
    <w:rsid w:val="00FE36AF"/>
    <w:rsid w:val="00FE39C2"/>
    <w:rsid w:val="00FE3C32"/>
    <w:rsid w:val="00FE64AE"/>
    <w:rsid w:val="00FE6754"/>
    <w:rsid w:val="00FE6E3B"/>
    <w:rsid w:val="00FF31F7"/>
    <w:rsid w:val="00FF6DD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before="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nhideWhenUsed="0"/>
    <w:lsdException w:name="footnote text" w:uiPriority="2" w:qFormat="1"/>
    <w:lsdException w:name="header" w:uiPriority="0" w:qFormat="1"/>
    <w:lsdException w:name="footer" w:qFormat="1"/>
    <w:lsdException w:name="caption" w:uiPriority="35" w:qFormat="1"/>
    <w:lsdException w:name="page number" w:uiPriority="0"/>
    <w:lsdException w:name="List" w:uiPriority="0" w:qFormat="1"/>
    <w:lsdException w:name="List Bullet" w:uiPriority="0"/>
    <w:lsdException w:name="List Number" w:uiPriority="0" w:qFormat="1"/>
    <w:lsdException w:name="List Bullet 2" w:uiPriority="0" w:qFormat="1"/>
    <w:lsdException w:name="List Bullet 3" w:uiPriority="0" w:qFormat="1"/>
    <w:lsdException w:name="Title" w:semiHidden="0" w:uiPriority="0" w:unhideWhenUsed="0" w:qFormat="1"/>
    <w:lsdException w:name="Default Paragraph Font" w:uiPriority="1"/>
    <w:lsdException w:name="Body Text" w:uiPriority="0"/>
    <w:lsdException w:name="Body Text Indent" w:uiPriority="0"/>
    <w:lsdException w:name="List Continue" w:uiPriority="0" w:qFormat="1"/>
    <w:lsdException w:name="List Continue 2" w:uiPriority="0" w:qFormat="1"/>
    <w:lsdException w:name="List Continue 3" w:uiPriority="0" w:qFormat="1"/>
    <w:lsdException w:name="Subtitle" w:semiHidden="0" w:uiPriority="11" w:unhideWhenUsed="0"/>
    <w:lsdException w:name="Body Text 2" w:uiPriority="0"/>
    <w:lsdException w:name="Body Text 3" w:uiPriority="0"/>
    <w:lsdException w:name="Body Text Indent 3" w:uiPriority="0"/>
    <w:lsdException w:name="Hyperlink"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semiHidden="0" w:uiPriority="33" w:unhideWhenUsed="0"/>
    <w:lsdException w:name="Bibliography" w:uiPriority="37"/>
    <w:lsdException w:name="TOC Heading" w:uiPriority="39" w:qFormat="1"/>
  </w:latentStyles>
  <w:style w:type="paragraph" w:default="1" w:styleId="Normal">
    <w:name w:val="Normal"/>
    <w:aliases w:val="AER body text"/>
    <w:qFormat/>
    <w:rsid w:val="000A3020"/>
    <w:pPr>
      <w:spacing w:line="276" w:lineRule="auto"/>
    </w:pPr>
    <w:rPr>
      <w:rFonts w:ascii="Arial" w:hAnsi="Arial"/>
    </w:rPr>
  </w:style>
  <w:style w:type="paragraph" w:styleId="Heading1">
    <w:name w:val="heading 1"/>
    <w:aliases w:val="(Alt + 1)"/>
    <w:basedOn w:val="Normal"/>
    <w:next w:val="Normal"/>
    <w:link w:val="Heading1Char"/>
    <w:qFormat/>
    <w:rsid w:val="00DE1093"/>
    <w:pPr>
      <w:pageBreakBefore/>
      <w:numPr>
        <w:numId w:val="25"/>
      </w:numPr>
      <w:tabs>
        <w:tab w:val="left" w:pos="680"/>
      </w:tabs>
      <w:spacing w:before="240"/>
      <w:outlineLvl w:val="0"/>
    </w:pPr>
    <w:rPr>
      <w:rFonts w:eastAsiaTheme="majorEastAsia" w:cstheme="majorBidi"/>
      <w:b/>
      <w:bCs/>
      <w:color w:val="70635A"/>
      <w:sz w:val="36"/>
      <w:szCs w:val="28"/>
    </w:rPr>
  </w:style>
  <w:style w:type="paragraph" w:styleId="Heading2">
    <w:name w:val="heading 2"/>
    <w:next w:val="Normal"/>
    <w:link w:val="Heading2Char"/>
    <w:qFormat/>
    <w:rsid w:val="00126A4C"/>
    <w:pPr>
      <w:numPr>
        <w:ilvl w:val="1"/>
        <w:numId w:val="25"/>
      </w:numPr>
      <w:tabs>
        <w:tab w:val="left" w:pos="680"/>
      </w:tabs>
      <w:spacing w:line="240" w:lineRule="atLeast"/>
      <w:outlineLvl w:val="1"/>
    </w:pPr>
    <w:rPr>
      <w:rFonts w:ascii="Arial" w:eastAsiaTheme="majorEastAsia" w:hAnsi="Arial" w:cstheme="majorBidi"/>
      <w:b/>
      <w:bCs/>
      <w:color w:val="70635A" w:themeColor="text2"/>
      <w:sz w:val="32"/>
      <w:szCs w:val="26"/>
    </w:rPr>
  </w:style>
  <w:style w:type="paragraph" w:styleId="Heading3">
    <w:name w:val="heading 3"/>
    <w:basedOn w:val="Normal"/>
    <w:next w:val="Normal"/>
    <w:link w:val="Heading3Char"/>
    <w:qFormat/>
    <w:rsid w:val="00126A4C"/>
    <w:pPr>
      <w:numPr>
        <w:ilvl w:val="2"/>
        <w:numId w:val="25"/>
      </w:numPr>
      <w:tabs>
        <w:tab w:val="left" w:pos="1021"/>
      </w:tabs>
      <w:spacing w:before="240"/>
      <w:outlineLvl w:val="2"/>
    </w:pPr>
    <w:rPr>
      <w:rFonts w:eastAsiaTheme="majorEastAsia" w:cstheme="majorBidi"/>
      <w:b/>
      <w:bCs/>
      <w:color w:val="70635A" w:themeColor="text2"/>
      <w:sz w:val="28"/>
    </w:rPr>
  </w:style>
  <w:style w:type="paragraph" w:styleId="Heading4">
    <w:name w:val="heading 4"/>
    <w:basedOn w:val="Normal"/>
    <w:next w:val="Normal"/>
    <w:link w:val="Heading4Char"/>
    <w:qFormat/>
    <w:rsid w:val="00126A4C"/>
    <w:pPr>
      <w:numPr>
        <w:ilvl w:val="3"/>
        <w:numId w:val="25"/>
      </w:numPr>
      <w:tabs>
        <w:tab w:val="left" w:pos="1021"/>
      </w:tabs>
      <w:spacing w:before="240"/>
      <w:outlineLvl w:val="3"/>
    </w:pPr>
    <w:rPr>
      <w:rFonts w:eastAsiaTheme="majorEastAsia" w:cstheme="majorBidi"/>
      <w:b/>
      <w:bCs/>
      <w:iCs/>
      <w:color w:val="51626F"/>
      <w:sz w:val="24"/>
    </w:rPr>
  </w:style>
  <w:style w:type="paragraph" w:styleId="Heading5">
    <w:name w:val="heading 5"/>
    <w:aliases w:val="Appendix 1"/>
    <w:next w:val="Normal"/>
    <w:link w:val="Heading5Char"/>
    <w:qFormat/>
    <w:rsid w:val="00126A4C"/>
    <w:pPr>
      <w:numPr>
        <w:ilvl w:val="4"/>
        <w:numId w:val="25"/>
      </w:numPr>
      <w:tabs>
        <w:tab w:val="left" w:pos="1021"/>
      </w:tabs>
      <w:spacing w:line="240" w:lineRule="atLeast"/>
      <w:outlineLvl w:val="4"/>
    </w:pPr>
    <w:rPr>
      <w:rFonts w:ascii="Arial" w:eastAsiaTheme="majorEastAsia" w:hAnsi="Arial" w:cstheme="majorBidi"/>
      <w:b/>
      <w:color w:val="170017" w:themeColor="accent1" w:themeShade="7F"/>
    </w:rPr>
  </w:style>
  <w:style w:type="paragraph" w:styleId="Heading6">
    <w:name w:val="heading 6"/>
    <w:aliases w:val="Appendix 2"/>
    <w:basedOn w:val="Normal"/>
    <w:next w:val="Normal"/>
    <w:link w:val="Heading6Char"/>
    <w:qFormat/>
    <w:rsid w:val="00126A4C"/>
    <w:pPr>
      <w:numPr>
        <w:ilvl w:val="5"/>
        <w:numId w:val="25"/>
      </w:numPr>
      <w:tabs>
        <w:tab w:val="left" w:pos="1361"/>
      </w:tabs>
      <w:spacing w:before="240"/>
      <w:outlineLvl w:val="5"/>
    </w:pPr>
    <w:rPr>
      <w:rFonts w:eastAsiaTheme="majorEastAsia" w:cstheme="majorBidi"/>
      <w:b/>
      <w:i/>
      <w:iCs/>
      <w:color w:val="076A92" w:themeColor="text1"/>
    </w:rPr>
  </w:style>
  <w:style w:type="paragraph" w:styleId="Heading7">
    <w:name w:val="heading 7"/>
    <w:aliases w:val="(Appen),t,Appendix 3"/>
    <w:basedOn w:val="Heading1"/>
    <w:next w:val="Normal"/>
    <w:link w:val="Heading7Char"/>
    <w:qFormat/>
    <w:rsid w:val="00CB0279"/>
    <w:pPr>
      <w:numPr>
        <w:numId w:val="27"/>
      </w:numPr>
      <w:tabs>
        <w:tab w:val="clear" w:pos="680"/>
        <w:tab w:val="left" w:pos="1021"/>
      </w:tabs>
      <w:ind w:left="1021" w:hanging="1021"/>
      <w:outlineLvl w:val="6"/>
    </w:pPr>
  </w:style>
  <w:style w:type="paragraph" w:styleId="Heading8">
    <w:name w:val="heading 8"/>
    <w:basedOn w:val="Heading2"/>
    <w:next w:val="Normal"/>
    <w:link w:val="Heading8Char"/>
    <w:qFormat/>
    <w:rsid w:val="00CB0279"/>
    <w:pPr>
      <w:numPr>
        <w:numId w:val="27"/>
      </w:numPr>
      <w:tabs>
        <w:tab w:val="clear" w:pos="680"/>
        <w:tab w:val="left" w:pos="1021"/>
      </w:tabs>
      <w:outlineLvl w:val="7"/>
    </w:pPr>
  </w:style>
  <w:style w:type="paragraph" w:styleId="Heading9">
    <w:name w:val="heading 9"/>
    <w:basedOn w:val="Heading3"/>
    <w:next w:val="Normal"/>
    <w:link w:val="Heading9Char"/>
    <w:qFormat/>
    <w:rsid w:val="00CB0279"/>
    <w:pPr>
      <w:numPr>
        <w:numId w:val="27"/>
      </w:numPr>
      <w:ind w:left="1021" w:hanging="102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lt + 1) Char"/>
    <w:basedOn w:val="DefaultParagraphFont"/>
    <w:link w:val="Heading1"/>
    <w:rsid w:val="00DE1093"/>
    <w:rPr>
      <w:rFonts w:ascii="Arial" w:eastAsiaTheme="majorEastAsia" w:hAnsi="Arial" w:cstheme="majorBidi"/>
      <w:b/>
      <w:bCs/>
      <w:color w:val="70635A"/>
      <w:sz w:val="36"/>
      <w:szCs w:val="28"/>
    </w:rPr>
  </w:style>
  <w:style w:type="character" w:customStyle="1" w:styleId="Heading2Char">
    <w:name w:val="Heading 2 Char"/>
    <w:basedOn w:val="DefaultParagraphFont"/>
    <w:link w:val="Heading2"/>
    <w:rsid w:val="00126A4C"/>
    <w:rPr>
      <w:rFonts w:ascii="Arial" w:eastAsiaTheme="majorEastAsia" w:hAnsi="Arial" w:cstheme="majorBidi"/>
      <w:b/>
      <w:bCs/>
      <w:color w:val="70635A" w:themeColor="text2"/>
      <w:sz w:val="32"/>
      <w:szCs w:val="26"/>
    </w:rPr>
  </w:style>
  <w:style w:type="character" w:customStyle="1" w:styleId="Heading3Char">
    <w:name w:val="Heading 3 Char"/>
    <w:basedOn w:val="DefaultParagraphFont"/>
    <w:link w:val="Heading3"/>
    <w:rsid w:val="00126A4C"/>
    <w:rPr>
      <w:rFonts w:ascii="Arial" w:eastAsiaTheme="majorEastAsia" w:hAnsi="Arial" w:cstheme="majorBidi"/>
      <w:b/>
      <w:bCs/>
      <w:color w:val="70635A" w:themeColor="text2"/>
      <w:sz w:val="28"/>
    </w:rPr>
  </w:style>
  <w:style w:type="character" w:customStyle="1" w:styleId="Heading4Char">
    <w:name w:val="Heading 4 Char"/>
    <w:basedOn w:val="DefaultParagraphFont"/>
    <w:link w:val="Heading4"/>
    <w:rsid w:val="00126A4C"/>
    <w:rPr>
      <w:rFonts w:ascii="Arial" w:eastAsiaTheme="majorEastAsia" w:hAnsi="Arial" w:cstheme="majorBidi"/>
      <w:b/>
      <w:bCs/>
      <w:iCs/>
      <w:color w:val="51626F"/>
      <w:sz w:val="24"/>
    </w:rPr>
  </w:style>
  <w:style w:type="character" w:customStyle="1" w:styleId="Heading5Char">
    <w:name w:val="Heading 5 Char"/>
    <w:aliases w:val="Appendix 1 Char"/>
    <w:basedOn w:val="DefaultParagraphFont"/>
    <w:link w:val="Heading5"/>
    <w:rsid w:val="00126A4C"/>
    <w:rPr>
      <w:rFonts w:ascii="Arial" w:eastAsiaTheme="majorEastAsia" w:hAnsi="Arial" w:cstheme="majorBidi"/>
      <w:b/>
      <w:color w:val="170017" w:themeColor="accent1" w:themeShade="7F"/>
    </w:rPr>
  </w:style>
  <w:style w:type="character" w:customStyle="1" w:styleId="Heading6Char">
    <w:name w:val="Heading 6 Char"/>
    <w:aliases w:val="Appendix 2 Char"/>
    <w:basedOn w:val="DefaultParagraphFont"/>
    <w:link w:val="Heading6"/>
    <w:rsid w:val="00126A4C"/>
    <w:rPr>
      <w:rFonts w:ascii="Arial" w:eastAsiaTheme="majorEastAsia" w:hAnsi="Arial" w:cstheme="majorBidi"/>
      <w:b/>
      <w:i/>
      <w:iCs/>
      <w:color w:val="076A92" w:themeColor="text1"/>
    </w:rPr>
  </w:style>
  <w:style w:type="paragraph" w:customStyle="1" w:styleId="Chaptertitle">
    <w:name w:val="Chapter title"/>
    <w:basedOn w:val="Normal"/>
    <w:link w:val="ChaptertitleChar"/>
    <w:rsid w:val="00DE1093"/>
    <w:pPr>
      <w:pageBreakBefore/>
      <w:spacing w:before="520" w:after="120"/>
      <w:outlineLvl w:val="0"/>
    </w:pPr>
    <w:rPr>
      <w:color w:val="076A92" w:themeColor="text1"/>
      <w:sz w:val="52"/>
      <w:szCs w:val="52"/>
    </w:rPr>
  </w:style>
  <w:style w:type="character" w:customStyle="1" w:styleId="ChaptertitleChar">
    <w:name w:val="Chapter title Char"/>
    <w:basedOn w:val="DefaultParagraphFont"/>
    <w:link w:val="Chaptertitle"/>
    <w:rsid w:val="00DE1093"/>
    <w:rPr>
      <w:rFonts w:ascii="Arial" w:hAnsi="Arial"/>
      <w:color w:val="076A92" w:themeColor="text1"/>
      <w:sz w:val="52"/>
      <w:szCs w:val="52"/>
    </w:rPr>
  </w:style>
  <w:style w:type="paragraph" w:customStyle="1" w:styleId="Tabletext">
    <w:name w:val="Table text"/>
    <w:basedOn w:val="Normal"/>
    <w:link w:val="TabletextChar"/>
    <w:uiPriority w:val="1"/>
    <w:qFormat/>
    <w:rsid w:val="00584D8F"/>
    <w:pPr>
      <w:spacing w:before="120" w:after="60"/>
    </w:pPr>
    <w:rPr>
      <w:sz w:val="20"/>
    </w:rPr>
  </w:style>
  <w:style w:type="paragraph" w:styleId="TOC8">
    <w:name w:val="toc 8"/>
    <w:basedOn w:val="Normal"/>
    <w:next w:val="Normal"/>
    <w:rsid w:val="005D7BA2"/>
    <w:pPr>
      <w:tabs>
        <w:tab w:val="right" w:leader="dot" w:pos="8363"/>
      </w:tabs>
      <w:spacing w:after="100"/>
      <w:ind w:left="2977"/>
    </w:pPr>
    <w:rPr>
      <w:noProof/>
    </w:rPr>
  </w:style>
  <w:style w:type="paragraph" w:styleId="TOC9">
    <w:name w:val="toc 9"/>
    <w:basedOn w:val="Normal"/>
    <w:next w:val="Normal"/>
    <w:rsid w:val="005D7BA2"/>
    <w:pPr>
      <w:tabs>
        <w:tab w:val="right" w:leader="dot" w:pos="8363"/>
      </w:tabs>
      <w:spacing w:after="100"/>
      <w:ind w:left="3402"/>
    </w:pPr>
    <w:rPr>
      <w:noProof/>
    </w:rPr>
  </w:style>
  <w:style w:type="paragraph" w:customStyle="1" w:styleId="HeadingBoldBlue">
    <w:name w:val="Heading Bold Blue"/>
    <w:basedOn w:val="Heading3"/>
    <w:link w:val="HeadingBoldBlueChar"/>
    <w:qFormat/>
    <w:rsid w:val="00985C86"/>
    <w:pPr>
      <w:numPr>
        <w:ilvl w:val="0"/>
        <w:numId w:val="0"/>
      </w:numPr>
    </w:pPr>
  </w:style>
  <w:style w:type="paragraph" w:customStyle="1" w:styleId="HeadingBoldItalic">
    <w:name w:val="Heading Bold Italic"/>
    <w:basedOn w:val="Heading4"/>
    <w:qFormat/>
    <w:rsid w:val="00985C86"/>
    <w:pPr>
      <w:numPr>
        <w:ilvl w:val="0"/>
        <w:numId w:val="0"/>
      </w:numPr>
    </w:pPr>
    <w:rPr>
      <w:i/>
    </w:rPr>
  </w:style>
  <w:style w:type="paragraph" w:customStyle="1" w:styleId="HeadingItalic">
    <w:name w:val="Heading Italic"/>
    <w:basedOn w:val="HeadingBoldItalic"/>
    <w:qFormat/>
    <w:rsid w:val="00985C86"/>
    <w:rPr>
      <w:b w:val="0"/>
    </w:rPr>
  </w:style>
  <w:style w:type="paragraph" w:customStyle="1" w:styleId="HeadingOrange">
    <w:name w:val="Heading Orange"/>
    <w:basedOn w:val="Heading5"/>
    <w:qFormat/>
    <w:rsid w:val="00985C86"/>
    <w:pPr>
      <w:numPr>
        <w:ilvl w:val="0"/>
        <w:numId w:val="0"/>
      </w:numPr>
    </w:pPr>
  </w:style>
  <w:style w:type="paragraph" w:styleId="Header">
    <w:name w:val="header"/>
    <w:basedOn w:val="Normal"/>
    <w:link w:val="HeaderChar"/>
    <w:unhideWhenUsed/>
    <w:qFormat/>
    <w:rsid w:val="008344F6"/>
    <w:pPr>
      <w:tabs>
        <w:tab w:val="center" w:pos="4513"/>
        <w:tab w:val="right" w:pos="9026"/>
      </w:tabs>
      <w:spacing w:after="120"/>
    </w:pPr>
    <w:rPr>
      <w:color w:val="2F002F" w:themeColor="accent1"/>
      <w:sz w:val="18"/>
    </w:rPr>
  </w:style>
  <w:style w:type="character" w:customStyle="1" w:styleId="HeaderChar">
    <w:name w:val="Header Char"/>
    <w:basedOn w:val="DefaultParagraphFont"/>
    <w:link w:val="Header"/>
    <w:uiPriority w:val="99"/>
    <w:rsid w:val="008344F6"/>
    <w:rPr>
      <w:rFonts w:ascii="Arial" w:hAnsi="Arial"/>
      <w:color w:val="2F002F" w:themeColor="accent1"/>
      <w:sz w:val="18"/>
    </w:rPr>
  </w:style>
  <w:style w:type="paragraph" w:styleId="NoSpacing">
    <w:name w:val="No Spacing"/>
    <w:uiPriority w:val="1"/>
    <w:qFormat/>
    <w:rsid w:val="00724A37"/>
    <w:pPr>
      <w:spacing w:before="0"/>
    </w:pPr>
    <w:rPr>
      <w:rFonts w:ascii="Arial" w:hAnsi="Arial"/>
    </w:rPr>
  </w:style>
  <w:style w:type="paragraph" w:customStyle="1" w:styleId="Tabletitle">
    <w:name w:val="Table title"/>
    <w:basedOn w:val="Normal"/>
    <w:link w:val="TabletitleChar"/>
    <w:qFormat/>
    <w:rsid w:val="00C67A92"/>
    <w:pPr>
      <w:spacing w:before="240" w:after="120"/>
    </w:pPr>
    <w:rPr>
      <w:b/>
      <w:color w:val="076A92" w:themeColor="text1"/>
      <w:sz w:val="24"/>
      <w:szCs w:val="20"/>
    </w:rPr>
  </w:style>
  <w:style w:type="character" w:customStyle="1" w:styleId="TabletitleChar">
    <w:name w:val="Table title Char"/>
    <w:basedOn w:val="DefaultParagraphFont"/>
    <w:link w:val="Tabletitle"/>
    <w:rsid w:val="00C67A92"/>
    <w:rPr>
      <w:rFonts w:ascii="Arial" w:hAnsi="Arial"/>
      <w:b/>
      <w:color w:val="076A92" w:themeColor="text1"/>
      <w:sz w:val="24"/>
      <w:szCs w:val="20"/>
    </w:rPr>
  </w:style>
  <w:style w:type="paragraph" w:customStyle="1" w:styleId="Charttitle">
    <w:name w:val="Chart title"/>
    <w:basedOn w:val="Tabletitle"/>
    <w:rsid w:val="00C67A92"/>
  </w:style>
  <w:style w:type="paragraph" w:styleId="EndnoteText">
    <w:name w:val="endnote text"/>
    <w:basedOn w:val="Normal"/>
    <w:link w:val="EndnoteTextChar"/>
    <w:uiPriority w:val="99"/>
    <w:rsid w:val="00263AC0"/>
    <w:pPr>
      <w:spacing w:before="0"/>
    </w:pPr>
    <w:rPr>
      <w:sz w:val="20"/>
      <w:szCs w:val="20"/>
    </w:rPr>
  </w:style>
  <w:style w:type="paragraph" w:customStyle="1" w:styleId="AERrevisionbox">
    <w:name w:val="AER revision box"/>
    <w:basedOn w:val="Normal"/>
    <w:link w:val="AERrevisionboxChar"/>
    <w:qFormat/>
    <w:rsid w:val="00180157"/>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2F2F2" w:themeFill="background1" w:themeFillShade="F2"/>
      <w:spacing w:after="240"/>
    </w:pPr>
    <w:rPr>
      <w:szCs w:val="20"/>
    </w:rPr>
  </w:style>
  <w:style w:type="character" w:customStyle="1" w:styleId="AERrevisionboxChar">
    <w:name w:val="AER revision box Char"/>
    <w:basedOn w:val="DefaultParagraphFont"/>
    <w:link w:val="AERrevisionbox"/>
    <w:uiPriority w:val="1"/>
    <w:rsid w:val="00AE1BF1"/>
    <w:rPr>
      <w:rFonts w:ascii="Arial" w:hAnsi="Arial"/>
      <w:szCs w:val="20"/>
      <w:shd w:val="clear" w:color="auto" w:fill="F2F2F2" w:themeFill="background1" w:themeFillShade="F2"/>
    </w:rPr>
  </w:style>
  <w:style w:type="paragraph" w:customStyle="1" w:styleId="Pullquoteheading">
    <w:name w:val="Pull quote heading"/>
    <w:basedOn w:val="Normal"/>
    <w:link w:val="PullquoteheadingChar"/>
    <w:uiPriority w:val="1"/>
    <w:rsid w:val="00CA489E"/>
    <w:pPr>
      <w:spacing w:after="120"/>
      <w:contextualSpacing/>
    </w:pPr>
    <w:rPr>
      <w:b/>
      <w:color w:val="C14E00" w:themeColor="accent2"/>
      <w:sz w:val="24"/>
      <w:szCs w:val="24"/>
    </w:rPr>
  </w:style>
  <w:style w:type="character" w:customStyle="1" w:styleId="PullquoteheadingChar">
    <w:name w:val="Pull quote heading Char"/>
    <w:basedOn w:val="DefaultParagraphFont"/>
    <w:link w:val="Pullquoteheading"/>
    <w:uiPriority w:val="1"/>
    <w:rsid w:val="00CA489E"/>
    <w:rPr>
      <w:rFonts w:ascii="Arial" w:hAnsi="Arial"/>
      <w:b/>
      <w:color w:val="C14E00" w:themeColor="accent2"/>
      <w:sz w:val="24"/>
      <w:szCs w:val="24"/>
    </w:rPr>
  </w:style>
  <w:style w:type="paragraph" w:customStyle="1" w:styleId="Pullquotetext">
    <w:name w:val="Pull quote text"/>
    <w:link w:val="PullquotetextChar"/>
    <w:uiPriority w:val="1"/>
    <w:rsid w:val="00CA489E"/>
    <w:pPr>
      <w:spacing w:before="120"/>
    </w:pPr>
    <w:rPr>
      <w:rFonts w:ascii="Arial" w:hAnsi="Arial"/>
      <w:color w:val="DC5034"/>
      <w:szCs w:val="24"/>
    </w:rPr>
  </w:style>
  <w:style w:type="character" w:customStyle="1" w:styleId="PullquotetextChar">
    <w:name w:val="Pull quote text Char"/>
    <w:basedOn w:val="PullquoteheadingChar"/>
    <w:link w:val="Pullquotetext"/>
    <w:uiPriority w:val="1"/>
    <w:rsid w:val="00CA489E"/>
    <w:rPr>
      <w:rFonts w:ascii="Arial" w:hAnsi="Arial"/>
      <w:b w:val="0"/>
      <w:color w:val="DC5034"/>
      <w:sz w:val="24"/>
      <w:szCs w:val="24"/>
    </w:rPr>
  </w:style>
  <w:style w:type="paragraph" w:customStyle="1" w:styleId="Note">
    <w:name w:val="Note"/>
    <w:basedOn w:val="Normal"/>
    <w:link w:val="NoteChar"/>
    <w:rsid w:val="00085663"/>
    <w:pPr>
      <w:spacing w:after="120"/>
    </w:pPr>
    <w:rPr>
      <w:i/>
      <w:sz w:val="16"/>
      <w:szCs w:val="16"/>
    </w:rPr>
  </w:style>
  <w:style w:type="character" w:customStyle="1" w:styleId="NoteChar">
    <w:name w:val="Note Char"/>
    <w:basedOn w:val="DefaultParagraphFont"/>
    <w:link w:val="Note"/>
    <w:rsid w:val="00085663"/>
    <w:rPr>
      <w:rFonts w:ascii="Arial" w:hAnsi="Arial"/>
      <w:i/>
      <w:sz w:val="16"/>
      <w:szCs w:val="16"/>
    </w:rPr>
  </w:style>
  <w:style w:type="paragraph" w:customStyle="1" w:styleId="Source">
    <w:name w:val="Source"/>
    <w:basedOn w:val="Normal"/>
    <w:link w:val="SourceChar"/>
    <w:rsid w:val="00085663"/>
    <w:pPr>
      <w:spacing w:after="60"/>
    </w:pPr>
    <w:rPr>
      <w:sz w:val="16"/>
      <w:szCs w:val="16"/>
    </w:rPr>
  </w:style>
  <w:style w:type="character" w:customStyle="1" w:styleId="SourceChar">
    <w:name w:val="Source Char"/>
    <w:basedOn w:val="DefaultParagraphFont"/>
    <w:link w:val="Source"/>
    <w:rsid w:val="00085663"/>
    <w:rPr>
      <w:rFonts w:ascii="Arial" w:hAnsi="Arial"/>
      <w:sz w:val="16"/>
      <w:szCs w:val="16"/>
    </w:rPr>
  </w:style>
  <w:style w:type="paragraph" w:styleId="Index1">
    <w:name w:val="index 1"/>
    <w:basedOn w:val="Normal"/>
    <w:next w:val="Normal"/>
    <w:autoRedefine/>
    <w:uiPriority w:val="99"/>
    <w:unhideWhenUsed/>
    <w:rsid w:val="00F171E0"/>
    <w:pPr>
      <w:spacing w:before="0" w:line="240" w:lineRule="auto"/>
      <w:ind w:left="220" w:hanging="220"/>
    </w:pPr>
  </w:style>
  <w:style w:type="paragraph" w:styleId="Index2">
    <w:name w:val="index 2"/>
    <w:basedOn w:val="Normal"/>
    <w:next w:val="Normal"/>
    <w:autoRedefine/>
    <w:uiPriority w:val="99"/>
    <w:unhideWhenUsed/>
    <w:rsid w:val="00F171E0"/>
    <w:pPr>
      <w:spacing w:before="0" w:line="240" w:lineRule="auto"/>
      <w:ind w:left="440" w:hanging="220"/>
    </w:pPr>
  </w:style>
  <w:style w:type="paragraph" w:styleId="Quote">
    <w:name w:val="Quote"/>
    <w:basedOn w:val="Normal"/>
    <w:next w:val="Normal"/>
    <w:link w:val="QuoteChar"/>
    <w:uiPriority w:val="29"/>
    <w:rsid w:val="00C67A92"/>
    <w:pPr>
      <w:ind w:left="680"/>
    </w:pPr>
    <w:rPr>
      <w:i/>
      <w:iCs/>
      <w:color w:val="076A92" w:themeColor="text1"/>
    </w:rPr>
  </w:style>
  <w:style w:type="character" w:customStyle="1" w:styleId="QuoteChar">
    <w:name w:val="Quote Char"/>
    <w:basedOn w:val="DefaultParagraphFont"/>
    <w:link w:val="Quote"/>
    <w:uiPriority w:val="29"/>
    <w:rsid w:val="00C67A92"/>
    <w:rPr>
      <w:rFonts w:ascii="Arial" w:hAnsi="Arial"/>
      <w:i/>
      <w:iCs/>
      <w:color w:val="076A92" w:themeColor="text1"/>
    </w:rPr>
  </w:style>
  <w:style w:type="paragraph" w:customStyle="1" w:styleId="AERbulletlistfirststyle">
    <w:name w:val="AER bullet list (first style)"/>
    <w:basedOn w:val="ListBullet"/>
    <w:qFormat/>
    <w:rsid w:val="00FE64AE"/>
    <w:pPr>
      <w:numPr>
        <w:numId w:val="2"/>
      </w:numPr>
    </w:pPr>
    <w:rPr>
      <w:rFonts w:cs="Times New Roman"/>
    </w:rPr>
  </w:style>
  <w:style w:type="paragraph" w:styleId="ListBullet">
    <w:name w:val="List Bullet"/>
    <w:aliases w:val="AER List number 2 first"/>
    <w:basedOn w:val="Normal"/>
    <w:unhideWhenUsed/>
    <w:rsid w:val="0045777E"/>
    <w:pPr>
      <w:numPr>
        <w:numId w:val="13"/>
      </w:numPr>
      <w:tabs>
        <w:tab w:val="left" w:pos="340"/>
      </w:tabs>
      <w:spacing w:before="120"/>
    </w:pPr>
  </w:style>
  <w:style w:type="paragraph" w:customStyle="1" w:styleId="AERbulletlistsecondstyle">
    <w:name w:val="AER bullet list (second style)"/>
    <w:basedOn w:val="ListBullet2"/>
    <w:qFormat/>
    <w:rsid w:val="008033C4"/>
    <w:pPr>
      <w:numPr>
        <w:numId w:val="12"/>
      </w:numPr>
      <w:ind w:left="998" w:hanging="357"/>
    </w:pPr>
  </w:style>
  <w:style w:type="paragraph" w:styleId="ListNumber">
    <w:name w:val="List Number"/>
    <w:aliases w:val="AER numbered list (first style)"/>
    <w:basedOn w:val="Normal"/>
    <w:qFormat/>
    <w:rsid w:val="00CA489E"/>
    <w:pPr>
      <w:numPr>
        <w:numId w:val="7"/>
      </w:numPr>
      <w:tabs>
        <w:tab w:val="clear" w:pos="360"/>
        <w:tab w:val="num" w:pos="340"/>
      </w:tabs>
      <w:spacing w:before="120"/>
      <w:ind w:left="340" w:hanging="340"/>
    </w:pPr>
  </w:style>
  <w:style w:type="paragraph" w:styleId="ListBullet2">
    <w:name w:val="List Bullet 2"/>
    <w:aliases w:val="AER numbered list 2 second"/>
    <w:basedOn w:val="Normal"/>
    <w:unhideWhenUsed/>
    <w:qFormat/>
    <w:rsid w:val="008E77DE"/>
    <w:pPr>
      <w:numPr>
        <w:numId w:val="3"/>
      </w:numPr>
      <w:spacing w:before="120"/>
    </w:pPr>
  </w:style>
  <w:style w:type="paragraph" w:styleId="TOCHeading">
    <w:name w:val="TOC Heading"/>
    <w:basedOn w:val="Normal"/>
    <w:next w:val="Normal"/>
    <w:uiPriority w:val="39"/>
    <w:qFormat/>
    <w:rsid w:val="00327A1E"/>
    <w:pPr>
      <w:spacing w:before="480" w:after="120"/>
    </w:pPr>
    <w:rPr>
      <w:rFonts w:eastAsiaTheme="majorEastAsia" w:cstheme="majorBidi"/>
      <w:b/>
      <w:bCs/>
      <w:color w:val="076A92" w:themeColor="text1"/>
      <w:sz w:val="36"/>
      <w:szCs w:val="28"/>
      <w:lang w:val="en-US" w:eastAsia="ja-JP"/>
    </w:rPr>
  </w:style>
  <w:style w:type="paragraph" w:customStyle="1" w:styleId="Listalphabet">
    <w:name w:val="List alphabet"/>
    <w:basedOn w:val="List"/>
    <w:qFormat/>
    <w:rsid w:val="00DB5074"/>
    <w:pPr>
      <w:numPr>
        <w:numId w:val="17"/>
      </w:numPr>
      <w:ind w:left="340" w:hanging="340"/>
    </w:pPr>
  </w:style>
  <w:style w:type="character" w:styleId="Hyperlink">
    <w:name w:val="Hyperlink"/>
    <w:basedOn w:val="DefaultParagraphFont"/>
    <w:uiPriority w:val="99"/>
    <w:qFormat/>
    <w:rsid w:val="00BE1F1B"/>
    <w:rPr>
      <w:rFonts w:ascii="Arial" w:hAnsi="Arial"/>
      <w:color w:val="0000FF"/>
      <w:sz w:val="22"/>
      <w:u w:val="single"/>
    </w:rPr>
  </w:style>
  <w:style w:type="paragraph" w:styleId="BalloonText">
    <w:name w:val="Balloon Text"/>
    <w:basedOn w:val="Normal"/>
    <w:link w:val="BalloonTextChar"/>
    <w:unhideWhenUsed/>
    <w:rsid w:val="00683C89"/>
    <w:pPr>
      <w:spacing w:before="0"/>
    </w:pPr>
    <w:rPr>
      <w:rFonts w:asciiTheme="minorHAnsi" w:hAnsiTheme="minorHAnsi" w:cs="Tahoma"/>
      <w:sz w:val="16"/>
      <w:szCs w:val="16"/>
    </w:rPr>
  </w:style>
  <w:style w:type="character" w:customStyle="1" w:styleId="BalloonTextChar">
    <w:name w:val="Balloon Text Char"/>
    <w:basedOn w:val="DefaultParagraphFont"/>
    <w:link w:val="BalloonText"/>
    <w:uiPriority w:val="99"/>
    <w:rsid w:val="00683C89"/>
    <w:rPr>
      <w:rFonts w:cs="Tahoma"/>
      <w:sz w:val="16"/>
      <w:szCs w:val="16"/>
    </w:rPr>
  </w:style>
  <w:style w:type="paragraph" w:styleId="Footer">
    <w:name w:val="footer"/>
    <w:aliases w:val="Footer Base"/>
    <w:basedOn w:val="Normal"/>
    <w:link w:val="FooterChar"/>
    <w:uiPriority w:val="99"/>
    <w:unhideWhenUsed/>
    <w:qFormat/>
    <w:rsid w:val="005D7BA2"/>
    <w:pPr>
      <w:tabs>
        <w:tab w:val="center" w:pos="4513"/>
        <w:tab w:val="right" w:pos="9026"/>
      </w:tabs>
      <w:spacing w:after="120"/>
    </w:pPr>
    <w:rPr>
      <w:color w:val="076A92" w:themeColor="text1"/>
      <w:sz w:val="18"/>
    </w:rPr>
  </w:style>
  <w:style w:type="character" w:customStyle="1" w:styleId="FooterChar">
    <w:name w:val="Footer Char"/>
    <w:aliases w:val="Footer Base Char"/>
    <w:basedOn w:val="DefaultParagraphFont"/>
    <w:link w:val="Footer"/>
    <w:uiPriority w:val="99"/>
    <w:rsid w:val="005D7BA2"/>
    <w:rPr>
      <w:rFonts w:ascii="Arial" w:hAnsi="Arial"/>
      <w:color w:val="076A92" w:themeColor="text1"/>
      <w:sz w:val="18"/>
    </w:rPr>
  </w:style>
  <w:style w:type="paragraph" w:styleId="ListParagraph">
    <w:name w:val="List Paragraph"/>
    <w:basedOn w:val="Normal"/>
    <w:uiPriority w:val="34"/>
    <w:qFormat/>
    <w:rsid w:val="00567BA5"/>
    <w:pPr>
      <w:numPr>
        <w:numId w:val="14"/>
      </w:numPr>
      <w:tabs>
        <w:tab w:val="left" w:pos="340"/>
      </w:tabs>
      <w:spacing w:before="120"/>
      <w:ind w:left="340" w:hanging="340"/>
    </w:pPr>
  </w:style>
  <w:style w:type="character" w:customStyle="1" w:styleId="Heading7Char">
    <w:name w:val="Heading 7 Char"/>
    <w:aliases w:val="(Appen) Char,t Char,Appendix 3 Char"/>
    <w:basedOn w:val="DefaultParagraphFont"/>
    <w:link w:val="Heading7"/>
    <w:rsid w:val="00CB0279"/>
    <w:rPr>
      <w:rFonts w:ascii="Arial" w:eastAsiaTheme="majorEastAsia" w:hAnsi="Arial" w:cstheme="majorBidi"/>
      <w:b/>
      <w:bCs/>
      <w:color w:val="70635A"/>
      <w:sz w:val="36"/>
      <w:szCs w:val="28"/>
    </w:rPr>
  </w:style>
  <w:style w:type="character" w:customStyle="1" w:styleId="Heading8Char">
    <w:name w:val="Heading 8 Char"/>
    <w:basedOn w:val="DefaultParagraphFont"/>
    <w:link w:val="Heading8"/>
    <w:rsid w:val="00CB0279"/>
    <w:rPr>
      <w:rFonts w:ascii="Arial" w:eastAsiaTheme="majorEastAsia" w:hAnsi="Arial" w:cstheme="majorBidi"/>
      <w:b/>
      <w:bCs/>
      <w:color w:val="70635A" w:themeColor="text2"/>
      <w:sz w:val="32"/>
      <w:szCs w:val="26"/>
    </w:rPr>
  </w:style>
  <w:style w:type="character" w:customStyle="1" w:styleId="Heading9Char">
    <w:name w:val="Heading 9 Char"/>
    <w:basedOn w:val="DefaultParagraphFont"/>
    <w:link w:val="Heading9"/>
    <w:rsid w:val="00CB0279"/>
    <w:rPr>
      <w:rFonts w:ascii="Arial" w:eastAsiaTheme="majorEastAsia" w:hAnsi="Arial" w:cstheme="majorBidi"/>
      <w:b/>
      <w:bCs/>
      <w:color w:val="70635A" w:themeColor="text2"/>
      <w:sz w:val="28"/>
    </w:rPr>
  </w:style>
  <w:style w:type="paragraph" w:customStyle="1" w:styleId="Numbered1111111">
    <w:name w:val="Numbered 1.1.1.1.1.1.1"/>
    <w:basedOn w:val="Heading7"/>
    <w:next w:val="Normal"/>
    <w:uiPriority w:val="2"/>
    <w:rsid w:val="00CA489E"/>
    <w:pPr>
      <w:numPr>
        <w:numId w:val="15"/>
      </w:numPr>
      <w:tabs>
        <w:tab w:val="left" w:pos="1701"/>
      </w:tabs>
      <w:ind w:left="1701" w:hanging="1701"/>
    </w:pPr>
  </w:style>
  <w:style w:type="paragraph" w:customStyle="1" w:styleId="Numbered11111111">
    <w:name w:val="Numbered 1.1.1.1.1.1.1.1"/>
    <w:basedOn w:val="Heading8"/>
    <w:next w:val="Normal"/>
    <w:uiPriority w:val="2"/>
    <w:rsid w:val="00CA489E"/>
    <w:pPr>
      <w:numPr>
        <w:ilvl w:val="0"/>
        <w:numId w:val="0"/>
      </w:numPr>
      <w:tabs>
        <w:tab w:val="left" w:pos="2041"/>
      </w:tabs>
      <w:ind w:left="2041" w:hanging="2041"/>
    </w:pPr>
  </w:style>
  <w:style w:type="table" w:styleId="TableGrid">
    <w:name w:val="Table Grid"/>
    <w:aliases w:val="ACCC Table"/>
    <w:basedOn w:val="TableNormal"/>
    <w:rsid w:val="00C53B5A"/>
    <w:pPr>
      <w:spacing w:before="60" w:after="60"/>
    </w:pPr>
    <w:rPr>
      <w:rFonts w:ascii="Arial" w:hAnsi="Arial"/>
      <w:sz w:val="20"/>
    </w:rPr>
    <w:tblPr>
      <w:tblBorders>
        <w:top w:val="single" w:sz="4" w:space="0" w:color="BFBFBF" w:themeColor="background1" w:themeShade="BF"/>
        <w:bottom w:val="single" w:sz="4" w:space="0" w:color="BFBFBF" w:themeColor="background1" w:themeShade="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4" w:space="0" w:color="BFBFBF" w:themeColor="background1" w:themeShade="BF"/>
          <w:left w:val="nil"/>
          <w:bottom w:val="single" w:sz="4" w:space="0" w:color="BFBFBF" w:themeColor="background1" w:themeShade="BF"/>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table" w:styleId="LightShading">
    <w:name w:val="Light Shading"/>
    <w:basedOn w:val="TableNormal"/>
    <w:uiPriority w:val="60"/>
    <w:rsid w:val="00C53B5A"/>
    <w:pPr>
      <w:spacing w:before="120" w:after="120"/>
    </w:pPr>
    <w:rPr>
      <w:sz w:val="20"/>
    </w:rPr>
    <w:tblPr>
      <w:tblBorders>
        <w:top w:val="single" w:sz="4" w:space="0" w:color="FFFFFF" w:themeColor="background2"/>
        <w:left w:val="single" w:sz="4" w:space="0" w:color="FFFFFF" w:themeColor="background2"/>
        <w:bottom w:val="single" w:sz="4" w:space="0" w:color="FFFFFF" w:themeColor="background2"/>
        <w:right w:val="single" w:sz="4" w:space="0" w:color="FFFFFF" w:themeColor="background2"/>
        <w:insideH w:val="single" w:sz="4" w:space="0" w:color="FFFFFF" w:themeColor="background2"/>
        <w:insideV w:val="single" w:sz="4" w:space="0" w:color="FFFFFF" w:themeColor="background2"/>
      </w:tblBorders>
    </w:tblPr>
    <w:tcPr>
      <w:shd w:val="clear" w:color="auto" w:fill="auto"/>
      <w:vAlign w:val="center"/>
    </w:tcPr>
    <w:tblStylePr w:type="firstRow">
      <w:pPr>
        <w:wordWrap/>
        <w:spacing w:beforeLines="0" w:before="120" w:beforeAutospacing="0" w:afterLines="0" w:after="120" w:afterAutospacing="0" w:line="240" w:lineRule="auto"/>
      </w:pPr>
      <w:rPr>
        <w:rFonts w:asciiTheme="minorHAnsi" w:hAnsiTheme="minorHAnsi"/>
        <w:b/>
        <w:bCs/>
        <w:sz w:val="20"/>
      </w:rPr>
      <w:tblPr/>
      <w:tcPr>
        <w:tcBorders>
          <w:top w:val="single" w:sz="4" w:space="0" w:color="FFFFFF" w:themeColor="background2"/>
          <w:left w:val="single" w:sz="4" w:space="0" w:color="FFFFFF" w:themeColor="background2"/>
          <w:bottom w:val="single" w:sz="4" w:space="0" w:color="FFFFFF" w:themeColor="background2"/>
          <w:right w:val="single" w:sz="4" w:space="0" w:color="FFFFFF" w:themeColor="background2"/>
          <w:insideH w:val="single" w:sz="4" w:space="0" w:color="FFFFFF" w:themeColor="background2"/>
          <w:insideV w:val="single" w:sz="4" w:space="0" w:color="FFFFFF" w:themeColor="background2"/>
        </w:tcBorders>
        <w:shd w:val="clear" w:color="auto" w:fill="auto"/>
      </w:tcPr>
    </w:tblStylePr>
    <w:tblStylePr w:type="lastRow">
      <w:pPr>
        <w:wordWrap/>
        <w:spacing w:beforeLines="0" w:before="120" w:beforeAutospacing="0" w:afterLines="0" w:after="120" w:afterAutospacing="0" w:line="240" w:lineRule="auto"/>
      </w:pPr>
      <w:rPr>
        <w:b/>
        <w:bCs/>
        <w:sz w:val="20"/>
      </w:rPr>
      <w:tblPr/>
      <w:tcPr>
        <w:tcBorders>
          <w:top w:val="single" w:sz="4" w:space="0" w:color="FFFFFF" w:themeColor="background2"/>
          <w:left w:val="single" w:sz="4" w:space="0" w:color="FFFFFF" w:themeColor="background2"/>
          <w:bottom w:val="single" w:sz="4" w:space="0" w:color="FFFFFF" w:themeColor="background2"/>
          <w:right w:val="single" w:sz="4" w:space="0" w:color="FFFFFF" w:themeColor="background2"/>
          <w:insideH w:val="single" w:sz="4" w:space="0" w:color="FFFFFF" w:themeColor="background2"/>
          <w:insideV w:val="single" w:sz="4" w:space="0" w:color="FFFFFF" w:themeColor="background2"/>
        </w:tcBorders>
      </w:tcPr>
    </w:tblStylePr>
    <w:tblStylePr w:type="firstCol">
      <w:rPr>
        <w:b/>
        <w:bCs/>
        <w:sz w:val="20"/>
      </w:rPr>
    </w:tblStylePr>
    <w:tblStylePr w:type="lastCol">
      <w:rPr>
        <w:b/>
        <w:bCs/>
      </w:rPr>
    </w:tblStylePr>
  </w:style>
  <w:style w:type="table" w:styleId="LightShading-Accent1">
    <w:name w:val="Light Shading Accent 1"/>
    <w:basedOn w:val="TableNormal"/>
    <w:uiPriority w:val="60"/>
    <w:rsid w:val="002010BC"/>
    <w:pPr>
      <w:spacing w:before="0"/>
    </w:pPr>
    <w:rPr>
      <w:color w:val="230023" w:themeColor="accent1" w:themeShade="BF"/>
    </w:rPr>
    <w:tblPr>
      <w:tblStyleRowBandSize w:val="1"/>
      <w:tblStyleColBandSize w:val="1"/>
      <w:tblBorders>
        <w:top w:val="single" w:sz="8" w:space="0" w:color="2F002F" w:themeColor="accent1"/>
        <w:bottom w:val="single" w:sz="8" w:space="0" w:color="2F002F" w:themeColor="accent1"/>
      </w:tblBorders>
    </w:tblPr>
    <w:tblStylePr w:type="firstRow">
      <w:pPr>
        <w:spacing w:before="0" w:after="0" w:line="240" w:lineRule="auto"/>
      </w:pPr>
      <w:rPr>
        <w:b/>
        <w:bCs/>
      </w:rPr>
      <w:tblPr/>
      <w:tcPr>
        <w:tcBorders>
          <w:top w:val="single" w:sz="8" w:space="0" w:color="2F002F" w:themeColor="accent1"/>
          <w:left w:val="nil"/>
          <w:bottom w:val="single" w:sz="8" w:space="0" w:color="2F002F" w:themeColor="accent1"/>
          <w:right w:val="nil"/>
          <w:insideH w:val="nil"/>
          <w:insideV w:val="nil"/>
        </w:tcBorders>
      </w:tcPr>
    </w:tblStylePr>
    <w:tblStylePr w:type="lastRow">
      <w:pPr>
        <w:spacing w:before="0" w:after="0" w:line="240" w:lineRule="auto"/>
      </w:pPr>
      <w:rPr>
        <w:b/>
        <w:bCs/>
      </w:rPr>
      <w:tblPr/>
      <w:tcPr>
        <w:tcBorders>
          <w:top w:val="single" w:sz="8" w:space="0" w:color="2F002F" w:themeColor="accent1"/>
          <w:left w:val="nil"/>
          <w:bottom w:val="single" w:sz="8" w:space="0" w:color="2F002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8CFF" w:themeFill="accent1" w:themeFillTint="3F"/>
      </w:tcPr>
    </w:tblStylePr>
    <w:tblStylePr w:type="band1Horz">
      <w:tblPr/>
      <w:tcPr>
        <w:tcBorders>
          <w:left w:val="nil"/>
          <w:right w:val="nil"/>
          <w:insideH w:val="nil"/>
          <w:insideV w:val="nil"/>
        </w:tcBorders>
        <w:shd w:val="clear" w:color="auto" w:fill="FF8CFF" w:themeFill="accent1" w:themeFillTint="3F"/>
      </w:tcPr>
    </w:tblStylePr>
  </w:style>
  <w:style w:type="table" w:styleId="LightShading-Accent2">
    <w:name w:val="Light Shading Accent 2"/>
    <w:basedOn w:val="TableNormal"/>
    <w:uiPriority w:val="60"/>
    <w:rsid w:val="00746E01"/>
    <w:pPr>
      <w:spacing w:before="0"/>
    </w:pPr>
    <w:rPr>
      <w:rFonts w:ascii="Arial" w:hAnsi="Arial"/>
      <w:color w:val="000000"/>
      <w14:textFill>
        <w14:solidFill>
          <w14:srgbClr w14:val="000000">
            <w14:lumMod w14:val="75000"/>
            <w14:lumOff w14:val="0"/>
          </w14:srgbClr>
        </w14:solidFill>
      </w14:textFill>
    </w:rPr>
    <w:tblPr>
      <w:tblBorders>
        <w:top w:val="single" w:sz="4" w:space="0" w:color="000000" w:themeColor="accent5"/>
        <w:left w:val="single" w:sz="4" w:space="0" w:color="000000" w:themeColor="accent5"/>
        <w:bottom w:val="single" w:sz="4" w:space="0" w:color="000000" w:themeColor="accent5"/>
        <w:right w:val="single" w:sz="4" w:space="0" w:color="000000" w:themeColor="accent5"/>
        <w:insideH w:val="single" w:sz="4" w:space="0" w:color="000000" w:themeColor="accent5"/>
        <w:insideV w:val="single" w:sz="4" w:space="0" w:color="000000" w:themeColor="accent5"/>
      </w:tblBorders>
    </w:tblPr>
    <w:tcPr>
      <w:vAlign w:val="center"/>
    </w:tcPr>
    <w:tblStylePr w:type="firstRow">
      <w:pPr>
        <w:spacing w:before="0" w:after="0" w:line="240" w:lineRule="auto"/>
      </w:pPr>
      <w:rPr>
        <w:b w:val="0"/>
        <w:bCs/>
      </w:rPr>
      <w:tblPr/>
      <w:tcPr>
        <w:tcBorders>
          <w:top w:val="single" w:sz="4" w:space="0" w:color="000000" w:themeColor="accent5"/>
          <w:left w:val="single" w:sz="4" w:space="0" w:color="000000" w:themeColor="accent5"/>
          <w:bottom w:val="single" w:sz="4" w:space="0" w:color="000000" w:themeColor="accent5"/>
          <w:right w:val="single" w:sz="4" w:space="0" w:color="000000" w:themeColor="accent5"/>
          <w:insideH w:val="single" w:sz="4" w:space="0" w:color="000000" w:themeColor="accent5"/>
          <w:insideV w:val="single" w:sz="4" w:space="0" w:color="000000" w:themeColor="accent5"/>
          <w:tl2br w:val="nil"/>
          <w:tr2bl w:val="nil"/>
        </w:tcBorders>
      </w:tcPr>
    </w:tblStylePr>
    <w:tblStylePr w:type="lastRow">
      <w:pPr>
        <w:spacing w:before="0" w:after="0" w:line="240" w:lineRule="auto"/>
      </w:pPr>
      <w:rPr>
        <w:b w:val="0"/>
        <w:bCs/>
      </w:rPr>
      <w:tblPr/>
      <w:tcPr>
        <w:tcBorders>
          <w:top w:val="single" w:sz="4" w:space="0" w:color="000000" w:themeColor="accent5"/>
          <w:left w:val="single" w:sz="4" w:space="0" w:color="000000" w:themeColor="accent5"/>
          <w:bottom w:val="single" w:sz="4" w:space="0" w:color="000000" w:themeColor="accent5"/>
          <w:right w:val="single" w:sz="4" w:space="0" w:color="000000" w:themeColor="accent5"/>
          <w:insideH w:val="single" w:sz="4" w:space="0" w:color="000000" w:themeColor="accent5"/>
          <w:insideV w:val="single" w:sz="4" w:space="0" w:color="000000" w:themeColor="accent5"/>
        </w:tcBorders>
      </w:tcPr>
    </w:tblStylePr>
    <w:tblStylePr w:type="firstCol">
      <w:rPr>
        <w:b w:val="0"/>
        <w:bCs/>
      </w:rPr>
    </w:tblStylePr>
    <w:tblStylePr w:type="lastCol">
      <w:rPr>
        <w:b w:val="0"/>
        <w:bCs/>
      </w:rPr>
    </w:tblStylePr>
  </w:style>
  <w:style w:type="table" w:styleId="LightShading-Accent3">
    <w:name w:val="Light Shading Accent 3"/>
    <w:basedOn w:val="TableNormal"/>
    <w:uiPriority w:val="60"/>
    <w:rsid w:val="00A871F4"/>
    <w:pPr>
      <w:spacing w:before="0"/>
    </w:pPr>
    <w:rPr>
      <w:color w:val="001747" w:themeColor="accent3" w:themeShade="BF"/>
    </w:rPr>
    <w:tblPr>
      <w:tblStyleRowBandSize w:val="1"/>
      <w:tblStyleColBandSize w:val="1"/>
      <w:tblBorders>
        <w:top w:val="single" w:sz="8" w:space="0" w:color="002060" w:themeColor="accent3"/>
        <w:bottom w:val="single" w:sz="8" w:space="0" w:color="002060" w:themeColor="accent3"/>
      </w:tblBorders>
    </w:tblPr>
    <w:tblStylePr w:type="firstRow">
      <w:pPr>
        <w:spacing w:before="0" w:after="0" w:line="240" w:lineRule="auto"/>
      </w:pPr>
      <w:rPr>
        <w:b/>
        <w:bCs/>
      </w:rPr>
      <w:tblPr/>
      <w:tcPr>
        <w:tcBorders>
          <w:top w:val="single" w:sz="8" w:space="0" w:color="002060" w:themeColor="accent3"/>
          <w:left w:val="nil"/>
          <w:bottom w:val="single" w:sz="8" w:space="0" w:color="002060" w:themeColor="accent3"/>
          <w:right w:val="nil"/>
          <w:insideH w:val="nil"/>
          <w:insideV w:val="nil"/>
        </w:tcBorders>
      </w:tcPr>
    </w:tblStylePr>
    <w:tblStylePr w:type="lastRow">
      <w:pPr>
        <w:spacing w:before="0" w:after="0" w:line="240" w:lineRule="auto"/>
      </w:pPr>
      <w:rPr>
        <w:b/>
        <w:bCs/>
      </w:rPr>
      <w:tblPr/>
      <w:tcPr>
        <w:tcBorders>
          <w:top w:val="single" w:sz="8" w:space="0" w:color="002060" w:themeColor="accent3"/>
          <w:left w:val="nil"/>
          <w:bottom w:val="single" w:sz="8" w:space="0" w:color="00206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8BAFF" w:themeFill="accent3" w:themeFillTint="3F"/>
      </w:tcPr>
    </w:tblStylePr>
    <w:tblStylePr w:type="band1Horz">
      <w:tblPr/>
      <w:tcPr>
        <w:tcBorders>
          <w:left w:val="nil"/>
          <w:right w:val="nil"/>
          <w:insideH w:val="nil"/>
          <w:insideV w:val="nil"/>
        </w:tcBorders>
        <w:shd w:val="clear" w:color="auto" w:fill="98BAFF" w:themeFill="accent3" w:themeFillTint="3F"/>
      </w:tcPr>
    </w:tblStylePr>
  </w:style>
  <w:style w:type="table" w:styleId="LightGrid-Accent6">
    <w:name w:val="Light Grid Accent 6"/>
    <w:basedOn w:val="TableNormal"/>
    <w:uiPriority w:val="62"/>
    <w:rsid w:val="00A871F4"/>
    <w:pPr>
      <w:spacing w:before="0"/>
    </w:pPr>
    <w:tblPr>
      <w:tblStyleRowBandSize w:val="1"/>
      <w:tblStyleColBandSize w:val="1"/>
      <w:tblBorders>
        <w:top w:val="single" w:sz="8" w:space="0" w:color="70303C" w:themeColor="accent6"/>
        <w:left w:val="single" w:sz="8" w:space="0" w:color="70303C" w:themeColor="accent6"/>
        <w:bottom w:val="single" w:sz="8" w:space="0" w:color="70303C" w:themeColor="accent6"/>
        <w:right w:val="single" w:sz="8" w:space="0" w:color="70303C" w:themeColor="accent6"/>
        <w:insideH w:val="single" w:sz="8" w:space="0" w:color="70303C" w:themeColor="accent6"/>
        <w:insideV w:val="single" w:sz="8" w:space="0" w:color="70303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303C" w:themeColor="accent6"/>
          <w:left w:val="single" w:sz="8" w:space="0" w:color="70303C" w:themeColor="accent6"/>
          <w:bottom w:val="single" w:sz="18" w:space="0" w:color="70303C" w:themeColor="accent6"/>
          <w:right w:val="single" w:sz="8" w:space="0" w:color="70303C" w:themeColor="accent6"/>
          <w:insideH w:val="nil"/>
          <w:insideV w:val="single" w:sz="8" w:space="0" w:color="70303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303C" w:themeColor="accent6"/>
          <w:left w:val="single" w:sz="8" w:space="0" w:color="70303C" w:themeColor="accent6"/>
          <w:bottom w:val="single" w:sz="8" w:space="0" w:color="70303C" w:themeColor="accent6"/>
          <w:right w:val="single" w:sz="8" w:space="0" w:color="70303C" w:themeColor="accent6"/>
          <w:insideH w:val="nil"/>
          <w:insideV w:val="single" w:sz="8" w:space="0" w:color="70303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303C" w:themeColor="accent6"/>
          <w:left w:val="single" w:sz="8" w:space="0" w:color="70303C" w:themeColor="accent6"/>
          <w:bottom w:val="single" w:sz="8" w:space="0" w:color="70303C" w:themeColor="accent6"/>
          <w:right w:val="single" w:sz="8" w:space="0" w:color="70303C" w:themeColor="accent6"/>
        </w:tcBorders>
      </w:tcPr>
    </w:tblStylePr>
    <w:tblStylePr w:type="band1Vert">
      <w:tblPr/>
      <w:tcPr>
        <w:tcBorders>
          <w:top w:val="single" w:sz="8" w:space="0" w:color="70303C" w:themeColor="accent6"/>
          <w:left w:val="single" w:sz="8" w:space="0" w:color="70303C" w:themeColor="accent6"/>
          <w:bottom w:val="single" w:sz="8" w:space="0" w:color="70303C" w:themeColor="accent6"/>
          <w:right w:val="single" w:sz="8" w:space="0" w:color="70303C" w:themeColor="accent6"/>
        </w:tcBorders>
        <w:shd w:val="clear" w:color="auto" w:fill="E5C2C8" w:themeFill="accent6" w:themeFillTint="3F"/>
      </w:tcPr>
    </w:tblStylePr>
    <w:tblStylePr w:type="band1Horz">
      <w:tblPr/>
      <w:tcPr>
        <w:tcBorders>
          <w:top w:val="single" w:sz="8" w:space="0" w:color="70303C" w:themeColor="accent6"/>
          <w:left w:val="single" w:sz="8" w:space="0" w:color="70303C" w:themeColor="accent6"/>
          <w:bottom w:val="single" w:sz="8" w:space="0" w:color="70303C" w:themeColor="accent6"/>
          <w:right w:val="single" w:sz="8" w:space="0" w:color="70303C" w:themeColor="accent6"/>
          <w:insideV w:val="single" w:sz="8" w:space="0" w:color="70303C" w:themeColor="accent6"/>
        </w:tcBorders>
        <w:shd w:val="clear" w:color="auto" w:fill="E5C2C8" w:themeFill="accent6" w:themeFillTint="3F"/>
      </w:tcPr>
    </w:tblStylePr>
    <w:tblStylePr w:type="band2Horz">
      <w:tblPr/>
      <w:tcPr>
        <w:tcBorders>
          <w:top w:val="single" w:sz="8" w:space="0" w:color="70303C" w:themeColor="accent6"/>
          <w:left w:val="single" w:sz="8" w:space="0" w:color="70303C" w:themeColor="accent6"/>
          <w:bottom w:val="single" w:sz="8" w:space="0" w:color="70303C" w:themeColor="accent6"/>
          <w:right w:val="single" w:sz="8" w:space="0" w:color="70303C" w:themeColor="accent6"/>
          <w:insideV w:val="single" w:sz="8" w:space="0" w:color="70303C" w:themeColor="accent6"/>
        </w:tcBorders>
      </w:tcPr>
    </w:tblStylePr>
  </w:style>
  <w:style w:type="table" w:styleId="MediumShading1">
    <w:name w:val="Medium Shading 1"/>
    <w:basedOn w:val="TableNormal"/>
    <w:uiPriority w:val="63"/>
    <w:rsid w:val="00A871F4"/>
    <w:pPr>
      <w:spacing w:before="0"/>
    </w:pPr>
    <w:tblPr>
      <w:tblStyleRowBandSize w:val="1"/>
      <w:tblStyleColBandSize w:val="1"/>
      <w:tblBorders>
        <w:top w:val="single" w:sz="8" w:space="0" w:color="0BA7E7" w:themeColor="text1" w:themeTint="BF"/>
        <w:left w:val="single" w:sz="8" w:space="0" w:color="0BA7E7" w:themeColor="text1" w:themeTint="BF"/>
        <w:bottom w:val="single" w:sz="8" w:space="0" w:color="0BA7E7" w:themeColor="text1" w:themeTint="BF"/>
        <w:right w:val="single" w:sz="8" w:space="0" w:color="0BA7E7" w:themeColor="text1" w:themeTint="BF"/>
        <w:insideH w:val="single" w:sz="8" w:space="0" w:color="0BA7E7" w:themeColor="text1" w:themeTint="BF"/>
      </w:tblBorders>
    </w:tblPr>
    <w:tblStylePr w:type="firstRow">
      <w:pPr>
        <w:spacing w:before="0" w:after="0" w:line="240" w:lineRule="auto"/>
      </w:pPr>
      <w:rPr>
        <w:b/>
        <w:bCs/>
        <w:color w:val="FFFFFF" w:themeColor="background1"/>
      </w:rPr>
      <w:tblPr/>
      <w:tcPr>
        <w:tcBorders>
          <w:top w:val="single" w:sz="8" w:space="0" w:color="0BA7E7" w:themeColor="text1" w:themeTint="BF"/>
          <w:left w:val="single" w:sz="8" w:space="0" w:color="0BA7E7" w:themeColor="text1" w:themeTint="BF"/>
          <w:bottom w:val="single" w:sz="8" w:space="0" w:color="0BA7E7" w:themeColor="text1" w:themeTint="BF"/>
          <w:right w:val="single" w:sz="8" w:space="0" w:color="0BA7E7" w:themeColor="text1" w:themeTint="BF"/>
          <w:insideH w:val="nil"/>
          <w:insideV w:val="nil"/>
        </w:tcBorders>
        <w:shd w:val="clear" w:color="auto" w:fill="076A92" w:themeFill="text1"/>
      </w:tcPr>
    </w:tblStylePr>
    <w:tblStylePr w:type="lastRow">
      <w:pPr>
        <w:spacing w:before="0" w:after="0" w:line="240" w:lineRule="auto"/>
      </w:pPr>
      <w:rPr>
        <w:b/>
        <w:bCs/>
      </w:rPr>
      <w:tblPr/>
      <w:tcPr>
        <w:tcBorders>
          <w:top w:val="double" w:sz="6" w:space="0" w:color="0BA7E7" w:themeColor="text1" w:themeTint="BF"/>
          <w:left w:val="single" w:sz="8" w:space="0" w:color="0BA7E7" w:themeColor="text1" w:themeTint="BF"/>
          <w:bottom w:val="single" w:sz="8" w:space="0" w:color="0BA7E7" w:themeColor="text1" w:themeTint="BF"/>
          <w:right w:val="single" w:sz="8" w:space="0" w:color="0BA7E7" w:themeColor="text1" w:themeTint="BF"/>
          <w:insideH w:val="nil"/>
          <w:insideV w:val="nil"/>
        </w:tcBorders>
      </w:tcPr>
    </w:tblStylePr>
    <w:tblStylePr w:type="firstCol">
      <w:rPr>
        <w:b/>
        <w:bCs/>
      </w:rPr>
    </w:tblStylePr>
    <w:tblStylePr w:type="lastCol">
      <w:rPr>
        <w:b/>
        <w:bCs/>
      </w:rPr>
    </w:tblStylePr>
    <w:tblStylePr w:type="band1Vert">
      <w:tblPr/>
      <w:tcPr>
        <w:shd w:val="clear" w:color="auto" w:fill="AAE3FB" w:themeFill="text1" w:themeFillTint="3F"/>
      </w:tcPr>
    </w:tblStylePr>
    <w:tblStylePr w:type="band1Horz">
      <w:tblPr/>
      <w:tcPr>
        <w:tcBorders>
          <w:insideH w:val="nil"/>
          <w:insideV w:val="nil"/>
        </w:tcBorders>
        <w:shd w:val="clear" w:color="auto" w:fill="AAE3FB"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871F4"/>
    <w:pPr>
      <w:spacing w:before="0"/>
    </w:pPr>
    <w:tblPr>
      <w:tblStyleRowBandSize w:val="1"/>
      <w:tblStyleColBandSize w:val="1"/>
      <w:tblBorders>
        <w:top w:val="single" w:sz="8" w:space="0" w:color="A300A3" w:themeColor="accent1" w:themeTint="BF"/>
        <w:left w:val="single" w:sz="8" w:space="0" w:color="A300A3" w:themeColor="accent1" w:themeTint="BF"/>
        <w:bottom w:val="single" w:sz="8" w:space="0" w:color="A300A3" w:themeColor="accent1" w:themeTint="BF"/>
        <w:right w:val="single" w:sz="8" w:space="0" w:color="A300A3" w:themeColor="accent1" w:themeTint="BF"/>
        <w:insideH w:val="single" w:sz="8" w:space="0" w:color="A300A3" w:themeColor="accent1" w:themeTint="BF"/>
      </w:tblBorders>
    </w:tblPr>
    <w:tblStylePr w:type="firstRow">
      <w:pPr>
        <w:spacing w:before="0" w:after="0" w:line="240" w:lineRule="auto"/>
      </w:pPr>
      <w:rPr>
        <w:b/>
        <w:bCs/>
        <w:color w:val="FFFFFF" w:themeColor="background1"/>
      </w:rPr>
      <w:tblPr/>
      <w:tcPr>
        <w:tcBorders>
          <w:top w:val="single" w:sz="8" w:space="0" w:color="A300A3" w:themeColor="accent1" w:themeTint="BF"/>
          <w:left w:val="single" w:sz="8" w:space="0" w:color="A300A3" w:themeColor="accent1" w:themeTint="BF"/>
          <w:bottom w:val="single" w:sz="8" w:space="0" w:color="A300A3" w:themeColor="accent1" w:themeTint="BF"/>
          <w:right w:val="single" w:sz="8" w:space="0" w:color="A300A3" w:themeColor="accent1" w:themeTint="BF"/>
          <w:insideH w:val="nil"/>
          <w:insideV w:val="nil"/>
        </w:tcBorders>
        <w:shd w:val="clear" w:color="auto" w:fill="2F002F" w:themeFill="accent1"/>
      </w:tcPr>
    </w:tblStylePr>
    <w:tblStylePr w:type="lastRow">
      <w:pPr>
        <w:spacing w:before="0" w:after="0" w:line="240" w:lineRule="auto"/>
      </w:pPr>
      <w:rPr>
        <w:b/>
        <w:bCs/>
      </w:rPr>
      <w:tblPr/>
      <w:tcPr>
        <w:tcBorders>
          <w:top w:val="double" w:sz="6" w:space="0" w:color="A300A3" w:themeColor="accent1" w:themeTint="BF"/>
          <w:left w:val="single" w:sz="8" w:space="0" w:color="A300A3" w:themeColor="accent1" w:themeTint="BF"/>
          <w:bottom w:val="single" w:sz="8" w:space="0" w:color="A300A3" w:themeColor="accent1" w:themeTint="BF"/>
          <w:right w:val="single" w:sz="8" w:space="0" w:color="A300A3"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8CFF" w:themeFill="accent1" w:themeFillTint="3F"/>
      </w:tcPr>
    </w:tblStylePr>
    <w:tblStylePr w:type="band1Horz">
      <w:tblPr/>
      <w:tcPr>
        <w:tcBorders>
          <w:insideH w:val="nil"/>
          <w:insideV w:val="nil"/>
        </w:tcBorders>
        <w:shd w:val="clear" w:color="auto" w:fill="FF8CFF"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A871F4"/>
    <w:pPr>
      <w:spacing w:before="0"/>
    </w:pPr>
    <w:tblPr>
      <w:tblStyleRowBandSize w:val="1"/>
      <w:tblStyleColBandSize w:val="1"/>
      <w:tblBorders>
        <w:top w:val="single" w:sz="8" w:space="0" w:color="FF7111" w:themeColor="accent2" w:themeTint="BF"/>
        <w:left w:val="single" w:sz="8" w:space="0" w:color="FF7111" w:themeColor="accent2" w:themeTint="BF"/>
        <w:bottom w:val="single" w:sz="8" w:space="0" w:color="FF7111" w:themeColor="accent2" w:themeTint="BF"/>
        <w:right w:val="single" w:sz="8" w:space="0" w:color="FF7111" w:themeColor="accent2" w:themeTint="BF"/>
        <w:insideH w:val="single" w:sz="8" w:space="0" w:color="FF7111" w:themeColor="accent2" w:themeTint="BF"/>
      </w:tblBorders>
    </w:tblPr>
    <w:tblStylePr w:type="firstRow">
      <w:pPr>
        <w:spacing w:before="0" w:after="0" w:line="240" w:lineRule="auto"/>
      </w:pPr>
      <w:rPr>
        <w:b/>
        <w:bCs/>
        <w:color w:val="FFFFFF" w:themeColor="background1"/>
      </w:rPr>
      <w:tblPr/>
      <w:tcPr>
        <w:tcBorders>
          <w:top w:val="single" w:sz="8" w:space="0" w:color="FF7111" w:themeColor="accent2" w:themeTint="BF"/>
          <w:left w:val="single" w:sz="8" w:space="0" w:color="FF7111" w:themeColor="accent2" w:themeTint="BF"/>
          <w:bottom w:val="single" w:sz="8" w:space="0" w:color="FF7111" w:themeColor="accent2" w:themeTint="BF"/>
          <w:right w:val="single" w:sz="8" w:space="0" w:color="FF7111" w:themeColor="accent2" w:themeTint="BF"/>
          <w:insideH w:val="nil"/>
          <w:insideV w:val="nil"/>
        </w:tcBorders>
        <w:shd w:val="clear" w:color="auto" w:fill="C14E00" w:themeFill="accent2"/>
      </w:tcPr>
    </w:tblStylePr>
    <w:tblStylePr w:type="lastRow">
      <w:pPr>
        <w:spacing w:before="0" w:after="0" w:line="240" w:lineRule="auto"/>
      </w:pPr>
      <w:rPr>
        <w:b/>
        <w:bCs/>
      </w:rPr>
      <w:tblPr/>
      <w:tcPr>
        <w:tcBorders>
          <w:top w:val="double" w:sz="6" w:space="0" w:color="FF7111" w:themeColor="accent2" w:themeTint="BF"/>
          <w:left w:val="single" w:sz="8" w:space="0" w:color="FF7111" w:themeColor="accent2" w:themeTint="BF"/>
          <w:bottom w:val="single" w:sz="8" w:space="0" w:color="FF7111" w:themeColor="accent2" w:themeTint="BF"/>
          <w:right w:val="single" w:sz="8" w:space="0" w:color="FF7111"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D0B0" w:themeFill="accent2" w:themeFillTint="3F"/>
      </w:tcPr>
    </w:tblStylePr>
    <w:tblStylePr w:type="band1Horz">
      <w:tblPr/>
      <w:tcPr>
        <w:tcBorders>
          <w:insideH w:val="nil"/>
          <w:insideV w:val="nil"/>
        </w:tcBorders>
        <w:shd w:val="clear" w:color="auto" w:fill="FFD0B0"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A871F4"/>
    <w:pPr>
      <w:spacing w:before="0"/>
    </w:pPr>
    <w:tblPr>
      <w:tblStyleRowBandSize w:val="1"/>
      <w:tblStyleColBandSize w:val="1"/>
      <w:tblBorders>
        <w:top w:val="single" w:sz="8" w:space="0" w:color="0042C7" w:themeColor="accent3" w:themeTint="BF"/>
        <w:left w:val="single" w:sz="8" w:space="0" w:color="0042C7" w:themeColor="accent3" w:themeTint="BF"/>
        <w:bottom w:val="single" w:sz="8" w:space="0" w:color="0042C7" w:themeColor="accent3" w:themeTint="BF"/>
        <w:right w:val="single" w:sz="8" w:space="0" w:color="0042C7" w:themeColor="accent3" w:themeTint="BF"/>
        <w:insideH w:val="single" w:sz="8" w:space="0" w:color="0042C7" w:themeColor="accent3" w:themeTint="BF"/>
      </w:tblBorders>
    </w:tblPr>
    <w:tblStylePr w:type="firstRow">
      <w:pPr>
        <w:spacing w:before="0" w:after="0" w:line="240" w:lineRule="auto"/>
      </w:pPr>
      <w:rPr>
        <w:b/>
        <w:bCs/>
        <w:color w:val="FFFFFF" w:themeColor="background1"/>
      </w:rPr>
      <w:tblPr/>
      <w:tcPr>
        <w:tcBorders>
          <w:top w:val="single" w:sz="8" w:space="0" w:color="0042C7" w:themeColor="accent3" w:themeTint="BF"/>
          <w:left w:val="single" w:sz="8" w:space="0" w:color="0042C7" w:themeColor="accent3" w:themeTint="BF"/>
          <w:bottom w:val="single" w:sz="8" w:space="0" w:color="0042C7" w:themeColor="accent3" w:themeTint="BF"/>
          <w:right w:val="single" w:sz="8" w:space="0" w:color="0042C7" w:themeColor="accent3" w:themeTint="BF"/>
          <w:insideH w:val="nil"/>
          <w:insideV w:val="nil"/>
        </w:tcBorders>
        <w:shd w:val="clear" w:color="auto" w:fill="002060" w:themeFill="accent3"/>
      </w:tcPr>
    </w:tblStylePr>
    <w:tblStylePr w:type="lastRow">
      <w:pPr>
        <w:spacing w:before="0" w:after="0" w:line="240" w:lineRule="auto"/>
      </w:pPr>
      <w:rPr>
        <w:b/>
        <w:bCs/>
      </w:rPr>
      <w:tblPr/>
      <w:tcPr>
        <w:tcBorders>
          <w:top w:val="double" w:sz="6" w:space="0" w:color="0042C7" w:themeColor="accent3" w:themeTint="BF"/>
          <w:left w:val="single" w:sz="8" w:space="0" w:color="0042C7" w:themeColor="accent3" w:themeTint="BF"/>
          <w:bottom w:val="single" w:sz="8" w:space="0" w:color="0042C7" w:themeColor="accent3" w:themeTint="BF"/>
          <w:right w:val="single" w:sz="8" w:space="0" w:color="0042C7" w:themeColor="accent3" w:themeTint="BF"/>
          <w:insideH w:val="nil"/>
          <w:insideV w:val="nil"/>
        </w:tcBorders>
      </w:tcPr>
    </w:tblStylePr>
    <w:tblStylePr w:type="firstCol">
      <w:rPr>
        <w:b/>
        <w:bCs/>
      </w:rPr>
    </w:tblStylePr>
    <w:tblStylePr w:type="lastCol">
      <w:rPr>
        <w:b/>
        <w:bCs/>
      </w:rPr>
    </w:tblStylePr>
    <w:tblStylePr w:type="band1Vert">
      <w:tblPr/>
      <w:tcPr>
        <w:shd w:val="clear" w:color="auto" w:fill="98BAFF" w:themeFill="accent3" w:themeFillTint="3F"/>
      </w:tcPr>
    </w:tblStylePr>
    <w:tblStylePr w:type="band1Horz">
      <w:tblPr/>
      <w:tcPr>
        <w:tcBorders>
          <w:insideH w:val="nil"/>
          <w:insideV w:val="nil"/>
        </w:tcBorders>
        <w:shd w:val="clear" w:color="auto" w:fill="98BA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A871F4"/>
    <w:pPr>
      <w:spacing w:before="0"/>
    </w:pPr>
    <w:tblPr>
      <w:tblStyleRowBandSize w:val="1"/>
      <w:tblStyleColBandSize w:val="1"/>
      <w:tblBorders>
        <w:top w:val="single" w:sz="8" w:space="0" w:color="FF1010" w:themeColor="accent4" w:themeTint="BF"/>
        <w:left w:val="single" w:sz="8" w:space="0" w:color="FF1010" w:themeColor="accent4" w:themeTint="BF"/>
        <w:bottom w:val="single" w:sz="8" w:space="0" w:color="FF1010" w:themeColor="accent4" w:themeTint="BF"/>
        <w:right w:val="single" w:sz="8" w:space="0" w:color="FF1010" w:themeColor="accent4" w:themeTint="BF"/>
        <w:insideH w:val="single" w:sz="8" w:space="0" w:color="FF1010" w:themeColor="accent4" w:themeTint="BF"/>
      </w:tblBorders>
    </w:tblPr>
    <w:tblStylePr w:type="firstRow">
      <w:pPr>
        <w:spacing w:before="0" w:after="0" w:line="240" w:lineRule="auto"/>
      </w:pPr>
      <w:rPr>
        <w:b/>
        <w:bCs/>
        <w:color w:val="FFFFFF" w:themeColor="background1"/>
      </w:rPr>
      <w:tblPr/>
      <w:tcPr>
        <w:tcBorders>
          <w:top w:val="single" w:sz="8" w:space="0" w:color="FF1010" w:themeColor="accent4" w:themeTint="BF"/>
          <w:left w:val="single" w:sz="8" w:space="0" w:color="FF1010" w:themeColor="accent4" w:themeTint="BF"/>
          <w:bottom w:val="single" w:sz="8" w:space="0" w:color="FF1010" w:themeColor="accent4" w:themeTint="BF"/>
          <w:right w:val="single" w:sz="8" w:space="0" w:color="FF1010" w:themeColor="accent4" w:themeTint="BF"/>
          <w:insideH w:val="nil"/>
          <w:insideV w:val="nil"/>
        </w:tcBorders>
        <w:shd w:val="clear" w:color="auto" w:fill="C00000" w:themeFill="accent4"/>
      </w:tcPr>
    </w:tblStylePr>
    <w:tblStylePr w:type="lastRow">
      <w:pPr>
        <w:spacing w:before="0" w:after="0" w:line="240" w:lineRule="auto"/>
      </w:pPr>
      <w:rPr>
        <w:b/>
        <w:bCs/>
      </w:rPr>
      <w:tblPr/>
      <w:tcPr>
        <w:tcBorders>
          <w:top w:val="double" w:sz="6" w:space="0" w:color="FF1010" w:themeColor="accent4" w:themeTint="BF"/>
          <w:left w:val="single" w:sz="8" w:space="0" w:color="FF1010" w:themeColor="accent4" w:themeTint="BF"/>
          <w:bottom w:val="single" w:sz="8" w:space="0" w:color="FF1010" w:themeColor="accent4" w:themeTint="BF"/>
          <w:right w:val="single" w:sz="8" w:space="0" w:color="FF101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4" w:themeFillTint="3F"/>
      </w:tcPr>
    </w:tblStylePr>
    <w:tblStylePr w:type="band1Horz">
      <w:tblPr/>
      <w:tcPr>
        <w:tcBorders>
          <w:insideH w:val="nil"/>
          <w:insideV w:val="nil"/>
        </w:tcBorders>
        <w:shd w:val="clear" w:color="auto" w:fill="FFB0B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A871F4"/>
    <w:pPr>
      <w:spacing w:before="0"/>
    </w:pPr>
    <w:tblPr>
      <w:tblStyleRowBandSize w:val="1"/>
      <w:tblStyleColBandSize w:val="1"/>
      <w:tblBorders>
        <w:top w:val="single" w:sz="8" w:space="0" w:color="404040" w:themeColor="accent5" w:themeTint="BF"/>
        <w:left w:val="single" w:sz="8" w:space="0" w:color="404040" w:themeColor="accent5" w:themeTint="BF"/>
        <w:bottom w:val="single" w:sz="8" w:space="0" w:color="404040" w:themeColor="accent5" w:themeTint="BF"/>
        <w:right w:val="single" w:sz="8" w:space="0" w:color="404040" w:themeColor="accent5" w:themeTint="BF"/>
        <w:insideH w:val="single" w:sz="8" w:space="0" w:color="404040" w:themeColor="accent5" w:themeTint="BF"/>
      </w:tblBorders>
    </w:tblPr>
    <w:tblStylePr w:type="firstRow">
      <w:pPr>
        <w:spacing w:before="0" w:after="0" w:line="240" w:lineRule="auto"/>
      </w:pPr>
      <w:rPr>
        <w:b/>
        <w:bCs/>
        <w:color w:val="FFFFFF" w:themeColor="background1"/>
      </w:rPr>
      <w:tblPr/>
      <w:tcPr>
        <w:tcBorders>
          <w:top w:val="single" w:sz="8" w:space="0" w:color="404040" w:themeColor="accent5" w:themeTint="BF"/>
          <w:left w:val="single" w:sz="8" w:space="0" w:color="404040" w:themeColor="accent5" w:themeTint="BF"/>
          <w:bottom w:val="single" w:sz="8" w:space="0" w:color="404040" w:themeColor="accent5" w:themeTint="BF"/>
          <w:right w:val="single" w:sz="8" w:space="0" w:color="404040" w:themeColor="accent5" w:themeTint="BF"/>
          <w:insideH w:val="nil"/>
          <w:insideV w:val="nil"/>
        </w:tcBorders>
        <w:shd w:val="clear" w:color="auto" w:fill="000000" w:themeFill="accent5"/>
      </w:tcPr>
    </w:tblStylePr>
    <w:tblStylePr w:type="lastRow">
      <w:pPr>
        <w:spacing w:before="0" w:after="0" w:line="240" w:lineRule="auto"/>
      </w:pPr>
      <w:rPr>
        <w:b/>
        <w:bCs/>
      </w:rPr>
      <w:tblPr/>
      <w:tcPr>
        <w:tcBorders>
          <w:top w:val="double" w:sz="6" w:space="0" w:color="404040" w:themeColor="accent5" w:themeTint="BF"/>
          <w:left w:val="single" w:sz="8" w:space="0" w:color="404040" w:themeColor="accent5" w:themeTint="BF"/>
          <w:bottom w:val="single" w:sz="8" w:space="0" w:color="404040" w:themeColor="accent5" w:themeTint="BF"/>
          <w:right w:val="single" w:sz="8" w:space="0" w:color="404040" w:themeColor="accent5" w:themeTint="BF"/>
          <w:insideH w:val="nil"/>
          <w:insideV w:val="nil"/>
        </w:tcBorders>
      </w:tcPr>
    </w:tblStylePr>
    <w:tblStylePr w:type="firstCol">
      <w:rPr>
        <w:b/>
        <w:bCs/>
      </w:rPr>
    </w:tblStylePr>
    <w:tblStylePr w:type="lastCol">
      <w:rPr>
        <w:b/>
        <w:bCs/>
      </w:rPr>
    </w:tblStylePr>
    <w:tblStylePr w:type="band1Vert">
      <w:tblPr/>
      <w:tcPr>
        <w:shd w:val="clear" w:color="auto" w:fill="C0C0C0" w:themeFill="accent5" w:themeFillTint="3F"/>
      </w:tcPr>
    </w:tblStylePr>
    <w:tblStylePr w:type="band1Horz">
      <w:tblPr/>
      <w:tcPr>
        <w:tcBorders>
          <w:insideH w:val="nil"/>
          <w:insideV w:val="nil"/>
        </w:tcBorders>
        <w:shd w:val="clear" w:color="auto" w:fill="C0C0C0" w:themeFill="accent5" w:themeFillTint="3F"/>
      </w:tcPr>
    </w:tblStylePr>
    <w:tblStylePr w:type="band2Horz">
      <w:tblPr/>
      <w:tcPr>
        <w:tcBorders>
          <w:insideH w:val="nil"/>
          <w:insideV w:val="nil"/>
        </w:tcBorders>
      </w:tcPr>
    </w:tblStylePr>
  </w:style>
  <w:style w:type="table" w:styleId="LightList">
    <w:name w:val="Light List"/>
    <w:basedOn w:val="TableNormal"/>
    <w:uiPriority w:val="61"/>
    <w:rsid w:val="00A871F4"/>
    <w:pPr>
      <w:spacing w:before="0"/>
    </w:pPr>
    <w:tblPr>
      <w:tblStyleRowBandSize w:val="1"/>
      <w:tblStyleColBandSize w:val="1"/>
      <w:tblBorders>
        <w:top w:val="single" w:sz="8" w:space="0" w:color="076A92" w:themeColor="text1"/>
        <w:left w:val="single" w:sz="8" w:space="0" w:color="076A92" w:themeColor="text1"/>
        <w:bottom w:val="single" w:sz="8" w:space="0" w:color="076A92" w:themeColor="text1"/>
        <w:right w:val="single" w:sz="8" w:space="0" w:color="076A92" w:themeColor="text1"/>
      </w:tblBorders>
    </w:tblPr>
    <w:tblStylePr w:type="firstRow">
      <w:pPr>
        <w:spacing w:before="0" w:after="0" w:line="240" w:lineRule="auto"/>
      </w:pPr>
      <w:rPr>
        <w:b/>
        <w:bCs/>
        <w:color w:val="FFFFFF" w:themeColor="background1"/>
      </w:rPr>
      <w:tblPr/>
      <w:tcPr>
        <w:shd w:val="clear" w:color="auto" w:fill="076A92" w:themeFill="text1"/>
      </w:tcPr>
    </w:tblStylePr>
    <w:tblStylePr w:type="lastRow">
      <w:pPr>
        <w:spacing w:before="0" w:after="0" w:line="240" w:lineRule="auto"/>
      </w:pPr>
      <w:rPr>
        <w:b/>
        <w:bCs/>
      </w:rPr>
      <w:tblPr/>
      <w:tcPr>
        <w:tcBorders>
          <w:top w:val="double" w:sz="6" w:space="0" w:color="076A92" w:themeColor="text1"/>
          <w:left w:val="single" w:sz="8" w:space="0" w:color="076A92" w:themeColor="text1"/>
          <w:bottom w:val="single" w:sz="8" w:space="0" w:color="076A92" w:themeColor="text1"/>
          <w:right w:val="single" w:sz="8" w:space="0" w:color="076A92" w:themeColor="text1"/>
        </w:tcBorders>
      </w:tcPr>
    </w:tblStylePr>
    <w:tblStylePr w:type="firstCol">
      <w:rPr>
        <w:b/>
        <w:bCs/>
      </w:rPr>
    </w:tblStylePr>
    <w:tblStylePr w:type="lastCol">
      <w:rPr>
        <w:b/>
        <w:bCs/>
      </w:rPr>
    </w:tblStylePr>
    <w:tblStylePr w:type="band1Vert">
      <w:tblPr/>
      <w:tcPr>
        <w:tcBorders>
          <w:top w:val="single" w:sz="8" w:space="0" w:color="076A92" w:themeColor="text1"/>
          <w:left w:val="single" w:sz="8" w:space="0" w:color="076A92" w:themeColor="text1"/>
          <w:bottom w:val="single" w:sz="8" w:space="0" w:color="076A92" w:themeColor="text1"/>
          <w:right w:val="single" w:sz="8" w:space="0" w:color="076A92" w:themeColor="text1"/>
        </w:tcBorders>
      </w:tcPr>
    </w:tblStylePr>
    <w:tblStylePr w:type="band1Horz">
      <w:tblPr/>
      <w:tcPr>
        <w:tcBorders>
          <w:top w:val="single" w:sz="8" w:space="0" w:color="076A92" w:themeColor="text1"/>
          <w:left w:val="single" w:sz="8" w:space="0" w:color="076A92" w:themeColor="text1"/>
          <w:bottom w:val="single" w:sz="8" w:space="0" w:color="076A92" w:themeColor="text1"/>
          <w:right w:val="single" w:sz="8" w:space="0" w:color="076A92" w:themeColor="text1"/>
        </w:tcBorders>
      </w:tcPr>
    </w:tblStylePr>
  </w:style>
  <w:style w:type="table" w:styleId="LightShading-Accent5">
    <w:name w:val="Light Shading Accent 5"/>
    <w:basedOn w:val="TableNormal"/>
    <w:uiPriority w:val="60"/>
    <w:rsid w:val="00A871F4"/>
    <w:pPr>
      <w:spacing w:before="0"/>
    </w:pPr>
    <w:rPr>
      <w:color w:val="000000" w:themeColor="accent5" w:themeShade="BF"/>
    </w:rPr>
    <w:tblPr>
      <w:tblStyleRowBandSize w:val="1"/>
      <w:tblStyleColBandSize w:val="1"/>
      <w:tblBorders>
        <w:top w:val="single" w:sz="8" w:space="0" w:color="000000" w:themeColor="accent5"/>
        <w:bottom w:val="single" w:sz="8" w:space="0" w:color="000000" w:themeColor="accent5"/>
      </w:tblBorders>
    </w:tblPr>
    <w:tblStylePr w:type="firstRow">
      <w:pPr>
        <w:spacing w:before="0" w:after="0" w:line="240" w:lineRule="auto"/>
      </w:pPr>
      <w:rPr>
        <w:b/>
        <w:bCs/>
      </w:rPr>
      <w:tblPr/>
      <w:tcPr>
        <w:tcBorders>
          <w:top w:val="single" w:sz="8" w:space="0" w:color="000000" w:themeColor="accent5"/>
          <w:left w:val="nil"/>
          <w:bottom w:val="single" w:sz="8" w:space="0" w:color="000000" w:themeColor="accent5"/>
          <w:right w:val="nil"/>
          <w:insideH w:val="nil"/>
          <w:insideV w:val="nil"/>
        </w:tcBorders>
      </w:tcPr>
    </w:tblStylePr>
    <w:tblStylePr w:type="lastRow">
      <w:pPr>
        <w:spacing w:before="0" w:after="0" w:line="240" w:lineRule="auto"/>
      </w:pPr>
      <w:rPr>
        <w:b/>
        <w:bCs/>
      </w:rPr>
      <w:tblPr/>
      <w:tcPr>
        <w:tcBorders>
          <w:top w:val="single" w:sz="8" w:space="0" w:color="000000" w:themeColor="accent5"/>
          <w:left w:val="nil"/>
          <w:bottom w:val="single" w:sz="8" w:space="0" w:color="00000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accent5" w:themeFillTint="3F"/>
      </w:tcPr>
    </w:tblStylePr>
    <w:tblStylePr w:type="band1Horz">
      <w:tblPr/>
      <w:tcPr>
        <w:tcBorders>
          <w:left w:val="nil"/>
          <w:right w:val="nil"/>
          <w:insideH w:val="nil"/>
          <w:insideV w:val="nil"/>
        </w:tcBorders>
        <w:shd w:val="clear" w:color="auto" w:fill="C0C0C0" w:themeFill="accent5" w:themeFillTint="3F"/>
      </w:tcPr>
    </w:tblStylePr>
  </w:style>
  <w:style w:type="table" w:styleId="LightGrid-Accent3">
    <w:name w:val="Light Grid Accent 3"/>
    <w:basedOn w:val="TableNormal"/>
    <w:uiPriority w:val="62"/>
    <w:rsid w:val="00A871F4"/>
    <w:pPr>
      <w:spacing w:before="0"/>
    </w:pPr>
    <w:tblPr>
      <w:tblStyleRowBandSize w:val="1"/>
      <w:tblStyleColBandSize w:val="1"/>
      <w:tblBorders>
        <w:top w:val="single" w:sz="8" w:space="0" w:color="002060" w:themeColor="accent3"/>
        <w:left w:val="single" w:sz="8" w:space="0" w:color="002060" w:themeColor="accent3"/>
        <w:bottom w:val="single" w:sz="8" w:space="0" w:color="002060" w:themeColor="accent3"/>
        <w:right w:val="single" w:sz="8" w:space="0" w:color="002060" w:themeColor="accent3"/>
        <w:insideH w:val="single" w:sz="8" w:space="0" w:color="002060" w:themeColor="accent3"/>
        <w:insideV w:val="single" w:sz="8" w:space="0" w:color="00206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2060" w:themeColor="accent3"/>
          <w:left w:val="single" w:sz="8" w:space="0" w:color="002060" w:themeColor="accent3"/>
          <w:bottom w:val="single" w:sz="18" w:space="0" w:color="002060" w:themeColor="accent3"/>
          <w:right w:val="single" w:sz="8" w:space="0" w:color="002060" w:themeColor="accent3"/>
          <w:insideH w:val="nil"/>
          <w:insideV w:val="single" w:sz="8" w:space="0" w:color="00206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2060" w:themeColor="accent3"/>
          <w:left w:val="single" w:sz="8" w:space="0" w:color="002060" w:themeColor="accent3"/>
          <w:bottom w:val="single" w:sz="8" w:space="0" w:color="002060" w:themeColor="accent3"/>
          <w:right w:val="single" w:sz="8" w:space="0" w:color="002060" w:themeColor="accent3"/>
          <w:insideH w:val="nil"/>
          <w:insideV w:val="single" w:sz="8" w:space="0" w:color="00206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2060" w:themeColor="accent3"/>
          <w:left w:val="single" w:sz="8" w:space="0" w:color="002060" w:themeColor="accent3"/>
          <w:bottom w:val="single" w:sz="8" w:space="0" w:color="002060" w:themeColor="accent3"/>
          <w:right w:val="single" w:sz="8" w:space="0" w:color="002060" w:themeColor="accent3"/>
        </w:tcBorders>
      </w:tcPr>
    </w:tblStylePr>
    <w:tblStylePr w:type="band1Vert">
      <w:tblPr/>
      <w:tcPr>
        <w:tcBorders>
          <w:top w:val="single" w:sz="8" w:space="0" w:color="002060" w:themeColor="accent3"/>
          <w:left w:val="single" w:sz="8" w:space="0" w:color="002060" w:themeColor="accent3"/>
          <w:bottom w:val="single" w:sz="8" w:space="0" w:color="002060" w:themeColor="accent3"/>
          <w:right w:val="single" w:sz="8" w:space="0" w:color="002060" w:themeColor="accent3"/>
        </w:tcBorders>
        <w:shd w:val="clear" w:color="auto" w:fill="98BAFF" w:themeFill="accent3" w:themeFillTint="3F"/>
      </w:tcPr>
    </w:tblStylePr>
    <w:tblStylePr w:type="band1Horz">
      <w:tblPr/>
      <w:tcPr>
        <w:tcBorders>
          <w:top w:val="single" w:sz="8" w:space="0" w:color="002060" w:themeColor="accent3"/>
          <w:left w:val="single" w:sz="8" w:space="0" w:color="002060" w:themeColor="accent3"/>
          <w:bottom w:val="single" w:sz="8" w:space="0" w:color="002060" w:themeColor="accent3"/>
          <w:right w:val="single" w:sz="8" w:space="0" w:color="002060" w:themeColor="accent3"/>
          <w:insideV w:val="single" w:sz="8" w:space="0" w:color="002060" w:themeColor="accent3"/>
        </w:tcBorders>
        <w:shd w:val="clear" w:color="auto" w:fill="98BAFF" w:themeFill="accent3" w:themeFillTint="3F"/>
      </w:tcPr>
    </w:tblStylePr>
    <w:tblStylePr w:type="band2Horz">
      <w:tblPr/>
      <w:tcPr>
        <w:tcBorders>
          <w:top w:val="single" w:sz="8" w:space="0" w:color="002060" w:themeColor="accent3"/>
          <w:left w:val="single" w:sz="8" w:space="0" w:color="002060" w:themeColor="accent3"/>
          <w:bottom w:val="single" w:sz="8" w:space="0" w:color="002060" w:themeColor="accent3"/>
          <w:right w:val="single" w:sz="8" w:space="0" w:color="002060" w:themeColor="accent3"/>
          <w:insideV w:val="single" w:sz="8" w:space="0" w:color="002060" w:themeColor="accent3"/>
        </w:tcBorders>
      </w:tcPr>
    </w:tblStylePr>
  </w:style>
  <w:style w:type="paragraph" w:styleId="Bibliography">
    <w:name w:val="Bibliography"/>
    <w:basedOn w:val="Normal"/>
    <w:next w:val="Normal"/>
    <w:uiPriority w:val="37"/>
    <w:semiHidden/>
    <w:rsid w:val="00EE28F3"/>
  </w:style>
  <w:style w:type="paragraph" w:styleId="BodyText3">
    <w:name w:val="Body Text 3"/>
    <w:basedOn w:val="Normal"/>
    <w:link w:val="BodyText3Char"/>
    <w:unhideWhenUsed/>
    <w:rsid w:val="005C26CC"/>
    <w:pPr>
      <w:spacing w:after="120"/>
    </w:pPr>
    <w:rPr>
      <w:szCs w:val="16"/>
    </w:rPr>
  </w:style>
  <w:style w:type="character" w:customStyle="1" w:styleId="BodyText3Char">
    <w:name w:val="Body Text 3 Char"/>
    <w:basedOn w:val="DefaultParagraphFont"/>
    <w:link w:val="BodyText3"/>
    <w:uiPriority w:val="99"/>
    <w:rsid w:val="005C26CC"/>
    <w:rPr>
      <w:rFonts w:ascii="Arial" w:hAnsi="Arial"/>
      <w:szCs w:val="16"/>
    </w:rPr>
  </w:style>
  <w:style w:type="paragraph" w:styleId="TOC1">
    <w:name w:val="toc 1"/>
    <w:basedOn w:val="Normal"/>
    <w:next w:val="Normal"/>
    <w:autoRedefine/>
    <w:uiPriority w:val="39"/>
    <w:qFormat/>
    <w:rsid w:val="005B704A"/>
    <w:pPr>
      <w:tabs>
        <w:tab w:val="left" w:pos="426"/>
        <w:tab w:val="right" w:leader="dot" w:pos="8364"/>
      </w:tabs>
      <w:spacing w:after="100"/>
    </w:pPr>
    <w:rPr>
      <w:b/>
      <w:noProof/>
      <w:color w:val="70635A" w:themeColor="text2"/>
      <w:sz w:val="24"/>
      <w:lang w:val="en-US" w:eastAsia="ja-JP"/>
    </w:rPr>
  </w:style>
  <w:style w:type="paragraph" w:styleId="TOC2">
    <w:name w:val="toc 2"/>
    <w:basedOn w:val="Normal"/>
    <w:next w:val="Normal"/>
    <w:uiPriority w:val="39"/>
    <w:qFormat/>
    <w:rsid w:val="005D7BA2"/>
    <w:pPr>
      <w:tabs>
        <w:tab w:val="left" w:pos="880"/>
        <w:tab w:val="right" w:leader="dot" w:pos="8363"/>
      </w:tabs>
      <w:spacing w:after="100"/>
      <w:ind w:left="425"/>
    </w:pPr>
    <w:rPr>
      <w:b/>
      <w:noProof/>
      <w:color w:val="70635A" w:themeColor="text2"/>
      <w:sz w:val="24"/>
    </w:rPr>
  </w:style>
  <w:style w:type="paragraph" w:styleId="TOC3">
    <w:name w:val="toc 3"/>
    <w:basedOn w:val="Normal"/>
    <w:next w:val="Normal"/>
    <w:uiPriority w:val="39"/>
    <w:qFormat/>
    <w:rsid w:val="005D7BA2"/>
    <w:pPr>
      <w:tabs>
        <w:tab w:val="left" w:pos="1760"/>
        <w:tab w:val="right" w:leader="dot" w:pos="8363"/>
      </w:tabs>
      <w:spacing w:after="100"/>
      <w:ind w:left="851"/>
    </w:pPr>
    <w:rPr>
      <w:noProof/>
    </w:rPr>
  </w:style>
  <w:style w:type="paragraph" w:styleId="Title">
    <w:name w:val="Title"/>
    <w:basedOn w:val="Normal"/>
    <w:next w:val="Normal"/>
    <w:link w:val="TitleChar"/>
    <w:qFormat/>
    <w:rsid w:val="00174102"/>
    <w:pPr>
      <w:spacing w:before="720" w:after="120"/>
      <w:contextualSpacing/>
      <w:outlineLvl w:val="0"/>
    </w:pPr>
    <w:rPr>
      <w:rFonts w:asciiTheme="majorHAnsi" w:eastAsiaTheme="majorEastAsia" w:hAnsiTheme="majorHAnsi" w:cstheme="majorBidi"/>
      <w:color w:val="C14E00" w:themeColor="accent2"/>
      <w:spacing w:val="5"/>
      <w:kern w:val="28"/>
      <w:sz w:val="72"/>
      <w:szCs w:val="52"/>
    </w:rPr>
  </w:style>
  <w:style w:type="character" w:customStyle="1" w:styleId="TitleChar">
    <w:name w:val="Title Char"/>
    <w:basedOn w:val="DefaultParagraphFont"/>
    <w:link w:val="Title"/>
    <w:uiPriority w:val="10"/>
    <w:rsid w:val="00174102"/>
    <w:rPr>
      <w:rFonts w:asciiTheme="majorHAnsi" w:eastAsiaTheme="majorEastAsia" w:hAnsiTheme="majorHAnsi" w:cstheme="majorBidi"/>
      <w:color w:val="C14E00" w:themeColor="accent2"/>
      <w:spacing w:val="5"/>
      <w:kern w:val="28"/>
      <w:sz w:val="72"/>
      <w:szCs w:val="52"/>
    </w:rPr>
  </w:style>
  <w:style w:type="character" w:styleId="BookTitle">
    <w:name w:val="Book Title"/>
    <w:uiPriority w:val="33"/>
    <w:rsid w:val="0081034E"/>
    <w:rPr>
      <w:rFonts w:ascii="Arial" w:hAnsi="Arial"/>
      <w:bCs/>
      <w:i/>
      <w:caps w:val="0"/>
      <w:smallCaps w:val="0"/>
      <w:spacing w:val="0"/>
      <w:sz w:val="22"/>
    </w:rPr>
  </w:style>
  <w:style w:type="table" w:styleId="LightList-Accent1">
    <w:name w:val="Light List Accent 1"/>
    <w:basedOn w:val="TableNormal"/>
    <w:uiPriority w:val="61"/>
    <w:rsid w:val="0081034E"/>
    <w:pPr>
      <w:spacing w:before="0"/>
    </w:pPr>
    <w:tblPr>
      <w:tblStyleRowBandSize w:val="1"/>
      <w:tblStyleColBandSize w:val="1"/>
      <w:tblBorders>
        <w:top w:val="single" w:sz="8" w:space="0" w:color="2F002F" w:themeColor="accent1"/>
        <w:left w:val="single" w:sz="8" w:space="0" w:color="2F002F" w:themeColor="accent1"/>
        <w:bottom w:val="single" w:sz="8" w:space="0" w:color="2F002F" w:themeColor="accent1"/>
        <w:right w:val="single" w:sz="8" w:space="0" w:color="2F002F" w:themeColor="accent1"/>
      </w:tblBorders>
    </w:tblPr>
    <w:tblStylePr w:type="firstRow">
      <w:pPr>
        <w:spacing w:before="0" w:after="0" w:line="240" w:lineRule="auto"/>
      </w:pPr>
      <w:rPr>
        <w:b/>
        <w:bCs/>
        <w:color w:val="FFFFFF" w:themeColor="background1"/>
      </w:rPr>
      <w:tblPr/>
      <w:tcPr>
        <w:shd w:val="clear" w:color="auto" w:fill="2F002F" w:themeFill="accent1"/>
      </w:tcPr>
    </w:tblStylePr>
    <w:tblStylePr w:type="lastRow">
      <w:pPr>
        <w:spacing w:before="0" w:after="0" w:line="240" w:lineRule="auto"/>
      </w:pPr>
      <w:rPr>
        <w:b/>
        <w:bCs/>
      </w:rPr>
      <w:tblPr/>
      <w:tcPr>
        <w:tcBorders>
          <w:top w:val="double" w:sz="6" w:space="0" w:color="2F002F" w:themeColor="accent1"/>
          <w:left w:val="single" w:sz="8" w:space="0" w:color="2F002F" w:themeColor="accent1"/>
          <w:bottom w:val="single" w:sz="8" w:space="0" w:color="2F002F" w:themeColor="accent1"/>
          <w:right w:val="single" w:sz="8" w:space="0" w:color="2F002F" w:themeColor="accent1"/>
        </w:tcBorders>
      </w:tcPr>
    </w:tblStylePr>
    <w:tblStylePr w:type="firstCol">
      <w:rPr>
        <w:b/>
        <w:bCs/>
      </w:rPr>
    </w:tblStylePr>
    <w:tblStylePr w:type="lastCol">
      <w:rPr>
        <w:b/>
        <w:bCs/>
      </w:rPr>
    </w:tblStylePr>
    <w:tblStylePr w:type="band1Vert">
      <w:tblPr/>
      <w:tcPr>
        <w:tcBorders>
          <w:top w:val="single" w:sz="8" w:space="0" w:color="2F002F" w:themeColor="accent1"/>
          <w:left w:val="single" w:sz="8" w:space="0" w:color="2F002F" w:themeColor="accent1"/>
          <w:bottom w:val="single" w:sz="8" w:space="0" w:color="2F002F" w:themeColor="accent1"/>
          <w:right w:val="single" w:sz="8" w:space="0" w:color="2F002F" w:themeColor="accent1"/>
        </w:tcBorders>
      </w:tcPr>
    </w:tblStylePr>
    <w:tblStylePr w:type="band1Horz">
      <w:tblPr/>
      <w:tcPr>
        <w:tcBorders>
          <w:top w:val="single" w:sz="8" w:space="0" w:color="2F002F" w:themeColor="accent1"/>
          <w:left w:val="single" w:sz="8" w:space="0" w:color="2F002F" w:themeColor="accent1"/>
          <w:bottom w:val="single" w:sz="8" w:space="0" w:color="2F002F" w:themeColor="accent1"/>
          <w:right w:val="single" w:sz="8" w:space="0" w:color="2F002F" w:themeColor="accent1"/>
        </w:tcBorders>
      </w:tcPr>
    </w:tblStylePr>
  </w:style>
  <w:style w:type="table" w:styleId="LightList-Accent3">
    <w:name w:val="Light List Accent 3"/>
    <w:basedOn w:val="TableNormal"/>
    <w:uiPriority w:val="61"/>
    <w:rsid w:val="0081034E"/>
    <w:pPr>
      <w:spacing w:before="0"/>
    </w:pPr>
    <w:tblPr>
      <w:tblStyleRowBandSize w:val="1"/>
      <w:tblStyleColBandSize w:val="1"/>
      <w:tblBorders>
        <w:top w:val="single" w:sz="8" w:space="0" w:color="002060" w:themeColor="accent3"/>
        <w:left w:val="single" w:sz="8" w:space="0" w:color="002060" w:themeColor="accent3"/>
        <w:bottom w:val="single" w:sz="8" w:space="0" w:color="002060" w:themeColor="accent3"/>
        <w:right w:val="single" w:sz="8" w:space="0" w:color="002060" w:themeColor="accent3"/>
      </w:tblBorders>
    </w:tblPr>
    <w:tblStylePr w:type="firstRow">
      <w:pPr>
        <w:spacing w:before="0" w:after="0" w:line="240" w:lineRule="auto"/>
      </w:pPr>
      <w:rPr>
        <w:b/>
        <w:bCs/>
        <w:color w:val="FFFFFF" w:themeColor="background1"/>
      </w:rPr>
      <w:tblPr/>
      <w:tcPr>
        <w:shd w:val="clear" w:color="auto" w:fill="002060" w:themeFill="accent3"/>
      </w:tcPr>
    </w:tblStylePr>
    <w:tblStylePr w:type="lastRow">
      <w:pPr>
        <w:spacing w:before="0" w:after="0" w:line="240" w:lineRule="auto"/>
      </w:pPr>
      <w:rPr>
        <w:b/>
        <w:bCs/>
      </w:rPr>
      <w:tblPr/>
      <w:tcPr>
        <w:tcBorders>
          <w:top w:val="double" w:sz="6" w:space="0" w:color="002060" w:themeColor="accent3"/>
          <w:left w:val="single" w:sz="8" w:space="0" w:color="002060" w:themeColor="accent3"/>
          <w:bottom w:val="single" w:sz="8" w:space="0" w:color="002060" w:themeColor="accent3"/>
          <w:right w:val="single" w:sz="8" w:space="0" w:color="002060" w:themeColor="accent3"/>
        </w:tcBorders>
      </w:tcPr>
    </w:tblStylePr>
    <w:tblStylePr w:type="firstCol">
      <w:rPr>
        <w:b/>
        <w:bCs/>
      </w:rPr>
    </w:tblStylePr>
    <w:tblStylePr w:type="lastCol">
      <w:rPr>
        <w:b/>
        <w:bCs/>
      </w:rPr>
    </w:tblStylePr>
    <w:tblStylePr w:type="band1Vert">
      <w:tblPr/>
      <w:tcPr>
        <w:tcBorders>
          <w:top w:val="single" w:sz="8" w:space="0" w:color="002060" w:themeColor="accent3"/>
          <w:left w:val="single" w:sz="8" w:space="0" w:color="002060" w:themeColor="accent3"/>
          <w:bottom w:val="single" w:sz="8" w:space="0" w:color="002060" w:themeColor="accent3"/>
          <w:right w:val="single" w:sz="8" w:space="0" w:color="002060" w:themeColor="accent3"/>
        </w:tcBorders>
      </w:tcPr>
    </w:tblStylePr>
    <w:tblStylePr w:type="band1Horz">
      <w:tblPr/>
      <w:tcPr>
        <w:tcBorders>
          <w:top w:val="single" w:sz="8" w:space="0" w:color="002060" w:themeColor="accent3"/>
          <w:left w:val="single" w:sz="8" w:space="0" w:color="002060" w:themeColor="accent3"/>
          <w:bottom w:val="single" w:sz="8" w:space="0" w:color="002060" w:themeColor="accent3"/>
          <w:right w:val="single" w:sz="8" w:space="0" w:color="002060" w:themeColor="accent3"/>
        </w:tcBorders>
      </w:tcPr>
    </w:tblStylePr>
  </w:style>
  <w:style w:type="table" w:styleId="LightList-Accent5">
    <w:name w:val="Light List Accent 5"/>
    <w:basedOn w:val="TableNormal"/>
    <w:uiPriority w:val="61"/>
    <w:rsid w:val="005B1E3C"/>
    <w:pPr>
      <w:spacing w:before="0"/>
    </w:pPr>
    <w:tblPr>
      <w:tblStyleRowBandSize w:val="1"/>
      <w:tblStyleColBandSize w:val="1"/>
      <w:tblBorders>
        <w:top w:val="single" w:sz="8" w:space="0" w:color="000000" w:themeColor="accent5"/>
        <w:left w:val="single" w:sz="8" w:space="0" w:color="000000" w:themeColor="accent5"/>
        <w:bottom w:val="single" w:sz="8" w:space="0" w:color="000000" w:themeColor="accent5"/>
        <w:right w:val="single" w:sz="8" w:space="0" w:color="000000" w:themeColor="accent5"/>
      </w:tblBorders>
    </w:tblPr>
    <w:tblStylePr w:type="firstRow">
      <w:pPr>
        <w:spacing w:before="0" w:after="0" w:line="240" w:lineRule="auto"/>
      </w:pPr>
      <w:rPr>
        <w:b/>
        <w:bCs/>
        <w:color w:val="auto"/>
      </w:rPr>
      <w:tblPr/>
      <w:tcPr>
        <w:shd w:val="clear" w:color="auto" w:fill="000000" w:themeFill="accent5"/>
      </w:tcPr>
    </w:tblStylePr>
    <w:tblStylePr w:type="lastRow">
      <w:pPr>
        <w:spacing w:before="0" w:after="0" w:line="240" w:lineRule="auto"/>
      </w:pPr>
      <w:rPr>
        <w:b/>
        <w:bCs/>
      </w:rPr>
      <w:tblPr/>
      <w:tcPr>
        <w:tcBorders>
          <w:top w:val="double" w:sz="6" w:space="0" w:color="000000" w:themeColor="accent5"/>
          <w:left w:val="single" w:sz="8" w:space="0" w:color="000000" w:themeColor="accent5"/>
          <w:bottom w:val="single" w:sz="8" w:space="0" w:color="000000" w:themeColor="accent5"/>
          <w:right w:val="single" w:sz="8" w:space="0" w:color="000000" w:themeColor="accent5"/>
        </w:tcBorders>
      </w:tcPr>
    </w:tblStylePr>
    <w:tblStylePr w:type="firstCol">
      <w:rPr>
        <w:b/>
        <w:bCs/>
      </w:rPr>
    </w:tblStylePr>
    <w:tblStylePr w:type="lastCol">
      <w:rPr>
        <w:b/>
        <w:bCs/>
      </w:rPr>
    </w:tblStylePr>
    <w:tblStylePr w:type="band1Vert">
      <w:tblPr/>
      <w:tcPr>
        <w:tcBorders>
          <w:top w:val="single" w:sz="8" w:space="0" w:color="000000" w:themeColor="accent5"/>
          <w:left w:val="single" w:sz="8" w:space="0" w:color="000000" w:themeColor="accent5"/>
          <w:bottom w:val="single" w:sz="8" w:space="0" w:color="000000" w:themeColor="accent5"/>
          <w:right w:val="single" w:sz="8" w:space="0" w:color="000000" w:themeColor="accent5"/>
        </w:tcBorders>
      </w:tcPr>
    </w:tblStylePr>
    <w:tblStylePr w:type="band1Horz">
      <w:tblPr/>
      <w:tcPr>
        <w:tcBorders>
          <w:top w:val="single" w:sz="8" w:space="0" w:color="000000" w:themeColor="accent5"/>
          <w:left w:val="single" w:sz="8" w:space="0" w:color="000000" w:themeColor="accent5"/>
          <w:bottom w:val="single" w:sz="8" w:space="0" w:color="000000" w:themeColor="accent5"/>
          <w:right w:val="single" w:sz="8" w:space="0" w:color="000000" w:themeColor="accent5"/>
        </w:tcBorders>
      </w:tcPr>
    </w:tblStylePr>
  </w:style>
  <w:style w:type="character" w:styleId="Emphasis">
    <w:name w:val="Emphasis"/>
    <w:basedOn w:val="DefaultParagraphFont"/>
    <w:uiPriority w:val="20"/>
    <w:qFormat/>
    <w:rsid w:val="00701CAB"/>
    <w:rPr>
      <w:i/>
      <w:iCs/>
    </w:rPr>
  </w:style>
  <w:style w:type="paragraph" w:styleId="NormalIndent">
    <w:name w:val="Normal Indent"/>
    <w:basedOn w:val="Normal"/>
    <w:uiPriority w:val="1"/>
    <w:rsid w:val="00202E03"/>
    <w:pPr>
      <w:tabs>
        <w:tab w:val="left" w:pos="680"/>
      </w:tabs>
      <w:ind w:left="680"/>
    </w:pPr>
  </w:style>
  <w:style w:type="paragraph" w:styleId="FootnoteText">
    <w:name w:val="footnote text"/>
    <w:aliases w:val="Footnote Text1,Footnote Text2,ALTS FOOTNOTE2,Footnote Text11,(NECG) Footnote Text,(NECG) Footnote Text1,ALTS FOOTNOTE,Footnote text,AR Footnote Text,AR Footnote Text Char Char Char Char Char Char,AR Footnote Text Char Char Char Char Char,f"/>
    <w:basedOn w:val="Normal"/>
    <w:link w:val="FootnoteTextChar"/>
    <w:uiPriority w:val="2"/>
    <w:unhideWhenUsed/>
    <w:qFormat/>
    <w:rsid w:val="00DE1093"/>
    <w:pPr>
      <w:tabs>
        <w:tab w:val="left" w:pos="340"/>
      </w:tabs>
      <w:spacing w:before="0" w:line="240" w:lineRule="exact"/>
      <w:ind w:left="340" w:hanging="340"/>
    </w:pPr>
    <w:rPr>
      <w:sz w:val="16"/>
      <w:szCs w:val="20"/>
    </w:rPr>
  </w:style>
  <w:style w:type="character" w:customStyle="1" w:styleId="FootnoteTextChar">
    <w:name w:val="Footnote Text Char"/>
    <w:aliases w:val="Footnote Text1 Char,Footnote Text2 Char,ALTS FOOTNOTE2 Char,Footnote Text11 Char,(NECG) Footnote Text Char,(NECG) Footnote Text1 Char,ALTS FOOTNOTE Char,Footnote text Char,AR Footnote Text Char,f Char"/>
    <w:basedOn w:val="DefaultParagraphFont"/>
    <w:link w:val="FootnoteText"/>
    <w:rsid w:val="00DE1093"/>
    <w:rPr>
      <w:rFonts w:ascii="Arial" w:hAnsi="Arial"/>
      <w:sz w:val="16"/>
      <w:szCs w:val="20"/>
    </w:rPr>
  </w:style>
  <w:style w:type="character" w:styleId="FootnoteReference">
    <w:name w:val="footnote reference"/>
    <w:aliases w:val="(NECG) Footnote Reference,(NECG) Footnote Reference1,(NECG) Footnote Reference2,(NECG) Footnote Reference3,(NECG) Footnote Reference4,(NECG) Footnote Reference5,(NECG) Footnote Reference6,(NECG) Footnote Reference7,o,Style 3,Style 12"/>
    <w:basedOn w:val="DefaultParagraphFont"/>
    <w:uiPriority w:val="99"/>
    <w:unhideWhenUsed/>
    <w:rsid w:val="00701CAB"/>
    <w:rPr>
      <w:vertAlign w:val="superscript"/>
    </w:rPr>
  </w:style>
  <w:style w:type="character" w:styleId="Strong">
    <w:name w:val="Strong"/>
    <w:aliases w:val="AER text bold"/>
    <w:basedOn w:val="DefaultParagraphFont"/>
    <w:uiPriority w:val="22"/>
    <w:qFormat/>
    <w:rsid w:val="00EF5110"/>
    <w:rPr>
      <w:b/>
      <w:bCs/>
    </w:rPr>
  </w:style>
  <w:style w:type="paragraph" w:styleId="Subtitle">
    <w:name w:val="Subtitle"/>
    <w:basedOn w:val="Normal"/>
    <w:next w:val="Normal"/>
    <w:link w:val="SubtitleChar"/>
    <w:uiPriority w:val="11"/>
    <w:rsid w:val="00CA489E"/>
    <w:pPr>
      <w:numPr>
        <w:ilvl w:val="1"/>
      </w:numPr>
    </w:pPr>
    <w:rPr>
      <w:rFonts w:asciiTheme="majorHAnsi" w:eastAsiaTheme="majorEastAsia" w:hAnsiTheme="majorHAnsi" w:cstheme="majorBidi"/>
      <w:i/>
      <w:iCs/>
      <w:color w:val="2F002F" w:themeColor="accent1"/>
      <w:spacing w:val="15"/>
      <w:sz w:val="24"/>
      <w:szCs w:val="24"/>
    </w:rPr>
  </w:style>
  <w:style w:type="character" w:customStyle="1" w:styleId="SubtitleChar">
    <w:name w:val="Subtitle Char"/>
    <w:basedOn w:val="DefaultParagraphFont"/>
    <w:link w:val="Subtitle"/>
    <w:uiPriority w:val="11"/>
    <w:rsid w:val="00CA489E"/>
    <w:rPr>
      <w:rFonts w:asciiTheme="majorHAnsi" w:eastAsiaTheme="majorEastAsia" w:hAnsiTheme="majorHAnsi" w:cstheme="majorBidi"/>
      <w:i/>
      <w:iCs/>
      <w:color w:val="2F002F" w:themeColor="accent1"/>
      <w:spacing w:val="15"/>
      <w:sz w:val="24"/>
      <w:szCs w:val="24"/>
    </w:rPr>
  </w:style>
  <w:style w:type="table" w:styleId="LightShading-Accent4">
    <w:name w:val="Light Shading Accent 4"/>
    <w:basedOn w:val="TableNormal"/>
    <w:uiPriority w:val="60"/>
    <w:rsid w:val="00746E01"/>
    <w:pPr>
      <w:spacing w:before="0"/>
    </w:pPr>
    <w:rPr>
      <w:color w:val="8F0000" w:themeColor="accent4" w:themeShade="BF"/>
    </w:rPr>
    <w:tblPr>
      <w:tblStyleRowBandSize w:val="1"/>
      <w:tblStyleColBandSize w:val="1"/>
      <w:tblBorders>
        <w:top w:val="single" w:sz="8" w:space="0" w:color="C00000" w:themeColor="accent4"/>
        <w:bottom w:val="single" w:sz="8" w:space="0" w:color="C00000" w:themeColor="accent4"/>
      </w:tblBorders>
    </w:tblPr>
    <w:tblStylePr w:type="firstRow">
      <w:pPr>
        <w:spacing w:before="0" w:after="0" w:line="240" w:lineRule="auto"/>
      </w:pPr>
      <w:rPr>
        <w:b/>
        <w:bCs/>
      </w:rPr>
      <w:tblPr/>
      <w:tcPr>
        <w:tcBorders>
          <w:top w:val="single" w:sz="8" w:space="0" w:color="C00000" w:themeColor="accent4"/>
          <w:left w:val="nil"/>
          <w:bottom w:val="single" w:sz="8" w:space="0" w:color="C00000" w:themeColor="accent4"/>
          <w:right w:val="nil"/>
          <w:insideH w:val="nil"/>
          <w:insideV w:val="nil"/>
        </w:tcBorders>
      </w:tcPr>
    </w:tblStylePr>
    <w:tblStylePr w:type="lastRow">
      <w:pPr>
        <w:spacing w:before="0" w:after="0" w:line="240" w:lineRule="auto"/>
      </w:pPr>
      <w:rPr>
        <w:b/>
        <w:bCs/>
      </w:rPr>
      <w:tblPr/>
      <w:tcPr>
        <w:tcBorders>
          <w:top w:val="single" w:sz="8" w:space="0" w:color="C00000" w:themeColor="accent4"/>
          <w:left w:val="nil"/>
          <w:bottom w:val="single" w:sz="8" w:space="0" w:color="C00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4" w:themeFillTint="3F"/>
      </w:tcPr>
    </w:tblStylePr>
    <w:tblStylePr w:type="band1Horz">
      <w:tblPr/>
      <w:tcPr>
        <w:tcBorders>
          <w:left w:val="nil"/>
          <w:right w:val="nil"/>
          <w:insideH w:val="nil"/>
          <w:insideV w:val="nil"/>
        </w:tcBorders>
        <w:shd w:val="clear" w:color="auto" w:fill="FFB0B0" w:themeFill="accent4" w:themeFillTint="3F"/>
      </w:tcPr>
    </w:tblStylePr>
  </w:style>
  <w:style w:type="table" w:styleId="LightShading-Accent6">
    <w:name w:val="Light Shading Accent 6"/>
    <w:basedOn w:val="TableNormal"/>
    <w:uiPriority w:val="60"/>
    <w:rsid w:val="00746E01"/>
    <w:pPr>
      <w:spacing w:before="0"/>
    </w:pPr>
    <w:rPr>
      <w:color w:val="53242C" w:themeColor="accent6" w:themeShade="BF"/>
    </w:rPr>
    <w:tblPr>
      <w:tblStyleRowBandSize w:val="1"/>
      <w:tblStyleColBandSize w:val="1"/>
      <w:tblBorders>
        <w:top w:val="single" w:sz="8" w:space="0" w:color="70303C" w:themeColor="accent6"/>
        <w:bottom w:val="single" w:sz="8" w:space="0" w:color="70303C" w:themeColor="accent6"/>
      </w:tblBorders>
    </w:tblPr>
    <w:tblStylePr w:type="firstRow">
      <w:pPr>
        <w:spacing w:before="0" w:after="0" w:line="240" w:lineRule="auto"/>
      </w:pPr>
      <w:rPr>
        <w:b/>
        <w:bCs/>
      </w:rPr>
      <w:tblPr/>
      <w:tcPr>
        <w:tcBorders>
          <w:top w:val="single" w:sz="8" w:space="0" w:color="70303C" w:themeColor="accent6"/>
          <w:left w:val="nil"/>
          <w:bottom w:val="single" w:sz="8" w:space="0" w:color="70303C" w:themeColor="accent6"/>
          <w:right w:val="nil"/>
          <w:insideH w:val="nil"/>
          <w:insideV w:val="nil"/>
        </w:tcBorders>
      </w:tcPr>
    </w:tblStylePr>
    <w:tblStylePr w:type="lastRow">
      <w:pPr>
        <w:spacing w:before="0" w:after="0" w:line="240" w:lineRule="auto"/>
      </w:pPr>
      <w:rPr>
        <w:b/>
        <w:bCs/>
      </w:rPr>
      <w:tblPr/>
      <w:tcPr>
        <w:tcBorders>
          <w:top w:val="single" w:sz="8" w:space="0" w:color="70303C" w:themeColor="accent6"/>
          <w:left w:val="nil"/>
          <w:bottom w:val="single" w:sz="8" w:space="0" w:color="70303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C2C8" w:themeFill="accent6" w:themeFillTint="3F"/>
      </w:tcPr>
    </w:tblStylePr>
    <w:tblStylePr w:type="band1Horz">
      <w:tblPr/>
      <w:tcPr>
        <w:tcBorders>
          <w:left w:val="nil"/>
          <w:right w:val="nil"/>
          <w:insideH w:val="nil"/>
          <w:insideV w:val="nil"/>
        </w:tcBorders>
        <w:shd w:val="clear" w:color="auto" w:fill="E5C2C8" w:themeFill="accent6" w:themeFillTint="3F"/>
      </w:tcPr>
    </w:tblStylePr>
  </w:style>
  <w:style w:type="paragraph" w:styleId="TOC4">
    <w:name w:val="toc 4"/>
    <w:basedOn w:val="Normal"/>
    <w:next w:val="Normal"/>
    <w:rsid w:val="005D7BA2"/>
    <w:pPr>
      <w:tabs>
        <w:tab w:val="right" w:leader="dot" w:pos="8363"/>
      </w:tabs>
      <w:spacing w:after="100"/>
      <w:ind w:left="1276"/>
    </w:pPr>
    <w:rPr>
      <w:noProof/>
    </w:rPr>
  </w:style>
  <w:style w:type="paragraph" w:styleId="TOC5">
    <w:name w:val="toc 5"/>
    <w:basedOn w:val="Normal"/>
    <w:next w:val="Normal"/>
    <w:rsid w:val="005D7BA2"/>
    <w:pPr>
      <w:tabs>
        <w:tab w:val="right" w:leader="dot" w:pos="8363"/>
      </w:tabs>
      <w:spacing w:after="100"/>
      <w:ind w:left="1701"/>
    </w:pPr>
    <w:rPr>
      <w:noProof/>
    </w:rPr>
  </w:style>
  <w:style w:type="paragraph" w:styleId="TOC6">
    <w:name w:val="toc 6"/>
    <w:basedOn w:val="Normal"/>
    <w:next w:val="Normal"/>
    <w:rsid w:val="005D7BA2"/>
    <w:pPr>
      <w:tabs>
        <w:tab w:val="right" w:leader="dot" w:pos="8363"/>
      </w:tabs>
      <w:spacing w:after="100"/>
      <w:ind w:left="2126"/>
    </w:pPr>
    <w:rPr>
      <w:noProof/>
    </w:rPr>
  </w:style>
  <w:style w:type="paragraph" w:styleId="TOC7">
    <w:name w:val="toc 7"/>
    <w:basedOn w:val="Normal"/>
    <w:next w:val="Normal"/>
    <w:rsid w:val="005D7BA2"/>
    <w:pPr>
      <w:tabs>
        <w:tab w:val="right" w:leader="dot" w:pos="8363"/>
      </w:tabs>
      <w:spacing w:after="100"/>
      <w:ind w:left="2552"/>
    </w:pPr>
    <w:rPr>
      <w:noProof/>
    </w:rPr>
  </w:style>
  <w:style w:type="paragraph" w:styleId="Salutation">
    <w:name w:val="Salutation"/>
    <w:basedOn w:val="Normal"/>
    <w:next w:val="Normal"/>
    <w:link w:val="SalutationChar"/>
    <w:uiPriority w:val="99"/>
    <w:unhideWhenUsed/>
    <w:rsid w:val="00CA489E"/>
  </w:style>
  <w:style w:type="table" w:customStyle="1" w:styleId="LightShading1">
    <w:name w:val="Light Shading1"/>
    <w:basedOn w:val="TableNormal"/>
    <w:next w:val="LightShading"/>
    <w:uiPriority w:val="60"/>
    <w:rsid w:val="00C53B5A"/>
    <w:pPr>
      <w:spacing w:before="120" w:after="120"/>
    </w:pPr>
    <w:rPr>
      <w:color w:val="054E6D" w:themeColor="text1" w:themeShade="BF"/>
      <w:sz w:val="20"/>
    </w:rPr>
    <w:tblPr>
      <w:tblBorders>
        <w:top w:val="single" w:sz="4" w:space="0" w:color="FFFFFF" w:themeColor="background2"/>
        <w:bottom w:val="single" w:sz="4" w:space="0" w:color="FFFFFF" w:themeColor="background2"/>
        <w:insideH w:val="single" w:sz="4" w:space="0" w:color="FFFFFF" w:themeColor="background2"/>
      </w:tblBorders>
    </w:tblPr>
    <w:tcPr>
      <w:shd w:val="clear" w:color="auto" w:fill="auto"/>
    </w:tcPr>
    <w:tblStylePr w:type="firstRow">
      <w:pPr>
        <w:wordWrap/>
        <w:spacing w:beforeLines="0" w:before="120" w:beforeAutospacing="0" w:afterLines="0" w:after="120" w:afterAutospacing="0" w:line="240" w:lineRule="auto"/>
      </w:pPr>
      <w:rPr>
        <w:rFonts w:ascii="Arial" w:hAnsi="Arial"/>
        <w:b/>
        <w:bCs/>
        <w:sz w:val="20"/>
      </w:rPr>
      <w:tblPr/>
      <w:tcPr>
        <w:tcBorders>
          <w:top w:val="single" w:sz="8" w:space="0" w:color="076A92" w:themeColor="text1"/>
          <w:left w:val="nil"/>
          <w:bottom w:val="single" w:sz="8" w:space="0" w:color="076A92" w:themeColor="text1"/>
          <w:right w:val="nil"/>
          <w:insideH w:val="nil"/>
          <w:insideV w:val="nil"/>
        </w:tcBorders>
        <w:shd w:val="clear" w:color="auto" w:fill="auto"/>
      </w:tcPr>
    </w:tblStylePr>
    <w:tblStylePr w:type="lastRow">
      <w:pPr>
        <w:wordWrap/>
        <w:spacing w:beforeLines="0" w:before="120" w:beforeAutospacing="0" w:afterLines="0" w:after="120" w:afterAutospacing="0" w:line="240" w:lineRule="auto"/>
      </w:pPr>
      <w:rPr>
        <w:rFonts w:ascii="Arial" w:hAnsi="Arial"/>
        <w:b/>
        <w:bCs/>
        <w:sz w:val="20"/>
      </w:rPr>
      <w:tblPr/>
      <w:tcPr>
        <w:tcBorders>
          <w:top w:val="single" w:sz="8" w:space="0" w:color="076A92" w:themeColor="text1"/>
          <w:left w:val="nil"/>
          <w:bottom w:val="single" w:sz="8" w:space="0" w:color="076A92" w:themeColor="text1"/>
          <w:right w:val="nil"/>
          <w:insideH w:val="nil"/>
          <w:insideV w:val="nil"/>
        </w:tcBorders>
        <w:vAlign w:val="center"/>
      </w:tcPr>
    </w:tblStylePr>
    <w:tblStylePr w:type="firstCol">
      <w:rPr>
        <w:b/>
        <w:bCs/>
        <w:sz w:val="20"/>
      </w:rPr>
    </w:tblStylePr>
    <w:tblStylePr w:type="lastCol">
      <w:rPr>
        <w:b/>
        <w:bCs/>
      </w:rPr>
    </w:tblStylePr>
  </w:style>
  <w:style w:type="table" w:styleId="LightList-Accent2">
    <w:name w:val="Light List Accent 2"/>
    <w:basedOn w:val="TableNormal"/>
    <w:uiPriority w:val="61"/>
    <w:rsid w:val="009661DE"/>
    <w:pPr>
      <w:spacing w:before="0"/>
    </w:pPr>
    <w:tblPr>
      <w:tblStyleRowBandSize w:val="1"/>
      <w:tblStyleColBandSize w:val="1"/>
      <w:tblBorders>
        <w:top w:val="single" w:sz="8" w:space="0" w:color="C14E00" w:themeColor="accent2"/>
        <w:left w:val="single" w:sz="8" w:space="0" w:color="C14E00" w:themeColor="accent2"/>
        <w:bottom w:val="single" w:sz="8" w:space="0" w:color="C14E00" w:themeColor="accent2"/>
        <w:right w:val="single" w:sz="8" w:space="0" w:color="C14E00" w:themeColor="accent2"/>
      </w:tblBorders>
    </w:tblPr>
    <w:tblStylePr w:type="firstRow">
      <w:pPr>
        <w:spacing w:before="0" w:after="0" w:line="240" w:lineRule="auto"/>
      </w:pPr>
      <w:rPr>
        <w:b/>
        <w:bCs/>
        <w:color w:val="FFFFFF" w:themeColor="background1"/>
      </w:rPr>
      <w:tblPr/>
      <w:tcPr>
        <w:shd w:val="clear" w:color="auto" w:fill="C14E00" w:themeFill="accent2"/>
      </w:tcPr>
    </w:tblStylePr>
    <w:tblStylePr w:type="lastRow">
      <w:pPr>
        <w:spacing w:before="0" w:after="0" w:line="240" w:lineRule="auto"/>
      </w:pPr>
      <w:rPr>
        <w:b/>
        <w:bCs/>
      </w:rPr>
      <w:tblPr/>
      <w:tcPr>
        <w:tcBorders>
          <w:top w:val="double" w:sz="6" w:space="0" w:color="C14E00" w:themeColor="accent2"/>
          <w:left w:val="single" w:sz="8" w:space="0" w:color="C14E00" w:themeColor="accent2"/>
          <w:bottom w:val="single" w:sz="8" w:space="0" w:color="C14E00" w:themeColor="accent2"/>
          <w:right w:val="single" w:sz="8" w:space="0" w:color="C14E00" w:themeColor="accent2"/>
        </w:tcBorders>
      </w:tcPr>
    </w:tblStylePr>
    <w:tblStylePr w:type="firstCol">
      <w:rPr>
        <w:b/>
        <w:bCs/>
      </w:rPr>
    </w:tblStylePr>
    <w:tblStylePr w:type="lastCol">
      <w:rPr>
        <w:b/>
        <w:bCs/>
      </w:rPr>
    </w:tblStylePr>
    <w:tblStylePr w:type="band1Vert">
      <w:tblPr/>
      <w:tcPr>
        <w:tcBorders>
          <w:top w:val="single" w:sz="8" w:space="0" w:color="C14E00" w:themeColor="accent2"/>
          <w:left w:val="single" w:sz="8" w:space="0" w:color="C14E00" w:themeColor="accent2"/>
          <w:bottom w:val="single" w:sz="8" w:space="0" w:color="C14E00" w:themeColor="accent2"/>
          <w:right w:val="single" w:sz="8" w:space="0" w:color="C14E00" w:themeColor="accent2"/>
        </w:tcBorders>
      </w:tcPr>
    </w:tblStylePr>
    <w:tblStylePr w:type="band1Horz">
      <w:tblPr/>
      <w:tcPr>
        <w:tcBorders>
          <w:top w:val="single" w:sz="8" w:space="0" w:color="C14E00" w:themeColor="accent2"/>
          <w:left w:val="single" w:sz="8" w:space="0" w:color="C14E00" w:themeColor="accent2"/>
          <w:bottom w:val="single" w:sz="8" w:space="0" w:color="C14E00" w:themeColor="accent2"/>
          <w:right w:val="single" w:sz="8" w:space="0" w:color="C14E00" w:themeColor="accent2"/>
        </w:tcBorders>
      </w:tcPr>
    </w:tblStylePr>
  </w:style>
  <w:style w:type="table" w:styleId="LightList-Accent4">
    <w:name w:val="Light List Accent 4"/>
    <w:basedOn w:val="TableNormal"/>
    <w:uiPriority w:val="61"/>
    <w:rsid w:val="009661DE"/>
    <w:pPr>
      <w:spacing w:before="0"/>
    </w:pPr>
    <w:tblPr>
      <w:tblStyleRowBandSize w:val="1"/>
      <w:tblStyleColBandSize w:val="1"/>
      <w:tblBorders>
        <w:top w:val="single" w:sz="8" w:space="0" w:color="C00000" w:themeColor="accent4"/>
        <w:left w:val="single" w:sz="8" w:space="0" w:color="C00000" w:themeColor="accent4"/>
        <w:bottom w:val="single" w:sz="8" w:space="0" w:color="C00000" w:themeColor="accent4"/>
        <w:right w:val="single" w:sz="8" w:space="0" w:color="C00000" w:themeColor="accent4"/>
      </w:tblBorders>
    </w:tblPr>
    <w:tblStylePr w:type="firstRow">
      <w:pPr>
        <w:spacing w:before="0" w:after="0" w:line="240" w:lineRule="auto"/>
      </w:pPr>
      <w:rPr>
        <w:b/>
        <w:bCs/>
        <w:color w:val="FFFFFF" w:themeColor="background1"/>
      </w:rPr>
      <w:tblPr/>
      <w:tcPr>
        <w:shd w:val="clear" w:color="auto" w:fill="C00000" w:themeFill="accent4"/>
      </w:tcPr>
    </w:tblStylePr>
    <w:tblStylePr w:type="lastRow">
      <w:pPr>
        <w:spacing w:before="0" w:after="0" w:line="240" w:lineRule="auto"/>
      </w:pPr>
      <w:rPr>
        <w:b/>
        <w:bCs/>
      </w:rPr>
      <w:tblPr/>
      <w:tcPr>
        <w:tcBorders>
          <w:top w:val="double" w:sz="6" w:space="0" w:color="C00000" w:themeColor="accent4"/>
          <w:left w:val="single" w:sz="8" w:space="0" w:color="C00000" w:themeColor="accent4"/>
          <w:bottom w:val="single" w:sz="8" w:space="0" w:color="C00000" w:themeColor="accent4"/>
          <w:right w:val="single" w:sz="8" w:space="0" w:color="C00000" w:themeColor="accent4"/>
        </w:tcBorders>
      </w:tcPr>
    </w:tblStylePr>
    <w:tblStylePr w:type="firstCol">
      <w:rPr>
        <w:b/>
        <w:bCs/>
      </w:rPr>
    </w:tblStylePr>
    <w:tblStylePr w:type="lastCol">
      <w:rPr>
        <w:b/>
        <w:bCs/>
      </w:rPr>
    </w:tblStylePr>
    <w:tblStylePr w:type="band1Vert">
      <w:tblPr/>
      <w:tcPr>
        <w:tcBorders>
          <w:top w:val="single" w:sz="8" w:space="0" w:color="C00000" w:themeColor="accent4"/>
          <w:left w:val="single" w:sz="8" w:space="0" w:color="C00000" w:themeColor="accent4"/>
          <w:bottom w:val="single" w:sz="8" w:space="0" w:color="C00000" w:themeColor="accent4"/>
          <w:right w:val="single" w:sz="8" w:space="0" w:color="C00000" w:themeColor="accent4"/>
        </w:tcBorders>
      </w:tcPr>
    </w:tblStylePr>
    <w:tblStylePr w:type="band1Horz">
      <w:tblPr/>
      <w:tcPr>
        <w:tcBorders>
          <w:top w:val="single" w:sz="8" w:space="0" w:color="C00000" w:themeColor="accent4"/>
          <w:left w:val="single" w:sz="8" w:space="0" w:color="C00000" w:themeColor="accent4"/>
          <w:bottom w:val="single" w:sz="8" w:space="0" w:color="C00000" w:themeColor="accent4"/>
          <w:right w:val="single" w:sz="8" w:space="0" w:color="C00000" w:themeColor="accent4"/>
        </w:tcBorders>
      </w:tcPr>
    </w:tblStylePr>
  </w:style>
  <w:style w:type="table" w:styleId="LightList-Accent6">
    <w:name w:val="Light List Accent 6"/>
    <w:basedOn w:val="TableNormal"/>
    <w:uiPriority w:val="61"/>
    <w:rsid w:val="009661DE"/>
    <w:pPr>
      <w:spacing w:before="0"/>
    </w:pPr>
    <w:tblPr>
      <w:tblStyleRowBandSize w:val="1"/>
      <w:tblStyleColBandSize w:val="1"/>
      <w:tblBorders>
        <w:top w:val="single" w:sz="8" w:space="0" w:color="70303C" w:themeColor="accent6"/>
        <w:left w:val="single" w:sz="8" w:space="0" w:color="70303C" w:themeColor="accent6"/>
        <w:bottom w:val="single" w:sz="8" w:space="0" w:color="70303C" w:themeColor="accent6"/>
        <w:right w:val="single" w:sz="8" w:space="0" w:color="70303C" w:themeColor="accent6"/>
      </w:tblBorders>
    </w:tblPr>
    <w:tblStylePr w:type="firstRow">
      <w:pPr>
        <w:spacing w:before="0" w:after="0" w:line="240" w:lineRule="auto"/>
      </w:pPr>
      <w:rPr>
        <w:b/>
        <w:bCs/>
        <w:color w:val="FFFFFF" w:themeColor="background1"/>
      </w:rPr>
      <w:tblPr/>
      <w:tcPr>
        <w:shd w:val="clear" w:color="auto" w:fill="70303C" w:themeFill="accent6"/>
      </w:tcPr>
    </w:tblStylePr>
    <w:tblStylePr w:type="lastRow">
      <w:pPr>
        <w:spacing w:before="0" w:after="0" w:line="240" w:lineRule="auto"/>
      </w:pPr>
      <w:rPr>
        <w:b/>
        <w:bCs/>
      </w:rPr>
      <w:tblPr/>
      <w:tcPr>
        <w:tcBorders>
          <w:top w:val="double" w:sz="6" w:space="0" w:color="70303C" w:themeColor="accent6"/>
          <w:left w:val="single" w:sz="8" w:space="0" w:color="70303C" w:themeColor="accent6"/>
          <w:bottom w:val="single" w:sz="8" w:space="0" w:color="70303C" w:themeColor="accent6"/>
          <w:right w:val="single" w:sz="8" w:space="0" w:color="70303C" w:themeColor="accent6"/>
        </w:tcBorders>
      </w:tcPr>
    </w:tblStylePr>
    <w:tblStylePr w:type="firstCol">
      <w:rPr>
        <w:b/>
        <w:bCs/>
      </w:rPr>
    </w:tblStylePr>
    <w:tblStylePr w:type="lastCol">
      <w:rPr>
        <w:b/>
        <w:bCs/>
      </w:rPr>
    </w:tblStylePr>
    <w:tblStylePr w:type="band1Vert">
      <w:tblPr/>
      <w:tcPr>
        <w:tcBorders>
          <w:top w:val="single" w:sz="8" w:space="0" w:color="70303C" w:themeColor="accent6"/>
          <w:left w:val="single" w:sz="8" w:space="0" w:color="70303C" w:themeColor="accent6"/>
          <w:bottom w:val="single" w:sz="8" w:space="0" w:color="70303C" w:themeColor="accent6"/>
          <w:right w:val="single" w:sz="8" w:space="0" w:color="70303C" w:themeColor="accent6"/>
        </w:tcBorders>
      </w:tcPr>
    </w:tblStylePr>
    <w:tblStylePr w:type="band1Horz">
      <w:tblPr/>
      <w:tcPr>
        <w:tcBorders>
          <w:top w:val="single" w:sz="8" w:space="0" w:color="70303C" w:themeColor="accent6"/>
          <w:left w:val="single" w:sz="8" w:space="0" w:color="70303C" w:themeColor="accent6"/>
          <w:bottom w:val="single" w:sz="8" w:space="0" w:color="70303C" w:themeColor="accent6"/>
          <w:right w:val="single" w:sz="8" w:space="0" w:color="70303C" w:themeColor="accent6"/>
        </w:tcBorders>
      </w:tcPr>
    </w:tblStylePr>
  </w:style>
  <w:style w:type="table" w:styleId="LightGrid">
    <w:name w:val="Light Grid"/>
    <w:basedOn w:val="TableNormal"/>
    <w:uiPriority w:val="62"/>
    <w:rsid w:val="009661DE"/>
    <w:pPr>
      <w:spacing w:before="0"/>
    </w:pPr>
    <w:tblPr>
      <w:tblStyleRowBandSize w:val="1"/>
      <w:tblStyleColBandSize w:val="1"/>
      <w:tblBorders>
        <w:top w:val="single" w:sz="8" w:space="0" w:color="076A92" w:themeColor="text1"/>
        <w:left w:val="single" w:sz="8" w:space="0" w:color="076A92" w:themeColor="text1"/>
        <w:bottom w:val="single" w:sz="8" w:space="0" w:color="076A92" w:themeColor="text1"/>
        <w:right w:val="single" w:sz="8" w:space="0" w:color="076A92" w:themeColor="text1"/>
        <w:insideH w:val="single" w:sz="8" w:space="0" w:color="076A92" w:themeColor="text1"/>
        <w:insideV w:val="single" w:sz="8" w:space="0" w:color="076A92"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76A92" w:themeColor="text1"/>
          <w:left w:val="single" w:sz="8" w:space="0" w:color="076A92" w:themeColor="text1"/>
          <w:bottom w:val="single" w:sz="18" w:space="0" w:color="076A92" w:themeColor="text1"/>
          <w:right w:val="single" w:sz="8" w:space="0" w:color="076A92" w:themeColor="text1"/>
          <w:insideH w:val="nil"/>
          <w:insideV w:val="single" w:sz="8" w:space="0" w:color="076A92"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76A92" w:themeColor="text1"/>
          <w:left w:val="single" w:sz="8" w:space="0" w:color="076A92" w:themeColor="text1"/>
          <w:bottom w:val="single" w:sz="8" w:space="0" w:color="076A92" w:themeColor="text1"/>
          <w:right w:val="single" w:sz="8" w:space="0" w:color="076A92" w:themeColor="text1"/>
          <w:insideH w:val="nil"/>
          <w:insideV w:val="single" w:sz="8" w:space="0" w:color="076A92"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76A92" w:themeColor="text1"/>
          <w:left w:val="single" w:sz="8" w:space="0" w:color="076A92" w:themeColor="text1"/>
          <w:bottom w:val="single" w:sz="8" w:space="0" w:color="076A92" w:themeColor="text1"/>
          <w:right w:val="single" w:sz="8" w:space="0" w:color="076A92" w:themeColor="text1"/>
        </w:tcBorders>
      </w:tcPr>
    </w:tblStylePr>
    <w:tblStylePr w:type="band1Vert">
      <w:tblPr/>
      <w:tcPr>
        <w:tcBorders>
          <w:top w:val="single" w:sz="8" w:space="0" w:color="076A92" w:themeColor="text1"/>
          <w:left w:val="single" w:sz="8" w:space="0" w:color="076A92" w:themeColor="text1"/>
          <w:bottom w:val="single" w:sz="8" w:space="0" w:color="076A92" w:themeColor="text1"/>
          <w:right w:val="single" w:sz="8" w:space="0" w:color="076A92" w:themeColor="text1"/>
        </w:tcBorders>
        <w:shd w:val="clear" w:color="auto" w:fill="AAE3FB" w:themeFill="text1" w:themeFillTint="3F"/>
      </w:tcPr>
    </w:tblStylePr>
    <w:tblStylePr w:type="band1Horz">
      <w:tblPr/>
      <w:tcPr>
        <w:tcBorders>
          <w:top w:val="single" w:sz="8" w:space="0" w:color="076A92" w:themeColor="text1"/>
          <w:left w:val="single" w:sz="8" w:space="0" w:color="076A92" w:themeColor="text1"/>
          <w:bottom w:val="single" w:sz="8" w:space="0" w:color="076A92" w:themeColor="text1"/>
          <w:right w:val="single" w:sz="8" w:space="0" w:color="076A92" w:themeColor="text1"/>
          <w:insideV w:val="single" w:sz="8" w:space="0" w:color="076A92" w:themeColor="text1"/>
        </w:tcBorders>
        <w:shd w:val="clear" w:color="auto" w:fill="AAE3FB" w:themeFill="text1" w:themeFillTint="3F"/>
      </w:tcPr>
    </w:tblStylePr>
    <w:tblStylePr w:type="band2Horz">
      <w:tblPr/>
      <w:tcPr>
        <w:tcBorders>
          <w:top w:val="single" w:sz="8" w:space="0" w:color="076A92" w:themeColor="text1"/>
          <w:left w:val="single" w:sz="8" w:space="0" w:color="076A92" w:themeColor="text1"/>
          <w:bottom w:val="single" w:sz="8" w:space="0" w:color="076A92" w:themeColor="text1"/>
          <w:right w:val="single" w:sz="8" w:space="0" w:color="076A92" w:themeColor="text1"/>
          <w:insideV w:val="single" w:sz="8" w:space="0" w:color="076A92" w:themeColor="text1"/>
        </w:tcBorders>
      </w:tcPr>
    </w:tblStylePr>
  </w:style>
  <w:style w:type="table" w:styleId="LightGrid-Accent1">
    <w:name w:val="Light Grid Accent 1"/>
    <w:basedOn w:val="TableNormal"/>
    <w:uiPriority w:val="62"/>
    <w:rsid w:val="009661DE"/>
    <w:pPr>
      <w:spacing w:before="0"/>
    </w:pPr>
    <w:tblPr>
      <w:tblStyleRowBandSize w:val="1"/>
      <w:tblStyleColBandSize w:val="1"/>
      <w:tblBorders>
        <w:top w:val="single" w:sz="8" w:space="0" w:color="2F002F" w:themeColor="accent1"/>
        <w:left w:val="single" w:sz="8" w:space="0" w:color="2F002F" w:themeColor="accent1"/>
        <w:bottom w:val="single" w:sz="8" w:space="0" w:color="2F002F" w:themeColor="accent1"/>
        <w:right w:val="single" w:sz="8" w:space="0" w:color="2F002F" w:themeColor="accent1"/>
        <w:insideH w:val="single" w:sz="8" w:space="0" w:color="2F002F" w:themeColor="accent1"/>
        <w:insideV w:val="single" w:sz="8" w:space="0" w:color="2F002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F002F" w:themeColor="accent1"/>
          <w:left w:val="single" w:sz="8" w:space="0" w:color="2F002F" w:themeColor="accent1"/>
          <w:bottom w:val="single" w:sz="18" w:space="0" w:color="2F002F" w:themeColor="accent1"/>
          <w:right w:val="single" w:sz="8" w:space="0" w:color="2F002F" w:themeColor="accent1"/>
          <w:insideH w:val="nil"/>
          <w:insideV w:val="single" w:sz="8" w:space="0" w:color="2F002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F002F" w:themeColor="accent1"/>
          <w:left w:val="single" w:sz="8" w:space="0" w:color="2F002F" w:themeColor="accent1"/>
          <w:bottom w:val="single" w:sz="8" w:space="0" w:color="2F002F" w:themeColor="accent1"/>
          <w:right w:val="single" w:sz="8" w:space="0" w:color="2F002F" w:themeColor="accent1"/>
          <w:insideH w:val="nil"/>
          <w:insideV w:val="single" w:sz="8" w:space="0" w:color="2F002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F002F" w:themeColor="accent1"/>
          <w:left w:val="single" w:sz="8" w:space="0" w:color="2F002F" w:themeColor="accent1"/>
          <w:bottom w:val="single" w:sz="8" w:space="0" w:color="2F002F" w:themeColor="accent1"/>
          <w:right w:val="single" w:sz="8" w:space="0" w:color="2F002F" w:themeColor="accent1"/>
        </w:tcBorders>
      </w:tcPr>
    </w:tblStylePr>
    <w:tblStylePr w:type="band1Vert">
      <w:tblPr/>
      <w:tcPr>
        <w:tcBorders>
          <w:top w:val="single" w:sz="8" w:space="0" w:color="2F002F" w:themeColor="accent1"/>
          <w:left w:val="single" w:sz="8" w:space="0" w:color="2F002F" w:themeColor="accent1"/>
          <w:bottom w:val="single" w:sz="8" w:space="0" w:color="2F002F" w:themeColor="accent1"/>
          <w:right w:val="single" w:sz="8" w:space="0" w:color="2F002F" w:themeColor="accent1"/>
        </w:tcBorders>
        <w:shd w:val="clear" w:color="auto" w:fill="FF8CFF" w:themeFill="accent1" w:themeFillTint="3F"/>
      </w:tcPr>
    </w:tblStylePr>
    <w:tblStylePr w:type="band1Horz">
      <w:tblPr/>
      <w:tcPr>
        <w:tcBorders>
          <w:top w:val="single" w:sz="8" w:space="0" w:color="2F002F" w:themeColor="accent1"/>
          <w:left w:val="single" w:sz="8" w:space="0" w:color="2F002F" w:themeColor="accent1"/>
          <w:bottom w:val="single" w:sz="8" w:space="0" w:color="2F002F" w:themeColor="accent1"/>
          <w:right w:val="single" w:sz="8" w:space="0" w:color="2F002F" w:themeColor="accent1"/>
          <w:insideV w:val="single" w:sz="8" w:space="0" w:color="2F002F" w:themeColor="accent1"/>
        </w:tcBorders>
        <w:shd w:val="clear" w:color="auto" w:fill="FF8CFF" w:themeFill="accent1" w:themeFillTint="3F"/>
      </w:tcPr>
    </w:tblStylePr>
    <w:tblStylePr w:type="band2Horz">
      <w:tblPr/>
      <w:tcPr>
        <w:tcBorders>
          <w:top w:val="single" w:sz="8" w:space="0" w:color="2F002F" w:themeColor="accent1"/>
          <w:left w:val="single" w:sz="8" w:space="0" w:color="2F002F" w:themeColor="accent1"/>
          <w:bottom w:val="single" w:sz="8" w:space="0" w:color="2F002F" w:themeColor="accent1"/>
          <w:right w:val="single" w:sz="8" w:space="0" w:color="2F002F" w:themeColor="accent1"/>
          <w:insideV w:val="single" w:sz="8" w:space="0" w:color="2F002F" w:themeColor="accent1"/>
        </w:tcBorders>
      </w:tcPr>
    </w:tblStylePr>
  </w:style>
  <w:style w:type="table" w:styleId="LightGrid-Accent2">
    <w:name w:val="Light Grid Accent 2"/>
    <w:basedOn w:val="TableNormal"/>
    <w:uiPriority w:val="62"/>
    <w:rsid w:val="009661DE"/>
    <w:pPr>
      <w:spacing w:before="0"/>
    </w:pPr>
    <w:tblPr>
      <w:tblStyleRowBandSize w:val="1"/>
      <w:tblStyleColBandSize w:val="1"/>
      <w:tblBorders>
        <w:top w:val="single" w:sz="8" w:space="0" w:color="C14E00" w:themeColor="accent2"/>
        <w:left w:val="single" w:sz="8" w:space="0" w:color="C14E00" w:themeColor="accent2"/>
        <w:bottom w:val="single" w:sz="8" w:space="0" w:color="C14E00" w:themeColor="accent2"/>
        <w:right w:val="single" w:sz="8" w:space="0" w:color="C14E00" w:themeColor="accent2"/>
        <w:insideH w:val="single" w:sz="8" w:space="0" w:color="C14E00" w:themeColor="accent2"/>
        <w:insideV w:val="single" w:sz="8" w:space="0" w:color="C14E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14E00" w:themeColor="accent2"/>
          <w:left w:val="single" w:sz="8" w:space="0" w:color="C14E00" w:themeColor="accent2"/>
          <w:bottom w:val="single" w:sz="18" w:space="0" w:color="C14E00" w:themeColor="accent2"/>
          <w:right w:val="single" w:sz="8" w:space="0" w:color="C14E00" w:themeColor="accent2"/>
          <w:insideH w:val="nil"/>
          <w:insideV w:val="single" w:sz="8" w:space="0" w:color="C14E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14E00" w:themeColor="accent2"/>
          <w:left w:val="single" w:sz="8" w:space="0" w:color="C14E00" w:themeColor="accent2"/>
          <w:bottom w:val="single" w:sz="8" w:space="0" w:color="C14E00" w:themeColor="accent2"/>
          <w:right w:val="single" w:sz="8" w:space="0" w:color="C14E00" w:themeColor="accent2"/>
          <w:insideH w:val="nil"/>
          <w:insideV w:val="single" w:sz="8" w:space="0" w:color="C14E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14E00" w:themeColor="accent2"/>
          <w:left w:val="single" w:sz="8" w:space="0" w:color="C14E00" w:themeColor="accent2"/>
          <w:bottom w:val="single" w:sz="8" w:space="0" w:color="C14E00" w:themeColor="accent2"/>
          <w:right w:val="single" w:sz="8" w:space="0" w:color="C14E00" w:themeColor="accent2"/>
        </w:tcBorders>
      </w:tcPr>
    </w:tblStylePr>
    <w:tblStylePr w:type="band1Vert">
      <w:tblPr/>
      <w:tcPr>
        <w:tcBorders>
          <w:top w:val="single" w:sz="8" w:space="0" w:color="C14E00" w:themeColor="accent2"/>
          <w:left w:val="single" w:sz="8" w:space="0" w:color="C14E00" w:themeColor="accent2"/>
          <w:bottom w:val="single" w:sz="8" w:space="0" w:color="C14E00" w:themeColor="accent2"/>
          <w:right w:val="single" w:sz="8" w:space="0" w:color="C14E00" w:themeColor="accent2"/>
        </w:tcBorders>
        <w:shd w:val="clear" w:color="auto" w:fill="FFD0B0" w:themeFill="accent2" w:themeFillTint="3F"/>
      </w:tcPr>
    </w:tblStylePr>
    <w:tblStylePr w:type="band1Horz">
      <w:tblPr/>
      <w:tcPr>
        <w:tcBorders>
          <w:top w:val="single" w:sz="8" w:space="0" w:color="C14E00" w:themeColor="accent2"/>
          <w:left w:val="single" w:sz="8" w:space="0" w:color="C14E00" w:themeColor="accent2"/>
          <w:bottom w:val="single" w:sz="8" w:space="0" w:color="C14E00" w:themeColor="accent2"/>
          <w:right w:val="single" w:sz="8" w:space="0" w:color="C14E00" w:themeColor="accent2"/>
          <w:insideV w:val="single" w:sz="8" w:space="0" w:color="C14E00" w:themeColor="accent2"/>
        </w:tcBorders>
        <w:shd w:val="clear" w:color="auto" w:fill="FFD0B0" w:themeFill="accent2" w:themeFillTint="3F"/>
      </w:tcPr>
    </w:tblStylePr>
    <w:tblStylePr w:type="band2Horz">
      <w:tblPr/>
      <w:tcPr>
        <w:tcBorders>
          <w:top w:val="single" w:sz="8" w:space="0" w:color="C14E00" w:themeColor="accent2"/>
          <w:left w:val="single" w:sz="8" w:space="0" w:color="C14E00" w:themeColor="accent2"/>
          <w:bottom w:val="single" w:sz="8" w:space="0" w:color="C14E00" w:themeColor="accent2"/>
          <w:right w:val="single" w:sz="8" w:space="0" w:color="C14E00" w:themeColor="accent2"/>
          <w:insideV w:val="single" w:sz="8" w:space="0" w:color="C14E00" w:themeColor="accent2"/>
        </w:tcBorders>
      </w:tcPr>
    </w:tblStylePr>
  </w:style>
  <w:style w:type="table" w:styleId="LightGrid-Accent4">
    <w:name w:val="Light Grid Accent 4"/>
    <w:basedOn w:val="TableNormal"/>
    <w:uiPriority w:val="62"/>
    <w:rsid w:val="009661DE"/>
    <w:pPr>
      <w:spacing w:before="0"/>
    </w:pPr>
    <w:tblPr>
      <w:tblStyleRowBandSize w:val="1"/>
      <w:tblStyleColBandSize w:val="1"/>
      <w:tblBorders>
        <w:top w:val="single" w:sz="8" w:space="0" w:color="C00000" w:themeColor="accent4"/>
        <w:left w:val="single" w:sz="8" w:space="0" w:color="C00000" w:themeColor="accent4"/>
        <w:bottom w:val="single" w:sz="8" w:space="0" w:color="C00000" w:themeColor="accent4"/>
        <w:right w:val="single" w:sz="8" w:space="0" w:color="C00000" w:themeColor="accent4"/>
        <w:insideH w:val="single" w:sz="8" w:space="0" w:color="C00000" w:themeColor="accent4"/>
        <w:insideV w:val="single" w:sz="8" w:space="0" w:color="C00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4"/>
          <w:left w:val="single" w:sz="8" w:space="0" w:color="C00000" w:themeColor="accent4"/>
          <w:bottom w:val="single" w:sz="18" w:space="0" w:color="C00000" w:themeColor="accent4"/>
          <w:right w:val="single" w:sz="8" w:space="0" w:color="C00000" w:themeColor="accent4"/>
          <w:insideH w:val="nil"/>
          <w:insideV w:val="single" w:sz="8" w:space="0" w:color="C00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4"/>
          <w:left w:val="single" w:sz="8" w:space="0" w:color="C00000" w:themeColor="accent4"/>
          <w:bottom w:val="single" w:sz="8" w:space="0" w:color="C00000" w:themeColor="accent4"/>
          <w:right w:val="single" w:sz="8" w:space="0" w:color="C00000" w:themeColor="accent4"/>
          <w:insideH w:val="nil"/>
          <w:insideV w:val="single" w:sz="8" w:space="0" w:color="C00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4"/>
          <w:left w:val="single" w:sz="8" w:space="0" w:color="C00000" w:themeColor="accent4"/>
          <w:bottom w:val="single" w:sz="8" w:space="0" w:color="C00000" w:themeColor="accent4"/>
          <w:right w:val="single" w:sz="8" w:space="0" w:color="C00000" w:themeColor="accent4"/>
        </w:tcBorders>
      </w:tcPr>
    </w:tblStylePr>
    <w:tblStylePr w:type="band1Vert">
      <w:tblPr/>
      <w:tcPr>
        <w:tcBorders>
          <w:top w:val="single" w:sz="8" w:space="0" w:color="C00000" w:themeColor="accent4"/>
          <w:left w:val="single" w:sz="8" w:space="0" w:color="C00000" w:themeColor="accent4"/>
          <w:bottom w:val="single" w:sz="8" w:space="0" w:color="C00000" w:themeColor="accent4"/>
          <w:right w:val="single" w:sz="8" w:space="0" w:color="C00000" w:themeColor="accent4"/>
        </w:tcBorders>
        <w:shd w:val="clear" w:color="auto" w:fill="FFB0B0" w:themeFill="accent4" w:themeFillTint="3F"/>
      </w:tcPr>
    </w:tblStylePr>
    <w:tblStylePr w:type="band1Horz">
      <w:tblPr/>
      <w:tcPr>
        <w:tcBorders>
          <w:top w:val="single" w:sz="8" w:space="0" w:color="C00000" w:themeColor="accent4"/>
          <w:left w:val="single" w:sz="8" w:space="0" w:color="C00000" w:themeColor="accent4"/>
          <w:bottom w:val="single" w:sz="8" w:space="0" w:color="C00000" w:themeColor="accent4"/>
          <w:right w:val="single" w:sz="8" w:space="0" w:color="C00000" w:themeColor="accent4"/>
          <w:insideV w:val="single" w:sz="8" w:space="0" w:color="C00000" w:themeColor="accent4"/>
        </w:tcBorders>
        <w:shd w:val="clear" w:color="auto" w:fill="FFB0B0" w:themeFill="accent4" w:themeFillTint="3F"/>
      </w:tcPr>
    </w:tblStylePr>
    <w:tblStylePr w:type="band2Horz">
      <w:tblPr/>
      <w:tcPr>
        <w:tcBorders>
          <w:top w:val="single" w:sz="8" w:space="0" w:color="C00000" w:themeColor="accent4"/>
          <w:left w:val="single" w:sz="8" w:space="0" w:color="C00000" w:themeColor="accent4"/>
          <w:bottom w:val="single" w:sz="8" w:space="0" w:color="C00000" w:themeColor="accent4"/>
          <w:right w:val="single" w:sz="8" w:space="0" w:color="C00000" w:themeColor="accent4"/>
          <w:insideV w:val="single" w:sz="8" w:space="0" w:color="C00000" w:themeColor="accent4"/>
        </w:tcBorders>
      </w:tcPr>
    </w:tblStylePr>
  </w:style>
  <w:style w:type="table" w:styleId="LightGrid-Accent5">
    <w:name w:val="Light Grid Accent 5"/>
    <w:basedOn w:val="TableNormal"/>
    <w:uiPriority w:val="62"/>
    <w:rsid w:val="009661DE"/>
    <w:pPr>
      <w:spacing w:before="0"/>
    </w:pPr>
    <w:tblPr>
      <w:tblStyleRowBandSize w:val="1"/>
      <w:tblStyleColBandSize w:val="1"/>
      <w:tblBorders>
        <w:top w:val="single" w:sz="8" w:space="0" w:color="000000" w:themeColor="accent5"/>
        <w:left w:val="single" w:sz="8" w:space="0" w:color="000000" w:themeColor="accent5"/>
        <w:bottom w:val="single" w:sz="8" w:space="0" w:color="000000" w:themeColor="accent5"/>
        <w:right w:val="single" w:sz="8" w:space="0" w:color="000000" w:themeColor="accent5"/>
        <w:insideH w:val="single" w:sz="8" w:space="0" w:color="000000" w:themeColor="accent5"/>
        <w:insideV w:val="single" w:sz="8" w:space="0" w:color="00000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accent5"/>
          <w:left w:val="single" w:sz="8" w:space="0" w:color="000000" w:themeColor="accent5"/>
          <w:bottom w:val="single" w:sz="18" w:space="0" w:color="000000" w:themeColor="accent5"/>
          <w:right w:val="single" w:sz="8" w:space="0" w:color="000000" w:themeColor="accent5"/>
          <w:insideH w:val="nil"/>
          <w:insideV w:val="single" w:sz="8" w:space="0" w:color="00000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accent5"/>
          <w:left w:val="single" w:sz="8" w:space="0" w:color="000000" w:themeColor="accent5"/>
          <w:bottom w:val="single" w:sz="8" w:space="0" w:color="000000" w:themeColor="accent5"/>
          <w:right w:val="single" w:sz="8" w:space="0" w:color="000000" w:themeColor="accent5"/>
          <w:insideH w:val="nil"/>
          <w:insideV w:val="single" w:sz="8" w:space="0" w:color="00000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accent5"/>
          <w:left w:val="single" w:sz="8" w:space="0" w:color="000000" w:themeColor="accent5"/>
          <w:bottom w:val="single" w:sz="8" w:space="0" w:color="000000" w:themeColor="accent5"/>
          <w:right w:val="single" w:sz="8" w:space="0" w:color="000000" w:themeColor="accent5"/>
        </w:tcBorders>
      </w:tcPr>
    </w:tblStylePr>
    <w:tblStylePr w:type="band1Vert">
      <w:tblPr/>
      <w:tcPr>
        <w:tcBorders>
          <w:top w:val="single" w:sz="8" w:space="0" w:color="000000" w:themeColor="accent5"/>
          <w:left w:val="single" w:sz="8" w:space="0" w:color="000000" w:themeColor="accent5"/>
          <w:bottom w:val="single" w:sz="8" w:space="0" w:color="000000" w:themeColor="accent5"/>
          <w:right w:val="single" w:sz="8" w:space="0" w:color="000000" w:themeColor="accent5"/>
        </w:tcBorders>
        <w:shd w:val="clear" w:color="auto" w:fill="C0C0C0" w:themeFill="accent5" w:themeFillTint="3F"/>
      </w:tcPr>
    </w:tblStylePr>
    <w:tblStylePr w:type="band1Horz">
      <w:tblPr/>
      <w:tcPr>
        <w:tcBorders>
          <w:top w:val="single" w:sz="8" w:space="0" w:color="000000" w:themeColor="accent5"/>
          <w:left w:val="single" w:sz="8" w:space="0" w:color="000000" w:themeColor="accent5"/>
          <w:bottom w:val="single" w:sz="8" w:space="0" w:color="000000" w:themeColor="accent5"/>
          <w:right w:val="single" w:sz="8" w:space="0" w:color="000000" w:themeColor="accent5"/>
          <w:insideV w:val="single" w:sz="8" w:space="0" w:color="000000" w:themeColor="accent5"/>
        </w:tcBorders>
        <w:shd w:val="clear" w:color="auto" w:fill="C0C0C0" w:themeFill="accent5" w:themeFillTint="3F"/>
      </w:tcPr>
    </w:tblStylePr>
    <w:tblStylePr w:type="band2Horz">
      <w:tblPr/>
      <w:tcPr>
        <w:tcBorders>
          <w:top w:val="single" w:sz="8" w:space="0" w:color="000000" w:themeColor="accent5"/>
          <w:left w:val="single" w:sz="8" w:space="0" w:color="000000" w:themeColor="accent5"/>
          <w:bottom w:val="single" w:sz="8" w:space="0" w:color="000000" w:themeColor="accent5"/>
          <w:right w:val="single" w:sz="8" w:space="0" w:color="000000" w:themeColor="accent5"/>
          <w:insideV w:val="single" w:sz="8" w:space="0" w:color="000000" w:themeColor="accent5"/>
        </w:tcBorders>
      </w:tcPr>
    </w:tblStylePr>
  </w:style>
  <w:style w:type="paragraph" w:customStyle="1" w:styleId="HeaderRight">
    <w:name w:val="Header Right"/>
    <w:basedOn w:val="Header"/>
    <w:uiPriority w:val="35"/>
    <w:qFormat/>
    <w:rsid w:val="00A84F46"/>
    <w:pPr>
      <w:tabs>
        <w:tab w:val="clear" w:pos="4513"/>
        <w:tab w:val="clear" w:pos="9026"/>
        <w:tab w:val="center" w:pos="4320"/>
        <w:tab w:val="right" w:pos="8640"/>
      </w:tabs>
      <w:spacing w:before="0" w:after="200"/>
      <w:jc w:val="right"/>
    </w:pPr>
    <w:rPr>
      <w:rFonts w:asciiTheme="minorHAnsi" w:hAnsiTheme="minorHAnsi" w:cs="Times New Roman"/>
      <w:szCs w:val="20"/>
      <w:lang w:val="en-US" w:eastAsia="ja-JP"/>
    </w:rPr>
  </w:style>
  <w:style w:type="paragraph" w:customStyle="1" w:styleId="Numbered111111111">
    <w:name w:val="Numbered 1.1.1.1.1.1.1.1.1"/>
    <w:basedOn w:val="Heading9"/>
    <w:next w:val="Normal"/>
    <w:uiPriority w:val="2"/>
    <w:rsid w:val="00757BDF"/>
    <w:pPr>
      <w:numPr>
        <w:numId w:val="15"/>
      </w:numPr>
      <w:tabs>
        <w:tab w:val="left" w:pos="2041"/>
      </w:tabs>
      <w:ind w:left="2041" w:hanging="2041"/>
    </w:pPr>
  </w:style>
  <w:style w:type="paragraph" w:styleId="Caption">
    <w:name w:val="caption"/>
    <w:basedOn w:val="Normal"/>
    <w:next w:val="Normal"/>
    <w:uiPriority w:val="35"/>
    <w:unhideWhenUsed/>
    <w:qFormat/>
    <w:rsid w:val="0066104A"/>
    <w:pPr>
      <w:keepNext/>
      <w:spacing w:before="240" w:after="120"/>
    </w:pPr>
    <w:rPr>
      <w:b/>
      <w:bCs/>
      <w:color w:val="076A92" w:themeColor="text1"/>
      <w:sz w:val="24"/>
      <w:szCs w:val="18"/>
    </w:rPr>
  </w:style>
  <w:style w:type="paragraph" w:styleId="List">
    <w:name w:val="List"/>
    <w:basedOn w:val="Normal"/>
    <w:unhideWhenUsed/>
    <w:qFormat/>
    <w:rsid w:val="00B514DD"/>
    <w:pPr>
      <w:tabs>
        <w:tab w:val="left" w:pos="340"/>
      </w:tabs>
      <w:spacing w:before="120"/>
      <w:ind w:left="340" w:hanging="340"/>
    </w:pPr>
  </w:style>
  <w:style w:type="paragraph" w:styleId="List2">
    <w:name w:val="List 2"/>
    <w:basedOn w:val="Normal"/>
    <w:uiPriority w:val="99"/>
    <w:unhideWhenUsed/>
    <w:rsid w:val="00F171E0"/>
    <w:pPr>
      <w:tabs>
        <w:tab w:val="left" w:pos="680"/>
      </w:tabs>
      <w:spacing w:before="120"/>
      <w:ind w:left="680" w:hanging="340"/>
    </w:pPr>
  </w:style>
  <w:style w:type="paragraph" w:styleId="List3">
    <w:name w:val="List 3"/>
    <w:basedOn w:val="Normal"/>
    <w:uiPriority w:val="99"/>
    <w:unhideWhenUsed/>
    <w:rsid w:val="00F171E0"/>
    <w:pPr>
      <w:tabs>
        <w:tab w:val="left" w:pos="1021"/>
      </w:tabs>
      <w:spacing w:before="120"/>
      <w:ind w:left="1020" w:hanging="340"/>
    </w:pPr>
  </w:style>
  <w:style w:type="paragraph" w:styleId="List4">
    <w:name w:val="List 4"/>
    <w:basedOn w:val="Normal"/>
    <w:uiPriority w:val="99"/>
    <w:unhideWhenUsed/>
    <w:rsid w:val="00F171E0"/>
    <w:pPr>
      <w:tabs>
        <w:tab w:val="left" w:pos="1361"/>
      </w:tabs>
      <w:spacing w:before="120"/>
      <w:ind w:left="1361" w:hanging="340"/>
    </w:pPr>
  </w:style>
  <w:style w:type="paragraph" w:styleId="List5">
    <w:name w:val="List 5"/>
    <w:basedOn w:val="Normal"/>
    <w:uiPriority w:val="99"/>
    <w:unhideWhenUsed/>
    <w:rsid w:val="00F171E0"/>
    <w:pPr>
      <w:tabs>
        <w:tab w:val="left" w:pos="1701"/>
      </w:tabs>
      <w:spacing w:before="120"/>
      <w:ind w:left="1701" w:hanging="340"/>
    </w:pPr>
  </w:style>
  <w:style w:type="paragraph" w:styleId="ListBullet3">
    <w:name w:val="List Bullet 3"/>
    <w:aliases w:val="AER numbered list 2 third"/>
    <w:basedOn w:val="Normal"/>
    <w:unhideWhenUsed/>
    <w:qFormat/>
    <w:rsid w:val="008E77DE"/>
    <w:pPr>
      <w:numPr>
        <w:numId w:val="4"/>
      </w:numPr>
      <w:spacing w:before="120"/>
    </w:pPr>
  </w:style>
  <w:style w:type="paragraph" w:styleId="ListBullet4">
    <w:name w:val="List Bullet 4"/>
    <w:basedOn w:val="Normal"/>
    <w:uiPriority w:val="99"/>
    <w:unhideWhenUsed/>
    <w:rsid w:val="00DB5074"/>
    <w:pPr>
      <w:numPr>
        <w:numId w:val="5"/>
      </w:numPr>
      <w:tabs>
        <w:tab w:val="clear" w:pos="1209"/>
        <w:tab w:val="num" w:pos="1361"/>
      </w:tabs>
      <w:spacing w:before="120"/>
      <w:ind w:left="1378" w:hanging="357"/>
    </w:pPr>
  </w:style>
  <w:style w:type="paragraph" w:styleId="ListBullet5">
    <w:name w:val="List Bullet 5"/>
    <w:basedOn w:val="Normal"/>
    <w:uiPriority w:val="99"/>
    <w:unhideWhenUsed/>
    <w:rsid w:val="00DB5074"/>
    <w:pPr>
      <w:numPr>
        <w:numId w:val="6"/>
      </w:numPr>
      <w:tabs>
        <w:tab w:val="clear" w:pos="1492"/>
        <w:tab w:val="num" w:pos="1701"/>
      </w:tabs>
      <w:spacing w:before="120"/>
      <w:ind w:left="1701" w:hanging="340"/>
    </w:pPr>
  </w:style>
  <w:style w:type="paragraph" w:styleId="ListContinue">
    <w:name w:val="List Continue"/>
    <w:aliases w:val="AER body text (indent 1)"/>
    <w:basedOn w:val="Normal"/>
    <w:unhideWhenUsed/>
    <w:qFormat/>
    <w:rsid w:val="00DB5074"/>
    <w:pPr>
      <w:tabs>
        <w:tab w:val="left" w:pos="340"/>
      </w:tabs>
      <w:spacing w:before="120"/>
      <w:ind w:left="340"/>
    </w:pPr>
  </w:style>
  <w:style w:type="paragraph" w:styleId="ListContinue2">
    <w:name w:val="List Continue 2"/>
    <w:aliases w:val="AER body text (indent 2)"/>
    <w:basedOn w:val="Normal"/>
    <w:unhideWhenUsed/>
    <w:qFormat/>
    <w:rsid w:val="00567BA5"/>
    <w:pPr>
      <w:tabs>
        <w:tab w:val="left" w:pos="680"/>
      </w:tabs>
      <w:spacing w:before="120"/>
      <w:ind w:left="680"/>
    </w:pPr>
  </w:style>
  <w:style w:type="paragraph" w:styleId="ListContinue3">
    <w:name w:val="List Continue 3"/>
    <w:aliases w:val="AER body text (indent 3)"/>
    <w:basedOn w:val="Normal"/>
    <w:unhideWhenUsed/>
    <w:qFormat/>
    <w:rsid w:val="00DB5074"/>
    <w:pPr>
      <w:tabs>
        <w:tab w:val="left" w:pos="1021"/>
      </w:tabs>
      <w:spacing w:before="120"/>
      <w:ind w:left="1021"/>
    </w:pPr>
  </w:style>
  <w:style w:type="paragraph" w:styleId="ListContinue4">
    <w:name w:val="List Continue 4"/>
    <w:basedOn w:val="Normal"/>
    <w:uiPriority w:val="99"/>
    <w:unhideWhenUsed/>
    <w:rsid w:val="00DB5074"/>
    <w:pPr>
      <w:tabs>
        <w:tab w:val="left" w:pos="1361"/>
      </w:tabs>
      <w:spacing w:before="120"/>
      <w:ind w:left="1361"/>
    </w:pPr>
  </w:style>
  <w:style w:type="paragraph" w:styleId="ListNumber3">
    <w:name w:val="List Number 3"/>
    <w:basedOn w:val="Normal"/>
    <w:uiPriority w:val="99"/>
    <w:unhideWhenUsed/>
    <w:rsid w:val="00567BA5"/>
    <w:pPr>
      <w:numPr>
        <w:numId w:val="9"/>
      </w:numPr>
      <w:spacing w:before="120"/>
    </w:pPr>
  </w:style>
  <w:style w:type="paragraph" w:styleId="ListNumber4">
    <w:name w:val="List Number 4"/>
    <w:basedOn w:val="Normal"/>
    <w:uiPriority w:val="99"/>
    <w:unhideWhenUsed/>
    <w:rsid w:val="00567BA5"/>
    <w:pPr>
      <w:numPr>
        <w:numId w:val="10"/>
      </w:numPr>
      <w:tabs>
        <w:tab w:val="clear" w:pos="1209"/>
        <w:tab w:val="num" w:pos="1361"/>
      </w:tabs>
      <w:spacing w:before="120"/>
      <w:ind w:left="1361" w:hanging="340"/>
    </w:pPr>
  </w:style>
  <w:style w:type="paragraph" w:styleId="ListNumber5">
    <w:name w:val="List Number 5"/>
    <w:basedOn w:val="Normal"/>
    <w:uiPriority w:val="99"/>
    <w:unhideWhenUsed/>
    <w:rsid w:val="00567BA5"/>
    <w:pPr>
      <w:numPr>
        <w:numId w:val="11"/>
      </w:numPr>
      <w:tabs>
        <w:tab w:val="clear" w:pos="1492"/>
        <w:tab w:val="num" w:pos="1701"/>
      </w:tabs>
      <w:spacing w:before="120"/>
      <w:ind w:left="1701" w:hanging="340"/>
    </w:pPr>
  </w:style>
  <w:style w:type="paragraph" w:customStyle="1" w:styleId="TableHeading">
    <w:name w:val="Table Heading"/>
    <w:basedOn w:val="Normal"/>
    <w:link w:val="TableHeadingChar"/>
    <w:qFormat/>
    <w:rsid w:val="00185CB9"/>
    <w:pPr>
      <w:spacing w:before="240" w:after="120"/>
    </w:pPr>
    <w:rPr>
      <w:color w:val="FFFFFF" w:themeColor="background1"/>
      <w:sz w:val="24"/>
    </w:rPr>
  </w:style>
  <w:style w:type="paragraph" w:customStyle="1" w:styleId="Tabletext-right">
    <w:name w:val="Table text - right"/>
    <w:basedOn w:val="Tabletext"/>
    <w:link w:val="Tabletext-rightChar"/>
    <w:rsid w:val="00063247"/>
    <w:pPr>
      <w:jc w:val="right"/>
    </w:pPr>
    <w:rPr>
      <w:rFonts w:eastAsia="Times New Roman" w:cs="Times New Roman"/>
      <w:szCs w:val="20"/>
    </w:rPr>
  </w:style>
  <w:style w:type="paragraph" w:customStyle="1" w:styleId="Tabletext-centred">
    <w:name w:val="Table text - centred"/>
    <w:basedOn w:val="Tabletext-right"/>
    <w:link w:val="Tabletext-centredChar"/>
    <w:rsid w:val="00063247"/>
    <w:pPr>
      <w:jc w:val="center"/>
    </w:pPr>
  </w:style>
  <w:style w:type="paragraph" w:customStyle="1" w:styleId="TableHeading-right">
    <w:name w:val="Table Heading - right"/>
    <w:basedOn w:val="TableHeading"/>
    <w:link w:val="TableHeading-rightChar"/>
    <w:rsid w:val="00185CB9"/>
    <w:pPr>
      <w:jc w:val="right"/>
    </w:pPr>
    <w:rPr>
      <w:rFonts w:eastAsia="Times New Roman" w:cs="Times New Roman"/>
      <w:bCs/>
      <w:szCs w:val="20"/>
    </w:rPr>
  </w:style>
  <w:style w:type="character" w:customStyle="1" w:styleId="Tabletext-rightChar">
    <w:name w:val="Table text - right Char"/>
    <w:basedOn w:val="TabletextChar"/>
    <w:link w:val="Tabletext-right"/>
    <w:rsid w:val="00063247"/>
    <w:rPr>
      <w:rFonts w:ascii="Arial" w:eastAsia="Times New Roman" w:hAnsi="Arial" w:cs="Times New Roman"/>
      <w:sz w:val="20"/>
      <w:szCs w:val="20"/>
    </w:rPr>
  </w:style>
  <w:style w:type="character" w:customStyle="1" w:styleId="TabletextChar">
    <w:name w:val="Table text Char"/>
    <w:basedOn w:val="DefaultParagraphFont"/>
    <w:link w:val="Tabletext"/>
    <w:uiPriority w:val="1"/>
    <w:rsid w:val="00584D8F"/>
    <w:rPr>
      <w:rFonts w:ascii="Arial" w:hAnsi="Arial"/>
      <w:sz w:val="20"/>
    </w:rPr>
  </w:style>
  <w:style w:type="character" w:customStyle="1" w:styleId="TableHeadingChar">
    <w:name w:val="Table Heading Char"/>
    <w:basedOn w:val="TabletextChar"/>
    <w:link w:val="TableHeading"/>
    <w:rsid w:val="00185CB9"/>
    <w:rPr>
      <w:rFonts w:ascii="Arial" w:hAnsi="Arial"/>
      <w:color w:val="FFFFFF" w:themeColor="background1"/>
      <w:sz w:val="24"/>
    </w:rPr>
  </w:style>
  <w:style w:type="character" w:customStyle="1" w:styleId="TableHeading-rightChar">
    <w:name w:val="Table Heading - right Char"/>
    <w:basedOn w:val="TableHeadingChar"/>
    <w:link w:val="TableHeading-right"/>
    <w:rsid w:val="00185CB9"/>
    <w:rPr>
      <w:rFonts w:ascii="Arial" w:eastAsia="Times New Roman" w:hAnsi="Arial" w:cs="Times New Roman"/>
      <w:bCs/>
      <w:color w:val="FFFFFF" w:themeColor="background1"/>
      <w:sz w:val="24"/>
      <w:szCs w:val="20"/>
    </w:rPr>
  </w:style>
  <w:style w:type="character" w:customStyle="1" w:styleId="Tabletext-centredChar">
    <w:name w:val="Table text - centred Char"/>
    <w:basedOn w:val="Tabletext-rightChar"/>
    <w:link w:val="Tabletext-centred"/>
    <w:rsid w:val="00063247"/>
    <w:rPr>
      <w:rFonts w:ascii="Arial" w:eastAsia="Times New Roman" w:hAnsi="Arial" w:cs="Times New Roman"/>
      <w:sz w:val="20"/>
      <w:szCs w:val="20"/>
    </w:rPr>
  </w:style>
  <w:style w:type="paragraph" w:customStyle="1" w:styleId="TableHeading-centred">
    <w:name w:val="Table Heading - centred"/>
    <w:basedOn w:val="TableHeading"/>
    <w:rsid w:val="00185CB9"/>
    <w:pPr>
      <w:jc w:val="center"/>
    </w:pPr>
    <w:rPr>
      <w:rFonts w:eastAsia="Times New Roman" w:cs="Times New Roman"/>
      <w:bCs/>
      <w:szCs w:val="20"/>
    </w:rPr>
  </w:style>
  <w:style w:type="character" w:customStyle="1" w:styleId="EndnoteTextChar">
    <w:name w:val="Endnote Text Char"/>
    <w:basedOn w:val="DefaultParagraphFont"/>
    <w:link w:val="EndnoteText"/>
    <w:uiPriority w:val="99"/>
    <w:rsid w:val="00334C8D"/>
    <w:rPr>
      <w:rFonts w:ascii="Arial" w:hAnsi="Arial"/>
      <w:sz w:val="20"/>
      <w:szCs w:val="20"/>
    </w:rPr>
  </w:style>
  <w:style w:type="paragraph" w:styleId="TableofFigures">
    <w:name w:val="table of figures"/>
    <w:basedOn w:val="Normal"/>
    <w:next w:val="Normal"/>
    <w:uiPriority w:val="99"/>
    <w:unhideWhenUsed/>
    <w:rsid w:val="00676679"/>
    <w:pPr>
      <w:spacing w:before="240" w:after="120"/>
    </w:pPr>
  </w:style>
  <w:style w:type="table" w:customStyle="1" w:styleId="ACCCTable3">
    <w:name w:val="ACCC Table 3"/>
    <w:basedOn w:val="TableNormal"/>
    <w:uiPriority w:val="99"/>
    <w:rsid w:val="00C53B5A"/>
    <w:pPr>
      <w:spacing w:before="0"/>
    </w:pPr>
    <w:rPr>
      <w:sz w:val="20"/>
    </w:rPr>
    <w:tblPr>
      <w:tblBorders>
        <w:insideV w:val="single" w:sz="4" w:space="0" w:color="FFFFFF" w:themeColor="background2"/>
      </w:tblBorders>
    </w:tblPr>
    <w:tblStylePr w:type="firstRow">
      <w:rPr>
        <w:rFonts w:asciiTheme="minorHAnsi" w:hAnsiTheme="minorHAnsi"/>
        <w:b/>
        <w:sz w:val="20"/>
      </w:rPr>
    </w:tblStylePr>
    <w:tblStylePr w:type="lastRow">
      <w:rPr>
        <w:rFonts w:ascii="Arial" w:hAnsi="Arial"/>
        <w:b/>
        <w:sz w:val="20"/>
      </w:rPr>
    </w:tblStylePr>
    <w:tblStylePr w:type="firstCol">
      <w:rPr>
        <w:rFonts w:ascii="Arial" w:hAnsi="Arial"/>
        <w:b/>
        <w:sz w:val="20"/>
      </w:rPr>
    </w:tblStylePr>
  </w:style>
  <w:style w:type="character" w:styleId="EndnoteReference">
    <w:name w:val="endnote reference"/>
    <w:basedOn w:val="DefaultParagraphFont"/>
    <w:uiPriority w:val="99"/>
    <w:rsid w:val="00263AC0"/>
    <w:rPr>
      <w:vertAlign w:val="superscript"/>
    </w:rPr>
  </w:style>
  <w:style w:type="paragraph" w:customStyle="1" w:styleId="Numberedparagraph11">
    <w:name w:val="Numbered paragraph 1.1"/>
    <w:basedOn w:val="Normal"/>
    <w:autoRedefine/>
    <w:qFormat/>
    <w:rsid w:val="00985C86"/>
    <w:pPr>
      <w:numPr>
        <w:ilvl w:val="1"/>
        <w:numId w:val="15"/>
      </w:numPr>
      <w:tabs>
        <w:tab w:val="left" w:pos="1021"/>
      </w:tabs>
      <w:spacing w:line="240" w:lineRule="atLeast"/>
      <w:ind w:left="680" w:hanging="680"/>
    </w:pPr>
    <w:rPr>
      <w:rFonts w:eastAsiaTheme="majorEastAsia" w:cs="Arial"/>
      <w:bCs/>
      <w:szCs w:val="26"/>
    </w:rPr>
  </w:style>
  <w:style w:type="paragraph" w:customStyle="1" w:styleId="AERquoteindent2">
    <w:name w:val="AER quote (indent 2)"/>
    <w:basedOn w:val="AERquoteindent1"/>
    <w:qFormat/>
    <w:rsid w:val="00DE1093"/>
    <w:pPr>
      <w:tabs>
        <w:tab w:val="clear" w:pos="680"/>
        <w:tab w:val="left" w:pos="1021"/>
      </w:tabs>
      <w:ind w:left="1021"/>
    </w:pPr>
  </w:style>
  <w:style w:type="paragraph" w:customStyle="1" w:styleId="Numberedparagraph">
    <w:name w:val="Numbered paragraph"/>
    <w:basedOn w:val="Normal"/>
    <w:rsid w:val="00C67A92"/>
    <w:pPr>
      <w:numPr>
        <w:numId w:val="1"/>
      </w:numPr>
      <w:tabs>
        <w:tab w:val="left" w:pos="680"/>
      </w:tabs>
      <w:ind w:left="680" w:hanging="680"/>
    </w:pPr>
    <w:rPr>
      <w:rFonts w:eastAsia="Times New Roman" w:cs="Times New Roman"/>
      <w:szCs w:val="20"/>
    </w:rPr>
  </w:style>
  <w:style w:type="paragraph" w:customStyle="1" w:styleId="Copyright">
    <w:name w:val="Copyright"/>
    <w:basedOn w:val="Normal"/>
    <w:next w:val="Normal"/>
    <w:link w:val="CopyrightChar"/>
    <w:rsid w:val="00951978"/>
    <w:pPr>
      <w:spacing w:line="288" w:lineRule="auto"/>
    </w:pPr>
    <w:rPr>
      <w:sz w:val="20"/>
      <w:szCs w:val="20"/>
    </w:rPr>
  </w:style>
  <w:style w:type="paragraph" w:customStyle="1" w:styleId="ReportTitle">
    <w:name w:val="Report Title"/>
    <w:basedOn w:val="Normal"/>
    <w:next w:val="Normal"/>
    <w:link w:val="ReportTitleChar"/>
    <w:qFormat/>
    <w:rsid w:val="00327A1E"/>
    <w:pPr>
      <w:tabs>
        <w:tab w:val="center" w:pos="4598"/>
        <w:tab w:val="right" w:pos="9026"/>
      </w:tabs>
      <w:spacing w:before="240"/>
      <w:contextualSpacing/>
      <w:jc w:val="center"/>
    </w:pPr>
    <w:rPr>
      <w:rFonts w:eastAsiaTheme="majorEastAsia" w:cstheme="majorBidi"/>
      <w:b/>
      <w:noProof/>
      <w:sz w:val="72"/>
      <w:szCs w:val="72"/>
      <w:lang w:eastAsia="en-AU"/>
    </w:rPr>
  </w:style>
  <w:style w:type="numbering" w:customStyle="1" w:styleId="AlphanumericList">
    <w:name w:val="Alphanumeric List"/>
    <w:uiPriority w:val="99"/>
    <w:rsid w:val="000A6C7B"/>
    <w:pPr>
      <w:numPr>
        <w:numId w:val="16"/>
      </w:numPr>
    </w:pPr>
  </w:style>
  <w:style w:type="table" w:customStyle="1" w:styleId="AERTable-Text">
    <w:name w:val="AER Table - Text"/>
    <w:basedOn w:val="TableNormal"/>
    <w:uiPriority w:val="99"/>
    <w:rsid w:val="000E4821"/>
    <w:pPr>
      <w:spacing w:before="120" w:after="120"/>
    </w:pPr>
    <w:rPr>
      <w:rFonts w:ascii="Arial" w:hAnsi="Arial"/>
      <w:sz w:val="20"/>
    </w:rPr>
    <w:tblPr>
      <w:tblStyleRowBandSize w:val="1"/>
      <w:tblBorders>
        <w:bottom w:val="single" w:sz="4" w:space="0" w:color="auto"/>
      </w:tblBorders>
    </w:tblPr>
    <w:tblStylePr w:type="firstRow">
      <w:pPr>
        <w:wordWrap/>
        <w:spacing w:beforeLines="0" w:before="240" w:beforeAutospacing="0" w:afterLines="0" w:after="120" w:afterAutospacing="0"/>
      </w:pPr>
      <w:rPr>
        <w:rFonts w:ascii="Arial" w:hAnsi="Arial"/>
        <w:b/>
        <w:color w:val="FFFFFF" w:themeColor="background1"/>
        <w:sz w:val="24"/>
      </w:rPr>
      <w:tblPr/>
      <w:tcPr>
        <w:shd w:val="clear" w:color="auto" w:fill="076A92"/>
      </w:tcPr>
    </w:tblStylePr>
    <w:tblStylePr w:type="band2Horz">
      <w:rPr>
        <w:rFonts w:ascii="Arial" w:hAnsi="Arial"/>
        <w:sz w:val="20"/>
      </w:rPr>
      <w:tblPr/>
      <w:tcPr>
        <w:shd w:val="clear" w:color="auto" w:fill="DBE5F1"/>
      </w:tcPr>
    </w:tblStylePr>
  </w:style>
  <w:style w:type="paragraph" w:customStyle="1" w:styleId="ReportDate">
    <w:name w:val="Report Date"/>
    <w:basedOn w:val="ReportTitle"/>
    <w:link w:val="ReportDateChar"/>
    <w:qFormat/>
    <w:rsid w:val="000A6C7B"/>
    <w:rPr>
      <w:b w:val="0"/>
      <w:sz w:val="36"/>
      <w:szCs w:val="36"/>
    </w:rPr>
  </w:style>
  <w:style w:type="paragraph" w:customStyle="1" w:styleId="ReportSubtitle">
    <w:name w:val="Report Subtitle"/>
    <w:basedOn w:val="ReportTitle"/>
    <w:link w:val="ReportSubtitleChar"/>
    <w:qFormat/>
    <w:rsid w:val="00327A1E"/>
    <w:rPr>
      <w:sz w:val="56"/>
      <w:szCs w:val="56"/>
    </w:rPr>
  </w:style>
  <w:style w:type="character" w:customStyle="1" w:styleId="ReportTitleChar">
    <w:name w:val="Report Title Char"/>
    <w:basedOn w:val="Heading1Char"/>
    <w:link w:val="ReportTitle"/>
    <w:rsid w:val="00327A1E"/>
    <w:rPr>
      <w:rFonts w:ascii="Arial" w:eastAsiaTheme="majorEastAsia" w:hAnsi="Arial" w:cstheme="majorBidi"/>
      <w:b w:val="0"/>
      <w:bCs w:val="0"/>
      <w:noProof/>
      <w:color w:val="70635A"/>
      <w:sz w:val="72"/>
      <w:szCs w:val="72"/>
      <w:lang w:eastAsia="en-AU"/>
    </w:rPr>
  </w:style>
  <w:style w:type="character" w:customStyle="1" w:styleId="ReportDateChar">
    <w:name w:val="Report Date Char"/>
    <w:basedOn w:val="ReportTitleChar"/>
    <w:link w:val="ReportDate"/>
    <w:rsid w:val="000A6C7B"/>
    <w:rPr>
      <w:rFonts w:ascii="Arial" w:eastAsiaTheme="majorEastAsia" w:hAnsi="Arial" w:cstheme="majorBidi"/>
      <w:b/>
      <w:bCs w:val="0"/>
      <w:noProof/>
      <w:color w:val="70635A"/>
      <w:sz w:val="36"/>
      <w:szCs w:val="36"/>
      <w:lang w:eastAsia="en-AU"/>
    </w:rPr>
  </w:style>
  <w:style w:type="character" w:customStyle="1" w:styleId="ReportSubtitleChar">
    <w:name w:val="Report Subtitle Char"/>
    <w:basedOn w:val="ReportTitleChar"/>
    <w:link w:val="ReportSubtitle"/>
    <w:rsid w:val="00327A1E"/>
    <w:rPr>
      <w:rFonts w:ascii="Arial" w:eastAsiaTheme="majorEastAsia" w:hAnsi="Arial" w:cstheme="majorBidi"/>
      <w:b w:val="0"/>
      <w:bCs w:val="0"/>
      <w:noProof/>
      <w:color w:val="70635A"/>
      <w:sz w:val="56"/>
      <w:szCs w:val="56"/>
      <w:lang w:eastAsia="en-AU"/>
    </w:rPr>
  </w:style>
  <w:style w:type="character" w:customStyle="1" w:styleId="CopyrightChar">
    <w:name w:val="Copyright Char"/>
    <w:basedOn w:val="DefaultParagraphFont"/>
    <w:link w:val="Copyright"/>
    <w:rsid w:val="00951978"/>
    <w:rPr>
      <w:rFonts w:ascii="Arial" w:hAnsi="Arial"/>
      <w:sz w:val="20"/>
      <w:szCs w:val="20"/>
    </w:rPr>
  </w:style>
  <w:style w:type="paragraph" w:styleId="BodyTextIndent">
    <w:name w:val="Body Text Indent"/>
    <w:basedOn w:val="Normal"/>
    <w:link w:val="BodyTextIndentChar"/>
    <w:unhideWhenUsed/>
    <w:rsid w:val="00F171E0"/>
    <w:pPr>
      <w:spacing w:after="120"/>
      <w:ind w:left="283"/>
    </w:pPr>
  </w:style>
  <w:style w:type="character" w:customStyle="1" w:styleId="BodyTextIndentChar">
    <w:name w:val="Body Text Indent Char"/>
    <w:basedOn w:val="DefaultParagraphFont"/>
    <w:link w:val="BodyTextIndent"/>
    <w:uiPriority w:val="99"/>
    <w:semiHidden/>
    <w:rsid w:val="00F171E0"/>
    <w:rPr>
      <w:rFonts w:ascii="Arial" w:hAnsi="Arial"/>
    </w:rPr>
  </w:style>
  <w:style w:type="paragraph" w:styleId="BodyTextFirstIndent2">
    <w:name w:val="Body Text First Indent 2"/>
    <w:basedOn w:val="BodyTextIndent"/>
    <w:link w:val="BodyTextFirstIndent2Char"/>
    <w:uiPriority w:val="99"/>
    <w:unhideWhenUsed/>
    <w:rsid w:val="00F171E0"/>
    <w:pPr>
      <w:spacing w:after="0"/>
      <w:ind w:left="360" w:firstLine="360"/>
    </w:pPr>
  </w:style>
  <w:style w:type="character" w:customStyle="1" w:styleId="BodyTextFirstIndent2Char">
    <w:name w:val="Body Text First Indent 2 Char"/>
    <w:basedOn w:val="BodyTextIndentChar"/>
    <w:link w:val="BodyTextFirstIndent2"/>
    <w:uiPriority w:val="99"/>
    <w:rsid w:val="00F171E0"/>
    <w:rPr>
      <w:rFonts w:ascii="Arial" w:hAnsi="Arial"/>
    </w:rPr>
  </w:style>
  <w:style w:type="paragraph" w:styleId="Closing">
    <w:name w:val="Closing"/>
    <w:basedOn w:val="Normal"/>
    <w:link w:val="ClosingChar"/>
    <w:uiPriority w:val="99"/>
    <w:unhideWhenUsed/>
    <w:rsid w:val="00F171E0"/>
    <w:pPr>
      <w:spacing w:before="0" w:line="240" w:lineRule="auto"/>
      <w:ind w:left="4252"/>
    </w:pPr>
  </w:style>
  <w:style w:type="character" w:customStyle="1" w:styleId="ClosingChar">
    <w:name w:val="Closing Char"/>
    <w:basedOn w:val="DefaultParagraphFont"/>
    <w:link w:val="Closing"/>
    <w:uiPriority w:val="99"/>
    <w:rsid w:val="00F171E0"/>
    <w:rPr>
      <w:rFonts w:ascii="Arial" w:hAnsi="Arial"/>
    </w:rPr>
  </w:style>
  <w:style w:type="paragraph" w:styleId="BodyTextFirstIndent">
    <w:name w:val="Body Text First Indent"/>
    <w:basedOn w:val="Normal"/>
    <w:link w:val="BodyTextFirstIndentChar"/>
    <w:uiPriority w:val="99"/>
    <w:unhideWhenUsed/>
    <w:rsid w:val="00F171E0"/>
    <w:pPr>
      <w:ind w:firstLine="360"/>
    </w:pPr>
  </w:style>
  <w:style w:type="character" w:customStyle="1" w:styleId="BodyTextFirstIndentChar">
    <w:name w:val="Body Text First Indent Char"/>
    <w:basedOn w:val="DefaultParagraphFont"/>
    <w:link w:val="BodyTextFirstIndent"/>
    <w:uiPriority w:val="99"/>
    <w:rsid w:val="00F171E0"/>
    <w:rPr>
      <w:rFonts w:ascii="Arial" w:hAnsi="Arial"/>
    </w:rPr>
  </w:style>
  <w:style w:type="paragraph" w:styleId="BodyText2">
    <w:name w:val="Body Text 2"/>
    <w:basedOn w:val="Normal"/>
    <w:link w:val="BodyText2Char"/>
    <w:unhideWhenUsed/>
    <w:rsid w:val="00F171E0"/>
    <w:pPr>
      <w:spacing w:after="120" w:line="480" w:lineRule="auto"/>
    </w:pPr>
  </w:style>
  <w:style w:type="character" w:customStyle="1" w:styleId="BodyText2Char">
    <w:name w:val="Body Text 2 Char"/>
    <w:basedOn w:val="DefaultParagraphFont"/>
    <w:link w:val="BodyText2"/>
    <w:uiPriority w:val="99"/>
    <w:rsid w:val="00F171E0"/>
    <w:rPr>
      <w:rFonts w:ascii="Arial" w:hAnsi="Arial"/>
    </w:rPr>
  </w:style>
  <w:style w:type="paragraph" w:customStyle="1" w:styleId="ListLegal">
    <w:name w:val="List Legal"/>
    <w:basedOn w:val="ListParagraph"/>
    <w:rsid w:val="00301B40"/>
    <w:pPr>
      <w:numPr>
        <w:numId w:val="19"/>
      </w:numPr>
      <w:tabs>
        <w:tab w:val="clear" w:pos="340"/>
        <w:tab w:val="left" w:pos="680"/>
      </w:tabs>
      <w:ind w:left="680" w:hanging="340"/>
    </w:pPr>
  </w:style>
  <w:style w:type="character" w:styleId="CommentReference">
    <w:name w:val="annotation reference"/>
    <w:basedOn w:val="DefaultParagraphFont"/>
    <w:uiPriority w:val="99"/>
    <w:unhideWhenUsed/>
    <w:rsid w:val="00F171E0"/>
    <w:rPr>
      <w:sz w:val="16"/>
      <w:szCs w:val="16"/>
    </w:rPr>
  </w:style>
  <w:style w:type="paragraph" w:customStyle="1" w:styleId="ListLegal2">
    <w:name w:val="List Legal 2"/>
    <w:basedOn w:val="ListLegal"/>
    <w:rsid w:val="00301B40"/>
    <w:pPr>
      <w:tabs>
        <w:tab w:val="clear" w:pos="680"/>
        <w:tab w:val="left" w:pos="1021"/>
      </w:tabs>
      <w:ind w:left="1020"/>
    </w:pPr>
  </w:style>
  <w:style w:type="paragraph" w:customStyle="1" w:styleId="AERnumberedlistthirdstyle">
    <w:name w:val="AER numbered list (third style)"/>
    <w:basedOn w:val="ListNumber3"/>
    <w:qFormat/>
    <w:rsid w:val="00571D57"/>
    <w:pPr>
      <w:numPr>
        <w:numId w:val="20"/>
      </w:numPr>
      <w:tabs>
        <w:tab w:val="left" w:pos="1361"/>
      </w:tabs>
      <w:ind w:left="1361" w:hanging="340"/>
    </w:pPr>
  </w:style>
  <w:style w:type="paragraph" w:customStyle="1" w:styleId="ListLegal4">
    <w:name w:val="List Legal 4"/>
    <w:basedOn w:val="AERnumberedlistthirdstyle"/>
    <w:rsid w:val="00571D57"/>
    <w:pPr>
      <w:tabs>
        <w:tab w:val="clear" w:pos="1361"/>
        <w:tab w:val="left" w:pos="1701"/>
      </w:tabs>
      <w:ind w:left="1701"/>
    </w:pPr>
  </w:style>
  <w:style w:type="paragraph" w:customStyle="1" w:styleId="ListLegal5">
    <w:name w:val="List Legal 5"/>
    <w:basedOn w:val="ListLegal4"/>
    <w:rsid w:val="00571D57"/>
    <w:pPr>
      <w:tabs>
        <w:tab w:val="clear" w:pos="1701"/>
        <w:tab w:val="left" w:pos="2041"/>
      </w:tabs>
      <w:ind w:left="2041"/>
    </w:pPr>
  </w:style>
  <w:style w:type="paragraph" w:styleId="Date">
    <w:name w:val="Date"/>
    <w:basedOn w:val="Normal"/>
    <w:next w:val="Normal"/>
    <w:link w:val="DateChar"/>
    <w:uiPriority w:val="99"/>
    <w:unhideWhenUsed/>
    <w:rsid w:val="00F171E0"/>
  </w:style>
  <w:style w:type="character" w:customStyle="1" w:styleId="DateChar">
    <w:name w:val="Date Char"/>
    <w:basedOn w:val="DefaultParagraphFont"/>
    <w:link w:val="Date"/>
    <w:uiPriority w:val="99"/>
    <w:rsid w:val="00F171E0"/>
    <w:rPr>
      <w:rFonts w:ascii="Arial" w:hAnsi="Arial"/>
    </w:rPr>
  </w:style>
  <w:style w:type="paragraph" w:styleId="DocumentMap">
    <w:name w:val="Document Map"/>
    <w:basedOn w:val="Normal"/>
    <w:link w:val="DocumentMapChar"/>
    <w:unhideWhenUsed/>
    <w:rsid w:val="00F171E0"/>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rsid w:val="00F171E0"/>
    <w:rPr>
      <w:rFonts w:ascii="Tahoma" w:hAnsi="Tahoma" w:cs="Tahoma"/>
      <w:sz w:val="16"/>
      <w:szCs w:val="16"/>
    </w:rPr>
  </w:style>
  <w:style w:type="paragraph" w:styleId="E-mailSignature">
    <w:name w:val="E-mail Signature"/>
    <w:basedOn w:val="Normal"/>
    <w:link w:val="E-mailSignatureChar"/>
    <w:uiPriority w:val="99"/>
    <w:unhideWhenUsed/>
    <w:rsid w:val="00F171E0"/>
    <w:pPr>
      <w:spacing w:before="0" w:line="240" w:lineRule="auto"/>
    </w:pPr>
  </w:style>
  <w:style w:type="character" w:customStyle="1" w:styleId="E-mailSignatureChar">
    <w:name w:val="E-mail Signature Char"/>
    <w:basedOn w:val="DefaultParagraphFont"/>
    <w:link w:val="E-mailSignature"/>
    <w:uiPriority w:val="99"/>
    <w:rsid w:val="00F171E0"/>
    <w:rPr>
      <w:rFonts w:ascii="Arial" w:hAnsi="Arial"/>
    </w:rPr>
  </w:style>
  <w:style w:type="paragraph" w:styleId="EnvelopeAddress">
    <w:name w:val="envelope address"/>
    <w:basedOn w:val="Normal"/>
    <w:uiPriority w:val="99"/>
    <w:unhideWhenUsed/>
    <w:rsid w:val="00F171E0"/>
    <w:pPr>
      <w:framePr w:w="7920" w:h="1980" w:hRule="exact" w:hSpace="180" w:wrap="auto" w:hAnchor="page" w:xAlign="center" w:yAlign="bottom"/>
      <w:spacing w:before="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unhideWhenUsed/>
    <w:rsid w:val="00F171E0"/>
    <w:pPr>
      <w:spacing w:before="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nhideWhenUsed/>
    <w:rsid w:val="00F171E0"/>
    <w:rPr>
      <w:color w:val="800080" w:themeColor="followedHyperlink"/>
      <w:u w:val="single"/>
    </w:rPr>
  </w:style>
  <w:style w:type="paragraph" w:styleId="Index3">
    <w:name w:val="index 3"/>
    <w:basedOn w:val="Normal"/>
    <w:next w:val="Normal"/>
    <w:autoRedefine/>
    <w:uiPriority w:val="99"/>
    <w:unhideWhenUsed/>
    <w:rsid w:val="00F171E0"/>
    <w:pPr>
      <w:spacing w:before="0" w:line="240" w:lineRule="auto"/>
      <w:ind w:left="660" w:hanging="220"/>
    </w:pPr>
  </w:style>
  <w:style w:type="paragraph" w:styleId="Index4">
    <w:name w:val="index 4"/>
    <w:basedOn w:val="Normal"/>
    <w:next w:val="Normal"/>
    <w:autoRedefine/>
    <w:uiPriority w:val="99"/>
    <w:unhideWhenUsed/>
    <w:rsid w:val="00F171E0"/>
    <w:pPr>
      <w:spacing w:before="0" w:line="240" w:lineRule="auto"/>
      <w:ind w:left="880" w:hanging="220"/>
    </w:pPr>
  </w:style>
  <w:style w:type="paragraph" w:styleId="Index5">
    <w:name w:val="index 5"/>
    <w:basedOn w:val="Normal"/>
    <w:next w:val="Normal"/>
    <w:autoRedefine/>
    <w:uiPriority w:val="99"/>
    <w:unhideWhenUsed/>
    <w:rsid w:val="00F171E0"/>
    <w:pPr>
      <w:spacing w:before="0" w:line="240" w:lineRule="auto"/>
      <w:ind w:left="1100" w:hanging="220"/>
    </w:pPr>
  </w:style>
  <w:style w:type="paragraph" w:styleId="IndexHeading">
    <w:name w:val="index heading"/>
    <w:basedOn w:val="Normal"/>
    <w:next w:val="Index1"/>
    <w:uiPriority w:val="99"/>
    <w:unhideWhenUsed/>
    <w:rsid w:val="00F171E0"/>
    <w:rPr>
      <w:rFonts w:asciiTheme="majorHAnsi" w:eastAsiaTheme="majorEastAsia" w:hAnsiTheme="majorHAnsi" w:cstheme="majorBidi"/>
      <w:b/>
      <w:bCs/>
    </w:rPr>
  </w:style>
  <w:style w:type="character" w:styleId="IntenseEmphasis">
    <w:name w:val="Intense Emphasis"/>
    <w:basedOn w:val="DefaultParagraphFont"/>
    <w:uiPriority w:val="21"/>
    <w:unhideWhenUsed/>
    <w:rsid w:val="00F171E0"/>
    <w:rPr>
      <w:b/>
      <w:bCs/>
      <w:i/>
      <w:iCs/>
      <w:color w:val="2F002F" w:themeColor="accent1"/>
    </w:rPr>
  </w:style>
  <w:style w:type="paragraph" w:styleId="IntenseQuote">
    <w:name w:val="Intense Quote"/>
    <w:basedOn w:val="Normal"/>
    <w:next w:val="Normal"/>
    <w:link w:val="IntenseQuoteChar"/>
    <w:uiPriority w:val="30"/>
    <w:unhideWhenUsed/>
    <w:rsid w:val="00F171E0"/>
    <w:pPr>
      <w:pBdr>
        <w:bottom w:val="single" w:sz="4" w:space="4" w:color="2F002F" w:themeColor="accent1"/>
      </w:pBdr>
      <w:spacing w:after="280"/>
      <w:ind w:left="936" w:right="936"/>
    </w:pPr>
    <w:rPr>
      <w:b/>
      <w:bCs/>
      <w:i/>
      <w:iCs/>
      <w:color w:val="2F002F" w:themeColor="accent1"/>
    </w:rPr>
  </w:style>
  <w:style w:type="character" w:customStyle="1" w:styleId="IntenseQuoteChar">
    <w:name w:val="Intense Quote Char"/>
    <w:basedOn w:val="DefaultParagraphFont"/>
    <w:link w:val="IntenseQuote"/>
    <w:uiPriority w:val="30"/>
    <w:rsid w:val="00F171E0"/>
    <w:rPr>
      <w:rFonts w:ascii="Arial" w:hAnsi="Arial"/>
      <w:b/>
      <w:bCs/>
      <w:i/>
      <w:iCs/>
      <w:color w:val="2F002F" w:themeColor="accent1"/>
    </w:rPr>
  </w:style>
  <w:style w:type="character" w:styleId="IntenseReference">
    <w:name w:val="Intense Reference"/>
    <w:basedOn w:val="DefaultParagraphFont"/>
    <w:uiPriority w:val="32"/>
    <w:unhideWhenUsed/>
    <w:rsid w:val="00F171E0"/>
    <w:rPr>
      <w:b/>
      <w:bCs/>
      <w:smallCaps/>
      <w:color w:val="C14E00" w:themeColor="accent2"/>
      <w:spacing w:val="5"/>
      <w:u w:val="single"/>
    </w:rPr>
  </w:style>
  <w:style w:type="character" w:styleId="LineNumber">
    <w:name w:val="line number"/>
    <w:basedOn w:val="DefaultParagraphFont"/>
    <w:uiPriority w:val="99"/>
    <w:unhideWhenUsed/>
    <w:rsid w:val="00F171E0"/>
  </w:style>
  <w:style w:type="paragraph" w:customStyle="1" w:styleId="AERnumberedlistsecondstyle">
    <w:name w:val="AER numbered list (second style)"/>
    <w:basedOn w:val="Listalphabet"/>
    <w:qFormat/>
    <w:rsid w:val="00DB5074"/>
    <w:pPr>
      <w:numPr>
        <w:numId w:val="18"/>
      </w:numPr>
      <w:tabs>
        <w:tab w:val="clear" w:pos="340"/>
        <w:tab w:val="left" w:pos="680"/>
      </w:tabs>
      <w:ind w:left="680" w:hanging="340"/>
    </w:pPr>
  </w:style>
  <w:style w:type="paragraph" w:customStyle="1" w:styleId="Listalphabet3">
    <w:name w:val="List alphabet 3"/>
    <w:basedOn w:val="AERnumberedlistsecondstyle"/>
    <w:rsid w:val="00DB5074"/>
    <w:pPr>
      <w:tabs>
        <w:tab w:val="clear" w:pos="680"/>
        <w:tab w:val="left" w:pos="1021"/>
      </w:tabs>
      <w:ind w:left="1020"/>
    </w:pPr>
  </w:style>
  <w:style w:type="paragraph" w:customStyle="1" w:styleId="Listalphabet4">
    <w:name w:val="List alphabet 4"/>
    <w:basedOn w:val="Listalphabet3"/>
    <w:rsid w:val="00DB5074"/>
    <w:pPr>
      <w:tabs>
        <w:tab w:val="clear" w:pos="1021"/>
        <w:tab w:val="left" w:pos="1361"/>
      </w:tabs>
      <w:ind w:left="1361"/>
    </w:pPr>
  </w:style>
  <w:style w:type="paragraph" w:customStyle="1" w:styleId="Listalphabet5">
    <w:name w:val="List alphabet 5"/>
    <w:basedOn w:val="Listalphabet4"/>
    <w:rsid w:val="00DB5074"/>
    <w:pPr>
      <w:tabs>
        <w:tab w:val="clear" w:pos="1361"/>
        <w:tab w:val="left" w:pos="1701"/>
      </w:tabs>
      <w:ind w:left="1701"/>
    </w:pPr>
  </w:style>
  <w:style w:type="paragraph" w:styleId="ListContinue5">
    <w:name w:val="List Continue 5"/>
    <w:basedOn w:val="Normal"/>
    <w:uiPriority w:val="99"/>
    <w:unhideWhenUsed/>
    <w:rsid w:val="00DB5074"/>
    <w:pPr>
      <w:tabs>
        <w:tab w:val="left" w:pos="1701"/>
      </w:tabs>
      <w:spacing w:after="120"/>
      <w:ind w:left="1701"/>
      <w:contextualSpacing/>
    </w:pPr>
  </w:style>
  <w:style w:type="paragraph" w:styleId="ListNumber2">
    <w:name w:val="List Number 2"/>
    <w:basedOn w:val="Normal"/>
    <w:uiPriority w:val="99"/>
    <w:unhideWhenUsed/>
    <w:rsid w:val="00571D57"/>
    <w:pPr>
      <w:numPr>
        <w:numId w:val="8"/>
      </w:numPr>
      <w:tabs>
        <w:tab w:val="left" w:pos="680"/>
      </w:tabs>
      <w:spacing w:before="80" w:line="360" w:lineRule="auto"/>
      <w:ind w:left="680" w:hanging="340"/>
      <w:contextualSpacing/>
    </w:pPr>
  </w:style>
  <w:style w:type="character" w:customStyle="1" w:styleId="SalutationChar">
    <w:name w:val="Salutation Char"/>
    <w:basedOn w:val="DefaultParagraphFont"/>
    <w:link w:val="Salutation"/>
    <w:uiPriority w:val="99"/>
    <w:rsid w:val="00CA489E"/>
    <w:rPr>
      <w:rFonts w:ascii="Arial" w:hAnsi="Arial"/>
    </w:rPr>
  </w:style>
  <w:style w:type="paragraph" w:styleId="Signature">
    <w:name w:val="Signature"/>
    <w:basedOn w:val="Normal"/>
    <w:link w:val="SignatureChar"/>
    <w:uiPriority w:val="99"/>
    <w:unhideWhenUsed/>
    <w:rsid w:val="00CA489E"/>
    <w:pPr>
      <w:spacing w:before="0" w:line="240" w:lineRule="auto"/>
      <w:ind w:left="4252"/>
    </w:pPr>
  </w:style>
  <w:style w:type="character" w:customStyle="1" w:styleId="SignatureChar">
    <w:name w:val="Signature Char"/>
    <w:basedOn w:val="DefaultParagraphFont"/>
    <w:link w:val="Signature"/>
    <w:uiPriority w:val="99"/>
    <w:rsid w:val="00CA489E"/>
    <w:rPr>
      <w:rFonts w:ascii="Arial" w:hAnsi="Arial"/>
    </w:rPr>
  </w:style>
  <w:style w:type="character" w:styleId="SubtleEmphasis">
    <w:name w:val="Subtle Emphasis"/>
    <w:basedOn w:val="DefaultParagraphFont"/>
    <w:uiPriority w:val="19"/>
    <w:unhideWhenUsed/>
    <w:rsid w:val="00CA489E"/>
    <w:rPr>
      <w:b/>
      <w:i/>
      <w:iCs/>
      <w:color w:val="2F002F" w:themeColor="accent1"/>
    </w:rPr>
  </w:style>
  <w:style w:type="character" w:styleId="SubtleReference">
    <w:name w:val="Subtle Reference"/>
    <w:basedOn w:val="DefaultParagraphFont"/>
    <w:uiPriority w:val="31"/>
    <w:unhideWhenUsed/>
    <w:rsid w:val="00CA489E"/>
    <w:rPr>
      <w:smallCaps/>
      <w:color w:val="C14E00" w:themeColor="accent2"/>
      <w:u w:val="single"/>
    </w:rPr>
  </w:style>
  <w:style w:type="paragraph" w:customStyle="1" w:styleId="AERquoteindent1">
    <w:name w:val="AER quote (indent 1)"/>
    <w:basedOn w:val="Normal"/>
    <w:qFormat/>
    <w:rsid w:val="00DE1093"/>
    <w:pPr>
      <w:tabs>
        <w:tab w:val="left" w:pos="680"/>
      </w:tabs>
      <w:spacing w:after="160" w:line="240" w:lineRule="auto"/>
      <w:ind w:left="680" w:right="794"/>
    </w:pPr>
    <w:rPr>
      <w:rFonts w:eastAsia="Times New Roman" w:cs="Times New Roman"/>
      <w:sz w:val="20"/>
      <w:szCs w:val="20"/>
      <w:lang w:eastAsia="en-AU"/>
    </w:rPr>
  </w:style>
  <w:style w:type="character" w:styleId="PageNumber">
    <w:name w:val="page number"/>
    <w:basedOn w:val="DefaultParagraphFont"/>
    <w:rsid w:val="0020492C"/>
  </w:style>
  <w:style w:type="character" w:styleId="PlaceholderText">
    <w:name w:val="Placeholder Text"/>
    <w:basedOn w:val="DefaultParagraphFont"/>
    <w:uiPriority w:val="99"/>
    <w:rsid w:val="008D1661"/>
    <w:rPr>
      <w:color w:val="808080"/>
    </w:rPr>
  </w:style>
  <w:style w:type="paragraph" w:customStyle="1" w:styleId="StyleCopyrightBefore0pt">
    <w:name w:val="Style Copyright + Before:  0 pt"/>
    <w:basedOn w:val="Copyright"/>
    <w:rsid w:val="00185CB9"/>
    <w:pPr>
      <w:spacing w:before="120"/>
    </w:pPr>
    <w:rPr>
      <w:rFonts w:eastAsia="Times New Roman" w:cs="Times New Roman"/>
    </w:rPr>
  </w:style>
  <w:style w:type="character" w:customStyle="1" w:styleId="Bold">
    <w:name w:val="Bold"/>
    <w:basedOn w:val="DefaultParagraphFont"/>
    <w:rsid w:val="0020492C"/>
    <w:rPr>
      <w:b/>
      <w:bCs/>
    </w:rPr>
  </w:style>
  <w:style w:type="paragraph" w:customStyle="1" w:styleId="LegalNumbering">
    <w:name w:val="Legal Numbering"/>
    <w:basedOn w:val="Normal"/>
    <w:rsid w:val="005829C2"/>
    <w:pPr>
      <w:numPr>
        <w:numId w:val="21"/>
      </w:numPr>
      <w:tabs>
        <w:tab w:val="left" w:pos="680"/>
        <w:tab w:val="left" w:pos="1021"/>
        <w:tab w:val="left" w:pos="1361"/>
      </w:tabs>
      <w:spacing w:line="240" w:lineRule="auto"/>
    </w:pPr>
  </w:style>
  <w:style w:type="paragraph" w:customStyle="1" w:styleId="AERquoteindent3">
    <w:name w:val="AER quote (indent 3)"/>
    <w:basedOn w:val="AERquoteindent2"/>
    <w:qFormat/>
    <w:rsid w:val="00DE1093"/>
    <w:pPr>
      <w:ind w:left="1361"/>
    </w:pPr>
  </w:style>
  <w:style w:type="paragraph" w:customStyle="1" w:styleId="AERquotebullet1">
    <w:name w:val="AER quote bullet 1"/>
    <w:basedOn w:val="AERquoteindent1"/>
    <w:qFormat/>
    <w:rsid w:val="00DE1093"/>
    <w:pPr>
      <w:numPr>
        <w:numId w:val="22"/>
      </w:numPr>
      <w:ind w:left="1037" w:hanging="357"/>
    </w:pPr>
  </w:style>
  <w:style w:type="paragraph" w:customStyle="1" w:styleId="AERbulletlistthirdstyle">
    <w:name w:val="AER bullet list (third style)"/>
    <w:basedOn w:val="AERbulletlistsecondstyle"/>
    <w:qFormat/>
    <w:rsid w:val="00343A18"/>
    <w:pPr>
      <w:numPr>
        <w:ilvl w:val="2"/>
      </w:numPr>
      <w:tabs>
        <w:tab w:val="left" w:pos="1361"/>
      </w:tabs>
      <w:ind w:left="1361" w:hanging="340"/>
    </w:pPr>
  </w:style>
  <w:style w:type="character" w:customStyle="1" w:styleId="AERsubscript">
    <w:name w:val="AER subscript"/>
    <w:basedOn w:val="DefaultParagraphFont"/>
    <w:qFormat/>
    <w:rsid w:val="00343A18"/>
    <w:rPr>
      <w:sz w:val="16"/>
      <w:vertAlign w:val="subscript"/>
    </w:rPr>
  </w:style>
  <w:style w:type="character" w:customStyle="1" w:styleId="AERtextbolditalics">
    <w:name w:val="AER text bold italics"/>
    <w:basedOn w:val="DefaultParagraphFont"/>
    <w:qFormat/>
    <w:rsid w:val="00343A18"/>
    <w:rPr>
      <w:b/>
      <w:bCs/>
      <w:i/>
      <w:iCs/>
    </w:rPr>
  </w:style>
  <w:style w:type="character" w:customStyle="1" w:styleId="AERsuperscript">
    <w:name w:val="AER superscript"/>
    <w:qFormat/>
    <w:rsid w:val="00343A18"/>
    <w:rPr>
      <w:rFonts w:ascii="Arial" w:hAnsi="Arial"/>
      <w:sz w:val="16"/>
      <w:vertAlign w:val="superscript"/>
    </w:rPr>
  </w:style>
  <w:style w:type="character" w:customStyle="1" w:styleId="AERtextunderline">
    <w:name w:val="AER text underline"/>
    <w:basedOn w:val="DefaultParagraphFont"/>
    <w:qFormat/>
    <w:rsid w:val="00343A18"/>
    <w:rPr>
      <w:u w:val="single"/>
    </w:rPr>
  </w:style>
  <w:style w:type="paragraph" w:customStyle="1" w:styleId="AERtextconfidential">
    <w:name w:val="AER text confidential"/>
    <w:basedOn w:val="Normal"/>
    <w:qFormat/>
    <w:rsid w:val="008B5FCC"/>
    <w:rPr>
      <w:shd w:val="clear" w:color="auto" w:fill="CCFFFF"/>
    </w:rPr>
  </w:style>
  <w:style w:type="paragraph" w:customStyle="1" w:styleId="UnnumberedHeading">
    <w:name w:val="Unnumbered Heading"/>
    <w:basedOn w:val="Heading1"/>
    <w:link w:val="UnnumberedHeadingChar"/>
    <w:qFormat/>
    <w:rsid w:val="008B5FCC"/>
    <w:pPr>
      <w:numPr>
        <w:numId w:val="0"/>
      </w:numPr>
    </w:pPr>
  </w:style>
  <w:style w:type="numbering" w:customStyle="1" w:styleId="AERHeadings">
    <w:name w:val="AER Headings"/>
    <w:uiPriority w:val="99"/>
    <w:rsid w:val="00126A4C"/>
    <w:pPr>
      <w:numPr>
        <w:numId w:val="23"/>
      </w:numPr>
    </w:pPr>
  </w:style>
  <w:style w:type="character" w:customStyle="1" w:styleId="AERbody">
    <w:name w:val="AER body"/>
    <w:basedOn w:val="DefaultParagraphFont"/>
    <w:qFormat/>
    <w:rsid w:val="00126A4C"/>
    <w:rPr>
      <w:rFonts w:ascii="Arial" w:hAnsi="Arial"/>
      <w:color w:val="auto"/>
      <w:sz w:val="22"/>
    </w:rPr>
  </w:style>
  <w:style w:type="numbering" w:customStyle="1" w:styleId="AERnumberedlist">
    <w:name w:val="AER numbered list"/>
    <w:uiPriority w:val="99"/>
    <w:rsid w:val="00126A4C"/>
    <w:pPr>
      <w:numPr>
        <w:numId w:val="24"/>
      </w:numPr>
    </w:pPr>
  </w:style>
  <w:style w:type="character" w:customStyle="1" w:styleId="UnnumberedHeadingChar">
    <w:name w:val="Unnumbered Heading Char"/>
    <w:basedOn w:val="Heading1Char"/>
    <w:link w:val="UnnumberedHeading"/>
    <w:rsid w:val="00126A4C"/>
    <w:rPr>
      <w:rFonts w:ascii="Arial" w:eastAsiaTheme="majorEastAsia" w:hAnsi="Arial" w:cstheme="majorBidi"/>
      <w:b/>
      <w:bCs/>
      <w:color w:val="70635A"/>
      <w:sz w:val="36"/>
      <w:szCs w:val="28"/>
    </w:rPr>
  </w:style>
  <w:style w:type="paragraph" w:customStyle="1" w:styleId="AERbodytextnospace">
    <w:name w:val="AER body text no space"/>
    <w:basedOn w:val="Normal"/>
    <w:qFormat/>
    <w:rsid w:val="00683C89"/>
    <w:pPr>
      <w:tabs>
        <w:tab w:val="num" w:pos="0"/>
      </w:tabs>
      <w:spacing w:before="0" w:line="288" w:lineRule="auto"/>
      <w:jc w:val="both"/>
    </w:pPr>
    <w:rPr>
      <w:rFonts w:asciiTheme="minorHAnsi" w:eastAsia="Times New Roman" w:hAnsiTheme="minorHAnsi" w:cs="Times New Roman"/>
      <w:sz w:val="20"/>
      <w:szCs w:val="24"/>
    </w:rPr>
  </w:style>
  <w:style w:type="paragraph" w:customStyle="1" w:styleId="AERnumberedlist2first">
    <w:name w:val="AER numbered list 2 first"/>
    <w:basedOn w:val="Normal"/>
    <w:qFormat/>
    <w:rsid w:val="00683C89"/>
    <w:pPr>
      <w:tabs>
        <w:tab w:val="num" w:pos="454"/>
      </w:tabs>
      <w:spacing w:before="0" w:after="240" w:line="288" w:lineRule="auto"/>
      <w:ind w:left="454" w:hanging="454"/>
      <w:jc w:val="both"/>
    </w:pPr>
    <w:rPr>
      <w:rFonts w:asciiTheme="minorHAnsi" w:eastAsia="Times New Roman" w:hAnsiTheme="minorHAnsi" w:cs="Times New Roman"/>
      <w:sz w:val="20"/>
      <w:szCs w:val="24"/>
    </w:rPr>
  </w:style>
  <w:style w:type="character" w:customStyle="1" w:styleId="AERbodytextChar">
    <w:name w:val="AER body text Char"/>
    <w:basedOn w:val="DefaultParagraphFont"/>
    <w:rsid w:val="00126A4C"/>
    <w:rPr>
      <w:rFonts w:eastAsia="Times New Roman"/>
      <w:szCs w:val="24"/>
      <w:lang w:eastAsia="en-US"/>
    </w:rPr>
  </w:style>
  <w:style w:type="character" w:customStyle="1" w:styleId="HeadingBoldBlueChar">
    <w:name w:val="Heading Bold Blue Char"/>
    <w:basedOn w:val="AERbodytextChar"/>
    <w:link w:val="HeadingBoldBlue"/>
    <w:rsid w:val="00126A4C"/>
    <w:rPr>
      <w:rFonts w:ascii="Arial" w:eastAsiaTheme="majorEastAsia" w:hAnsi="Arial" w:cstheme="majorBidi"/>
      <w:b/>
      <w:bCs/>
      <w:color w:val="70635A" w:themeColor="text2"/>
      <w:sz w:val="28"/>
      <w:szCs w:val="24"/>
      <w:lang w:eastAsia="en-US"/>
    </w:rPr>
  </w:style>
  <w:style w:type="table" w:customStyle="1" w:styleId="AERtable-text0">
    <w:name w:val="AER table - text"/>
    <w:basedOn w:val="TableNormal"/>
    <w:uiPriority w:val="99"/>
    <w:rsid w:val="00683C89"/>
    <w:pPr>
      <w:spacing w:before="120" w:after="80"/>
    </w:pPr>
    <w:rPr>
      <w:rFonts w:eastAsia="Calibri" w:cs="Times New Roman"/>
      <w:sz w:val="16"/>
      <w:szCs w:val="20"/>
      <w:lang w:eastAsia="en-AU"/>
    </w:rPr>
    <w:tblPr>
      <w:tblStyleRowBandSize w:val="1"/>
      <w:tblBorders>
        <w:bottom w:val="single" w:sz="4" w:space="0" w:color="365F91"/>
      </w:tblBorders>
    </w:tblPr>
    <w:tcPr>
      <w:vAlign w:val="center"/>
    </w:tcPr>
    <w:tblStylePr w:type="firstRow">
      <w:rPr>
        <w:b/>
        <w:color w:val="FFFFFF"/>
      </w:rPr>
      <w:tblPr/>
      <w:tcPr>
        <w:shd w:val="clear" w:color="auto" w:fill="365F91"/>
      </w:tcPr>
    </w:tblStylePr>
    <w:tblStylePr w:type="band2Horz">
      <w:tblPr/>
      <w:tcPr>
        <w:shd w:val="clear" w:color="auto" w:fill="DBE5F1"/>
      </w:tcPr>
    </w:tblStylePr>
  </w:style>
  <w:style w:type="character" w:customStyle="1" w:styleId="AERtextsize8">
    <w:name w:val="AER text size 8"/>
    <w:basedOn w:val="AERbody"/>
    <w:uiPriority w:val="1"/>
    <w:qFormat/>
    <w:rsid w:val="00126A4C"/>
    <w:rPr>
      <w:rFonts w:ascii="Arial" w:hAnsi="Arial"/>
      <w:color w:val="auto"/>
      <w:sz w:val="16"/>
    </w:rPr>
  </w:style>
  <w:style w:type="paragraph" w:styleId="Index7">
    <w:name w:val="index 7"/>
    <w:basedOn w:val="Normal"/>
    <w:next w:val="Normal"/>
    <w:autoRedefine/>
    <w:uiPriority w:val="99"/>
    <w:unhideWhenUsed/>
    <w:rsid w:val="00126A4C"/>
    <w:pPr>
      <w:spacing w:before="0" w:line="240" w:lineRule="auto"/>
      <w:ind w:left="1540" w:hanging="220"/>
    </w:pPr>
  </w:style>
  <w:style w:type="paragraph" w:customStyle="1" w:styleId="AERtablesource">
    <w:name w:val="AER table source"/>
    <w:next w:val="Normal"/>
    <w:qFormat/>
    <w:rsid w:val="0066104A"/>
    <w:pPr>
      <w:tabs>
        <w:tab w:val="left" w:pos="794"/>
      </w:tabs>
      <w:spacing w:before="160" w:after="360" w:line="360" w:lineRule="auto"/>
      <w:ind w:left="794" w:hanging="794"/>
      <w:contextualSpacing/>
      <w:jc w:val="both"/>
    </w:pPr>
    <w:rPr>
      <w:rFonts w:ascii="Arial" w:eastAsia="Times New Roman" w:hAnsi="Arial" w:cs="Times New Roman"/>
      <w:sz w:val="16"/>
      <w:szCs w:val="24"/>
    </w:rPr>
  </w:style>
  <w:style w:type="character" w:customStyle="1" w:styleId="AERtexthighlight">
    <w:name w:val="AER text highlight"/>
    <w:qFormat/>
    <w:rsid w:val="00126A4C"/>
    <w:rPr>
      <w:bdr w:val="none" w:sz="0" w:space="0" w:color="auto"/>
      <w:shd w:val="clear" w:color="auto" w:fill="FFFF00"/>
    </w:rPr>
  </w:style>
  <w:style w:type="character" w:customStyle="1" w:styleId="AERtextitalic">
    <w:name w:val="AER text italic"/>
    <w:qFormat/>
    <w:rsid w:val="00126A4C"/>
    <w:rPr>
      <w:i/>
    </w:rPr>
  </w:style>
  <w:style w:type="paragraph" w:customStyle="1" w:styleId="AERquote">
    <w:name w:val="AER quote"/>
    <w:next w:val="Normal"/>
    <w:qFormat/>
    <w:rsid w:val="00DE1093"/>
    <w:pPr>
      <w:tabs>
        <w:tab w:val="num" w:pos="709"/>
      </w:tabs>
      <w:spacing w:after="160" w:line="288" w:lineRule="auto"/>
      <w:ind w:left="709" w:right="720"/>
      <w:jc w:val="both"/>
    </w:pPr>
    <w:rPr>
      <w:rFonts w:ascii="Arial" w:eastAsia="Times New Roman" w:hAnsi="Arial" w:cs="Times New Roman"/>
      <w:color w:val="000000"/>
      <w:sz w:val="20"/>
      <w:szCs w:val="24"/>
    </w:rPr>
  </w:style>
  <w:style w:type="paragraph" w:customStyle="1" w:styleId="AERtabletextleft">
    <w:name w:val="AER table text left"/>
    <w:qFormat/>
    <w:rsid w:val="00983C25"/>
    <w:pPr>
      <w:spacing w:before="80" w:after="120" w:line="288" w:lineRule="auto"/>
    </w:pPr>
    <w:rPr>
      <w:rFonts w:ascii="Arial" w:eastAsia="Times New Roman" w:hAnsi="Arial" w:cs="Times New Roman"/>
      <w:sz w:val="20"/>
      <w:szCs w:val="24"/>
    </w:rPr>
  </w:style>
  <w:style w:type="character" w:customStyle="1" w:styleId="AERtextboldunderline">
    <w:name w:val="AER text bold underline"/>
    <w:qFormat/>
    <w:rsid w:val="000E4821"/>
    <w:rPr>
      <w:b/>
      <w:u w:val="single"/>
    </w:rPr>
  </w:style>
  <w:style w:type="numbering" w:customStyle="1" w:styleId="OldAERheadings">
    <w:name w:val="Old AER headings"/>
    <w:uiPriority w:val="99"/>
    <w:locked/>
    <w:rsid w:val="000E4821"/>
    <w:pPr>
      <w:numPr>
        <w:numId w:val="26"/>
      </w:numPr>
    </w:pPr>
  </w:style>
  <w:style w:type="character" w:customStyle="1" w:styleId="AERtextorange">
    <w:name w:val="AER text orange"/>
    <w:uiPriority w:val="1"/>
    <w:qFormat/>
    <w:rsid w:val="000E4821"/>
    <w:rPr>
      <w:color w:val="E36C0A"/>
    </w:rPr>
  </w:style>
  <w:style w:type="paragraph" w:customStyle="1" w:styleId="AERtitle1">
    <w:name w:val="AER title 1"/>
    <w:qFormat/>
    <w:rsid w:val="00683C89"/>
    <w:pPr>
      <w:spacing w:before="0" w:after="240" w:line="288" w:lineRule="auto"/>
      <w:jc w:val="center"/>
    </w:pPr>
    <w:rPr>
      <w:rFonts w:asciiTheme="majorHAnsi" w:eastAsia="Times New Roman" w:hAnsiTheme="majorHAnsi" w:cs="Times New Roman"/>
      <w:b/>
      <w:sz w:val="40"/>
      <w:szCs w:val="24"/>
      <w:lang w:eastAsia="en-AU"/>
    </w:rPr>
  </w:style>
  <w:style w:type="paragraph" w:customStyle="1" w:styleId="AERtitle2">
    <w:name w:val="AER title 2"/>
    <w:qFormat/>
    <w:rsid w:val="00683C89"/>
    <w:pPr>
      <w:spacing w:before="0" w:after="240" w:line="288" w:lineRule="auto"/>
      <w:jc w:val="center"/>
    </w:pPr>
    <w:rPr>
      <w:rFonts w:asciiTheme="majorHAnsi" w:eastAsia="Times New Roman" w:hAnsiTheme="majorHAnsi" w:cs="Times New Roman"/>
      <w:sz w:val="32"/>
      <w:szCs w:val="24"/>
    </w:rPr>
  </w:style>
  <w:style w:type="character" w:customStyle="1" w:styleId="AERtextblue">
    <w:name w:val="AER text blue"/>
    <w:uiPriority w:val="1"/>
    <w:qFormat/>
    <w:rsid w:val="000E4821"/>
    <w:rPr>
      <w:color w:val="365F91"/>
    </w:rPr>
  </w:style>
  <w:style w:type="table" w:customStyle="1" w:styleId="AERtable-numbers">
    <w:name w:val="AER table - numbers"/>
    <w:basedOn w:val="TableNormal"/>
    <w:uiPriority w:val="99"/>
    <w:rsid w:val="00683C89"/>
    <w:pPr>
      <w:spacing w:before="120" w:after="80"/>
      <w:jc w:val="right"/>
    </w:pPr>
    <w:rPr>
      <w:rFonts w:eastAsia="Calibri" w:cs="Times New Roman"/>
      <w:sz w:val="16"/>
      <w:szCs w:val="20"/>
      <w:lang w:eastAsia="en-AU"/>
    </w:rPr>
    <w:tblPr>
      <w:tblStyleRowBandSize w:val="1"/>
      <w:tblBorders>
        <w:bottom w:val="single" w:sz="4" w:space="0" w:color="365F91"/>
      </w:tblBorders>
    </w:tblPr>
    <w:tcPr>
      <w:vAlign w:val="center"/>
    </w:tcPr>
    <w:tblStylePr w:type="firstRow">
      <w:rPr>
        <w:b/>
        <w:color w:val="FFFFFF"/>
      </w:rPr>
      <w:tblPr/>
      <w:tcPr>
        <w:shd w:val="clear" w:color="auto" w:fill="365F91"/>
      </w:tcPr>
    </w:tblStylePr>
    <w:tblStylePr w:type="firstCol">
      <w:pPr>
        <w:jc w:val="left"/>
      </w:pPr>
    </w:tblStylePr>
    <w:tblStylePr w:type="band2Horz">
      <w:tblPr/>
      <w:tcPr>
        <w:shd w:val="clear" w:color="auto" w:fill="DBE5F1"/>
      </w:tcPr>
    </w:tblStylePr>
  </w:style>
  <w:style w:type="table" w:styleId="TableGrid1">
    <w:name w:val="Table Grid 1"/>
    <w:basedOn w:val="TableNormal"/>
    <w:uiPriority w:val="99"/>
    <w:semiHidden/>
    <w:unhideWhenUsed/>
    <w:rsid w:val="00683C89"/>
    <w:pPr>
      <w:spacing w:before="0"/>
    </w:pPr>
    <w:rPr>
      <w:rFonts w:eastAsia="Calibri"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ERtabletextright">
    <w:name w:val="AER table text right"/>
    <w:basedOn w:val="AERtabletextleft"/>
    <w:qFormat/>
    <w:rsid w:val="000E4821"/>
    <w:pPr>
      <w:spacing w:before="120" w:after="80"/>
      <w:jc w:val="right"/>
    </w:pPr>
  </w:style>
  <w:style w:type="paragraph" w:styleId="CommentText">
    <w:name w:val="annotation text"/>
    <w:basedOn w:val="Normal"/>
    <w:link w:val="CommentTextChar"/>
    <w:uiPriority w:val="99"/>
    <w:unhideWhenUsed/>
    <w:rsid w:val="00683C89"/>
    <w:pPr>
      <w:spacing w:before="0" w:after="240" w:line="240" w:lineRule="auto"/>
      <w:jc w:val="both"/>
    </w:pPr>
    <w:rPr>
      <w:rFonts w:asciiTheme="minorHAnsi" w:eastAsia="Calibri" w:hAnsiTheme="minorHAnsi" w:cs="Times New Roman"/>
      <w:sz w:val="20"/>
      <w:szCs w:val="20"/>
    </w:rPr>
  </w:style>
  <w:style w:type="character" w:customStyle="1" w:styleId="CommentTextChar">
    <w:name w:val="Comment Text Char"/>
    <w:basedOn w:val="DefaultParagraphFont"/>
    <w:link w:val="CommentText"/>
    <w:uiPriority w:val="99"/>
    <w:semiHidden/>
    <w:rsid w:val="00683C89"/>
    <w:rPr>
      <w:rFonts w:eastAsia="Calibri" w:cs="Times New Roman"/>
      <w:sz w:val="20"/>
      <w:szCs w:val="20"/>
    </w:rPr>
  </w:style>
  <w:style w:type="paragraph" w:styleId="CommentSubject">
    <w:name w:val="annotation subject"/>
    <w:basedOn w:val="CommentText"/>
    <w:next w:val="CommentText"/>
    <w:link w:val="CommentSubjectChar"/>
    <w:semiHidden/>
    <w:unhideWhenUsed/>
    <w:rsid w:val="00683C89"/>
    <w:rPr>
      <w:b/>
      <w:bCs/>
    </w:rPr>
  </w:style>
  <w:style w:type="character" w:customStyle="1" w:styleId="CommentSubjectChar">
    <w:name w:val="Comment Subject Char"/>
    <w:basedOn w:val="CommentTextChar"/>
    <w:link w:val="CommentSubject"/>
    <w:uiPriority w:val="99"/>
    <w:semiHidden/>
    <w:rsid w:val="00683C89"/>
    <w:rPr>
      <w:rFonts w:eastAsia="Calibri" w:cs="Times New Roman"/>
      <w:b/>
      <w:bCs/>
      <w:sz w:val="20"/>
      <w:szCs w:val="20"/>
    </w:rPr>
  </w:style>
  <w:style w:type="character" w:customStyle="1" w:styleId="AERtextsize10">
    <w:name w:val="AER text size 10"/>
    <w:uiPriority w:val="1"/>
    <w:qFormat/>
    <w:rsid w:val="000E4821"/>
    <w:rPr>
      <w:sz w:val="20"/>
    </w:rPr>
  </w:style>
  <w:style w:type="paragraph" w:customStyle="1" w:styleId="AERbodytextnospaceleftalign">
    <w:name w:val="AER body text no space left align"/>
    <w:basedOn w:val="AERbodytextnospace"/>
    <w:qFormat/>
    <w:rsid w:val="000E4821"/>
    <w:pPr>
      <w:jc w:val="left"/>
    </w:pPr>
  </w:style>
  <w:style w:type="paragraph" w:customStyle="1" w:styleId="AERbodytextleftalign">
    <w:name w:val="AER body text left align"/>
    <w:basedOn w:val="Normal"/>
    <w:qFormat/>
    <w:rsid w:val="00683C89"/>
    <w:pPr>
      <w:tabs>
        <w:tab w:val="num" w:pos="1492"/>
      </w:tabs>
      <w:spacing w:before="0" w:after="240" w:line="288" w:lineRule="auto"/>
      <w:ind w:left="1492" w:hanging="360"/>
    </w:pPr>
    <w:rPr>
      <w:rFonts w:asciiTheme="minorHAnsi" w:eastAsia="Times New Roman" w:hAnsiTheme="minorHAnsi" w:cs="Times New Roman"/>
      <w:sz w:val="20"/>
      <w:szCs w:val="24"/>
    </w:rPr>
  </w:style>
  <w:style w:type="paragraph" w:customStyle="1" w:styleId="AERbodytextcentre">
    <w:name w:val="AER body text centre"/>
    <w:basedOn w:val="Normal"/>
    <w:qFormat/>
    <w:rsid w:val="00683C89"/>
    <w:pPr>
      <w:tabs>
        <w:tab w:val="num" w:pos="1492"/>
      </w:tabs>
      <w:spacing w:before="0" w:after="240" w:line="288" w:lineRule="auto"/>
      <w:ind w:left="1492" w:hanging="360"/>
      <w:jc w:val="center"/>
    </w:pPr>
    <w:rPr>
      <w:rFonts w:asciiTheme="minorHAnsi" w:eastAsia="Times New Roman" w:hAnsiTheme="minorHAnsi" w:cs="Times New Roman"/>
      <w:sz w:val="20"/>
      <w:szCs w:val="24"/>
    </w:rPr>
  </w:style>
  <w:style w:type="paragraph" w:customStyle="1" w:styleId="AERbodytextnospacecentre">
    <w:name w:val="AER body text no space centre"/>
    <w:basedOn w:val="AERbodytextnospace"/>
    <w:qFormat/>
    <w:rsid w:val="000E4821"/>
    <w:pPr>
      <w:tabs>
        <w:tab w:val="clear" w:pos="0"/>
        <w:tab w:val="num" w:pos="1492"/>
      </w:tabs>
      <w:ind w:left="1492" w:hanging="360"/>
      <w:jc w:val="center"/>
    </w:pPr>
  </w:style>
  <w:style w:type="paragraph" w:styleId="Revision">
    <w:name w:val="Revision"/>
    <w:hidden/>
    <w:uiPriority w:val="99"/>
    <w:semiHidden/>
    <w:rsid w:val="000E4821"/>
    <w:pPr>
      <w:spacing w:before="0"/>
    </w:pPr>
    <w:rPr>
      <w:rFonts w:ascii="Gautami" w:eastAsia="Calibri" w:hAnsi="Gautami" w:cs="Times New Roman"/>
      <w:sz w:val="20"/>
      <w:szCs w:val="20"/>
    </w:rPr>
  </w:style>
  <w:style w:type="table" w:customStyle="1" w:styleId="AERtable-text1">
    <w:name w:val="AER table - text1"/>
    <w:basedOn w:val="TableNormal"/>
    <w:uiPriority w:val="99"/>
    <w:rsid w:val="00683C89"/>
    <w:pPr>
      <w:spacing w:before="120" w:after="80"/>
    </w:pPr>
    <w:rPr>
      <w:rFonts w:eastAsia="Calibri" w:cs="Times New Roman"/>
      <w:sz w:val="16"/>
      <w:szCs w:val="20"/>
      <w:lang w:eastAsia="en-AU"/>
    </w:rPr>
    <w:tblPr>
      <w:tblStyleRowBandSize w:val="1"/>
      <w:tblInd w:w="0" w:type="nil"/>
      <w:tblBorders>
        <w:bottom w:val="single" w:sz="4" w:space="0" w:color="365F91"/>
      </w:tblBorders>
    </w:tblPr>
    <w:tcPr>
      <w:vAlign w:val="center"/>
    </w:tcPr>
    <w:tblStylePr w:type="firstRow">
      <w:rPr>
        <w:b/>
        <w:color w:val="FFFFFF"/>
      </w:rPr>
      <w:tblPr/>
      <w:tcPr>
        <w:shd w:val="clear" w:color="auto" w:fill="365F91"/>
      </w:tcPr>
    </w:tblStylePr>
    <w:tblStylePr w:type="band2Horz">
      <w:tblPr/>
      <w:tcPr>
        <w:shd w:val="clear" w:color="auto" w:fill="DBE5F1"/>
      </w:tcPr>
    </w:tblStylePr>
  </w:style>
  <w:style w:type="paragraph" w:styleId="NormalWeb">
    <w:name w:val="Normal (Web)"/>
    <w:basedOn w:val="Normal"/>
    <w:uiPriority w:val="99"/>
    <w:semiHidden/>
    <w:unhideWhenUsed/>
    <w:rsid w:val="00FC71DC"/>
    <w:pPr>
      <w:spacing w:before="0" w:after="240" w:line="288" w:lineRule="auto"/>
      <w:jc w:val="both"/>
    </w:pPr>
    <w:rPr>
      <w:rFonts w:ascii="Times New Roman" w:eastAsia="Calibri" w:hAnsi="Times New Roman" w:cs="Times New Roman"/>
      <w:sz w:val="24"/>
      <w:szCs w:val="24"/>
    </w:rPr>
  </w:style>
  <w:style w:type="paragraph" w:styleId="BodyText">
    <w:name w:val="Body Text"/>
    <w:basedOn w:val="Normal"/>
    <w:link w:val="BodyTextChar"/>
    <w:rsid w:val="00DE772C"/>
    <w:pPr>
      <w:shd w:val="pct10" w:color="auto" w:fill="auto"/>
      <w:spacing w:before="0" w:after="120" w:line="-240" w:lineRule="auto"/>
      <w:ind w:right="18"/>
    </w:pPr>
    <w:rPr>
      <w:rFonts w:ascii="Times New Roman" w:eastAsia="Times New Roman" w:hAnsi="Times New Roman" w:cs="Times New Roman"/>
      <w:sz w:val="20"/>
      <w:szCs w:val="20"/>
      <w:lang w:val="en-US" w:eastAsia="en-AU"/>
    </w:rPr>
  </w:style>
  <w:style w:type="character" w:customStyle="1" w:styleId="BodyTextChar">
    <w:name w:val="Body Text Char"/>
    <w:basedOn w:val="DefaultParagraphFont"/>
    <w:link w:val="BodyText"/>
    <w:rsid w:val="00DE772C"/>
    <w:rPr>
      <w:rFonts w:ascii="Times New Roman" w:eastAsia="Times New Roman" w:hAnsi="Times New Roman" w:cs="Times New Roman"/>
      <w:sz w:val="20"/>
      <w:szCs w:val="20"/>
      <w:shd w:val="pct10" w:color="auto" w:fill="auto"/>
      <w:lang w:val="en-US" w:eastAsia="en-AU"/>
    </w:rPr>
  </w:style>
  <w:style w:type="paragraph" w:styleId="BodyTextIndent3">
    <w:name w:val="Body Text Indent 3"/>
    <w:basedOn w:val="Normal"/>
    <w:link w:val="BodyTextIndent3Char"/>
    <w:rsid w:val="00DE772C"/>
    <w:pPr>
      <w:tabs>
        <w:tab w:val="num" w:pos="284"/>
        <w:tab w:val="left" w:pos="1418"/>
      </w:tabs>
      <w:spacing w:before="0" w:line="240" w:lineRule="auto"/>
      <w:ind w:left="426"/>
    </w:pPr>
    <w:rPr>
      <w:rFonts w:ascii="Arial Narrow" w:eastAsia="Times New Roman" w:hAnsi="Arial Narrow" w:cs="Times New Roman"/>
      <w:sz w:val="24"/>
      <w:szCs w:val="20"/>
      <w:lang w:val="en-US" w:eastAsia="en-AU"/>
    </w:rPr>
  </w:style>
  <w:style w:type="character" w:customStyle="1" w:styleId="BodyTextIndent3Char">
    <w:name w:val="Body Text Indent 3 Char"/>
    <w:basedOn w:val="DefaultParagraphFont"/>
    <w:link w:val="BodyTextIndent3"/>
    <w:rsid w:val="00DE772C"/>
    <w:rPr>
      <w:rFonts w:ascii="Arial Narrow" w:eastAsia="Times New Roman" w:hAnsi="Arial Narrow" w:cs="Times New Roman"/>
      <w:sz w:val="24"/>
      <w:szCs w:val="20"/>
      <w:lang w:val="en-US" w:eastAsia="en-AU"/>
    </w:rPr>
  </w:style>
  <w:style w:type="table" w:customStyle="1" w:styleId="AERtable-numbers1">
    <w:name w:val="AER table - numbers1"/>
    <w:basedOn w:val="TableNormal"/>
    <w:uiPriority w:val="99"/>
    <w:rsid w:val="002D5654"/>
    <w:pPr>
      <w:spacing w:before="120" w:after="80"/>
      <w:jc w:val="right"/>
    </w:pPr>
    <w:rPr>
      <w:rFonts w:eastAsia="Calibri" w:cs="Times New Roman"/>
      <w:sz w:val="16"/>
      <w:szCs w:val="20"/>
      <w:lang w:eastAsia="en-AU"/>
    </w:rPr>
    <w:tblPr>
      <w:tblStyleRowBandSize w:val="1"/>
      <w:tblBorders>
        <w:bottom w:val="single" w:sz="4" w:space="0" w:color="365F91"/>
      </w:tblBorders>
    </w:tblPr>
    <w:tcPr>
      <w:vAlign w:val="center"/>
    </w:tcPr>
    <w:tblStylePr w:type="firstRow">
      <w:rPr>
        <w:b/>
        <w:color w:val="FFFFFF"/>
      </w:rPr>
      <w:tblPr/>
      <w:tcPr>
        <w:shd w:val="clear" w:color="auto" w:fill="365F91"/>
      </w:tcPr>
    </w:tblStylePr>
    <w:tblStylePr w:type="firstCol">
      <w:pPr>
        <w:jc w:val="left"/>
      </w:pPr>
    </w:tblStylePr>
    <w:tblStylePr w:type="band2Horz">
      <w:tblPr/>
      <w:tcPr>
        <w:shd w:val="clear" w:color="auto" w:fill="DBE5F1"/>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before="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nhideWhenUsed="0"/>
    <w:lsdException w:name="footnote text" w:uiPriority="2" w:qFormat="1"/>
    <w:lsdException w:name="header" w:uiPriority="0" w:qFormat="1"/>
    <w:lsdException w:name="footer" w:qFormat="1"/>
    <w:lsdException w:name="caption" w:uiPriority="35" w:qFormat="1"/>
    <w:lsdException w:name="page number" w:uiPriority="0"/>
    <w:lsdException w:name="List" w:uiPriority="0" w:qFormat="1"/>
    <w:lsdException w:name="List Bullet" w:uiPriority="0"/>
    <w:lsdException w:name="List Number" w:uiPriority="0" w:qFormat="1"/>
    <w:lsdException w:name="List Bullet 2" w:uiPriority="0" w:qFormat="1"/>
    <w:lsdException w:name="List Bullet 3" w:uiPriority="0" w:qFormat="1"/>
    <w:lsdException w:name="Title" w:semiHidden="0" w:uiPriority="0" w:unhideWhenUsed="0" w:qFormat="1"/>
    <w:lsdException w:name="Default Paragraph Font" w:uiPriority="1"/>
    <w:lsdException w:name="Body Text" w:uiPriority="0"/>
    <w:lsdException w:name="Body Text Indent" w:uiPriority="0"/>
    <w:lsdException w:name="List Continue" w:uiPriority="0" w:qFormat="1"/>
    <w:lsdException w:name="List Continue 2" w:uiPriority="0" w:qFormat="1"/>
    <w:lsdException w:name="List Continue 3" w:uiPriority="0" w:qFormat="1"/>
    <w:lsdException w:name="Subtitle" w:semiHidden="0" w:uiPriority="11" w:unhideWhenUsed="0"/>
    <w:lsdException w:name="Body Text 2" w:uiPriority="0"/>
    <w:lsdException w:name="Body Text 3" w:uiPriority="0"/>
    <w:lsdException w:name="Body Text Indent 3" w:uiPriority="0"/>
    <w:lsdException w:name="Hyperlink"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semiHidden="0" w:uiPriority="33" w:unhideWhenUsed="0"/>
    <w:lsdException w:name="Bibliography" w:uiPriority="37"/>
    <w:lsdException w:name="TOC Heading" w:uiPriority="39" w:qFormat="1"/>
  </w:latentStyles>
  <w:style w:type="paragraph" w:default="1" w:styleId="Normal">
    <w:name w:val="Normal"/>
    <w:aliases w:val="AER body text"/>
    <w:qFormat/>
    <w:rsid w:val="000A3020"/>
    <w:pPr>
      <w:spacing w:line="276" w:lineRule="auto"/>
    </w:pPr>
    <w:rPr>
      <w:rFonts w:ascii="Arial" w:hAnsi="Arial"/>
    </w:rPr>
  </w:style>
  <w:style w:type="paragraph" w:styleId="Heading1">
    <w:name w:val="heading 1"/>
    <w:aliases w:val="(Alt + 1)"/>
    <w:basedOn w:val="Normal"/>
    <w:next w:val="Normal"/>
    <w:link w:val="Heading1Char"/>
    <w:qFormat/>
    <w:rsid w:val="00DE1093"/>
    <w:pPr>
      <w:pageBreakBefore/>
      <w:numPr>
        <w:numId w:val="25"/>
      </w:numPr>
      <w:tabs>
        <w:tab w:val="left" w:pos="680"/>
      </w:tabs>
      <w:spacing w:before="240"/>
      <w:outlineLvl w:val="0"/>
    </w:pPr>
    <w:rPr>
      <w:rFonts w:eastAsiaTheme="majorEastAsia" w:cstheme="majorBidi"/>
      <w:b/>
      <w:bCs/>
      <w:color w:val="70635A"/>
      <w:sz w:val="36"/>
      <w:szCs w:val="28"/>
    </w:rPr>
  </w:style>
  <w:style w:type="paragraph" w:styleId="Heading2">
    <w:name w:val="heading 2"/>
    <w:next w:val="Normal"/>
    <w:link w:val="Heading2Char"/>
    <w:qFormat/>
    <w:rsid w:val="00126A4C"/>
    <w:pPr>
      <w:numPr>
        <w:ilvl w:val="1"/>
        <w:numId w:val="25"/>
      </w:numPr>
      <w:tabs>
        <w:tab w:val="left" w:pos="680"/>
      </w:tabs>
      <w:spacing w:line="240" w:lineRule="atLeast"/>
      <w:outlineLvl w:val="1"/>
    </w:pPr>
    <w:rPr>
      <w:rFonts w:ascii="Arial" w:eastAsiaTheme="majorEastAsia" w:hAnsi="Arial" w:cstheme="majorBidi"/>
      <w:b/>
      <w:bCs/>
      <w:color w:val="70635A" w:themeColor="text2"/>
      <w:sz w:val="32"/>
      <w:szCs w:val="26"/>
    </w:rPr>
  </w:style>
  <w:style w:type="paragraph" w:styleId="Heading3">
    <w:name w:val="heading 3"/>
    <w:basedOn w:val="Normal"/>
    <w:next w:val="Normal"/>
    <w:link w:val="Heading3Char"/>
    <w:qFormat/>
    <w:rsid w:val="00126A4C"/>
    <w:pPr>
      <w:numPr>
        <w:ilvl w:val="2"/>
        <w:numId w:val="25"/>
      </w:numPr>
      <w:tabs>
        <w:tab w:val="left" w:pos="1021"/>
      </w:tabs>
      <w:spacing w:before="240"/>
      <w:outlineLvl w:val="2"/>
    </w:pPr>
    <w:rPr>
      <w:rFonts w:eastAsiaTheme="majorEastAsia" w:cstheme="majorBidi"/>
      <w:b/>
      <w:bCs/>
      <w:color w:val="70635A" w:themeColor="text2"/>
      <w:sz w:val="28"/>
    </w:rPr>
  </w:style>
  <w:style w:type="paragraph" w:styleId="Heading4">
    <w:name w:val="heading 4"/>
    <w:basedOn w:val="Normal"/>
    <w:next w:val="Normal"/>
    <w:link w:val="Heading4Char"/>
    <w:qFormat/>
    <w:rsid w:val="00126A4C"/>
    <w:pPr>
      <w:numPr>
        <w:ilvl w:val="3"/>
        <w:numId w:val="25"/>
      </w:numPr>
      <w:tabs>
        <w:tab w:val="left" w:pos="1021"/>
      </w:tabs>
      <w:spacing w:before="240"/>
      <w:outlineLvl w:val="3"/>
    </w:pPr>
    <w:rPr>
      <w:rFonts w:eastAsiaTheme="majorEastAsia" w:cstheme="majorBidi"/>
      <w:b/>
      <w:bCs/>
      <w:iCs/>
      <w:color w:val="51626F"/>
      <w:sz w:val="24"/>
    </w:rPr>
  </w:style>
  <w:style w:type="paragraph" w:styleId="Heading5">
    <w:name w:val="heading 5"/>
    <w:aliases w:val="Appendix 1"/>
    <w:next w:val="Normal"/>
    <w:link w:val="Heading5Char"/>
    <w:qFormat/>
    <w:rsid w:val="00126A4C"/>
    <w:pPr>
      <w:numPr>
        <w:ilvl w:val="4"/>
        <w:numId w:val="25"/>
      </w:numPr>
      <w:tabs>
        <w:tab w:val="left" w:pos="1021"/>
      </w:tabs>
      <w:spacing w:line="240" w:lineRule="atLeast"/>
      <w:outlineLvl w:val="4"/>
    </w:pPr>
    <w:rPr>
      <w:rFonts w:ascii="Arial" w:eastAsiaTheme="majorEastAsia" w:hAnsi="Arial" w:cstheme="majorBidi"/>
      <w:b/>
      <w:color w:val="170017" w:themeColor="accent1" w:themeShade="7F"/>
    </w:rPr>
  </w:style>
  <w:style w:type="paragraph" w:styleId="Heading6">
    <w:name w:val="heading 6"/>
    <w:aliases w:val="Appendix 2"/>
    <w:basedOn w:val="Normal"/>
    <w:next w:val="Normal"/>
    <w:link w:val="Heading6Char"/>
    <w:qFormat/>
    <w:rsid w:val="00126A4C"/>
    <w:pPr>
      <w:numPr>
        <w:ilvl w:val="5"/>
        <w:numId w:val="25"/>
      </w:numPr>
      <w:tabs>
        <w:tab w:val="left" w:pos="1361"/>
      </w:tabs>
      <w:spacing w:before="240"/>
      <w:outlineLvl w:val="5"/>
    </w:pPr>
    <w:rPr>
      <w:rFonts w:eastAsiaTheme="majorEastAsia" w:cstheme="majorBidi"/>
      <w:b/>
      <w:i/>
      <w:iCs/>
      <w:color w:val="076A92" w:themeColor="text1"/>
    </w:rPr>
  </w:style>
  <w:style w:type="paragraph" w:styleId="Heading7">
    <w:name w:val="heading 7"/>
    <w:aliases w:val="(Appen),t,Appendix 3"/>
    <w:basedOn w:val="Heading1"/>
    <w:next w:val="Normal"/>
    <w:link w:val="Heading7Char"/>
    <w:qFormat/>
    <w:rsid w:val="00CB0279"/>
    <w:pPr>
      <w:numPr>
        <w:numId w:val="27"/>
      </w:numPr>
      <w:tabs>
        <w:tab w:val="clear" w:pos="680"/>
        <w:tab w:val="left" w:pos="1021"/>
      </w:tabs>
      <w:ind w:left="1021" w:hanging="1021"/>
      <w:outlineLvl w:val="6"/>
    </w:pPr>
  </w:style>
  <w:style w:type="paragraph" w:styleId="Heading8">
    <w:name w:val="heading 8"/>
    <w:basedOn w:val="Heading2"/>
    <w:next w:val="Normal"/>
    <w:link w:val="Heading8Char"/>
    <w:qFormat/>
    <w:rsid w:val="00CB0279"/>
    <w:pPr>
      <w:numPr>
        <w:numId w:val="27"/>
      </w:numPr>
      <w:tabs>
        <w:tab w:val="clear" w:pos="680"/>
        <w:tab w:val="left" w:pos="1021"/>
      </w:tabs>
      <w:outlineLvl w:val="7"/>
    </w:pPr>
  </w:style>
  <w:style w:type="paragraph" w:styleId="Heading9">
    <w:name w:val="heading 9"/>
    <w:basedOn w:val="Heading3"/>
    <w:next w:val="Normal"/>
    <w:link w:val="Heading9Char"/>
    <w:qFormat/>
    <w:rsid w:val="00CB0279"/>
    <w:pPr>
      <w:numPr>
        <w:numId w:val="27"/>
      </w:numPr>
      <w:ind w:left="1021" w:hanging="102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lt + 1) Char"/>
    <w:basedOn w:val="DefaultParagraphFont"/>
    <w:link w:val="Heading1"/>
    <w:rsid w:val="00DE1093"/>
    <w:rPr>
      <w:rFonts w:ascii="Arial" w:eastAsiaTheme="majorEastAsia" w:hAnsi="Arial" w:cstheme="majorBidi"/>
      <w:b/>
      <w:bCs/>
      <w:color w:val="70635A"/>
      <w:sz w:val="36"/>
      <w:szCs w:val="28"/>
    </w:rPr>
  </w:style>
  <w:style w:type="character" w:customStyle="1" w:styleId="Heading2Char">
    <w:name w:val="Heading 2 Char"/>
    <w:basedOn w:val="DefaultParagraphFont"/>
    <w:link w:val="Heading2"/>
    <w:rsid w:val="00126A4C"/>
    <w:rPr>
      <w:rFonts w:ascii="Arial" w:eastAsiaTheme="majorEastAsia" w:hAnsi="Arial" w:cstheme="majorBidi"/>
      <w:b/>
      <w:bCs/>
      <w:color w:val="70635A" w:themeColor="text2"/>
      <w:sz w:val="32"/>
      <w:szCs w:val="26"/>
    </w:rPr>
  </w:style>
  <w:style w:type="character" w:customStyle="1" w:styleId="Heading3Char">
    <w:name w:val="Heading 3 Char"/>
    <w:basedOn w:val="DefaultParagraphFont"/>
    <w:link w:val="Heading3"/>
    <w:rsid w:val="00126A4C"/>
    <w:rPr>
      <w:rFonts w:ascii="Arial" w:eastAsiaTheme="majorEastAsia" w:hAnsi="Arial" w:cstheme="majorBidi"/>
      <w:b/>
      <w:bCs/>
      <w:color w:val="70635A" w:themeColor="text2"/>
      <w:sz w:val="28"/>
    </w:rPr>
  </w:style>
  <w:style w:type="character" w:customStyle="1" w:styleId="Heading4Char">
    <w:name w:val="Heading 4 Char"/>
    <w:basedOn w:val="DefaultParagraphFont"/>
    <w:link w:val="Heading4"/>
    <w:rsid w:val="00126A4C"/>
    <w:rPr>
      <w:rFonts w:ascii="Arial" w:eastAsiaTheme="majorEastAsia" w:hAnsi="Arial" w:cstheme="majorBidi"/>
      <w:b/>
      <w:bCs/>
      <w:iCs/>
      <w:color w:val="51626F"/>
      <w:sz w:val="24"/>
    </w:rPr>
  </w:style>
  <w:style w:type="character" w:customStyle="1" w:styleId="Heading5Char">
    <w:name w:val="Heading 5 Char"/>
    <w:aliases w:val="Appendix 1 Char"/>
    <w:basedOn w:val="DefaultParagraphFont"/>
    <w:link w:val="Heading5"/>
    <w:rsid w:val="00126A4C"/>
    <w:rPr>
      <w:rFonts w:ascii="Arial" w:eastAsiaTheme="majorEastAsia" w:hAnsi="Arial" w:cstheme="majorBidi"/>
      <w:b/>
      <w:color w:val="170017" w:themeColor="accent1" w:themeShade="7F"/>
    </w:rPr>
  </w:style>
  <w:style w:type="character" w:customStyle="1" w:styleId="Heading6Char">
    <w:name w:val="Heading 6 Char"/>
    <w:aliases w:val="Appendix 2 Char"/>
    <w:basedOn w:val="DefaultParagraphFont"/>
    <w:link w:val="Heading6"/>
    <w:rsid w:val="00126A4C"/>
    <w:rPr>
      <w:rFonts w:ascii="Arial" w:eastAsiaTheme="majorEastAsia" w:hAnsi="Arial" w:cstheme="majorBidi"/>
      <w:b/>
      <w:i/>
      <w:iCs/>
      <w:color w:val="076A92" w:themeColor="text1"/>
    </w:rPr>
  </w:style>
  <w:style w:type="paragraph" w:customStyle="1" w:styleId="Chaptertitle">
    <w:name w:val="Chapter title"/>
    <w:basedOn w:val="Normal"/>
    <w:link w:val="ChaptertitleChar"/>
    <w:rsid w:val="00DE1093"/>
    <w:pPr>
      <w:pageBreakBefore/>
      <w:spacing w:before="520" w:after="120"/>
      <w:outlineLvl w:val="0"/>
    </w:pPr>
    <w:rPr>
      <w:color w:val="076A92" w:themeColor="text1"/>
      <w:sz w:val="52"/>
      <w:szCs w:val="52"/>
    </w:rPr>
  </w:style>
  <w:style w:type="character" w:customStyle="1" w:styleId="ChaptertitleChar">
    <w:name w:val="Chapter title Char"/>
    <w:basedOn w:val="DefaultParagraphFont"/>
    <w:link w:val="Chaptertitle"/>
    <w:rsid w:val="00DE1093"/>
    <w:rPr>
      <w:rFonts w:ascii="Arial" w:hAnsi="Arial"/>
      <w:color w:val="076A92" w:themeColor="text1"/>
      <w:sz w:val="52"/>
      <w:szCs w:val="52"/>
    </w:rPr>
  </w:style>
  <w:style w:type="paragraph" w:customStyle="1" w:styleId="Tabletext">
    <w:name w:val="Table text"/>
    <w:basedOn w:val="Normal"/>
    <w:link w:val="TabletextChar"/>
    <w:uiPriority w:val="1"/>
    <w:qFormat/>
    <w:rsid w:val="00584D8F"/>
    <w:pPr>
      <w:spacing w:before="120" w:after="60"/>
    </w:pPr>
    <w:rPr>
      <w:sz w:val="20"/>
    </w:rPr>
  </w:style>
  <w:style w:type="paragraph" w:styleId="TOC8">
    <w:name w:val="toc 8"/>
    <w:basedOn w:val="Normal"/>
    <w:next w:val="Normal"/>
    <w:rsid w:val="005D7BA2"/>
    <w:pPr>
      <w:tabs>
        <w:tab w:val="right" w:leader="dot" w:pos="8363"/>
      </w:tabs>
      <w:spacing w:after="100"/>
      <w:ind w:left="2977"/>
    </w:pPr>
    <w:rPr>
      <w:noProof/>
    </w:rPr>
  </w:style>
  <w:style w:type="paragraph" w:styleId="TOC9">
    <w:name w:val="toc 9"/>
    <w:basedOn w:val="Normal"/>
    <w:next w:val="Normal"/>
    <w:rsid w:val="005D7BA2"/>
    <w:pPr>
      <w:tabs>
        <w:tab w:val="right" w:leader="dot" w:pos="8363"/>
      </w:tabs>
      <w:spacing w:after="100"/>
      <w:ind w:left="3402"/>
    </w:pPr>
    <w:rPr>
      <w:noProof/>
    </w:rPr>
  </w:style>
  <w:style w:type="paragraph" w:customStyle="1" w:styleId="HeadingBoldBlue">
    <w:name w:val="Heading Bold Blue"/>
    <w:basedOn w:val="Heading3"/>
    <w:link w:val="HeadingBoldBlueChar"/>
    <w:qFormat/>
    <w:rsid w:val="00985C86"/>
    <w:pPr>
      <w:numPr>
        <w:ilvl w:val="0"/>
        <w:numId w:val="0"/>
      </w:numPr>
    </w:pPr>
  </w:style>
  <w:style w:type="paragraph" w:customStyle="1" w:styleId="HeadingBoldItalic">
    <w:name w:val="Heading Bold Italic"/>
    <w:basedOn w:val="Heading4"/>
    <w:qFormat/>
    <w:rsid w:val="00985C86"/>
    <w:pPr>
      <w:numPr>
        <w:ilvl w:val="0"/>
        <w:numId w:val="0"/>
      </w:numPr>
    </w:pPr>
    <w:rPr>
      <w:i/>
    </w:rPr>
  </w:style>
  <w:style w:type="paragraph" w:customStyle="1" w:styleId="HeadingItalic">
    <w:name w:val="Heading Italic"/>
    <w:basedOn w:val="HeadingBoldItalic"/>
    <w:qFormat/>
    <w:rsid w:val="00985C86"/>
    <w:rPr>
      <w:b w:val="0"/>
    </w:rPr>
  </w:style>
  <w:style w:type="paragraph" w:customStyle="1" w:styleId="HeadingOrange">
    <w:name w:val="Heading Orange"/>
    <w:basedOn w:val="Heading5"/>
    <w:qFormat/>
    <w:rsid w:val="00985C86"/>
    <w:pPr>
      <w:numPr>
        <w:ilvl w:val="0"/>
        <w:numId w:val="0"/>
      </w:numPr>
    </w:pPr>
  </w:style>
  <w:style w:type="paragraph" w:styleId="Header">
    <w:name w:val="header"/>
    <w:basedOn w:val="Normal"/>
    <w:link w:val="HeaderChar"/>
    <w:unhideWhenUsed/>
    <w:qFormat/>
    <w:rsid w:val="008344F6"/>
    <w:pPr>
      <w:tabs>
        <w:tab w:val="center" w:pos="4513"/>
        <w:tab w:val="right" w:pos="9026"/>
      </w:tabs>
      <w:spacing w:after="120"/>
    </w:pPr>
    <w:rPr>
      <w:color w:val="2F002F" w:themeColor="accent1"/>
      <w:sz w:val="18"/>
    </w:rPr>
  </w:style>
  <w:style w:type="character" w:customStyle="1" w:styleId="HeaderChar">
    <w:name w:val="Header Char"/>
    <w:basedOn w:val="DefaultParagraphFont"/>
    <w:link w:val="Header"/>
    <w:uiPriority w:val="99"/>
    <w:rsid w:val="008344F6"/>
    <w:rPr>
      <w:rFonts w:ascii="Arial" w:hAnsi="Arial"/>
      <w:color w:val="2F002F" w:themeColor="accent1"/>
      <w:sz w:val="18"/>
    </w:rPr>
  </w:style>
  <w:style w:type="paragraph" w:styleId="NoSpacing">
    <w:name w:val="No Spacing"/>
    <w:uiPriority w:val="1"/>
    <w:qFormat/>
    <w:rsid w:val="00724A37"/>
    <w:pPr>
      <w:spacing w:before="0"/>
    </w:pPr>
    <w:rPr>
      <w:rFonts w:ascii="Arial" w:hAnsi="Arial"/>
    </w:rPr>
  </w:style>
  <w:style w:type="paragraph" w:customStyle="1" w:styleId="Tabletitle">
    <w:name w:val="Table title"/>
    <w:basedOn w:val="Normal"/>
    <w:link w:val="TabletitleChar"/>
    <w:qFormat/>
    <w:rsid w:val="00C67A92"/>
    <w:pPr>
      <w:spacing w:before="240" w:after="120"/>
    </w:pPr>
    <w:rPr>
      <w:b/>
      <w:color w:val="076A92" w:themeColor="text1"/>
      <w:sz w:val="24"/>
      <w:szCs w:val="20"/>
    </w:rPr>
  </w:style>
  <w:style w:type="character" w:customStyle="1" w:styleId="TabletitleChar">
    <w:name w:val="Table title Char"/>
    <w:basedOn w:val="DefaultParagraphFont"/>
    <w:link w:val="Tabletitle"/>
    <w:rsid w:val="00C67A92"/>
    <w:rPr>
      <w:rFonts w:ascii="Arial" w:hAnsi="Arial"/>
      <w:b/>
      <w:color w:val="076A92" w:themeColor="text1"/>
      <w:sz w:val="24"/>
      <w:szCs w:val="20"/>
    </w:rPr>
  </w:style>
  <w:style w:type="paragraph" w:customStyle="1" w:styleId="Charttitle">
    <w:name w:val="Chart title"/>
    <w:basedOn w:val="Tabletitle"/>
    <w:rsid w:val="00C67A92"/>
  </w:style>
  <w:style w:type="paragraph" w:styleId="EndnoteText">
    <w:name w:val="endnote text"/>
    <w:basedOn w:val="Normal"/>
    <w:link w:val="EndnoteTextChar"/>
    <w:uiPriority w:val="99"/>
    <w:rsid w:val="00263AC0"/>
    <w:pPr>
      <w:spacing w:before="0"/>
    </w:pPr>
    <w:rPr>
      <w:sz w:val="20"/>
      <w:szCs w:val="20"/>
    </w:rPr>
  </w:style>
  <w:style w:type="paragraph" w:customStyle="1" w:styleId="AERrevisionbox">
    <w:name w:val="AER revision box"/>
    <w:basedOn w:val="Normal"/>
    <w:link w:val="AERrevisionboxChar"/>
    <w:qFormat/>
    <w:rsid w:val="00180157"/>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2F2F2" w:themeFill="background1" w:themeFillShade="F2"/>
      <w:spacing w:after="240"/>
    </w:pPr>
    <w:rPr>
      <w:szCs w:val="20"/>
    </w:rPr>
  </w:style>
  <w:style w:type="character" w:customStyle="1" w:styleId="AERrevisionboxChar">
    <w:name w:val="AER revision box Char"/>
    <w:basedOn w:val="DefaultParagraphFont"/>
    <w:link w:val="AERrevisionbox"/>
    <w:uiPriority w:val="1"/>
    <w:rsid w:val="00AE1BF1"/>
    <w:rPr>
      <w:rFonts w:ascii="Arial" w:hAnsi="Arial"/>
      <w:szCs w:val="20"/>
      <w:shd w:val="clear" w:color="auto" w:fill="F2F2F2" w:themeFill="background1" w:themeFillShade="F2"/>
    </w:rPr>
  </w:style>
  <w:style w:type="paragraph" w:customStyle="1" w:styleId="Pullquoteheading">
    <w:name w:val="Pull quote heading"/>
    <w:basedOn w:val="Normal"/>
    <w:link w:val="PullquoteheadingChar"/>
    <w:uiPriority w:val="1"/>
    <w:rsid w:val="00CA489E"/>
    <w:pPr>
      <w:spacing w:after="120"/>
      <w:contextualSpacing/>
    </w:pPr>
    <w:rPr>
      <w:b/>
      <w:color w:val="C14E00" w:themeColor="accent2"/>
      <w:sz w:val="24"/>
      <w:szCs w:val="24"/>
    </w:rPr>
  </w:style>
  <w:style w:type="character" w:customStyle="1" w:styleId="PullquoteheadingChar">
    <w:name w:val="Pull quote heading Char"/>
    <w:basedOn w:val="DefaultParagraphFont"/>
    <w:link w:val="Pullquoteheading"/>
    <w:uiPriority w:val="1"/>
    <w:rsid w:val="00CA489E"/>
    <w:rPr>
      <w:rFonts w:ascii="Arial" w:hAnsi="Arial"/>
      <w:b/>
      <w:color w:val="C14E00" w:themeColor="accent2"/>
      <w:sz w:val="24"/>
      <w:szCs w:val="24"/>
    </w:rPr>
  </w:style>
  <w:style w:type="paragraph" w:customStyle="1" w:styleId="Pullquotetext">
    <w:name w:val="Pull quote text"/>
    <w:link w:val="PullquotetextChar"/>
    <w:uiPriority w:val="1"/>
    <w:rsid w:val="00CA489E"/>
    <w:pPr>
      <w:spacing w:before="120"/>
    </w:pPr>
    <w:rPr>
      <w:rFonts w:ascii="Arial" w:hAnsi="Arial"/>
      <w:color w:val="DC5034"/>
      <w:szCs w:val="24"/>
    </w:rPr>
  </w:style>
  <w:style w:type="character" w:customStyle="1" w:styleId="PullquotetextChar">
    <w:name w:val="Pull quote text Char"/>
    <w:basedOn w:val="PullquoteheadingChar"/>
    <w:link w:val="Pullquotetext"/>
    <w:uiPriority w:val="1"/>
    <w:rsid w:val="00CA489E"/>
    <w:rPr>
      <w:rFonts w:ascii="Arial" w:hAnsi="Arial"/>
      <w:b w:val="0"/>
      <w:color w:val="DC5034"/>
      <w:sz w:val="24"/>
      <w:szCs w:val="24"/>
    </w:rPr>
  </w:style>
  <w:style w:type="paragraph" w:customStyle="1" w:styleId="Note">
    <w:name w:val="Note"/>
    <w:basedOn w:val="Normal"/>
    <w:link w:val="NoteChar"/>
    <w:rsid w:val="00085663"/>
    <w:pPr>
      <w:spacing w:after="120"/>
    </w:pPr>
    <w:rPr>
      <w:i/>
      <w:sz w:val="16"/>
      <w:szCs w:val="16"/>
    </w:rPr>
  </w:style>
  <w:style w:type="character" w:customStyle="1" w:styleId="NoteChar">
    <w:name w:val="Note Char"/>
    <w:basedOn w:val="DefaultParagraphFont"/>
    <w:link w:val="Note"/>
    <w:rsid w:val="00085663"/>
    <w:rPr>
      <w:rFonts w:ascii="Arial" w:hAnsi="Arial"/>
      <w:i/>
      <w:sz w:val="16"/>
      <w:szCs w:val="16"/>
    </w:rPr>
  </w:style>
  <w:style w:type="paragraph" w:customStyle="1" w:styleId="Source">
    <w:name w:val="Source"/>
    <w:basedOn w:val="Normal"/>
    <w:link w:val="SourceChar"/>
    <w:rsid w:val="00085663"/>
    <w:pPr>
      <w:spacing w:after="60"/>
    </w:pPr>
    <w:rPr>
      <w:sz w:val="16"/>
      <w:szCs w:val="16"/>
    </w:rPr>
  </w:style>
  <w:style w:type="character" w:customStyle="1" w:styleId="SourceChar">
    <w:name w:val="Source Char"/>
    <w:basedOn w:val="DefaultParagraphFont"/>
    <w:link w:val="Source"/>
    <w:rsid w:val="00085663"/>
    <w:rPr>
      <w:rFonts w:ascii="Arial" w:hAnsi="Arial"/>
      <w:sz w:val="16"/>
      <w:szCs w:val="16"/>
    </w:rPr>
  </w:style>
  <w:style w:type="paragraph" w:styleId="Index1">
    <w:name w:val="index 1"/>
    <w:basedOn w:val="Normal"/>
    <w:next w:val="Normal"/>
    <w:autoRedefine/>
    <w:uiPriority w:val="99"/>
    <w:unhideWhenUsed/>
    <w:rsid w:val="00F171E0"/>
    <w:pPr>
      <w:spacing w:before="0" w:line="240" w:lineRule="auto"/>
      <w:ind w:left="220" w:hanging="220"/>
    </w:pPr>
  </w:style>
  <w:style w:type="paragraph" w:styleId="Index2">
    <w:name w:val="index 2"/>
    <w:basedOn w:val="Normal"/>
    <w:next w:val="Normal"/>
    <w:autoRedefine/>
    <w:uiPriority w:val="99"/>
    <w:unhideWhenUsed/>
    <w:rsid w:val="00F171E0"/>
    <w:pPr>
      <w:spacing w:before="0" w:line="240" w:lineRule="auto"/>
      <w:ind w:left="440" w:hanging="220"/>
    </w:pPr>
  </w:style>
  <w:style w:type="paragraph" w:styleId="Quote">
    <w:name w:val="Quote"/>
    <w:basedOn w:val="Normal"/>
    <w:next w:val="Normal"/>
    <w:link w:val="QuoteChar"/>
    <w:uiPriority w:val="29"/>
    <w:rsid w:val="00C67A92"/>
    <w:pPr>
      <w:ind w:left="680"/>
    </w:pPr>
    <w:rPr>
      <w:i/>
      <w:iCs/>
      <w:color w:val="076A92" w:themeColor="text1"/>
    </w:rPr>
  </w:style>
  <w:style w:type="character" w:customStyle="1" w:styleId="QuoteChar">
    <w:name w:val="Quote Char"/>
    <w:basedOn w:val="DefaultParagraphFont"/>
    <w:link w:val="Quote"/>
    <w:uiPriority w:val="29"/>
    <w:rsid w:val="00C67A92"/>
    <w:rPr>
      <w:rFonts w:ascii="Arial" w:hAnsi="Arial"/>
      <w:i/>
      <w:iCs/>
      <w:color w:val="076A92" w:themeColor="text1"/>
    </w:rPr>
  </w:style>
  <w:style w:type="paragraph" w:customStyle="1" w:styleId="AERbulletlistfirststyle">
    <w:name w:val="AER bullet list (first style)"/>
    <w:basedOn w:val="ListBullet"/>
    <w:qFormat/>
    <w:rsid w:val="00FE64AE"/>
    <w:pPr>
      <w:numPr>
        <w:numId w:val="2"/>
      </w:numPr>
    </w:pPr>
    <w:rPr>
      <w:rFonts w:cs="Times New Roman"/>
    </w:rPr>
  </w:style>
  <w:style w:type="paragraph" w:styleId="ListBullet">
    <w:name w:val="List Bullet"/>
    <w:aliases w:val="AER List number 2 first"/>
    <w:basedOn w:val="Normal"/>
    <w:unhideWhenUsed/>
    <w:rsid w:val="0045777E"/>
    <w:pPr>
      <w:numPr>
        <w:numId w:val="13"/>
      </w:numPr>
      <w:tabs>
        <w:tab w:val="left" w:pos="340"/>
      </w:tabs>
      <w:spacing w:before="120"/>
    </w:pPr>
  </w:style>
  <w:style w:type="paragraph" w:customStyle="1" w:styleId="AERbulletlistsecondstyle">
    <w:name w:val="AER bullet list (second style)"/>
    <w:basedOn w:val="ListBullet2"/>
    <w:qFormat/>
    <w:rsid w:val="008033C4"/>
    <w:pPr>
      <w:numPr>
        <w:numId w:val="12"/>
      </w:numPr>
      <w:ind w:left="998" w:hanging="357"/>
    </w:pPr>
  </w:style>
  <w:style w:type="paragraph" w:styleId="ListNumber">
    <w:name w:val="List Number"/>
    <w:aliases w:val="AER numbered list (first style)"/>
    <w:basedOn w:val="Normal"/>
    <w:qFormat/>
    <w:rsid w:val="00CA489E"/>
    <w:pPr>
      <w:numPr>
        <w:numId w:val="7"/>
      </w:numPr>
      <w:tabs>
        <w:tab w:val="clear" w:pos="360"/>
        <w:tab w:val="num" w:pos="340"/>
      </w:tabs>
      <w:spacing w:before="120"/>
      <w:ind w:left="340" w:hanging="340"/>
    </w:pPr>
  </w:style>
  <w:style w:type="paragraph" w:styleId="ListBullet2">
    <w:name w:val="List Bullet 2"/>
    <w:aliases w:val="AER numbered list 2 second"/>
    <w:basedOn w:val="Normal"/>
    <w:unhideWhenUsed/>
    <w:qFormat/>
    <w:rsid w:val="008E77DE"/>
    <w:pPr>
      <w:numPr>
        <w:numId w:val="3"/>
      </w:numPr>
      <w:spacing w:before="120"/>
    </w:pPr>
  </w:style>
  <w:style w:type="paragraph" w:styleId="TOCHeading">
    <w:name w:val="TOC Heading"/>
    <w:basedOn w:val="Normal"/>
    <w:next w:val="Normal"/>
    <w:uiPriority w:val="39"/>
    <w:qFormat/>
    <w:rsid w:val="00327A1E"/>
    <w:pPr>
      <w:spacing w:before="480" w:after="120"/>
    </w:pPr>
    <w:rPr>
      <w:rFonts w:eastAsiaTheme="majorEastAsia" w:cstheme="majorBidi"/>
      <w:b/>
      <w:bCs/>
      <w:color w:val="076A92" w:themeColor="text1"/>
      <w:sz w:val="36"/>
      <w:szCs w:val="28"/>
      <w:lang w:val="en-US" w:eastAsia="ja-JP"/>
    </w:rPr>
  </w:style>
  <w:style w:type="paragraph" w:customStyle="1" w:styleId="Listalphabet">
    <w:name w:val="List alphabet"/>
    <w:basedOn w:val="List"/>
    <w:qFormat/>
    <w:rsid w:val="00DB5074"/>
    <w:pPr>
      <w:numPr>
        <w:numId w:val="17"/>
      </w:numPr>
      <w:ind w:left="340" w:hanging="340"/>
    </w:pPr>
  </w:style>
  <w:style w:type="character" w:styleId="Hyperlink">
    <w:name w:val="Hyperlink"/>
    <w:basedOn w:val="DefaultParagraphFont"/>
    <w:uiPriority w:val="99"/>
    <w:qFormat/>
    <w:rsid w:val="00BE1F1B"/>
    <w:rPr>
      <w:rFonts w:ascii="Arial" w:hAnsi="Arial"/>
      <w:color w:val="0000FF"/>
      <w:sz w:val="22"/>
      <w:u w:val="single"/>
    </w:rPr>
  </w:style>
  <w:style w:type="paragraph" w:styleId="BalloonText">
    <w:name w:val="Balloon Text"/>
    <w:basedOn w:val="Normal"/>
    <w:link w:val="BalloonTextChar"/>
    <w:unhideWhenUsed/>
    <w:rsid w:val="00683C89"/>
    <w:pPr>
      <w:spacing w:before="0"/>
    </w:pPr>
    <w:rPr>
      <w:rFonts w:asciiTheme="minorHAnsi" w:hAnsiTheme="minorHAnsi" w:cs="Tahoma"/>
      <w:sz w:val="16"/>
      <w:szCs w:val="16"/>
    </w:rPr>
  </w:style>
  <w:style w:type="character" w:customStyle="1" w:styleId="BalloonTextChar">
    <w:name w:val="Balloon Text Char"/>
    <w:basedOn w:val="DefaultParagraphFont"/>
    <w:link w:val="BalloonText"/>
    <w:uiPriority w:val="99"/>
    <w:rsid w:val="00683C89"/>
    <w:rPr>
      <w:rFonts w:cs="Tahoma"/>
      <w:sz w:val="16"/>
      <w:szCs w:val="16"/>
    </w:rPr>
  </w:style>
  <w:style w:type="paragraph" w:styleId="Footer">
    <w:name w:val="footer"/>
    <w:aliases w:val="Footer Base"/>
    <w:basedOn w:val="Normal"/>
    <w:link w:val="FooterChar"/>
    <w:uiPriority w:val="99"/>
    <w:unhideWhenUsed/>
    <w:qFormat/>
    <w:rsid w:val="005D7BA2"/>
    <w:pPr>
      <w:tabs>
        <w:tab w:val="center" w:pos="4513"/>
        <w:tab w:val="right" w:pos="9026"/>
      </w:tabs>
      <w:spacing w:after="120"/>
    </w:pPr>
    <w:rPr>
      <w:color w:val="076A92" w:themeColor="text1"/>
      <w:sz w:val="18"/>
    </w:rPr>
  </w:style>
  <w:style w:type="character" w:customStyle="1" w:styleId="FooterChar">
    <w:name w:val="Footer Char"/>
    <w:aliases w:val="Footer Base Char"/>
    <w:basedOn w:val="DefaultParagraphFont"/>
    <w:link w:val="Footer"/>
    <w:uiPriority w:val="99"/>
    <w:rsid w:val="005D7BA2"/>
    <w:rPr>
      <w:rFonts w:ascii="Arial" w:hAnsi="Arial"/>
      <w:color w:val="076A92" w:themeColor="text1"/>
      <w:sz w:val="18"/>
    </w:rPr>
  </w:style>
  <w:style w:type="paragraph" w:styleId="ListParagraph">
    <w:name w:val="List Paragraph"/>
    <w:basedOn w:val="Normal"/>
    <w:uiPriority w:val="34"/>
    <w:qFormat/>
    <w:rsid w:val="00567BA5"/>
    <w:pPr>
      <w:numPr>
        <w:numId w:val="14"/>
      </w:numPr>
      <w:tabs>
        <w:tab w:val="left" w:pos="340"/>
      </w:tabs>
      <w:spacing w:before="120"/>
      <w:ind w:left="340" w:hanging="340"/>
    </w:pPr>
  </w:style>
  <w:style w:type="character" w:customStyle="1" w:styleId="Heading7Char">
    <w:name w:val="Heading 7 Char"/>
    <w:aliases w:val="(Appen) Char,t Char,Appendix 3 Char"/>
    <w:basedOn w:val="DefaultParagraphFont"/>
    <w:link w:val="Heading7"/>
    <w:rsid w:val="00CB0279"/>
    <w:rPr>
      <w:rFonts w:ascii="Arial" w:eastAsiaTheme="majorEastAsia" w:hAnsi="Arial" w:cstheme="majorBidi"/>
      <w:b/>
      <w:bCs/>
      <w:color w:val="70635A"/>
      <w:sz w:val="36"/>
      <w:szCs w:val="28"/>
    </w:rPr>
  </w:style>
  <w:style w:type="character" w:customStyle="1" w:styleId="Heading8Char">
    <w:name w:val="Heading 8 Char"/>
    <w:basedOn w:val="DefaultParagraphFont"/>
    <w:link w:val="Heading8"/>
    <w:rsid w:val="00CB0279"/>
    <w:rPr>
      <w:rFonts w:ascii="Arial" w:eastAsiaTheme="majorEastAsia" w:hAnsi="Arial" w:cstheme="majorBidi"/>
      <w:b/>
      <w:bCs/>
      <w:color w:val="70635A" w:themeColor="text2"/>
      <w:sz w:val="32"/>
      <w:szCs w:val="26"/>
    </w:rPr>
  </w:style>
  <w:style w:type="character" w:customStyle="1" w:styleId="Heading9Char">
    <w:name w:val="Heading 9 Char"/>
    <w:basedOn w:val="DefaultParagraphFont"/>
    <w:link w:val="Heading9"/>
    <w:rsid w:val="00CB0279"/>
    <w:rPr>
      <w:rFonts w:ascii="Arial" w:eastAsiaTheme="majorEastAsia" w:hAnsi="Arial" w:cstheme="majorBidi"/>
      <w:b/>
      <w:bCs/>
      <w:color w:val="70635A" w:themeColor="text2"/>
      <w:sz w:val="28"/>
    </w:rPr>
  </w:style>
  <w:style w:type="paragraph" w:customStyle="1" w:styleId="Numbered1111111">
    <w:name w:val="Numbered 1.1.1.1.1.1.1"/>
    <w:basedOn w:val="Heading7"/>
    <w:next w:val="Normal"/>
    <w:uiPriority w:val="2"/>
    <w:rsid w:val="00CA489E"/>
    <w:pPr>
      <w:numPr>
        <w:numId w:val="15"/>
      </w:numPr>
      <w:tabs>
        <w:tab w:val="left" w:pos="1701"/>
      </w:tabs>
      <w:ind w:left="1701" w:hanging="1701"/>
    </w:pPr>
  </w:style>
  <w:style w:type="paragraph" w:customStyle="1" w:styleId="Numbered11111111">
    <w:name w:val="Numbered 1.1.1.1.1.1.1.1"/>
    <w:basedOn w:val="Heading8"/>
    <w:next w:val="Normal"/>
    <w:uiPriority w:val="2"/>
    <w:rsid w:val="00CA489E"/>
    <w:pPr>
      <w:numPr>
        <w:ilvl w:val="0"/>
        <w:numId w:val="0"/>
      </w:numPr>
      <w:tabs>
        <w:tab w:val="left" w:pos="2041"/>
      </w:tabs>
      <w:ind w:left="2041" w:hanging="2041"/>
    </w:pPr>
  </w:style>
  <w:style w:type="table" w:styleId="TableGrid">
    <w:name w:val="Table Grid"/>
    <w:aliases w:val="ACCC Table"/>
    <w:basedOn w:val="TableNormal"/>
    <w:rsid w:val="00C53B5A"/>
    <w:pPr>
      <w:spacing w:before="60" w:after="60"/>
    </w:pPr>
    <w:rPr>
      <w:rFonts w:ascii="Arial" w:hAnsi="Arial"/>
      <w:sz w:val="20"/>
    </w:rPr>
    <w:tblPr>
      <w:tblBorders>
        <w:top w:val="single" w:sz="4" w:space="0" w:color="BFBFBF" w:themeColor="background1" w:themeShade="BF"/>
        <w:bottom w:val="single" w:sz="4" w:space="0" w:color="BFBFBF" w:themeColor="background1" w:themeShade="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4" w:space="0" w:color="BFBFBF" w:themeColor="background1" w:themeShade="BF"/>
          <w:left w:val="nil"/>
          <w:bottom w:val="single" w:sz="4" w:space="0" w:color="BFBFBF" w:themeColor="background1" w:themeShade="BF"/>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table" w:styleId="LightShading">
    <w:name w:val="Light Shading"/>
    <w:basedOn w:val="TableNormal"/>
    <w:uiPriority w:val="60"/>
    <w:rsid w:val="00C53B5A"/>
    <w:pPr>
      <w:spacing w:before="120" w:after="120"/>
    </w:pPr>
    <w:rPr>
      <w:sz w:val="20"/>
    </w:rPr>
    <w:tblPr>
      <w:tblBorders>
        <w:top w:val="single" w:sz="4" w:space="0" w:color="FFFFFF" w:themeColor="background2"/>
        <w:left w:val="single" w:sz="4" w:space="0" w:color="FFFFFF" w:themeColor="background2"/>
        <w:bottom w:val="single" w:sz="4" w:space="0" w:color="FFFFFF" w:themeColor="background2"/>
        <w:right w:val="single" w:sz="4" w:space="0" w:color="FFFFFF" w:themeColor="background2"/>
        <w:insideH w:val="single" w:sz="4" w:space="0" w:color="FFFFFF" w:themeColor="background2"/>
        <w:insideV w:val="single" w:sz="4" w:space="0" w:color="FFFFFF" w:themeColor="background2"/>
      </w:tblBorders>
    </w:tblPr>
    <w:tcPr>
      <w:shd w:val="clear" w:color="auto" w:fill="auto"/>
      <w:vAlign w:val="center"/>
    </w:tcPr>
    <w:tblStylePr w:type="firstRow">
      <w:pPr>
        <w:wordWrap/>
        <w:spacing w:beforeLines="0" w:before="120" w:beforeAutospacing="0" w:afterLines="0" w:after="120" w:afterAutospacing="0" w:line="240" w:lineRule="auto"/>
      </w:pPr>
      <w:rPr>
        <w:rFonts w:asciiTheme="minorHAnsi" w:hAnsiTheme="minorHAnsi"/>
        <w:b/>
        <w:bCs/>
        <w:sz w:val="20"/>
      </w:rPr>
      <w:tblPr/>
      <w:tcPr>
        <w:tcBorders>
          <w:top w:val="single" w:sz="4" w:space="0" w:color="FFFFFF" w:themeColor="background2"/>
          <w:left w:val="single" w:sz="4" w:space="0" w:color="FFFFFF" w:themeColor="background2"/>
          <w:bottom w:val="single" w:sz="4" w:space="0" w:color="FFFFFF" w:themeColor="background2"/>
          <w:right w:val="single" w:sz="4" w:space="0" w:color="FFFFFF" w:themeColor="background2"/>
          <w:insideH w:val="single" w:sz="4" w:space="0" w:color="FFFFFF" w:themeColor="background2"/>
          <w:insideV w:val="single" w:sz="4" w:space="0" w:color="FFFFFF" w:themeColor="background2"/>
        </w:tcBorders>
        <w:shd w:val="clear" w:color="auto" w:fill="auto"/>
      </w:tcPr>
    </w:tblStylePr>
    <w:tblStylePr w:type="lastRow">
      <w:pPr>
        <w:wordWrap/>
        <w:spacing w:beforeLines="0" w:before="120" w:beforeAutospacing="0" w:afterLines="0" w:after="120" w:afterAutospacing="0" w:line="240" w:lineRule="auto"/>
      </w:pPr>
      <w:rPr>
        <w:b/>
        <w:bCs/>
        <w:sz w:val="20"/>
      </w:rPr>
      <w:tblPr/>
      <w:tcPr>
        <w:tcBorders>
          <w:top w:val="single" w:sz="4" w:space="0" w:color="FFFFFF" w:themeColor="background2"/>
          <w:left w:val="single" w:sz="4" w:space="0" w:color="FFFFFF" w:themeColor="background2"/>
          <w:bottom w:val="single" w:sz="4" w:space="0" w:color="FFFFFF" w:themeColor="background2"/>
          <w:right w:val="single" w:sz="4" w:space="0" w:color="FFFFFF" w:themeColor="background2"/>
          <w:insideH w:val="single" w:sz="4" w:space="0" w:color="FFFFFF" w:themeColor="background2"/>
          <w:insideV w:val="single" w:sz="4" w:space="0" w:color="FFFFFF" w:themeColor="background2"/>
        </w:tcBorders>
      </w:tcPr>
    </w:tblStylePr>
    <w:tblStylePr w:type="firstCol">
      <w:rPr>
        <w:b/>
        <w:bCs/>
        <w:sz w:val="20"/>
      </w:rPr>
    </w:tblStylePr>
    <w:tblStylePr w:type="lastCol">
      <w:rPr>
        <w:b/>
        <w:bCs/>
      </w:rPr>
    </w:tblStylePr>
  </w:style>
  <w:style w:type="table" w:styleId="LightShading-Accent1">
    <w:name w:val="Light Shading Accent 1"/>
    <w:basedOn w:val="TableNormal"/>
    <w:uiPriority w:val="60"/>
    <w:rsid w:val="002010BC"/>
    <w:pPr>
      <w:spacing w:before="0"/>
    </w:pPr>
    <w:rPr>
      <w:color w:val="230023" w:themeColor="accent1" w:themeShade="BF"/>
    </w:rPr>
    <w:tblPr>
      <w:tblStyleRowBandSize w:val="1"/>
      <w:tblStyleColBandSize w:val="1"/>
      <w:tblBorders>
        <w:top w:val="single" w:sz="8" w:space="0" w:color="2F002F" w:themeColor="accent1"/>
        <w:bottom w:val="single" w:sz="8" w:space="0" w:color="2F002F" w:themeColor="accent1"/>
      </w:tblBorders>
    </w:tblPr>
    <w:tblStylePr w:type="firstRow">
      <w:pPr>
        <w:spacing w:before="0" w:after="0" w:line="240" w:lineRule="auto"/>
      </w:pPr>
      <w:rPr>
        <w:b/>
        <w:bCs/>
      </w:rPr>
      <w:tblPr/>
      <w:tcPr>
        <w:tcBorders>
          <w:top w:val="single" w:sz="8" w:space="0" w:color="2F002F" w:themeColor="accent1"/>
          <w:left w:val="nil"/>
          <w:bottom w:val="single" w:sz="8" w:space="0" w:color="2F002F" w:themeColor="accent1"/>
          <w:right w:val="nil"/>
          <w:insideH w:val="nil"/>
          <w:insideV w:val="nil"/>
        </w:tcBorders>
      </w:tcPr>
    </w:tblStylePr>
    <w:tblStylePr w:type="lastRow">
      <w:pPr>
        <w:spacing w:before="0" w:after="0" w:line="240" w:lineRule="auto"/>
      </w:pPr>
      <w:rPr>
        <w:b/>
        <w:bCs/>
      </w:rPr>
      <w:tblPr/>
      <w:tcPr>
        <w:tcBorders>
          <w:top w:val="single" w:sz="8" w:space="0" w:color="2F002F" w:themeColor="accent1"/>
          <w:left w:val="nil"/>
          <w:bottom w:val="single" w:sz="8" w:space="0" w:color="2F002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8CFF" w:themeFill="accent1" w:themeFillTint="3F"/>
      </w:tcPr>
    </w:tblStylePr>
    <w:tblStylePr w:type="band1Horz">
      <w:tblPr/>
      <w:tcPr>
        <w:tcBorders>
          <w:left w:val="nil"/>
          <w:right w:val="nil"/>
          <w:insideH w:val="nil"/>
          <w:insideV w:val="nil"/>
        </w:tcBorders>
        <w:shd w:val="clear" w:color="auto" w:fill="FF8CFF" w:themeFill="accent1" w:themeFillTint="3F"/>
      </w:tcPr>
    </w:tblStylePr>
  </w:style>
  <w:style w:type="table" w:styleId="LightShading-Accent2">
    <w:name w:val="Light Shading Accent 2"/>
    <w:basedOn w:val="TableNormal"/>
    <w:uiPriority w:val="60"/>
    <w:rsid w:val="00746E01"/>
    <w:pPr>
      <w:spacing w:before="0"/>
    </w:pPr>
    <w:rPr>
      <w:rFonts w:ascii="Arial" w:hAnsi="Arial"/>
      <w:color w:val="000000"/>
      <w14:textFill>
        <w14:solidFill>
          <w14:srgbClr w14:val="000000">
            <w14:lumMod w14:val="75000"/>
            <w14:lumOff w14:val="0"/>
          </w14:srgbClr>
        </w14:solidFill>
      </w14:textFill>
    </w:rPr>
    <w:tblPr>
      <w:tblBorders>
        <w:top w:val="single" w:sz="4" w:space="0" w:color="000000" w:themeColor="accent5"/>
        <w:left w:val="single" w:sz="4" w:space="0" w:color="000000" w:themeColor="accent5"/>
        <w:bottom w:val="single" w:sz="4" w:space="0" w:color="000000" w:themeColor="accent5"/>
        <w:right w:val="single" w:sz="4" w:space="0" w:color="000000" w:themeColor="accent5"/>
        <w:insideH w:val="single" w:sz="4" w:space="0" w:color="000000" w:themeColor="accent5"/>
        <w:insideV w:val="single" w:sz="4" w:space="0" w:color="000000" w:themeColor="accent5"/>
      </w:tblBorders>
    </w:tblPr>
    <w:tcPr>
      <w:vAlign w:val="center"/>
    </w:tcPr>
    <w:tblStylePr w:type="firstRow">
      <w:pPr>
        <w:spacing w:before="0" w:after="0" w:line="240" w:lineRule="auto"/>
      </w:pPr>
      <w:rPr>
        <w:b w:val="0"/>
        <w:bCs/>
      </w:rPr>
      <w:tblPr/>
      <w:tcPr>
        <w:tcBorders>
          <w:top w:val="single" w:sz="4" w:space="0" w:color="000000" w:themeColor="accent5"/>
          <w:left w:val="single" w:sz="4" w:space="0" w:color="000000" w:themeColor="accent5"/>
          <w:bottom w:val="single" w:sz="4" w:space="0" w:color="000000" w:themeColor="accent5"/>
          <w:right w:val="single" w:sz="4" w:space="0" w:color="000000" w:themeColor="accent5"/>
          <w:insideH w:val="single" w:sz="4" w:space="0" w:color="000000" w:themeColor="accent5"/>
          <w:insideV w:val="single" w:sz="4" w:space="0" w:color="000000" w:themeColor="accent5"/>
          <w:tl2br w:val="nil"/>
          <w:tr2bl w:val="nil"/>
        </w:tcBorders>
      </w:tcPr>
    </w:tblStylePr>
    <w:tblStylePr w:type="lastRow">
      <w:pPr>
        <w:spacing w:before="0" w:after="0" w:line="240" w:lineRule="auto"/>
      </w:pPr>
      <w:rPr>
        <w:b w:val="0"/>
        <w:bCs/>
      </w:rPr>
      <w:tblPr/>
      <w:tcPr>
        <w:tcBorders>
          <w:top w:val="single" w:sz="4" w:space="0" w:color="000000" w:themeColor="accent5"/>
          <w:left w:val="single" w:sz="4" w:space="0" w:color="000000" w:themeColor="accent5"/>
          <w:bottom w:val="single" w:sz="4" w:space="0" w:color="000000" w:themeColor="accent5"/>
          <w:right w:val="single" w:sz="4" w:space="0" w:color="000000" w:themeColor="accent5"/>
          <w:insideH w:val="single" w:sz="4" w:space="0" w:color="000000" w:themeColor="accent5"/>
          <w:insideV w:val="single" w:sz="4" w:space="0" w:color="000000" w:themeColor="accent5"/>
        </w:tcBorders>
      </w:tcPr>
    </w:tblStylePr>
    <w:tblStylePr w:type="firstCol">
      <w:rPr>
        <w:b w:val="0"/>
        <w:bCs/>
      </w:rPr>
    </w:tblStylePr>
    <w:tblStylePr w:type="lastCol">
      <w:rPr>
        <w:b w:val="0"/>
        <w:bCs/>
      </w:rPr>
    </w:tblStylePr>
  </w:style>
  <w:style w:type="table" w:styleId="LightShading-Accent3">
    <w:name w:val="Light Shading Accent 3"/>
    <w:basedOn w:val="TableNormal"/>
    <w:uiPriority w:val="60"/>
    <w:rsid w:val="00A871F4"/>
    <w:pPr>
      <w:spacing w:before="0"/>
    </w:pPr>
    <w:rPr>
      <w:color w:val="001747" w:themeColor="accent3" w:themeShade="BF"/>
    </w:rPr>
    <w:tblPr>
      <w:tblStyleRowBandSize w:val="1"/>
      <w:tblStyleColBandSize w:val="1"/>
      <w:tblBorders>
        <w:top w:val="single" w:sz="8" w:space="0" w:color="002060" w:themeColor="accent3"/>
        <w:bottom w:val="single" w:sz="8" w:space="0" w:color="002060" w:themeColor="accent3"/>
      </w:tblBorders>
    </w:tblPr>
    <w:tblStylePr w:type="firstRow">
      <w:pPr>
        <w:spacing w:before="0" w:after="0" w:line="240" w:lineRule="auto"/>
      </w:pPr>
      <w:rPr>
        <w:b/>
        <w:bCs/>
      </w:rPr>
      <w:tblPr/>
      <w:tcPr>
        <w:tcBorders>
          <w:top w:val="single" w:sz="8" w:space="0" w:color="002060" w:themeColor="accent3"/>
          <w:left w:val="nil"/>
          <w:bottom w:val="single" w:sz="8" w:space="0" w:color="002060" w:themeColor="accent3"/>
          <w:right w:val="nil"/>
          <w:insideH w:val="nil"/>
          <w:insideV w:val="nil"/>
        </w:tcBorders>
      </w:tcPr>
    </w:tblStylePr>
    <w:tblStylePr w:type="lastRow">
      <w:pPr>
        <w:spacing w:before="0" w:after="0" w:line="240" w:lineRule="auto"/>
      </w:pPr>
      <w:rPr>
        <w:b/>
        <w:bCs/>
      </w:rPr>
      <w:tblPr/>
      <w:tcPr>
        <w:tcBorders>
          <w:top w:val="single" w:sz="8" w:space="0" w:color="002060" w:themeColor="accent3"/>
          <w:left w:val="nil"/>
          <w:bottom w:val="single" w:sz="8" w:space="0" w:color="00206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8BAFF" w:themeFill="accent3" w:themeFillTint="3F"/>
      </w:tcPr>
    </w:tblStylePr>
    <w:tblStylePr w:type="band1Horz">
      <w:tblPr/>
      <w:tcPr>
        <w:tcBorders>
          <w:left w:val="nil"/>
          <w:right w:val="nil"/>
          <w:insideH w:val="nil"/>
          <w:insideV w:val="nil"/>
        </w:tcBorders>
        <w:shd w:val="clear" w:color="auto" w:fill="98BAFF" w:themeFill="accent3" w:themeFillTint="3F"/>
      </w:tcPr>
    </w:tblStylePr>
  </w:style>
  <w:style w:type="table" w:styleId="LightGrid-Accent6">
    <w:name w:val="Light Grid Accent 6"/>
    <w:basedOn w:val="TableNormal"/>
    <w:uiPriority w:val="62"/>
    <w:rsid w:val="00A871F4"/>
    <w:pPr>
      <w:spacing w:before="0"/>
    </w:pPr>
    <w:tblPr>
      <w:tblStyleRowBandSize w:val="1"/>
      <w:tblStyleColBandSize w:val="1"/>
      <w:tblBorders>
        <w:top w:val="single" w:sz="8" w:space="0" w:color="70303C" w:themeColor="accent6"/>
        <w:left w:val="single" w:sz="8" w:space="0" w:color="70303C" w:themeColor="accent6"/>
        <w:bottom w:val="single" w:sz="8" w:space="0" w:color="70303C" w:themeColor="accent6"/>
        <w:right w:val="single" w:sz="8" w:space="0" w:color="70303C" w:themeColor="accent6"/>
        <w:insideH w:val="single" w:sz="8" w:space="0" w:color="70303C" w:themeColor="accent6"/>
        <w:insideV w:val="single" w:sz="8" w:space="0" w:color="70303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303C" w:themeColor="accent6"/>
          <w:left w:val="single" w:sz="8" w:space="0" w:color="70303C" w:themeColor="accent6"/>
          <w:bottom w:val="single" w:sz="18" w:space="0" w:color="70303C" w:themeColor="accent6"/>
          <w:right w:val="single" w:sz="8" w:space="0" w:color="70303C" w:themeColor="accent6"/>
          <w:insideH w:val="nil"/>
          <w:insideV w:val="single" w:sz="8" w:space="0" w:color="70303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303C" w:themeColor="accent6"/>
          <w:left w:val="single" w:sz="8" w:space="0" w:color="70303C" w:themeColor="accent6"/>
          <w:bottom w:val="single" w:sz="8" w:space="0" w:color="70303C" w:themeColor="accent6"/>
          <w:right w:val="single" w:sz="8" w:space="0" w:color="70303C" w:themeColor="accent6"/>
          <w:insideH w:val="nil"/>
          <w:insideV w:val="single" w:sz="8" w:space="0" w:color="70303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303C" w:themeColor="accent6"/>
          <w:left w:val="single" w:sz="8" w:space="0" w:color="70303C" w:themeColor="accent6"/>
          <w:bottom w:val="single" w:sz="8" w:space="0" w:color="70303C" w:themeColor="accent6"/>
          <w:right w:val="single" w:sz="8" w:space="0" w:color="70303C" w:themeColor="accent6"/>
        </w:tcBorders>
      </w:tcPr>
    </w:tblStylePr>
    <w:tblStylePr w:type="band1Vert">
      <w:tblPr/>
      <w:tcPr>
        <w:tcBorders>
          <w:top w:val="single" w:sz="8" w:space="0" w:color="70303C" w:themeColor="accent6"/>
          <w:left w:val="single" w:sz="8" w:space="0" w:color="70303C" w:themeColor="accent6"/>
          <w:bottom w:val="single" w:sz="8" w:space="0" w:color="70303C" w:themeColor="accent6"/>
          <w:right w:val="single" w:sz="8" w:space="0" w:color="70303C" w:themeColor="accent6"/>
        </w:tcBorders>
        <w:shd w:val="clear" w:color="auto" w:fill="E5C2C8" w:themeFill="accent6" w:themeFillTint="3F"/>
      </w:tcPr>
    </w:tblStylePr>
    <w:tblStylePr w:type="band1Horz">
      <w:tblPr/>
      <w:tcPr>
        <w:tcBorders>
          <w:top w:val="single" w:sz="8" w:space="0" w:color="70303C" w:themeColor="accent6"/>
          <w:left w:val="single" w:sz="8" w:space="0" w:color="70303C" w:themeColor="accent6"/>
          <w:bottom w:val="single" w:sz="8" w:space="0" w:color="70303C" w:themeColor="accent6"/>
          <w:right w:val="single" w:sz="8" w:space="0" w:color="70303C" w:themeColor="accent6"/>
          <w:insideV w:val="single" w:sz="8" w:space="0" w:color="70303C" w:themeColor="accent6"/>
        </w:tcBorders>
        <w:shd w:val="clear" w:color="auto" w:fill="E5C2C8" w:themeFill="accent6" w:themeFillTint="3F"/>
      </w:tcPr>
    </w:tblStylePr>
    <w:tblStylePr w:type="band2Horz">
      <w:tblPr/>
      <w:tcPr>
        <w:tcBorders>
          <w:top w:val="single" w:sz="8" w:space="0" w:color="70303C" w:themeColor="accent6"/>
          <w:left w:val="single" w:sz="8" w:space="0" w:color="70303C" w:themeColor="accent6"/>
          <w:bottom w:val="single" w:sz="8" w:space="0" w:color="70303C" w:themeColor="accent6"/>
          <w:right w:val="single" w:sz="8" w:space="0" w:color="70303C" w:themeColor="accent6"/>
          <w:insideV w:val="single" w:sz="8" w:space="0" w:color="70303C" w:themeColor="accent6"/>
        </w:tcBorders>
      </w:tcPr>
    </w:tblStylePr>
  </w:style>
  <w:style w:type="table" w:styleId="MediumShading1">
    <w:name w:val="Medium Shading 1"/>
    <w:basedOn w:val="TableNormal"/>
    <w:uiPriority w:val="63"/>
    <w:rsid w:val="00A871F4"/>
    <w:pPr>
      <w:spacing w:before="0"/>
    </w:pPr>
    <w:tblPr>
      <w:tblStyleRowBandSize w:val="1"/>
      <w:tblStyleColBandSize w:val="1"/>
      <w:tblBorders>
        <w:top w:val="single" w:sz="8" w:space="0" w:color="0BA7E7" w:themeColor="text1" w:themeTint="BF"/>
        <w:left w:val="single" w:sz="8" w:space="0" w:color="0BA7E7" w:themeColor="text1" w:themeTint="BF"/>
        <w:bottom w:val="single" w:sz="8" w:space="0" w:color="0BA7E7" w:themeColor="text1" w:themeTint="BF"/>
        <w:right w:val="single" w:sz="8" w:space="0" w:color="0BA7E7" w:themeColor="text1" w:themeTint="BF"/>
        <w:insideH w:val="single" w:sz="8" w:space="0" w:color="0BA7E7" w:themeColor="text1" w:themeTint="BF"/>
      </w:tblBorders>
    </w:tblPr>
    <w:tblStylePr w:type="firstRow">
      <w:pPr>
        <w:spacing w:before="0" w:after="0" w:line="240" w:lineRule="auto"/>
      </w:pPr>
      <w:rPr>
        <w:b/>
        <w:bCs/>
        <w:color w:val="FFFFFF" w:themeColor="background1"/>
      </w:rPr>
      <w:tblPr/>
      <w:tcPr>
        <w:tcBorders>
          <w:top w:val="single" w:sz="8" w:space="0" w:color="0BA7E7" w:themeColor="text1" w:themeTint="BF"/>
          <w:left w:val="single" w:sz="8" w:space="0" w:color="0BA7E7" w:themeColor="text1" w:themeTint="BF"/>
          <w:bottom w:val="single" w:sz="8" w:space="0" w:color="0BA7E7" w:themeColor="text1" w:themeTint="BF"/>
          <w:right w:val="single" w:sz="8" w:space="0" w:color="0BA7E7" w:themeColor="text1" w:themeTint="BF"/>
          <w:insideH w:val="nil"/>
          <w:insideV w:val="nil"/>
        </w:tcBorders>
        <w:shd w:val="clear" w:color="auto" w:fill="076A92" w:themeFill="text1"/>
      </w:tcPr>
    </w:tblStylePr>
    <w:tblStylePr w:type="lastRow">
      <w:pPr>
        <w:spacing w:before="0" w:after="0" w:line="240" w:lineRule="auto"/>
      </w:pPr>
      <w:rPr>
        <w:b/>
        <w:bCs/>
      </w:rPr>
      <w:tblPr/>
      <w:tcPr>
        <w:tcBorders>
          <w:top w:val="double" w:sz="6" w:space="0" w:color="0BA7E7" w:themeColor="text1" w:themeTint="BF"/>
          <w:left w:val="single" w:sz="8" w:space="0" w:color="0BA7E7" w:themeColor="text1" w:themeTint="BF"/>
          <w:bottom w:val="single" w:sz="8" w:space="0" w:color="0BA7E7" w:themeColor="text1" w:themeTint="BF"/>
          <w:right w:val="single" w:sz="8" w:space="0" w:color="0BA7E7" w:themeColor="text1" w:themeTint="BF"/>
          <w:insideH w:val="nil"/>
          <w:insideV w:val="nil"/>
        </w:tcBorders>
      </w:tcPr>
    </w:tblStylePr>
    <w:tblStylePr w:type="firstCol">
      <w:rPr>
        <w:b/>
        <w:bCs/>
      </w:rPr>
    </w:tblStylePr>
    <w:tblStylePr w:type="lastCol">
      <w:rPr>
        <w:b/>
        <w:bCs/>
      </w:rPr>
    </w:tblStylePr>
    <w:tblStylePr w:type="band1Vert">
      <w:tblPr/>
      <w:tcPr>
        <w:shd w:val="clear" w:color="auto" w:fill="AAE3FB" w:themeFill="text1" w:themeFillTint="3F"/>
      </w:tcPr>
    </w:tblStylePr>
    <w:tblStylePr w:type="band1Horz">
      <w:tblPr/>
      <w:tcPr>
        <w:tcBorders>
          <w:insideH w:val="nil"/>
          <w:insideV w:val="nil"/>
        </w:tcBorders>
        <w:shd w:val="clear" w:color="auto" w:fill="AAE3FB"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871F4"/>
    <w:pPr>
      <w:spacing w:before="0"/>
    </w:pPr>
    <w:tblPr>
      <w:tblStyleRowBandSize w:val="1"/>
      <w:tblStyleColBandSize w:val="1"/>
      <w:tblBorders>
        <w:top w:val="single" w:sz="8" w:space="0" w:color="A300A3" w:themeColor="accent1" w:themeTint="BF"/>
        <w:left w:val="single" w:sz="8" w:space="0" w:color="A300A3" w:themeColor="accent1" w:themeTint="BF"/>
        <w:bottom w:val="single" w:sz="8" w:space="0" w:color="A300A3" w:themeColor="accent1" w:themeTint="BF"/>
        <w:right w:val="single" w:sz="8" w:space="0" w:color="A300A3" w:themeColor="accent1" w:themeTint="BF"/>
        <w:insideH w:val="single" w:sz="8" w:space="0" w:color="A300A3" w:themeColor="accent1" w:themeTint="BF"/>
      </w:tblBorders>
    </w:tblPr>
    <w:tblStylePr w:type="firstRow">
      <w:pPr>
        <w:spacing w:before="0" w:after="0" w:line="240" w:lineRule="auto"/>
      </w:pPr>
      <w:rPr>
        <w:b/>
        <w:bCs/>
        <w:color w:val="FFFFFF" w:themeColor="background1"/>
      </w:rPr>
      <w:tblPr/>
      <w:tcPr>
        <w:tcBorders>
          <w:top w:val="single" w:sz="8" w:space="0" w:color="A300A3" w:themeColor="accent1" w:themeTint="BF"/>
          <w:left w:val="single" w:sz="8" w:space="0" w:color="A300A3" w:themeColor="accent1" w:themeTint="BF"/>
          <w:bottom w:val="single" w:sz="8" w:space="0" w:color="A300A3" w:themeColor="accent1" w:themeTint="BF"/>
          <w:right w:val="single" w:sz="8" w:space="0" w:color="A300A3" w:themeColor="accent1" w:themeTint="BF"/>
          <w:insideH w:val="nil"/>
          <w:insideV w:val="nil"/>
        </w:tcBorders>
        <w:shd w:val="clear" w:color="auto" w:fill="2F002F" w:themeFill="accent1"/>
      </w:tcPr>
    </w:tblStylePr>
    <w:tblStylePr w:type="lastRow">
      <w:pPr>
        <w:spacing w:before="0" w:after="0" w:line="240" w:lineRule="auto"/>
      </w:pPr>
      <w:rPr>
        <w:b/>
        <w:bCs/>
      </w:rPr>
      <w:tblPr/>
      <w:tcPr>
        <w:tcBorders>
          <w:top w:val="double" w:sz="6" w:space="0" w:color="A300A3" w:themeColor="accent1" w:themeTint="BF"/>
          <w:left w:val="single" w:sz="8" w:space="0" w:color="A300A3" w:themeColor="accent1" w:themeTint="BF"/>
          <w:bottom w:val="single" w:sz="8" w:space="0" w:color="A300A3" w:themeColor="accent1" w:themeTint="BF"/>
          <w:right w:val="single" w:sz="8" w:space="0" w:color="A300A3"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8CFF" w:themeFill="accent1" w:themeFillTint="3F"/>
      </w:tcPr>
    </w:tblStylePr>
    <w:tblStylePr w:type="band1Horz">
      <w:tblPr/>
      <w:tcPr>
        <w:tcBorders>
          <w:insideH w:val="nil"/>
          <w:insideV w:val="nil"/>
        </w:tcBorders>
        <w:shd w:val="clear" w:color="auto" w:fill="FF8CFF"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A871F4"/>
    <w:pPr>
      <w:spacing w:before="0"/>
    </w:pPr>
    <w:tblPr>
      <w:tblStyleRowBandSize w:val="1"/>
      <w:tblStyleColBandSize w:val="1"/>
      <w:tblBorders>
        <w:top w:val="single" w:sz="8" w:space="0" w:color="FF7111" w:themeColor="accent2" w:themeTint="BF"/>
        <w:left w:val="single" w:sz="8" w:space="0" w:color="FF7111" w:themeColor="accent2" w:themeTint="BF"/>
        <w:bottom w:val="single" w:sz="8" w:space="0" w:color="FF7111" w:themeColor="accent2" w:themeTint="BF"/>
        <w:right w:val="single" w:sz="8" w:space="0" w:color="FF7111" w:themeColor="accent2" w:themeTint="BF"/>
        <w:insideH w:val="single" w:sz="8" w:space="0" w:color="FF7111" w:themeColor="accent2" w:themeTint="BF"/>
      </w:tblBorders>
    </w:tblPr>
    <w:tblStylePr w:type="firstRow">
      <w:pPr>
        <w:spacing w:before="0" w:after="0" w:line="240" w:lineRule="auto"/>
      </w:pPr>
      <w:rPr>
        <w:b/>
        <w:bCs/>
        <w:color w:val="FFFFFF" w:themeColor="background1"/>
      </w:rPr>
      <w:tblPr/>
      <w:tcPr>
        <w:tcBorders>
          <w:top w:val="single" w:sz="8" w:space="0" w:color="FF7111" w:themeColor="accent2" w:themeTint="BF"/>
          <w:left w:val="single" w:sz="8" w:space="0" w:color="FF7111" w:themeColor="accent2" w:themeTint="BF"/>
          <w:bottom w:val="single" w:sz="8" w:space="0" w:color="FF7111" w:themeColor="accent2" w:themeTint="BF"/>
          <w:right w:val="single" w:sz="8" w:space="0" w:color="FF7111" w:themeColor="accent2" w:themeTint="BF"/>
          <w:insideH w:val="nil"/>
          <w:insideV w:val="nil"/>
        </w:tcBorders>
        <w:shd w:val="clear" w:color="auto" w:fill="C14E00" w:themeFill="accent2"/>
      </w:tcPr>
    </w:tblStylePr>
    <w:tblStylePr w:type="lastRow">
      <w:pPr>
        <w:spacing w:before="0" w:after="0" w:line="240" w:lineRule="auto"/>
      </w:pPr>
      <w:rPr>
        <w:b/>
        <w:bCs/>
      </w:rPr>
      <w:tblPr/>
      <w:tcPr>
        <w:tcBorders>
          <w:top w:val="double" w:sz="6" w:space="0" w:color="FF7111" w:themeColor="accent2" w:themeTint="BF"/>
          <w:left w:val="single" w:sz="8" w:space="0" w:color="FF7111" w:themeColor="accent2" w:themeTint="BF"/>
          <w:bottom w:val="single" w:sz="8" w:space="0" w:color="FF7111" w:themeColor="accent2" w:themeTint="BF"/>
          <w:right w:val="single" w:sz="8" w:space="0" w:color="FF7111"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D0B0" w:themeFill="accent2" w:themeFillTint="3F"/>
      </w:tcPr>
    </w:tblStylePr>
    <w:tblStylePr w:type="band1Horz">
      <w:tblPr/>
      <w:tcPr>
        <w:tcBorders>
          <w:insideH w:val="nil"/>
          <w:insideV w:val="nil"/>
        </w:tcBorders>
        <w:shd w:val="clear" w:color="auto" w:fill="FFD0B0"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A871F4"/>
    <w:pPr>
      <w:spacing w:before="0"/>
    </w:pPr>
    <w:tblPr>
      <w:tblStyleRowBandSize w:val="1"/>
      <w:tblStyleColBandSize w:val="1"/>
      <w:tblBorders>
        <w:top w:val="single" w:sz="8" w:space="0" w:color="0042C7" w:themeColor="accent3" w:themeTint="BF"/>
        <w:left w:val="single" w:sz="8" w:space="0" w:color="0042C7" w:themeColor="accent3" w:themeTint="BF"/>
        <w:bottom w:val="single" w:sz="8" w:space="0" w:color="0042C7" w:themeColor="accent3" w:themeTint="BF"/>
        <w:right w:val="single" w:sz="8" w:space="0" w:color="0042C7" w:themeColor="accent3" w:themeTint="BF"/>
        <w:insideH w:val="single" w:sz="8" w:space="0" w:color="0042C7" w:themeColor="accent3" w:themeTint="BF"/>
      </w:tblBorders>
    </w:tblPr>
    <w:tblStylePr w:type="firstRow">
      <w:pPr>
        <w:spacing w:before="0" w:after="0" w:line="240" w:lineRule="auto"/>
      </w:pPr>
      <w:rPr>
        <w:b/>
        <w:bCs/>
        <w:color w:val="FFFFFF" w:themeColor="background1"/>
      </w:rPr>
      <w:tblPr/>
      <w:tcPr>
        <w:tcBorders>
          <w:top w:val="single" w:sz="8" w:space="0" w:color="0042C7" w:themeColor="accent3" w:themeTint="BF"/>
          <w:left w:val="single" w:sz="8" w:space="0" w:color="0042C7" w:themeColor="accent3" w:themeTint="BF"/>
          <w:bottom w:val="single" w:sz="8" w:space="0" w:color="0042C7" w:themeColor="accent3" w:themeTint="BF"/>
          <w:right w:val="single" w:sz="8" w:space="0" w:color="0042C7" w:themeColor="accent3" w:themeTint="BF"/>
          <w:insideH w:val="nil"/>
          <w:insideV w:val="nil"/>
        </w:tcBorders>
        <w:shd w:val="clear" w:color="auto" w:fill="002060" w:themeFill="accent3"/>
      </w:tcPr>
    </w:tblStylePr>
    <w:tblStylePr w:type="lastRow">
      <w:pPr>
        <w:spacing w:before="0" w:after="0" w:line="240" w:lineRule="auto"/>
      </w:pPr>
      <w:rPr>
        <w:b/>
        <w:bCs/>
      </w:rPr>
      <w:tblPr/>
      <w:tcPr>
        <w:tcBorders>
          <w:top w:val="double" w:sz="6" w:space="0" w:color="0042C7" w:themeColor="accent3" w:themeTint="BF"/>
          <w:left w:val="single" w:sz="8" w:space="0" w:color="0042C7" w:themeColor="accent3" w:themeTint="BF"/>
          <w:bottom w:val="single" w:sz="8" w:space="0" w:color="0042C7" w:themeColor="accent3" w:themeTint="BF"/>
          <w:right w:val="single" w:sz="8" w:space="0" w:color="0042C7" w:themeColor="accent3" w:themeTint="BF"/>
          <w:insideH w:val="nil"/>
          <w:insideV w:val="nil"/>
        </w:tcBorders>
      </w:tcPr>
    </w:tblStylePr>
    <w:tblStylePr w:type="firstCol">
      <w:rPr>
        <w:b/>
        <w:bCs/>
      </w:rPr>
    </w:tblStylePr>
    <w:tblStylePr w:type="lastCol">
      <w:rPr>
        <w:b/>
        <w:bCs/>
      </w:rPr>
    </w:tblStylePr>
    <w:tblStylePr w:type="band1Vert">
      <w:tblPr/>
      <w:tcPr>
        <w:shd w:val="clear" w:color="auto" w:fill="98BAFF" w:themeFill="accent3" w:themeFillTint="3F"/>
      </w:tcPr>
    </w:tblStylePr>
    <w:tblStylePr w:type="band1Horz">
      <w:tblPr/>
      <w:tcPr>
        <w:tcBorders>
          <w:insideH w:val="nil"/>
          <w:insideV w:val="nil"/>
        </w:tcBorders>
        <w:shd w:val="clear" w:color="auto" w:fill="98BA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A871F4"/>
    <w:pPr>
      <w:spacing w:before="0"/>
    </w:pPr>
    <w:tblPr>
      <w:tblStyleRowBandSize w:val="1"/>
      <w:tblStyleColBandSize w:val="1"/>
      <w:tblBorders>
        <w:top w:val="single" w:sz="8" w:space="0" w:color="FF1010" w:themeColor="accent4" w:themeTint="BF"/>
        <w:left w:val="single" w:sz="8" w:space="0" w:color="FF1010" w:themeColor="accent4" w:themeTint="BF"/>
        <w:bottom w:val="single" w:sz="8" w:space="0" w:color="FF1010" w:themeColor="accent4" w:themeTint="BF"/>
        <w:right w:val="single" w:sz="8" w:space="0" w:color="FF1010" w:themeColor="accent4" w:themeTint="BF"/>
        <w:insideH w:val="single" w:sz="8" w:space="0" w:color="FF1010" w:themeColor="accent4" w:themeTint="BF"/>
      </w:tblBorders>
    </w:tblPr>
    <w:tblStylePr w:type="firstRow">
      <w:pPr>
        <w:spacing w:before="0" w:after="0" w:line="240" w:lineRule="auto"/>
      </w:pPr>
      <w:rPr>
        <w:b/>
        <w:bCs/>
        <w:color w:val="FFFFFF" w:themeColor="background1"/>
      </w:rPr>
      <w:tblPr/>
      <w:tcPr>
        <w:tcBorders>
          <w:top w:val="single" w:sz="8" w:space="0" w:color="FF1010" w:themeColor="accent4" w:themeTint="BF"/>
          <w:left w:val="single" w:sz="8" w:space="0" w:color="FF1010" w:themeColor="accent4" w:themeTint="BF"/>
          <w:bottom w:val="single" w:sz="8" w:space="0" w:color="FF1010" w:themeColor="accent4" w:themeTint="BF"/>
          <w:right w:val="single" w:sz="8" w:space="0" w:color="FF1010" w:themeColor="accent4" w:themeTint="BF"/>
          <w:insideH w:val="nil"/>
          <w:insideV w:val="nil"/>
        </w:tcBorders>
        <w:shd w:val="clear" w:color="auto" w:fill="C00000" w:themeFill="accent4"/>
      </w:tcPr>
    </w:tblStylePr>
    <w:tblStylePr w:type="lastRow">
      <w:pPr>
        <w:spacing w:before="0" w:after="0" w:line="240" w:lineRule="auto"/>
      </w:pPr>
      <w:rPr>
        <w:b/>
        <w:bCs/>
      </w:rPr>
      <w:tblPr/>
      <w:tcPr>
        <w:tcBorders>
          <w:top w:val="double" w:sz="6" w:space="0" w:color="FF1010" w:themeColor="accent4" w:themeTint="BF"/>
          <w:left w:val="single" w:sz="8" w:space="0" w:color="FF1010" w:themeColor="accent4" w:themeTint="BF"/>
          <w:bottom w:val="single" w:sz="8" w:space="0" w:color="FF1010" w:themeColor="accent4" w:themeTint="BF"/>
          <w:right w:val="single" w:sz="8" w:space="0" w:color="FF101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4" w:themeFillTint="3F"/>
      </w:tcPr>
    </w:tblStylePr>
    <w:tblStylePr w:type="band1Horz">
      <w:tblPr/>
      <w:tcPr>
        <w:tcBorders>
          <w:insideH w:val="nil"/>
          <w:insideV w:val="nil"/>
        </w:tcBorders>
        <w:shd w:val="clear" w:color="auto" w:fill="FFB0B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A871F4"/>
    <w:pPr>
      <w:spacing w:before="0"/>
    </w:pPr>
    <w:tblPr>
      <w:tblStyleRowBandSize w:val="1"/>
      <w:tblStyleColBandSize w:val="1"/>
      <w:tblBorders>
        <w:top w:val="single" w:sz="8" w:space="0" w:color="404040" w:themeColor="accent5" w:themeTint="BF"/>
        <w:left w:val="single" w:sz="8" w:space="0" w:color="404040" w:themeColor="accent5" w:themeTint="BF"/>
        <w:bottom w:val="single" w:sz="8" w:space="0" w:color="404040" w:themeColor="accent5" w:themeTint="BF"/>
        <w:right w:val="single" w:sz="8" w:space="0" w:color="404040" w:themeColor="accent5" w:themeTint="BF"/>
        <w:insideH w:val="single" w:sz="8" w:space="0" w:color="404040" w:themeColor="accent5" w:themeTint="BF"/>
      </w:tblBorders>
    </w:tblPr>
    <w:tblStylePr w:type="firstRow">
      <w:pPr>
        <w:spacing w:before="0" w:after="0" w:line="240" w:lineRule="auto"/>
      </w:pPr>
      <w:rPr>
        <w:b/>
        <w:bCs/>
        <w:color w:val="FFFFFF" w:themeColor="background1"/>
      </w:rPr>
      <w:tblPr/>
      <w:tcPr>
        <w:tcBorders>
          <w:top w:val="single" w:sz="8" w:space="0" w:color="404040" w:themeColor="accent5" w:themeTint="BF"/>
          <w:left w:val="single" w:sz="8" w:space="0" w:color="404040" w:themeColor="accent5" w:themeTint="BF"/>
          <w:bottom w:val="single" w:sz="8" w:space="0" w:color="404040" w:themeColor="accent5" w:themeTint="BF"/>
          <w:right w:val="single" w:sz="8" w:space="0" w:color="404040" w:themeColor="accent5" w:themeTint="BF"/>
          <w:insideH w:val="nil"/>
          <w:insideV w:val="nil"/>
        </w:tcBorders>
        <w:shd w:val="clear" w:color="auto" w:fill="000000" w:themeFill="accent5"/>
      </w:tcPr>
    </w:tblStylePr>
    <w:tblStylePr w:type="lastRow">
      <w:pPr>
        <w:spacing w:before="0" w:after="0" w:line="240" w:lineRule="auto"/>
      </w:pPr>
      <w:rPr>
        <w:b/>
        <w:bCs/>
      </w:rPr>
      <w:tblPr/>
      <w:tcPr>
        <w:tcBorders>
          <w:top w:val="double" w:sz="6" w:space="0" w:color="404040" w:themeColor="accent5" w:themeTint="BF"/>
          <w:left w:val="single" w:sz="8" w:space="0" w:color="404040" w:themeColor="accent5" w:themeTint="BF"/>
          <w:bottom w:val="single" w:sz="8" w:space="0" w:color="404040" w:themeColor="accent5" w:themeTint="BF"/>
          <w:right w:val="single" w:sz="8" w:space="0" w:color="404040" w:themeColor="accent5" w:themeTint="BF"/>
          <w:insideH w:val="nil"/>
          <w:insideV w:val="nil"/>
        </w:tcBorders>
      </w:tcPr>
    </w:tblStylePr>
    <w:tblStylePr w:type="firstCol">
      <w:rPr>
        <w:b/>
        <w:bCs/>
      </w:rPr>
    </w:tblStylePr>
    <w:tblStylePr w:type="lastCol">
      <w:rPr>
        <w:b/>
        <w:bCs/>
      </w:rPr>
    </w:tblStylePr>
    <w:tblStylePr w:type="band1Vert">
      <w:tblPr/>
      <w:tcPr>
        <w:shd w:val="clear" w:color="auto" w:fill="C0C0C0" w:themeFill="accent5" w:themeFillTint="3F"/>
      </w:tcPr>
    </w:tblStylePr>
    <w:tblStylePr w:type="band1Horz">
      <w:tblPr/>
      <w:tcPr>
        <w:tcBorders>
          <w:insideH w:val="nil"/>
          <w:insideV w:val="nil"/>
        </w:tcBorders>
        <w:shd w:val="clear" w:color="auto" w:fill="C0C0C0" w:themeFill="accent5" w:themeFillTint="3F"/>
      </w:tcPr>
    </w:tblStylePr>
    <w:tblStylePr w:type="band2Horz">
      <w:tblPr/>
      <w:tcPr>
        <w:tcBorders>
          <w:insideH w:val="nil"/>
          <w:insideV w:val="nil"/>
        </w:tcBorders>
      </w:tcPr>
    </w:tblStylePr>
  </w:style>
  <w:style w:type="table" w:styleId="LightList">
    <w:name w:val="Light List"/>
    <w:basedOn w:val="TableNormal"/>
    <w:uiPriority w:val="61"/>
    <w:rsid w:val="00A871F4"/>
    <w:pPr>
      <w:spacing w:before="0"/>
    </w:pPr>
    <w:tblPr>
      <w:tblStyleRowBandSize w:val="1"/>
      <w:tblStyleColBandSize w:val="1"/>
      <w:tblBorders>
        <w:top w:val="single" w:sz="8" w:space="0" w:color="076A92" w:themeColor="text1"/>
        <w:left w:val="single" w:sz="8" w:space="0" w:color="076A92" w:themeColor="text1"/>
        <w:bottom w:val="single" w:sz="8" w:space="0" w:color="076A92" w:themeColor="text1"/>
        <w:right w:val="single" w:sz="8" w:space="0" w:color="076A92" w:themeColor="text1"/>
      </w:tblBorders>
    </w:tblPr>
    <w:tblStylePr w:type="firstRow">
      <w:pPr>
        <w:spacing w:before="0" w:after="0" w:line="240" w:lineRule="auto"/>
      </w:pPr>
      <w:rPr>
        <w:b/>
        <w:bCs/>
        <w:color w:val="FFFFFF" w:themeColor="background1"/>
      </w:rPr>
      <w:tblPr/>
      <w:tcPr>
        <w:shd w:val="clear" w:color="auto" w:fill="076A92" w:themeFill="text1"/>
      </w:tcPr>
    </w:tblStylePr>
    <w:tblStylePr w:type="lastRow">
      <w:pPr>
        <w:spacing w:before="0" w:after="0" w:line="240" w:lineRule="auto"/>
      </w:pPr>
      <w:rPr>
        <w:b/>
        <w:bCs/>
      </w:rPr>
      <w:tblPr/>
      <w:tcPr>
        <w:tcBorders>
          <w:top w:val="double" w:sz="6" w:space="0" w:color="076A92" w:themeColor="text1"/>
          <w:left w:val="single" w:sz="8" w:space="0" w:color="076A92" w:themeColor="text1"/>
          <w:bottom w:val="single" w:sz="8" w:space="0" w:color="076A92" w:themeColor="text1"/>
          <w:right w:val="single" w:sz="8" w:space="0" w:color="076A92" w:themeColor="text1"/>
        </w:tcBorders>
      </w:tcPr>
    </w:tblStylePr>
    <w:tblStylePr w:type="firstCol">
      <w:rPr>
        <w:b/>
        <w:bCs/>
      </w:rPr>
    </w:tblStylePr>
    <w:tblStylePr w:type="lastCol">
      <w:rPr>
        <w:b/>
        <w:bCs/>
      </w:rPr>
    </w:tblStylePr>
    <w:tblStylePr w:type="band1Vert">
      <w:tblPr/>
      <w:tcPr>
        <w:tcBorders>
          <w:top w:val="single" w:sz="8" w:space="0" w:color="076A92" w:themeColor="text1"/>
          <w:left w:val="single" w:sz="8" w:space="0" w:color="076A92" w:themeColor="text1"/>
          <w:bottom w:val="single" w:sz="8" w:space="0" w:color="076A92" w:themeColor="text1"/>
          <w:right w:val="single" w:sz="8" w:space="0" w:color="076A92" w:themeColor="text1"/>
        </w:tcBorders>
      </w:tcPr>
    </w:tblStylePr>
    <w:tblStylePr w:type="band1Horz">
      <w:tblPr/>
      <w:tcPr>
        <w:tcBorders>
          <w:top w:val="single" w:sz="8" w:space="0" w:color="076A92" w:themeColor="text1"/>
          <w:left w:val="single" w:sz="8" w:space="0" w:color="076A92" w:themeColor="text1"/>
          <w:bottom w:val="single" w:sz="8" w:space="0" w:color="076A92" w:themeColor="text1"/>
          <w:right w:val="single" w:sz="8" w:space="0" w:color="076A92" w:themeColor="text1"/>
        </w:tcBorders>
      </w:tcPr>
    </w:tblStylePr>
  </w:style>
  <w:style w:type="table" w:styleId="LightShading-Accent5">
    <w:name w:val="Light Shading Accent 5"/>
    <w:basedOn w:val="TableNormal"/>
    <w:uiPriority w:val="60"/>
    <w:rsid w:val="00A871F4"/>
    <w:pPr>
      <w:spacing w:before="0"/>
    </w:pPr>
    <w:rPr>
      <w:color w:val="000000" w:themeColor="accent5" w:themeShade="BF"/>
    </w:rPr>
    <w:tblPr>
      <w:tblStyleRowBandSize w:val="1"/>
      <w:tblStyleColBandSize w:val="1"/>
      <w:tblBorders>
        <w:top w:val="single" w:sz="8" w:space="0" w:color="000000" w:themeColor="accent5"/>
        <w:bottom w:val="single" w:sz="8" w:space="0" w:color="000000" w:themeColor="accent5"/>
      </w:tblBorders>
    </w:tblPr>
    <w:tblStylePr w:type="firstRow">
      <w:pPr>
        <w:spacing w:before="0" w:after="0" w:line="240" w:lineRule="auto"/>
      </w:pPr>
      <w:rPr>
        <w:b/>
        <w:bCs/>
      </w:rPr>
      <w:tblPr/>
      <w:tcPr>
        <w:tcBorders>
          <w:top w:val="single" w:sz="8" w:space="0" w:color="000000" w:themeColor="accent5"/>
          <w:left w:val="nil"/>
          <w:bottom w:val="single" w:sz="8" w:space="0" w:color="000000" w:themeColor="accent5"/>
          <w:right w:val="nil"/>
          <w:insideH w:val="nil"/>
          <w:insideV w:val="nil"/>
        </w:tcBorders>
      </w:tcPr>
    </w:tblStylePr>
    <w:tblStylePr w:type="lastRow">
      <w:pPr>
        <w:spacing w:before="0" w:after="0" w:line="240" w:lineRule="auto"/>
      </w:pPr>
      <w:rPr>
        <w:b/>
        <w:bCs/>
      </w:rPr>
      <w:tblPr/>
      <w:tcPr>
        <w:tcBorders>
          <w:top w:val="single" w:sz="8" w:space="0" w:color="000000" w:themeColor="accent5"/>
          <w:left w:val="nil"/>
          <w:bottom w:val="single" w:sz="8" w:space="0" w:color="00000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accent5" w:themeFillTint="3F"/>
      </w:tcPr>
    </w:tblStylePr>
    <w:tblStylePr w:type="band1Horz">
      <w:tblPr/>
      <w:tcPr>
        <w:tcBorders>
          <w:left w:val="nil"/>
          <w:right w:val="nil"/>
          <w:insideH w:val="nil"/>
          <w:insideV w:val="nil"/>
        </w:tcBorders>
        <w:shd w:val="clear" w:color="auto" w:fill="C0C0C0" w:themeFill="accent5" w:themeFillTint="3F"/>
      </w:tcPr>
    </w:tblStylePr>
  </w:style>
  <w:style w:type="table" w:styleId="LightGrid-Accent3">
    <w:name w:val="Light Grid Accent 3"/>
    <w:basedOn w:val="TableNormal"/>
    <w:uiPriority w:val="62"/>
    <w:rsid w:val="00A871F4"/>
    <w:pPr>
      <w:spacing w:before="0"/>
    </w:pPr>
    <w:tblPr>
      <w:tblStyleRowBandSize w:val="1"/>
      <w:tblStyleColBandSize w:val="1"/>
      <w:tblBorders>
        <w:top w:val="single" w:sz="8" w:space="0" w:color="002060" w:themeColor="accent3"/>
        <w:left w:val="single" w:sz="8" w:space="0" w:color="002060" w:themeColor="accent3"/>
        <w:bottom w:val="single" w:sz="8" w:space="0" w:color="002060" w:themeColor="accent3"/>
        <w:right w:val="single" w:sz="8" w:space="0" w:color="002060" w:themeColor="accent3"/>
        <w:insideH w:val="single" w:sz="8" w:space="0" w:color="002060" w:themeColor="accent3"/>
        <w:insideV w:val="single" w:sz="8" w:space="0" w:color="00206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2060" w:themeColor="accent3"/>
          <w:left w:val="single" w:sz="8" w:space="0" w:color="002060" w:themeColor="accent3"/>
          <w:bottom w:val="single" w:sz="18" w:space="0" w:color="002060" w:themeColor="accent3"/>
          <w:right w:val="single" w:sz="8" w:space="0" w:color="002060" w:themeColor="accent3"/>
          <w:insideH w:val="nil"/>
          <w:insideV w:val="single" w:sz="8" w:space="0" w:color="00206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2060" w:themeColor="accent3"/>
          <w:left w:val="single" w:sz="8" w:space="0" w:color="002060" w:themeColor="accent3"/>
          <w:bottom w:val="single" w:sz="8" w:space="0" w:color="002060" w:themeColor="accent3"/>
          <w:right w:val="single" w:sz="8" w:space="0" w:color="002060" w:themeColor="accent3"/>
          <w:insideH w:val="nil"/>
          <w:insideV w:val="single" w:sz="8" w:space="0" w:color="00206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2060" w:themeColor="accent3"/>
          <w:left w:val="single" w:sz="8" w:space="0" w:color="002060" w:themeColor="accent3"/>
          <w:bottom w:val="single" w:sz="8" w:space="0" w:color="002060" w:themeColor="accent3"/>
          <w:right w:val="single" w:sz="8" w:space="0" w:color="002060" w:themeColor="accent3"/>
        </w:tcBorders>
      </w:tcPr>
    </w:tblStylePr>
    <w:tblStylePr w:type="band1Vert">
      <w:tblPr/>
      <w:tcPr>
        <w:tcBorders>
          <w:top w:val="single" w:sz="8" w:space="0" w:color="002060" w:themeColor="accent3"/>
          <w:left w:val="single" w:sz="8" w:space="0" w:color="002060" w:themeColor="accent3"/>
          <w:bottom w:val="single" w:sz="8" w:space="0" w:color="002060" w:themeColor="accent3"/>
          <w:right w:val="single" w:sz="8" w:space="0" w:color="002060" w:themeColor="accent3"/>
        </w:tcBorders>
        <w:shd w:val="clear" w:color="auto" w:fill="98BAFF" w:themeFill="accent3" w:themeFillTint="3F"/>
      </w:tcPr>
    </w:tblStylePr>
    <w:tblStylePr w:type="band1Horz">
      <w:tblPr/>
      <w:tcPr>
        <w:tcBorders>
          <w:top w:val="single" w:sz="8" w:space="0" w:color="002060" w:themeColor="accent3"/>
          <w:left w:val="single" w:sz="8" w:space="0" w:color="002060" w:themeColor="accent3"/>
          <w:bottom w:val="single" w:sz="8" w:space="0" w:color="002060" w:themeColor="accent3"/>
          <w:right w:val="single" w:sz="8" w:space="0" w:color="002060" w:themeColor="accent3"/>
          <w:insideV w:val="single" w:sz="8" w:space="0" w:color="002060" w:themeColor="accent3"/>
        </w:tcBorders>
        <w:shd w:val="clear" w:color="auto" w:fill="98BAFF" w:themeFill="accent3" w:themeFillTint="3F"/>
      </w:tcPr>
    </w:tblStylePr>
    <w:tblStylePr w:type="band2Horz">
      <w:tblPr/>
      <w:tcPr>
        <w:tcBorders>
          <w:top w:val="single" w:sz="8" w:space="0" w:color="002060" w:themeColor="accent3"/>
          <w:left w:val="single" w:sz="8" w:space="0" w:color="002060" w:themeColor="accent3"/>
          <w:bottom w:val="single" w:sz="8" w:space="0" w:color="002060" w:themeColor="accent3"/>
          <w:right w:val="single" w:sz="8" w:space="0" w:color="002060" w:themeColor="accent3"/>
          <w:insideV w:val="single" w:sz="8" w:space="0" w:color="002060" w:themeColor="accent3"/>
        </w:tcBorders>
      </w:tcPr>
    </w:tblStylePr>
  </w:style>
  <w:style w:type="paragraph" w:styleId="Bibliography">
    <w:name w:val="Bibliography"/>
    <w:basedOn w:val="Normal"/>
    <w:next w:val="Normal"/>
    <w:uiPriority w:val="37"/>
    <w:semiHidden/>
    <w:rsid w:val="00EE28F3"/>
  </w:style>
  <w:style w:type="paragraph" w:styleId="BodyText3">
    <w:name w:val="Body Text 3"/>
    <w:basedOn w:val="Normal"/>
    <w:link w:val="BodyText3Char"/>
    <w:unhideWhenUsed/>
    <w:rsid w:val="005C26CC"/>
    <w:pPr>
      <w:spacing w:after="120"/>
    </w:pPr>
    <w:rPr>
      <w:szCs w:val="16"/>
    </w:rPr>
  </w:style>
  <w:style w:type="character" w:customStyle="1" w:styleId="BodyText3Char">
    <w:name w:val="Body Text 3 Char"/>
    <w:basedOn w:val="DefaultParagraphFont"/>
    <w:link w:val="BodyText3"/>
    <w:uiPriority w:val="99"/>
    <w:rsid w:val="005C26CC"/>
    <w:rPr>
      <w:rFonts w:ascii="Arial" w:hAnsi="Arial"/>
      <w:szCs w:val="16"/>
    </w:rPr>
  </w:style>
  <w:style w:type="paragraph" w:styleId="TOC1">
    <w:name w:val="toc 1"/>
    <w:basedOn w:val="Normal"/>
    <w:next w:val="Normal"/>
    <w:autoRedefine/>
    <w:uiPriority w:val="39"/>
    <w:qFormat/>
    <w:rsid w:val="005B704A"/>
    <w:pPr>
      <w:tabs>
        <w:tab w:val="left" w:pos="426"/>
        <w:tab w:val="right" w:leader="dot" w:pos="8364"/>
      </w:tabs>
      <w:spacing w:after="100"/>
    </w:pPr>
    <w:rPr>
      <w:b/>
      <w:noProof/>
      <w:color w:val="70635A" w:themeColor="text2"/>
      <w:sz w:val="24"/>
      <w:lang w:val="en-US" w:eastAsia="ja-JP"/>
    </w:rPr>
  </w:style>
  <w:style w:type="paragraph" w:styleId="TOC2">
    <w:name w:val="toc 2"/>
    <w:basedOn w:val="Normal"/>
    <w:next w:val="Normal"/>
    <w:uiPriority w:val="39"/>
    <w:qFormat/>
    <w:rsid w:val="005D7BA2"/>
    <w:pPr>
      <w:tabs>
        <w:tab w:val="left" w:pos="880"/>
        <w:tab w:val="right" w:leader="dot" w:pos="8363"/>
      </w:tabs>
      <w:spacing w:after="100"/>
      <w:ind w:left="425"/>
    </w:pPr>
    <w:rPr>
      <w:b/>
      <w:noProof/>
      <w:color w:val="70635A" w:themeColor="text2"/>
      <w:sz w:val="24"/>
    </w:rPr>
  </w:style>
  <w:style w:type="paragraph" w:styleId="TOC3">
    <w:name w:val="toc 3"/>
    <w:basedOn w:val="Normal"/>
    <w:next w:val="Normal"/>
    <w:uiPriority w:val="39"/>
    <w:qFormat/>
    <w:rsid w:val="005D7BA2"/>
    <w:pPr>
      <w:tabs>
        <w:tab w:val="left" w:pos="1760"/>
        <w:tab w:val="right" w:leader="dot" w:pos="8363"/>
      </w:tabs>
      <w:spacing w:after="100"/>
      <w:ind w:left="851"/>
    </w:pPr>
    <w:rPr>
      <w:noProof/>
    </w:rPr>
  </w:style>
  <w:style w:type="paragraph" w:styleId="Title">
    <w:name w:val="Title"/>
    <w:basedOn w:val="Normal"/>
    <w:next w:val="Normal"/>
    <w:link w:val="TitleChar"/>
    <w:qFormat/>
    <w:rsid w:val="00174102"/>
    <w:pPr>
      <w:spacing w:before="720" w:after="120"/>
      <w:contextualSpacing/>
      <w:outlineLvl w:val="0"/>
    </w:pPr>
    <w:rPr>
      <w:rFonts w:asciiTheme="majorHAnsi" w:eastAsiaTheme="majorEastAsia" w:hAnsiTheme="majorHAnsi" w:cstheme="majorBidi"/>
      <w:color w:val="C14E00" w:themeColor="accent2"/>
      <w:spacing w:val="5"/>
      <w:kern w:val="28"/>
      <w:sz w:val="72"/>
      <w:szCs w:val="52"/>
    </w:rPr>
  </w:style>
  <w:style w:type="character" w:customStyle="1" w:styleId="TitleChar">
    <w:name w:val="Title Char"/>
    <w:basedOn w:val="DefaultParagraphFont"/>
    <w:link w:val="Title"/>
    <w:uiPriority w:val="10"/>
    <w:rsid w:val="00174102"/>
    <w:rPr>
      <w:rFonts w:asciiTheme="majorHAnsi" w:eastAsiaTheme="majorEastAsia" w:hAnsiTheme="majorHAnsi" w:cstheme="majorBidi"/>
      <w:color w:val="C14E00" w:themeColor="accent2"/>
      <w:spacing w:val="5"/>
      <w:kern w:val="28"/>
      <w:sz w:val="72"/>
      <w:szCs w:val="52"/>
    </w:rPr>
  </w:style>
  <w:style w:type="character" w:styleId="BookTitle">
    <w:name w:val="Book Title"/>
    <w:uiPriority w:val="33"/>
    <w:rsid w:val="0081034E"/>
    <w:rPr>
      <w:rFonts w:ascii="Arial" w:hAnsi="Arial"/>
      <w:bCs/>
      <w:i/>
      <w:caps w:val="0"/>
      <w:smallCaps w:val="0"/>
      <w:spacing w:val="0"/>
      <w:sz w:val="22"/>
    </w:rPr>
  </w:style>
  <w:style w:type="table" w:styleId="LightList-Accent1">
    <w:name w:val="Light List Accent 1"/>
    <w:basedOn w:val="TableNormal"/>
    <w:uiPriority w:val="61"/>
    <w:rsid w:val="0081034E"/>
    <w:pPr>
      <w:spacing w:before="0"/>
    </w:pPr>
    <w:tblPr>
      <w:tblStyleRowBandSize w:val="1"/>
      <w:tblStyleColBandSize w:val="1"/>
      <w:tblBorders>
        <w:top w:val="single" w:sz="8" w:space="0" w:color="2F002F" w:themeColor="accent1"/>
        <w:left w:val="single" w:sz="8" w:space="0" w:color="2F002F" w:themeColor="accent1"/>
        <w:bottom w:val="single" w:sz="8" w:space="0" w:color="2F002F" w:themeColor="accent1"/>
        <w:right w:val="single" w:sz="8" w:space="0" w:color="2F002F" w:themeColor="accent1"/>
      </w:tblBorders>
    </w:tblPr>
    <w:tblStylePr w:type="firstRow">
      <w:pPr>
        <w:spacing w:before="0" w:after="0" w:line="240" w:lineRule="auto"/>
      </w:pPr>
      <w:rPr>
        <w:b/>
        <w:bCs/>
        <w:color w:val="FFFFFF" w:themeColor="background1"/>
      </w:rPr>
      <w:tblPr/>
      <w:tcPr>
        <w:shd w:val="clear" w:color="auto" w:fill="2F002F" w:themeFill="accent1"/>
      </w:tcPr>
    </w:tblStylePr>
    <w:tblStylePr w:type="lastRow">
      <w:pPr>
        <w:spacing w:before="0" w:after="0" w:line="240" w:lineRule="auto"/>
      </w:pPr>
      <w:rPr>
        <w:b/>
        <w:bCs/>
      </w:rPr>
      <w:tblPr/>
      <w:tcPr>
        <w:tcBorders>
          <w:top w:val="double" w:sz="6" w:space="0" w:color="2F002F" w:themeColor="accent1"/>
          <w:left w:val="single" w:sz="8" w:space="0" w:color="2F002F" w:themeColor="accent1"/>
          <w:bottom w:val="single" w:sz="8" w:space="0" w:color="2F002F" w:themeColor="accent1"/>
          <w:right w:val="single" w:sz="8" w:space="0" w:color="2F002F" w:themeColor="accent1"/>
        </w:tcBorders>
      </w:tcPr>
    </w:tblStylePr>
    <w:tblStylePr w:type="firstCol">
      <w:rPr>
        <w:b/>
        <w:bCs/>
      </w:rPr>
    </w:tblStylePr>
    <w:tblStylePr w:type="lastCol">
      <w:rPr>
        <w:b/>
        <w:bCs/>
      </w:rPr>
    </w:tblStylePr>
    <w:tblStylePr w:type="band1Vert">
      <w:tblPr/>
      <w:tcPr>
        <w:tcBorders>
          <w:top w:val="single" w:sz="8" w:space="0" w:color="2F002F" w:themeColor="accent1"/>
          <w:left w:val="single" w:sz="8" w:space="0" w:color="2F002F" w:themeColor="accent1"/>
          <w:bottom w:val="single" w:sz="8" w:space="0" w:color="2F002F" w:themeColor="accent1"/>
          <w:right w:val="single" w:sz="8" w:space="0" w:color="2F002F" w:themeColor="accent1"/>
        </w:tcBorders>
      </w:tcPr>
    </w:tblStylePr>
    <w:tblStylePr w:type="band1Horz">
      <w:tblPr/>
      <w:tcPr>
        <w:tcBorders>
          <w:top w:val="single" w:sz="8" w:space="0" w:color="2F002F" w:themeColor="accent1"/>
          <w:left w:val="single" w:sz="8" w:space="0" w:color="2F002F" w:themeColor="accent1"/>
          <w:bottom w:val="single" w:sz="8" w:space="0" w:color="2F002F" w:themeColor="accent1"/>
          <w:right w:val="single" w:sz="8" w:space="0" w:color="2F002F" w:themeColor="accent1"/>
        </w:tcBorders>
      </w:tcPr>
    </w:tblStylePr>
  </w:style>
  <w:style w:type="table" w:styleId="LightList-Accent3">
    <w:name w:val="Light List Accent 3"/>
    <w:basedOn w:val="TableNormal"/>
    <w:uiPriority w:val="61"/>
    <w:rsid w:val="0081034E"/>
    <w:pPr>
      <w:spacing w:before="0"/>
    </w:pPr>
    <w:tblPr>
      <w:tblStyleRowBandSize w:val="1"/>
      <w:tblStyleColBandSize w:val="1"/>
      <w:tblBorders>
        <w:top w:val="single" w:sz="8" w:space="0" w:color="002060" w:themeColor="accent3"/>
        <w:left w:val="single" w:sz="8" w:space="0" w:color="002060" w:themeColor="accent3"/>
        <w:bottom w:val="single" w:sz="8" w:space="0" w:color="002060" w:themeColor="accent3"/>
        <w:right w:val="single" w:sz="8" w:space="0" w:color="002060" w:themeColor="accent3"/>
      </w:tblBorders>
    </w:tblPr>
    <w:tblStylePr w:type="firstRow">
      <w:pPr>
        <w:spacing w:before="0" w:after="0" w:line="240" w:lineRule="auto"/>
      </w:pPr>
      <w:rPr>
        <w:b/>
        <w:bCs/>
        <w:color w:val="FFFFFF" w:themeColor="background1"/>
      </w:rPr>
      <w:tblPr/>
      <w:tcPr>
        <w:shd w:val="clear" w:color="auto" w:fill="002060" w:themeFill="accent3"/>
      </w:tcPr>
    </w:tblStylePr>
    <w:tblStylePr w:type="lastRow">
      <w:pPr>
        <w:spacing w:before="0" w:after="0" w:line="240" w:lineRule="auto"/>
      </w:pPr>
      <w:rPr>
        <w:b/>
        <w:bCs/>
      </w:rPr>
      <w:tblPr/>
      <w:tcPr>
        <w:tcBorders>
          <w:top w:val="double" w:sz="6" w:space="0" w:color="002060" w:themeColor="accent3"/>
          <w:left w:val="single" w:sz="8" w:space="0" w:color="002060" w:themeColor="accent3"/>
          <w:bottom w:val="single" w:sz="8" w:space="0" w:color="002060" w:themeColor="accent3"/>
          <w:right w:val="single" w:sz="8" w:space="0" w:color="002060" w:themeColor="accent3"/>
        </w:tcBorders>
      </w:tcPr>
    </w:tblStylePr>
    <w:tblStylePr w:type="firstCol">
      <w:rPr>
        <w:b/>
        <w:bCs/>
      </w:rPr>
    </w:tblStylePr>
    <w:tblStylePr w:type="lastCol">
      <w:rPr>
        <w:b/>
        <w:bCs/>
      </w:rPr>
    </w:tblStylePr>
    <w:tblStylePr w:type="band1Vert">
      <w:tblPr/>
      <w:tcPr>
        <w:tcBorders>
          <w:top w:val="single" w:sz="8" w:space="0" w:color="002060" w:themeColor="accent3"/>
          <w:left w:val="single" w:sz="8" w:space="0" w:color="002060" w:themeColor="accent3"/>
          <w:bottom w:val="single" w:sz="8" w:space="0" w:color="002060" w:themeColor="accent3"/>
          <w:right w:val="single" w:sz="8" w:space="0" w:color="002060" w:themeColor="accent3"/>
        </w:tcBorders>
      </w:tcPr>
    </w:tblStylePr>
    <w:tblStylePr w:type="band1Horz">
      <w:tblPr/>
      <w:tcPr>
        <w:tcBorders>
          <w:top w:val="single" w:sz="8" w:space="0" w:color="002060" w:themeColor="accent3"/>
          <w:left w:val="single" w:sz="8" w:space="0" w:color="002060" w:themeColor="accent3"/>
          <w:bottom w:val="single" w:sz="8" w:space="0" w:color="002060" w:themeColor="accent3"/>
          <w:right w:val="single" w:sz="8" w:space="0" w:color="002060" w:themeColor="accent3"/>
        </w:tcBorders>
      </w:tcPr>
    </w:tblStylePr>
  </w:style>
  <w:style w:type="table" w:styleId="LightList-Accent5">
    <w:name w:val="Light List Accent 5"/>
    <w:basedOn w:val="TableNormal"/>
    <w:uiPriority w:val="61"/>
    <w:rsid w:val="005B1E3C"/>
    <w:pPr>
      <w:spacing w:before="0"/>
    </w:pPr>
    <w:tblPr>
      <w:tblStyleRowBandSize w:val="1"/>
      <w:tblStyleColBandSize w:val="1"/>
      <w:tblBorders>
        <w:top w:val="single" w:sz="8" w:space="0" w:color="000000" w:themeColor="accent5"/>
        <w:left w:val="single" w:sz="8" w:space="0" w:color="000000" w:themeColor="accent5"/>
        <w:bottom w:val="single" w:sz="8" w:space="0" w:color="000000" w:themeColor="accent5"/>
        <w:right w:val="single" w:sz="8" w:space="0" w:color="000000" w:themeColor="accent5"/>
      </w:tblBorders>
    </w:tblPr>
    <w:tblStylePr w:type="firstRow">
      <w:pPr>
        <w:spacing w:before="0" w:after="0" w:line="240" w:lineRule="auto"/>
      </w:pPr>
      <w:rPr>
        <w:b/>
        <w:bCs/>
        <w:color w:val="auto"/>
      </w:rPr>
      <w:tblPr/>
      <w:tcPr>
        <w:shd w:val="clear" w:color="auto" w:fill="000000" w:themeFill="accent5"/>
      </w:tcPr>
    </w:tblStylePr>
    <w:tblStylePr w:type="lastRow">
      <w:pPr>
        <w:spacing w:before="0" w:after="0" w:line="240" w:lineRule="auto"/>
      </w:pPr>
      <w:rPr>
        <w:b/>
        <w:bCs/>
      </w:rPr>
      <w:tblPr/>
      <w:tcPr>
        <w:tcBorders>
          <w:top w:val="double" w:sz="6" w:space="0" w:color="000000" w:themeColor="accent5"/>
          <w:left w:val="single" w:sz="8" w:space="0" w:color="000000" w:themeColor="accent5"/>
          <w:bottom w:val="single" w:sz="8" w:space="0" w:color="000000" w:themeColor="accent5"/>
          <w:right w:val="single" w:sz="8" w:space="0" w:color="000000" w:themeColor="accent5"/>
        </w:tcBorders>
      </w:tcPr>
    </w:tblStylePr>
    <w:tblStylePr w:type="firstCol">
      <w:rPr>
        <w:b/>
        <w:bCs/>
      </w:rPr>
    </w:tblStylePr>
    <w:tblStylePr w:type="lastCol">
      <w:rPr>
        <w:b/>
        <w:bCs/>
      </w:rPr>
    </w:tblStylePr>
    <w:tblStylePr w:type="band1Vert">
      <w:tblPr/>
      <w:tcPr>
        <w:tcBorders>
          <w:top w:val="single" w:sz="8" w:space="0" w:color="000000" w:themeColor="accent5"/>
          <w:left w:val="single" w:sz="8" w:space="0" w:color="000000" w:themeColor="accent5"/>
          <w:bottom w:val="single" w:sz="8" w:space="0" w:color="000000" w:themeColor="accent5"/>
          <w:right w:val="single" w:sz="8" w:space="0" w:color="000000" w:themeColor="accent5"/>
        </w:tcBorders>
      </w:tcPr>
    </w:tblStylePr>
    <w:tblStylePr w:type="band1Horz">
      <w:tblPr/>
      <w:tcPr>
        <w:tcBorders>
          <w:top w:val="single" w:sz="8" w:space="0" w:color="000000" w:themeColor="accent5"/>
          <w:left w:val="single" w:sz="8" w:space="0" w:color="000000" w:themeColor="accent5"/>
          <w:bottom w:val="single" w:sz="8" w:space="0" w:color="000000" w:themeColor="accent5"/>
          <w:right w:val="single" w:sz="8" w:space="0" w:color="000000" w:themeColor="accent5"/>
        </w:tcBorders>
      </w:tcPr>
    </w:tblStylePr>
  </w:style>
  <w:style w:type="character" w:styleId="Emphasis">
    <w:name w:val="Emphasis"/>
    <w:basedOn w:val="DefaultParagraphFont"/>
    <w:uiPriority w:val="20"/>
    <w:qFormat/>
    <w:rsid w:val="00701CAB"/>
    <w:rPr>
      <w:i/>
      <w:iCs/>
    </w:rPr>
  </w:style>
  <w:style w:type="paragraph" w:styleId="NormalIndent">
    <w:name w:val="Normal Indent"/>
    <w:basedOn w:val="Normal"/>
    <w:uiPriority w:val="1"/>
    <w:rsid w:val="00202E03"/>
    <w:pPr>
      <w:tabs>
        <w:tab w:val="left" w:pos="680"/>
      </w:tabs>
      <w:ind w:left="680"/>
    </w:pPr>
  </w:style>
  <w:style w:type="paragraph" w:styleId="FootnoteText">
    <w:name w:val="footnote text"/>
    <w:aliases w:val="Footnote Text1,Footnote Text2,ALTS FOOTNOTE2,Footnote Text11,(NECG) Footnote Text,(NECG) Footnote Text1,ALTS FOOTNOTE,Footnote text,AR Footnote Text,AR Footnote Text Char Char Char Char Char Char,AR Footnote Text Char Char Char Char Char,f"/>
    <w:basedOn w:val="Normal"/>
    <w:link w:val="FootnoteTextChar"/>
    <w:uiPriority w:val="2"/>
    <w:unhideWhenUsed/>
    <w:qFormat/>
    <w:rsid w:val="00DE1093"/>
    <w:pPr>
      <w:tabs>
        <w:tab w:val="left" w:pos="340"/>
      </w:tabs>
      <w:spacing w:before="0" w:line="240" w:lineRule="exact"/>
      <w:ind w:left="340" w:hanging="340"/>
    </w:pPr>
    <w:rPr>
      <w:sz w:val="16"/>
      <w:szCs w:val="20"/>
    </w:rPr>
  </w:style>
  <w:style w:type="character" w:customStyle="1" w:styleId="FootnoteTextChar">
    <w:name w:val="Footnote Text Char"/>
    <w:aliases w:val="Footnote Text1 Char,Footnote Text2 Char,ALTS FOOTNOTE2 Char,Footnote Text11 Char,(NECG) Footnote Text Char,(NECG) Footnote Text1 Char,ALTS FOOTNOTE Char,Footnote text Char,AR Footnote Text Char,f Char"/>
    <w:basedOn w:val="DefaultParagraphFont"/>
    <w:link w:val="FootnoteText"/>
    <w:rsid w:val="00DE1093"/>
    <w:rPr>
      <w:rFonts w:ascii="Arial" w:hAnsi="Arial"/>
      <w:sz w:val="16"/>
      <w:szCs w:val="20"/>
    </w:rPr>
  </w:style>
  <w:style w:type="character" w:styleId="FootnoteReference">
    <w:name w:val="footnote reference"/>
    <w:aliases w:val="(NECG) Footnote Reference,(NECG) Footnote Reference1,(NECG) Footnote Reference2,(NECG) Footnote Reference3,(NECG) Footnote Reference4,(NECG) Footnote Reference5,(NECG) Footnote Reference6,(NECG) Footnote Reference7,o,Style 3,Style 12"/>
    <w:basedOn w:val="DefaultParagraphFont"/>
    <w:uiPriority w:val="99"/>
    <w:unhideWhenUsed/>
    <w:rsid w:val="00701CAB"/>
    <w:rPr>
      <w:vertAlign w:val="superscript"/>
    </w:rPr>
  </w:style>
  <w:style w:type="character" w:styleId="Strong">
    <w:name w:val="Strong"/>
    <w:aliases w:val="AER text bold"/>
    <w:basedOn w:val="DefaultParagraphFont"/>
    <w:uiPriority w:val="22"/>
    <w:qFormat/>
    <w:rsid w:val="00EF5110"/>
    <w:rPr>
      <w:b/>
      <w:bCs/>
    </w:rPr>
  </w:style>
  <w:style w:type="paragraph" w:styleId="Subtitle">
    <w:name w:val="Subtitle"/>
    <w:basedOn w:val="Normal"/>
    <w:next w:val="Normal"/>
    <w:link w:val="SubtitleChar"/>
    <w:uiPriority w:val="11"/>
    <w:rsid w:val="00CA489E"/>
    <w:pPr>
      <w:numPr>
        <w:ilvl w:val="1"/>
      </w:numPr>
    </w:pPr>
    <w:rPr>
      <w:rFonts w:asciiTheme="majorHAnsi" w:eastAsiaTheme="majorEastAsia" w:hAnsiTheme="majorHAnsi" w:cstheme="majorBidi"/>
      <w:i/>
      <w:iCs/>
      <w:color w:val="2F002F" w:themeColor="accent1"/>
      <w:spacing w:val="15"/>
      <w:sz w:val="24"/>
      <w:szCs w:val="24"/>
    </w:rPr>
  </w:style>
  <w:style w:type="character" w:customStyle="1" w:styleId="SubtitleChar">
    <w:name w:val="Subtitle Char"/>
    <w:basedOn w:val="DefaultParagraphFont"/>
    <w:link w:val="Subtitle"/>
    <w:uiPriority w:val="11"/>
    <w:rsid w:val="00CA489E"/>
    <w:rPr>
      <w:rFonts w:asciiTheme="majorHAnsi" w:eastAsiaTheme="majorEastAsia" w:hAnsiTheme="majorHAnsi" w:cstheme="majorBidi"/>
      <w:i/>
      <w:iCs/>
      <w:color w:val="2F002F" w:themeColor="accent1"/>
      <w:spacing w:val="15"/>
      <w:sz w:val="24"/>
      <w:szCs w:val="24"/>
    </w:rPr>
  </w:style>
  <w:style w:type="table" w:styleId="LightShading-Accent4">
    <w:name w:val="Light Shading Accent 4"/>
    <w:basedOn w:val="TableNormal"/>
    <w:uiPriority w:val="60"/>
    <w:rsid w:val="00746E01"/>
    <w:pPr>
      <w:spacing w:before="0"/>
    </w:pPr>
    <w:rPr>
      <w:color w:val="8F0000" w:themeColor="accent4" w:themeShade="BF"/>
    </w:rPr>
    <w:tblPr>
      <w:tblStyleRowBandSize w:val="1"/>
      <w:tblStyleColBandSize w:val="1"/>
      <w:tblBorders>
        <w:top w:val="single" w:sz="8" w:space="0" w:color="C00000" w:themeColor="accent4"/>
        <w:bottom w:val="single" w:sz="8" w:space="0" w:color="C00000" w:themeColor="accent4"/>
      </w:tblBorders>
    </w:tblPr>
    <w:tblStylePr w:type="firstRow">
      <w:pPr>
        <w:spacing w:before="0" w:after="0" w:line="240" w:lineRule="auto"/>
      </w:pPr>
      <w:rPr>
        <w:b/>
        <w:bCs/>
      </w:rPr>
      <w:tblPr/>
      <w:tcPr>
        <w:tcBorders>
          <w:top w:val="single" w:sz="8" w:space="0" w:color="C00000" w:themeColor="accent4"/>
          <w:left w:val="nil"/>
          <w:bottom w:val="single" w:sz="8" w:space="0" w:color="C00000" w:themeColor="accent4"/>
          <w:right w:val="nil"/>
          <w:insideH w:val="nil"/>
          <w:insideV w:val="nil"/>
        </w:tcBorders>
      </w:tcPr>
    </w:tblStylePr>
    <w:tblStylePr w:type="lastRow">
      <w:pPr>
        <w:spacing w:before="0" w:after="0" w:line="240" w:lineRule="auto"/>
      </w:pPr>
      <w:rPr>
        <w:b/>
        <w:bCs/>
      </w:rPr>
      <w:tblPr/>
      <w:tcPr>
        <w:tcBorders>
          <w:top w:val="single" w:sz="8" w:space="0" w:color="C00000" w:themeColor="accent4"/>
          <w:left w:val="nil"/>
          <w:bottom w:val="single" w:sz="8" w:space="0" w:color="C00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4" w:themeFillTint="3F"/>
      </w:tcPr>
    </w:tblStylePr>
    <w:tblStylePr w:type="band1Horz">
      <w:tblPr/>
      <w:tcPr>
        <w:tcBorders>
          <w:left w:val="nil"/>
          <w:right w:val="nil"/>
          <w:insideH w:val="nil"/>
          <w:insideV w:val="nil"/>
        </w:tcBorders>
        <w:shd w:val="clear" w:color="auto" w:fill="FFB0B0" w:themeFill="accent4" w:themeFillTint="3F"/>
      </w:tcPr>
    </w:tblStylePr>
  </w:style>
  <w:style w:type="table" w:styleId="LightShading-Accent6">
    <w:name w:val="Light Shading Accent 6"/>
    <w:basedOn w:val="TableNormal"/>
    <w:uiPriority w:val="60"/>
    <w:rsid w:val="00746E01"/>
    <w:pPr>
      <w:spacing w:before="0"/>
    </w:pPr>
    <w:rPr>
      <w:color w:val="53242C" w:themeColor="accent6" w:themeShade="BF"/>
    </w:rPr>
    <w:tblPr>
      <w:tblStyleRowBandSize w:val="1"/>
      <w:tblStyleColBandSize w:val="1"/>
      <w:tblBorders>
        <w:top w:val="single" w:sz="8" w:space="0" w:color="70303C" w:themeColor="accent6"/>
        <w:bottom w:val="single" w:sz="8" w:space="0" w:color="70303C" w:themeColor="accent6"/>
      </w:tblBorders>
    </w:tblPr>
    <w:tblStylePr w:type="firstRow">
      <w:pPr>
        <w:spacing w:before="0" w:after="0" w:line="240" w:lineRule="auto"/>
      </w:pPr>
      <w:rPr>
        <w:b/>
        <w:bCs/>
      </w:rPr>
      <w:tblPr/>
      <w:tcPr>
        <w:tcBorders>
          <w:top w:val="single" w:sz="8" w:space="0" w:color="70303C" w:themeColor="accent6"/>
          <w:left w:val="nil"/>
          <w:bottom w:val="single" w:sz="8" w:space="0" w:color="70303C" w:themeColor="accent6"/>
          <w:right w:val="nil"/>
          <w:insideH w:val="nil"/>
          <w:insideV w:val="nil"/>
        </w:tcBorders>
      </w:tcPr>
    </w:tblStylePr>
    <w:tblStylePr w:type="lastRow">
      <w:pPr>
        <w:spacing w:before="0" w:after="0" w:line="240" w:lineRule="auto"/>
      </w:pPr>
      <w:rPr>
        <w:b/>
        <w:bCs/>
      </w:rPr>
      <w:tblPr/>
      <w:tcPr>
        <w:tcBorders>
          <w:top w:val="single" w:sz="8" w:space="0" w:color="70303C" w:themeColor="accent6"/>
          <w:left w:val="nil"/>
          <w:bottom w:val="single" w:sz="8" w:space="0" w:color="70303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C2C8" w:themeFill="accent6" w:themeFillTint="3F"/>
      </w:tcPr>
    </w:tblStylePr>
    <w:tblStylePr w:type="band1Horz">
      <w:tblPr/>
      <w:tcPr>
        <w:tcBorders>
          <w:left w:val="nil"/>
          <w:right w:val="nil"/>
          <w:insideH w:val="nil"/>
          <w:insideV w:val="nil"/>
        </w:tcBorders>
        <w:shd w:val="clear" w:color="auto" w:fill="E5C2C8" w:themeFill="accent6" w:themeFillTint="3F"/>
      </w:tcPr>
    </w:tblStylePr>
  </w:style>
  <w:style w:type="paragraph" w:styleId="TOC4">
    <w:name w:val="toc 4"/>
    <w:basedOn w:val="Normal"/>
    <w:next w:val="Normal"/>
    <w:rsid w:val="005D7BA2"/>
    <w:pPr>
      <w:tabs>
        <w:tab w:val="right" w:leader="dot" w:pos="8363"/>
      </w:tabs>
      <w:spacing w:after="100"/>
      <w:ind w:left="1276"/>
    </w:pPr>
    <w:rPr>
      <w:noProof/>
    </w:rPr>
  </w:style>
  <w:style w:type="paragraph" w:styleId="TOC5">
    <w:name w:val="toc 5"/>
    <w:basedOn w:val="Normal"/>
    <w:next w:val="Normal"/>
    <w:rsid w:val="005D7BA2"/>
    <w:pPr>
      <w:tabs>
        <w:tab w:val="right" w:leader="dot" w:pos="8363"/>
      </w:tabs>
      <w:spacing w:after="100"/>
      <w:ind w:left="1701"/>
    </w:pPr>
    <w:rPr>
      <w:noProof/>
    </w:rPr>
  </w:style>
  <w:style w:type="paragraph" w:styleId="TOC6">
    <w:name w:val="toc 6"/>
    <w:basedOn w:val="Normal"/>
    <w:next w:val="Normal"/>
    <w:rsid w:val="005D7BA2"/>
    <w:pPr>
      <w:tabs>
        <w:tab w:val="right" w:leader="dot" w:pos="8363"/>
      </w:tabs>
      <w:spacing w:after="100"/>
      <w:ind w:left="2126"/>
    </w:pPr>
    <w:rPr>
      <w:noProof/>
    </w:rPr>
  </w:style>
  <w:style w:type="paragraph" w:styleId="TOC7">
    <w:name w:val="toc 7"/>
    <w:basedOn w:val="Normal"/>
    <w:next w:val="Normal"/>
    <w:rsid w:val="005D7BA2"/>
    <w:pPr>
      <w:tabs>
        <w:tab w:val="right" w:leader="dot" w:pos="8363"/>
      </w:tabs>
      <w:spacing w:after="100"/>
      <w:ind w:left="2552"/>
    </w:pPr>
    <w:rPr>
      <w:noProof/>
    </w:rPr>
  </w:style>
  <w:style w:type="paragraph" w:styleId="Salutation">
    <w:name w:val="Salutation"/>
    <w:basedOn w:val="Normal"/>
    <w:next w:val="Normal"/>
    <w:link w:val="SalutationChar"/>
    <w:uiPriority w:val="99"/>
    <w:unhideWhenUsed/>
    <w:rsid w:val="00CA489E"/>
  </w:style>
  <w:style w:type="table" w:customStyle="1" w:styleId="LightShading1">
    <w:name w:val="Light Shading1"/>
    <w:basedOn w:val="TableNormal"/>
    <w:next w:val="LightShading"/>
    <w:uiPriority w:val="60"/>
    <w:rsid w:val="00C53B5A"/>
    <w:pPr>
      <w:spacing w:before="120" w:after="120"/>
    </w:pPr>
    <w:rPr>
      <w:color w:val="054E6D" w:themeColor="text1" w:themeShade="BF"/>
      <w:sz w:val="20"/>
    </w:rPr>
    <w:tblPr>
      <w:tblBorders>
        <w:top w:val="single" w:sz="4" w:space="0" w:color="FFFFFF" w:themeColor="background2"/>
        <w:bottom w:val="single" w:sz="4" w:space="0" w:color="FFFFFF" w:themeColor="background2"/>
        <w:insideH w:val="single" w:sz="4" w:space="0" w:color="FFFFFF" w:themeColor="background2"/>
      </w:tblBorders>
    </w:tblPr>
    <w:tcPr>
      <w:shd w:val="clear" w:color="auto" w:fill="auto"/>
    </w:tcPr>
    <w:tblStylePr w:type="firstRow">
      <w:pPr>
        <w:wordWrap/>
        <w:spacing w:beforeLines="0" w:before="120" w:beforeAutospacing="0" w:afterLines="0" w:after="120" w:afterAutospacing="0" w:line="240" w:lineRule="auto"/>
      </w:pPr>
      <w:rPr>
        <w:rFonts w:ascii="Arial" w:hAnsi="Arial"/>
        <w:b/>
        <w:bCs/>
        <w:sz w:val="20"/>
      </w:rPr>
      <w:tblPr/>
      <w:tcPr>
        <w:tcBorders>
          <w:top w:val="single" w:sz="8" w:space="0" w:color="076A92" w:themeColor="text1"/>
          <w:left w:val="nil"/>
          <w:bottom w:val="single" w:sz="8" w:space="0" w:color="076A92" w:themeColor="text1"/>
          <w:right w:val="nil"/>
          <w:insideH w:val="nil"/>
          <w:insideV w:val="nil"/>
        </w:tcBorders>
        <w:shd w:val="clear" w:color="auto" w:fill="auto"/>
      </w:tcPr>
    </w:tblStylePr>
    <w:tblStylePr w:type="lastRow">
      <w:pPr>
        <w:wordWrap/>
        <w:spacing w:beforeLines="0" w:before="120" w:beforeAutospacing="0" w:afterLines="0" w:after="120" w:afterAutospacing="0" w:line="240" w:lineRule="auto"/>
      </w:pPr>
      <w:rPr>
        <w:rFonts w:ascii="Arial" w:hAnsi="Arial"/>
        <w:b/>
        <w:bCs/>
        <w:sz w:val="20"/>
      </w:rPr>
      <w:tblPr/>
      <w:tcPr>
        <w:tcBorders>
          <w:top w:val="single" w:sz="8" w:space="0" w:color="076A92" w:themeColor="text1"/>
          <w:left w:val="nil"/>
          <w:bottom w:val="single" w:sz="8" w:space="0" w:color="076A92" w:themeColor="text1"/>
          <w:right w:val="nil"/>
          <w:insideH w:val="nil"/>
          <w:insideV w:val="nil"/>
        </w:tcBorders>
        <w:vAlign w:val="center"/>
      </w:tcPr>
    </w:tblStylePr>
    <w:tblStylePr w:type="firstCol">
      <w:rPr>
        <w:b/>
        <w:bCs/>
        <w:sz w:val="20"/>
      </w:rPr>
    </w:tblStylePr>
    <w:tblStylePr w:type="lastCol">
      <w:rPr>
        <w:b/>
        <w:bCs/>
      </w:rPr>
    </w:tblStylePr>
  </w:style>
  <w:style w:type="table" w:styleId="LightList-Accent2">
    <w:name w:val="Light List Accent 2"/>
    <w:basedOn w:val="TableNormal"/>
    <w:uiPriority w:val="61"/>
    <w:rsid w:val="009661DE"/>
    <w:pPr>
      <w:spacing w:before="0"/>
    </w:pPr>
    <w:tblPr>
      <w:tblStyleRowBandSize w:val="1"/>
      <w:tblStyleColBandSize w:val="1"/>
      <w:tblBorders>
        <w:top w:val="single" w:sz="8" w:space="0" w:color="C14E00" w:themeColor="accent2"/>
        <w:left w:val="single" w:sz="8" w:space="0" w:color="C14E00" w:themeColor="accent2"/>
        <w:bottom w:val="single" w:sz="8" w:space="0" w:color="C14E00" w:themeColor="accent2"/>
        <w:right w:val="single" w:sz="8" w:space="0" w:color="C14E00" w:themeColor="accent2"/>
      </w:tblBorders>
    </w:tblPr>
    <w:tblStylePr w:type="firstRow">
      <w:pPr>
        <w:spacing w:before="0" w:after="0" w:line="240" w:lineRule="auto"/>
      </w:pPr>
      <w:rPr>
        <w:b/>
        <w:bCs/>
        <w:color w:val="FFFFFF" w:themeColor="background1"/>
      </w:rPr>
      <w:tblPr/>
      <w:tcPr>
        <w:shd w:val="clear" w:color="auto" w:fill="C14E00" w:themeFill="accent2"/>
      </w:tcPr>
    </w:tblStylePr>
    <w:tblStylePr w:type="lastRow">
      <w:pPr>
        <w:spacing w:before="0" w:after="0" w:line="240" w:lineRule="auto"/>
      </w:pPr>
      <w:rPr>
        <w:b/>
        <w:bCs/>
      </w:rPr>
      <w:tblPr/>
      <w:tcPr>
        <w:tcBorders>
          <w:top w:val="double" w:sz="6" w:space="0" w:color="C14E00" w:themeColor="accent2"/>
          <w:left w:val="single" w:sz="8" w:space="0" w:color="C14E00" w:themeColor="accent2"/>
          <w:bottom w:val="single" w:sz="8" w:space="0" w:color="C14E00" w:themeColor="accent2"/>
          <w:right w:val="single" w:sz="8" w:space="0" w:color="C14E00" w:themeColor="accent2"/>
        </w:tcBorders>
      </w:tcPr>
    </w:tblStylePr>
    <w:tblStylePr w:type="firstCol">
      <w:rPr>
        <w:b/>
        <w:bCs/>
      </w:rPr>
    </w:tblStylePr>
    <w:tblStylePr w:type="lastCol">
      <w:rPr>
        <w:b/>
        <w:bCs/>
      </w:rPr>
    </w:tblStylePr>
    <w:tblStylePr w:type="band1Vert">
      <w:tblPr/>
      <w:tcPr>
        <w:tcBorders>
          <w:top w:val="single" w:sz="8" w:space="0" w:color="C14E00" w:themeColor="accent2"/>
          <w:left w:val="single" w:sz="8" w:space="0" w:color="C14E00" w:themeColor="accent2"/>
          <w:bottom w:val="single" w:sz="8" w:space="0" w:color="C14E00" w:themeColor="accent2"/>
          <w:right w:val="single" w:sz="8" w:space="0" w:color="C14E00" w:themeColor="accent2"/>
        </w:tcBorders>
      </w:tcPr>
    </w:tblStylePr>
    <w:tblStylePr w:type="band1Horz">
      <w:tblPr/>
      <w:tcPr>
        <w:tcBorders>
          <w:top w:val="single" w:sz="8" w:space="0" w:color="C14E00" w:themeColor="accent2"/>
          <w:left w:val="single" w:sz="8" w:space="0" w:color="C14E00" w:themeColor="accent2"/>
          <w:bottom w:val="single" w:sz="8" w:space="0" w:color="C14E00" w:themeColor="accent2"/>
          <w:right w:val="single" w:sz="8" w:space="0" w:color="C14E00" w:themeColor="accent2"/>
        </w:tcBorders>
      </w:tcPr>
    </w:tblStylePr>
  </w:style>
  <w:style w:type="table" w:styleId="LightList-Accent4">
    <w:name w:val="Light List Accent 4"/>
    <w:basedOn w:val="TableNormal"/>
    <w:uiPriority w:val="61"/>
    <w:rsid w:val="009661DE"/>
    <w:pPr>
      <w:spacing w:before="0"/>
    </w:pPr>
    <w:tblPr>
      <w:tblStyleRowBandSize w:val="1"/>
      <w:tblStyleColBandSize w:val="1"/>
      <w:tblBorders>
        <w:top w:val="single" w:sz="8" w:space="0" w:color="C00000" w:themeColor="accent4"/>
        <w:left w:val="single" w:sz="8" w:space="0" w:color="C00000" w:themeColor="accent4"/>
        <w:bottom w:val="single" w:sz="8" w:space="0" w:color="C00000" w:themeColor="accent4"/>
        <w:right w:val="single" w:sz="8" w:space="0" w:color="C00000" w:themeColor="accent4"/>
      </w:tblBorders>
    </w:tblPr>
    <w:tblStylePr w:type="firstRow">
      <w:pPr>
        <w:spacing w:before="0" w:after="0" w:line="240" w:lineRule="auto"/>
      </w:pPr>
      <w:rPr>
        <w:b/>
        <w:bCs/>
        <w:color w:val="FFFFFF" w:themeColor="background1"/>
      </w:rPr>
      <w:tblPr/>
      <w:tcPr>
        <w:shd w:val="clear" w:color="auto" w:fill="C00000" w:themeFill="accent4"/>
      </w:tcPr>
    </w:tblStylePr>
    <w:tblStylePr w:type="lastRow">
      <w:pPr>
        <w:spacing w:before="0" w:after="0" w:line="240" w:lineRule="auto"/>
      </w:pPr>
      <w:rPr>
        <w:b/>
        <w:bCs/>
      </w:rPr>
      <w:tblPr/>
      <w:tcPr>
        <w:tcBorders>
          <w:top w:val="double" w:sz="6" w:space="0" w:color="C00000" w:themeColor="accent4"/>
          <w:left w:val="single" w:sz="8" w:space="0" w:color="C00000" w:themeColor="accent4"/>
          <w:bottom w:val="single" w:sz="8" w:space="0" w:color="C00000" w:themeColor="accent4"/>
          <w:right w:val="single" w:sz="8" w:space="0" w:color="C00000" w:themeColor="accent4"/>
        </w:tcBorders>
      </w:tcPr>
    </w:tblStylePr>
    <w:tblStylePr w:type="firstCol">
      <w:rPr>
        <w:b/>
        <w:bCs/>
      </w:rPr>
    </w:tblStylePr>
    <w:tblStylePr w:type="lastCol">
      <w:rPr>
        <w:b/>
        <w:bCs/>
      </w:rPr>
    </w:tblStylePr>
    <w:tblStylePr w:type="band1Vert">
      <w:tblPr/>
      <w:tcPr>
        <w:tcBorders>
          <w:top w:val="single" w:sz="8" w:space="0" w:color="C00000" w:themeColor="accent4"/>
          <w:left w:val="single" w:sz="8" w:space="0" w:color="C00000" w:themeColor="accent4"/>
          <w:bottom w:val="single" w:sz="8" w:space="0" w:color="C00000" w:themeColor="accent4"/>
          <w:right w:val="single" w:sz="8" w:space="0" w:color="C00000" w:themeColor="accent4"/>
        </w:tcBorders>
      </w:tcPr>
    </w:tblStylePr>
    <w:tblStylePr w:type="band1Horz">
      <w:tblPr/>
      <w:tcPr>
        <w:tcBorders>
          <w:top w:val="single" w:sz="8" w:space="0" w:color="C00000" w:themeColor="accent4"/>
          <w:left w:val="single" w:sz="8" w:space="0" w:color="C00000" w:themeColor="accent4"/>
          <w:bottom w:val="single" w:sz="8" w:space="0" w:color="C00000" w:themeColor="accent4"/>
          <w:right w:val="single" w:sz="8" w:space="0" w:color="C00000" w:themeColor="accent4"/>
        </w:tcBorders>
      </w:tcPr>
    </w:tblStylePr>
  </w:style>
  <w:style w:type="table" w:styleId="LightList-Accent6">
    <w:name w:val="Light List Accent 6"/>
    <w:basedOn w:val="TableNormal"/>
    <w:uiPriority w:val="61"/>
    <w:rsid w:val="009661DE"/>
    <w:pPr>
      <w:spacing w:before="0"/>
    </w:pPr>
    <w:tblPr>
      <w:tblStyleRowBandSize w:val="1"/>
      <w:tblStyleColBandSize w:val="1"/>
      <w:tblBorders>
        <w:top w:val="single" w:sz="8" w:space="0" w:color="70303C" w:themeColor="accent6"/>
        <w:left w:val="single" w:sz="8" w:space="0" w:color="70303C" w:themeColor="accent6"/>
        <w:bottom w:val="single" w:sz="8" w:space="0" w:color="70303C" w:themeColor="accent6"/>
        <w:right w:val="single" w:sz="8" w:space="0" w:color="70303C" w:themeColor="accent6"/>
      </w:tblBorders>
    </w:tblPr>
    <w:tblStylePr w:type="firstRow">
      <w:pPr>
        <w:spacing w:before="0" w:after="0" w:line="240" w:lineRule="auto"/>
      </w:pPr>
      <w:rPr>
        <w:b/>
        <w:bCs/>
        <w:color w:val="FFFFFF" w:themeColor="background1"/>
      </w:rPr>
      <w:tblPr/>
      <w:tcPr>
        <w:shd w:val="clear" w:color="auto" w:fill="70303C" w:themeFill="accent6"/>
      </w:tcPr>
    </w:tblStylePr>
    <w:tblStylePr w:type="lastRow">
      <w:pPr>
        <w:spacing w:before="0" w:after="0" w:line="240" w:lineRule="auto"/>
      </w:pPr>
      <w:rPr>
        <w:b/>
        <w:bCs/>
      </w:rPr>
      <w:tblPr/>
      <w:tcPr>
        <w:tcBorders>
          <w:top w:val="double" w:sz="6" w:space="0" w:color="70303C" w:themeColor="accent6"/>
          <w:left w:val="single" w:sz="8" w:space="0" w:color="70303C" w:themeColor="accent6"/>
          <w:bottom w:val="single" w:sz="8" w:space="0" w:color="70303C" w:themeColor="accent6"/>
          <w:right w:val="single" w:sz="8" w:space="0" w:color="70303C" w:themeColor="accent6"/>
        </w:tcBorders>
      </w:tcPr>
    </w:tblStylePr>
    <w:tblStylePr w:type="firstCol">
      <w:rPr>
        <w:b/>
        <w:bCs/>
      </w:rPr>
    </w:tblStylePr>
    <w:tblStylePr w:type="lastCol">
      <w:rPr>
        <w:b/>
        <w:bCs/>
      </w:rPr>
    </w:tblStylePr>
    <w:tblStylePr w:type="band1Vert">
      <w:tblPr/>
      <w:tcPr>
        <w:tcBorders>
          <w:top w:val="single" w:sz="8" w:space="0" w:color="70303C" w:themeColor="accent6"/>
          <w:left w:val="single" w:sz="8" w:space="0" w:color="70303C" w:themeColor="accent6"/>
          <w:bottom w:val="single" w:sz="8" w:space="0" w:color="70303C" w:themeColor="accent6"/>
          <w:right w:val="single" w:sz="8" w:space="0" w:color="70303C" w:themeColor="accent6"/>
        </w:tcBorders>
      </w:tcPr>
    </w:tblStylePr>
    <w:tblStylePr w:type="band1Horz">
      <w:tblPr/>
      <w:tcPr>
        <w:tcBorders>
          <w:top w:val="single" w:sz="8" w:space="0" w:color="70303C" w:themeColor="accent6"/>
          <w:left w:val="single" w:sz="8" w:space="0" w:color="70303C" w:themeColor="accent6"/>
          <w:bottom w:val="single" w:sz="8" w:space="0" w:color="70303C" w:themeColor="accent6"/>
          <w:right w:val="single" w:sz="8" w:space="0" w:color="70303C" w:themeColor="accent6"/>
        </w:tcBorders>
      </w:tcPr>
    </w:tblStylePr>
  </w:style>
  <w:style w:type="table" w:styleId="LightGrid">
    <w:name w:val="Light Grid"/>
    <w:basedOn w:val="TableNormal"/>
    <w:uiPriority w:val="62"/>
    <w:rsid w:val="009661DE"/>
    <w:pPr>
      <w:spacing w:before="0"/>
    </w:pPr>
    <w:tblPr>
      <w:tblStyleRowBandSize w:val="1"/>
      <w:tblStyleColBandSize w:val="1"/>
      <w:tblBorders>
        <w:top w:val="single" w:sz="8" w:space="0" w:color="076A92" w:themeColor="text1"/>
        <w:left w:val="single" w:sz="8" w:space="0" w:color="076A92" w:themeColor="text1"/>
        <w:bottom w:val="single" w:sz="8" w:space="0" w:color="076A92" w:themeColor="text1"/>
        <w:right w:val="single" w:sz="8" w:space="0" w:color="076A92" w:themeColor="text1"/>
        <w:insideH w:val="single" w:sz="8" w:space="0" w:color="076A92" w:themeColor="text1"/>
        <w:insideV w:val="single" w:sz="8" w:space="0" w:color="076A92"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76A92" w:themeColor="text1"/>
          <w:left w:val="single" w:sz="8" w:space="0" w:color="076A92" w:themeColor="text1"/>
          <w:bottom w:val="single" w:sz="18" w:space="0" w:color="076A92" w:themeColor="text1"/>
          <w:right w:val="single" w:sz="8" w:space="0" w:color="076A92" w:themeColor="text1"/>
          <w:insideH w:val="nil"/>
          <w:insideV w:val="single" w:sz="8" w:space="0" w:color="076A92"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76A92" w:themeColor="text1"/>
          <w:left w:val="single" w:sz="8" w:space="0" w:color="076A92" w:themeColor="text1"/>
          <w:bottom w:val="single" w:sz="8" w:space="0" w:color="076A92" w:themeColor="text1"/>
          <w:right w:val="single" w:sz="8" w:space="0" w:color="076A92" w:themeColor="text1"/>
          <w:insideH w:val="nil"/>
          <w:insideV w:val="single" w:sz="8" w:space="0" w:color="076A92"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76A92" w:themeColor="text1"/>
          <w:left w:val="single" w:sz="8" w:space="0" w:color="076A92" w:themeColor="text1"/>
          <w:bottom w:val="single" w:sz="8" w:space="0" w:color="076A92" w:themeColor="text1"/>
          <w:right w:val="single" w:sz="8" w:space="0" w:color="076A92" w:themeColor="text1"/>
        </w:tcBorders>
      </w:tcPr>
    </w:tblStylePr>
    <w:tblStylePr w:type="band1Vert">
      <w:tblPr/>
      <w:tcPr>
        <w:tcBorders>
          <w:top w:val="single" w:sz="8" w:space="0" w:color="076A92" w:themeColor="text1"/>
          <w:left w:val="single" w:sz="8" w:space="0" w:color="076A92" w:themeColor="text1"/>
          <w:bottom w:val="single" w:sz="8" w:space="0" w:color="076A92" w:themeColor="text1"/>
          <w:right w:val="single" w:sz="8" w:space="0" w:color="076A92" w:themeColor="text1"/>
        </w:tcBorders>
        <w:shd w:val="clear" w:color="auto" w:fill="AAE3FB" w:themeFill="text1" w:themeFillTint="3F"/>
      </w:tcPr>
    </w:tblStylePr>
    <w:tblStylePr w:type="band1Horz">
      <w:tblPr/>
      <w:tcPr>
        <w:tcBorders>
          <w:top w:val="single" w:sz="8" w:space="0" w:color="076A92" w:themeColor="text1"/>
          <w:left w:val="single" w:sz="8" w:space="0" w:color="076A92" w:themeColor="text1"/>
          <w:bottom w:val="single" w:sz="8" w:space="0" w:color="076A92" w:themeColor="text1"/>
          <w:right w:val="single" w:sz="8" w:space="0" w:color="076A92" w:themeColor="text1"/>
          <w:insideV w:val="single" w:sz="8" w:space="0" w:color="076A92" w:themeColor="text1"/>
        </w:tcBorders>
        <w:shd w:val="clear" w:color="auto" w:fill="AAE3FB" w:themeFill="text1" w:themeFillTint="3F"/>
      </w:tcPr>
    </w:tblStylePr>
    <w:tblStylePr w:type="band2Horz">
      <w:tblPr/>
      <w:tcPr>
        <w:tcBorders>
          <w:top w:val="single" w:sz="8" w:space="0" w:color="076A92" w:themeColor="text1"/>
          <w:left w:val="single" w:sz="8" w:space="0" w:color="076A92" w:themeColor="text1"/>
          <w:bottom w:val="single" w:sz="8" w:space="0" w:color="076A92" w:themeColor="text1"/>
          <w:right w:val="single" w:sz="8" w:space="0" w:color="076A92" w:themeColor="text1"/>
          <w:insideV w:val="single" w:sz="8" w:space="0" w:color="076A92" w:themeColor="text1"/>
        </w:tcBorders>
      </w:tcPr>
    </w:tblStylePr>
  </w:style>
  <w:style w:type="table" w:styleId="LightGrid-Accent1">
    <w:name w:val="Light Grid Accent 1"/>
    <w:basedOn w:val="TableNormal"/>
    <w:uiPriority w:val="62"/>
    <w:rsid w:val="009661DE"/>
    <w:pPr>
      <w:spacing w:before="0"/>
    </w:pPr>
    <w:tblPr>
      <w:tblStyleRowBandSize w:val="1"/>
      <w:tblStyleColBandSize w:val="1"/>
      <w:tblBorders>
        <w:top w:val="single" w:sz="8" w:space="0" w:color="2F002F" w:themeColor="accent1"/>
        <w:left w:val="single" w:sz="8" w:space="0" w:color="2F002F" w:themeColor="accent1"/>
        <w:bottom w:val="single" w:sz="8" w:space="0" w:color="2F002F" w:themeColor="accent1"/>
        <w:right w:val="single" w:sz="8" w:space="0" w:color="2F002F" w:themeColor="accent1"/>
        <w:insideH w:val="single" w:sz="8" w:space="0" w:color="2F002F" w:themeColor="accent1"/>
        <w:insideV w:val="single" w:sz="8" w:space="0" w:color="2F002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F002F" w:themeColor="accent1"/>
          <w:left w:val="single" w:sz="8" w:space="0" w:color="2F002F" w:themeColor="accent1"/>
          <w:bottom w:val="single" w:sz="18" w:space="0" w:color="2F002F" w:themeColor="accent1"/>
          <w:right w:val="single" w:sz="8" w:space="0" w:color="2F002F" w:themeColor="accent1"/>
          <w:insideH w:val="nil"/>
          <w:insideV w:val="single" w:sz="8" w:space="0" w:color="2F002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F002F" w:themeColor="accent1"/>
          <w:left w:val="single" w:sz="8" w:space="0" w:color="2F002F" w:themeColor="accent1"/>
          <w:bottom w:val="single" w:sz="8" w:space="0" w:color="2F002F" w:themeColor="accent1"/>
          <w:right w:val="single" w:sz="8" w:space="0" w:color="2F002F" w:themeColor="accent1"/>
          <w:insideH w:val="nil"/>
          <w:insideV w:val="single" w:sz="8" w:space="0" w:color="2F002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F002F" w:themeColor="accent1"/>
          <w:left w:val="single" w:sz="8" w:space="0" w:color="2F002F" w:themeColor="accent1"/>
          <w:bottom w:val="single" w:sz="8" w:space="0" w:color="2F002F" w:themeColor="accent1"/>
          <w:right w:val="single" w:sz="8" w:space="0" w:color="2F002F" w:themeColor="accent1"/>
        </w:tcBorders>
      </w:tcPr>
    </w:tblStylePr>
    <w:tblStylePr w:type="band1Vert">
      <w:tblPr/>
      <w:tcPr>
        <w:tcBorders>
          <w:top w:val="single" w:sz="8" w:space="0" w:color="2F002F" w:themeColor="accent1"/>
          <w:left w:val="single" w:sz="8" w:space="0" w:color="2F002F" w:themeColor="accent1"/>
          <w:bottom w:val="single" w:sz="8" w:space="0" w:color="2F002F" w:themeColor="accent1"/>
          <w:right w:val="single" w:sz="8" w:space="0" w:color="2F002F" w:themeColor="accent1"/>
        </w:tcBorders>
        <w:shd w:val="clear" w:color="auto" w:fill="FF8CFF" w:themeFill="accent1" w:themeFillTint="3F"/>
      </w:tcPr>
    </w:tblStylePr>
    <w:tblStylePr w:type="band1Horz">
      <w:tblPr/>
      <w:tcPr>
        <w:tcBorders>
          <w:top w:val="single" w:sz="8" w:space="0" w:color="2F002F" w:themeColor="accent1"/>
          <w:left w:val="single" w:sz="8" w:space="0" w:color="2F002F" w:themeColor="accent1"/>
          <w:bottom w:val="single" w:sz="8" w:space="0" w:color="2F002F" w:themeColor="accent1"/>
          <w:right w:val="single" w:sz="8" w:space="0" w:color="2F002F" w:themeColor="accent1"/>
          <w:insideV w:val="single" w:sz="8" w:space="0" w:color="2F002F" w:themeColor="accent1"/>
        </w:tcBorders>
        <w:shd w:val="clear" w:color="auto" w:fill="FF8CFF" w:themeFill="accent1" w:themeFillTint="3F"/>
      </w:tcPr>
    </w:tblStylePr>
    <w:tblStylePr w:type="band2Horz">
      <w:tblPr/>
      <w:tcPr>
        <w:tcBorders>
          <w:top w:val="single" w:sz="8" w:space="0" w:color="2F002F" w:themeColor="accent1"/>
          <w:left w:val="single" w:sz="8" w:space="0" w:color="2F002F" w:themeColor="accent1"/>
          <w:bottom w:val="single" w:sz="8" w:space="0" w:color="2F002F" w:themeColor="accent1"/>
          <w:right w:val="single" w:sz="8" w:space="0" w:color="2F002F" w:themeColor="accent1"/>
          <w:insideV w:val="single" w:sz="8" w:space="0" w:color="2F002F" w:themeColor="accent1"/>
        </w:tcBorders>
      </w:tcPr>
    </w:tblStylePr>
  </w:style>
  <w:style w:type="table" w:styleId="LightGrid-Accent2">
    <w:name w:val="Light Grid Accent 2"/>
    <w:basedOn w:val="TableNormal"/>
    <w:uiPriority w:val="62"/>
    <w:rsid w:val="009661DE"/>
    <w:pPr>
      <w:spacing w:before="0"/>
    </w:pPr>
    <w:tblPr>
      <w:tblStyleRowBandSize w:val="1"/>
      <w:tblStyleColBandSize w:val="1"/>
      <w:tblBorders>
        <w:top w:val="single" w:sz="8" w:space="0" w:color="C14E00" w:themeColor="accent2"/>
        <w:left w:val="single" w:sz="8" w:space="0" w:color="C14E00" w:themeColor="accent2"/>
        <w:bottom w:val="single" w:sz="8" w:space="0" w:color="C14E00" w:themeColor="accent2"/>
        <w:right w:val="single" w:sz="8" w:space="0" w:color="C14E00" w:themeColor="accent2"/>
        <w:insideH w:val="single" w:sz="8" w:space="0" w:color="C14E00" w:themeColor="accent2"/>
        <w:insideV w:val="single" w:sz="8" w:space="0" w:color="C14E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14E00" w:themeColor="accent2"/>
          <w:left w:val="single" w:sz="8" w:space="0" w:color="C14E00" w:themeColor="accent2"/>
          <w:bottom w:val="single" w:sz="18" w:space="0" w:color="C14E00" w:themeColor="accent2"/>
          <w:right w:val="single" w:sz="8" w:space="0" w:color="C14E00" w:themeColor="accent2"/>
          <w:insideH w:val="nil"/>
          <w:insideV w:val="single" w:sz="8" w:space="0" w:color="C14E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14E00" w:themeColor="accent2"/>
          <w:left w:val="single" w:sz="8" w:space="0" w:color="C14E00" w:themeColor="accent2"/>
          <w:bottom w:val="single" w:sz="8" w:space="0" w:color="C14E00" w:themeColor="accent2"/>
          <w:right w:val="single" w:sz="8" w:space="0" w:color="C14E00" w:themeColor="accent2"/>
          <w:insideH w:val="nil"/>
          <w:insideV w:val="single" w:sz="8" w:space="0" w:color="C14E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14E00" w:themeColor="accent2"/>
          <w:left w:val="single" w:sz="8" w:space="0" w:color="C14E00" w:themeColor="accent2"/>
          <w:bottom w:val="single" w:sz="8" w:space="0" w:color="C14E00" w:themeColor="accent2"/>
          <w:right w:val="single" w:sz="8" w:space="0" w:color="C14E00" w:themeColor="accent2"/>
        </w:tcBorders>
      </w:tcPr>
    </w:tblStylePr>
    <w:tblStylePr w:type="band1Vert">
      <w:tblPr/>
      <w:tcPr>
        <w:tcBorders>
          <w:top w:val="single" w:sz="8" w:space="0" w:color="C14E00" w:themeColor="accent2"/>
          <w:left w:val="single" w:sz="8" w:space="0" w:color="C14E00" w:themeColor="accent2"/>
          <w:bottom w:val="single" w:sz="8" w:space="0" w:color="C14E00" w:themeColor="accent2"/>
          <w:right w:val="single" w:sz="8" w:space="0" w:color="C14E00" w:themeColor="accent2"/>
        </w:tcBorders>
        <w:shd w:val="clear" w:color="auto" w:fill="FFD0B0" w:themeFill="accent2" w:themeFillTint="3F"/>
      </w:tcPr>
    </w:tblStylePr>
    <w:tblStylePr w:type="band1Horz">
      <w:tblPr/>
      <w:tcPr>
        <w:tcBorders>
          <w:top w:val="single" w:sz="8" w:space="0" w:color="C14E00" w:themeColor="accent2"/>
          <w:left w:val="single" w:sz="8" w:space="0" w:color="C14E00" w:themeColor="accent2"/>
          <w:bottom w:val="single" w:sz="8" w:space="0" w:color="C14E00" w:themeColor="accent2"/>
          <w:right w:val="single" w:sz="8" w:space="0" w:color="C14E00" w:themeColor="accent2"/>
          <w:insideV w:val="single" w:sz="8" w:space="0" w:color="C14E00" w:themeColor="accent2"/>
        </w:tcBorders>
        <w:shd w:val="clear" w:color="auto" w:fill="FFD0B0" w:themeFill="accent2" w:themeFillTint="3F"/>
      </w:tcPr>
    </w:tblStylePr>
    <w:tblStylePr w:type="band2Horz">
      <w:tblPr/>
      <w:tcPr>
        <w:tcBorders>
          <w:top w:val="single" w:sz="8" w:space="0" w:color="C14E00" w:themeColor="accent2"/>
          <w:left w:val="single" w:sz="8" w:space="0" w:color="C14E00" w:themeColor="accent2"/>
          <w:bottom w:val="single" w:sz="8" w:space="0" w:color="C14E00" w:themeColor="accent2"/>
          <w:right w:val="single" w:sz="8" w:space="0" w:color="C14E00" w:themeColor="accent2"/>
          <w:insideV w:val="single" w:sz="8" w:space="0" w:color="C14E00" w:themeColor="accent2"/>
        </w:tcBorders>
      </w:tcPr>
    </w:tblStylePr>
  </w:style>
  <w:style w:type="table" w:styleId="LightGrid-Accent4">
    <w:name w:val="Light Grid Accent 4"/>
    <w:basedOn w:val="TableNormal"/>
    <w:uiPriority w:val="62"/>
    <w:rsid w:val="009661DE"/>
    <w:pPr>
      <w:spacing w:before="0"/>
    </w:pPr>
    <w:tblPr>
      <w:tblStyleRowBandSize w:val="1"/>
      <w:tblStyleColBandSize w:val="1"/>
      <w:tblBorders>
        <w:top w:val="single" w:sz="8" w:space="0" w:color="C00000" w:themeColor="accent4"/>
        <w:left w:val="single" w:sz="8" w:space="0" w:color="C00000" w:themeColor="accent4"/>
        <w:bottom w:val="single" w:sz="8" w:space="0" w:color="C00000" w:themeColor="accent4"/>
        <w:right w:val="single" w:sz="8" w:space="0" w:color="C00000" w:themeColor="accent4"/>
        <w:insideH w:val="single" w:sz="8" w:space="0" w:color="C00000" w:themeColor="accent4"/>
        <w:insideV w:val="single" w:sz="8" w:space="0" w:color="C00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4"/>
          <w:left w:val="single" w:sz="8" w:space="0" w:color="C00000" w:themeColor="accent4"/>
          <w:bottom w:val="single" w:sz="18" w:space="0" w:color="C00000" w:themeColor="accent4"/>
          <w:right w:val="single" w:sz="8" w:space="0" w:color="C00000" w:themeColor="accent4"/>
          <w:insideH w:val="nil"/>
          <w:insideV w:val="single" w:sz="8" w:space="0" w:color="C00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4"/>
          <w:left w:val="single" w:sz="8" w:space="0" w:color="C00000" w:themeColor="accent4"/>
          <w:bottom w:val="single" w:sz="8" w:space="0" w:color="C00000" w:themeColor="accent4"/>
          <w:right w:val="single" w:sz="8" w:space="0" w:color="C00000" w:themeColor="accent4"/>
          <w:insideH w:val="nil"/>
          <w:insideV w:val="single" w:sz="8" w:space="0" w:color="C00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4"/>
          <w:left w:val="single" w:sz="8" w:space="0" w:color="C00000" w:themeColor="accent4"/>
          <w:bottom w:val="single" w:sz="8" w:space="0" w:color="C00000" w:themeColor="accent4"/>
          <w:right w:val="single" w:sz="8" w:space="0" w:color="C00000" w:themeColor="accent4"/>
        </w:tcBorders>
      </w:tcPr>
    </w:tblStylePr>
    <w:tblStylePr w:type="band1Vert">
      <w:tblPr/>
      <w:tcPr>
        <w:tcBorders>
          <w:top w:val="single" w:sz="8" w:space="0" w:color="C00000" w:themeColor="accent4"/>
          <w:left w:val="single" w:sz="8" w:space="0" w:color="C00000" w:themeColor="accent4"/>
          <w:bottom w:val="single" w:sz="8" w:space="0" w:color="C00000" w:themeColor="accent4"/>
          <w:right w:val="single" w:sz="8" w:space="0" w:color="C00000" w:themeColor="accent4"/>
        </w:tcBorders>
        <w:shd w:val="clear" w:color="auto" w:fill="FFB0B0" w:themeFill="accent4" w:themeFillTint="3F"/>
      </w:tcPr>
    </w:tblStylePr>
    <w:tblStylePr w:type="band1Horz">
      <w:tblPr/>
      <w:tcPr>
        <w:tcBorders>
          <w:top w:val="single" w:sz="8" w:space="0" w:color="C00000" w:themeColor="accent4"/>
          <w:left w:val="single" w:sz="8" w:space="0" w:color="C00000" w:themeColor="accent4"/>
          <w:bottom w:val="single" w:sz="8" w:space="0" w:color="C00000" w:themeColor="accent4"/>
          <w:right w:val="single" w:sz="8" w:space="0" w:color="C00000" w:themeColor="accent4"/>
          <w:insideV w:val="single" w:sz="8" w:space="0" w:color="C00000" w:themeColor="accent4"/>
        </w:tcBorders>
        <w:shd w:val="clear" w:color="auto" w:fill="FFB0B0" w:themeFill="accent4" w:themeFillTint="3F"/>
      </w:tcPr>
    </w:tblStylePr>
    <w:tblStylePr w:type="band2Horz">
      <w:tblPr/>
      <w:tcPr>
        <w:tcBorders>
          <w:top w:val="single" w:sz="8" w:space="0" w:color="C00000" w:themeColor="accent4"/>
          <w:left w:val="single" w:sz="8" w:space="0" w:color="C00000" w:themeColor="accent4"/>
          <w:bottom w:val="single" w:sz="8" w:space="0" w:color="C00000" w:themeColor="accent4"/>
          <w:right w:val="single" w:sz="8" w:space="0" w:color="C00000" w:themeColor="accent4"/>
          <w:insideV w:val="single" w:sz="8" w:space="0" w:color="C00000" w:themeColor="accent4"/>
        </w:tcBorders>
      </w:tcPr>
    </w:tblStylePr>
  </w:style>
  <w:style w:type="table" w:styleId="LightGrid-Accent5">
    <w:name w:val="Light Grid Accent 5"/>
    <w:basedOn w:val="TableNormal"/>
    <w:uiPriority w:val="62"/>
    <w:rsid w:val="009661DE"/>
    <w:pPr>
      <w:spacing w:before="0"/>
    </w:pPr>
    <w:tblPr>
      <w:tblStyleRowBandSize w:val="1"/>
      <w:tblStyleColBandSize w:val="1"/>
      <w:tblBorders>
        <w:top w:val="single" w:sz="8" w:space="0" w:color="000000" w:themeColor="accent5"/>
        <w:left w:val="single" w:sz="8" w:space="0" w:color="000000" w:themeColor="accent5"/>
        <w:bottom w:val="single" w:sz="8" w:space="0" w:color="000000" w:themeColor="accent5"/>
        <w:right w:val="single" w:sz="8" w:space="0" w:color="000000" w:themeColor="accent5"/>
        <w:insideH w:val="single" w:sz="8" w:space="0" w:color="000000" w:themeColor="accent5"/>
        <w:insideV w:val="single" w:sz="8" w:space="0" w:color="00000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accent5"/>
          <w:left w:val="single" w:sz="8" w:space="0" w:color="000000" w:themeColor="accent5"/>
          <w:bottom w:val="single" w:sz="18" w:space="0" w:color="000000" w:themeColor="accent5"/>
          <w:right w:val="single" w:sz="8" w:space="0" w:color="000000" w:themeColor="accent5"/>
          <w:insideH w:val="nil"/>
          <w:insideV w:val="single" w:sz="8" w:space="0" w:color="00000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accent5"/>
          <w:left w:val="single" w:sz="8" w:space="0" w:color="000000" w:themeColor="accent5"/>
          <w:bottom w:val="single" w:sz="8" w:space="0" w:color="000000" w:themeColor="accent5"/>
          <w:right w:val="single" w:sz="8" w:space="0" w:color="000000" w:themeColor="accent5"/>
          <w:insideH w:val="nil"/>
          <w:insideV w:val="single" w:sz="8" w:space="0" w:color="00000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accent5"/>
          <w:left w:val="single" w:sz="8" w:space="0" w:color="000000" w:themeColor="accent5"/>
          <w:bottom w:val="single" w:sz="8" w:space="0" w:color="000000" w:themeColor="accent5"/>
          <w:right w:val="single" w:sz="8" w:space="0" w:color="000000" w:themeColor="accent5"/>
        </w:tcBorders>
      </w:tcPr>
    </w:tblStylePr>
    <w:tblStylePr w:type="band1Vert">
      <w:tblPr/>
      <w:tcPr>
        <w:tcBorders>
          <w:top w:val="single" w:sz="8" w:space="0" w:color="000000" w:themeColor="accent5"/>
          <w:left w:val="single" w:sz="8" w:space="0" w:color="000000" w:themeColor="accent5"/>
          <w:bottom w:val="single" w:sz="8" w:space="0" w:color="000000" w:themeColor="accent5"/>
          <w:right w:val="single" w:sz="8" w:space="0" w:color="000000" w:themeColor="accent5"/>
        </w:tcBorders>
        <w:shd w:val="clear" w:color="auto" w:fill="C0C0C0" w:themeFill="accent5" w:themeFillTint="3F"/>
      </w:tcPr>
    </w:tblStylePr>
    <w:tblStylePr w:type="band1Horz">
      <w:tblPr/>
      <w:tcPr>
        <w:tcBorders>
          <w:top w:val="single" w:sz="8" w:space="0" w:color="000000" w:themeColor="accent5"/>
          <w:left w:val="single" w:sz="8" w:space="0" w:color="000000" w:themeColor="accent5"/>
          <w:bottom w:val="single" w:sz="8" w:space="0" w:color="000000" w:themeColor="accent5"/>
          <w:right w:val="single" w:sz="8" w:space="0" w:color="000000" w:themeColor="accent5"/>
          <w:insideV w:val="single" w:sz="8" w:space="0" w:color="000000" w:themeColor="accent5"/>
        </w:tcBorders>
        <w:shd w:val="clear" w:color="auto" w:fill="C0C0C0" w:themeFill="accent5" w:themeFillTint="3F"/>
      </w:tcPr>
    </w:tblStylePr>
    <w:tblStylePr w:type="band2Horz">
      <w:tblPr/>
      <w:tcPr>
        <w:tcBorders>
          <w:top w:val="single" w:sz="8" w:space="0" w:color="000000" w:themeColor="accent5"/>
          <w:left w:val="single" w:sz="8" w:space="0" w:color="000000" w:themeColor="accent5"/>
          <w:bottom w:val="single" w:sz="8" w:space="0" w:color="000000" w:themeColor="accent5"/>
          <w:right w:val="single" w:sz="8" w:space="0" w:color="000000" w:themeColor="accent5"/>
          <w:insideV w:val="single" w:sz="8" w:space="0" w:color="000000" w:themeColor="accent5"/>
        </w:tcBorders>
      </w:tcPr>
    </w:tblStylePr>
  </w:style>
  <w:style w:type="paragraph" w:customStyle="1" w:styleId="HeaderRight">
    <w:name w:val="Header Right"/>
    <w:basedOn w:val="Header"/>
    <w:uiPriority w:val="35"/>
    <w:qFormat/>
    <w:rsid w:val="00A84F46"/>
    <w:pPr>
      <w:tabs>
        <w:tab w:val="clear" w:pos="4513"/>
        <w:tab w:val="clear" w:pos="9026"/>
        <w:tab w:val="center" w:pos="4320"/>
        <w:tab w:val="right" w:pos="8640"/>
      </w:tabs>
      <w:spacing w:before="0" w:after="200"/>
      <w:jc w:val="right"/>
    </w:pPr>
    <w:rPr>
      <w:rFonts w:asciiTheme="minorHAnsi" w:hAnsiTheme="minorHAnsi" w:cs="Times New Roman"/>
      <w:szCs w:val="20"/>
      <w:lang w:val="en-US" w:eastAsia="ja-JP"/>
    </w:rPr>
  </w:style>
  <w:style w:type="paragraph" w:customStyle="1" w:styleId="Numbered111111111">
    <w:name w:val="Numbered 1.1.1.1.1.1.1.1.1"/>
    <w:basedOn w:val="Heading9"/>
    <w:next w:val="Normal"/>
    <w:uiPriority w:val="2"/>
    <w:rsid w:val="00757BDF"/>
    <w:pPr>
      <w:numPr>
        <w:numId w:val="15"/>
      </w:numPr>
      <w:tabs>
        <w:tab w:val="left" w:pos="2041"/>
      </w:tabs>
      <w:ind w:left="2041" w:hanging="2041"/>
    </w:pPr>
  </w:style>
  <w:style w:type="paragraph" w:styleId="Caption">
    <w:name w:val="caption"/>
    <w:basedOn w:val="Normal"/>
    <w:next w:val="Normal"/>
    <w:uiPriority w:val="35"/>
    <w:unhideWhenUsed/>
    <w:qFormat/>
    <w:rsid w:val="0066104A"/>
    <w:pPr>
      <w:keepNext/>
      <w:spacing w:before="240" w:after="120"/>
    </w:pPr>
    <w:rPr>
      <w:b/>
      <w:bCs/>
      <w:color w:val="076A92" w:themeColor="text1"/>
      <w:sz w:val="24"/>
      <w:szCs w:val="18"/>
    </w:rPr>
  </w:style>
  <w:style w:type="paragraph" w:styleId="List">
    <w:name w:val="List"/>
    <w:basedOn w:val="Normal"/>
    <w:unhideWhenUsed/>
    <w:qFormat/>
    <w:rsid w:val="00B514DD"/>
    <w:pPr>
      <w:tabs>
        <w:tab w:val="left" w:pos="340"/>
      </w:tabs>
      <w:spacing w:before="120"/>
      <w:ind w:left="340" w:hanging="340"/>
    </w:pPr>
  </w:style>
  <w:style w:type="paragraph" w:styleId="List2">
    <w:name w:val="List 2"/>
    <w:basedOn w:val="Normal"/>
    <w:uiPriority w:val="99"/>
    <w:unhideWhenUsed/>
    <w:rsid w:val="00F171E0"/>
    <w:pPr>
      <w:tabs>
        <w:tab w:val="left" w:pos="680"/>
      </w:tabs>
      <w:spacing w:before="120"/>
      <w:ind w:left="680" w:hanging="340"/>
    </w:pPr>
  </w:style>
  <w:style w:type="paragraph" w:styleId="List3">
    <w:name w:val="List 3"/>
    <w:basedOn w:val="Normal"/>
    <w:uiPriority w:val="99"/>
    <w:unhideWhenUsed/>
    <w:rsid w:val="00F171E0"/>
    <w:pPr>
      <w:tabs>
        <w:tab w:val="left" w:pos="1021"/>
      </w:tabs>
      <w:spacing w:before="120"/>
      <w:ind w:left="1020" w:hanging="340"/>
    </w:pPr>
  </w:style>
  <w:style w:type="paragraph" w:styleId="List4">
    <w:name w:val="List 4"/>
    <w:basedOn w:val="Normal"/>
    <w:uiPriority w:val="99"/>
    <w:unhideWhenUsed/>
    <w:rsid w:val="00F171E0"/>
    <w:pPr>
      <w:tabs>
        <w:tab w:val="left" w:pos="1361"/>
      </w:tabs>
      <w:spacing w:before="120"/>
      <w:ind w:left="1361" w:hanging="340"/>
    </w:pPr>
  </w:style>
  <w:style w:type="paragraph" w:styleId="List5">
    <w:name w:val="List 5"/>
    <w:basedOn w:val="Normal"/>
    <w:uiPriority w:val="99"/>
    <w:unhideWhenUsed/>
    <w:rsid w:val="00F171E0"/>
    <w:pPr>
      <w:tabs>
        <w:tab w:val="left" w:pos="1701"/>
      </w:tabs>
      <w:spacing w:before="120"/>
      <w:ind w:left="1701" w:hanging="340"/>
    </w:pPr>
  </w:style>
  <w:style w:type="paragraph" w:styleId="ListBullet3">
    <w:name w:val="List Bullet 3"/>
    <w:aliases w:val="AER numbered list 2 third"/>
    <w:basedOn w:val="Normal"/>
    <w:unhideWhenUsed/>
    <w:qFormat/>
    <w:rsid w:val="008E77DE"/>
    <w:pPr>
      <w:numPr>
        <w:numId w:val="4"/>
      </w:numPr>
      <w:spacing w:before="120"/>
    </w:pPr>
  </w:style>
  <w:style w:type="paragraph" w:styleId="ListBullet4">
    <w:name w:val="List Bullet 4"/>
    <w:basedOn w:val="Normal"/>
    <w:uiPriority w:val="99"/>
    <w:unhideWhenUsed/>
    <w:rsid w:val="00DB5074"/>
    <w:pPr>
      <w:numPr>
        <w:numId w:val="5"/>
      </w:numPr>
      <w:tabs>
        <w:tab w:val="clear" w:pos="1209"/>
        <w:tab w:val="num" w:pos="1361"/>
      </w:tabs>
      <w:spacing w:before="120"/>
      <w:ind w:left="1378" w:hanging="357"/>
    </w:pPr>
  </w:style>
  <w:style w:type="paragraph" w:styleId="ListBullet5">
    <w:name w:val="List Bullet 5"/>
    <w:basedOn w:val="Normal"/>
    <w:uiPriority w:val="99"/>
    <w:unhideWhenUsed/>
    <w:rsid w:val="00DB5074"/>
    <w:pPr>
      <w:numPr>
        <w:numId w:val="6"/>
      </w:numPr>
      <w:tabs>
        <w:tab w:val="clear" w:pos="1492"/>
        <w:tab w:val="num" w:pos="1701"/>
      </w:tabs>
      <w:spacing w:before="120"/>
      <w:ind w:left="1701" w:hanging="340"/>
    </w:pPr>
  </w:style>
  <w:style w:type="paragraph" w:styleId="ListContinue">
    <w:name w:val="List Continue"/>
    <w:aliases w:val="AER body text (indent 1)"/>
    <w:basedOn w:val="Normal"/>
    <w:unhideWhenUsed/>
    <w:qFormat/>
    <w:rsid w:val="00DB5074"/>
    <w:pPr>
      <w:tabs>
        <w:tab w:val="left" w:pos="340"/>
      </w:tabs>
      <w:spacing w:before="120"/>
      <w:ind w:left="340"/>
    </w:pPr>
  </w:style>
  <w:style w:type="paragraph" w:styleId="ListContinue2">
    <w:name w:val="List Continue 2"/>
    <w:aliases w:val="AER body text (indent 2)"/>
    <w:basedOn w:val="Normal"/>
    <w:unhideWhenUsed/>
    <w:qFormat/>
    <w:rsid w:val="00567BA5"/>
    <w:pPr>
      <w:tabs>
        <w:tab w:val="left" w:pos="680"/>
      </w:tabs>
      <w:spacing w:before="120"/>
      <w:ind w:left="680"/>
    </w:pPr>
  </w:style>
  <w:style w:type="paragraph" w:styleId="ListContinue3">
    <w:name w:val="List Continue 3"/>
    <w:aliases w:val="AER body text (indent 3)"/>
    <w:basedOn w:val="Normal"/>
    <w:unhideWhenUsed/>
    <w:qFormat/>
    <w:rsid w:val="00DB5074"/>
    <w:pPr>
      <w:tabs>
        <w:tab w:val="left" w:pos="1021"/>
      </w:tabs>
      <w:spacing w:before="120"/>
      <w:ind w:left="1021"/>
    </w:pPr>
  </w:style>
  <w:style w:type="paragraph" w:styleId="ListContinue4">
    <w:name w:val="List Continue 4"/>
    <w:basedOn w:val="Normal"/>
    <w:uiPriority w:val="99"/>
    <w:unhideWhenUsed/>
    <w:rsid w:val="00DB5074"/>
    <w:pPr>
      <w:tabs>
        <w:tab w:val="left" w:pos="1361"/>
      </w:tabs>
      <w:spacing w:before="120"/>
      <w:ind w:left="1361"/>
    </w:pPr>
  </w:style>
  <w:style w:type="paragraph" w:styleId="ListNumber3">
    <w:name w:val="List Number 3"/>
    <w:basedOn w:val="Normal"/>
    <w:uiPriority w:val="99"/>
    <w:unhideWhenUsed/>
    <w:rsid w:val="00567BA5"/>
    <w:pPr>
      <w:numPr>
        <w:numId w:val="9"/>
      </w:numPr>
      <w:spacing w:before="120"/>
    </w:pPr>
  </w:style>
  <w:style w:type="paragraph" w:styleId="ListNumber4">
    <w:name w:val="List Number 4"/>
    <w:basedOn w:val="Normal"/>
    <w:uiPriority w:val="99"/>
    <w:unhideWhenUsed/>
    <w:rsid w:val="00567BA5"/>
    <w:pPr>
      <w:numPr>
        <w:numId w:val="10"/>
      </w:numPr>
      <w:tabs>
        <w:tab w:val="clear" w:pos="1209"/>
        <w:tab w:val="num" w:pos="1361"/>
      </w:tabs>
      <w:spacing w:before="120"/>
      <w:ind w:left="1361" w:hanging="340"/>
    </w:pPr>
  </w:style>
  <w:style w:type="paragraph" w:styleId="ListNumber5">
    <w:name w:val="List Number 5"/>
    <w:basedOn w:val="Normal"/>
    <w:uiPriority w:val="99"/>
    <w:unhideWhenUsed/>
    <w:rsid w:val="00567BA5"/>
    <w:pPr>
      <w:numPr>
        <w:numId w:val="11"/>
      </w:numPr>
      <w:tabs>
        <w:tab w:val="clear" w:pos="1492"/>
        <w:tab w:val="num" w:pos="1701"/>
      </w:tabs>
      <w:spacing w:before="120"/>
      <w:ind w:left="1701" w:hanging="340"/>
    </w:pPr>
  </w:style>
  <w:style w:type="paragraph" w:customStyle="1" w:styleId="TableHeading">
    <w:name w:val="Table Heading"/>
    <w:basedOn w:val="Normal"/>
    <w:link w:val="TableHeadingChar"/>
    <w:qFormat/>
    <w:rsid w:val="00185CB9"/>
    <w:pPr>
      <w:spacing w:before="240" w:after="120"/>
    </w:pPr>
    <w:rPr>
      <w:color w:val="FFFFFF" w:themeColor="background1"/>
      <w:sz w:val="24"/>
    </w:rPr>
  </w:style>
  <w:style w:type="paragraph" w:customStyle="1" w:styleId="Tabletext-right">
    <w:name w:val="Table text - right"/>
    <w:basedOn w:val="Tabletext"/>
    <w:link w:val="Tabletext-rightChar"/>
    <w:rsid w:val="00063247"/>
    <w:pPr>
      <w:jc w:val="right"/>
    </w:pPr>
    <w:rPr>
      <w:rFonts w:eastAsia="Times New Roman" w:cs="Times New Roman"/>
      <w:szCs w:val="20"/>
    </w:rPr>
  </w:style>
  <w:style w:type="paragraph" w:customStyle="1" w:styleId="Tabletext-centred">
    <w:name w:val="Table text - centred"/>
    <w:basedOn w:val="Tabletext-right"/>
    <w:link w:val="Tabletext-centredChar"/>
    <w:rsid w:val="00063247"/>
    <w:pPr>
      <w:jc w:val="center"/>
    </w:pPr>
  </w:style>
  <w:style w:type="paragraph" w:customStyle="1" w:styleId="TableHeading-right">
    <w:name w:val="Table Heading - right"/>
    <w:basedOn w:val="TableHeading"/>
    <w:link w:val="TableHeading-rightChar"/>
    <w:rsid w:val="00185CB9"/>
    <w:pPr>
      <w:jc w:val="right"/>
    </w:pPr>
    <w:rPr>
      <w:rFonts w:eastAsia="Times New Roman" w:cs="Times New Roman"/>
      <w:bCs/>
      <w:szCs w:val="20"/>
    </w:rPr>
  </w:style>
  <w:style w:type="character" w:customStyle="1" w:styleId="Tabletext-rightChar">
    <w:name w:val="Table text - right Char"/>
    <w:basedOn w:val="TabletextChar"/>
    <w:link w:val="Tabletext-right"/>
    <w:rsid w:val="00063247"/>
    <w:rPr>
      <w:rFonts w:ascii="Arial" w:eastAsia="Times New Roman" w:hAnsi="Arial" w:cs="Times New Roman"/>
      <w:sz w:val="20"/>
      <w:szCs w:val="20"/>
    </w:rPr>
  </w:style>
  <w:style w:type="character" w:customStyle="1" w:styleId="TabletextChar">
    <w:name w:val="Table text Char"/>
    <w:basedOn w:val="DefaultParagraphFont"/>
    <w:link w:val="Tabletext"/>
    <w:uiPriority w:val="1"/>
    <w:rsid w:val="00584D8F"/>
    <w:rPr>
      <w:rFonts w:ascii="Arial" w:hAnsi="Arial"/>
      <w:sz w:val="20"/>
    </w:rPr>
  </w:style>
  <w:style w:type="character" w:customStyle="1" w:styleId="TableHeadingChar">
    <w:name w:val="Table Heading Char"/>
    <w:basedOn w:val="TabletextChar"/>
    <w:link w:val="TableHeading"/>
    <w:rsid w:val="00185CB9"/>
    <w:rPr>
      <w:rFonts w:ascii="Arial" w:hAnsi="Arial"/>
      <w:color w:val="FFFFFF" w:themeColor="background1"/>
      <w:sz w:val="24"/>
    </w:rPr>
  </w:style>
  <w:style w:type="character" w:customStyle="1" w:styleId="TableHeading-rightChar">
    <w:name w:val="Table Heading - right Char"/>
    <w:basedOn w:val="TableHeadingChar"/>
    <w:link w:val="TableHeading-right"/>
    <w:rsid w:val="00185CB9"/>
    <w:rPr>
      <w:rFonts w:ascii="Arial" w:eastAsia="Times New Roman" w:hAnsi="Arial" w:cs="Times New Roman"/>
      <w:bCs/>
      <w:color w:val="FFFFFF" w:themeColor="background1"/>
      <w:sz w:val="24"/>
      <w:szCs w:val="20"/>
    </w:rPr>
  </w:style>
  <w:style w:type="character" w:customStyle="1" w:styleId="Tabletext-centredChar">
    <w:name w:val="Table text - centred Char"/>
    <w:basedOn w:val="Tabletext-rightChar"/>
    <w:link w:val="Tabletext-centred"/>
    <w:rsid w:val="00063247"/>
    <w:rPr>
      <w:rFonts w:ascii="Arial" w:eastAsia="Times New Roman" w:hAnsi="Arial" w:cs="Times New Roman"/>
      <w:sz w:val="20"/>
      <w:szCs w:val="20"/>
    </w:rPr>
  </w:style>
  <w:style w:type="paragraph" w:customStyle="1" w:styleId="TableHeading-centred">
    <w:name w:val="Table Heading - centred"/>
    <w:basedOn w:val="TableHeading"/>
    <w:rsid w:val="00185CB9"/>
    <w:pPr>
      <w:jc w:val="center"/>
    </w:pPr>
    <w:rPr>
      <w:rFonts w:eastAsia="Times New Roman" w:cs="Times New Roman"/>
      <w:bCs/>
      <w:szCs w:val="20"/>
    </w:rPr>
  </w:style>
  <w:style w:type="character" w:customStyle="1" w:styleId="EndnoteTextChar">
    <w:name w:val="Endnote Text Char"/>
    <w:basedOn w:val="DefaultParagraphFont"/>
    <w:link w:val="EndnoteText"/>
    <w:uiPriority w:val="99"/>
    <w:rsid w:val="00334C8D"/>
    <w:rPr>
      <w:rFonts w:ascii="Arial" w:hAnsi="Arial"/>
      <w:sz w:val="20"/>
      <w:szCs w:val="20"/>
    </w:rPr>
  </w:style>
  <w:style w:type="paragraph" w:styleId="TableofFigures">
    <w:name w:val="table of figures"/>
    <w:basedOn w:val="Normal"/>
    <w:next w:val="Normal"/>
    <w:uiPriority w:val="99"/>
    <w:unhideWhenUsed/>
    <w:rsid w:val="00676679"/>
    <w:pPr>
      <w:spacing w:before="240" w:after="120"/>
    </w:pPr>
  </w:style>
  <w:style w:type="table" w:customStyle="1" w:styleId="ACCCTable3">
    <w:name w:val="ACCC Table 3"/>
    <w:basedOn w:val="TableNormal"/>
    <w:uiPriority w:val="99"/>
    <w:rsid w:val="00C53B5A"/>
    <w:pPr>
      <w:spacing w:before="0"/>
    </w:pPr>
    <w:rPr>
      <w:sz w:val="20"/>
    </w:rPr>
    <w:tblPr>
      <w:tblBorders>
        <w:insideV w:val="single" w:sz="4" w:space="0" w:color="FFFFFF" w:themeColor="background2"/>
      </w:tblBorders>
    </w:tblPr>
    <w:tblStylePr w:type="firstRow">
      <w:rPr>
        <w:rFonts w:asciiTheme="minorHAnsi" w:hAnsiTheme="minorHAnsi"/>
        <w:b/>
        <w:sz w:val="20"/>
      </w:rPr>
    </w:tblStylePr>
    <w:tblStylePr w:type="lastRow">
      <w:rPr>
        <w:rFonts w:ascii="Arial" w:hAnsi="Arial"/>
        <w:b/>
        <w:sz w:val="20"/>
      </w:rPr>
    </w:tblStylePr>
    <w:tblStylePr w:type="firstCol">
      <w:rPr>
        <w:rFonts w:ascii="Arial" w:hAnsi="Arial"/>
        <w:b/>
        <w:sz w:val="20"/>
      </w:rPr>
    </w:tblStylePr>
  </w:style>
  <w:style w:type="character" w:styleId="EndnoteReference">
    <w:name w:val="endnote reference"/>
    <w:basedOn w:val="DefaultParagraphFont"/>
    <w:uiPriority w:val="99"/>
    <w:rsid w:val="00263AC0"/>
    <w:rPr>
      <w:vertAlign w:val="superscript"/>
    </w:rPr>
  </w:style>
  <w:style w:type="paragraph" w:customStyle="1" w:styleId="Numberedparagraph11">
    <w:name w:val="Numbered paragraph 1.1"/>
    <w:basedOn w:val="Normal"/>
    <w:autoRedefine/>
    <w:qFormat/>
    <w:rsid w:val="00985C86"/>
    <w:pPr>
      <w:numPr>
        <w:ilvl w:val="1"/>
        <w:numId w:val="15"/>
      </w:numPr>
      <w:tabs>
        <w:tab w:val="left" w:pos="1021"/>
      </w:tabs>
      <w:spacing w:line="240" w:lineRule="atLeast"/>
      <w:ind w:left="680" w:hanging="680"/>
    </w:pPr>
    <w:rPr>
      <w:rFonts w:eastAsiaTheme="majorEastAsia" w:cs="Arial"/>
      <w:bCs/>
      <w:szCs w:val="26"/>
    </w:rPr>
  </w:style>
  <w:style w:type="paragraph" w:customStyle="1" w:styleId="AERquoteindent2">
    <w:name w:val="AER quote (indent 2)"/>
    <w:basedOn w:val="AERquoteindent1"/>
    <w:qFormat/>
    <w:rsid w:val="00DE1093"/>
    <w:pPr>
      <w:tabs>
        <w:tab w:val="clear" w:pos="680"/>
        <w:tab w:val="left" w:pos="1021"/>
      </w:tabs>
      <w:ind w:left="1021"/>
    </w:pPr>
  </w:style>
  <w:style w:type="paragraph" w:customStyle="1" w:styleId="Numberedparagraph">
    <w:name w:val="Numbered paragraph"/>
    <w:basedOn w:val="Normal"/>
    <w:rsid w:val="00C67A92"/>
    <w:pPr>
      <w:numPr>
        <w:numId w:val="1"/>
      </w:numPr>
      <w:tabs>
        <w:tab w:val="left" w:pos="680"/>
      </w:tabs>
      <w:ind w:left="680" w:hanging="680"/>
    </w:pPr>
    <w:rPr>
      <w:rFonts w:eastAsia="Times New Roman" w:cs="Times New Roman"/>
      <w:szCs w:val="20"/>
    </w:rPr>
  </w:style>
  <w:style w:type="paragraph" w:customStyle="1" w:styleId="Copyright">
    <w:name w:val="Copyright"/>
    <w:basedOn w:val="Normal"/>
    <w:next w:val="Normal"/>
    <w:link w:val="CopyrightChar"/>
    <w:rsid w:val="00951978"/>
    <w:pPr>
      <w:spacing w:line="288" w:lineRule="auto"/>
    </w:pPr>
    <w:rPr>
      <w:sz w:val="20"/>
      <w:szCs w:val="20"/>
    </w:rPr>
  </w:style>
  <w:style w:type="paragraph" w:customStyle="1" w:styleId="ReportTitle">
    <w:name w:val="Report Title"/>
    <w:basedOn w:val="Normal"/>
    <w:next w:val="Normal"/>
    <w:link w:val="ReportTitleChar"/>
    <w:qFormat/>
    <w:rsid w:val="00327A1E"/>
    <w:pPr>
      <w:tabs>
        <w:tab w:val="center" w:pos="4598"/>
        <w:tab w:val="right" w:pos="9026"/>
      </w:tabs>
      <w:spacing w:before="240"/>
      <w:contextualSpacing/>
      <w:jc w:val="center"/>
    </w:pPr>
    <w:rPr>
      <w:rFonts w:eastAsiaTheme="majorEastAsia" w:cstheme="majorBidi"/>
      <w:b/>
      <w:noProof/>
      <w:sz w:val="72"/>
      <w:szCs w:val="72"/>
      <w:lang w:eastAsia="en-AU"/>
    </w:rPr>
  </w:style>
  <w:style w:type="numbering" w:customStyle="1" w:styleId="AlphanumericList">
    <w:name w:val="Alphanumeric List"/>
    <w:uiPriority w:val="99"/>
    <w:rsid w:val="000A6C7B"/>
    <w:pPr>
      <w:numPr>
        <w:numId w:val="16"/>
      </w:numPr>
    </w:pPr>
  </w:style>
  <w:style w:type="table" w:customStyle="1" w:styleId="AERTable-Text">
    <w:name w:val="AER Table - Text"/>
    <w:basedOn w:val="TableNormal"/>
    <w:uiPriority w:val="99"/>
    <w:rsid w:val="000E4821"/>
    <w:pPr>
      <w:spacing w:before="120" w:after="120"/>
    </w:pPr>
    <w:rPr>
      <w:rFonts w:ascii="Arial" w:hAnsi="Arial"/>
      <w:sz w:val="20"/>
    </w:rPr>
    <w:tblPr>
      <w:tblStyleRowBandSize w:val="1"/>
      <w:tblBorders>
        <w:bottom w:val="single" w:sz="4" w:space="0" w:color="auto"/>
      </w:tblBorders>
    </w:tblPr>
    <w:tblStylePr w:type="firstRow">
      <w:pPr>
        <w:wordWrap/>
        <w:spacing w:beforeLines="0" w:before="240" w:beforeAutospacing="0" w:afterLines="0" w:after="120" w:afterAutospacing="0"/>
      </w:pPr>
      <w:rPr>
        <w:rFonts w:ascii="Arial" w:hAnsi="Arial"/>
        <w:b/>
        <w:color w:val="FFFFFF" w:themeColor="background1"/>
        <w:sz w:val="24"/>
      </w:rPr>
      <w:tblPr/>
      <w:tcPr>
        <w:shd w:val="clear" w:color="auto" w:fill="076A92"/>
      </w:tcPr>
    </w:tblStylePr>
    <w:tblStylePr w:type="band2Horz">
      <w:rPr>
        <w:rFonts w:ascii="Arial" w:hAnsi="Arial"/>
        <w:sz w:val="20"/>
      </w:rPr>
      <w:tblPr/>
      <w:tcPr>
        <w:shd w:val="clear" w:color="auto" w:fill="DBE5F1"/>
      </w:tcPr>
    </w:tblStylePr>
  </w:style>
  <w:style w:type="paragraph" w:customStyle="1" w:styleId="ReportDate">
    <w:name w:val="Report Date"/>
    <w:basedOn w:val="ReportTitle"/>
    <w:link w:val="ReportDateChar"/>
    <w:qFormat/>
    <w:rsid w:val="000A6C7B"/>
    <w:rPr>
      <w:b w:val="0"/>
      <w:sz w:val="36"/>
      <w:szCs w:val="36"/>
    </w:rPr>
  </w:style>
  <w:style w:type="paragraph" w:customStyle="1" w:styleId="ReportSubtitle">
    <w:name w:val="Report Subtitle"/>
    <w:basedOn w:val="ReportTitle"/>
    <w:link w:val="ReportSubtitleChar"/>
    <w:qFormat/>
    <w:rsid w:val="00327A1E"/>
    <w:rPr>
      <w:sz w:val="56"/>
      <w:szCs w:val="56"/>
    </w:rPr>
  </w:style>
  <w:style w:type="character" w:customStyle="1" w:styleId="ReportTitleChar">
    <w:name w:val="Report Title Char"/>
    <w:basedOn w:val="Heading1Char"/>
    <w:link w:val="ReportTitle"/>
    <w:rsid w:val="00327A1E"/>
    <w:rPr>
      <w:rFonts w:ascii="Arial" w:eastAsiaTheme="majorEastAsia" w:hAnsi="Arial" w:cstheme="majorBidi"/>
      <w:b w:val="0"/>
      <w:bCs w:val="0"/>
      <w:noProof/>
      <w:color w:val="70635A"/>
      <w:sz w:val="72"/>
      <w:szCs w:val="72"/>
      <w:lang w:eastAsia="en-AU"/>
    </w:rPr>
  </w:style>
  <w:style w:type="character" w:customStyle="1" w:styleId="ReportDateChar">
    <w:name w:val="Report Date Char"/>
    <w:basedOn w:val="ReportTitleChar"/>
    <w:link w:val="ReportDate"/>
    <w:rsid w:val="000A6C7B"/>
    <w:rPr>
      <w:rFonts w:ascii="Arial" w:eastAsiaTheme="majorEastAsia" w:hAnsi="Arial" w:cstheme="majorBidi"/>
      <w:b/>
      <w:bCs w:val="0"/>
      <w:noProof/>
      <w:color w:val="70635A"/>
      <w:sz w:val="36"/>
      <w:szCs w:val="36"/>
      <w:lang w:eastAsia="en-AU"/>
    </w:rPr>
  </w:style>
  <w:style w:type="character" w:customStyle="1" w:styleId="ReportSubtitleChar">
    <w:name w:val="Report Subtitle Char"/>
    <w:basedOn w:val="ReportTitleChar"/>
    <w:link w:val="ReportSubtitle"/>
    <w:rsid w:val="00327A1E"/>
    <w:rPr>
      <w:rFonts w:ascii="Arial" w:eastAsiaTheme="majorEastAsia" w:hAnsi="Arial" w:cstheme="majorBidi"/>
      <w:b w:val="0"/>
      <w:bCs w:val="0"/>
      <w:noProof/>
      <w:color w:val="70635A"/>
      <w:sz w:val="56"/>
      <w:szCs w:val="56"/>
      <w:lang w:eastAsia="en-AU"/>
    </w:rPr>
  </w:style>
  <w:style w:type="character" w:customStyle="1" w:styleId="CopyrightChar">
    <w:name w:val="Copyright Char"/>
    <w:basedOn w:val="DefaultParagraphFont"/>
    <w:link w:val="Copyright"/>
    <w:rsid w:val="00951978"/>
    <w:rPr>
      <w:rFonts w:ascii="Arial" w:hAnsi="Arial"/>
      <w:sz w:val="20"/>
      <w:szCs w:val="20"/>
    </w:rPr>
  </w:style>
  <w:style w:type="paragraph" w:styleId="BodyTextIndent">
    <w:name w:val="Body Text Indent"/>
    <w:basedOn w:val="Normal"/>
    <w:link w:val="BodyTextIndentChar"/>
    <w:unhideWhenUsed/>
    <w:rsid w:val="00F171E0"/>
    <w:pPr>
      <w:spacing w:after="120"/>
      <w:ind w:left="283"/>
    </w:pPr>
  </w:style>
  <w:style w:type="character" w:customStyle="1" w:styleId="BodyTextIndentChar">
    <w:name w:val="Body Text Indent Char"/>
    <w:basedOn w:val="DefaultParagraphFont"/>
    <w:link w:val="BodyTextIndent"/>
    <w:uiPriority w:val="99"/>
    <w:semiHidden/>
    <w:rsid w:val="00F171E0"/>
    <w:rPr>
      <w:rFonts w:ascii="Arial" w:hAnsi="Arial"/>
    </w:rPr>
  </w:style>
  <w:style w:type="paragraph" w:styleId="BodyTextFirstIndent2">
    <w:name w:val="Body Text First Indent 2"/>
    <w:basedOn w:val="BodyTextIndent"/>
    <w:link w:val="BodyTextFirstIndent2Char"/>
    <w:uiPriority w:val="99"/>
    <w:unhideWhenUsed/>
    <w:rsid w:val="00F171E0"/>
    <w:pPr>
      <w:spacing w:after="0"/>
      <w:ind w:left="360" w:firstLine="360"/>
    </w:pPr>
  </w:style>
  <w:style w:type="character" w:customStyle="1" w:styleId="BodyTextFirstIndent2Char">
    <w:name w:val="Body Text First Indent 2 Char"/>
    <w:basedOn w:val="BodyTextIndentChar"/>
    <w:link w:val="BodyTextFirstIndent2"/>
    <w:uiPriority w:val="99"/>
    <w:rsid w:val="00F171E0"/>
    <w:rPr>
      <w:rFonts w:ascii="Arial" w:hAnsi="Arial"/>
    </w:rPr>
  </w:style>
  <w:style w:type="paragraph" w:styleId="Closing">
    <w:name w:val="Closing"/>
    <w:basedOn w:val="Normal"/>
    <w:link w:val="ClosingChar"/>
    <w:uiPriority w:val="99"/>
    <w:unhideWhenUsed/>
    <w:rsid w:val="00F171E0"/>
    <w:pPr>
      <w:spacing w:before="0" w:line="240" w:lineRule="auto"/>
      <w:ind w:left="4252"/>
    </w:pPr>
  </w:style>
  <w:style w:type="character" w:customStyle="1" w:styleId="ClosingChar">
    <w:name w:val="Closing Char"/>
    <w:basedOn w:val="DefaultParagraphFont"/>
    <w:link w:val="Closing"/>
    <w:uiPriority w:val="99"/>
    <w:rsid w:val="00F171E0"/>
    <w:rPr>
      <w:rFonts w:ascii="Arial" w:hAnsi="Arial"/>
    </w:rPr>
  </w:style>
  <w:style w:type="paragraph" w:styleId="BodyTextFirstIndent">
    <w:name w:val="Body Text First Indent"/>
    <w:basedOn w:val="Normal"/>
    <w:link w:val="BodyTextFirstIndentChar"/>
    <w:uiPriority w:val="99"/>
    <w:unhideWhenUsed/>
    <w:rsid w:val="00F171E0"/>
    <w:pPr>
      <w:ind w:firstLine="360"/>
    </w:pPr>
  </w:style>
  <w:style w:type="character" w:customStyle="1" w:styleId="BodyTextFirstIndentChar">
    <w:name w:val="Body Text First Indent Char"/>
    <w:basedOn w:val="DefaultParagraphFont"/>
    <w:link w:val="BodyTextFirstIndent"/>
    <w:uiPriority w:val="99"/>
    <w:rsid w:val="00F171E0"/>
    <w:rPr>
      <w:rFonts w:ascii="Arial" w:hAnsi="Arial"/>
    </w:rPr>
  </w:style>
  <w:style w:type="paragraph" w:styleId="BodyText2">
    <w:name w:val="Body Text 2"/>
    <w:basedOn w:val="Normal"/>
    <w:link w:val="BodyText2Char"/>
    <w:unhideWhenUsed/>
    <w:rsid w:val="00F171E0"/>
    <w:pPr>
      <w:spacing w:after="120" w:line="480" w:lineRule="auto"/>
    </w:pPr>
  </w:style>
  <w:style w:type="character" w:customStyle="1" w:styleId="BodyText2Char">
    <w:name w:val="Body Text 2 Char"/>
    <w:basedOn w:val="DefaultParagraphFont"/>
    <w:link w:val="BodyText2"/>
    <w:uiPriority w:val="99"/>
    <w:rsid w:val="00F171E0"/>
    <w:rPr>
      <w:rFonts w:ascii="Arial" w:hAnsi="Arial"/>
    </w:rPr>
  </w:style>
  <w:style w:type="paragraph" w:customStyle="1" w:styleId="ListLegal">
    <w:name w:val="List Legal"/>
    <w:basedOn w:val="ListParagraph"/>
    <w:rsid w:val="00301B40"/>
    <w:pPr>
      <w:numPr>
        <w:numId w:val="19"/>
      </w:numPr>
      <w:tabs>
        <w:tab w:val="clear" w:pos="340"/>
        <w:tab w:val="left" w:pos="680"/>
      </w:tabs>
      <w:ind w:left="680" w:hanging="340"/>
    </w:pPr>
  </w:style>
  <w:style w:type="character" w:styleId="CommentReference">
    <w:name w:val="annotation reference"/>
    <w:basedOn w:val="DefaultParagraphFont"/>
    <w:uiPriority w:val="99"/>
    <w:unhideWhenUsed/>
    <w:rsid w:val="00F171E0"/>
    <w:rPr>
      <w:sz w:val="16"/>
      <w:szCs w:val="16"/>
    </w:rPr>
  </w:style>
  <w:style w:type="paragraph" w:customStyle="1" w:styleId="ListLegal2">
    <w:name w:val="List Legal 2"/>
    <w:basedOn w:val="ListLegal"/>
    <w:rsid w:val="00301B40"/>
    <w:pPr>
      <w:tabs>
        <w:tab w:val="clear" w:pos="680"/>
        <w:tab w:val="left" w:pos="1021"/>
      </w:tabs>
      <w:ind w:left="1020"/>
    </w:pPr>
  </w:style>
  <w:style w:type="paragraph" w:customStyle="1" w:styleId="AERnumberedlistthirdstyle">
    <w:name w:val="AER numbered list (third style)"/>
    <w:basedOn w:val="ListNumber3"/>
    <w:qFormat/>
    <w:rsid w:val="00571D57"/>
    <w:pPr>
      <w:numPr>
        <w:numId w:val="20"/>
      </w:numPr>
      <w:tabs>
        <w:tab w:val="left" w:pos="1361"/>
      </w:tabs>
      <w:ind w:left="1361" w:hanging="340"/>
    </w:pPr>
  </w:style>
  <w:style w:type="paragraph" w:customStyle="1" w:styleId="ListLegal4">
    <w:name w:val="List Legal 4"/>
    <w:basedOn w:val="AERnumberedlistthirdstyle"/>
    <w:rsid w:val="00571D57"/>
    <w:pPr>
      <w:tabs>
        <w:tab w:val="clear" w:pos="1361"/>
        <w:tab w:val="left" w:pos="1701"/>
      </w:tabs>
      <w:ind w:left="1701"/>
    </w:pPr>
  </w:style>
  <w:style w:type="paragraph" w:customStyle="1" w:styleId="ListLegal5">
    <w:name w:val="List Legal 5"/>
    <w:basedOn w:val="ListLegal4"/>
    <w:rsid w:val="00571D57"/>
    <w:pPr>
      <w:tabs>
        <w:tab w:val="clear" w:pos="1701"/>
        <w:tab w:val="left" w:pos="2041"/>
      </w:tabs>
      <w:ind w:left="2041"/>
    </w:pPr>
  </w:style>
  <w:style w:type="paragraph" w:styleId="Date">
    <w:name w:val="Date"/>
    <w:basedOn w:val="Normal"/>
    <w:next w:val="Normal"/>
    <w:link w:val="DateChar"/>
    <w:uiPriority w:val="99"/>
    <w:unhideWhenUsed/>
    <w:rsid w:val="00F171E0"/>
  </w:style>
  <w:style w:type="character" w:customStyle="1" w:styleId="DateChar">
    <w:name w:val="Date Char"/>
    <w:basedOn w:val="DefaultParagraphFont"/>
    <w:link w:val="Date"/>
    <w:uiPriority w:val="99"/>
    <w:rsid w:val="00F171E0"/>
    <w:rPr>
      <w:rFonts w:ascii="Arial" w:hAnsi="Arial"/>
    </w:rPr>
  </w:style>
  <w:style w:type="paragraph" w:styleId="DocumentMap">
    <w:name w:val="Document Map"/>
    <w:basedOn w:val="Normal"/>
    <w:link w:val="DocumentMapChar"/>
    <w:unhideWhenUsed/>
    <w:rsid w:val="00F171E0"/>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rsid w:val="00F171E0"/>
    <w:rPr>
      <w:rFonts w:ascii="Tahoma" w:hAnsi="Tahoma" w:cs="Tahoma"/>
      <w:sz w:val="16"/>
      <w:szCs w:val="16"/>
    </w:rPr>
  </w:style>
  <w:style w:type="paragraph" w:styleId="E-mailSignature">
    <w:name w:val="E-mail Signature"/>
    <w:basedOn w:val="Normal"/>
    <w:link w:val="E-mailSignatureChar"/>
    <w:uiPriority w:val="99"/>
    <w:unhideWhenUsed/>
    <w:rsid w:val="00F171E0"/>
    <w:pPr>
      <w:spacing w:before="0" w:line="240" w:lineRule="auto"/>
    </w:pPr>
  </w:style>
  <w:style w:type="character" w:customStyle="1" w:styleId="E-mailSignatureChar">
    <w:name w:val="E-mail Signature Char"/>
    <w:basedOn w:val="DefaultParagraphFont"/>
    <w:link w:val="E-mailSignature"/>
    <w:uiPriority w:val="99"/>
    <w:rsid w:val="00F171E0"/>
    <w:rPr>
      <w:rFonts w:ascii="Arial" w:hAnsi="Arial"/>
    </w:rPr>
  </w:style>
  <w:style w:type="paragraph" w:styleId="EnvelopeAddress">
    <w:name w:val="envelope address"/>
    <w:basedOn w:val="Normal"/>
    <w:uiPriority w:val="99"/>
    <w:unhideWhenUsed/>
    <w:rsid w:val="00F171E0"/>
    <w:pPr>
      <w:framePr w:w="7920" w:h="1980" w:hRule="exact" w:hSpace="180" w:wrap="auto" w:hAnchor="page" w:xAlign="center" w:yAlign="bottom"/>
      <w:spacing w:before="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unhideWhenUsed/>
    <w:rsid w:val="00F171E0"/>
    <w:pPr>
      <w:spacing w:before="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nhideWhenUsed/>
    <w:rsid w:val="00F171E0"/>
    <w:rPr>
      <w:color w:val="800080" w:themeColor="followedHyperlink"/>
      <w:u w:val="single"/>
    </w:rPr>
  </w:style>
  <w:style w:type="paragraph" w:styleId="Index3">
    <w:name w:val="index 3"/>
    <w:basedOn w:val="Normal"/>
    <w:next w:val="Normal"/>
    <w:autoRedefine/>
    <w:uiPriority w:val="99"/>
    <w:unhideWhenUsed/>
    <w:rsid w:val="00F171E0"/>
    <w:pPr>
      <w:spacing w:before="0" w:line="240" w:lineRule="auto"/>
      <w:ind w:left="660" w:hanging="220"/>
    </w:pPr>
  </w:style>
  <w:style w:type="paragraph" w:styleId="Index4">
    <w:name w:val="index 4"/>
    <w:basedOn w:val="Normal"/>
    <w:next w:val="Normal"/>
    <w:autoRedefine/>
    <w:uiPriority w:val="99"/>
    <w:unhideWhenUsed/>
    <w:rsid w:val="00F171E0"/>
    <w:pPr>
      <w:spacing w:before="0" w:line="240" w:lineRule="auto"/>
      <w:ind w:left="880" w:hanging="220"/>
    </w:pPr>
  </w:style>
  <w:style w:type="paragraph" w:styleId="Index5">
    <w:name w:val="index 5"/>
    <w:basedOn w:val="Normal"/>
    <w:next w:val="Normal"/>
    <w:autoRedefine/>
    <w:uiPriority w:val="99"/>
    <w:unhideWhenUsed/>
    <w:rsid w:val="00F171E0"/>
    <w:pPr>
      <w:spacing w:before="0" w:line="240" w:lineRule="auto"/>
      <w:ind w:left="1100" w:hanging="220"/>
    </w:pPr>
  </w:style>
  <w:style w:type="paragraph" w:styleId="IndexHeading">
    <w:name w:val="index heading"/>
    <w:basedOn w:val="Normal"/>
    <w:next w:val="Index1"/>
    <w:uiPriority w:val="99"/>
    <w:unhideWhenUsed/>
    <w:rsid w:val="00F171E0"/>
    <w:rPr>
      <w:rFonts w:asciiTheme="majorHAnsi" w:eastAsiaTheme="majorEastAsia" w:hAnsiTheme="majorHAnsi" w:cstheme="majorBidi"/>
      <w:b/>
      <w:bCs/>
    </w:rPr>
  </w:style>
  <w:style w:type="character" w:styleId="IntenseEmphasis">
    <w:name w:val="Intense Emphasis"/>
    <w:basedOn w:val="DefaultParagraphFont"/>
    <w:uiPriority w:val="21"/>
    <w:unhideWhenUsed/>
    <w:rsid w:val="00F171E0"/>
    <w:rPr>
      <w:b/>
      <w:bCs/>
      <w:i/>
      <w:iCs/>
      <w:color w:val="2F002F" w:themeColor="accent1"/>
    </w:rPr>
  </w:style>
  <w:style w:type="paragraph" w:styleId="IntenseQuote">
    <w:name w:val="Intense Quote"/>
    <w:basedOn w:val="Normal"/>
    <w:next w:val="Normal"/>
    <w:link w:val="IntenseQuoteChar"/>
    <w:uiPriority w:val="30"/>
    <w:unhideWhenUsed/>
    <w:rsid w:val="00F171E0"/>
    <w:pPr>
      <w:pBdr>
        <w:bottom w:val="single" w:sz="4" w:space="4" w:color="2F002F" w:themeColor="accent1"/>
      </w:pBdr>
      <w:spacing w:after="280"/>
      <w:ind w:left="936" w:right="936"/>
    </w:pPr>
    <w:rPr>
      <w:b/>
      <w:bCs/>
      <w:i/>
      <w:iCs/>
      <w:color w:val="2F002F" w:themeColor="accent1"/>
    </w:rPr>
  </w:style>
  <w:style w:type="character" w:customStyle="1" w:styleId="IntenseQuoteChar">
    <w:name w:val="Intense Quote Char"/>
    <w:basedOn w:val="DefaultParagraphFont"/>
    <w:link w:val="IntenseQuote"/>
    <w:uiPriority w:val="30"/>
    <w:rsid w:val="00F171E0"/>
    <w:rPr>
      <w:rFonts w:ascii="Arial" w:hAnsi="Arial"/>
      <w:b/>
      <w:bCs/>
      <w:i/>
      <w:iCs/>
      <w:color w:val="2F002F" w:themeColor="accent1"/>
    </w:rPr>
  </w:style>
  <w:style w:type="character" w:styleId="IntenseReference">
    <w:name w:val="Intense Reference"/>
    <w:basedOn w:val="DefaultParagraphFont"/>
    <w:uiPriority w:val="32"/>
    <w:unhideWhenUsed/>
    <w:rsid w:val="00F171E0"/>
    <w:rPr>
      <w:b/>
      <w:bCs/>
      <w:smallCaps/>
      <w:color w:val="C14E00" w:themeColor="accent2"/>
      <w:spacing w:val="5"/>
      <w:u w:val="single"/>
    </w:rPr>
  </w:style>
  <w:style w:type="character" w:styleId="LineNumber">
    <w:name w:val="line number"/>
    <w:basedOn w:val="DefaultParagraphFont"/>
    <w:uiPriority w:val="99"/>
    <w:unhideWhenUsed/>
    <w:rsid w:val="00F171E0"/>
  </w:style>
  <w:style w:type="paragraph" w:customStyle="1" w:styleId="AERnumberedlistsecondstyle">
    <w:name w:val="AER numbered list (second style)"/>
    <w:basedOn w:val="Listalphabet"/>
    <w:qFormat/>
    <w:rsid w:val="00DB5074"/>
    <w:pPr>
      <w:numPr>
        <w:numId w:val="18"/>
      </w:numPr>
      <w:tabs>
        <w:tab w:val="clear" w:pos="340"/>
        <w:tab w:val="left" w:pos="680"/>
      </w:tabs>
      <w:ind w:left="680" w:hanging="340"/>
    </w:pPr>
  </w:style>
  <w:style w:type="paragraph" w:customStyle="1" w:styleId="Listalphabet3">
    <w:name w:val="List alphabet 3"/>
    <w:basedOn w:val="AERnumberedlistsecondstyle"/>
    <w:rsid w:val="00DB5074"/>
    <w:pPr>
      <w:tabs>
        <w:tab w:val="clear" w:pos="680"/>
        <w:tab w:val="left" w:pos="1021"/>
      </w:tabs>
      <w:ind w:left="1020"/>
    </w:pPr>
  </w:style>
  <w:style w:type="paragraph" w:customStyle="1" w:styleId="Listalphabet4">
    <w:name w:val="List alphabet 4"/>
    <w:basedOn w:val="Listalphabet3"/>
    <w:rsid w:val="00DB5074"/>
    <w:pPr>
      <w:tabs>
        <w:tab w:val="clear" w:pos="1021"/>
        <w:tab w:val="left" w:pos="1361"/>
      </w:tabs>
      <w:ind w:left="1361"/>
    </w:pPr>
  </w:style>
  <w:style w:type="paragraph" w:customStyle="1" w:styleId="Listalphabet5">
    <w:name w:val="List alphabet 5"/>
    <w:basedOn w:val="Listalphabet4"/>
    <w:rsid w:val="00DB5074"/>
    <w:pPr>
      <w:tabs>
        <w:tab w:val="clear" w:pos="1361"/>
        <w:tab w:val="left" w:pos="1701"/>
      </w:tabs>
      <w:ind w:left="1701"/>
    </w:pPr>
  </w:style>
  <w:style w:type="paragraph" w:styleId="ListContinue5">
    <w:name w:val="List Continue 5"/>
    <w:basedOn w:val="Normal"/>
    <w:uiPriority w:val="99"/>
    <w:unhideWhenUsed/>
    <w:rsid w:val="00DB5074"/>
    <w:pPr>
      <w:tabs>
        <w:tab w:val="left" w:pos="1701"/>
      </w:tabs>
      <w:spacing w:after="120"/>
      <w:ind w:left="1701"/>
      <w:contextualSpacing/>
    </w:pPr>
  </w:style>
  <w:style w:type="paragraph" w:styleId="ListNumber2">
    <w:name w:val="List Number 2"/>
    <w:basedOn w:val="Normal"/>
    <w:uiPriority w:val="99"/>
    <w:unhideWhenUsed/>
    <w:rsid w:val="00571D57"/>
    <w:pPr>
      <w:numPr>
        <w:numId w:val="8"/>
      </w:numPr>
      <w:tabs>
        <w:tab w:val="left" w:pos="680"/>
      </w:tabs>
      <w:spacing w:before="80" w:line="360" w:lineRule="auto"/>
      <w:ind w:left="680" w:hanging="340"/>
      <w:contextualSpacing/>
    </w:pPr>
  </w:style>
  <w:style w:type="character" w:customStyle="1" w:styleId="SalutationChar">
    <w:name w:val="Salutation Char"/>
    <w:basedOn w:val="DefaultParagraphFont"/>
    <w:link w:val="Salutation"/>
    <w:uiPriority w:val="99"/>
    <w:rsid w:val="00CA489E"/>
    <w:rPr>
      <w:rFonts w:ascii="Arial" w:hAnsi="Arial"/>
    </w:rPr>
  </w:style>
  <w:style w:type="paragraph" w:styleId="Signature">
    <w:name w:val="Signature"/>
    <w:basedOn w:val="Normal"/>
    <w:link w:val="SignatureChar"/>
    <w:uiPriority w:val="99"/>
    <w:unhideWhenUsed/>
    <w:rsid w:val="00CA489E"/>
    <w:pPr>
      <w:spacing w:before="0" w:line="240" w:lineRule="auto"/>
      <w:ind w:left="4252"/>
    </w:pPr>
  </w:style>
  <w:style w:type="character" w:customStyle="1" w:styleId="SignatureChar">
    <w:name w:val="Signature Char"/>
    <w:basedOn w:val="DefaultParagraphFont"/>
    <w:link w:val="Signature"/>
    <w:uiPriority w:val="99"/>
    <w:rsid w:val="00CA489E"/>
    <w:rPr>
      <w:rFonts w:ascii="Arial" w:hAnsi="Arial"/>
    </w:rPr>
  </w:style>
  <w:style w:type="character" w:styleId="SubtleEmphasis">
    <w:name w:val="Subtle Emphasis"/>
    <w:basedOn w:val="DefaultParagraphFont"/>
    <w:uiPriority w:val="19"/>
    <w:unhideWhenUsed/>
    <w:rsid w:val="00CA489E"/>
    <w:rPr>
      <w:b/>
      <w:i/>
      <w:iCs/>
      <w:color w:val="2F002F" w:themeColor="accent1"/>
    </w:rPr>
  </w:style>
  <w:style w:type="character" w:styleId="SubtleReference">
    <w:name w:val="Subtle Reference"/>
    <w:basedOn w:val="DefaultParagraphFont"/>
    <w:uiPriority w:val="31"/>
    <w:unhideWhenUsed/>
    <w:rsid w:val="00CA489E"/>
    <w:rPr>
      <w:smallCaps/>
      <w:color w:val="C14E00" w:themeColor="accent2"/>
      <w:u w:val="single"/>
    </w:rPr>
  </w:style>
  <w:style w:type="paragraph" w:customStyle="1" w:styleId="AERquoteindent1">
    <w:name w:val="AER quote (indent 1)"/>
    <w:basedOn w:val="Normal"/>
    <w:qFormat/>
    <w:rsid w:val="00DE1093"/>
    <w:pPr>
      <w:tabs>
        <w:tab w:val="left" w:pos="680"/>
      </w:tabs>
      <w:spacing w:after="160" w:line="240" w:lineRule="auto"/>
      <w:ind w:left="680" w:right="794"/>
    </w:pPr>
    <w:rPr>
      <w:rFonts w:eastAsia="Times New Roman" w:cs="Times New Roman"/>
      <w:sz w:val="20"/>
      <w:szCs w:val="20"/>
      <w:lang w:eastAsia="en-AU"/>
    </w:rPr>
  </w:style>
  <w:style w:type="character" w:styleId="PageNumber">
    <w:name w:val="page number"/>
    <w:basedOn w:val="DefaultParagraphFont"/>
    <w:rsid w:val="0020492C"/>
  </w:style>
  <w:style w:type="character" w:styleId="PlaceholderText">
    <w:name w:val="Placeholder Text"/>
    <w:basedOn w:val="DefaultParagraphFont"/>
    <w:uiPriority w:val="99"/>
    <w:rsid w:val="008D1661"/>
    <w:rPr>
      <w:color w:val="808080"/>
    </w:rPr>
  </w:style>
  <w:style w:type="paragraph" w:customStyle="1" w:styleId="StyleCopyrightBefore0pt">
    <w:name w:val="Style Copyright + Before:  0 pt"/>
    <w:basedOn w:val="Copyright"/>
    <w:rsid w:val="00185CB9"/>
    <w:pPr>
      <w:spacing w:before="120"/>
    </w:pPr>
    <w:rPr>
      <w:rFonts w:eastAsia="Times New Roman" w:cs="Times New Roman"/>
    </w:rPr>
  </w:style>
  <w:style w:type="character" w:customStyle="1" w:styleId="Bold">
    <w:name w:val="Bold"/>
    <w:basedOn w:val="DefaultParagraphFont"/>
    <w:rsid w:val="0020492C"/>
    <w:rPr>
      <w:b/>
      <w:bCs/>
    </w:rPr>
  </w:style>
  <w:style w:type="paragraph" w:customStyle="1" w:styleId="LegalNumbering">
    <w:name w:val="Legal Numbering"/>
    <w:basedOn w:val="Normal"/>
    <w:rsid w:val="005829C2"/>
    <w:pPr>
      <w:numPr>
        <w:numId w:val="21"/>
      </w:numPr>
      <w:tabs>
        <w:tab w:val="left" w:pos="680"/>
        <w:tab w:val="left" w:pos="1021"/>
        <w:tab w:val="left" w:pos="1361"/>
      </w:tabs>
      <w:spacing w:line="240" w:lineRule="auto"/>
    </w:pPr>
  </w:style>
  <w:style w:type="paragraph" w:customStyle="1" w:styleId="AERquoteindent3">
    <w:name w:val="AER quote (indent 3)"/>
    <w:basedOn w:val="AERquoteindent2"/>
    <w:qFormat/>
    <w:rsid w:val="00DE1093"/>
    <w:pPr>
      <w:ind w:left="1361"/>
    </w:pPr>
  </w:style>
  <w:style w:type="paragraph" w:customStyle="1" w:styleId="AERquotebullet1">
    <w:name w:val="AER quote bullet 1"/>
    <w:basedOn w:val="AERquoteindent1"/>
    <w:qFormat/>
    <w:rsid w:val="00DE1093"/>
    <w:pPr>
      <w:numPr>
        <w:numId w:val="22"/>
      </w:numPr>
      <w:ind w:left="1037" w:hanging="357"/>
    </w:pPr>
  </w:style>
  <w:style w:type="paragraph" w:customStyle="1" w:styleId="AERbulletlistthirdstyle">
    <w:name w:val="AER bullet list (third style)"/>
    <w:basedOn w:val="AERbulletlistsecondstyle"/>
    <w:qFormat/>
    <w:rsid w:val="00343A18"/>
    <w:pPr>
      <w:numPr>
        <w:ilvl w:val="2"/>
      </w:numPr>
      <w:tabs>
        <w:tab w:val="left" w:pos="1361"/>
      </w:tabs>
      <w:ind w:left="1361" w:hanging="340"/>
    </w:pPr>
  </w:style>
  <w:style w:type="character" w:customStyle="1" w:styleId="AERsubscript">
    <w:name w:val="AER subscript"/>
    <w:basedOn w:val="DefaultParagraphFont"/>
    <w:qFormat/>
    <w:rsid w:val="00343A18"/>
    <w:rPr>
      <w:sz w:val="16"/>
      <w:vertAlign w:val="subscript"/>
    </w:rPr>
  </w:style>
  <w:style w:type="character" w:customStyle="1" w:styleId="AERtextbolditalics">
    <w:name w:val="AER text bold italics"/>
    <w:basedOn w:val="DefaultParagraphFont"/>
    <w:qFormat/>
    <w:rsid w:val="00343A18"/>
    <w:rPr>
      <w:b/>
      <w:bCs/>
      <w:i/>
      <w:iCs/>
    </w:rPr>
  </w:style>
  <w:style w:type="character" w:customStyle="1" w:styleId="AERsuperscript">
    <w:name w:val="AER superscript"/>
    <w:qFormat/>
    <w:rsid w:val="00343A18"/>
    <w:rPr>
      <w:rFonts w:ascii="Arial" w:hAnsi="Arial"/>
      <w:sz w:val="16"/>
      <w:vertAlign w:val="superscript"/>
    </w:rPr>
  </w:style>
  <w:style w:type="character" w:customStyle="1" w:styleId="AERtextunderline">
    <w:name w:val="AER text underline"/>
    <w:basedOn w:val="DefaultParagraphFont"/>
    <w:qFormat/>
    <w:rsid w:val="00343A18"/>
    <w:rPr>
      <w:u w:val="single"/>
    </w:rPr>
  </w:style>
  <w:style w:type="paragraph" w:customStyle="1" w:styleId="AERtextconfidential">
    <w:name w:val="AER text confidential"/>
    <w:basedOn w:val="Normal"/>
    <w:qFormat/>
    <w:rsid w:val="008B5FCC"/>
    <w:rPr>
      <w:shd w:val="clear" w:color="auto" w:fill="CCFFFF"/>
    </w:rPr>
  </w:style>
  <w:style w:type="paragraph" w:customStyle="1" w:styleId="UnnumberedHeading">
    <w:name w:val="Unnumbered Heading"/>
    <w:basedOn w:val="Heading1"/>
    <w:link w:val="UnnumberedHeadingChar"/>
    <w:qFormat/>
    <w:rsid w:val="008B5FCC"/>
    <w:pPr>
      <w:numPr>
        <w:numId w:val="0"/>
      </w:numPr>
    </w:pPr>
  </w:style>
  <w:style w:type="numbering" w:customStyle="1" w:styleId="AERHeadings">
    <w:name w:val="AER Headings"/>
    <w:uiPriority w:val="99"/>
    <w:rsid w:val="00126A4C"/>
    <w:pPr>
      <w:numPr>
        <w:numId w:val="23"/>
      </w:numPr>
    </w:pPr>
  </w:style>
  <w:style w:type="character" w:customStyle="1" w:styleId="AERbody">
    <w:name w:val="AER body"/>
    <w:basedOn w:val="DefaultParagraphFont"/>
    <w:qFormat/>
    <w:rsid w:val="00126A4C"/>
    <w:rPr>
      <w:rFonts w:ascii="Arial" w:hAnsi="Arial"/>
      <w:color w:val="auto"/>
      <w:sz w:val="22"/>
    </w:rPr>
  </w:style>
  <w:style w:type="numbering" w:customStyle="1" w:styleId="AERnumberedlist">
    <w:name w:val="AER numbered list"/>
    <w:uiPriority w:val="99"/>
    <w:rsid w:val="00126A4C"/>
    <w:pPr>
      <w:numPr>
        <w:numId w:val="24"/>
      </w:numPr>
    </w:pPr>
  </w:style>
  <w:style w:type="character" w:customStyle="1" w:styleId="UnnumberedHeadingChar">
    <w:name w:val="Unnumbered Heading Char"/>
    <w:basedOn w:val="Heading1Char"/>
    <w:link w:val="UnnumberedHeading"/>
    <w:rsid w:val="00126A4C"/>
    <w:rPr>
      <w:rFonts w:ascii="Arial" w:eastAsiaTheme="majorEastAsia" w:hAnsi="Arial" w:cstheme="majorBidi"/>
      <w:b/>
      <w:bCs/>
      <w:color w:val="70635A"/>
      <w:sz w:val="36"/>
      <w:szCs w:val="28"/>
    </w:rPr>
  </w:style>
  <w:style w:type="paragraph" w:customStyle="1" w:styleId="AERbodytextnospace">
    <w:name w:val="AER body text no space"/>
    <w:basedOn w:val="Normal"/>
    <w:qFormat/>
    <w:rsid w:val="00683C89"/>
    <w:pPr>
      <w:tabs>
        <w:tab w:val="num" w:pos="0"/>
      </w:tabs>
      <w:spacing w:before="0" w:line="288" w:lineRule="auto"/>
      <w:jc w:val="both"/>
    </w:pPr>
    <w:rPr>
      <w:rFonts w:asciiTheme="minorHAnsi" w:eastAsia="Times New Roman" w:hAnsiTheme="minorHAnsi" w:cs="Times New Roman"/>
      <w:sz w:val="20"/>
      <w:szCs w:val="24"/>
    </w:rPr>
  </w:style>
  <w:style w:type="paragraph" w:customStyle="1" w:styleId="AERnumberedlist2first">
    <w:name w:val="AER numbered list 2 first"/>
    <w:basedOn w:val="Normal"/>
    <w:qFormat/>
    <w:rsid w:val="00683C89"/>
    <w:pPr>
      <w:tabs>
        <w:tab w:val="num" w:pos="454"/>
      </w:tabs>
      <w:spacing w:before="0" w:after="240" w:line="288" w:lineRule="auto"/>
      <w:ind w:left="454" w:hanging="454"/>
      <w:jc w:val="both"/>
    </w:pPr>
    <w:rPr>
      <w:rFonts w:asciiTheme="minorHAnsi" w:eastAsia="Times New Roman" w:hAnsiTheme="minorHAnsi" w:cs="Times New Roman"/>
      <w:sz w:val="20"/>
      <w:szCs w:val="24"/>
    </w:rPr>
  </w:style>
  <w:style w:type="character" w:customStyle="1" w:styleId="AERbodytextChar">
    <w:name w:val="AER body text Char"/>
    <w:basedOn w:val="DefaultParagraphFont"/>
    <w:rsid w:val="00126A4C"/>
    <w:rPr>
      <w:rFonts w:eastAsia="Times New Roman"/>
      <w:szCs w:val="24"/>
      <w:lang w:eastAsia="en-US"/>
    </w:rPr>
  </w:style>
  <w:style w:type="character" w:customStyle="1" w:styleId="HeadingBoldBlueChar">
    <w:name w:val="Heading Bold Blue Char"/>
    <w:basedOn w:val="AERbodytextChar"/>
    <w:link w:val="HeadingBoldBlue"/>
    <w:rsid w:val="00126A4C"/>
    <w:rPr>
      <w:rFonts w:ascii="Arial" w:eastAsiaTheme="majorEastAsia" w:hAnsi="Arial" w:cstheme="majorBidi"/>
      <w:b/>
      <w:bCs/>
      <w:color w:val="70635A" w:themeColor="text2"/>
      <w:sz w:val="28"/>
      <w:szCs w:val="24"/>
      <w:lang w:eastAsia="en-US"/>
    </w:rPr>
  </w:style>
  <w:style w:type="table" w:customStyle="1" w:styleId="AERtable-text0">
    <w:name w:val="AER table - text"/>
    <w:basedOn w:val="TableNormal"/>
    <w:uiPriority w:val="99"/>
    <w:rsid w:val="00683C89"/>
    <w:pPr>
      <w:spacing w:before="120" w:after="80"/>
    </w:pPr>
    <w:rPr>
      <w:rFonts w:eastAsia="Calibri" w:cs="Times New Roman"/>
      <w:sz w:val="16"/>
      <w:szCs w:val="20"/>
      <w:lang w:eastAsia="en-AU"/>
    </w:rPr>
    <w:tblPr>
      <w:tblStyleRowBandSize w:val="1"/>
      <w:tblBorders>
        <w:bottom w:val="single" w:sz="4" w:space="0" w:color="365F91"/>
      </w:tblBorders>
    </w:tblPr>
    <w:tcPr>
      <w:vAlign w:val="center"/>
    </w:tcPr>
    <w:tblStylePr w:type="firstRow">
      <w:rPr>
        <w:b/>
        <w:color w:val="FFFFFF"/>
      </w:rPr>
      <w:tblPr/>
      <w:tcPr>
        <w:shd w:val="clear" w:color="auto" w:fill="365F91"/>
      </w:tcPr>
    </w:tblStylePr>
    <w:tblStylePr w:type="band2Horz">
      <w:tblPr/>
      <w:tcPr>
        <w:shd w:val="clear" w:color="auto" w:fill="DBE5F1"/>
      </w:tcPr>
    </w:tblStylePr>
  </w:style>
  <w:style w:type="character" w:customStyle="1" w:styleId="AERtextsize8">
    <w:name w:val="AER text size 8"/>
    <w:basedOn w:val="AERbody"/>
    <w:uiPriority w:val="1"/>
    <w:qFormat/>
    <w:rsid w:val="00126A4C"/>
    <w:rPr>
      <w:rFonts w:ascii="Arial" w:hAnsi="Arial"/>
      <w:color w:val="auto"/>
      <w:sz w:val="16"/>
    </w:rPr>
  </w:style>
  <w:style w:type="paragraph" w:styleId="Index7">
    <w:name w:val="index 7"/>
    <w:basedOn w:val="Normal"/>
    <w:next w:val="Normal"/>
    <w:autoRedefine/>
    <w:uiPriority w:val="99"/>
    <w:unhideWhenUsed/>
    <w:rsid w:val="00126A4C"/>
    <w:pPr>
      <w:spacing w:before="0" w:line="240" w:lineRule="auto"/>
      <w:ind w:left="1540" w:hanging="220"/>
    </w:pPr>
  </w:style>
  <w:style w:type="paragraph" w:customStyle="1" w:styleId="AERtablesource">
    <w:name w:val="AER table source"/>
    <w:next w:val="Normal"/>
    <w:qFormat/>
    <w:rsid w:val="0066104A"/>
    <w:pPr>
      <w:tabs>
        <w:tab w:val="left" w:pos="794"/>
      </w:tabs>
      <w:spacing w:before="160" w:after="360" w:line="360" w:lineRule="auto"/>
      <w:ind w:left="794" w:hanging="794"/>
      <w:contextualSpacing/>
      <w:jc w:val="both"/>
    </w:pPr>
    <w:rPr>
      <w:rFonts w:ascii="Arial" w:eastAsia="Times New Roman" w:hAnsi="Arial" w:cs="Times New Roman"/>
      <w:sz w:val="16"/>
      <w:szCs w:val="24"/>
    </w:rPr>
  </w:style>
  <w:style w:type="character" w:customStyle="1" w:styleId="AERtexthighlight">
    <w:name w:val="AER text highlight"/>
    <w:qFormat/>
    <w:rsid w:val="00126A4C"/>
    <w:rPr>
      <w:bdr w:val="none" w:sz="0" w:space="0" w:color="auto"/>
      <w:shd w:val="clear" w:color="auto" w:fill="FFFF00"/>
    </w:rPr>
  </w:style>
  <w:style w:type="character" w:customStyle="1" w:styleId="AERtextitalic">
    <w:name w:val="AER text italic"/>
    <w:qFormat/>
    <w:rsid w:val="00126A4C"/>
    <w:rPr>
      <w:i/>
    </w:rPr>
  </w:style>
  <w:style w:type="paragraph" w:customStyle="1" w:styleId="AERquote">
    <w:name w:val="AER quote"/>
    <w:next w:val="Normal"/>
    <w:qFormat/>
    <w:rsid w:val="00DE1093"/>
    <w:pPr>
      <w:tabs>
        <w:tab w:val="num" w:pos="709"/>
      </w:tabs>
      <w:spacing w:after="160" w:line="288" w:lineRule="auto"/>
      <w:ind w:left="709" w:right="720"/>
      <w:jc w:val="both"/>
    </w:pPr>
    <w:rPr>
      <w:rFonts w:ascii="Arial" w:eastAsia="Times New Roman" w:hAnsi="Arial" w:cs="Times New Roman"/>
      <w:color w:val="000000"/>
      <w:sz w:val="20"/>
      <w:szCs w:val="24"/>
    </w:rPr>
  </w:style>
  <w:style w:type="paragraph" w:customStyle="1" w:styleId="AERtabletextleft">
    <w:name w:val="AER table text left"/>
    <w:qFormat/>
    <w:rsid w:val="00983C25"/>
    <w:pPr>
      <w:spacing w:before="80" w:after="120" w:line="288" w:lineRule="auto"/>
    </w:pPr>
    <w:rPr>
      <w:rFonts w:ascii="Arial" w:eastAsia="Times New Roman" w:hAnsi="Arial" w:cs="Times New Roman"/>
      <w:sz w:val="20"/>
      <w:szCs w:val="24"/>
    </w:rPr>
  </w:style>
  <w:style w:type="character" w:customStyle="1" w:styleId="AERtextboldunderline">
    <w:name w:val="AER text bold underline"/>
    <w:qFormat/>
    <w:rsid w:val="000E4821"/>
    <w:rPr>
      <w:b/>
      <w:u w:val="single"/>
    </w:rPr>
  </w:style>
  <w:style w:type="numbering" w:customStyle="1" w:styleId="OldAERheadings">
    <w:name w:val="Old AER headings"/>
    <w:uiPriority w:val="99"/>
    <w:locked/>
    <w:rsid w:val="000E4821"/>
    <w:pPr>
      <w:numPr>
        <w:numId w:val="26"/>
      </w:numPr>
    </w:pPr>
  </w:style>
  <w:style w:type="character" w:customStyle="1" w:styleId="AERtextorange">
    <w:name w:val="AER text orange"/>
    <w:uiPriority w:val="1"/>
    <w:qFormat/>
    <w:rsid w:val="000E4821"/>
    <w:rPr>
      <w:color w:val="E36C0A"/>
    </w:rPr>
  </w:style>
  <w:style w:type="paragraph" w:customStyle="1" w:styleId="AERtitle1">
    <w:name w:val="AER title 1"/>
    <w:qFormat/>
    <w:rsid w:val="00683C89"/>
    <w:pPr>
      <w:spacing w:before="0" w:after="240" w:line="288" w:lineRule="auto"/>
      <w:jc w:val="center"/>
    </w:pPr>
    <w:rPr>
      <w:rFonts w:asciiTheme="majorHAnsi" w:eastAsia="Times New Roman" w:hAnsiTheme="majorHAnsi" w:cs="Times New Roman"/>
      <w:b/>
      <w:sz w:val="40"/>
      <w:szCs w:val="24"/>
      <w:lang w:eastAsia="en-AU"/>
    </w:rPr>
  </w:style>
  <w:style w:type="paragraph" w:customStyle="1" w:styleId="AERtitle2">
    <w:name w:val="AER title 2"/>
    <w:qFormat/>
    <w:rsid w:val="00683C89"/>
    <w:pPr>
      <w:spacing w:before="0" w:after="240" w:line="288" w:lineRule="auto"/>
      <w:jc w:val="center"/>
    </w:pPr>
    <w:rPr>
      <w:rFonts w:asciiTheme="majorHAnsi" w:eastAsia="Times New Roman" w:hAnsiTheme="majorHAnsi" w:cs="Times New Roman"/>
      <w:sz w:val="32"/>
      <w:szCs w:val="24"/>
    </w:rPr>
  </w:style>
  <w:style w:type="character" w:customStyle="1" w:styleId="AERtextblue">
    <w:name w:val="AER text blue"/>
    <w:uiPriority w:val="1"/>
    <w:qFormat/>
    <w:rsid w:val="000E4821"/>
    <w:rPr>
      <w:color w:val="365F91"/>
    </w:rPr>
  </w:style>
  <w:style w:type="table" w:customStyle="1" w:styleId="AERtable-numbers">
    <w:name w:val="AER table - numbers"/>
    <w:basedOn w:val="TableNormal"/>
    <w:uiPriority w:val="99"/>
    <w:rsid w:val="00683C89"/>
    <w:pPr>
      <w:spacing w:before="120" w:after="80"/>
      <w:jc w:val="right"/>
    </w:pPr>
    <w:rPr>
      <w:rFonts w:eastAsia="Calibri" w:cs="Times New Roman"/>
      <w:sz w:val="16"/>
      <w:szCs w:val="20"/>
      <w:lang w:eastAsia="en-AU"/>
    </w:rPr>
    <w:tblPr>
      <w:tblStyleRowBandSize w:val="1"/>
      <w:tblBorders>
        <w:bottom w:val="single" w:sz="4" w:space="0" w:color="365F91"/>
      </w:tblBorders>
    </w:tblPr>
    <w:tcPr>
      <w:vAlign w:val="center"/>
    </w:tcPr>
    <w:tblStylePr w:type="firstRow">
      <w:rPr>
        <w:b/>
        <w:color w:val="FFFFFF"/>
      </w:rPr>
      <w:tblPr/>
      <w:tcPr>
        <w:shd w:val="clear" w:color="auto" w:fill="365F91"/>
      </w:tcPr>
    </w:tblStylePr>
    <w:tblStylePr w:type="firstCol">
      <w:pPr>
        <w:jc w:val="left"/>
      </w:pPr>
    </w:tblStylePr>
    <w:tblStylePr w:type="band2Horz">
      <w:tblPr/>
      <w:tcPr>
        <w:shd w:val="clear" w:color="auto" w:fill="DBE5F1"/>
      </w:tcPr>
    </w:tblStylePr>
  </w:style>
  <w:style w:type="table" w:styleId="TableGrid1">
    <w:name w:val="Table Grid 1"/>
    <w:basedOn w:val="TableNormal"/>
    <w:uiPriority w:val="99"/>
    <w:semiHidden/>
    <w:unhideWhenUsed/>
    <w:rsid w:val="00683C89"/>
    <w:pPr>
      <w:spacing w:before="0"/>
    </w:pPr>
    <w:rPr>
      <w:rFonts w:eastAsia="Calibri"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ERtabletextright">
    <w:name w:val="AER table text right"/>
    <w:basedOn w:val="AERtabletextleft"/>
    <w:qFormat/>
    <w:rsid w:val="000E4821"/>
    <w:pPr>
      <w:spacing w:before="120" w:after="80"/>
      <w:jc w:val="right"/>
    </w:pPr>
  </w:style>
  <w:style w:type="paragraph" w:styleId="CommentText">
    <w:name w:val="annotation text"/>
    <w:basedOn w:val="Normal"/>
    <w:link w:val="CommentTextChar"/>
    <w:uiPriority w:val="99"/>
    <w:unhideWhenUsed/>
    <w:rsid w:val="00683C89"/>
    <w:pPr>
      <w:spacing w:before="0" w:after="240" w:line="240" w:lineRule="auto"/>
      <w:jc w:val="both"/>
    </w:pPr>
    <w:rPr>
      <w:rFonts w:asciiTheme="minorHAnsi" w:eastAsia="Calibri" w:hAnsiTheme="minorHAnsi" w:cs="Times New Roman"/>
      <w:sz w:val="20"/>
      <w:szCs w:val="20"/>
    </w:rPr>
  </w:style>
  <w:style w:type="character" w:customStyle="1" w:styleId="CommentTextChar">
    <w:name w:val="Comment Text Char"/>
    <w:basedOn w:val="DefaultParagraphFont"/>
    <w:link w:val="CommentText"/>
    <w:uiPriority w:val="99"/>
    <w:semiHidden/>
    <w:rsid w:val="00683C89"/>
    <w:rPr>
      <w:rFonts w:eastAsia="Calibri" w:cs="Times New Roman"/>
      <w:sz w:val="20"/>
      <w:szCs w:val="20"/>
    </w:rPr>
  </w:style>
  <w:style w:type="paragraph" w:styleId="CommentSubject">
    <w:name w:val="annotation subject"/>
    <w:basedOn w:val="CommentText"/>
    <w:next w:val="CommentText"/>
    <w:link w:val="CommentSubjectChar"/>
    <w:semiHidden/>
    <w:unhideWhenUsed/>
    <w:rsid w:val="00683C89"/>
    <w:rPr>
      <w:b/>
      <w:bCs/>
    </w:rPr>
  </w:style>
  <w:style w:type="character" w:customStyle="1" w:styleId="CommentSubjectChar">
    <w:name w:val="Comment Subject Char"/>
    <w:basedOn w:val="CommentTextChar"/>
    <w:link w:val="CommentSubject"/>
    <w:uiPriority w:val="99"/>
    <w:semiHidden/>
    <w:rsid w:val="00683C89"/>
    <w:rPr>
      <w:rFonts w:eastAsia="Calibri" w:cs="Times New Roman"/>
      <w:b/>
      <w:bCs/>
      <w:sz w:val="20"/>
      <w:szCs w:val="20"/>
    </w:rPr>
  </w:style>
  <w:style w:type="character" w:customStyle="1" w:styleId="AERtextsize10">
    <w:name w:val="AER text size 10"/>
    <w:uiPriority w:val="1"/>
    <w:qFormat/>
    <w:rsid w:val="000E4821"/>
    <w:rPr>
      <w:sz w:val="20"/>
    </w:rPr>
  </w:style>
  <w:style w:type="paragraph" w:customStyle="1" w:styleId="AERbodytextnospaceleftalign">
    <w:name w:val="AER body text no space left align"/>
    <w:basedOn w:val="AERbodytextnospace"/>
    <w:qFormat/>
    <w:rsid w:val="000E4821"/>
    <w:pPr>
      <w:jc w:val="left"/>
    </w:pPr>
  </w:style>
  <w:style w:type="paragraph" w:customStyle="1" w:styleId="AERbodytextleftalign">
    <w:name w:val="AER body text left align"/>
    <w:basedOn w:val="Normal"/>
    <w:qFormat/>
    <w:rsid w:val="00683C89"/>
    <w:pPr>
      <w:tabs>
        <w:tab w:val="num" w:pos="1492"/>
      </w:tabs>
      <w:spacing w:before="0" w:after="240" w:line="288" w:lineRule="auto"/>
      <w:ind w:left="1492" w:hanging="360"/>
    </w:pPr>
    <w:rPr>
      <w:rFonts w:asciiTheme="minorHAnsi" w:eastAsia="Times New Roman" w:hAnsiTheme="minorHAnsi" w:cs="Times New Roman"/>
      <w:sz w:val="20"/>
      <w:szCs w:val="24"/>
    </w:rPr>
  </w:style>
  <w:style w:type="paragraph" w:customStyle="1" w:styleId="AERbodytextcentre">
    <w:name w:val="AER body text centre"/>
    <w:basedOn w:val="Normal"/>
    <w:qFormat/>
    <w:rsid w:val="00683C89"/>
    <w:pPr>
      <w:tabs>
        <w:tab w:val="num" w:pos="1492"/>
      </w:tabs>
      <w:spacing w:before="0" w:after="240" w:line="288" w:lineRule="auto"/>
      <w:ind w:left="1492" w:hanging="360"/>
      <w:jc w:val="center"/>
    </w:pPr>
    <w:rPr>
      <w:rFonts w:asciiTheme="minorHAnsi" w:eastAsia="Times New Roman" w:hAnsiTheme="minorHAnsi" w:cs="Times New Roman"/>
      <w:sz w:val="20"/>
      <w:szCs w:val="24"/>
    </w:rPr>
  </w:style>
  <w:style w:type="paragraph" w:customStyle="1" w:styleId="AERbodytextnospacecentre">
    <w:name w:val="AER body text no space centre"/>
    <w:basedOn w:val="AERbodytextnospace"/>
    <w:qFormat/>
    <w:rsid w:val="000E4821"/>
    <w:pPr>
      <w:tabs>
        <w:tab w:val="clear" w:pos="0"/>
        <w:tab w:val="num" w:pos="1492"/>
      </w:tabs>
      <w:ind w:left="1492" w:hanging="360"/>
      <w:jc w:val="center"/>
    </w:pPr>
  </w:style>
  <w:style w:type="paragraph" w:styleId="Revision">
    <w:name w:val="Revision"/>
    <w:hidden/>
    <w:uiPriority w:val="99"/>
    <w:semiHidden/>
    <w:rsid w:val="000E4821"/>
    <w:pPr>
      <w:spacing w:before="0"/>
    </w:pPr>
    <w:rPr>
      <w:rFonts w:ascii="Gautami" w:eastAsia="Calibri" w:hAnsi="Gautami" w:cs="Times New Roman"/>
      <w:sz w:val="20"/>
      <w:szCs w:val="20"/>
    </w:rPr>
  </w:style>
  <w:style w:type="table" w:customStyle="1" w:styleId="AERtable-text1">
    <w:name w:val="AER table - text1"/>
    <w:basedOn w:val="TableNormal"/>
    <w:uiPriority w:val="99"/>
    <w:rsid w:val="00683C89"/>
    <w:pPr>
      <w:spacing w:before="120" w:after="80"/>
    </w:pPr>
    <w:rPr>
      <w:rFonts w:eastAsia="Calibri" w:cs="Times New Roman"/>
      <w:sz w:val="16"/>
      <w:szCs w:val="20"/>
      <w:lang w:eastAsia="en-AU"/>
    </w:rPr>
    <w:tblPr>
      <w:tblStyleRowBandSize w:val="1"/>
      <w:tblInd w:w="0" w:type="nil"/>
      <w:tblBorders>
        <w:bottom w:val="single" w:sz="4" w:space="0" w:color="365F91"/>
      </w:tblBorders>
    </w:tblPr>
    <w:tcPr>
      <w:vAlign w:val="center"/>
    </w:tcPr>
    <w:tblStylePr w:type="firstRow">
      <w:rPr>
        <w:b/>
        <w:color w:val="FFFFFF"/>
      </w:rPr>
      <w:tblPr/>
      <w:tcPr>
        <w:shd w:val="clear" w:color="auto" w:fill="365F91"/>
      </w:tcPr>
    </w:tblStylePr>
    <w:tblStylePr w:type="band2Horz">
      <w:tblPr/>
      <w:tcPr>
        <w:shd w:val="clear" w:color="auto" w:fill="DBE5F1"/>
      </w:tcPr>
    </w:tblStylePr>
  </w:style>
  <w:style w:type="paragraph" w:styleId="NormalWeb">
    <w:name w:val="Normal (Web)"/>
    <w:basedOn w:val="Normal"/>
    <w:uiPriority w:val="99"/>
    <w:semiHidden/>
    <w:unhideWhenUsed/>
    <w:rsid w:val="00FC71DC"/>
    <w:pPr>
      <w:spacing w:before="0" w:after="240" w:line="288" w:lineRule="auto"/>
      <w:jc w:val="both"/>
    </w:pPr>
    <w:rPr>
      <w:rFonts w:ascii="Times New Roman" w:eastAsia="Calibri" w:hAnsi="Times New Roman" w:cs="Times New Roman"/>
      <w:sz w:val="24"/>
      <w:szCs w:val="24"/>
    </w:rPr>
  </w:style>
  <w:style w:type="paragraph" w:styleId="BodyText">
    <w:name w:val="Body Text"/>
    <w:basedOn w:val="Normal"/>
    <w:link w:val="BodyTextChar"/>
    <w:rsid w:val="00DE772C"/>
    <w:pPr>
      <w:shd w:val="pct10" w:color="auto" w:fill="auto"/>
      <w:spacing w:before="0" w:after="120" w:line="-240" w:lineRule="auto"/>
      <w:ind w:right="18"/>
    </w:pPr>
    <w:rPr>
      <w:rFonts w:ascii="Times New Roman" w:eastAsia="Times New Roman" w:hAnsi="Times New Roman" w:cs="Times New Roman"/>
      <w:sz w:val="20"/>
      <w:szCs w:val="20"/>
      <w:lang w:val="en-US" w:eastAsia="en-AU"/>
    </w:rPr>
  </w:style>
  <w:style w:type="character" w:customStyle="1" w:styleId="BodyTextChar">
    <w:name w:val="Body Text Char"/>
    <w:basedOn w:val="DefaultParagraphFont"/>
    <w:link w:val="BodyText"/>
    <w:rsid w:val="00DE772C"/>
    <w:rPr>
      <w:rFonts w:ascii="Times New Roman" w:eastAsia="Times New Roman" w:hAnsi="Times New Roman" w:cs="Times New Roman"/>
      <w:sz w:val="20"/>
      <w:szCs w:val="20"/>
      <w:shd w:val="pct10" w:color="auto" w:fill="auto"/>
      <w:lang w:val="en-US" w:eastAsia="en-AU"/>
    </w:rPr>
  </w:style>
  <w:style w:type="paragraph" w:styleId="BodyTextIndent3">
    <w:name w:val="Body Text Indent 3"/>
    <w:basedOn w:val="Normal"/>
    <w:link w:val="BodyTextIndent3Char"/>
    <w:rsid w:val="00DE772C"/>
    <w:pPr>
      <w:tabs>
        <w:tab w:val="num" w:pos="284"/>
        <w:tab w:val="left" w:pos="1418"/>
      </w:tabs>
      <w:spacing w:before="0" w:line="240" w:lineRule="auto"/>
      <w:ind w:left="426"/>
    </w:pPr>
    <w:rPr>
      <w:rFonts w:ascii="Arial Narrow" w:eastAsia="Times New Roman" w:hAnsi="Arial Narrow" w:cs="Times New Roman"/>
      <w:sz w:val="24"/>
      <w:szCs w:val="20"/>
      <w:lang w:val="en-US" w:eastAsia="en-AU"/>
    </w:rPr>
  </w:style>
  <w:style w:type="character" w:customStyle="1" w:styleId="BodyTextIndent3Char">
    <w:name w:val="Body Text Indent 3 Char"/>
    <w:basedOn w:val="DefaultParagraphFont"/>
    <w:link w:val="BodyTextIndent3"/>
    <w:rsid w:val="00DE772C"/>
    <w:rPr>
      <w:rFonts w:ascii="Arial Narrow" w:eastAsia="Times New Roman" w:hAnsi="Arial Narrow" w:cs="Times New Roman"/>
      <w:sz w:val="24"/>
      <w:szCs w:val="20"/>
      <w:lang w:val="en-US" w:eastAsia="en-AU"/>
    </w:rPr>
  </w:style>
  <w:style w:type="table" w:customStyle="1" w:styleId="AERtable-numbers1">
    <w:name w:val="AER table - numbers1"/>
    <w:basedOn w:val="TableNormal"/>
    <w:uiPriority w:val="99"/>
    <w:rsid w:val="002D5654"/>
    <w:pPr>
      <w:spacing w:before="120" w:after="80"/>
      <w:jc w:val="right"/>
    </w:pPr>
    <w:rPr>
      <w:rFonts w:eastAsia="Calibri" w:cs="Times New Roman"/>
      <w:sz w:val="16"/>
      <w:szCs w:val="20"/>
      <w:lang w:eastAsia="en-AU"/>
    </w:rPr>
    <w:tblPr>
      <w:tblStyleRowBandSize w:val="1"/>
      <w:tblBorders>
        <w:bottom w:val="single" w:sz="4" w:space="0" w:color="365F91"/>
      </w:tblBorders>
    </w:tblPr>
    <w:tcPr>
      <w:vAlign w:val="center"/>
    </w:tcPr>
    <w:tblStylePr w:type="firstRow">
      <w:rPr>
        <w:b/>
        <w:color w:val="FFFFFF"/>
      </w:rPr>
      <w:tblPr/>
      <w:tcPr>
        <w:shd w:val="clear" w:color="auto" w:fill="365F91"/>
      </w:tcPr>
    </w:tblStylePr>
    <w:tblStylePr w:type="firstCol">
      <w:pPr>
        <w:jc w:val="left"/>
      </w:pPr>
    </w:tblStylePr>
    <w:tblStylePr w:type="band2Horz">
      <w:tblPr/>
      <w:tcPr>
        <w:shd w:val="clear" w:color="auto" w:fill="DBE5F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836759">
      <w:bodyDiv w:val="1"/>
      <w:marLeft w:val="0"/>
      <w:marRight w:val="0"/>
      <w:marTop w:val="0"/>
      <w:marBottom w:val="0"/>
      <w:divBdr>
        <w:top w:val="none" w:sz="0" w:space="0" w:color="auto"/>
        <w:left w:val="none" w:sz="0" w:space="0" w:color="auto"/>
        <w:bottom w:val="none" w:sz="0" w:space="0" w:color="auto"/>
        <w:right w:val="none" w:sz="0" w:space="0" w:color="auto"/>
      </w:divBdr>
    </w:div>
    <w:div w:id="552425704">
      <w:bodyDiv w:val="1"/>
      <w:marLeft w:val="0"/>
      <w:marRight w:val="0"/>
      <w:marTop w:val="0"/>
      <w:marBottom w:val="0"/>
      <w:divBdr>
        <w:top w:val="none" w:sz="0" w:space="0" w:color="auto"/>
        <w:left w:val="none" w:sz="0" w:space="0" w:color="auto"/>
        <w:bottom w:val="none" w:sz="0" w:space="0" w:color="auto"/>
        <w:right w:val="none" w:sz="0" w:space="0" w:color="auto"/>
      </w:divBdr>
    </w:div>
    <w:div w:id="635840213">
      <w:bodyDiv w:val="1"/>
      <w:marLeft w:val="0"/>
      <w:marRight w:val="0"/>
      <w:marTop w:val="0"/>
      <w:marBottom w:val="0"/>
      <w:divBdr>
        <w:top w:val="none" w:sz="0" w:space="0" w:color="auto"/>
        <w:left w:val="none" w:sz="0" w:space="0" w:color="auto"/>
        <w:bottom w:val="none" w:sz="0" w:space="0" w:color="auto"/>
        <w:right w:val="none" w:sz="0" w:space="0" w:color="auto"/>
      </w:divBdr>
    </w:div>
    <w:div w:id="721515850">
      <w:bodyDiv w:val="1"/>
      <w:marLeft w:val="0"/>
      <w:marRight w:val="0"/>
      <w:marTop w:val="0"/>
      <w:marBottom w:val="0"/>
      <w:divBdr>
        <w:top w:val="none" w:sz="0" w:space="0" w:color="auto"/>
        <w:left w:val="none" w:sz="0" w:space="0" w:color="auto"/>
        <w:bottom w:val="none" w:sz="0" w:space="0" w:color="auto"/>
        <w:right w:val="none" w:sz="0" w:space="0" w:color="auto"/>
      </w:divBdr>
    </w:div>
    <w:div w:id="104583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ERInquiry@aer.gov.a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AER">
  <a:themeElements>
    <a:clrScheme name="AER Colour theme">
      <a:dk1>
        <a:srgbClr val="076A92"/>
      </a:dk1>
      <a:lt1>
        <a:sysClr val="window" lastClr="FFFFFF"/>
      </a:lt1>
      <a:dk2>
        <a:srgbClr val="70635A"/>
      </a:dk2>
      <a:lt2>
        <a:srgbClr val="FFFFFF"/>
      </a:lt2>
      <a:accent1>
        <a:srgbClr val="2F002F"/>
      </a:accent1>
      <a:accent2>
        <a:srgbClr val="C14E00"/>
      </a:accent2>
      <a:accent3>
        <a:srgbClr val="002060"/>
      </a:accent3>
      <a:accent4>
        <a:srgbClr val="C00000"/>
      </a:accent4>
      <a:accent5>
        <a:srgbClr val="000000"/>
      </a:accent5>
      <a:accent6>
        <a:srgbClr val="70303C"/>
      </a:accent6>
      <a:hlink>
        <a:srgbClr val="0000FF"/>
      </a:hlink>
      <a:folHlink>
        <a:srgbClr val="800080"/>
      </a:folHlink>
    </a:clrScheme>
    <a:fontScheme name="Custom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6B96830-491B-4A29-9EB0-ECC24AEFD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9885</Words>
  <Characters>56346</Characters>
  <Application>Microsoft Office Word</Application>
  <DocSecurity>4</DocSecurity>
  <Lines>469</Lines>
  <Paragraphs>132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66099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2016-12-30T03:37:00Z</dcterms:created>
  <dcterms:modified xsi:type="dcterms:W3CDTF">2016-12-30T03:37:00Z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URI">
    <vt:lpwstr>8432108</vt:lpwstr>
  </property>
</Properties>
</file>