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2030972"/>
        <w:docPartObj>
          <w:docPartGallery w:val="Cover Pages"/>
          <w:docPartUnique/>
        </w:docPartObj>
      </w:sdtPr>
      <w:sdtEndPr/>
      <w:sdtContent>
        <w:p w:rsidR="00E21FDF" w:rsidRPr="00E21FDF" w:rsidRDefault="00E21FDF" w:rsidP="00951978">
          <w:r w:rsidRPr="00E21FDF">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F171E0"/>
        <w:p w:rsidR="00E21FDF" w:rsidRPr="00E21FDF" w:rsidRDefault="00E21FDF" w:rsidP="00327A1E">
          <w:pPr>
            <w:pStyle w:val="ReportTitle"/>
          </w:pPr>
          <w:r>
            <w:t>TasNetworks</w:t>
          </w:r>
        </w:p>
        <w:p w:rsidR="00E21FDF" w:rsidRPr="00E21FDF" w:rsidRDefault="00E21FDF" w:rsidP="00327A1E">
          <w:pPr>
            <w:pStyle w:val="ReportTitle"/>
          </w:pPr>
          <w:r>
            <w:t>Revised Cost Allocation Method</w:t>
          </w:r>
        </w:p>
        <w:p w:rsidR="00E21FDF" w:rsidRPr="00E21FDF" w:rsidRDefault="00E21FDF" w:rsidP="00327A1E">
          <w:pPr>
            <w:pStyle w:val="ReportDate"/>
          </w:pPr>
          <w:r>
            <w:t>June</w:t>
          </w:r>
          <w:r w:rsidRPr="00E21FDF">
            <w:t xml:space="preserve"> 2015</w:t>
          </w:r>
        </w:p>
        <w:p w:rsidR="00E21FDF" w:rsidRPr="00E21FDF" w:rsidRDefault="00E21FDF" w:rsidP="00E21FDF">
          <w:r w:rsidRPr="00E21FDF">
            <w:br w:type="page"/>
          </w:r>
        </w:p>
        <w:p w:rsidR="00E21FDF" w:rsidRDefault="008B32C5">
          <w:pPr>
            <w:spacing w:line="240" w:lineRule="auto"/>
          </w:pPr>
        </w:p>
      </w:sdtContent>
    </w:sdt>
    <w:p w:rsidR="000A6C7B" w:rsidRDefault="000A6C7B" w:rsidP="00327A1E">
      <w:pPr>
        <w:pStyle w:val="Copyright"/>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rsidR="004B4A86">
        <w:t>AER Reference: 56853</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CA3C3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2389250" w:history="1">
        <w:r w:rsidR="00CA3C37" w:rsidRPr="00BC29BD">
          <w:rPr>
            <w:rStyle w:val="Hyperlink"/>
          </w:rPr>
          <w:t>Shortened forms</w:t>
        </w:r>
        <w:r w:rsidR="00CA3C37">
          <w:rPr>
            <w:webHidden/>
          </w:rPr>
          <w:tab/>
        </w:r>
        <w:r w:rsidR="00CA3C37">
          <w:rPr>
            <w:webHidden/>
          </w:rPr>
          <w:fldChar w:fldCharType="begin"/>
        </w:r>
        <w:r w:rsidR="00CA3C37">
          <w:rPr>
            <w:webHidden/>
          </w:rPr>
          <w:instrText xml:space="preserve"> PAGEREF _Toc422389250 \h </w:instrText>
        </w:r>
        <w:r w:rsidR="00CA3C37">
          <w:rPr>
            <w:webHidden/>
          </w:rPr>
        </w:r>
        <w:r w:rsidR="00CA3C37">
          <w:rPr>
            <w:webHidden/>
          </w:rPr>
          <w:fldChar w:fldCharType="separate"/>
        </w:r>
        <w:r w:rsidR="00CA3C37">
          <w:rPr>
            <w:webHidden/>
          </w:rPr>
          <w:t>1</w:t>
        </w:r>
        <w:r w:rsidR="00CA3C37">
          <w:rPr>
            <w:webHidden/>
          </w:rPr>
          <w:fldChar w:fldCharType="end"/>
        </w:r>
      </w:hyperlink>
    </w:p>
    <w:p w:rsidR="00CA3C37" w:rsidRDefault="008B32C5">
      <w:pPr>
        <w:pStyle w:val="TOC1"/>
        <w:rPr>
          <w:rFonts w:asciiTheme="minorHAnsi" w:eastAsiaTheme="minorEastAsia" w:hAnsiTheme="minorHAnsi"/>
          <w:b w:val="0"/>
          <w:color w:val="auto"/>
          <w:sz w:val="22"/>
          <w:lang w:val="en-AU" w:eastAsia="en-AU"/>
        </w:rPr>
      </w:pPr>
      <w:hyperlink w:anchor="_Toc422389251" w:history="1">
        <w:r w:rsidR="00CA3C37" w:rsidRPr="00BC29BD">
          <w:rPr>
            <w:rStyle w:val="Hyperlink"/>
          </w:rPr>
          <w:t>1</w:t>
        </w:r>
        <w:r w:rsidR="00CA3C37">
          <w:rPr>
            <w:rFonts w:asciiTheme="minorHAnsi" w:eastAsiaTheme="minorEastAsia" w:hAnsiTheme="minorHAnsi"/>
            <w:b w:val="0"/>
            <w:color w:val="auto"/>
            <w:sz w:val="22"/>
            <w:lang w:val="en-AU" w:eastAsia="en-AU"/>
          </w:rPr>
          <w:tab/>
        </w:r>
        <w:r w:rsidR="00CA3C37" w:rsidRPr="00BC29BD">
          <w:rPr>
            <w:rStyle w:val="Hyperlink"/>
          </w:rPr>
          <w:t>Introduction</w:t>
        </w:r>
        <w:r w:rsidR="00CA3C37">
          <w:rPr>
            <w:webHidden/>
          </w:rPr>
          <w:tab/>
        </w:r>
        <w:r w:rsidR="00CA3C37">
          <w:rPr>
            <w:webHidden/>
          </w:rPr>
          <w:fldChar w:fldCharType="begin"/>
        </w:r>
        <w:r w:rsidR="00CA3C37">
          <w:rPr>
            <w:webHidden/>
          </w:rPr>
          <w:instrText xml:space="preserve"> PAGEREF _Toc422389251 \h </w:instrText>
        </w:r>
        <w:r w:rsidR="00CA3C37">
          <w:rPr>
            <w:webHidden/>
          </w:rPr>
        </w:r>
        <w:r w:rsidR="00CA3C37">
          <w:rPr>
            <w:webHidden/>
          </w:rPr>
          <w:fldChar w:fldCharType="separate"/>
        </w:r>
        <w:r w:rsidR="00CA3C37">
          <w:rPr>
            <w:webHidden/>
          </w:rPr>
          <w:t>2</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2" w:history="1">
        <w:r w:rsidR="00CA3C37" w:rsidRPr="00BC29BD">
          <w:rPr>
            <w:rStyle w:val="Hyperlink"/>
          </w:rPr>
          <w:t>1.1</w:t>
        </w:r>
        <w:r w:rsidR="00CA3C37">
          <w:rPr>
            <w:rFonts w:asciiTheme="minorHAnsi" w:eastAsiaTheme="minorEastAsia" w:hAnsiTheme="minorHAnsi"/>
            <w:b w:val="0"/>
            <w:color w:val="auto"/>
            <w:sz w:val="22"/>
            <w:lang w:eastAsia="en-AU"/>
          </w:rPr>
          <w:tab/>
        </w:r>
        <w:r w:rsidR="00CA3C37" w:rsidRPr="00BC29BD">
          <w:rPr>
            <w:rStyle w:val="Hyperlink"/>
          </w:rPr>
          <w:t>Summary</w:t>
        </w:r>
        <w:r w:rsidR="00CA3C37">
          <w:rPr>
            <w:webHidden/>
          </w:rPr>
          <w:tab/>
        </w:r>
        <w:r w:rsidR="00CA3C37">
          <w:rPr>
            <w:webHidden/>
          </w:rPr>
          <w:fldChar w:fldCharType="begin"/>
        </w:r>
        <w:r w:rsidR="00CA3C37">
          <w:rPr>
            <w:webHidden/>
          </w:rPr>
          <w:instrText xml:space="preserve"> PAGEREF _Toc422389252 \h </w:instrText>
        </w:r>
        <w:r w:rsidR="00CA3C37">
          <w:rPr>
            <w:webHidden/>
          </w:rPr>
        </w:r>
        <w:r w:rsidR="00CA3C37">
          <w:rPr>
            <w:webHidden/>
          </w:rPr>
          <w:fldChar w:fldCharType="separate"/>
        </w:r>
        <w:r w:rsidR="00CA3C37">
          <w:rPr>
            <w:webHidden/>
          </w:rPr>
          <w:t>2</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3" w:history="1">
        <w:r w:rsidR="00CA3C37" w:rsidRPr="00BC29BD">
          <w:rPr>
            <w:rStyle w:val="Hyperlink"/>
          </w:rPr>
          <w:t>1.2</w:t>
        </w:r>
        <w:r w:rsidR="00CA3C37">
          <w:rPr>
            <w:rFonts w:asciiTheme="minorHAnsi" w:eastAsiaTheme="minorEastAsia" w:hAnsiTheme="minorHAnsi"/>
            <w:b w:val="0"/>
            <w:color w:val="auto"/>
            <w:sz w:val="22"/>
            <w:lang w:eastAsia="en-AU"/>
          </w:rPr>
          <w:tab/>
        </w:r>
        <w:r w:rsidR="00CA3C37" w:rsidRPr="00BC29BD">
          <w:rPr>
            <w:rStyle w:val="Hyperlink"/>
          </w:rPr>
          <w:t>Background</w:t>
        </w:r>
        <w:r w:rsidR="00CA3C37">
          <w:rPr>
            <w:webHidden/>
          </w:rPr>
          <w:tab/>
        </w:r>
        <w:r w:rsidR="00CA3C37">
          <w:rPr>
            <w:webHidden/>
          </w:rPr>
          <w:fldChar w:fldCharType="begin"/>
        </w:r>
        <w:r w:rsidR="00CA3C37">
          <w:rPr>
            <w:webHidden/>
          </w:rPr>
          <w:instrText xml:space="preserve"> PAGEREF _Toc422389253 \h </w:instrText>
        </w:r>
        <w:r w:rsidR="00CA3C37">
          <w:rPr>
            <w:webHidden/>
          </w:rPr>
        </w:r>
        <w:r w:rsidR="00CA3C37">
          <w:rPr>
            <w:webHidden/>
          </w:rPr>
          <w:fldChar w:fldCharType="separate"/>
        </w:r>
        <w:r w:rsidR="00CA3C37">
          <w:rPr>
            <w:webHidden/>
          </w:rPr>
          <w:t>2</w:t>
        </w:r>
        <w:r w:rsidR="00CA3C37">
          <w:rPr>
            <w:webHidden/>
          </w:rPr>
          <w:fldChar w:fldCharType="end"/>
        </w:r>
      </w:hyperlink>
    </w:p>
    <w:p w:rsidR="00CA3C37" w:rsidRDefault="008B32C5">
      <w:pPr>
        <w:pStyle w:val="TOC1"/>
        <w:rPr>
          <w:rFonts w:asciiTheme="minorHAnsi" w:eastAsiaTheme="minorEastAsia" w:hAnsiTheme="minorHAnsi"/>
          <w:b w:val="0"/>
          <w:color w:val="auto"/>
          <w:sz w:val="22"/>
          <w:lang w:val="en-AU" w:eastAsia="en-AU"/>
        </w:rPr>
      </w:pPr>
      <w:hyperlink w:anchor="_Toc422389254" w:history="1">
        <w:r w:rsidR="00CA3C37" w:rsidRPr="00BC29BD">
          <w:rPr>
            <w:rStyle w:val="Hyperlink"/>
          </w:rPr>
          <w:t>2</w:t>
        </w:r>
        <w:r w:rsidR="00CA3C37">
          <w:rPr>
            <w:rFonts w:asciiTheme="minorHAnsi" w:eastAsiaTheme="minorEastAsia" w:hAnsiTheme="minorHAnsi"/>
            <w:b w:val="0"/>
            <w:color w:val="auto"/>
            <w:sz w:val="22"/>
            <w:lang w:val="en-AU" w:eastAsia="en-AU"/>
          </w:rPr>
          <w:tab/>
        </w:r>
        <w:r w:rsidR="00CA3C37" w:rsidRPr="00BC29BD">
          <w:rPr>
            <w:rStyle w:val="Hyperlink"/>
          </w:rPr>
          <w:t>The rule requirements</w:t>
        </w:r>
        <w:r w:rsidR="00CA3C37">
          <w:rPr>
            <w:webHidden/>
          </w:rPr>
          <w:tab/>
        </w:r>
        <w:r w:rsidR="00CA3C37">
          <w:rPr>
            <w:webHidden/>
          </w:rPr>
          <w:fldChar w:fldCharType="begin"/>
        </w:r>
        <w:r w:rsidR="00CA3C37">
          <w:rPr>
            <w:webHidden/>
          </w:rPr>
          <w:instrText xml:space="preserve"> PAGEREF _Toc422389254 \h </w:instrText>
        </w:r>
        <w:r w:rsidR="00CA3C37">
          <w:rPr>
            <w:webHidden/>
          </w:rPr>
        </w:r>
        <w:r w:rsidR="00CA3C37">
          <w:rPr>
            <w:webHidden/>
          </w:rPr>
          <w:fldChar w:fldCharType="separate"/>
        </w:r>
        <w:r w:rsidR="00CA3C37">
          <w:rPr>
            <w:webHidden/>
          </w:rPr>
          <w:t>4</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5" w:history="1">
        <w:r w:rsidR="00CA3C37" w:rsidRPr="00BC29BD">
          <w:rPr>
            <w:rStyle w:val="Hyperlink"/>
          </w:rPr>
          <w:t>2.1</w:t>
        </w:r>
        <w:r w:rsidR="00CA3C37">
          <w:rPr>
            <w:rFonts w:asciiTheme="minorHAnsi" w:eastAsiaTheme="minorEastAsia" w:hAnsiTheme="minorHAnsi"/>
            <w:b w:val="0"/>
            <w:color w:val="auto"/>
            <w:sz w:val="22"/>
            <w:lang w:eastAsia="en-AU"/>
          </w:rPr>
          <w:tab/>
        </w:r>
        <w:r w:rsidR="00CA3C37" w:rsidRPr="00BC29BD">
          <w:rPr>
            <w:rStyle w:val="Hyperlink"/>
          </w:rPr>
          <w:t>The rule requirements</w:t>
        </w:r>
        <w:r w:rsidR="00CA3C37">
          <w:rPr>
            <w:webHidden/>
          </w:rPr>
          <w:tab/>
        </w:r>
        <w:r w:rsidR="00CA3C37">
          <w:rPr>
            <w:webHidden/>
          </w:rPr>
          <w:fldChar w:fldCharType="begin"/>
        </w:r>
        <w:r w:rsidR="00CA3C37">
          <w:rPr>
            <w:webHidden/>
          </w:rPr>
          <w:instrText xml:space="preserve"> PAGEREF _Toc422389255 \h </w:instrText>
        </w:r>
        <w:r w:rsidR="00CA3C37">
          <w:rPr>
            <w:webHidden/>
          </w:rPr>
        </w:r>
        <w:r w:rsidR="00CA3C37">
          <w:rPr>
            <w:webHidden/>
          </w:rPr>
          <w:fldChar w:fldCharType="separate"/>
        </w:r>
        <w:r w:rsidR="00CA3C37">
          <w:rPr>
            <w:webHidden/>
          </w:rPr>
          <w:t>4</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6" w:history="1">
        <w:r w:rsidR="00CA3C37" w:rsidRPr="00BC29BD">
          <w:rPr>
            <w:rStyle w:val="Hyperlink"/>
          </w:rPr>
          <w:t>2.2</w:t>
        </w:r>
        <w:r w:rsidR="00CA3C37">
          <w:rPr>
            <w:rFonts w:asciiTheme="minorHAnsi" w:eastAsiaTheme="minorEastAsia" w:hAnsiTheme="minorHAnsi"/>
            <w:b w:val="0"/>
            <w:color w:val="auto"/>
            <w:sz w:val="22"/>
            <w:lang w:eastAsia="en-AU"/>
          </w:rPr>
          <w:tab/>
        </w:r>
        <w:r w:rsidR="00CA3C37" w:rsidRPr="00BC29BD">
          <w:rPr>
            <w:rStyle w:val="Hyperlink"/>
          </w:rPr>
          <w:t>Assessment process</w:t>
        </w:r>
        <w:r w:rsidR="00CA3C37">
          <w:rPr>
            <w:webHidden/>
          </w:rPr>
          <w:tab/>
        </w:r>
        <w:r w:rsidR="00CA3C37">
          <w:rPr>
            <w:webHidden/>
          </w:rPr>
          <w:fldChar w:fldCharType="begin"/>
        </w:r>
        <w:r w:rsidR="00CA3C37">
          <w:rPr>
            <w:webHidden/>
          </w:rPr>
          <w:instrText xml:space="preserve"> PAGEREF _Toc422389256 \h </w:instrText>
        </w:r>
        <w:r w:rsidR="00CA3C37">
          <w:rPr>
            <w:webHidden/>
          </w:rPr>
        </w:r>
        <w:r w:rsidR="00CA3C37">
          <w:rPr>
            <w:webHidden/>
          </w:rPr>
          <w:fldChar w:fldCharType="separate"/>
        </w:r>
        <w:r w:rsidR="00CA3C37">
          <w:rPr>
            <w:webHidden/>
          </w:rPr>
          <w:t>4</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7" w:history="1">
        <w:r w:rsidR="00CA3C37" w:rsidRPr="00BC29BD">
          <w:rPr>
            <w:rStyle w:val="Hyperlink"/>
          </w:rPr>
          <w:t>2.3</w:t>
        </w:r>
        <w:r w:rsidR="00CA3C37">
          <w:rPr>
            <w:rFonts w:asciiTheme="minorHAnsi" w:eastAsiaTheme="minorEastAsia" w:hAnsiTheme="minorHAnsi"/>
            <w:b w:val="0"/>
            <w:color w:val="auto"/>
            <w:sz w:val="22"/>
            <w:lang w:eastAsia="en-AU"/>
          </w:rPr>
          <w:tab/>
        </w:r>
        <w:r w:rsidR="00CA3C37" w:rsidRPr="00BC29BD">
          <w:rPr>
            <w:rStyle w:val="Hyperlink"/>
          </w:rPr>
          <w:t>TasNetworks CAM revisions and structure</w:t>
        </w:r>
        <w:r w:rsidR="00CA3C37">
          <w:rPr>
            <w:webHidden/>
          </w:rPr>
          <w:tab/>
        </w:r>
        <w:r w:rsidR="00CA3C37">
          <w:rPr>
            <w:webHidden/>
          </w:rPr>
          <w:fldChar w:fldCharType="begin"/>
        </w:r>
        <w:r w:rsidR="00CA3C37">
          <w:rPr>
            <w:webHidden/>
          </w:rPr>
          <w:instrText xml:space="preserve"> PAGEREF _Toc422389257 \h </w:instrText>
        </w:r>
        <w:r w:rsidR="00CA3C37">
          <w:rPr>
            <w:webHidden/>
          </w:rPr>
        </w:r>
        <w:r w:rsidR="00CA3C37">
          <w:rPr>
            <w:webHidden/>
          </w:rPr>
          <w:fldChar w:fldCharType="separate"/>
        </w:r>
        <w:r w:rsidR="00CA3C37">
          <w:rPr>
            <w:webHidden/>
          </w:rPr>
          <w:t>4</w:t>
        </w:r>
        <w:r w:rsidR="00CA3C37">
          <w:rPr>
            <w:webHidden/>
          </w:rPr>
          <w:fldChar w:fldCharType="end"/>
        </w:r>
      </w:hyperlink>
    </w:p>
    <w:p w:rsidR="00CA3C37" w:rsidRDefault="008B32C5">
      <w:pPr>
        <w:pStyle w:val="TOC1"/>
        <w:rPr>
          <w:rFonts w:asciiTheme="minorHAnsi" w:eastAsiaTheme="minorEastAsia" w:hAnsiTheme="minorHAnsi"/>
          <w:b w:val="0"/>
          <w:color w:val="auto"/>
          <w:sz w:val="22"/>
          <w:lang w:val="en-AU" w:eastAsia="en-AU"/>
        </w:rPr>
      </w:pPr>
      <w:hyperlink w:anchor="_Toc422389258" w:history="1">
        <w:r w:rsidR="00CA3C37" w:rsidRPr="00BC29BD">
          <w:rPr>
            <w:rStyle w:val="Hyperlink"/>
          </w:rPr>
          <w:t>3</w:t>
        </w:r>
        <w:r w:rsidR="00CA3C37">
          <w:rPr>
            <w:rFonts w:asciiTheme="minorHAnsi" w:eastAsiaTheme="minorEastAsia" w:hAnsiTheme="minorHAnsi"/>
            <w:b w:val="0"/>
            <w:color w:val="auto"/>
            <w:sz w:val="22"/>
            <w:lang w:val="en-AU" w:eastAsia="en-AU"/>
          </w:rPr>
          <w:tab/>
        </w:r>
        <w:r w:rsidR="00CA3C37" w:rsidRPr="00BC29BD">
          <w:rPr>
            <w:rStyle w:val="Hyperlink"/>
          </w:rPr>
          <w:t>Consistency with our cost allocation guidelines</w:t>
        </w:r>
        <w:r w:rsidR="00CA3C37">
          <w:rPr>
            <w:webHidden/>
          </w:rPr>
          <w:tab/>
        </w:r>
        <w:r w:rsidR="00CA3C37">
          <w:rPr>
            <w:webHidden/>
          </w:rPr>
          <w:fldChar w:fldCharType="begin"/>
        </w:r>
        <w:r w:rsidR="00CA3C37">
          <w:rPr>
            <w:webHidden/>
          </w:rPr>
          <w:instrText xml:space="preserve"> PAGEREF _Toc422389258 \h </w:instrText>
        </w:r>
        <w:r w:rsidR="00CA3C37">
          <w:rPr>
            <w:webHidden/>
          </w:rPr>
        </w:r>
        <w:r w:rsidR="00CA3C37">
          <w:rPr>
            <w:webHidden/>
          </w:rPr>
          <w:fldChar w:fldCharType="separate"/>
        </w:r>
        <w:r w:rsidR="00CA3C37">
          <w:rPr>
            <w:webHidden/>
          </w:rPr>
          <w:t>5</w:t>
        </w:r>
        <w:r w:rsidR="00CA3C37">
          <w:rPr>
            <w:webHidden/>
          </w:rPr>
          <w:fldChar w:fldCharType="end"/>
        </w:r>
      </w:hyperlink>
    </w:p>
    <w:p w:rsidR="00CA3C37" w:rsidRDefault="008B32C5">
      <w:pPr>
        <w:pStyle w:val="TOC2"/>
        <w:rPr>
          <w:rFonts w:asciiTheme="minorHAnsi" w:eastAsiaTheme="minorEastAsia" w:hAnsiTheme="minorHAnsi"/>
          <w:b w:val="0"/>
          <w:color w:val="auto"/>
          <w:sz w:val="22"/>
          <w:lang w:eastAsia="en-AU"/>
        </w:rPr>
      </w:pPr>
      <w:hyperlink w:anchor="_Toc422389259" w:history="1">
        <w:r w:rsidR="00CA3C37" w:rsidRPr="00BC29BD">
          <w:rPr>
            <w:rStyle w:val="Hyperlink"/>
          </w:rPr>
          <w:t>3.1</w:t>
        </w:r>
        <w:r w:rsidR="00CA3C37">
          <w:rPr>
            <w:rFonts w:asciiTheme="minorHAnsi" w:eastAsiaTheme="minorEastAsia" w:hAnsiTheme="minorHAnsi"/>
            <w:b w:val="0"/>
            <w:color w:val="auto"/>
            <w:sz w:val="22"/>
            <w:lang w:eastAsia="en-AU"/>
          </w:rPr>
          <w:tab/>
        </w:r>
        <w:r w:rsidR="00CA3C37" w:rsidRPr="00BC29BD">
          <w:rPr>
            <w:rStyle w:val="Hyperlink"/>
          </w:rPr>
          <w:t>TasNetworks CAM assessment</w:t>
        </w:r>
        <w:r w:rsidR="00CA3C37">
          <w:rPr>
            <w:webHidden/>
          </w:rPr>
          <w:tab/>
        </w:r>
        <w:r w:rsidR="00CA3C37">
          <w:rPr>
            <w:webHidden/>
          </w:rPr>
          <w:fldChar w:fldCharType="begin"/>
        </w:r>
        <w:r w:rsidR="00CA3C37">
          <w:rPr>
            <w:webHidden/>
          </w:rPr>
          <w:instrText xml:space="preserve"> PAGEREF _Toc422389259 \h </w:instrText>
        </w:r>
        <w:r w:rsidR="00CA3C37">
          <w:rPr>
            <w:webHidden/>
          </w:rPr>
        </w:r>
        <w:r w:rsidR="00CA3C37">
          <w:rPr>
            <w:webHidden/>
          </w:rPr>
          <w:fldChar w:fldCharType="separate"/>
        </w:r>
        <w:r w:rsidR="00CA3C37">
          <w:rPr>
            <w:webHidden/>
          </w:rPr>
          <w:t>5</w:t>
        </w:r>
        <w:r w:rsidR="00CA3C37">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640568" w:rsidRDefault="00640568" w:rsidP="00640568">
      <w:pPr>
        <w:pStyle w:val="Heading1"/>
        <w:numPr>
          <w:ilvl w:val="0"/>
          <w:numId w:val="0"/>
        </w:numPr>
        <w:ind w:left="680" w:hanging="680"/>
      </w:pPr>
      <w:bookmarkStart w:id="2" w:name="_Toc422389250"/>
      <w:r>
        <w:lastRenderedPageBreak/>
        <w:t>Shortened forms</w:t>
      </w:r>
      <w:bookmarkEnd w:id="2"/>
    </w:p>
    <w:p w:rsidR="00640568" w:rsidRDefault="00640568" w:rsidP="00640568"/>
    <w:tbl>
      <w:tblPr>
        <w:tblStyle w:val="AERTable-Text"/>
        <w:tblW w:w="0" w:type="auto"/>
        <w:tblLook w:val="04A0" w:firstRow="1" w:lastRow="0" w:firstColumn="1" w:lastColumn="0" w:noHBand="0" w:noVBand="1"/>
      </w:tblPr>
      <w:tblGrid>
        <w:gridCol w:w="2780"/>
        <w:gridCol w:w="6259"/>
      </w:tblGrid>
      <w:tr w:rsidR="00640568" w:rsidRPr="00796046" w:rsidTr="00640568">
        <w:trPr>
          <w:cnfStyle w:val="100000000000" w:firstRow="1" w:lastRow="0" w:firstColumn="0" w:lastColumn="0" w:oddVBand="0" w:evenVBand="0" w:oddHBand="0" w:evenHBand="0" w:firstRowFirstColumn="0" w:firstRowLastColumn="0" w:lastRowFirstColumn="0" w:lastRowLastColumn="0"/>
        </w:trPr>
        <w:tc>
          <w:tcPr>
            <w:tcW w:w="2780" w:type="dxa"/>
          </w:tcPr>
          <w:p w:rsidR="00640568" w:rsidRPr="00640568" w:rsidRDefault="00640568" w:rsidP="00640568">
            <w:pPr>
              <w:pStyle w:val="TableHeading"/>
            </w:pPr>
            <w:r w:rsidRPr="00951978">
              <w:t>Table text heading</w:t>
            </w:r>
          </w:p>
        </w:tc>
        <w:tc>
          <w:tcPr>
            <w:tcW w:w="6259" w:type="dxa"/>
          </w:tcPr>
          <w:p w:rsidR="00640568" w:rsidRPr="00640568" w:rsidRDefault="00640568" w:rsidP="00640568"/>
        </w:tc>
      </w:tr>
      <w:tr w:rsidR="00640568" w:rsidRPr="00796046" w:rsidTr="00640568">
        <w:tc>
          <w:tcPr>
            <w:tcW w:w="2780" w:type="dxa"/>
          </w:tcPr>
          <w:p w:rsidR="00640568" w:rsidRPr="00640568" w:rsidRDefault="00640568" w:rsidP="00BB759A">
            <w:r w:rsidRPr="00640568">
              <w:t>AER</w:t>
            </w:r>
          </w:p>
        </w:tc>
        <w:tc>
          <w:tcPr>
            <w:tcW w:w="6259" w:type="dxa"/>
          </w:tcPr>
          <w:p w:rsidR="00640568" w:rsidRPr="00640568" w:rsidRDefault="00640568" w:rsidP="00BB759A">
            <w:r w:rsidRPr="00640568">
              <w:t>A</w:t>
            </w:r>
            <w:r>
              <w:t xml:space="preserve">ustralian </w:t>
            </w:r>
            <w:r w:rsidRPr="00640568">
              <w:t>E</w:t>
            </w:r>
            <w:r>
              <w:t xml:space="preserve">nergy </w:t>
            </w:r>
            <w:r w:rsidRPr="00640568">
              <w:t>R</w:t>
            </w:r>
            <w:r>
              <w:t>egulator</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40568" w:rsidP="00640568">
            <w:r w:rsidRPr="00640568">
              <w:t>CAM</w:t>
            </w:r>
          </w:p>
        </w:tc>
        <w:tc>
          <w:tcPr>
            <w:tcW w:w="6259" w:type="dxa"/>
          </w:tcPr>
          <w:p w:rsidR="00640568" w:rsidRPr="00640568" w:rsidRDefault="00640568" w:rsidP="00BB759A">
            <w:r w:rsidRPr="00640568">
              <w:t>Cost Allocation Method</w:t>
            </w:r>
          </w:p>
        </w:tc>
      </w:tr>
      <w:tr w:rsidR="00640568" w:rsidRPr="00796046" w:rsidTr="00640568">
        <w:tc>
          <w:tcPr>
            <w:tcW w:w="2780" w:type="dxa"/>
          </w:tcPr>
          <w:p w:rsidR="00640568" w:rsidRPr="00640568" w:rsidRDefault="00640568" w:rsidP="00BB759A">
            <w:r w:rsidRPr="00640568">
              <w:t>Distributor, DNSP</w:t>
            </w:r>
          </w:p>
        </w:tc>
        <w:tc>
          <w:tcPr>
            <w:tcW w:w="6259" w:type="dxa"/>
          </w:tcPr>
          <w:p w:rsidR="00640568" w:rsidRPr="00640568" w:rsidRDefault="00640568" w:rsidP="00BB759A">
            <w:r w:rsidRPr="00640568">
              <w:t>Distribution Network Service Provider</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40568" w:rsidP="00640568">
            <w:r w:rsidRPr="00640568">
              <w:t>NEL</w:t>
            </w:r>
          </w:p>
        </w:tc>
        <w:tc>
          <w:tcPr>
            <w:tcW w:w="6259" w:type="dxa"/>
          </w:tcPr>
          <w:p w:rsidR="00640568" w:rsidRPr="00640568" w:rsidRDefault="00640568" w:rsidP="00BB759A">
            <w:r w:rsidRPr="00640568">
              <w:t>National Electricity Law</w:t>
            </w:r>
          </w:p>
        </w:tc>
      </w:tr>
      <w:tr w:rsidR="00640568" w:rsidRPr="00796046" w:rsidTr="00640568">
        <w:tc>
          <w:tcPr>
            <w:tcW w:w="2780" w:type="dxa"/>
          </w:tcPr>
          <w:p w:rsidR="00640568" w:rsidRPr="00640568" w:rsidRDefault="00640568" w:rsidP="00BB759A">
            <w:r w:rsidRPr="00640568">
              <w:t>NEM</w:t>
            </w:r>
          </w:p>
        </w:tc>
        <w:tc>
          <w:tcPr>
            <w:tcW w:w="6259" w:type="dxa"/>
          </w:tcPr>
          <w:p w:rsidR="00640568" w:rsidRPr="00640568" w:rsidRDefault="00640568" w:rsidP="00BB759A">
            <w:r w:rsidRPr="00640568">
              <w:t>National Electricity Market</w:t>
            </w:r>
          </w:p>
        </w:tc>
      </w:tr>
      <w:tr w:rsidR="00640568" w:rsidRPr="00796046" w:rsidTr="00640568">
        <w:trPr>
          <w:cnfStyle w:val="000000010000" w:firstRow="0" w:lastRow="0" w:firstColumn="0" w:lastColumn="0" w:oddVBand="0" w:evenVBand="0" w:oddHBand="0" w:evenHBand="1" w:firstRowFirstColumn="0" w:firstRowLastColumn="0" w:lastRowFirstColumn="0" w:lastRowLastColumn="0"/>
        </w:trPr>
        <w:tc>
          <w:tcPr>
            <w:tcW w:w="2780" w:type="dxa"/>
          </w:tcPr>
          <w:p w:rsidR="00640568" w:rsidRPr="00640568" w:rsidRDefault="00640568" w:rsidP="00640568">
            <w:r w:rsidRPr="00640568">
              <w:t>Rules, NER</w:t>
            </w:r>
          </w:p>
        </w:tc>
        <w:tc>
          <w:tcPr>
            <w:tcW w:w="6259" w:type="dxa"/>
          </w:tcPr>
          <w:p w:rsidR="00640568" w:rsidRPr="00640568" w:rsidRDefault="00640568" w:rsidP="00640568">
            <w:r w:rsidRPr="00640568">
              <w:t>National Electricity Market Rules</w:t>
            </w:r>
          </w:p>
        </w:tc>
      </w:tr>
      <w:tr w:rsidR="00640568" w:rsidRPr="00796046" w:rsidTr="00640568">
        <w:tc>
          <w:tcPr>
            <w:tcW w:w="2780" w:type="dxa"/>
          </w:tcPr>
          <w:p w:rsidR="00640568" w:rsidRPr="00640568" w:rsidRDefault="00640568" w:rsidP="00BB759A">
            <w:r w:rsidRPr="00640568">
              <w:t>guidelines</w:t>
            </w:r>
          </w:p>
        </w:tc>
        <w:tc>
          <w:tcPr>
            <w:tcW w:w="6259" w:type="dxa"/>
          </w:tcPr>
          <w:p w:rsidR="00640568" w:rsidRPr="00640568" w:rsidRDefault="00640568" w:rsidP="00BB759A">
            <w:r w:rsidRPr="00640568">
              <w:t>Distribution Cost Allocation Guidelines</w:t>
            </w:r>
          </w:p>
        </w:tc>
      </w:tr>
    </w:tbl>
    <w:p w:rsidR="00640568" w:rsidRPr="00640568" w:rsidRDefault="00640568" w:rsidP="00640568"/>
    <w:p w:rsidR="0020492C" w:rsidRDefault="00640568" w:rsidP="00562632">
      <w:pPr>
        <w:pStyle w:val="Heading1"/>
      </w:pPr>
      <w:bookmarkStart w:id="3" w:name="_Toc422389251"/>
      <w:bookmarkEnd w:id="1"/>
      <w:r>
        <w:lastRenderedPageBreak/>
        <w:t>Introduction</w:t>
      </w:r>
      <w:bookmarkEnd w:id="3"/>
    </w:p>
    <w:p w:rsidR="00640568" w:rsidRDefault="00640568" w:rsidP="000F73CA">
      <w:pPr>
        <w:pStyle w:val="Heading2"/>
      </w:pPr>
      <w:bookmarkStart w:id="4" w:name="_Toc422389252"/>
      <w:r>
        <w:t>Summary</w:t>
      </w:r>
      <w:bookmarkEnd w:id="4"/>
    </w:p>
    <w:p w:rsidR="00640568" w:rsidRPr="00640568" w:rsidRDefault="00640568" w:rsidP="0021185D">
      <w:r w:rsidRPr="0021185D">
        <w:t xml:space="preserve">On </w:t>
      </w:r>
      <w:r w:rsidR="0021185D" w:rsidRPr="0021185D">
        <w:t>16</w:t>
      </w:r>
      <w:r w:rsidRPr="0021185D">
        <w:t xml:space="preserve"> </w:t>
      </w:r>
      <w:r w:rsidR="0021185D" w:rsidRPr="0021185D">
        <w:t>June</w:t>
      </w:r>
      <w:r w:rsidR="0021185D">
        <w:t xml:space="preserve"> 2015</w:t>
      </w:r>
      <w:r>
        <w:t xml:space="preserve"> TasNetworks submitted a </w:t>
      </w:r>
      <w:r w:rsidR="0021185D">
        <w:t>revised</w:t>
      </w:r>
      <w:r w:rsidRPr="00640568">
        <w:t xml:space="preserve"> Cost Allocation Method</w:t>
      </w:r>
      <w:r w:rsidR="00C957EC">
        <w:t>/M</w:t>
      </w:r>
      <w:r w:rsidR="00473764">
        <w:t>e</w:t>
      </w:r>
      <w:r w:rsidR="00C957EC">
        <w:t>thodology</w:t>
      </w:r>
      <w:r w:rsidRPr="00640568">
        <w:t xml:space="preserve"> (CAM</w:t>
      </w:r>
      <w:r>
        <w:t>)</w:t>
      </w:r>
      <w:r w:rsidRPr="00640568">
        <w:t>—see Appendix A to</w:t>
      </w:r>
      <w:r>
        <w:t xml:space="preserve"> this paper.</w:t>
      </w:r>
      <w:r w:rsidR="00A54189">
        <w:rPr>
          <w:rStyle w:val="FootnoteReference"/>
        </w:rPr>
        <w:footnoteReference w:id="2"/>
      </w:r>
      <w:r>
        <w:t xml:space="preserve"> TasNetworks</w:t>
      </w:r>
      <w:r w:rsidRPr="00640568">
        <w:t xml:space="preserve"> is a licensed entity providing </w:t>
      </w:r>
      <w:r w:rsidR="00AB4A65">
        <w:t xml:space="preserve">electricity </w:t>
      </w:r>
      <w:r w:rsidRPr="00640568">
        <w:t>d</w:t>
      </w:r>
      <w:r w:rsidR="00AB4A65">
        <w:t>istribution and transmission services in Tasmania</w:t>
      </w:r>
      <w:r w:rsidRPr="00640568">
        <w:t xml:space="preserve">. A CAM is used to separately account for the costs of providing electricity distribution </w:t>
      </w:r>
      <w:r w:rsidR="00AB4A65">
        <w:t xml:space="preserve">and transmission </w:t>
      </w:r>
      <w:r w:rsidRPr="00640568">
        <w:t xml:space="preserve">services, including from other services the </w:t>
      </w:r>
      <w:r w:rsidR="00AB4A65">
        <w:t>Network Service Provider (NSP) might provide. TasNetworks proposed its new CAM take effect from 1 July</w:t>
      </w:r>
      <w:r w:rsidR="00FD02F1">
        <w:t xml:space="preserve"> 2015</w:t>
      </w:r>
      <w:r w:rsidRPr="00640568">
        <w:t>.</w:t>
      </w:r>
    </w:p>
    <w:p w:rsidR="00640568" w:rsidRPr="00640568" w:rsidRDefault="00640568" w:rsidP="00640568">
      <w:r w:rsidRPr="00640568">
        <w:t xml:space="preserve">We have determined </w:t>
      </w:r>
      <w:r w:rsidR="00AB4A65">
        <w:t>TasNetworks'</w:t>
      </w:r>
      <w:r w:rsidRPr="00640568">
        <w:t xml:space="preserve"> proposed CAM:</w:t>
      </w:r>
    </w:p>
    <w:p w:rsidR="00640568" w:rsidRPr="00640568" w:rsidRDefault="00640568" w:rsidP="00640568">
      <w:pPr>
        <w:pStyle w:val="Bulletpoint"/>
      </w:pPr>
      <w:r w:rsidRPr="00640568">
        <w:t>accords with the requirements of the National Electricity Law (NEL) and National Electricity Rules (the rules)</w:t>
      </w:r>
    </w:p>
    <w:p w:rsidR="00640568" w:rsidRPr="00640568" w:rsidRDefault="00640568" w:rsidP="00640568">
      <w:pPr>
        <w:pStyle w:val="Bulletpoint"/>
      </w:pPr>
      <w:r w:rsidRPr="00640568">
        <w:t>gives effect to and is consistent with our Distribution Cost Al</w:t>
      </w:r>
      <w:r w:rsidR="00AB4A65">
        <w:t>location Guidelines (distribution guidelines) and Transmission Cost Allocation Guidelines (transmission guidelines)</w:t>
      </w:r>
      <w:r w:rsidRPr="00640568">
        <w:t>.</w:t>
      </w:r>
      <w:r w:rsidRPr="00AB4A65">
        <w:rPr>
          <w:rStyle w:val="Superscript"/>
        </w:rPr>
        <w:t>1</w:t>
      </w:r>
    </w:p>
    <w:p w:rsidR="00640568" w:rsidRDefault="00640568" w:rsidP="009F07D1">
      <w:r w:rsidRPr="009F07D1">
        <w:t xml:space="preserve">Accordingly, we have approved </w:t>
      </w:r>
      <w:r w:rsidR="00810062" w:rsidRPr="009F07D1">
        <w:t>TasNetworks'</w:t>
      </w:r>
      <w:r w:rsidRPr="009F07D1">
        <w:t xml:space="preserve"> proposed CAM under clause</w:t>
      </w:r>
      <w:r w:rsidR="0027779E" w:rsidRPr="009F07D1">
        <w:t>s</w:t>
      </w:r>
      <w:r w:rsidRPr="009F07D1">
        <w:t xml:space="preserve"> 6.15.4(c)</w:t>
      </w:r>
      <w:r w:rsidR="009F07D1" w:rsidRPr="009F07D1">
        <w:t>(f)</w:t>
      </w:r>
      <w:r w:rsidRPr="009F07D1">
        <w:t xml:space="preserve"> </w:t>
      </w:r>
      <w:r w:rsidR="0027779E" w:rsidRPr="009F07D1">
        <w:t xml:space="preserve">and </w:t>
      </w:r>
      <w:r w:rsidR="009F07D1" w:rsidRPr="009F07D1">
        <w:t>6A.19.4(c)(f)</w:t>
      </w:r>
      <w:r w:rsidR="0027779E" w:rsidRPr="009F07D1">
        <w:t xml:space="preserve"> </w:t>
      </w:r>
      <w:r w:rsidRPr="009F07D1">
        <w:t>of</w:t>
      </w:r>
      <w:r w:rsidRPr="00640568">
        <w:t xml:space="preserve"> the rules</w:t>
      </w:r>
      <w:r w:rsidR="009F07D1">
        <w:t>.</w:t>
      </w:r>
    </w:p>
    <w:p w:rsidR="00640568" w:rsidRDefault="005B0F40" w:rsidP="00E72555">
      <w:pPr>
        <w:pStyle w:val="Heading2"/>
      </w:pPr>
      <w:bookmarkStart w:id="5" w:name="_Toc422389253"/>
      <w:r>
        <w:t>Background</w:t>
      </w:r>
      <w:bookmarkEnd w:id="5"/>
    </w:p>
    <w:p w:rsidR="005B0F40" w:rsidRPr="005B0F40" w:rsidRDefault="005B0F40" w:rsidP="005B0F40">
      <w:r w:rsidRPr="005B0F40">
        <w:t xml:space="preserve">We are responsible for regulating revenues of electricity distribution </w:t>
      </w:r>
      <w:r w:rsidR="00AB4C65">
        <w:t xml:space="preserve">and transmission </w:t>
      </w:r>
      <w:r w:rsidRPr="005B0F40">
        <w:t>businesses in the National Electricity Market (NEM) in accordance with the NEL and the rules. Chapter 6 of the rules deals with economic regulation of electricity distribution services.</w:t>
      </w:r>
      <w:r w:rsidR="00413C16">
        <w:t xml:space="preserve"> Chapter 6A dea</w:t>
      </w:r>
      <w:r w:rsidR="00AB4C65">
        <w:t>ls with electricity transmission</w:t>
      </w:r>
      <w:r w:rsidR="00413C16">
        <w:t xml:space="preserve"> services.</w:t>
      </w:r>
    </w:p>
    <w:p w:rsidR="00EE102F" w:rsidRDefault="005B0F40" w:rsidP="005B0F40">
      <w:r w:rsidRPr="005B0F40">
        <w:t>Cost allocation concerns attributing a regulated business's costs, or allocating shared costs, between distribution</w:t>
      </w:r>
      <w:r w:rsidR="0027779E">
        <w:t>/transmission</w:t>
      </w:r>
      <w:r w:rsidRPr="005B0F40">
        <w:t xml:space="preserve"> service categories and non-regulated business sections. The different service categories are defined in the NEL and the rules. </w:t>
      </w:r>
    </w:p>
    <w:p w:rsidR="00EE102F" w:rsidRDefault="00EE102F" w:rsidP="005B0F40">
      <w:r>
        <w:t>TasNetworks is both a Distribution Network Service Provider (DNSP) and a Transmission Network Service Provider (TNSP).</w:t>
      </w:r>
      <w:r>
        <w:rPr>
          <w:rStyle w:val="FootnoteReference"/>
        </w:rPr>
        <w:footnoteReference w:id="3"/>
      </w:r>
      <w:r w:rsidR="0027779E">
        <w:t xml:space="preserve"> TasNetworks has proposed a single CAM to cover both its distribution and transmission services and its non–regulated services.</w:t>
      </w:r>
      <w:r w:rsidR="00922602">
        <w:t xml:space="preserve"> </w:t>
      </w:r>
      <w:r w:rsidR="00922602" w:rsidRPr="00922602">
        <w:t xml:space="preserve">TasNetworks </w:t>
      </w:r>
      <w:r w:rsidR="00492F4F">
        <w:t xml:space="preserve">previously </w:t>
      </w:r>
      <w:r w:rsidR="00922602" w:rsidRPr="00922602">
        <w:t xml:space="preserve">had two separate approved CAMs </w:t>
      </w:r>
      <w:r w:rsidR="000B3DE9">
        <w:t>for the now defunct</w:t>
      </w:r>
      <w:r w:rsidR="00922602" w:rsidRPr="00922602">
        <w:t xml:space="preserve"> Aurora and Transend. As</w:t>
      </w:r>
      <w:r w:rsidR="00922602">
        <w:t xml:space="preserve"> those entities no longer exist</w:t>
      </w:r>
      <w:r w:rsidR="00922602" w:rsidRPr="00922602">
        <w:t xml:space="preserve"> TasNetworks has submitted a new CAM for our approval.</w:t>
      </w:r>
    </w:p>
    <w:p w:rsidR="005B0F40" w:rsidRDefault="009F7AAA" w:rsidP="005B0F40">
      <w:r>
        <w:t xml:space="preserve">For </w:t>
      </w:r>
      <w:r w:rsidR="0027779E">
        <w:t xml:space="preserve">electricity </w:t>
      </w:r>
      <w:r>
        <w:t>distribution, t</w:t>
      </w:r>
      <w:r w:rsidR="005B0F40" w:rsidRPr="005B0F40">
        <w:t>he CAM allocates costs between:</w:t>
      </w:r>
      <w:r w:rsidR="005B0F40">
        <w:t xml:space="preserve"> </w:t>
      </w:r>
    </w:p>
    <w:p w:rsidR="005B0F40" w:rsidRPr="005B0F40" w:rsidRDefault="005B0F40" w:rsidP="005B0F40">
      <w:pPr>
        <w:pStyle w:val="Bulletpoint"/>
      </w:pPr>
      <w:r w:rsidRPr="005B0F40">
        <w:lastRenderedPageBreak/>
        <w:t>direct control services, comprising:</w:t>
      </w:r>
    </w:p>
    <w:p w:rsidR="005B0F40" w:rsidRPr="005B0F40" w:rsidRDefault="005B0F40" w:rsidP="005B0F40">
      <w:pPr>
        <w:pStyle w:val="Bulletpoint2"/>
      </w:pPr>
      <w:r w:rsidRPr="005B0F40">
        <w:t>standard control services</w:t>
      </w:r>
    </w:p>
    <w:p w:rsidR="005B0F40" w:rsidRPr="005B0F40" w:rsidRDefault="005B0F40" w:rsidP="005B0F40">
      <w:pPr>
        <w:pStyle w:val="Bulletpoint2"/>
      </w:pPr>
      <w:r w:rsidRPr="005B0F40">
        <w:t>alternative control services</w:t>
      </w:r>
    </w:p>
    <w:p w:rsidR="005B0F40" w:rsidRPr="005B0F40" w:rsidRDefault="005B0F40" w:rsidP="005B0F40">
      <w:pPr>
        <w:pStyle w:val="Bulletpoint"/>
      </w:pPr>
      <w:r w:rsidRPr="005B0F40">
        <w:t>negotiated distribution services</w:t>
      </w:r>
    </w:p>
    <w:p w:rsidR="005B0F40" w:rsidRDefault="005B0F40" w:rsidP="005B0F40">
      <w:pPr>
        <w:pStyle w:val="Bulletpoint"/>
      </w:pPr>
      <w:r w:rsidRPr="005B0F40">
        <w:t>unclassified, or unregulated, services.</w:t>
      </w:r>
    </w:p>
    <w:p w:rsidR="009F7AAA" w:rsidRDefault="00255455" w:rsidP="00255455">
      <w:r w:rsidRPr="00255455">
        <w:t xml:space="preserve">In </w:t>
      </w:r>
      <w:r w:rsidR="00894DB4">
        <w:t>our distribution determinations</w:t>
      </w:r>
      <w:r w:rsidRPr="00255455">
        <w:t xml:space="preserve"> we classify distributor services to the above categories</w:t>
      </w:r>
      <w:r w:rsidR="001A1380">
        <w:t xml:space="preserve"> based on factors specified by the rules</w:t>
      </w:r>
      <w:r w:rsidR="00894DB4">
        <w:t xml:space="preserve">. For transmission </w:t>
      </w:r>
      <w:r w:rsidRPr="00255455">
        <w:t>we are not required to classify services</w:t>
      </w:r>
      <w:r w:rsidR="001A1380">
        <w:t xml:space="preserve"> as the separate categories of services are </w:t>
      </w:r>
      <w:r w:rsidR="00E1347B">
        <w:t xml:space="preserve">already </w:t>
      </w:r>
      <w:r w:rsidR="001A1380">
        <w:t>defined by the rules</w:t>
      </w:r>
      <w:r w:rsidRPr="00255455">
        <w:t>.</w:t>
      </w:r>
      <w:r>
        <w:t xml:space="preserve"> </w:t>
      </w:r>
      <w:r w:rsidR="009F7AAA">
        <w:t>For transmission, the CAM allocates costs between:</w:t>
      </w:r>
    </w:p>
    <w:p w:rsidR="009F7AAA" w:rsidRPr="00EC06A1" w:rsidRDefault="00EC06A1" w:rsidP="00EC06A1">
      <w:pPr>
        <w:pStyle w:val="Bulletpoint"/>
      </w:pPr>
      <w:r w:rsidRPr="00EC06A1">
        <w:t>prescribed transmission services</w:t>
      </w:r>
    </w:p>
    <w:p w:rsidR="00EC06A1" w:rsidRPr="00EC06A1" w:rsidRDefault="00EC06A1" w:rsidP="00EC06A1">
      <w:pPr>
        <w:pStyle w:val="Bulletpoint"/>
      </w:pPr>
      <w:r w:rsidRPr="00EC06A1">
        <w:t xml:space="preserve">negotiated </w:t>
      </w:r>
      <w:r w:rsidR="00255455">
        <w:t xml:space="preserve">transmission </w:t>
      </w:r>
      <w:r w:rsidRPr="00EC06A1">
        <w:t>services</w:t>
      </w:r>
    </w:p>
    <w:p w:rsidR="00EC06A1" w:rsidRPr="00EC06A1" w:rsidRDefault="00EC06A1" w:rsidP="00EC06A1">
      <w:pPr>
        <w:pStyle w:val="Bulletpoint"/>
      </w:pPr>
      <w:r w:rsidRPr="00EC06A1">
        <w:t>unregulated services.</w:t>
      </w:r>
    </w:p>
    <w:p w:rsidR="005B0F40" w:rsidRPr="005B0F40" w:rsidRDefault="005B0F40" w:rsidP="005B0F40">
      <w:r w:rsidRPr="005B0F40">
        <w:t>The prices charge</w:t>
      </w:r>
      <w:r w:rsidR="001A1380">
        <w:t xml:space="preserve">d by </w:t>
      </w:r>
      <w:r w:rsidR="00922602">
        <w:t>NSPs</w:t>
      </w:r>
      <w:r w:rsidRPr="005B0F40">
        <w:t xml:space="preserve"> for the different categories of </w:t>
      </w:r>
      <w:r w:rsidR="00F57421">
        <w:t>services depend on</w:t>
      </w:r>
      <w:r w:rsidRPr="005B0F40">
        <w:t xml:space="preserve"> costs incurred in providing those services. It is therefore important cost allocation between service classifications accurately and fairly represents costs incurred in providing those services. We rely upon historical and forecast costs allocated in accordance with </w:t>
      </w:r>
      <w:r w:rsidR="001A1380">
        <w:t xml:space="preserve">an </w:t>
      </w:r>
      <w:r w:rsidRPr="005B0F40">
        <w:t xml:space="preserve">approved CAM to determine prices charged, or revenues raised, by </w:t>
      </w:r>
      <w:r w:rsidR="001A1380">
        <w:t>NSPs</w:t>
      </w:r>
      <w:r w:rsidRPr="005B0F40">
        <w:t xml:space="preserve"> such as </w:t>
      </w:r>
      <w:r w:rsidR="001A1380">
        <w:t>TasNetworks</w:t>
      </w:r>
      <w:r w:rsidRPr="005B0F40">
        <w:t>.</w:t>
      </w:r>
    </w:p>
    <w:p w:rsidR="00020BE7" w:rsidRDefault="00020BE7" w:rsidP="00EE102F">
      <w:r w:rsidRPr="00020BE7">
        <w:t>While TasNetworks combines DNSP and TNSP roles, for regulatory purposes TasNetw</w:t>
      </w:r>
      <w:r w:rsidR="00F517F0">
        <w:t xml:space="preserve">orks comprises two separate </w:t>
      </w:r>
      <w:r w:rsidRPr="00020BE7">
        <w:t>ring fenced entities—a TasNetworks DNSP and a TasNetworks TNSP. TasNetworks will submit</w:t>
      </w:r>
      <w:r>
        <w:t xml:space="preserve"> to us for assessment</w:t>
      </w:r>
      <w:r w:rsidRPr="00020BE7">
        <w:t xml:space="preserve"> separate distribution and transmission regulatory proposals. We will assess those proposals under separate processes. Shared costs, such as some corporate costs for example, will be allocated to either the distribution or transmission business.</w:t>
      </w:r>
    </w:p>
    <w:p w:rsidR="00EE102F" w:rsidRPr="00EE102F" w:rsidRDefault="00EE102F" w:rsidP="00EE102F">
      <w:r w:rsidRPr="00EE102F">
        <w:t xml:space="preserve">Distribution </w:t>
      </w:r>
      <w:r w:rsidR="004336A5">
        <w:t xml:space="preserve">and transmission </w:t>
      </w:r>
      <w:r w:rsidR="00CC6AB5">
        <w:t xml:space="preserve">regulatory proposals, </w:t>
      </w:r>
      <w:r w:rsidRPr="00EE102F">
        <w:t xml:space="preserve">the regulatory arrangements proposed by </w:t>
      </w:r>
      <w:r w:rsidR="004336A5">
        <w:t>DNSPs and TNSPs</w:t>
      </w:r>
      <w:r w:rsidRPr="00EE102F">
        <w:t xml:space="preserve"> to us for a particular regulatory control period, must comply with an approved CAM. The revised CAM </w:t>
      </w:r>
      <w:r w:rsidR="00020BE7">
        <w:t xml:space="preserve">subject to this decision paper </w:t>
      </w:r>
      <w:r w:rsidRPr="00EE102F">
        <w:t xml:space="preserve">will be used by </w:t>
      </w:r>
      <w:r w:rsidR="004336A5">
        <w:t>TasNetworks</w:t>
      </w:r>
      <w:r w:rsidRPr="00EE102F">
        <w:t xml:space="preserve"> to develop </w:t>
      </w:r>
      <w:r w:rsidR="004336A5">
        <w:t>its</w:t>
      </w:r>
      <w:r w:rsidRPr="00EE102F">
        <w:t xml:space="preserve"> </w:t>
      </w:r>
      <w:r w:rsidR="004336A5">
        <w:t>separate distribution and transmission regulatory proposals</w:t>
      </w:r>
      <w:r w:rsidRPr="00EE102F">
        <w:t>.</w:t>
      </w:r>
      <w:r w:rsidR="00020BE7">
        <w:t xml:space="preserve"> TasNetworks will also use</w:t>
      </w:r>
      <w:r w:rsidR="004336A5">
        <w:t xml:space="preserve"> its revised CAM to report to us annually for its separate distribution and transmission </w:t>
      </w:r>
      <w:r w:rsidR="00D101CE">
        <w:t xml:space="preserve">regulated </w:t>
      </w:r>
      <w:r w:rsidR="004336A5">
        <w:t>businesses.</w:t>
      </w:r>
    </w:p>
    <w:p w:rsidR="00EE102F" w:rsidRDefault="00A4478E" w:rsidP="00EE102F">
      <w:r>
        <w:t>Following our approval</w:t>
      </w:r>
      <w:r w:rsidR="00EE102F" w:rsidRPr="00EE102F">
        <w:t xml:space="preserve"> </w:t>
      </w:r>
      <w:r w:rsidR="008C4C32">
        <w:t>TasNetworks' proposed</w:t>
      </w:r>
      <w:r w:rsidR="00EE102F" w:rsidRPr="00EE102F">
        <w:t xml:space="preserve"> CAM will remain relevant to</w:t>
      </w:r>
      <w:r w:rsidR="008C4C32">
        <w:t xml:space="preserve"> its</w:t>
      </w:r>
      <w:r w:rsidR="00EE102F" w:rsidRPr="00EE102F">
        <w:t xml:space="preserve"> statutory accounts, reporting and regulatory proposals until we approve a further CAM variation.</w:t>
      </w:r>
    </w:p>
    <w:p w:rsidR="00640568" w:rsidRDefault="00640568" w:rsidP="00640568"/>
    <w:p w:rsidR="00B7554C" w:rsidRDefault="00B7554C" w:rsidP="00640568"/>
    <w:p w:rsidR="00071263" w:rsidRPr="00071263" w:rsidRDefault="00071263" w:rsidP="00071263">
      <w:pPr>
        <w:pStyle w:val="Heading1"/>
      </w:pPr>
      <w:bookmarkStart w:id="6" w:name="_Toc422389254"/>
      <w:r w:rsidRPr="00071263">
        <w:lastRenderedPageBreak/>
        <w:t>The rule requirements</w:t>
      </w:r>
      <w:bookmarkEnd w:id="6"/>
    </w:p>
    <w:p w:rsidR="00362E05" w:rsidRDefault="00362E05" w:rsidP="00362E05">
      <w:pPr>
        <w:pStyle w:val="Heading2"/>
      </w:pPr>
      <w:bookmarkStart w:id="7" w:name="_Toc422389255"/>
      <w:r>
        <w:t>The rule requirements</w:t>
      </w:r>
      <w:bookmarkEnd w:id="7"/>
    </w:p>
    <w:p w:rsidR="00071263" w:rsidRDefault="00071263" w:rsidP="00071263">
      <w:pPr>
        <w:pStyle w:val="Bulletpoint"/>
        <w:numPr>
          <w:ilvl w:val="0"/>
          <w:numId w:val="0"/>
        </w:numPr>
        <w:ind w:left="357" w:hanging="357"/>
      </w:pPr>
      <w:r>
        <w:t>For DNSPs:</w:t>
      </w:r>
    </w:p>
    <w:p w:rsidR="00071263" w:rsidRPr="00071263" w:rsidRDefault="00071263" w:rsidP="00071263">
      <w:pPr>
        <w:pStyle w:val="Bulletpoint"/>
      </w:pPr>
      <w:r w:rsidRPr="00071263">
        <w:t xml:space="preserve">Clause 6.15.4(a) of the rules requires a </w:t>
      </w:r>
      <w:r>
        <w:t>DNSP</w:t>
      </w:r>
      <w:r w:rsidRPr="00071263">
        <w:t xml:space="preserve"> to submit to us for approval a document setting out its proposed CAM.</w:t>
      </w:r>
    </w:p>
    <w:p w:rsidR="00071263" w:rsidRPr="00071263" w:rsidRDefault="00071263" w:rsidP="00071263">
      <w:pPr>
        <w:pStyle w:val="Bulletpoint"/>
      </w:pPr>
      <w:r w:rsidRPr="00071263">
        <w:t xml:space="preserve">Clause 6.15.4(b) requires that a CAM give effect to and be consistent with our </w:t>
      </w:r>
      <w:r w:rsidR="00F2635D">
        <w:t xml:space="preserve">distribution </w:t>
      </w:r>
      <w:r w:rsidRPr="00071263">
        <w:t>guidelines.</w:t>
      </w:r>
    </w:p>
    <w:p w:rsidR="00071263" w:rsidRDefault="00071263" w:rsidP="00071263">
      <w:pPr>
        <w:pStyle w:val="Bulletpoint"/>
      </w:pPr>
      <w:r w:rsidRPr="00071263">
        <w:t>Clause 6.15.4(c) provides for us to approve or refuse to approve a CAM submitted under paragraph (a).</w:t>
      </w:r>
    </w:p>
    <w:p w:rsidR="00E37045" w:rsidRDefault="00E37045" w:rsidP="00071263">
      <w:pPr>
        <w:pStyle w:val="Bulletpoint"/>
      </w:pPr>
      <w:r>
        <w:t>Clause 6.15.4(f) provides for a DNSP to amend its CAM from time to time, subject to our approval.</w:t>
      </w:r>
    </w:p>
    <w:p w:rsidR="00071263" w:rsidRDefault="00071263" w:rsidP="00071263">
      <w:pPr>
        <w:pStyle w:val="Bulletpoint"/>
        <w:numPr>
          <w:ilvl w:val="0"/>
          <w:numId w:val="0"/>
        </w:numPr>
      </w:pPr>
      <w:r>
        <w:t>For TNSPs:</w:t>
      </w:r>
    </w:p>
    <w:p w:rsidR="00071263" w:rsidRDefault="00F2635D" w:rsidP="00F2635D">
      <w:pPr>
        <w:pStyle w:val="Bulletpoint"/>
      </w:pPr>
      <w:r>
        <w:t>Clause 6A.19.4(a) of the rules requires a TNSP to submit to us for approval a document setting out its proposed CAM.</w:t>
      </w:r>
    </w:p>
    <w:p w:rsidR="00F2635D" w:rsidRDefault="00F2635D" w:rsidP="00F2635D">
      <w:pPr>
        <w:pStyle w:val="Bulletpoint"/>
      </w:pPr>
      <w:r>
        <w:t>Clause 6</w:t>
      </w:r>
      <w:r w:rsidR="0006491C">
        <w:t>A</w:t>
      </w:r>
      <w:r>
        <w:t>.19.4(</w:t>
      </w:r>
      <w:r w:rsidR="0006491C">
        <w:t>b</w:t>
      </w:r>
      <w:r>
        <w:t xml:space="preserve">) requires that a CAM give effect to </w:t>
      </w:r>
      <w:r w:rsidR="004775F7">
        <w:t xml:space="preserve">and </w:t>
      </w:r>
      <w:r>
        <w:t>be consistent with our transmission guidelines.</w:t>
      </w:r>
    </w:p>
    <w:p w:rsidR="00071263" w:rsidRDefault="0006491C" w:rsidP="00B25037">
      <w:pPr>
        <w:pStyle w:val="Bulletpoint"/>
      </w:pPr>
      <w:r>
        <w:t xml:space="preserve">Clause 6A.19.4(c) provides for us to approve or refuse to approve a CAM submitted under paragraph (a). </w:t>
      </w:r>
    </w:p>
    <w:p w:rsidR="00E37045" w:rsidRPr="00071263" w:rsidRDefault="00E37045" w:rsidP="00B25037">
      <w:pPr>
        <w:pStyle w:val="Bulletpoint"/>
      </w:pPr>
      <w:r>
        <w:t>Clause 6A.19.4(f) provides for a TNSP to amend its CAM from time to time, subject to our approval.</w:t>
      </w:r>
    </w:p>
    <w:p w:rsidR="00071263" w:rsidRPr="00071263" w:rsidRDefault="00071263" w:rsidP="00B25037">
      <w:pPr>
        <w:pStyle w:val="Heading2"/>
      </w:pPr>
      <w:bookmarkStart w:id="8" w:name="_Toc422389256"/>
      <w:r w:rsidRPr="00071263">
        <w:t>Assessment process</w:t>
      </w:r>
      <w:bookmarkEnd w:id="8"/>
    </w:p>
    <w:p w:rsidR="00071263" w:rsidRPr="00071263" w:rsidRDefault="00B25037" w:rsidP="00071263">
      <w:r>
        <w:t>TasNetworks submitted a draft of its proposed CAM on 28</w:t>
      </w:r>
      <w:r w:rsidR="00071263" w:rsidRPr="00071263">
        <w:t xml:space="preserve"> </w:t>
      </w:r>
      <w:r>
        <w:t>May 2015</w:t>
      </w:r>
      <w:r w:rsidR="00071263" w:rsidRPr="00071263">
        <w:t>. We assessed the draft proposed CAM. Re</w:t>
      </w:r>
      <w:r>
        <w:t>sulting from this assessment, TasNetworks</w:t>
      </w:r>
      <w:r w:rsidR="00071263" w:rsidRPr="00071263">
        <w:t xml:space="preserve"> was provided with feedbac</w:t>
      </w:r>
      <w:r>
        <w:t>k that limited</w:t>
      </w:r>
      <w:r w:rsidR="00071263" w:rsidRPr="00071263">
        <w:t xml:space="preserve"> corrections were required to permit approval of the CAM.</w:t>
      </w:r>
    </w:p>
    <w:p w:rsidR="00071263" w:rsidRPr="00071263" w:rsidRDefault="00071263" w:rsidP="00071263">
      <w:r w:rsidRPr="00071263">
        <w:t xml:space="preserve">The results of our assessment of </w:t>
      </w:r>
      <w:r w:rsidR="00254BF8">
        <w:t xml:space="preserve">TasNetworks' </w:t>
      </w:r>
      <w:r w:rsidRPr="00071263">
        <w:t>revised proposed CAM against the requirements of our guidelines are set out in sections 2 and 3 of this paper.</w:t>
      </w:r>
    </w:p>
    <w:p w:rsidR="00071263" w:rsidRPr="00071263" w:rsidRDefault="0077261A" w:rsidP="00254BF8">
      <w:pPr>
        <w:pStyle w:val="Heading2"/>
      </w:pPr>
      <w:bookmarkStart w:id="9" w:name="_Toc422389257"/>
      <w:r>
        <w:t>TasNetworks</w:t>
      </w:r>
      <w:r w:rsidR="00071263" w:rsidRPr="00071263">
        <w:t xml:space="preserve"> CAM revisions and structure</w:t>
      </w:r>
      <w:bookmarkEnd w:id="9"/>
    </w:p>
    <w:p w:rsidR="001852B2" w:rsidRDefault="00231E63" w:rsidP="00071263">
      <w:r>
        <w:t>TasNetworks</w:t>
      </w:r>
      <w:r w:rsidR="00071263" w:rsidRPr="00071263">
        <w:t xml:space="preserve"> sought AER approval of the attached </w:t>
      </w:r>
      <w:r w:rsidR="00E37045">
        <w:t xml:space="preserve">amended Cost Allocation Method </w:t>
      </w:r>
      <w:r w:rsidR="00071263" w:rsidRPr="00071263">
        <w:t xml:space="preserve">(CAM) under clause 6.15.4(f) of the National Electricity Rules. </w:t>
      </w:r>
      <w:r w:rsidR="001852B2">
        <w:t xml:space="preserve">TasNetworks submitted that the major driver of revisions to its CAM is the merger of the now defunct Aurora and Transend to create TasNetworks, including the divestment of Aurora's retail business. </w:t>
      </w:r>
    </w:p>
    <w:p w:rsidR="00CF60A7" w:rsidRDefault="001852B2" w:rsidP="00071263">
      <w:r>
        <w:t xml:space="preserve">We accept the organisational changes are significant and justify establishment of a new CAM for the new merged TasNetworks NSP. </w:t>
      </w:r>
    </w:p>
    <w:p w:rsidR="00CF60A7" w:rsidRDefault="00CF60A7">
      <w:pPr>
        <w:spacing w:line="240" w:lineRule="auto"/>
      </w:pPr>
      <w:r>
        <w:br w:type="page"/>
      </w:r>
    </w:p>
    <w:p w:rsidR="00CF60A7" w:rsidRDefault="00CF60A7" w:rsidP="00CF60A7">
      <w:pPr>
        <w:pStyle w:val="Heading1"/>
      </w:pPr>
      <w:bookmarkStart w:id="10" w:name="_Toc422389258"/>
      <w:r>
        <w:lastRenderedPageBreak/>
        <w:t>Consistency with our cost allocation guidelines</w:t>
      </w:r>
      <w:bookmarkEnd w:id="10"/>
    </w:p>
    <w:p w:rsidR="00CF60A7" w:rsidRDefault="00CF60A7" w:rsidP="00071263">
      <w:r>
        <w:t>This section sets out our assessment of TasNetworks' proposed CAM against the requirements of our guidelines.</w:t>
      </w:r>
    </w:p>
    <w:p w:rsidR="00CF60A7" w:rsidRDefault="00473938" w:rsidP="00CF60A7">
      <w:pPr>
        <w:pStyle w:val="Heading2"/>
      </w:pPr>
      <w:bookmarkStart w:id="11" w:name="_Toc422389259"/>
      <w:r>
        <w:t>TasNetworks</w:t>
      </w:r>
      <w:r w:rsidR="00CF60A7">
        <w:t xml:space="preserve"> CAM assessment</w:t>
      </w:r>
      <w:bookmarkEnd w:id="11"/>
    </w:p>
    <w:p w:rsidR="003B5765" w:rsidRDefault="00E21830" w:rsidP="00071263">
      <w:r>
        <w:t xml:space="preserve">The format and content of TasNetworks' </w:t>
      </w:r>
      <w:r w:rsidR="00785239">
        <w:t>CAM are regulated by clause 3.2(a) of our</w:t>
      </w:r>
      <w:r>
        <w:t xml:space="preserve"> distribution</w:t>
      </w:r>
      <w:r w:rsidR="00785239">
        <w:t xml:space="preserve"> guidelines</w:t>
      </w:r>
      <w:r>
        <w:t xml:space="preserve"> and clause 3.2 of our transmission guidelines</w:t>
      </w:r>
      <w:r w:rsidR="00785239">
        <w:t>. Table 1 compares TasNetworks' proposed CAM against the requirements of clause 3.2(a).</w:t>
      </w:r>
    </w:p>
    <w:p w:rsidR="006441FA" w:rsidRDefault="006441FA" w:rsidP="00071263"/>
    <w:tbl>
      <w:tblPr>
        <w:tblStyle w:val="AERTable-Text"/>
        <w:tblW w:w="10065" w:type="dxa"/>
        <w:tblLook w:val="04A0" w:firstRow="1" w:lastRow="0" w:firstColumn="1" w:lastColumn="0" w:noHBand="0" w:noVBand="1"/>
      </w:tblPr>
      <w:tblGrid>
        <w:gridCol w:w="6521"/>
        <w:gridCol w:w="3544"/>
      </w:tblGrid>
      <w:tr w:rsidR="003B5765" w:rsidRPr="003B5765" w:rsidTr="00750AB6">
        <w:trPr>
          <w:cnfStyle w:val="100000000000" w:firstRow="1" w:lastRow="0" w:firstColumn="0" w:lastColumn="0" w:oddVBand="0" w:evenVBand="0" w:oddHBand="0" w:evenHBand="0" w:firstRowFirstColumn="0" w:firstRowLastColumn="0" w:lastRowFirstColumn="0" w:lastRowLastColumn="0"/>
        </w:trPr>
        <w:tc>
          <w:tcPr>
            <w:tcW w:w="6521" w:type="dxa"/>
          </w:tcPr>
          <w:p w:rsidR="003B5765" w:rsidRPr="003B5765" w:rsidRDefault="003B5765" w:rsidP="003B5765">
            <w:r w:rsidRPr="003B5765">
              <w:t>Clause 3.2(a) of the AER’s Distribution Cost Allocation Guidelines</w:t>
            </w:r>
          </w:p>
          <w:p w:rsidR="003B5765" w:rsidRPr="003B5765" w:rsidRDefault="003B5765" w:rsidP="003B5765">
            <w:r w:rsidRPr="003B5765">
              <w:t xml:space="preserve">&amp; </w:t>
            </w:r>
          </w:p>
          <w:p w:rsidR="003B5765" w:rsidRPr="003B5765" w:rsidRDefault="003B5765" w:rsidP="003B5765">
            <w:r w:rsidRPr="003B5765">
              <w:t>Clause 3.2 of the AER’s Transmission Cost Allocation Guidelines</w:t>
            </w:r>
          </w:p>
        </w:tc>
        <w:tc>
          <w:tcPr>
            <w:tcW w:w="3544" w:type="dxa"/>
          </w:tcPr>
          <w:p w:rsidR="003B5765" w:rsidRPr="003B5765" w:rsidRDefault="003B5765" w:rsidP="003B5765">
            <w:r w:rsidRPr="003B5765">
              <w:t>CAM references</w:t>
            </w:r>
          </w:p>
        </w:tc>
      </w:tr>
      <w:tr w:rsidR="003B5765" w:rsidRPr="003B5765" w:rsidTr="00750AB6">
        <w:tc>
          <w:tcPr>
            <w:tcW w:w="6521" w:type="dxa"/>
          </w:tcPr>
          <w:p w:rsidR="003B5765" w:rsidRPr="003B5765" w:rsidRDefault="003B5765" w:rsidP="003B5765">
            <w:r w:rsidRPr="003B5765">
              <w:t>DIST</w:t>
            </w:r>
          </w:p>
          <w:p w:rsidR="003B5765" w:rsidRPr="003B5765" w:rsidRDefault="003B5765" w:rsidP="003B5765">
            <w:r w:rsidRPr="003B5765">
              <w:t>A version history and date of issue for the document</w:t>
            </w:r>
          </w:p>
          <w:p w:rsidR="003B5765" w:rsidRPr="003B5765" w:rsidRDefault="003B5765" w:rsidP="003B5765">
            <w:r w:rsidRPr="003B5765">
              <w:t>TRANS</w:t>
            </w:r>
          </w:p>
          <w:p w:rsidR="003B5765" w:rsidRPr="003B5765" w:rsidRDefault="003B5765" w:rsidP="003B5765">
            <w:r w:rsidRPr="003B5765">
              <w:t>3.2 (1)   a version history and date of issue for the document</w:t>
            </w:r>
          </w:p>
        </w:tc>
        <w:tc>
          <w:tcPr>
            <w:tcW w:w="3544" w:type="dxa"/>
          </w:tcPr>
          <w:p w:rsidR="00071AA1" w:rsidRDefault="00071AA1" w:rsidP="00071AA1"/>
          <w:p w:rsidR="003B5765" w:rsidRPr="003B5765" w:rsidRDefault="00071AA1" w:rsidP="00071AA1">
            <w:r>
              <w:t>Compliant. See</w:t>
            </w:r>
            <w:r w:rsidR="003B5765" w:rsidRPr="003B5765">
              <w:t xml:space="preserve"> </w:t>
            </w:r>
            <w:r>
              <w:t>p</w:t>
            </w:r>
            <w:r w:rsidR="003B5765" w:rsidRPr="003B5765">
              <w:t>age iii.</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t>DIST</w:t>
            </w:r>
          </w:p>
          <w:p w:rsidR="003B5765" w:rsidRPr="003B5765" w:rsidRDefault="003B5765" w:rsidP="003B5765">
            <w:r w:rsidRPr="003B5765">
              <w:t>A statement of the nature, scope and purpose of the document and the way in which it is to be used by the distributor.</w:t>
            </w:r>
          </w:p>
          <w:p w:rsidR="003B5765" w:rsidRPr="003B5765" w:rsidRDefault="003B5765" w:rsidP="003B5765">
            <w:r w:rsidRPr="003B5765">
              <w:t>TRANS</w:t>
            </w:r>
          </w:p>
          <w:p w:rsidR="003B5765" w:rsidRPr="003B5765" w:rsidRDefault="003B5765" w:rsidP="003B5765">
            <w:r w:rsidRPr="003B5765">
              <w:t>3.2 (2)  a statement of the nature, scope and purpose of the document and the way in which it is to be used by the TNSP</w:t>
            </w:r>
          </w:p>
        </w:tc>
        <w:tc>
          <w:tcPr>
            <w:tcW w:w="3544" w:type="dxa"/>
          </w:tcPr>
          <w:p w:rsidR="00071AA1" w:rsidRDefault="00071AA1" w:rsidP="003B5765"/>
          <w:p w:rsidR="00071AA1" w:rsidRDefault="00071AA1" w:rsidP="003B5765"/>
          <w:p w:rsidR="003B5765" w:rsidRPr="003B5765" w:rsidRDefault="00071AA1" w:rsidP="00071AA1">
            <w:r>
              <w:t>Compliant. See p</w:t>
            </w:r>
            <w:r w:rsidR="003B5765" w:rsidRPr="003B5765">
              <w:t>age 5</w:t>
            </w:r>
          </w:p>
        </w:tc>
      </w:tr>
      <w:tr w:rsidR="003B5765" w:rsidRPr="003B5765" w:rsidTr="00750AB6">
        <w:tc>
          <w:tcPr>
            <w:tcW w:w="6521" w:type="dxa"/>
          </w:tcPr>
          <w:p w:rsidR="003B5765" w:rsidRPr="003B5765" w:rsidRDefault="003B5765" w:rsidP="003B5765">
            <w:r w:rsidRPr="003B5765">
              <w:t>DIST</w:t>
            </w:r>
          </w:p>
          <w:p w:rsidR="003B5765" w:rsidRPr="003B5765" w:rsidRDefault="003B5765" w:rsidP="003B5765">
            <w:r w:rsidRPr="003B5765">
              <w:t>(3) Details of the accountabilities within the distributor for the document in order to set out clearly:</w:t>
            </w:r>
          </w:p>
          <w:p w:rsidR="003B5765" w:rsidRPr="003B5765" w:rsidRDefault="003B5765" w:rsidP="003B5765">
            <w:r w:rsidRPr="003B5765">
              <w:t>A. the distributor's commitment to implementing the CAM; and</w:t>
            </w:r>
          </w:p>
          <w:p w:rsidR="003B5765" w:rsidRPr="003B5765" w:rsidRDefault="003B5765" w:rsidP="003B5765">
            <w:r w:rsidRPr="003B5765">
              <w:t>B. responsibilities within the distributor for updating, maintaining and applying the CAM and for internally monitoring and reporting on its application.</w:t>
            </w:r>
          </w:p>
          <w:p w:rsidR="003B5765" w:rsidRPr="003B5765" w:rsidRDefault="003B5765" w:rsidP="003B5765">
            <w:r w:rsidRPr="003B5765">
              <w:t>TRANS</w:t>
            </w:r>
          </w:p>
          <w:p w:rsidR="003B5765" w:rsidRPr="003B5765" w:rsidRDefault="003B5765" w:rsidP="003B5765">
            <w:r w:rsidRPr="003B5765">
              <w:t>3.2 (3) details of the accountabilities within the TNSP for the document in order to set out clearly:</w:t>
            </w:r>
          </w:p>
          <w:p w:rsidR="003B5765" w:rsidRPr="003B5765" w:rsidRDefault="003B5765" w:rsidP="003B5765">
            <w:r w:rsidRPr="003B5765">
              <w:t>A. the TNSP’s commitment to implementing the cost allocation</w:t>
            </w:r>
          </w:p>
          <w:p w:rsidR="003B5765" w:rsidRPr="003B5765" w:rsidRDefault="003B5765" w:rsidP="003B5765">
            <w:r w:rsidRPr="003B5765">
              <w:lastRenderedPageBreak/>
              <w:t>methodology; and</w:t>
            </w:r>
          </w:p>
          <w:p w:rsidR="003B5765" w:rsidRPr="003B5765" w:rsidRDefault="003B5765" w:rsidP="003B5765">
            <w:r w:rsidRPr="003B5765">
              <w:t>B. responsibilities within the TNSP for updating, maintaining and</w:t>
            </w:r>
          </w:p>
          <w:p w:rsidR="003B5765" w:rsidRPr="003B5765" w:rsidRDefault="003B5765" w:rsidP="003B5765">
            <w:r w:rsidRPr="003B5765">
              <w:t>applying the cost allocation methodology and for internally monitoring</w:t>
            </w:r>
          </w:p>
          <w:p w:rsidR="003B5765" w:rsidRPr="003B5765" w:rsidRDefault="003B5765" w:rsidP="003B5765">
            <w:r w:rsidRPr="003B5765">
              <w:t>and reporting on its application.</w:t>
            </w:r>
          </w:p>
        </w:tc>
        <w:tc>
          <w:tcPr>
            <w:tcW w:w="3544" w:type="dxa"/>
          </w:tcPr>
          <w:p w:rsidR="00071AA1" w:rsidRDefault="00071AA1" w:rsidP="00071AA1"/>
          <w:p w:rsidR="00071AA1" w:rsidRDefault="00071AA1" w:rsidP="00071AA1"/>
          <w:p w:rsidR="00071AA1" w:rsidRDefault="00071AA1" w:rsidP="00071AA1"/>
          <w:p w:rsidR="00071AA1" w:rsidRDefault="00071AA1" w:rsidP="00071AA1"/>
          <w:p w:rsidR="003B5765" w:rsidRPr="003B5765" w:rsidRDefault="00071AA1" w:rsidP="00071AA1">
            <w:r>
              <w:t>Compliant. See p</w:t>
            </w:r>
            <w:r w:rsidR="003B5765" w:rsidRPr="003B5765">
              <w:t>age 6.</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lastRenderedPageBreak/>
              <w:t>DIST</w:t>
            </w:r>
          </w:p>
          <w:p w:rsidR="003B5765" w:rsidRPr="003B5765" w:rsidRDefault="003B5765" w:rsidP="003B5765">
            <w:r w:rsidRPr="003B5765">
              <w:t>A description of the distributor's corporate and operational structure to enable the AER to understand how the distributor is organised to provide its distribution services.</w:t>
            </w:r>
          </w:p>
          <w:p w:rsidR="003B5765" w:rsidRPr="003B5765" w:rsidRDefault="003B5765" w:rsidP="003B5765">
            <w:r w:rsidRPr="003B5765">
              <w:t>TRANS</w:t>
            </w:r>
          </w:p>
          <w:p w:rsidR="003B5765" w:rsidRPr="003B5765" w:rsidRDefault="003B5765" w:rsidP="003B5765">
            <w:r w:rsidRPr="003B5765">
              <w:t>3.2 (4) a description of the TNSP’s corporate and operational structure in order to enable the AER to understand how the TNSP is organised to provide its transmission services</w:t>
            </w:r>
          </w:p>
        </w:tc>
        <w:tc>
          <w:tcPr>
            <w:tcW w:w="3544" w:type="dxa"/>
          </w:tcPr>
          <w:p w:rsidR="00071AA1" w:rsidRDefault="00071AA1" w:rsidP="00071AA1"/>
          <w:p w:rsidR="00071AA1" w:rsidRDefault="00071AA1" w:rsidP="00071AA1"/>
          <w:p w:rsidR="00071AA1" w:rsidRDefault="00071AA1" w:rsidP="00071AA1"/>
          <w:p w:rsidR="003B5765" w:rsidRPr="003B5765" w:rsidRDefault="00071AA1" w:rsidP="00071AA1">
            <w:r>
              <w:t>Compliant. See p</w:t>
            </w:r>
            <w:r w:rsidR="003B5765" w:rsidRPr="003B5765">
              <w:t>age 8.</w:t>
            </w:r>
          </w:p>
        </w:tc>
      </w:tr>
      <w:tr w:rsidR="003B5765" w:rsidRPr="003B5765" w:rsidTr="00750AB6">
        <w:tc>
          <w:tcPr>
            <w:tcW w:w="6521" w:type="dxa"/>
          </w:tcPr>
          <w:p w:rsidR="003B5765" w:rsidRPr="003B5765" w:rsidRDefault="003B5765" w:rsidP="003B5765">
            <w:r w:rsidRPr="003B5765">
              <w:t>DIST</w:t>
            </w:r>
          </w:p>
          <w:p w:rsidR="003B5765" w:rsidRPr="003B5765" w:rsidRDefault="003B5765" w:rsidP="003B5765">
            <w:r w:rsidRPr="003B5765">
              <w:t>A specification of the categories of distribution services that the distributor provides to which costs are to be attributed or allocated and the types of persons to whom those services are provided.</w:t>
            </w:r>
          </w:p>
          <w:p w:rsidR="003B5765" w:rsidRPr="003B5765" w:rsidRDefault="003B5765" w:rsidP="003B5765">
            <w:r w:rsidRPr="003B5765">
              <w:t>TRANS</w:t>
            </w:r>
          </w:p>
          <w:p w:rsidR="003B5765" w:rsidRPr="003B5765" w:rsidRDefault="003B5765" w:rsidP="003B5765">
            <w:r w:rsidRPr="003B5765">
              <w:t>3.2 (5) a specification of the categories of transmission services that the TNSP</w:t>
            </w:r>
          </w:p>
          <w:p w:rsidR="003B5765" w:rsidRPr="003B5765" w:rsidRDefault="003B5765" w:rsidP="003B5765">
            <w:r w:rsidRPr="003B5765">
              <w:t>provides to which costs are to be attributed or allocated and the types of</w:t>
            </w:r>
          </w:p>
          <w:p w:rsidR="003B5765" w:rsidRPr="003B5765" w:rsidRDefault="003B5765" w:rsidP="003B5765">
            <w:r w:rsidRPr="003B5765">
              <w:t>persons to whom those services are provided</w:t>
            </w:r>
          </w:p>
        </w:tc>
        <w:tc>
          <w:tcPr>
            <w:tcW w:w="3544" w:type="dxa"/>
          </w:tcPr>
          <w:p w:rsidR="00B918AD" w:rsidRDefault="00B918AD" w:rsidP="00B918AD"/>
          <w:p w:rsidR="00B918AD" w:rsidRDefault="00B918AD" w:rsidP="00B918AD"/>
          <w:p w:rsidR="00B918AD" w:rsidRDefault="00B918AD" w:rsidP="00B918AD"/>
          <w:p w:rsidR="003B5765" w:rsidRPr="003B5765" w:rsidRDefault="00B918AD" w:rsidP="00B918AD">
            <w:r>
              <w:t>Compliant. See p</w:t>
            </w:r>
            <w:r w:rsidR="003B5765" w:rsidRPr="003B5765">
              <w:t>age 9.</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t>DIST</w:t>
            </w:r>
          </w:p>
          <w:p w:rsidR="003B5765" w:rsidRPr="003B5765" w:rsidRDefault="003B5765" w:rsidP="003B5765">
            <w:r w:rsidRPr="003B5765">
              <w:t>(6) The distributor's detailed principles and policies to be used for attributing costs directly to, or allocating costs between, categories of distribution services that meet the requirements of clause 2.2 of the Guidelines. For the avoidance of doubt, this includes the attribution or allocation of costs relating to any related party transactions.</w:t>
            </w:r>
          </w:p>
          <w:p w:rsidR="003B5765" w:rsidRPr="003B5765" w:rsidRDefault="003B5765" w:rsidP="003B5765">
            <w:r w:rsidRPr="003B5765">
              <w:t>TRANS</w:t>
            </w:r>
          </w:p>
          <w:p w:rsidR="003B5765" w:rsidRPr="003B5765" w:rsidRDefault="003B5765" w:rsidP="003B5765">
            <w:r w:rsidRPr="003B5765">
              <w:t>3.2 (6) the TNSP’s detailed principles and policies to be used for attributing costs directly to, or allocating costs between, categories of transmission services that meet the requirements of clause 2.2 of these guidelines. For the</w:t>
            </w:r>
          </w:p>
          <w:p w:rsidR="003B5765" w:rsidRPr="003B5765" w:rsidRDefault="003B5765" w:rsidP="003B5765">
            <w:r w:rsidRPr="003B5765">
              <w:t>avoidance of doubt, this includes the attribution or allocation of costs relating to any related party transactions</w:t>
            </w:r>
          </w:p>
        </w:tc>
        <w:tc>
          <w:tcPr>
            <w:tcW w:w="3544" w:type="dxa"/>
          </w:tcPr>
          <w:p w:rsidR="00E85CA7" w:rsidRDefault="00E85CA7" w:rsidP="00E85CA7"/>
          <w:p w:rsidR="00E85CA7" w:rsidRDefault="00E85CA7" w:rsidP="00E85CA7"/>
          <w:p w:rsidR="00E85CA7" w:rsidRDefault="00E85CA7" w:rsidP="00E85CA7"/>
          <w:p w:rsidR="00E85CA7" w:rsidRDefault="00E85CA7" w:rsidP="00E85CA7"/>
          <w:p w:rsidR="003B5765" w:rsidRPr="003B5765" w:rsidRDefault="00E85CA7" w:rsidP="00E85CA7">
            <w:r>
              <w:t>Compliant. See p</w:t>
            </w:r>
            <w:r w:rsidR="003B5765" w:rsidRPr="003B5765">
              <w:t>ages 13 to 19 and appendix 1.</w:t>
            </w:r>
          </w:p>
        </w:tc>
      </w:tr>
      <w:tr w:rsidR="003B5765" w:rsidRPr="003B5765" w:rsidTr="00750AB6">
        <w:tc>
          <w:tcPr>
            <w:tcW w:w="6521" w:type="dxa"/>
          </w:tcPr>
          <w:p w:rsidR="003B5765" w:rsidRPr="003B5765" w:rsidRDefault="003B5765" w:rsidP="003B5765">
            <w:r w:rsidRPr="003B5765">
              <w:t>DIST</w:t>
            </w:r>
          </w:p>
          <w:p w:rsidR="003B5765" w:rsidRPr="003B5765" w:rsidRDefault="003B5765" w:rsidP="003B5765">
            <w:r w:rsidRPr="003B5765">
              <w:t>(7) A description of how the distributor will maintain records of the attribution or allocation of costs to, or between, categories of distribution services to enable any such attribution or allocation to be:</w:t>
            </w:r>
          </w:p>
          <w:p w:rsidR="003B5765" w:rsidRPr="003B5765" w:rsidRDefault="003B5765" w:rsidP="003B5765">
            <w:r w:rsidRPr="003B5765">
              <w:t xml:space="preserve">A. demonstrated to the AER, in accordance with clause 5.2 of these </w:t>
            </w:r>
            <w:r w:rsidRPr="003B5765">
              <w:lastRenderedPageBreak/>
              <w:t>Guidelines; and</w:t>
            </w:r>
          </w:p>
          <w:p w:rsidR="003B5765" w:rsidRPr="003B5765" w:rsidRDefault="003B5765" w:rsidP="003B5765">
            <w:r w:rsidRPr="003B5765">
              <w:t>B. audited or otherwise verified by a third party, including the AER, as required.</w:t>
            </w:r>
          </w:p>
          <w:p w:rsidR="003B5765" w:rsidRPr="003B5765" w:rsidRDefault="003B5765" w:rsidP="003B5765">
            <w:r w:rsidRPr="003B5765">
              <w:t>TRANS</w:t>
            </w:r>
          </w:p>
          <w:p w:rsidR="003B5765" w:rsidRPr="003B5765" w:rsidRDefault="003B5765" w:rsidP="003B5765">
            <w:r w:rsidRPr="003B5765">
              <w:t>3.2 (7) a description of how the TNSP will maintain records of the attribution or</w:t>
            </w:r>
          </w:p>
          <w:p w:rsidR="003B5765" w:rsidRPr="003B5765" w:rsidRDefault="003B5765" w:rsidP="003B5765">
            <w:r w:rsidRPr="003B5765">
              <w:t>allocation of costs to, or between, categories of transmission services in order to enable any such attribution or allocation to be:</w:t>
            </w:r>
          </w:p>
          <w:p w:rsidR="003B5765" w:rsidRPr="003B5765" w:rsidRDefault="003B5765" w:rsidP="003B5765">
            <w:r w:rsidRPr="003B5765">
              <w:t>A. demonstrated to the AER, in accordance with clause 5.2 of these guidelines and</w:t>
            </w:r>
          </w:p>
          <w:p w:rsidR="003B5765" w:rsidRPr="003B5765" w:rsidRDefault="003B5765" w:rsidP="003B5765">
            <w:r w:rsidRPr="003B5765">
              <w:t>B. audited or otherwise verified by a third party, including the AER, as required.</w:t>
            </w:r>
          </w:p>
        </w:tc>
        <w:tc>
          <w:tcPr>
            <w:tcW w:w="3544" w:type="dxa"/>
          </w:tcPr>
          <w:p w:rsidR="001B0BBB" w:rsidRDefault="001B0BBB" w:rsidP="001B0BBB"/>
          <w:p w:rsidR="001B0BBB" w:rsidRDefault="001B0BBB" w:rsidP="001B0BBB"/>
          <w:p w:rsidR="003B5765" w:rsidRPr="003B5765" w:rsidRDefault="001B0BBB" w:rsidP="001B0BBB">
            <w:r>
              <w:t>Compliant. See p</w:t>
            </w:r>
            <w:r w:rsidR="003B5765" w:rsidRPr="003B5765">
              <w:t>ages 12 &amp; 19.</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lastRenderedPageBreak/>
              <w:t>DIST</w:t>
            </w:r>
          </w:p>
          <w:p w:rsidR="003B5765" w:rsidRPr="003B5765" w:rsidRDefault="003B5765" w:rsidP="003B5765">
            <w:r w:rsidRPr="003B5765">
              <w:t>(8) A description of how the distributor will monitor its compliance with the CAM and the Guidelines.</w:t>
            </w:r>
          </w:p>
          <w:p w:rsidR="003B5765" w:rsidRPr="003B5765" w:rsidRDefault="003B5765" w:rsidP="003B5765">
            <w:r w:rsidRPr="003B5765">
              <w:t>TRANS</w:t>
            </w:r>
          </w:p>
          <w:p w:rsidR="003B5765" w:rsidRPr="003B5765" w:rsidRDefault="003B5765" w:rsidP="003B5765">
            <w:r w:rsidRPr="003B5765">
              <w:t>3.2 (8) a description of how the TNSP will monitor its compliance with the cost</w:t>
            </w:r>
          </w:p>
          <w:p w:rsidR="003B5765" w:rsidRPr="003B5765" w:rsidRDefault="003B5765" w:rsidP="003B5765">
            <w:r w:rsidRPr="003B5765">
              <w:t>allocation methodology and these guidelines</w:t>
            </w:r>
          </w:p>
        </w:tc>
        <w:tc>
          <w:tcPr>
            <w:tcW w:w="3544" w:type="dxa"/>
          </w:tcPr>
          <w:p w:rsidR="00616ACC" w:rsidRDefault="00616ACC" w:rsidP="00E50B8F"/>
          <w:p w:rsidR="00616ACC" w:rsidRDefault="00616ACC" w:rsidP="00E50B8F"/>
          <w:p w:rsidR="003B5765" w:rsidRPr="003B5765" w:rsidRDefault="00E50B8F" w:rsidP="00E50B8F">
            <w:r>
              <w:t>Compliant. See p</w:t>
            </w:r>
            <w:r w:rsidR="003B5765" w:rsidRPr="003B5765">
              <w:t>age 19.</w:t>
            </w:r>
          </w:p>
        </w:tc>
      </w:tr>
      <w:tr w:rsidR="003B5765" w:rsidRPr="003B5765" w:rsidTr="00750AB6">
        <w:tc>
          <w:tcPr>
            <w:tcW w:w="6521" w:type="dxa"/>
          </w:tcPr>
          <w:p w:rsidR="003B5765" w:rsidRPr="003B5765" w:rsidRDefault="003B5765" w:rsidP="003B5765">
            <w:r w:rsidRPr="003B5765">
              <w:t>DIST</w:t>
            </w:r>
          </w:p>
          <w:p w:rsidR="003B5765" w:rsidRPr="003B5765" w:rsidRDefault="003B5765" w:rsidP="003B5765">
            <w:r w:rsidRPr="003B5765">
              <w:t>(9) Details of the proposed date on which the CAM will commence, having regard for clause 4.1(d) of these Guidelines.</w:t>
            </w:r>
          </w:p>
          <w:p w:rsidR="003B5765" w:rsidRPr="003B5765" w:rsidRDefault="003B5765" w:rsidP="003B5765">
            <w:r w:rsidRPr="003B5765">
              <w:t>TRANS</w:t>
            </w:r>
          </w:p>
          <w:p w:rsidR="003B5765" w:rsidRPr="003B5765" w:rsidRDefault="003B5765" w:rsidP="003B5765">
            <w:r w:rsidRPr="003B5765">
              <w:t>3.2 (9) details of the proposed date on which the cost allocation methodology will commence, having regard for clause 4.1(d) of these guidelines and</w:t>
            </w:r>
          </w:p>
        </w:tc>
        <w:tc>
          <w:tcPr>
            <w:tcW w:w="3544" w:type="dxa"/>
          </w:tcPr>
          <w:p w:rsidR="00616ACC" w:rsidRDefault="00616ACC" w:rsidP="00E50B8F"/>
          <w:p w:rsidR="00616ACC" w:rsidRDefault="00616ACC" w:rsidP="00E50B8F"/>
          <w:p w:rsidR="003B5765" w:rsidRPr="003B5765" w:rsidRDefault="00E50B8F" w:rsidP="00E50B8F">
            <w:r>
              <w:t>Compliant. See p</w:t>
            </w:r>
            <w:r w:rsidR="003B5765" w:rsidRPr="003B5765">
              <w:t>age 6.</w:t>
            </w:r>
          </w:p>
        </w:tc>
      </w:tr>
      <w:tr w:rsidR="003B5765" w:rsidRPr="003B5765" w:rsidTr="00750AB6">
        <w:trPr>
          <w:cnfStyle w:val="000000010000" w:firstRow="0" w:lastRow="0" w:firstColumn="0" w:lastColumn="0" w:oddVBand="0" w:evenVBand="0" w:oddHBand="0" w:evenHBand="1" w:firstRowFirstColumn="0" w:firstRowLastColumn="0" w:lastRowFirstColumn="0" w:lastRowLastColumn="0"/>
        </w:trPr>
        <w:tc>
          <w:tcPr>
            <w:tcW w:w="6521" w:type="dxa"/>
          </w:tcPr>
          <w:p w:rsidR="003B5765" w:rsidRPr="003B5765" w:rsidRDefault="003B5765" w:rsidP="003B5765">
            <w:r w:rsidRPr="003B5765">
              <w:t>TRANS</w:t>
            </w:r>
          </w:p>
          <w:p w:rsidR="003B5765" w:rsidRPr="003B5765" w:rsidRDefault="003B5765" w:rsidP="003B5765">
            <w:r w:rsidRPr="003B5765">
              <w:t>3.2 (10) statement signed and dated by not less than two directors of a TNSP, which states whether in the directors’ opinion, the information contained in the</w:t>
            </w:r>
          </w:p>
          <w:p w:rsidR="003B5765" w:rsidRPr="003B5765" w:rsidRDefault="003B5765" w:rsidP="003B5765">
            <w:r w:rsidRPr="003B5765">
              <w:t>cost allocation methodology is accurate and which confirms the TNSP’s</w:t>
            </w:r>
          </w:p>
          <w:p w:rsidR="003B5765" w:rsidRPr="003B5765" w:rsidRDefault="003B5765" w:rsidP="003B5765">
            <w:r w:rsidRPr="003B5765">
              <w:t>intention to comply with the cost allocation methodology as approved by</w:t>
            </w:r>
          </w:p>
          <w:p w:rsidR="003B5765" w:rsidRPr="003B5765" w:rsidRDefault="003B5765" w:rsidP="003B5765">
            <w:r w:rsidRPr="003B5765">
              <w:t>AER.</w:t>
            </w:r>
          </w:p>
        </w:tc>
        <w:tc>
          <w:tcPr>
            <w:tcW w:w="3544" w:type="dxa"/>
          </w:tcPr>
          <w:p w:rsidR="00616ACC" w:rsidRDefault="00616ACC" w:rsidP="00E50B8F"/>
          <w:p w:rsidR="00616ACC" w:rsidRDefault="00616ACC" w:rsidP="00E50B8F"/>
          <w:p w:rsidR="00616ACC" w:rsidRDefault="00616ACC" w:rsidP="00E50B8F"/>
          <w:p w:rsidR="003B5765" w:rsidRPr="003B5765" w:rsidRDefault="00E50B8F" w:rsidP="00E50B8F">
            <w:r>
              <w:t>Compliant. See p</w:t>
            </w:r>
            <w:r w:rsidR="003B5765" w:rsidRPr="003B5765">
              <w:t>age 21.</w:t>
            </w:r>
          </w:p>
        </w:tc>
      </w:tr>
    </w:tbl>
    <w:p w:rsidR="00CF60A7" w:rsidRDefault="00CF60A7" w:rsidP="00071263"/>
    <w:p w:rsidR="00CF60A7" w:rsidRPr="00640568" w:rsidRDefault="00CF60A7" w:rsidP="00071263"/>
    <w:sectPr w:rsidR="00CF60A7" w:rsidRPr="00640568"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8B" w:rsidRDefault="00AB0B8B" w:rsidP="004B4412">
      <w:pPr>
        <w:spacing w:before="0"/>
      </w:pPr>
      <w:r>
        <w:separator/>
      </w:r>
    </w:p>
    <w:p w:rsidR="00AB0B8B" w:rsidRDefault="00AB0B8B"/>
    <w:p w:rsidR="00AB0B8B" w:rsidRDefault="00AB0B8B"/>
  </w:endnote>
  <w:endnote w:type="continuationSeparator" w:id="0">
    <w:p w:rsidR="00AB0B8B" w:rsidRDefault="00AB0B8B" w:rsidP="004B4412">
      <w:pPr>
        <w:spacing w:before="0"/>
      </w:pPr>
      <w:r>
        <w:continuationSeparator/>
      </w:r>
    </w:p>
    <w:p w:rsidR="00AB0B8B" w:rsidRDefault="00AB0B8B"/>
    <w:p w:rsidR="00AB0B8B" w:rsidRDefault="00AB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8B32C5">
      <w:rPr>
        <w:rFonts w:eastAsia="Arial" w:cs="Times New Roman"/>
        <w:noProof/>
        <w:color w:val="076A92" w:themeColor="text1"/>
        <w:sz w:val="18"/>
      </w:rPr>
      <w:t>Revised Cost Allocation Method</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8B32C5">
      <w:rPr>
        <w:rFonts w:eastAsia="Arial" w:cs="Times New Roman"/>
        <w:noProof/>
        <w:color w:val="076A92" w:themeColor="text1"/>
        <w:sz w:val="18"/>
      </w:rPr>
      <w:t>iii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AB0B8B" w:rsidP="00CC7F1D">
    <w:pPr>
      <w:pStyle w:val="Footer"/>
      <w:tabs>
        <w:tab w:val="clear" w:pos="9026"/>
        <w:tab w:val="right" w:pos="8505"/>
      </w:tabs>
    </w:pPr>
    <w:fldSimple w:instr=" STYLEREF  &quot;Report Title&quot;  \* MERGEFORMAT ">
      <w:r w:rsidR="008B32C5">
        <w:rPr>
          <w:noProof/>
        </w:rPr>
        <w:t>Revised Cost Allocation Method</w:t>
      </w:r>
    </w:fldSimple>
    <w:r w:rsidR="00CC7F1D">
      <w:tab/>
    </w:r>
    <w:r w:rsidR="00CC7F1D">
      <w:tab/>
    </w:r>
    <w:r w:rsidR="00CC7F1D">
      <w:fldChar w:fldCharType="begin"/>
    </w:r>
    <w:r w:rsidR="00CC7F1D">
      <w:instrText xml:space="preserve"> PAGE   \* MERGEFORMAT </w:instrText>
    </w:r>
    <w:r w:rsidR="00CC7F1D">
      <w:fldChar w:fldCharType="separate"/>
    </w:r>
    <w:r w:rsidR="008B32C5">
      <w:rPr>
        <w:noProof/>
      </w:rPr>
      <w:t>7</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AB0B8B" w:rsidP="00CC7F1D">
    <w:pPr>
      <w:pStyle w:val="Footer"/>
      <w:tabs>
        <w:tab w:val="clear" w:pos="9026"/>
        <w:tab w:val="right" w:pos="8505"/>
      </w:tabs>
    </w:pPr>
    <w:fldSimple w:instr=" STYLEREF  &quot;Report Title&quot;  \* MERGEFORMAT ">
      <w:r w:rsidR="008B32C5">
        <w:rPr>
          <w:noProof/>
        </w:rPr>
        <w:t>Revised Cost Allocation Method</w:t>
      </w:r>
    </w:fldSimple>
    <w:r w:rsidR="00CC7F1D">
      <w:tab/>
    </w:r>
    <w:r w:rsidR="00CC7F1D">
      <w:tab/>
    </w:r>
    <w:r w:rsidR="00CC7F1D">
      <w:fldChar w:fldCharType="begin"/>
    </w:r>
    <w:r w:rsidR="00CC7F1D">
      <w:instrText xml:space="preserve"> PAGE   \* MERGEFORMAT </w:instrText>
    </w:r>
    <w:r w:rsidR="00CC7F1D">
      <w:fldChar w:fldCharType="separate"/>
    </w:r>
    <w:r w:rsidR="008B32C5">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8B" w:rsidRDefault="00AB0B8B" w:rsidP="00182906">
      <w:pPr>
        <w:spacing w:before="0"/>
      </w:pPr>
      <w:r>
        <w:separator/>
      </w:r>
    </w:p>
  </w:footnote>
  <w:footnote w:type="continuationSeparator" w:id="0">
    <w:p w:rsidR="00AB0B8B" w:rsidRDefault="00AB0B8B" w:rsidP="00182906">
      <w:pPr>
        <w:spacing w:before="0"/>
      </w:pPr>
      <w:r>
        <w:continuationSeparator/>
      </w:r>
    </w:p>
  </w:footnote>
  <w:footnote w:type="continuationNotice" w:id="1">
    <w:p w:rsidR="00AB0B8B" w:rsidRDefault="00AB0B8B">
      <w:pPr>
        <w:spacing w:before="0" w:line="240" w:lineRule="auto"/>
      </w:pPr>
    </w:p>
  </w:footnote>
  <w:footnote w:id="2">
    <w:p w:rsidR="00A54189" w:rsidRDefault="00A54189">
      <w:pPr>
        <w:pStyle w:val="FootnoteText"/>
      </w:pPr>
      <w:r>
        <w:rPr>
          <w:rStyle w:val="FootnoteReference"/>
        </w:rPr>
        <w:footnoteRef/>
      </w:r>
      <w:r>
        <w:t xml:space="preserve"> </w:t>
      </w:r>
      <w:r>
        <w:tab/>
        <w:t xml:space="preserve">Chapter 6 (distribution) of the rules refers to a </w:t>
      </w:r>
      <w:r w:rsidRPr="00333DE9">
        <w:rPr>
          <w:rStyle w:val="Emphasis"/>
        </w:rPr>
        <w:t>Cost Allocation Method</w:t>
      </w:r>
      <w:r>
        <w:t xml:space="preserve"> while Chapter 6A (transmission) refers to a </w:t>
      </w:r>
      <w:r w:rsidRPr="00333DE9">
        <w:rPr>
          <w:rStyle w:val="Emphasis"/>
        </w:rPr>
        <w:t>Cost Allocation Method</w:t>
      </w:r>
      <w:r w:rsidR="00333DE9" w:rsidRPr="00333DE9">
        <w:rPr>
          <w:rStyle w:val="Emphasis"/>
        </w:rPr>
        <w:t>ology</w:t>
      </w:r>
      <w:r>
        <w:t>. TasNetworks has proposed a revised Cost Allocation Method/Methodology</w:t>
      </w:r>
      <w:r w:rsidR="00C957EC">
        <w:t xml:space="preserve"> </w:t>
      </w:r>
      <w:r>
        <w:t>in compliance with both Chapter 6 and Chapter 6A. For convenience, in this paper we use Cost Allocation Method. This should be read as also meaning Cost Allocation Methodology in respect of TasNetworks' role as a TNSP.</w:t>
      </w:r>
    </w:p>
  </w:footnote>
  <w:footnote w:id="3">
    <w:p w:rsidR="00EE102F" w:rsidRDefault="00EE102F">
      <w:pPr>
        <w:pStyle w:val="FootnoteText"/>
      </w:pPr>
      <w:r>
        <w:rPr>
          <w:rStyle w:val="FootnoteReference"/>
        </w:rPr>
        <w:footnoteRef/>
      </w:r>
      <w:r>
        <w:t xml:space="preserve"> </w:t>
      </w:r>
      <w:r>
        <w:tab/>
        <w:t xml:space="preserve">TasNetworks was created by the merger of Aurora (DNSP) and Transend (TNSP). As part of </w:t>
      </w:r>
      <w:r w:rsidR="00CF1897">
        <w:t>the organisational restructure</w:t>
      </w:r>
      <w:r>
        <w:t>, Aurora's electricity retailing business was separated.</w:t>
      </w:r>
      <w:r w:rsidR="00AF5DAA">
        <w:t xml:space="preserve"> The new </w:t>
      </w:r>
      <w:r w:rsidR="00CF1897">
        <w:t>distribution and transmission NSP</w:t>
      </w:r>
      <w:r w:rsidR="00AF5DAA">
        <w:t>,</w:t>
      </w:r>
      <w:r>
        <w:t xml:space="preserve"> </w:t>
      </w:r>
      <w:r w:rsidR="003C2E24">
        <w:t>TasNetworks</w:t>
      </w:r>
      <w:r w:rsidR="00AF5DAA">
        <w:t>, took effect from 1 July 2014</w:t>
      </w:r>
      <w:r w:rsidR="003C2E2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7243B4"/>
    <w:multiLevelType w:val="hybridMultilevel"/>
    <w:tmpl w:val="C22A6ED2"/>
    <w:lvl w:ilvl="0" w:tplc="4E4413B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0222A50"/>
    <w:multiLevelType w:val="hybridMultilevel"/>
    <w:tmpl w:val="B5B8C756"/>
    <w:lvl w:ilvl="0" w:tplc="923A34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8"/>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7"/>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joha\AppData\Local\Microsoft\Windows\Temporary Internet Files\Content.Outlook\6WTNNXTT\Tasnetworks CAM - AER decision paper.docx"/>
  </w:docVars>
  <w:rsids>
    <w:rsidRoot w:val="00E21FDF"/>
    <w:rsid w:val="00020BE7"/>
    <w:rsid w:val="00021202"/>
    <w:rsid w:val="0002517F"/>
    <w:rsid w:val="0003578C"/>
    <w:rsid w:val="00063247"/>
    <w:rsid w:val="0006491C"/>
    <w:rsid w:val="00070F9F"/>
    <w:rsid w:val="00071263"/>
    <w:rsid w:val="0007137B"/>
    <w:rsid w:val="00071AA1"/>
    <w:rsid w:val="00074341"/>
    <w:rsid w:val="00085663"/>
    <w:rsid w:val="00085EBF"/>
    <w:rsid w:val="000A6C7B"/>
    <w:rsid w:val="000B2D55"/>
    <w:rsid w:val="000B3DE9"/>
    <w:rsid w:val="000D122C"/>
    <w:rsid w:val="000E1819"/>
    <w:rsid w:val="000E6C72"/>
    <w:rsid w:val="000F73CA"/>
    <w:rsid w:val="000F78A0"/>
    <w:rsid w:val="00107CC7"/>
    <w:rsid w:val="00116EB2"/>
    <w:rsid w:val="00124609"/>
    <w:rsid w:val="00130C3C"/>
    <w:rsid w:val="0014573B"/>
    <w:rsid w:val="001573E4"/>
    <w:rsid w:val="00160756"/>
    <w:rsid w:val="00170114"/>
    <w:rsid w:val="0017232E"/>
    <w:rsid w:val="00174102"/>
    <w:rsid w:val="00180157"/>
    <w:rsid w:val="00182906"/>
    <w:rsid w:val="001852B2"/>
    <w:rsid w:val="00185CB9"/>
    <w:rsid w:val="00186F77"/>
    <w:rsid w:val="00191B6D"/>
    <w:rsid w:val="001926A4"/>
    <w:rsid w:val="00192AD5"/>
    <w:rsid w:val="001A1380"/>
    <w:rsid w:val="001B0BBB"/>
    <w:rsid w:val="001B45A0"/>
    <w:rsid w:val="001D055E"/>
    <w:rsid w:val="001F492E"/>
    <w:rsid w:val="001F6DA3"/>
    <w:rsid w:val="002010BC"/>
    <w:rsid w:val="00202E03"/>
    <w:rsid w:val="0020492C"/>
    <w:rsid w:val="00207FDC"/>
    <w:rsid w:val="0021185D"/>
    <w:rsid w:val="00224DB9"/>
    <w:rsid w:val="00231E63"/>
    <w:rsid w:val="00233775"/>
    <w:rsid w:val="00251745"/>
    <w:rsid w:val="00254BF8"/>
    <w:rsid w:val="00255455"/>
    <w:rsid w:val="00263AC0"/>
    <w:rsid w:val="0026772D"/>
    <w:rsid w:val="0027779E"/>
    <w:rsid w:val="00286874"/>
    <w:rsid w:val="002945FA"/>
    <w:rsid w:val="00296B65"/>
    <w:rsid w:val="002A7DEF"/>
    <w:rsid w:val="002E1BE5"/>
    <w:rsid w:val="002E2BFC"/>
    <w:rsid w:val="002F7986"/>
    <w:rsid w:val="00301B40"/>
    <w:rsid w:val="00305CC8"/>
    <w:rsid w:val="00307F6D"/>
    <w:rsid w:val="003177A2"/>
    <w:rsid w:val="00322F11"/>
    <w:rsid w:val="003271B5"/>
    <w:rsid w:val="00327A1E"/>
    <w:rsid w:val="00331264"/>
    <w:rsid w:val="00333DE9"/>
    <w:rsid w:val="00334C8D"/>
    <w:rsid w:val="003518B3"/>
    <w:rsid w:val="00362E05"/>
    <w:rsid w:val="003846F1"/>
    <w:rsid w:val="003B5765"/>
    <w:rsid w:val="003C26E8"/>
    <w:rsid w:val="003C2E24"/>
    <w:rsid w:val="003D28B0"/>
    <w:rsid w:val="00413C16"/>
    <w:rsid w:val="004336A5"/>
    <w:rsid w:val="00473764"/>
    <w:rsid w:val="00473938"/>
    <w:rsid w:val="004775F7"/>
    <w:rsid w:val="00480B4B"/>
    <w:rsid w:val="00485DC4"/>
    <w:rsid w:val="00492F4F"/>
    <w:rsid w:val="004A43D1"/>
    <w:rsid w:val="004B4412"/>
    <w:rsid w:val="004B4A86"/>
    <w:rsid w:val="004C033A"/>
    <w:rsid w:val="004C348C"/>
    <w:rsid w:val="004D55BA"/>
    <w:rsid w:val="004E22EC"/>
    <w:rsid w:val="00530128"/>
    <w:rsid w:val="00532467"/>
    <w:rsid w:val="00543E83"/>
    <w:rsid w:val="0056080A"/>
    <w:rsid w:val="00562632"/>
    <w:rsid w:val="00564A4D"/>
    <w:rsid w:val="00567BA5"/>
    <w:rsid w:val="00571B35"/>
    <w:rsid w:val="00571D57"/>
    <w:rsid w:val="00577A09"/>
    <w:rsid w:val="00577D41"/>
    <w:rsid w:val="005829C2"/>
    <w:rsid w:val="00584D8F"/>
    <w:rsid w:val="005A404D"/>
    <w:rsid w:val="005B0F40"/>
    <w:rsid w:val="005B1E3C"/>
    <w:rsid w:val="005C26CC"/>
    <w:rsid w:val="005C4261"/>
    <w:rsid w:val="00615C6B"/>
    <w:rsid w:val="00616ACC"/>
    <w:rsid w:val="00632D6D"/>
    <w:rsid w:val="00640568"/>
    <w:rsid w:val="00642C3E"/>
    <w:rsid w:val="006441FA"/>
    <w:rsid w:val="00663DAD"/>
    <w:rsid w:val="00670957"/>
    <w:rsid w:val="00676679"/>
    <w:rsid w:val="006A7CF6"/>
    <w:rsid w:val="006B4CF9"/>
    <w:rsid w:val="006B7AC8"/>
    <w:rsid w:val="006C1FEB"/>
    <w:rsid w:val="006D550F"/>
    <w:rsid w:val="00701CAB"/>
    <w:rsid w:val="00707563"/>
    <w:rsid w:val="0070763B"/>
    <w:rsid w:val="0072348C"/>
    <w:rsid w:val="00724A37"/>
    <w:rsid w:val="007303C3"/>
    <w:rsid w:val="00743223"/>
    <w:rsid w:val="0074473C"/>
    <w:rsid w:val="00746E01"/>
    <w:rsid w:val="00750AB6"/>
    <w:rsid w:val="007550E3"/>
    <w:rsid w:val="00757BDF"/>
    <w:rsid w:val="00763E5D"/>
    <w:rsid w:val="00767740"/>
    <w:rsid w:val="0077261A"/>
    <w:rsid w:val="00777EE6"/>
    <w:rsid w:val="00782EEA"/>
    <w:rsid w:val="00785239"/>
    <w:rsid w:val="007A4D1F"/>
    <w:rsid w:val="007B2C72"/>
    <w:rsid w:val="007C1C53"/>
    <w:rsid w:val="007C74BB"/>
    <w:rsid w:val="007D1AF8"/>
    <w:rsid w:val="007E4904"/>
    <w:rsid w:val="007E4CB5"/>
    <w:rsid w:val="007F066B"/>
    <w:rsid w:val="008033C4"/>
    <w:rsid w:val="00806C88"/>
    <w:rsid w:val="00810062"/>
    <w:rsid w:val="0081034E"/>
    <w:rsid w:val="008344F6"/>
    <w:rsid w:val="0083510F"/>
    <w:rsid w:val="00843704"/>
    <w:rsid w:val="00851209"/>
    <w:rsid w:val="008837AC"/>
    <w:rsid w:val="00894DB4"/>
    <w:rsid w:val="008A3E3C"/>
    <w:rsid w:val="008A4E71"/>
    <w:rsid w:val="008A587D"/>
    <w:rsid w:val="008B32C5"/>
    <w:rsid w:val="008C4C32"/>
    <w:rsid w:val="008C5486"/>
    <w:rsid w:val="008D1661"/>
    <w:rsid w:val="008E7031"/>
    <w:rsid w:val="008F2354"/>
    <w:rsid w:val="00922602"/>
    <w:rsid w:val="009233EE"/>
    <w:rsid w:val="009460AA"/>
    <w:rsid w:val="00951978"/>
    <w:rsid w:val="009661DE"/>
    <w:rsid w:val="009856B7"/>
    <w:rsid w:val="009A5FC3"/>
    <w:rsid w:val="009B74B0"/>
    <w:rsid w:val="009D6B46"/>
    <w:rsid w:val="009F07D1"/>
    <w:rsid w:val="009F4940"/>
    <w:rsid w:val="009F5BA1"/>
    <w:rsid w:val="009F7AAA"/>
    <w:rsid w:val="00A02A88"/>
    <w:rsid w:val="00A0562E"/>
    <w:rsid w:val="00A0726D"/>
    <w:rsid w:val="00A22495"/>
    <w:rsid w:val="00A32FBB"/>
    <w:rsid w:val="00A4478A"/>
    <w:rsid w:val="00A4478E"/>
    <w:rsid w:val="00A44852"/>
    <w:rsid w:val="00A54189"/>
    <w:rsid w:val="00A57D04"/>
    <w:rsid w:val="00A60023"/>
    <w:rsid w:val="00A60A26"/>
    <w:rsid w:val="00A61598"/>
    <w:rsid w:val="00A75077"/>
    <w:rsid w:val="00A84F46"/>
    <w:rsid w:val="00A871F4"/>
    <w:rsid w:val="00AB0B8B"/>
    <w:rsid w:val="00AB4A65"/>
    <w:rsid w:val="00AB4C65"/>
    <w:rsid w:val="00AC1B2C"/>
    <w:rsid w:val="00AC3264"/>
    <w:rsid w:val="00AE1BF1"/>
    <w:rsid w:val="00AF0857"/>
    <w:rsid w:val="00AF0DD2"/>
    <w:rsid w:val="00AF1ED6"/>
    <w:rsid w:val="00AF5DAA"/>
    <w:rsid w:val="00B13048"/>
    <w:rsid w:val="00B1716D"/>
    <w:rsid w:val="00B17A1D"/>
    <w:rsid w:val="00B207A0"/>
    <w:rsid w:val="00B25037"/>
    <w:rsid w:val="00B37E38"/>
    <w:rsid w:val="00B514DD"/>
    <w:rsid w:val="00B52AF0"/>
    <w:rsid w:val="00B56E03"/>
    <w:rsid w:val="00B7554C"/>
    <w:rsid w:val="00B8080B"/>
    <w:rsid w:val="00B87C39"/>
    <w:rsid w:val="00B918AD"/>
    <w:rsid w:val="00B927D8"/>
    <w:rsid w:val="00BA3C98"/>
    <w:rsid w:val="00BA4665"/>
    <w:rsid w:val="00BB2FB2"/>
    <w:rsid w:val="00BB3304"/>
    <w:rsid w:val="00BD3446"/>
    <w:rsid w:val="00BE1F1B"/>
    <w:rsid w:val="00BE47B5"/>
    <w:rsid w:val="00C12ECA"/>
    <w:rsid w:val="00C25FA6"/>
    <w:rsid w:val="00C35919"/>
    <w:rsid w:val="00C538A9"/>
    <w:rsid w:val="00C53B5A"/>
    <w:rsid w:val="00C54F5A"/>
    <w:rsid w:val="00C569B4"/>
    <w:rsid w:val="00C57E32"/>
    <w:rsid w:val="00C67A92"/>
    <w:rsid w:val="00C86679"/>
    <w:rsid w:val="00C957EC"/>
    <w:rsid w:val="00CA3C37"/>
    <w:rsid w:val="00CA489E"/>
    <w:rsid w:val="00CB666B"/>
    <w:rsid w:val="00CB6E5B"/>
    <w:rsid w:val="00CC213C"/>
    <w:rsid w:val="00CC6AB5"/>
    <w:rsid w:val="00CC7F1D"/>
    <w:rsid w:val="00CF09F3"/>
    <w:rsid w:val="00CF1897"/>
    <w:rsid w:val="00CF60A7"/>
    <w:rsid w:val="00D01CF0"/>
    <w:rsid w:val="00D0442A"/>
    <w:rsid w:val="00D101CE"/>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E4EFA"/>
    <w:rsid w:val="00DE5520"/>
    <w:rsid w:val="00E04818"/>
    <w:rsid w:val="00E06442"/>
    <w:rsid w:val="00E1347B"/>
    <w:rsid w:val="00E137FB"/>
    <w:rsid w:val="00E16751"/>
    <w:rsid w:val="00E21830"/>
    <w:rsid w:val="00E21FDF"/>
    <w:rsid w:val="00E22820"/>
    <w:rsid w:val="00E23993"/>
    <w:rsid w:val="00E25B8C"/>
    <w:rsid w:val="00E37045"/>
    <w:rsid w:val="00E50B8F"/>
    <w:rsid w:val="00E65C85"/>
    <w:rsid w:val="00E66199"/>
    <w:rsid w:val="00E72555"/>
    <w:rsid w:val="00E755EC"/>
    <w:rsid w:val="00E7624D"/>
    <w:rsid w:val="00E85CA7"/>
    <w:rsid w:val="00EA3D42"/>
    <w:rsid w:val="00EA6B1B"/>
    <w:rsid w:val="00EB505D"/>
    <w:rsid w:val="00EC06A1"/>
    <w:rsid w:val="00EE102F"/>
    <w:rsid w:val="00EE28F3"/>
    <w:rsid w:val="00EF5110"/>
    <w:rsid w:val="00F07259"/>
    <w:rsid w:val="00F15882"/>
    <w:rsid w:val="00F171E0"/>
    <w:rsid w:val="00F20BD3"/>
    <w:rsid w:val="00F2635D"/>
    <w:rsid w:val="00F373A5"/>
    <w:rsid w:val="00F47559"/>
    <w:rsid w:val="00F517F0"/>
    <w:rsid w:val="00F57421"/>
    <w:rsid w:val="00F64C7B"/>
    <w:rsid w:val="00F676DD"/>
    <w:rsid w:val="00F71778"/>
    <w:rsid w:val="00F75A26"/>
    <w:rsid w:val="00F835C9"/>
    <w:rsid w:val="00F83FAD"/>
    <w:rsid w:val="00F952A0"/>
    <w:rsid w:val="00FA3C7F"/>
    <w:rsid w:val="00FB74E2"/>
    <w:rsid w:val="00FD02F1"/>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0122C-B64B-4F0C-B7CB-AE1C01AF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0</TotalTime>
  <Pages>10</Pages>
  <Words>2016</Words>
  <Characters>11496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Johansen, Dale</dc:creator>
  <cp:lastModifiedBy>Johansen, Dale</cp:lastModifiedBy>
  <cp:revision>2</cp:revision>
  <dcterms:created xsi:type="dcterms:W3CDTF">2016-05-05T05:37:00Z</dcterms:created>
  <dcterms:modified xsi:type="dcterms:W3CDTF">2016-05-05T05:37:00Z</dcterms:modified>
</cp:coreProperties>
</file>