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4AA" w14:textId="77777777" w:rsidR="00672215" w:rsidRDefault="00672215" w:rsidP="00641DFF">
      <w:pPr>
        <w:spacing w:before="0"/>
      </w:pPr>
      <w:r>
        <w:rPr>
          <w:lang w:val="en-GB" w:eastAsia="en-GB"/>
        </w:rPr>
        <w:drawing>
          <wp:anchor distT="0" distB="0" distL="114300" distR="114300" simplePos="0" relativeHeight="251660288" behindDoc="0" locked="0" layoutInCell="1" allowOverlap="1" wp14:anchorId="6FBC48F5" wp14:editId="2547CB0D">
            <wp:simplePos x="0" y="0"/>
            <wp:positionH relativeFrom="margin">
              <wp:posOffset>-63500</wp:posOffset>
            </wp:positionH>
            <wp:positionV relativeFrom="paragraph">
              <wp:posOffset>-2318698</wp:posOffset>
            </wp:positionV>
            <wp:extent cx="2749550" cy="1061085"/>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9550" cy="1061085"/>
                    </a:xfrm>
                    <a:prstGeom prst="rect">
                      <a:avLst/>
                    </a:prstGeom>
                    <a:noFill/>
                  </pic:spPr>
                </pic:pic>
              </a:graphicData>
            </a:graphic>
            <wp14:sizeRelH relativeFrom="page">
              <wp14:pctWidth>0</wp14:pctWidth>
            </wp14:sizeRelH>
            <wp14:sizeRelV relativeFrom="page">
              <wp14:pctHeight>0</wp14:pctHeight>
            </wp14:sizeRelV>
          </wp:anchor>
        </w:drawing>
      </w:r>
    </w:p>
    <w:p w14:paraId="0EED51C0" w14:textId="77777777" w:rsidR="00672215" w:rsidRDefault="00672215" w:rsidP="00641DFF">
      <w:pPr>
        <w:spacing w:before="0"/>
      </w:pPr>
    </w:p>
    <w:p w14:paraId="4165ED1F" w14:textId="77777777" w:rsidR="00672215" w:rsidRDefault="00672215" w:rsidP="00641DFF">
      <w:pPr>
        <w:tabs>
          <w:tab w:val="left" w:pos="3976"/>
        </w:tabs>
        <w:spacing w:before="0"/>
      </w:pPr>
      <w:r>
        <w:tab/>
      </w:r>
      <w:r>
        <w:br w:type="textWrapping" w:clear="all"/>
      </w:r>
    </w:p>
    <w:p w14:paraId="7E4684D7" w14:textId="77777777" w:rsidR="00672215" w:rsidRDefault="00672215" w:rsidP="00641DFF">
      <w:pPr>
        <w:spacing w:before="0"/>
      </w:pPr>
    </w:p>
    <w:p w14:paraId="60532860" w14:textId="663629C3" w:rsidR="006A3ABD" w:rsidRPr="006A3ABD" w:rsidRDefault="006A3ABD" w:rsidP="006A3ABD">
      <w:pPr>
        <w:spacing w:before="0"/>
        <w:jc w:val="center"/>
        <w:rPr>
          <w:b/>
          <w:sz w:val="40"/>
        </w:rPr>
      </w:pPr>
      <w:r w:rsidRPr="006A3ABD">
        <w:rPr>
          <w:b/>
          <w:bCs/>
          <w:sz w:val="40"/>
        </w:rPr>
        <w:t xml:space="preserve">Review of the application guidelines for the regulatory investment tests </w:t>
      </w:r>
    </w:p>
    <w:p w14:paraId="0571291E" w14:textId="25295414" w:rsidR="00A20D90" w:rsidRDefault="00482EC9" w:rsidP="00641DFF">
      <w:pPr>
        <w:spacing w:before="0"/>
        <w:jc w:val="center"/>
        <w:rPr>
          <w:b/>
          <w:sz w:val="40"/>
        </w:rPr>
      </w:pPr>
      <w:r>
        <w:rPr>
          <w:b/>
          <w:sz w:val="40"/>
        </w:rPr>
        <w:t xml:space="preserve">Submission </w:t>
      </w:r>
      <w:r w:rsidR="006A3ABD">
        <w:rPr>
          <w:b/>
          <w:sz w:val="40"/>
        </w:rPr>
        <w:t>to AER</w:t>
      </w:r>
    </w:p>
    <w:p w14:paraId="26121AE9" w14:textId="158CD322" w:rsidR="0038480E" w:rsidRPr="005C69F6" w:rsidRDefault="006A3ABD" w:rsidP="0038480E">
      <w:pPr>
        <w:widowControl w:val="0"/>
        <w:autoSpaceDE w:val="0"/>
        <w:autoSpaceDN w:val="0"/>
        <w:adjustRightInd w:val="0"/>
        <w:spacing w:before="0"/>
        <w:jc w:val="center"/>
        <w:rPr>
          <w:rFonts w:ascii="Times" w:eastAsiaTheme="minorHAnsi" w:hAnsi="Times" w:cs="Times"/>
          <w:noProof w:val="0"/>
          <w:color w:val="auto"/>
          <w:sz w:val="40"/>
          <w:szCs w:val="40"/>
          <w:lang w:val="en-US"/>
        </w:rPr>
      </w:pPr>
      <w:r>
        <w:rPr>
          <w:rFonts w:eastAsiaTheme="minorHAnsi" w:cs="Calibri"/>
          <w:noProof w:val="0"/>
          <w:color w:val="auto"/>
          <w:sz w:val="40"/>
          <w:szCs w:val="40"/>
          <w:lang w:val="en-US"/>
        </w:rPr>
        <w:t xml:space="preserve">April </w:t>
      </w:r>
      <w:r w:rsidR="0038480E">
        <w:rPr>
          <w:rFonts w:eastAsiaTheme="minorHAnsi" w:cs="Calibri"/>
          <w:noProof w:val="0"/>
          <w:color w:val="auto"/>
          <w:sz w:val="40"/>
          <w:szCs w:val="40"/>
          <w:lang w:val="en-US"/>
        </w:rPr>
        <w:t>201</w:t>
      </w:r>
      <w:r w:rsidR="009D1A28">
        <w:rPr>
          <w:rFonts w:eastAsiaTheme="minorHAnsi" w:cs="Calibri"/>
          <w:noProof w:val="0"/>
          <w:color w:val="auto"/>
          <w:sz w:val="40"/>
          <w:szCs w:val="40"/>
          <w:lang w:val="en-US"/>
        </w:rPr>
        <w:t>8</w:t>
      </w:r>
    </w:p>
    <w:p w14:paraId="0CBF6854" w14:textId="77777777" w:rsidR="0038480E" w:rsidRPr="00137CF0" w:rsidRDefault="0038480E" w:rsidP="00641DFF">
      <w:pPr>
        <w:spacing w:before="0"/>
        <w:jc w:val="center"/>
        <w:rPr>
          <w:b/>
          <w:sz w:val="40"/>
        </w:rPr>
      </w:pPr>
    </w:p>
    <w:p w14:paraId="6242DD76" w14:textId="0B66459F" w:rsidR="00672215" w:rsidRDefault="00672215" w:rsidP="00641DFF">
      <w:pPr>
        <w:pStyle w:val="Heading1"/>
        <w:spacing w:before="0"/>
        <w:rPr>
          <w:rFonts w:cs="Calibri"/>
        </w:rPr>
      </w:pPr>
    </w:p>
    <w:p w14:paraId="3A36DFF1" w14:textId="77777777" w:rsidR="00672215" w:rsidRDefault="00672215" w:rsidP="00641DFF">
      <w:pPr>
        <w:spacing w:before="0"/>
      </w:pPr>
    </w:p>
    <w:p w14:paraId="663A05DA" w14:textId="77777777" w:rsidR="00672215" w:rsidRDefault="00672215" w:rsidP="00641DFF">
      <w:pPr>
        <w:spacing w:before="0"/>
      </w:pPr>
    </w:p>
    <w:p w14:paraId="5AFF6C36" w14:textId="77777777" w:rsidR="00672215" w:rsidRDefault="00672215" w:rsidP="00641DFF">
      <w:pPr>
        <w:spacing w:before="0"/>
      </w:pPr>
    </w:p>
    <w:p w14:paraId="13E742AA" w14:textId="77777777" w:rsidR="00672215" w:rsidRDefault="00672215" w:rsidP="00641DFF">
      <w:pPr>
        <w:spacing w:before="0"/>
      </w:pPr>
    </w:p>
    <w:p w14:paraId="29F52E94" w14:textId="77777777" w:rsidR="00672215" w:rsidRDefault="00672215" w:rsidP="00641DFF">
      <w:pPr>
        <w:spacing w:before="0"/>
      </w:pPr>
    </w:p>
    <w:p w14:paraId="3E08ADCC" w14:textId="77777777" w:rsidR="00672215" w:rsidRDefault="00672215" w:rsidP="00641DFF">
      <w:pPr>
        <w:spacing w:before="0"/>
      </w:pPr>
    </w:p>
    <w:p w14:paraId="6E003044" w14:textId="77777777" w:rsidR="00672215" w:rsidRDefault="00672215" w:rsidP="00641DFF">
      <w:pPr>
        <w:spacing w:before="0"/>
      </w:pPr>
    </w:p>
    <w:p w14:paraId="184893A5" w14:textId="77777777" w:rsidR="00672215" w:rsidRDefault="00672215" w:rsidP="00641DFF">
      <w:pPr>
        <w:spacing w:before="0"/>
      </w:pPr>
    </w:p>
    <w:p w14:paraId="31BD4C58" w14:textId="77777777" w:rsidR="00A749CE" w:rsidRDefault="00A749CE" w:rsidP="00641DFF">
      <w:pPr>
        <w:spacing w:before="0"/>
        <w:rPr>
          <w:rFonts w:eastAsia="Times New Roman"/>
          <w:b/>
          <w:bCs/>
          <w:kern w:val="32"/>
          <w:sz w:val="28"/>
          <w:szCs w:val="32"/>
        </w:rPr>
      </w:pPr>
      <w:bookmarkStart w:id="0" w:name="PictureBullets"/>
      <w:bookmarkEnd w:id="0"/>
      <w:r>
        <w:br w:type="page"/>
      </w:r>
    </w:p>
    <w:p w14:paraId="5A5B325F" w14:textId="262698B6" w:rsidR="00BC48B2" w:rsidRPr="00D77E92" w:rsidRDefault="00BC48B2" w:rsidP="00641DFF">
      <w:pPr>
        <w:pStyle w:val="Heading1"/>
        <w:spacing w:before="0"/>
      </w:pPr>
      <w:r w:rsidRPr="00D77E92">
        <w:lastRenderedPageBreak/>
        <w:t xml:space="preserve">Total Environment Centre’s National Electricity Market </w:t>
      </w:r>
      <w:r>
        <w:t>advocacy</w:t>
      </w:r>
    </w:p>
    <w:p w14:paraId="77A846B7" w14:textId="5B7FA50D" w:rsidR="00BC48B2" w:rsidRDefault="00BC48B2" w:rsidP="00641DFF">
      <w:pPr>
        <w:spacing w:before="0"/>
      </w:pPr>
      <w:r w:rsidRPr="005730AE">
        <w:t xml:space="preserve">Established in </w:t>
      </w:r>
      <w:r w:rsidRPr="000D0BFF">
        <w:t>1</w:t>
      </w:r>
      <w:r w:rsidRPr="005730AE">
        <w:t xml:space="preserve">972 by pioneers of the Australian environmental movement, Total Environment Centre (TEC) </w:t>
      </w:r>
      <w:r w:rsidRPr="00C0712F">
        <w:t>is a veteran of more than 100 successful campaigns. For nearly 40 years, we have been working to protect this country's natural and</w:t>
      </w:r>
      <w:r w:rsidRPr="005730AE">
        <w:t xml:space="preserve"> urban environment</w:t>
      </w:r>
      <w:r w:rsidR="00B342EF">
        <w:t>s:</w:t>
      </w:r>
      <w:r w:rsidRPr="005730AE">
        <w:t xml:space="preserve"> flagging the issues, driving debate, supporting community activism and pushing for better environmental policy and practice.</w:t>
      </w:r>
      <w:r>
        <w:t xml:space="preserve"> </w:t>
      </w:r>
    </w:p>
    <w:p w14:paraId="1A8C59D5" w14:textId="33F4F444" w:rsidR="00C21BA5" w:rsidRPr="00C21BA5" w:rsidRDefault="00BC48B2" w:rsidP="00641DFF">
      <w:pPr>
        <w:spacing w:before="0"/>
      </w:pPr>
      <w:r w:rsidRPr="00965D8A">
        <w:t xml:space="preserve">TEC has been involved in National Electricity Market (NEM) advocacy for </w:t>
      </w:r>
      <w:r w:rsidR="009D1A28">
        <w:t>14</w:t>
      </w:r>
      <w:r w:rsidRPr="00965D8A">
        <w:t xml:space="preserve"> years, arguing </w:t>
      </w:r>
      <w:r>
        <w:t xml:space="preserve">above all </w:t>
      </w:r>
      <w:r w:rsidRPr="00965D8A">
        <w:t xml:space="preserve">for greater utilisation of demand side participation — energy </w:t>
      </w:r>
      <w:r>
        <w:t xml:space="preserve">conservation and </w:t>
      </w:r>
      <w:r w:rsidRPr="00965D8A">
        <w:t xml:space="preserve">efficiency, demand management and decentralised generation — to meet Australia’s electricity needs. By reforming the NEM we </w:t>
      </w:r>
      <w:r>
        <w:t>are working</w:t>
      </w:r>
      <w:r w:rsidRPr="00965D8A">
        <w:t xml:space="preserve"> to contribute to climate change mitigation and improve other environmental outcomes of Australia's energy sector, while also constraining retail prices and improving the economic efficiency of the NEM — all in the long term interest of consumers</w:t>
      </w:r>
      <w:r>
        <w:t>, pursuant to the National Electricity Objective (NEO).</w:t>
      </w:r>
    </w:p>
    <w:p w14:paraId="40B40A91" w14:textId="6FD66BFD" w:rsidR="00FA4E01" w:rsidRDefault="006A3ABD" w:rsidP="00C0221F">
      <w:pPr>
        <w:rPr>
          <w:rFonts w:asciiTheme="minorHAnsi" w:hAnsiTheme="minorHAnsi"/>
          <w:b/>
          <w:bCs/>
        </w:rPr>
      </w:pPr>
      <w:r w:rsidRPr="006A3ABD">
        <w:rPr>
          <w:rFonts w:asciiTheme="minorHAnsi" w:hAnsiTheme="minorHAnsi"/>
          <w:b/>
          <w:bCs/>
        </w:rPr>
        <w:t>Review of the application guidelines for the regulatory investment tests</w:t>
      </w:r>
    </w:p>
    <w:p w14:paraId="0FF9AA3F" w14:textId="65E79807" w:rsidR="006A3ABD" w:rsidRDefault="00687C23" w:rsidP="00C0221F">
      <w:pPr>
        <w:rPr>
          <w:rFonts w:asciiTheme="minorHAnsi" w:hAnsiTheme="minorHAnsi"/>
        </w:rPr>
      </w:pPr>
      <w:r>
        <w:rPr>
          <w:rFonts w:asciiTheme="minorHAnsi" w:hAnsiTheme="minorHAnsi"/>
        </w:rPr>
        <w:t xml:space="preserve">TEC has not been involved in this review to date, and due to resource constraints is confining itself to several general issues in this brief submission. Our overarching concern is that the outcome of this process should facilitaite, or at least not hinder, the integration of large scale and distributed renewable energy generation and demand management/response. </w:t>
      </w:r>
    </w:p>
    <w:p w14:paraId="06640D45" w14:textId="3CC4B09E" w:rsidR="004A387E" w:rsidRDefault="004A387E" w:rsidP="00C0221F">
      <w:pPr>
        <w:rPr>
          <w:rFonts w:asciiTheme="minorHAnsi" w:hAnsiTheme="minorHAnsi"/>
        </w:rPr>
      </w:pPr>
      <w:r>
        <w:rPr>
          <w:rFonts w:asciiTheme="minorHAnsi" w:hAnsiTheme="minorHAnsi"/>
        </w:rPr>
        <w:t>In principle we support the submissions to this process from TransGrid and PIAC. We would draw the AER’s attention to the following issues:</w:t>
      </w:r>
    </w:p>
    <w:p w14:paraId="4167737D" w14:textId="3E407F98" w:rsidR="004A387E" w:rsidRPr="006749BB" w:rsidRDefault="004A387E" w:rsidP="004A387E">
      <w:pPr>
        <w:pStyle w:val="ListParagraph"/>
        <w:numPr>
          <w:ilvl w:val="0"/>
          <w:numId w:val="22"/>
        </w:numPr>
        <w:rPr>
          <w:rFonts w:asciiTheme="minorHAnsi" w:hAnsiTheme="minorHAnsi"/>
          <w:i/>
        </w:rPr>
      </w:pPr>
      <w:r w:rsidRPr="006749BB">
        <w:rPr>
          <w:rFonts w:asciiTheme="minorHAnsi" w:hAnsiTheme="minorHAnsi"/>
          <w:i/>
        </w:rPr>
        <w:t>Renewable Energy Zones</w:t>
      </w:r>
    </w:p>
    <w:p w14:paraId="4B6BB9DE" w14:textId="087B55C5" w:rsidR="004A387E" w:rsidRDefault="004A387E" w:rsidP="004A387E">
      <w:pPr>
        <w:rPr>
          <w:rFonts w:asciiTheme="minorHAnsi" w:hAnsiTheme="minorHAnsi"/>
        </w:rPr>
      </w:pPr>
      <w:r>
        <w:rPr>
          <w:rFonts w:asciiTheme="minorHAnsi" w:hAnsiTheme="minorHAnsi"/>
        </w:rPr>
        <w:t xml:space="preserve">TEC supports the concept in AEMO’s Integrated System Plan of renewable energy zones (REZ), on the proviso that if is formally adopted by the COAG Energy Council, it does not lead to speculative investment in transmission infrastructure by TNSPs that may lead to </w:t>
      </w:r>
      <w:r w:rsidR="00C7741C">
        <w:rPr>
          <w:rFonts w:asciiTheme="minorHAnsi" w:hAnsiTheme="minorHAnsi"/>
        </w:rPr>
        <w:t>unnecc</w:t>
      </w:r>
      <w:r w:rsidR="00EA3D07">
        <w:rPr>
          <w:rFonts w:asciiTheme="minorHAnsi" w:hAnsiTheme="minorHAnsi"/>
        </w:rPr>
        <w:t>es</w:t>
      </w:r>
      <w:r w:rsidR="00C7741C">
        <w:rPr>
          <w:rFonts w:asciiTheme="minorHAnsi" w:hAnsiTheme="minorHAnsi"/>
        </w:rPr>
        <w:t>a</w:t>
      </w:r>
      <w:r w:rsidR="00EA3D07">
        <w:rPr>
          <w:rFonts w:asciiTheme="minorHAnsi" w:hAnsiTheme="minorHAnsi"/>
        </w:rPr>
        <w:t xml:space="preserve">ry costs to consumers and </w:t>
      </w:r>
      <w:r>
        <w:rPr>
          <w:rFonts w:asciiTheme="minorHAnsi" w:hAnsiTheme="minorHAnsi"/>
        </w:rPr>
        <w:t xml:space="preserve">stranded assets if market conditions change (for instance, in favour of </w:t>
      </w:r>
      <w:r w:rsidR="0011518F">
        <w:rPr>
          <w:rFonts w:asciiTheme="minorHAnsi" w:hAnsiTheme="minorHAnsi"/>
        </w:rPr>
        <w:t xml:space="preserve">more </w:t>
      </w:r>
      <w:r>
        <w:rPr>
          <w:rFonts w:asciiTheme="minorHAnsi" w:hAnsiTheme="minorHAnsi"/>
        </w:rPr>
        <w:t>DER).</w:t>
      </w:r>
    </w:p>
    <w:p w14:paraId="34E7D5AA" w14:textId="237309CE" w:rsidR="00DE4B89" w:rsidRDefault="00DE4B89" w:rsidP="004A387E">
      <w:pPr>
        <w:rPr>
          <w:rFonts w:asciiTheme="minorHAnsi" w:hAnsiTheme="minorHAnsi"/>
        </w:rPr>
      </w:pPr>
      <w:r>
        <w:rPr>
          <w:rFonts w:asciiTheme="minorHAnsi" w:hAnsiTheme="minorHAnsi"/>
        </w:rPr>
        <w:t>We concur with TransGrid’s proposal that in developing new RIT guidelines, the AER should clarify how the RIT-T could allow the ISP’s REZ to be considered as equivalent to the current NTNDP in respect of establishing an indentified need for new transmission infrastructure. This would obviate the need for a rule change to allow TNSPs to develop new infrastructure on a system-wide, integrated (rather than ad hoc, as at present) basis.</w:t>
      </w:r>
    </w:p>
    <w:p w14:paraId="4133E3D7" w14:textId="42536AF1" w:rsidR="00DE4B89" w:rsidRPr="006749BB" w:rsidRDefault="00DE4B89" w:rsidP="00DE4B89">
      <w:pPr>
        <w:pStyle w:val="ListParagraph"/>
        <w:numPr>
          <w:ilvl w:val="0"/>
          <w:numId w:val="22"/>
        </w:numPr>
        <w:rPr>
          <w:rFonts w:asciiTheme="minorHAnsi" w:hAnsiTheme="minorHAnsi"/>
          <w:i/>
        </w:rPr>
      </w:pPr>
      <w:r w:rsidRPr="006749BB">
        <w:rPr>
          <w:rFonts w:asciiTheme="minorHAnsi" w:hAnsiTheme="minorHAnsi"/>
          <w:i/>
        </w:rPr>
        <w:t>Non-network options</w:t>
      </w:r>
    </w:p>
    <w:p w14:paraId="153A6D67" w14:textId="2D72D759" w:rsidR="00DE4B89" w:rsidRDefault="00DE4B89" w:rsidP="00DE4B89">
      <w:pPr>
        <w:rPr>
          <w:rFonts w:asciiTheme="minorHAnsi" w:hAnsiTheme="minorHAnsi"/>
        </w:rPr>
      </w:pPr>
      <w:r>
        <w:rPr>
          <w:rFonts w:asciiTheme="minorHAnsi" w:hAnsiTheme="minorHAnsi"/>
        </w:rPr>
        <w:t xml:space="preserve">The fact that only one of 17 RIT-Ts to date has resulted in a TNSP choosing a </w:t>
      </w:r>
      <w:r w:rsidR="006749BB">
        <w:rPr>
          <w:rFonts w:asciiTheme="minorHAnsi" w:hAnsiTheme="minorHAnsi"/>
        </w:rPr>
        <w:t>non-network option points to th</w:t>
      </w:r>
      <w:r>
        <w:rPr>
          <w:rFonts w:asciiTheme="minorHAnsi" w:hAnsiTheme="minorHAnsi"/>
        </w:rPr>
        <w:t>e</w:t>
      </w:r>
      <w:r w:rsidR="006749BB">
        <w:rPr>
          <w:rFonts w:asciiTheme="minorHAnsi" w:hAnsiTheme="minorHAnsi"/>
        </w:rPr>
        <w:t xml:space="preserve"> </w:t>
      </w:r>
      <w:r>
        <w:rPr>
          <w:rFonts w:asciiTheme="minorHAnsi" w:hAnsiTheme="minorHAnsi"/>
        </w:rPr>
        <w:t xml:space="preserve">ongoing problem of networks preferencing </w:t>
      </w:r>
      <w:r w:rsidR="00740374">
        <w:rPr>
          <w:rFonts w:asciiTheme="minorHAnsi" w:hAnsiTheme="minorHAnsi"/>
        </w:rPr>
        <w:t xml:space="preserve">capex solutions </w:t>
      </w:r>
      <w:r w:rsidR="006749BB">
        <w:rPr>
          <w:rFonts w:asciiTheme="minorHAnsi" w:hAnsiTheme="minorHAnsi"/>
        </w:rPr>
        <w:t>for</w:t>
      </w:r>
      <w:r w:rsidR="00740374">
        <w:rPr>
          <w:rFonts w:asciiTheme="minorHAnsi" w:hAnsiTheme="minorHAnsi"/>
        </w:rPr>
        <w:t xml:space="preserve"> emerging constraints and opportunities and replacement needs. </w:t>
      </w:r>
      <w:r w:rsidR="006749BB">
        <w:rPr>
          <w:rFonts w:asciiTheme="minorHAnsi" w:hAnsiTheme="minorHAnsi"/>
        </w:rPr>
        <w:t>Ideally, TEC would prefer for non-network solutions to be the default outcome, with networks needing to explicitly justify the choice of a network solution. However, this would probably require a rule change. In lieu thereof, we look forward to the AER proposing solutions to this problem under the current rules.</w:t>
      </w:r>
    </w:p>
    <w:p w14:paraId="5260EE2F" w14:textId="77777777" w:rsidR="00B96012" w:rsidRDefault="00351F9B" w:rsidP="00336621">
      <w:pPr>
        <w:rPr>
          <w:rFonts w:asciiTheme="minorHAnsi" w:hAnsiTheme="minorHAnsi"/>
        </w:rPr>
      </w:pPr>
      <w:r>
        <w:rPr>
          <w:rFonts w:asciiTheme="minorHAnsi" w:hAnsiTheme="minorHAnsi"/>
        </w:rPr>
        <w:t xml:space="preserve">We are also concerned that (whether deiberately or not) some networks have in the past made it difficult for non-network proponents to satisfy their requirements – eg, by requiring onerous guarantees of availability. </w:t>
      </w:r>
    </w:p>
    <w:p w14:paraId="030659D8" w14:textId="1A3C5F8F" w:rsidR="00336621" w:rsidRDefault="00336621" w:rsidP="00DE4B89">
      <w:pPr>
        <w:rPr>
          <w:rFonts w:asciiTheme="minorHAnsi" w:hAnsiTheme="minorHAnsi"/>
        </w:rPr>
      </w:pPr>
      <w:r>
        <w:rPr>
          <w:rFonts w:asciiTheme="minorHAnsi" w:hAnsiTheme="minorHAnsi"/>
        </w:rPr>
        <w:t>We concur with the AER that it should provide “</w:t>
      </w:r>
      <w:r w:rsidRPr="00336621">
        <w:rPr>
          <w:rFonts w:asciiTheme="minorHAnsi" w:hAnsiTheme="minorHAnsi"/>
        </w:rPr>
        <w:t>clearer guidance on how distribution businesses can best use their non-network options reports and non-network screening requirements to engage with non-</w:t>
      </w:r>
      <w:r w:rsidRPr="00336621">
        <w:rPr>
          <w:rFonts w:asciiTheme="minorHAnsi" w:hAnsiTheme="minorHAnsi"/>
        </w:rPr>
        <w:lastRenderedPageBreak/>
        <w:t>network service providers.</w:t>
      </w:r>
      <w:r w:rsidR="00B96012">
        <w:rPr>
          <w:rFonts w:asciiTheme="minorHAnsi" w:hAnsiTheme="minorHAnsi"/>
        </w:rPr>
        <w:t xml:space="preserve">” This could include being more proactive in </w:t>
      </w:r>
      <w:r w:rsidR="00A742DB">
        <w:rPr>
          <w:rFonts w:asciiTheme="minorHAnsi" w:hAnsiTheme="minorHAnsi"/>
        </w:rPr>
        <w:t>maintaining a Register of Interested Parties and advertising emerging constraints on an annual basis – ie, prior to the formal commencement of a RIT process.</w:t>
      </w:r>
    </w:p>
    <w:p w14:paraId="4154089C" w14:textId="51986729" w:rsidR="006749BB" w:rsidRPr="00D61B0D" w:rsidRDefault="00D61B0D" w:rsidP="006749BB">
      <w:pPr>
        <w:pStyle w:val="ListParagraph"/>
        <w:numPr>
          <w:ilvl w:val="0"/>
          <w:numId w:val="22"/>
        </w:numPr>
        <w:rPr>
          <w:rFonts w:asciiTheme="minorHAnsi" w:hAnsiTheme="minorHAnsi"/>
          <w:i/>
        </w:rPr>
      </w:pPr>
      <w:r w:rsidRPr="00D61B0D">
        <w:rPr>
          <w:rFonts w:asciiTheme="minorHAnsi" w:hAnsiTheme="minorHAnsi"/>
          <w:i/>
        </w:rPr>
        <w:t xml:space="preserve">Thresholds </w:t>
      </w:r>
    </w:p>
    <w:p w14:paraId="16CB4159" w14:textId="02D0781F" w:rsidR="00756A60" w:rsidRDefault="00D61B0D" w:rsidP="00756A60">
      <w:pPr>
        <w:spacing w:before="0" w:after="0"/>
        <w:rPr>
          <w:rFonts w:ascii="Times New Roman" w:eastAsia="Times New Roman" w:hAnsi="Times New Roman"/>
          <w:noProof w:val="0"/>
          <w:color w:val="auto"/>
          <w:sz w:val="24"/>
          <w:lang w:eastAsia="en-AU"/>
        </w:rPr>
      </w:pPr>
      <w:r>
        <w:rPr>
          <w:rFonts w:asciiTheme="minorHAnsi" w:hAnsiTheme="minorHAnsi"/>
        </w:rPr>
        <w:t xml:space="preserve">TEC argued </w:t>
      </w:r>
      <w:r w:rsidR="0011518F">
        <w:rPr>
          <w:rFonts w:asciiTheme="minorHAnsi" w:hAnsiTheme="minorHAnsi"/>
        </w:rPr>
        <w:t xml:space="preserve">(unsuccessfully) </w:t>
      </w:r>
      <w:r>
        <w:rPr>
          <w:rFonts w:asciiTheme="minorHAnsi" w:hAnsiTheme="minorHAnsi"/>
        </w:rPr>
        <w:t>during the repex rule change process for the materiality</w:t>
      </w:r>
      <w:r w:rsidR="00E97BBA">
        <w:rPr>
          <w:rFonts w:asciiTheme="minorHAnsi" w:hAnsiTheme="minorHAnsi"/>
        </w:rPr>
        <w:t xml:space="preserve"> thresholds for RITs to be reduc</w:t>
      </w:r>
      <w:r>
        <w:rPr>
          <w:rFonts w:asciiTheme="minorHAnsi" w:hAnsiTheme="minorHAnsi"/>
        </w:rPr>
        <w:t xml:space="preserve">ed to around $1 million, possibly with projects between $1 million and $5 million being subject to a truncated, mini-RIT. This argument has only grown stronger with the </w:t>
      </w:r>
      <w:r w:rsidR="0057743B">
        <w:rPr>
          <w:rFonts w:asciiTheme="minorHAnsi" w:hAnsiTheme="minorHAnsi"/>
        </w:rPr>
        <w:t>recent growth of DER, which offer potentially lo</w:t>
      </w:r>
      <w:r w:rsidR="0011518F">
        <w:rPr>
          <w:rFonts w:asciiTheme="minorHAnsi" w:hAnsiTheme="minorHAnsi"/>
        </w:rPr>
        <w:t>w</w:t>
      </w:r>
      <w:r w:rsidR="0057743B">
        <w:rPr>
          <w:rFonts w:asciiTheme="minorHAnsi" w:hAnsiTheme="minorHAnsi"/>
        </w:rPr>
        <w:t xml:space="preserve">er cost solutions to network constraints and replacement needs. Alternately, as PIAC argues, </w:t>
      </w:r>
      <w:r w:rsidR="0057743B" w:rsidRPr="0057743B">
        <w:rPr>
          <w:rFonts w:eastAsia="Times New Roman" w:cs="Calibri"/>
          <w:noProof w:val="0"/>
          <w:szCs w:val="22"/>
          <w:shd w:val="clear" w:color="auto" w:fill="FFFFFF"/>
          <w:lang w:eastAsia="en-AU"/>
        </w:rPr>
        <w:t xml:space="preserve">NSPs should be required to aggregate similar projects to see if they meet the </w:t>
      </w:r>
      <w:r w:rsidR="0057743B">
        <w:rPr>
          <w:rFonts w:eastAsia="Times New Roman" w:cs="Calibri"/>
          <w:noProof w:val="0"/>
          <w:szCs w:val="22"/>
          <w:shd w:val="clear" w:color="auto" w:fill="FFFFFF"/>
          <w:lang w:eastAsia="en-AU"/>
        </w:rPr>
        <w:t xml:space="preserve">RIT </w:t>
      </w:r>
      <w:r w:rsidR="0057743B" w:rsidRPr="0057743B">
        <w:rPr>
          <w:rFonts w:eastAsia="Times New Roman" w:cs="Calibri"/>
          <w:noProof w:val="0"/>
          <w:szCs w:val="22"/>
          <w:shd w:val="clear" w:color="auto" w:fill="FFFFFF"/>
          <w:lang w:eastAsia="en-AU"/>
        </w:rPr>
        <w:t>threshold</w:t>
      </w:r>
      <w:r w:rsidR="0057743B">
        <w:rPr>
          <w:rFonts w:eastAsia="Times New Roman" w:cs="Calibri"/>
          <w:noProof w:val="0"/>
          <w:szCs w:val="22"/>
          <w:shd w:val="clear" w:color="auto" w:fill="FFFFFF"/>
          <w:lang w:eastAsia="en-AU"/>
        </w:rPr>
        <w:t>.</w:t>
      </w:r>
    </w:p>
    <w:p w14:paraId="32A26B8C" w14:textId="7C3C499B" w:rsidR="00E97BBA" w:rsidRPr="00756A60" w:rsidRDefault="00756A60" w:rsidP="00756A60">
      <w:pPr>
        <w:pStyle w:val="ListParagraph"/>
        <w:numPr>
          <w:ilvl w:val="0"/>
          <w:numId w:val="22"/>
        </w:numPr>
        <w:rPr>
          <w:rFonts w:asciiTheme="minorHAnsi" w:hAnsiTheme="minorHAnsi"/>
          <w:i/>
        </w:rPr>
      </w:pPr>
      <w:r>
        <w:rPr>
          <w:rFonts w:asciiTheme="minorHAnsi" w:hAnsiTheme="minorHAnsi"/>
          <w:i/>
        </w:rPr>
        <w:t>Consumer engagement</w:t>
      </w:r>
    </w:p>
    <w:p w14:paraId="50850C98" w14:textId="3589FF36" w:rsidR="00E97BBA" w:rsidRDefault="00E97BBA" w:rsidP="00E97BBA">
      <w:pPr>
        <w:spacing w:before="0" w:after="160" w:line="259" w:lineRule="auto"/>
      </w:pPr>
      <w:r>
        <w:t xml:space="preserve">TEC concurs with the CCP that consumer engagement in RITs has been inadequate. </w:t>
      </w:r>
      <w:r w:rsidR="00756A60">
        <w:t xml:space="preserve">They have been almost exlusively been run by industry incumbents for industry incumbents. Without wanting to add to the resourcing crisis curently facing most organisations involved in consumer advocacy, at the very least networks should, at the outset of every RIT, flag this to every consumer advocate it deals with in relation to other regulatory processes and offer them the opportunity to </w:t>
      </w:r>
      <w:r w:rsidR="0011518F">
        <w:t xml:space="preserve">participate in informal consultations and </w:t>
      </w:r>
      <w:r w:rsidR="00756A60">
        <w:t xml:space="preserve">make </w:t>
      </w:r>
      <w:r w:rsidR="0011518F">
        <w:t xml:space="preserve">formal </w:t>
      </w:r>
      <w:bookmarkStart w:id="1" w:name="_GoBack"/>
      <w:bookmarkEnd w:id="1"/>
      <w:r w:rsidR="00756A60">
        <w:t>submissions. It should then be required to inform the AER as to the engagement steps it has taken and how it has incorporated feedback into the outcome of the RIT process.</w:t>
      </w:r>
    </w:p>
    <w:p w14:paraId="21A14DFD" w14:textId="77777777" w:rsidR="00756A60" w:rsidRDefault="00756A60" w:rsidP="00641DFF">
      <w:pPr>
        <w:spacing w:before="0"/>
      </w:pPr>
    </w:p>
    <w:p w14:paraId="5C736AD6" w14:textId="2AA89D25" w:rsidR="00672215" w:rsidRDefault="00672215" w:rsidP="00641DFF">
      <w:pPr>
        <w:spacing w:before="0"/>
      </w:pPr>
      <w:r>
        <w:t>Yours sincerely,</w:t>
      </w:r>
    </w:p>
    <w:p w14:paraId="52D67453" w14:textId="77777777" w:rsidR="00672215" w:rsidRDefault="00672215" w:rsidP="00641DFF">
      <w:pPr>
        <w:spacing w:before="0"/>
      </w:pPr>
      <w:r>
        <w:rPr>
          <w:lang w:val="en-GB" w:eastAsia="en-GB"/>
        </w:rPr>
        <w:drawing>
          <wp:inline distT="0" distB="0" distL="0" distR="0" wp14:anchorId="11018CE0" wp14:editId="03862E1E">
            <wp:extent cx="1371600" cy="652145"/>
            <wp:effectExtent l="0" t="0" r="0" b="825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52145"/>
                    </a:xfrm>
                    <a:prstGeom prst="rect">
                      <a:avLst/>
                    </a:prstGeom>
                    <a:noFill/>
                    <a:ln>
                      <a:noFill/>
                    </a:ln>
                  </pic:spPr>
                </pic:pic>
              </a:graphicData>
            </a:graphic>
          </wp:inline>
        </w:drawing>
      </w:r>
    </w:p>
    <w:p w14:paraId="0839732A" w14:textId="77777777" w:rsidR="00672215" w:rsidRPr="00E733FB" w:rsidRDefault="00672215" w:rsidP="00641DFF">
      <w:pPr>
        <w:spacing w:before="0"/>
      </w:pPr>
      <w:r>
        <w:rPr>
          <w:b/>
        </w:rPr>
        <w:t>Jeff Angel</w:t>
      </w:r>
      <w:r>
        <w:rPr>
          <w:b/>
        </w:rPr>
        <w:cr/>
      </w:r>
      <w:r>
        <w:t>Executive Director</w:t>
      </w:r>
    </w:p>
    <w:p w14:paraId="1F03D206" w14:textId="77777777" w:rsidR="00672215" w:rsidRPr="00E733FB" w:rsidRDefault="00672215" w:rsidP="00641DFF">
      <w:pPr>
        <w:pStyle w:val="Heading1"/>
        <w:spacing w:before="0"/>
      </w:pPr>
    </w:p>
    <w:p w14:paraId="709CF9C2" w14:textId="77777777" w:rsidR="00526220" w:rsidRDefault="00526220" w:rsidP="00641DFF">
      <w:pPr>
        <w:spacing w:before="0"/>
      </w:pPr>
    </w:p>
    <w:sectPr w:rsidR="00526220" w:rsidSect="00526220">
      <w:headerReference w:type="even" r:id="rId9"/>
      <w:headerReference w:type="default" r:id="rId10"/>
      <w:footerReference w:type="even" r:id="rId11"/>
      <w:footerReference w:type="default" r:id="rId12"/>
      <w:headerReference w:type="first" r:id="rId13"/>
      <w:footerReference w:type="first" r:id="rId14"/>
      <w:pgSz w:w="12240" w:h="15840"/>
      <w:pgMar w:top="567" w:right="1325" w:bottom="1276" w:left="1276" w:header="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71A9" w14:textId="77777777" w:rsidR="007B1B7E" w:rsidRDefault="007B1B7E" w:rsidP="00672215">
      <w:pPr>
        <w:spacing w:before="0" w:after="0"/>
      </w:pPr>
      <w:r>
        <w:separator/>
      </w:r>
    </w:p>
  </w:endnote>
  <w:endnote w:type="continuationSeparator" w:id="0">
    <w:p w14:paraId="432FE59B" w14:textId="77777777" w:rsidR="007B1B7E" w:rsidRDefault="007B1B7E" w:rsidP="00672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default"/>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EDC8" w14:textId="77777777" w:rsidR="001A236B" w:rsidRDefault="001A236B">
    <w:pPr>
      <w:pStyle w:val="Footer1"/>
      <w:tabs>
        <w:tab w:val="clear" w:pos="9360"/>
        <w:tab w:val="right" w:pos="9340"/>
      </w:tabs>
      <w:jc w:val="center"/>
      <w:rPr>
        <w:rFonts w:ascii="Times New Roman" w:eastAsia="Times New Roman" w:hAnsi="Times New Roman"/>
        <w:color w:val="auto"/>
        <w:sz w:val="20"/>
        <w:lang w:eastAsia="en-US"/>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10</w:t>
    </w:r>
    <w:r>
      <w:rPr>
        <w:rFonts w:ascii="Calibri" w:hAnsi="Calibri"/>
      </w:rPr>
      <w:fldChar w:fldCharType="end"/>
    </w:r>
  </w:p>
  <w:p w14:paraId="311A020D" w14:textId="77777777" w:rsidR="001A236B" w:rsidRDefault="001A236B" w:rsidP="00526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B7AD" w14:textId="77777777" w:rsidR="001A236B" w:rsidRDefault="001A236B">
    <w:pPr>
      <w:pStyle w:val="Footer1"/>
      <w:tabs>
        <w:tab w:val="clear" w:pos="9360"/>
        <w:tab w:val="right" w:pos="9340"/>
      </w:tabs>
      <w:jc w:val="center"/>
      <w:rPr>
        <w:rFonts w:ascii="Times New Roman" w:eastAsia="Times New Roman" w:hAnsi="Times New Roman"/>
        <w:color w:val="auto"/>
        <w:sz w:val="20"/>
        <w:lang w:eastAsia="en-US"/>
      </w:rPr>
    </w:pPr>
    <w:r>
      <w:rPr>
        <w:rFonts w:ascii="Calibri" w:hAnsi="Calibri"/>
      </w:rPr>
      <w:fldChar w:fldCharType="begin"/>
    </w:r>
    <w:r>
      <w:rPr>
        <w:rFonts w:ascii="Calibri" w:hAnsi="Calibri"/>
      </w:rPr>
      <w:instrText xml:space="preserve"> PAGE </w:instrText>
    </w:r>
    <w:r>
      <w:rPr>
        <w:rFonts w:ascii="Calibri" w:hAnsi="Calibri"/>
      </w:rPr>
      <w:fldChar w:fldCharType="separate"/>
    </w:r>
    <w:r w:rsidR="00705EB1">
      <w:rPr>
        <w:rFonts w:ascii="Calibri" w:hAnsi="Calibri"/>
        <w:noProof/>
      </w:rPr>
      <w:t>2</w:t>
    </w:r>
    <w:r>
      <w:rPr>
        <w:rFonts w:ascii="Calibri" w:hAnsi="Calibri"/>
      </w:rPr>
      <w:fldChar w:fldCharType="end"/>
    </w:r>
  </w:p>
  <w:p w14:paraId="7A115A1C" w14:textId="77777777" w:rsidR="001A236B" w:rsidRDefault="001A236B" w:rsidP="005262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A408" w14:textId="77777777" w:rsidR="001A236B" w:rsidRDefault="001A236B" w:rsidP="00526220">
    <w:pPr>
      <w:spacing w:before="0" w:after="0"/>
      <w:jc w:val="right"/>
    </w:pPr>
    <w:r>
      <w:rPr>
        <w:lang w:val="en-GB" w:eastAsia="en-GB"/>
      </w:rPr>
      <w:drawing>
        <wp:anchor distT="0" distB="0" distL="114300" distR="114300" simplePos="0" relativeHeight="251660288" behindDoc="1" locked="0" layoutInCell="1" allowOverlap="1" wp14:anchorId="1CCD2C60" wp14:editId="062C1A4C">
          <wp:simplePos x="0" y="0"/>
          <wp:positionH relativeFrom="page">
            <wp:posOffset>0</wp:posOffset>
          </wp:positionH>
          <wp:positionV relativeFrom="page">
            <wp:posOffset>7886700</wp:posOffset>
          </wp:positionV>
          <wp:extent cx="7820025" cy="2181225"/>
          <wp:effectExtent l="0" t="0" r="3175" b="317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10754" r="-49" b="53336"/>
                  <a:stretch>
                    <a:fillRect/>
                  </a:stretch>
                </pic:blipFill>
                <pic:spPr bwMode="auto">
                  <a:xfrm>
                    <a:off x="0" y="0"/>
                    <a:ext cx="7820025" cy="2181225"/>
                  </a:xfrm>
                  <a:prstGeom prst="rect">
                    <a:avLst/>
                  </a:prstGeom>
                  <a:noFill/>
                  <a:ln>
                    <a:noFill/>
                  </a:ln>
                </pic:spPr>
              </pic:pic>
            </a:graphicData>
          </a:graphic>
        </wp:anchor>
      </w:drawing>
    </w:r>
    <w:r>
      <w:tab/>
    </w:r>
  </w:p>
  <w:p w14:paraId="633CE7A9" w14:textId="77777777" w:rsidR="001A236B" w:rsidRDefault="001A236B" w:rsidP="00181849">
    <w:pPr>
      <w:spacing w:before="0" w:after="0"/>
      <w:jc w:val="center"/>
    </w:pPr>
  </w:p>
  <w:p w14:paraId="66456F4A" w14:textId="77777777" w:rsidR="001A236B" w:rsidRDefault="001A236B" w:rsidP="00526220">
    <w:pPr>
      <w:spacing w:before="0" w:after="0"/>
      <w:jc w:val="right"/>
    </w:pPr>
    <w:r>
      <w:t>Mark Byrne</w:t>
    </w:r>
  </w:p>
  <w:p w14:paraId="10CB666B" w14:textId="77777777" w:rsidR="001A236B" w:rsidRDefault="001A236B" w:rsidP="00526220">
    <w:pPr>
      <w:spacing w:before="0" w:after="0"/>
      <w:jc w:val="right"/>
    </w:pPr>
    <w:r>
      <w:t>Energy Market Advocate</w:t>
    </w:r>
  </w:p>
  <w:p w14:paraId="6624C600" w14:textId="77777777" w:rsidR="001A236B" w:rsidRDefault="007B1B7E" w:rsidP="00526220">
    <w:pPr>
      <w:spacing w:before="0" w:after="0"/>
      <w:jc w:val="right"/>
      <w:rPr>
        <w:rStyle w:val="Hyperlink"/>
        <w:sz w:val="20"/>
      </w:rPr>
    </w:pPr>
    <w:hyperlink r:id="rId2" w:history="1">
      <w:r w:rsidR="001A236B" w:rsidRPr="007D7039">
        <w:rPr>
          <w:rStyle w:val="Hyperlink"/>
          <w:sz w:val="20"/>
        </w:rPr>
        <w:t>markb@tec.org.au</w:t>
      </w:r>
    </w:hyperlink>
  </w:p>
  <w:p w14:paraId="2BCCD182" w14:textId="77777777" w:rsidR="001A236B" w:rsidRDefault="001A236B" w:rsidP="00526220">
    <w:pPr>
      <w:spacing w:before="0" w:after="0"/>
      <w:jc w:val="right"/>
      <w:rPr>
        <w:rStyle w:val="Hyperlink"/>
        <w:sz w:val="20"/>
      </w:rPr>
    </w:pPr>
  </w:p>
  <w:p w14:paraId="20F6851C" w14:textId="671DF4E8" w:rsidR="001A236B" w:rsidRPr="00D727D0" w:rsidRDefault="001A236B" w:rsidP="00526220">
    <w:pPr>
      <w:spacing w:before="0" w:after="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04D8" w14:textId="77777777" w:rsidR="007B1B7E" w:rsidRDefault="007B1B7E" w:rsidP="00672215">
      <w:pPr>
        <w:spacing w:before="0" w:after="0"/>
      </w:pPr>
      <w:r>
        <w:separator/>
      </w:r>
    </w:p>
  </w:footnote>
  <w:footnote w:type="continuationSeparator" w:id="0">
    <w:p w14:paraId="21CB66D0" w14:textId="77777777" w:rsidR="007B1B7E" w:rsidRDefault="007B1B7E" w:rsidP="006722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A848" w14:textId="46F8941C" w:rsidR="001A236B" w:rsidRDefault="001A236B">
    <w:pPr>
      <w:pStyle w:val="Footer1"/>
      <w:tabs>
        <w:tab w:val="clear" w:pos="9360"/>
        <w:tab w:val="right" w:pos="9340"/>
      </w:tabs>
      <w:jc w:val="right"/>
      <w:rPr>
        <w:rFonts w:ascii="Calibri" w:hAnsi="Calibri"/>
      </w:rPr>
    </w:pPr>
  </w:p>
  <w:p w14:paraId="21E1C386" w14:textId="77777777" w:rsidR="001A236B" w:rsidRDefault="001A236B">
    <w:pPr>
      <w:pStyle w:val="Footer1"/>
      <w:tabs>
        <w:tab w:val="clear" w:pos="9360"/>
        <w:tab w:val="right" w:pos="9340"/>
      </w:tabs>
      <w:jc w:val="right"/>
      <w:rPr>
        <w:rFonts w:ascii="Calibri" w:hAnsi="Calibri"/>
      </w:rPr>
    </w:pPr>
    <w:r>
      <w:rPr>
        <w:rFonts w:ascii="Calibri" w:hAnsi="Calibri"/>
      </w:rPr>
      <w:t>Total Environment Centre Submission</w:t>
    </w:r>
  </w:p>
  <w:p w14:paraId="6D16BEC6" w14:textId="77777777" w:rsidR="001A236B" w:rsidRDefault="001A236B">
    <w:pPr>
      <w:pStyle w:val="Footer1"/>
      <w:tabs>
        <w:tab w:val="clear" w:pos="9360"/>
        <w:tab w:val="right" w:pos="9340"/>
      </w:tabs>
      <w:jc w:val="right"/>
      <w:rPr>
        <w:rFonts w:ascii="Times New Roman" w:eastAsia="Times New Roman" w:hAnsi="Times New Roman"/>
        <w:color w:val="auto"/>
        <w:sz w:val="20"/>
        <w:lang w:eastAsia="en-US"/>
      </w:rPr>
    </w:pPr>
    <w:r>
      <w:rPr>
        <w:rFonts w:ascii="Calibri" w:hAnsi="Calibri"/>
      </w:rPr>
      <w:t>Inquiry into the Economics of Energy Generation | 2012</w:t>
    </w:r>
  </w:p>
  <w:p w14:paraId="1CA19CA1" w14:textId="77777777" w:rsidR="001A236B" w:rsidRDefault="001A236B" w:rsidP="005262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CCF3" w14:textId="738EC3C0" w:rsidR="001A236B" w:rsidRDefault="001A236B" w:rsidP="00526220">
    <w:pPr>
      <w:pStyle w:val="Footer1"/>
      <w:tabs>
        <w:tab w:val="clear" w:pos="9360"/>
        <w:tab w:val="right" w:pos="9340"/>
      </w:tabs>
      <w:jc w:val="right"/>
      <w:rPr>
        <w:rFonts w:ascii="Calibri" w:hAnsi="Calibri"/>
      </w:rPr>
    </w:pPr>
  </w:p>
  <w:p w14:paraId="6FF85C38" w14:textId="77777777" w:rsidR="001A236B" w:rsidRPr="00C31F5E" w:rsidRDefault="001A236B" w:rsidP="00526220">
    <w:pPr>
      <w:pStyle w:val="Footer1"/>
      <w:tabs>
        <w:tab w:val="clear" w:pos="9360"/>
        <w:tab w:val="right" w:pos="9340"/>
      </w:tabs>
      <w:jc w:val="right"/>
      <w:rPr>
        <w:rFonts w:ascii="Calibri" w:hAnsi="Calibri"/>
        <w:sz w:val="18"/>
      </w:rPr>
    </w:pPr>
    <w:r w:rsidRPr="00C31F5E">
      <w:rPr>
        <w:rFonts w:ascii="Calibri" w:hAnsi="Calibri"/>
        <w:sz w:val="18"/>
      </w:rPr>
      <w:t>Total Environment Centre Submission</w:t>
    </w:r>
  </w:p>
  <w:p w14:paraId="25F6B74C" w14:textId="15549672" w:rsidR="001A236B" w:rsidRPr="00C31F5E" w:rsidRDefault="009D1A28" w:rsidP="00526220">
    <w:pPr>
      <w:pStyle w:val="Footer1"/>
      <w:tabs>
        <w:tab w:val="clear" w:pos="9360"/>
        <w:tab w:val="right" w:pos="9340"/>
      </w:tabs>
      <w:jc w:val="right"/>
      <w:rPr>
        <w:rFonts w:ascii="Times New Roman" w:eastAsia="Times New Roman" w:hAnsi="Times New Roman"/>
        <w:color w:val="auto"/>
        <w:sz w:val="16"/>
        <w:lang w:eastAsia="en-US"/>
      </w:rPr>
    </w:pPr>
    <w:r>
      <w:rPr>
        <w:rFonts w:ascii="Calibri" w:hAnsi="Calibri"/>
        <w:sz w:val="18"/>
      </w:rPr>
      <w:t>April</w:t>
    </w:r>
    <w:r w:rsidR="001A236B">
      <w:rPr>
        <w:rFonts w:ascii="Calibri" w:hAnsi="Calibri"/>
        <w:sz w:val="18"/>
      </w:rPr>
      <w:t xml:space="preserve"> </w:t>
    </w:r>
    <w:r w:rsidR="001A236B" w:rsidRPr="00C31F5E">
      <w:rPr>
        <w:rFonts w:ascii="Calibri" w:hAnsi="Calibri"/>
        <w:sz w:val="18"/>
      </w:rPr>
      <w:t xml:space="preserve">| </w:t>
    </w:r>
    <w:r w:rsidR="001A236B">
      <w:rPr>
        <w:rFonts w:ascii="Calibri" w:hAnsi="Calibri"/>
        <w:sz w:val="18"/>
      </w:rPr>
      <w:t>201</w:t>
    </w:r>
    <w:r>
      <w:rPr>
        <w:rFonts w:ascii="Calibri" w:hAnsi="Calibri"/>
        <w:sz w:val="18"/>
      </w:rPr>
      <w:t>8</w:t>
    </w:r>
  </w:p>
  <w:p w14:paraId="04E2A845" w14:textId="77777777" w:rsidR="001A236B" w:rsidRDefault="001A236B" w:rsidP="005262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E86B" w14:textId="4956DDA6" w:rsidR="001A236B" w:rsidRDefault="001A236B" w:rsidP="00526220">
    <w:pPr>
      <w:pStyle w:val="Header"/>
    </w:pPr>
  </w:p>
  <w:p w14:paraId="4B132624" w14:textId="77777777" w:rsidR="001A236B" w:rsidRDefault="001A236B" w:rsidP="00526220">
    <w:pPr>
      <w:pStyle w:val="Header"/>
    </w:pPr>
  </w:p>
  <w:p w14:paraId="38AB01AE" w14:textId="77777777" w:rsidR="001A236B" w:rsidRDefault="001A236B" w:rsidP="00526220">
    <w:pPr>
      <w:pStyle w:val="Header"/>
    </w:pPr>
  </w:p>
  <w:p w14:paraId="136C3872" w14:textId="77777777" w:rsidR="001A236B" w:rsidRDefault="001A236B" w:rsidP="00526220">
    <w:pPr>
      <w:pStyle w:val="Header"/>
    </w:pPr>
  </w:p>
  <w:p w14:paraId="39BE24C9" w14:textId="2921F93C" w:rsidR="001A236B" w:rsidRDefault="001A236B" w:rsidP="00526220">
    <w:pPr>
      <w:pStyle w:val="Header"/>
    </w:pPr>
    <w:r>
      <w:br/>
      <w:t>1/99 Devonshire Street, Surry Hills, NSW 2010</w:t>
    </w:r>
    <w:r>
      <w:br/>
    </w:r>
    <w:r w:rsidRPr="00EF5029">
      <w:t>Ph: 0</w:t>
    </w:r>
    <w:r>
      <w:t>2 9211 5022 | Fax: 02 9211 5033</w:t>
    </w:r>
    <w:r>
      <w:br/>
      <w:t>www.tec.org.au</w:t>
    </w:r>
  </w:p>
  <w:p w14:paraId="4E9615C6" w14:textId="77777777" w:rsidR="001A236B" w:rsidRDefault="001A236B" w:rsidP="00526220">
    <w:pPr>
      <w:pStyle w:val="Header"/>
    </w:pPr>
  </w:p>
  <w:p w14:paraId="6ECE3634" w14:textId="77777777" w:rsidR="001A236B" w:rsidRDefault="001A236B" w:rsidP="00526220">
    <w:pPr>
      <w:pStyle w:val="Header"/>
    </w:pPr>
    <w:r>
      <w:rPr>
        <w:lang w:val="en-GB" w:eastAsia="en-GB"/>
      </w:rPr>
      <w:drawing>
        <wp:anchor distT="0" distB="0" distL="114300" distR="114300" simplePos="0" relativeHeight="251659264" behindDoc="1" locked="0" layoutInCell="1" allowOverlap="1" wp14:anchorId="07F1B093" wp14:editId="5E0FBCDC">
          <wp:simplePos x="0" y="0"/>
          <wp:positionH relativeFrom="page">
            <wp:posOffset>0</wp:posOffset>
          </wp:positionH>
          <wp:positionV relativeFrom="page">
            <wp:posOffset>0</wp:posOffset>
          </wp:positionV>
          <wp:extent cx="7820025" cy="3228975"/>
          <wp:effectExtent l="0" t="0" r="317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5" t="36729" r="-47" b="-60"/>
                  <a:stretch>
                    <a:fillRect/>
                  </a:stretch>
                </pic:blipFill>
                <pic:spPr bwMode="auto">
                  <a:xfrm>
                    <a:off x="0" y="0"/>
                    <a:ext cx="7820025" cy="3228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A782943C"/>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67484"/>
    <w:multiLevelType w:val="hybridMultilevel"/>
    <w:tmpl w:val="6BD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25226"/>
    <w:multiLevelType w:val="hybridMultilevel"/>
    <w:tmpl w:val="615C9DC2"/>
    <w:lvl w:ilvl="0" w:tplc="AE84703C">
      <w:start w:val="1"/>
      <w:numFmt w:val="decimal"/>
      <w:pStyle w:val="Recommendations"/>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A7893"/>
    <w:multiLevelType w:val="hybridMultilevel"/>
    <w:tmpl w:val="BDAC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763EE"/>
    <w:multiLevelType w:val="hybridMultilevel"/>
    <w:tmpl w:val="C1E2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2772E"/>
    <w:multiLevelType w:val="hybridMultilevel"/>
    <w:tmpl w:val="FEB8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D2AF5"/>
    <w:multiLevelType w:val="hybridMultilevel"/>
    <w:tmpl w:val="431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52AC5"/>
    <w:multiLevelType w:val="hybridMultilevel"/>
    <w:tmpl w:val="1D2C86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287317"/>
    <w:multiLevelType w:val="hybridMultilevel"/>
    <w:tmpl w:val="FA42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0371C"/>
    <w:multiLevelType w:val="hybridMultilevel"/>
    <w:tmpl w:val="DBAE3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6B029C"/>
    <w:multiLevelType w:val="hybridMultilevel"/>
    <w:tmpl w:val="7BEC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11CB"/>
    <w:multiLevelType w:val="hybridMultilevel"/>
    <w:tmpl w:val="81DC5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D969AD"/>
    <w:multiLevelType w:val="hybridMultilevel"/>
    <w:tmpl w:val="BBCE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B43E9"/>
    <w:multiLevelType w:val="hybridMultilevel"/>
    <w:tmpl w:val="E824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C79E0"/>
    <w:multiLevelType w:val="hybridMultilevel"/>
    <w:tmpl w:val="C6706C28"/>
    <w:lvl w:ilvl="0" w:tplc="000000C9">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C36F3B"/>
    <w:multiLevelType w:val="hybridMultilevel"/>
    <w:tmpl w:val="069E1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B71710"/>
    <w:multiLevelType w:val="hybridMultilevel"/>
    <w:tmpl w:val="FF7C0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E01B79"/>
    <w:multiLevelType w:val="hybridMultilevel"/>
    <w:tmpl w:val="512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B6CB5"/>
    <w:multiLevelType w:val="hybridMultilevel"/>
    <w:tmpl w:val="658C421E"/>
    <w:lvl w:ilvl="0" w:tplc="322AFE2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E1A91"/>
    <w:multiLevelType w:val="hybridMultilevel"/>
    <w:tmpl w:val="AF54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12"/>
  </w:num>
  <w:num w:numId="5">
    <w:abstractNumId w:val="21"/>
  </w:num>
  <w:num w:numId="6">
    <w:abstractNumId w:val="13"/>
  </w:num>
  <w:num w:numId="7">
    <w:abstractNumId w:val="8"/>
  </w:num>
  <w:num w:numId="8">
    <w:abstractNumId w:val="0"/>
  </w:num>
  <w:num w:numId="9">
    <w:abstractNumId w:val="18"/>
  </w:num>
  <w:num w:numId="10">
    <w:abstractNumId w:val="14"/>
  </w:num>
  <w:num w:numId="11">
    <w:abstractNumId w:val="11"/>
  </w:num>
  <w:num w:numId="12">
    <w:abstractNumId w:val="7"/>
  </w:num>
  <w:num w:numId="13">
    <w:abstractNumId w:val="17"/>
  </w:num>
  <w:num w:numId="14">
    <w:abstractNumId w:val="10"/>
  </w:num>
  <w:num w:numId="15">
    <w:abstractNumId w:val="1"/>
  </w:num>
  <w:num w:numId="16">
    <w:abstractNumId w:val="2"/>
  </w:num>
  <w:num w:numId="17">
    <w:abstractNumId w:val="5"/>
  </w:num>
  <w:num w:numId="18">
    <w:abstractNumId w:val="19"/>
  </w:num>
  <w:num w:numId="19">
    <w:abstractNumId w:val="20"/>
  </w:num>
  <w:num w:numId="20">
    <w:abstractNumId w:val="16"/>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15"/>
    <w:rsid w:val="00003C3C"/>
    <w:rsid w:val="00005D24"/>
    <w:rsid w:val="00007ABB"/>
    <w:rsid w:val="00015484"/>
    <w:rsid w:val="00021930"/>
    <w:rsid w:val="00027160"/>
    <w:rsid w:val="00041045"/>
    <w:rsid w:val="00041DDE"/>
    <w:rsid w:val="00043879"/>
    <w:rsid w:val="000467B5"/>
    <w:rsid w:val="0005508C"/>
    <w:rsid w:val="00063BE8"/>
    <w:rsid w:val="000647AA"/>
    <w:rsid w:val="00073CA6"/>
    <w:rsid w:val="000768FA"/>
    <w:rsid w:val="000771F1"/>
    <w:rsid w:val="000A15DD"/>
    <w:rsid w:val="000A2064"/>
    <w:rsid w:val="000B24BC"/>
    <w:rsid w:val="000B722A"/>
    <w:rsid w:val="000C1248"/>
    <w:rsid w:val="000D1F50"/>
    <w:rsid w:val="000E1806"/>
    <w:rsid w:val="000E1B74"/>
    <w:rsid w:val="000E5DC7"/>
    <w:rsid w:val="00100D0F"/>
    <w:rsid w:val="001129E7"/>
    <w:rsid w:val="0011518F"/>
    <w:rsid w:val="00115DDE"/>
    <w:rsid w:val="00137CF0"/>
    <w:rsid w:val="00143B04"/>
    <w:rsid w:val="0017140E"/>
    <w:rsid w:val="001807BF"/>
    <w:rsid w:val="00181849"/>
    <w:rsid w:val="00182861"/>
    <w:rsid w:val="00192D14"/>
    <w:rsid w:val="001A236B"/>
    <w:rsid w:val="001A27D7"/>
    <w:rsid w:val="001A715C"/>
    <w:rsid w:val="001C0D7B"/>
    <w:rsid w:val="001D0EC0"/>
    <w:rsid w:val="001D3B43"/>
    <w:rsid w:val="001E2E43"/>
    <w:rsid w:val="001E3A34"/>
    <w:rsid w:val="00201085"/>
    <w:rsid w:val="00215403"/>
    <w:rsid w:val="0023643A"/>
    <w:rsid w:val="00237B82"/>
    <w:rsid w:val="002401F7"/>
    <w:rsid w:val="00255C10"/>
    <w:rsid w:val="00265196"/>
    <w:rsid w:val="00265FDF"/>
    <w:rsid w:val="00274AE9"/>
    <w:rsid w:val="00287AF8"/>
    <w:rsid w:val="002A1BEC"/>
    <w:rsid w:val="002A5E56"/>
    <w:rsid w:val="002B4240"/>
    <w:rsid w:val="002C159C"/>
    <w:rsid w:val="002C3A2F"/>
    <w:rsid w:val="002D326D"/>
    <w:rsid w:val="002E2778"/>
    <w:rsid w:val="00302633"/>
    <w:rsid w:val="00303DDE"/>
    <w:rsid w:val="0033295A"/>
    <w:rsid w:val="00336621"/>
    <w:rsid w:val="00351F9B"/>
    <w:rsid w:val="00354F83"/>
    <w:rsid w:val="0036110B"/>
    <w:rsid w:val="00371B72"/>
    <w:rsid w:val="0038480E"/>
    <w:rsid w:val="003A063B"/>
    <w:rsid w:val="003B265C"/>
    <w:rsid w:val="003B7BD9"/>
    <w:rsid w:val="003D78F6"/>
    <w:rsid w:val="003F0794"/>
    <w:rsid w:val="00421E61"/>
    <w:rsid w:val="00423F75"/>
    <w:rsid w:val="00424077"/>
    <w:rsid w:val="00431EEA"/>
    <w:rsid w:val="00447DC5"/>
    <w:rsid w:val="004542F1"/>
    <w:rsid w:val="004816DF"/>
    <w:rsid w:val="00482EC9"/>
    <w:rsid w:val="0049307C"/>
    <w:rsid w:val="004A1F27"/>
    <w:rsid w:val="004A387E"/>
    <w:rsid w:val="004D151D"/>
    <w:rsid w:val="004D3169"/>
    <w:rsid w:val="004D7B1C"/>
    <w:rsid w:val="004E044B"/>
    <w:rsid w:val="004E77EE"/>
    <w:rsid w:val="004F34AC"/>
    <w:rsid w:val="005079A4"/>
    <w:rsid w:val="005162AA"/>
    <w:rsid w:val="005214DE"/>
    <w:rsid w:val="00526220"/>
    <w:rsid w:val="005324EC"/>
    <w:rsid w:val="0053640A"/>
    <w:rsid w:val="00542980"/>
    <w:rsid w:val="00557D88"/>
    <w:rsid w:val="00566A52"/>
    <w:rsid w:val="0057743B"/>
    <w:rsid w:val="00583C63"/>
    <w:rsid w:val="005B6070"/>
    <w:rsid w:val="005C3C85"/>
    <w:rsid w:val="005C6186"/>
    <w:rsid w:val="005C69F6"/>
    <w:rsid w:val="005D31B3"/>
    <w:rsid w:val="005E4CAA"/>
    <w:rsid w:val="005F64E0"/>
    <w:rsid w:val="00602CD1"/>
    <w:rsid w:val="00612428"/>
    <w:rsid w:val="006356E3"/>
    <w:rsid w:val="00637196"/>
    <w:rsid w:val="00641DFF"/>
    <w:rsid w:val="00650932"/>
    <w:rsid w:val="006579D0"/>
    <w:rsid w:val="00660BC2"/>
    <w:rsid w:val="00666EEC"/>
    <w:rsid w:val="00672215"/>
    <w:rsid w:val="006749BB"/>
    <w:rsid w:val="00687C23"/>
    <w:rsid w:val="006901AC"/>
    <w:rsid w:val="006A0B9A"/>
    <w:rsid w:val="006A3ABD"/>
    <w:rsid w:val="006A6000"/>
    <w:rsid w:val="006D5259"/>
    <w:rsid w:val="006D6CD4"/>
    <w:rsid w:val="006E0764"/>
    <w:rsid w:val="006E48A7"/>
    <w:rsid w:val="006E5920"/>
    <w:rsid w:val="006E6BFA"/>
    <w:rsid w:val="0070374A"/>
    <w:rsid w:val="0070502E"/>
    <w:rsid w:val="00705EB1"/>
    <w:rsid w:val="007222E8"/>
    <w:rsid w:val="00740374"/>
    <w:rsid w:val="007407B5"/>
    <w:rsid w:val="00751BE7"/>
    <w:rsid w:val="00756A60"/>
    <w:rsid w:val="00766015"/>
    <w:rsid w:val="00777C73"/>
    <w:rsid w:val="00780922"/>
    <w:rsid w:val="007A31A9"/>
    <w:rsid w:val="007B1B7E"/>
    <w:rsid w:val="007C36D4"/>
    <w:rsid w:val="00834A2F"/>
    <w:rsid w:val="008460BB"/>
    <w:rsid w:val="0085323A"/>
    <w:rsid w:val="008663DC"/>
    <w:rsid w:val="00871210"/>
    <w:rsid w:val="00871BD3"/>
    <w:rsid w:val="00892D53"/>
    <w:rsid w:val="008942D6"/>
    <w:rsid w:val="00894A26"/>
    <w:rsid w:val="008A33BF"/>
    <w:rsid w:val="008A6F23"/>
    <w:rsid w:val="008B723C"/>
    <w:rsid w:val="008D57D8"/>
    <w:rsid w:val="008E0C49"/>
    <w:rsid w:val="008E577A"/>
    <w:rsid w:val="00920833"/>
    <w:rsid w:val="00921AD7"/>
    <w:rsid w:val="00933504"/>
    <w:rsid w:val="0095067D"/>
    <w:rsid w:val="0095288C"/>
    <w:rsid w:val="00971E3D"/>
    <w:rsid w:val="0098158E"/>
    <w:rsid w:val="00990EE4"/>
    <w:rsid w:val="009A4471"/>
    <w:rsid w:val="009D1A28"/>
    <w:rsid w:val="009E305F"/>
    <w:rsid w:val="009F0F2D"/>
    <w:rsid w:val="00A06FE5"/>
    <w:rsid w:val="00A150EA"/>
    <w:rsid w:val="00A20D90"/>
    <w:rsid w:val="00A30333"/>
    <w:rsid w:val="00A42BED"/>
    <w:rsid w:val="00A742DB"/>
    <w:rsid w:val="00A749CE"/>
    <w:rsid w:val="00A86834"/>
    <w:rsid w:val="00AA71B7"/>
    <w:rsid w:val="00AB00C4"/>
    <w:rsid w:val="00AB5BFC"/>
    <w:rsid w:val="00AC7A82"/>
    <w:rsid w:val="00B023CA"/>
    <w:rsid w:val="00B02BC4"/>
    <w:rsid w:val="00B21FA6"/>
    <w:rsid w:val="00B22BFD"/>
    <w:rsid w:val="00B230BF"/>
    <w:rsid w:val="00B23550"/>
    <w:rsid w:val="00B23C72"/>
    <w:rsid w:val="00B30021"/>
    <w:rsid w:val="00B3321D"/>
    <w:rsid w:val="00B342EF"/>
    <w:rsid w:val="00B435D1"/>
    <w:rsid w:val="00B6311F"/>
    <w:rsid w:val="00B65BDE"/>
    <w:rsid w:val="00B71D61"/>
    <w:rsid w:val="00B74C18"/>
    <w:rsid w:val="00B93E93"/>
    <w:rsid w:val="00B94184"/>
    <w:rsid w:val="00B94F9A"/>
    <w:rsid w:val="00B96012"/>
    <w:rsid w:val="00BA00DC"/>
    <w:rsid w:val="00BA6E36"/>
    <w:rsid w:val="00BC48B2"/>
    <w:rsid w:val="00BC699B"/>
    <w:rsid w:val="00BD1F57"/>
    <w:rsid w:val="00BD2C9B"/>
    <w:rsid w:val="00BD3F67"/>
    <w:rsid w:val="00BE1616"/>
    <w:rsid w:val="00BF19D9"/>
    <w:rsid w:val="00BF5761"/>
    <w:rsid w:val="00C0221F"/>
    <w:rsid w:val="00C038F0"/>
    <w:rsid w:val="00C05498"/>
    <w:rsid w:val="00C06748"/>
    <w:rsid w:val="00C07C62"/>
    <w:rsid w:val="00C10454"/>
    <w:rsid w:val="00C166D1"/>
    <w:rsid w:val="00C21BA5"/>
    <w:rsid w:val="00C27352"/>
    <w:rsid w:val="00C33D7E"/>
    <w:rsid w:val="00C3443D"/>
    <w:rsid w:val="00C43E00"/>
    <w:rsid w:val="00C4799E"/>
    <w:rsid w:val="00C514DB"/>
    <w:rsid w:val="00C6157F"/>
    <w:rsid w:val="00C64F97"/>
    <w:rsid w:val="00C65E6F"/>
    <w:rsid w:val="00C75552"/>
    <w:rsid w:val="00C7741C"/>
    <w:rsid w:val="00C832BD"/>
    <w:rsid w:val="00C84B09"/>
    <w:rsid w:val="00CA223C"/>
    <w:rsid w:val="00CB51DC"/>
    <w:rsid w:val="00CC18EC"/>
    <w:rsid w:val="00CC2CE5"/>
    <w:rsid w:val="00CD25A2"/>
    <w:rsid w:val="00CD2EEE"/>
    <w:rsid w:val="00CD4A12"/>
    <w:rsid w:val="00CE05F9"/>
    <w:rsid w:val="00CE258D"/>
    <w:rsid w:val="00CF3A2F"/>
    <w:rsid w:val="00D22619"/>
    <w:rsid w:val="00D301AC"/>
    <w:rsid w:val="00D33646"/>
    <w:rsid w:val="00D34CBB"/>
    <w:rsid w:val="00D43BFA"/>
    <w:rsid w:val="00D46529"/>
    <w:rsid w:val="00D61B0D"/>
    <w:rsid w:val="00D62258"/>
    <w:rsid w:val="00D6717C"/>
    <w:rsid w:val="00D76832"/>
    <w:rsid w:val="00D854D9"/>
    <w:rsid w:val="00DC5F8B"/>
    <w:rsid w:val="00DE4B89"/>
    <w:rsid w:val="00E0265B"/>
    <w:rsid w:val="00E1245C"/>
    <w:rsid w:val="00E21156"/>
    <w:rsid w:val="00E25283"/>
    <w:rsid w:val="00E332A4"/>
    <w:rsid w:val="00E373B1"/>
    <w:rsid w:val="00E40AC1"/>
    <w:rsid w:val="00E529C5"/>
    <w:rsid w:val="00E63F04"/>
    <w:rsid w:val="00E8169C"/>
    <w:rsid w:val="00E95B28"/>
    <w:rsid w:val="00E97BBA"/>
    <w:rsid w:val="00EA17E3"/>
    <w:rsid w:val="00EA3D07"/>
    <w:rsid w:val="00EA49C9"/>
    <w:rsid w:val="00EC30A4"/>
    <w:rsid w:val="00EC4A44"/>
    <w:rsid w:val="00ED014B"/>
    <w:rsid w:val="00ED43DD"/>
    <w:rsid w:val="00EE7977"/>
    <w:rsid w:val="00F00BC5"/>
    <w:rsid w:val="00F14587"/>
    <w:rsid w:val="00F16641"/>
    <w:rsid w:val="00F27B5E"/>
    <w:rsid w:val="00F365E8"/>
    <w:rsid w:val="00F432A1"/>
    <w:rsid w:val="00F50285"/>
    <w:rsid w:val="00F52AC0"/>
    <w:rsid w:val="00F84060"/>
    <w:rsid w:val="00FA4E01"/>
    <w:rsid w:val="00FB6420"/>
    <w:rsid w:val="00FC3035"/>
    <w:rsid w:val="00FC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6D7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2215"/>
    <w:pPr>
      <w:spacing w:before="200" w:after="120" w:line="240" w:lineRule="auto"/>
    </w:pPr>
    <w:rPr>
      <w:rFonts w:ascii="Calibri" w:eastAsia="ヒラギノ角ゴ Pro W3" w:hAnsi="Calibri" w:cs="Times New Roman"/>
      <w:noProof/>
      <w:color w:val="000000"/>
      <w:szCs w:val="24"/>
      <w:lang w:val="en-AU"/>
    </w:rPr>
  </w:style>
  <w:style w:type="paragraph" w:styleId="Heading1">
    <w:name w:val="heading 1"/>
    <w:basedOn w:val="Normal"/>
    <w:next w:val="Normal"/>
    <w:link w:val="Heading1Char"/>
    <w:qFormat/>
    <w:rsid w:val="00672215"/>
    <w:pPr>
      <w:keepNext/>
      <w:spacing w:before="3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215"/>
    <w:rPr>
      <w:rFonts w:ascii="Calibri" w:eastAsia="Times New Roman" w:hAnsi="Calibri" w:cs="Times New Roman"/>
      <w:b/>
      <w:bCs/>
      <w:noProof/>
      <w:color w:val="000000"/>
      <w:kern w:val="32"/>
      <w:sz w:val="28"/>
      <w:szCs w:val="32"/>
      <w:lang w:val="en-AU"/>
    </w:rPr>
  </w:style>
  <w:style w:type="paragraph" w:customStyle="1" w:styleId="Footer1">
    <w:name w:val="Footer1"/>
    <w:rsid w:val="00672215"/>
    <w:pPr>
      <w:tabs>
        <w:tab w:val="center" w:pos="4680"/>
        <w:tab w:val="right" w:pos="9360"/>
      </w:tabs>
      <w:spacing w:after="0" w:line="280" w:lineRule="exact"/>
    </w:pPr>
    <w:rPr>
      <w:rFonts w:ascii="Lucida Grande" w:eastAsia="ヒラギノ角ゴ Pro W3" w:hAnsi="Lucida Grande" w:cs="Times New Roman"/>
      <w:color w:val="000000"/>
      <w:szCs w:val="24"/>
      <w:lang w:val="en-AU" w:eastAsia="en-AU"/>
    </w:rPr>
  </w:style>
  <w:style w:type="character" w:customStyle="1" w:styleId="FootnoteReference1">
    <w:name w:val="Footnote Reference1"/>
    <w:rsid w:val="00672215"/>
    <w:rPr>
      <w:color w:val="000000"/>
      <w:sz w:val="20"/>
      <w:vertAlign w:val="superscript"/>
    </w:rPr>
  </w:style>
  <w:style w:type="paragraph" w:customStyle="1" w:styleId="FootnoteText1">
    <w:name w:val="Footnote Text1"/>
    <w:rsid w:val="00672215"/>
    <w:pPr>
      <w:spacing w:after="0" w:line="240" w:lineRule="auto"/>
    </w:pPr>
    <w:rPr>
      <w:rFonts w:ascii="Helvetica" w:eastAsia="ヒラギノ角ゴ Pro W3" w:hAnsi="Helvetica" w:cs="Times New Roman"/>
      <w:color w:val="000000"/>
      <w:sz w:val="24"/>
      <w:szCs w:val="24"/>
      <w:lang w:val="en-US" w:eastAsia="en-AU"/>
    </w:rPr>
  </w:style>
  <w:style w:type="character" w:customStyle="1" w:styleId="FootnoteTextChar">
    <w:name w:val="Footnote Text Char"/>
    <w:rsid w:val="00672215"/>
    <w:rPr>
      <w:rFonts w:ascii="Calibri" w:eastAsia="ヒラギノ角ゴ Pro W3" w:hAnsi="Calibri"/>
      <w:b w:val="0"/>
      <w:i w:val="0"/>
      <w:color w:val="000000"/>
      <w:sz w:val="20"/>
    </w:rPr>
  </w:style>
  <w:style w:type="paragraph" w:customStyle="1" w:styleId="Subtitle1">
    <w:name w:val="Subtitle1"/>
    <w:next w:val="Normal"/>
    <w:rsid w:val="00672215"/>
    <w:pPr>
      <w:spacing w:after="0" w:line="240" w:lineRule="auto"/>
      <w:jc w:val="center"/>
    </w:pPr>
    <w:rPr>
      <w:rFonts w:ascii="Calibri" w:eastAsia="ヒラギノ角ゴ Pro W3" w:hAnsi="Calibri" w:cs="Times New Roman"/>
      <w:color w:val="000000"/>
      <w:sz w:val="52"/>
      <w:szCs w:val="24"/>
      <w:lang w:val="en-AU" w:eastAsia="en-AU"/>
    </w:rPr>
  </w:style>
  <w:style w:type="paragraph" w:styleId="Header">
    <w:name w:val="header"/>
    <w:basedOn w:val="Normal"/>
    <w:link w:val="HeaderChar"/>
    <w:rsid w:val="00672215"/>
    <w:pPr>
      <w:tabs>
        <w:tab w:val="center" w:pos="4513"/>
        <w:tab w:val="right" w:pos="9026"/>
      </w:tabs>
    </w:pPr>
  </w:style>
  <w:style w:type="character" w:customStyle="1" w:styleId="HeaderChar">
    <w:name w:val="Header Char"/>
    <w:basedOn w:val="DefaultParagraphFont"/>
    <w:link w:val="Header"/>
    <w:rsid w:val="00672215"/>
    <w:rPr>
      <w:rFonts w:ascii="Calibri" w:eastAsia="ヒラギノ角ゴ Pro W3" w:hAnsi="Calibri" w:cs="Times New Roman"/>
      <w:noProof/>
      <w:color w:val="000000"/>
      <w:szCs w:val="24"/>
      <w:lang w:val="en-AU"/>
    </w:rPr>
  </w:style>
  <w:style w:type="paragraph" w:styleId="Quote">
    <w:name w:val="Quote"/>
    <w:basedOn w:val="Normal"/>
    <w:next w:val="Normal"/>
    <w:link w:val="QuoteChar1"/>
    <w:uiPriority w:val="29"/>
    <w:qFormat/>
    <w:rsid w:val="00672215"/>
    <w:pPr>
      <w:spacing w:before="240" w:after="240"/>
      <w:ind w:left="567"/>
    </w:pPr>
    <w:rPr>
      <w:i/>
      <w:iCs/>
    </w:rPr>
  </w:style>
  <w:style w:type="character" w:customStyle="1" w:styleId="QuoteChar">
    <w:name w:val="Quote Char"/>
    <w:basedOn w:val="DefaultParagraphFont"/>
    <w:uiPriority w:val="29"/>
    <w:rsid w:val="00672215"/>
    <w:rPr>
      <w:rFonts w:ascii="Calibri" w:eastAsia="ヒラギノ角ゴ Pro W3" w:hAnsi="Calibri" w:cs="Times New Roman"/>
      <w:i/>
      <w:iCs/>
      <w:noProof/>
      <w:color w:val="404040" w:themeColor="text1" w:themeTint="BF"/>
      <w:szCs w:val="24"/>
      <w:lang w:val="en-AU"/>
    </w:rPr>
  </w:style>
  <w:style w:type="character" w:customStyle="1" w:styleId="QuoteChar1">
    <w:name w:val="Quote Char1"/>
    <w:link w:val="Quote"/>
    <w:uiPriority w:val="29"/>
    <w:rsid w:val="00672215"/>
    <w:rPr>
      <w:rFonts w:ascii="Calibri" w:eastAsia="ヒラギノ角ゴ Pro W3" w:hAnsi="Calibri" w:cs="Times New Roman"/>
      <w:i/>
      <w:iCs/>
      <w:noProof/>
      <w:color w:val="000000"/>
      <w:szCs w:val="24"/>
      <w:lang w:val="en-AU"/>
    </w:rPr>
  </w:style>
  <w:style w:type="paragraph" w:customStyle="1" w:styleId="Recommendations">
    <w:name w:val="Recommendations"/>
    <w:basedOn w:val="Normal"/>
    <w:qFormat/>
    <w:rsid w:val="00672215"/>
    <w:pPr>
      <w:numPr>
        <w:numId w:val="1"/>
      </w:numPr>
      <w:spacing w:before="240" w:after="240"/>
      <w:ind w:left="714" w:hanging="357"/>
    </w:pPr>
  </w:style>
  <w:style w:type="character" w:styleId="FootnoteReference">
    <w:name w:val="footnote reference"/>
    <w:uiPriority w:val="99"/>
    <w:rsid w:val="00672215"/>
    <w:rPr>
      <w:vertAlign w:val="superscript"/>
    </w:rPr>
  </w:style>
  <w:style w:type="paragraph" w:styleId="FootnoteText">
    <w:name w:val="footnote text"/>
    <w:basedOn w:val="Normal"/>
    <w:link w:val="FootnoteTextChar1"/>
    <w:uiPriority w:val="99"/>
    <w:rsid w:val="00672215"/>
    <w:pPr>
      <w:spacing w:before="0" w:after="80"/>
    </w:pPr>
    <w:rPr>
      <w:sz w:val="20"/>
      <w:szCs w:val="20"/>
    </w:rPr>
  </w:style>
  <w:style w:type="character" w:customStyle="1" w:styleId="FootnoteTextChar1">
    <w:name w:val="Footnote Text Char1"/>
    <w:basedOn w:val="DefaultParagraphFont"/>
    <w:link w:val="FootnoteText"/>
    <w:uiPriority w:val="99"/>
    <w:rsid w:val="00672215"/>
    <w:rPr>
      <w:rFonts w:ascii="Calibri" w:eastAsia="ヒラギノ角ゴ Pro W3" w:hAnsi="Calibri" w:cs="Times New Roman"/>
      <w:noProof/>
      <w:color w:val="000000"/>
      <w:sz w:val="20"/>
      <w:szCs w:val="20"/>
      <w:lang w:val="en-AU"/>
    </w:rPr>
  </w:style>
  <w:style w:type="character" w:styleId="Hyperlink">
    <w:name w:val="Hyperlink"/>
    <w:rsid w:val="00672215"/>
    <w:rPr>
      <w:color w:val="0000FF"/>
      <w:u w:val="single"/>
    </w:rPr>
  </w:style>
  <w:style w:type="paragraph" w:styleId="ListParagraph">
    <w:name w:val="List Paragraph"/>
    <w:basedOn w:val="Normal"/>
    <w:uiPriority w:val="34"/>
    <w:qFormat/>
    <w:rsid w:val="00672215"/>
    <w:pPr>
      <w:ind w:left="720"/>
      <w:contextualSpacing/>
    </w:pPr>
  </w:style>
  <w:style w:type="character" w:styleId="CommentReference">
    <w:name w:val="annotation reference"/>
    <w:basedOn w:val="DefaultParagraphFont"/>
    <w:uiPriority w:val="99"/>
    <w:semiHidden/>
    <w:unhideWhenUsed/>
    <w:rsid w:val="00672215"/>
    <w:rPr>
      <w:sz w:val="18"/>
      <w:szCs w:val="18"/>
    </w:rPr>
  </w:style>
  <w:style w:type="paragraph" w:styleId="CommentText">
    <w:name w:val="annotation text"/>
    <w:basedOn w:val="Normal"/>
    <w:link w:val="CommentTextChar"/>
    <w:uiPriority w:val="99"/>
    <w:unhideWhenUsed/>
    <w:rsid w:val="00672215"/>
    <w:rPr>
      <w:sz w:val="24"/>
    </w:rPr>
  </w:style>
  <w:style w:type="character" w:customStyle="1" w:styleId="CommentTextChar">
    <w:name w:val="Comment Text Char"/>
    <w:basedOn w:val="DefaultParagraphFont"/>
    <w:link w:val="CommentText"/>
    <w:uiPriority w:val="99"/>
    <w:rsid w:val="00672215"/>
    <w:rPr>
      <w:rFonts w:ascii="Calibri" w:eastAsia="ヒラギノ角ゴ Pro W3" w:hAnsi="Calibri" w:cs="Times New Roman"/>
      <w:noProof/>
      <w:color w:val="000000"/>
      <w:sz w:val="24"/>
      <w:szCs w:val="24"/>
      <w:lang w:val="en-AU"/>
    </w:rPr>
  </w:style>
  <w:style w:type="character" w:styleId="FollowedHyperlink">
    <w:name w:val="FollowedHyperlink"/>
    <w:basedOn w:val="DefaultParagraphFont"/>
    <w:uiPriority w:val="99"/>
    <w:semiHidden/>
    <w:unhideWhenUsed/>
    <w:rsid w:val="00672215"/>
    <w:rPr>
      <w:color w:val="954F72" w:themeColor="followedHyperlink"/>
      <w:u w:val="single"/>
    </w:rPr>
  </w:style>
  <w:style w:type="paragraph" w:styleId="BalloonText">
    <w:name w:val="Balloon Text"/>
    <w:basedOn w:val="Normal"/>
    <w:link w:val="BalloonTextChar"/>
    <w:uiPriority w:val="99"/>
    <w:semiHidden/>
    <w:unhideWhenUsed/>
    <w:rsid w:val="0067221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215"/>
    <w:rPr>
      <w:rFonts w:ascii="Segoe UI" w:eastAsia="ヒラギノ角ゴ Pro W3" w:hAnsi="Segoe UI" w:cs="Segoe UI"/>
      <w:noProof/>
      <w:color w:val="000000"/>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0532">
      <w:bodyDiv w:val="1"/>
      <w:marLeft w:val="0"/>
      <w:marRight w:val="0"/>
      <w:marTop w:val="0"/>
      <w:marBottom w:val="0"/>
      <w:divBdr>
        <w:top w:val="none" w:sz="0" w:space="0" w:color="auto"/>
        <w:left w:val="none" w:sz="0" w:space="0" w:color="auto"/>
        <w:bottom w:val="none" w:sz="0" w:space="0" w:color="auto"/>
        <w:right w:val="none" w:sz="0" w:space="0" w:color="auto"/>
      </w:divBdr>
    </w:div>
    <w:div w:id="130094401">
      <w:bodyDiv w:val="1"/>
      <w:marLeft w:val="0"/>
      <w:marRight w:val="0"/>
      <w:marTop w:val="0"/>
      <w:marBottom w:val="0"/>
      <w:divBdr>
        <w:top w:val="none" w:sz="0" w:space="0" w:color="auto"/>
        <w:left w:val="none" w:sz="0" w:space="0" w:color="auto"/>
        <w:bottom w:val="none" w:sz="0" w:space="0" w:color="auto"/>
        <w:right w:val="none" w:sz="0" w:space="0" w:color="auto"/>
      </w:divBdr>
    </w:div>
    <w:div w:id="6871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markb@tec.org.au"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Wright</dc:creator>
  <cp:keywords/>
  <dc:description/>
  <cp:lastModifiedBy>Mark Byrne</cp:lastModifiedBy>
  <cp:revision>11</cp:revision>
  <dcterms:created xsi:type="dcterms:W3CDTF">2018-04-10T05:01:00Z</dcterms:created>
  <dcterms:modified xsi:type="dcterms:W3CDTF">2018-04-11T06:42:00Z</dcterms:modified>
</cp:coreProperties>
</file>