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5A" w:rsidRPr="00252FA4" w:rsidRDefault="00252FA4" w:rsidP="00A2745A">
      <w:pPr>
        <w:rPr>
          <w:rFonts w:asciiTheme="minorHAnsi" w:hAnsiTheme="minorHAnsi"/>
          <w:sz w:val="20"/>
        </w:rPr>
      </w:pPr>
      <w:bookmarkStart w:id="0" w:name="_GoBack"/>
      <w:bookmarkEnd w:id="0"/>
      <w:r>
        <w:rPr>
          <w:noProof/>
          <w:lang w:eastAsia="en-AU"/>
        </w:rPr>
        <w:drawing>
          <wp:anchor distT="0" distB="0" distL="114300" distR="114300" simplePos="0" relativeHeight="251658240" behindDoc="1" locked="0" layoutInCell="1" allowOverlap="1">
            <wp:simplePos x="0" y="0"/>
            <wp:positionH relativeFrom="column">
              <wp:posOffset>3178810</wp:posOffset>
            </wp:positionH>
            <wp:positionV relativeFrom="paragraph">
              <wp:posOffset>-923925</wp:posOffset>
            </wp:positionV>
            <wp:extent cx="3466465" cy="3152140"/>
            <wp:effectExtent l="0" t="0" r="635" b="0"/>
            <wp:wrapTight wrapText="bothSides">
              <wp:wrapPolygon edited="0">
                <wp:start x="0" y="0"/>
                <wp:lineTo x="0" y="21409"/>
                <wp:lineTo x="21485" y="21409"/>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66465" cy="3152140"/>
                    </a:xfrm>
                    <a:prstGeom prst="rect">
                      <a:avLst/>
                    </a:prstGeom>
                  </pic:spPr>
                </pic:pic>
              </a:graphicData>
            </a:graphic>
            <wp14:sizeRelH relativeFrom="page">
              <wp14:pctWidth>0</wp14:pctWidth>
            </wp14:sizeRelH>
            <wp14:sizeRelV relativeFrom="page">
              <wp14:pctHeight>0</wp14:pctHeight>
            </wp14:sizeRelV>
          </wp:anchor>
        </w:drawing>
      </w:r>
    </w:p>
    <w:p w:rsidR="00A2745A" w:rsidRDefault="00A2745A" w:rsidP="00A2745A">
      <w:pPr>
        <w:rPr>
          <w:rFonts w:asciiTheme="minorHAnsi" w:hAnsiTheme="minorHAnsi"/>
          <w:sz w:val="20"/>
        </w:rPr>
      </w:pPr>
    </w:p>
    <w:p w:rsidR="00A2745A" w:rsidRDefault="00A2745A" w:rsidP="00A2745A">
      <w:pPr>
        <w:rPr>
          <w:rFonts w:asciiTheme="minorHAnsi" w:hAnsiTheme="minorHAnsi"/>
          <w:sz w:val="20"/>
        </w:rPr>
      </w:pPr>
    </w:p>
    <w:p w:rsidR="00A2745A" w:rsidRDefault="00A2745A" w:rsidP="00A2745A">
      <w:pPr>
        <w:rPr>
          <w:rFonts w:asciiTheme="minorHAnsi" w:hAnsiTheme="minorHAnsi"/>
          <w:sz w:val="20"/>
        </w:rPr>
      </w:pPr>
    </w:p>
    <w:p w:rsidR="00A2745A" w:rsidRPr="00A2745A" w:rsidRDefault="00A2745A" w:rsidP="00A2745A">
      <w:pPr>
        <w:spacing w:before="0"/>
        <w:rPr>
          <w:rFonts w:ascii="Calibri" w:hAnsi="Calibri"/>
          <w:sz w:val="20"/>
        </w:rPr>
      </w:pPr>
      <w:r w:rsidRPr="00A2745A">
        <w:rPr>
          <w:rFonts w:ascii="Calibri" w:hAnsi="Calibri"/>
          <w:sz w:val="20"/>
        </w:rPr>
        <w:t>Our Ref:</w:t>
      </w:r>
      <w:r w:rsidRPr="00A2745A">
        <w:rPr>
          <w:rFonts w:ascii="Calibri" w:hAnsi="Calibri"/>
          <w:sz w:val="20"/>
        </w:rPr>
        <w:tab/>
      </w:r>
      <w:r w:rsidRPr="00A2745A">
        <w:rPr>
          <w:rFonts w:ascii="Calibri" w:hAnsi="Calibri"/>
          <w:sz w:val="20"/>
        </w:rPr>
        <w:tab/>
      </w:r>
      <w:bookmarkStart w:id="1" w:name="OurRef"/>
      <w:bookmarkEnd w:id="1"/>
      <w:r w:rsidR="00252FA4" w:rsidRPr="00252FA4">
        <w:rPr>
          <w:rFonts w:ascii="Calibri" w:hAnsi="Calibri"/>
          <w:sz w:val="20"/>
        </w:rPr>
        <w:t>56448</w:t>
      </w:r>
    </w:p>
    <w:p w:rsidR="00A2745A" w:rsidRPr="00A2745A" w:rsidRDefault="00A2745A" w:rsidP="00A2745A">
      <w:pPr>
        <w:spacing w:before="0"/>
        <w:rPr>
          <w:rFonts w:ascii="Calibri" w:hAnsi="Calibri"/>
          <w:sz w:val="20"/>
        </w:rPr>
      </w:pPr>
      <w:r w:rsidRPr="00A2745A">
        <w:rPr>
          <w:rFonts w:ascii="Calibri" w:hAnsi="Calibri"/>
          <w:sz w:val="20"/>
        </w:rPr>
        <w:t xml:space="preserve">Contact Officer: </w:t>
      </w:r>
      <w:r w:rsidRPr="00A2745A">
        <w:rPr>
          <w:rFonts w:ascii="Calibri" w:hAnsi="Calibri"/>
          <w:sz w:val="20"/>
        </w:rPr>
        <w:tab/>
        <w:t xml:space="preserve">Imogen Hartcher-O’Brien </w:t>
      </w:r>
    </w:p>
    <w:p w:rsidR="00A2745A" w:rsidRPr="00A2745A" w:rsidRDefault="00A2745A" w:rsidP="00A2745A">
      <w:pPr>
        <w:spacing w:before="0"/>
        <w:rPr>
          <w:rFonts w:ascii="Calibri" w:hAnsi="Calibri"/>
          <w:sz w:val="20"/>
        </w:rPr>
      </w:pPr>
      <w:r w:rsidRPr="00A2745A">
        <w:rPr>
          <w:rFonts w:ascii="Calibri" w:hAnsi="Calibri"/>
          <w:sz w:val="20"/>
        </w:rPr>
        <w:t>Contact Phone:</w:t>
      </w:r>
      <w:r w:rsidRPr="00A2745A">
        <w:rPr>
          <w:rFonts w:ascii="Calibri" w:hAnsi="Calibri"/>
          <w:sz w:val="20"/>
        </w:rPr>
        <w:tab/>
      </w:r>
      <w:bookmarkStart w:id="2" w:name="ContactPhone"/>
      <w:bookmarkEnd w:id="2"/>
      <w:r w:rsidRPr="00A2745A">
        <w:rPr>
          <w:rFonts w:ascii="Calibri" w:hAnsi="Calibri"/>
          <w:sz w:val="20"/>
        </w:rPr>
        <w:t>03 9290 1491</w:t>
      </w:r>
    </w:p>
    <w:p w:rsidR="00A2745A" w:rsidRPr="00A2745A" w:rsidRDefault="00A2745A" w:rsidP="00252FA4">
      <w:pPr>
        <w:spacing w:before="480" w:after="120"/>
        <w:rPr>
          <w:rFonts w:ascii="Calibri" w:hAnsi="Calibri"/>
          <w:sz w:val="24"/>
          <w:szCs w:val="24"/>
        </w:rPr>
      </w:pPr>
      <w:bookmarkStart w:id="3" w:name="Date"/>
      <w:bookmarkEnd w:id="3"/>
      <w:r w:rsidRPr="00A2745A">
        <w:rPr>
          <w:rFonts w:ascii="Calibri" w:hAnsi="Calibri"/>
          <w:sz w:val="24"/>
          <w:szCs w:val="24"/>
        </w:rPr>
        <w:t xml:space="preserve">6 </w:t>
      </w:r>
      <w:r w:rsidR="00ED551F">
        <w:rPr>
          <w:rFonts w:ascii="Calibri" w:hAnsi="Calibri"/>
          <w:sz w:val="24"/>
          <w:szCs w:val="24"/>
        </w:rPr>
        <w:t xml:space="preserve">March </w:t>
      </w:r>
      <w:r w:rsidRPr="00A2745A">
        <w:rPr>
          <w:rFonts w:ascii="Calibri" w:hAnsi="Calibri"/>
          <w:sz w:val="24"/>
          <w:szCs w:val="24"/>
        </w:rPr>
        <w:t xml:space="preserve">2015 </w:t>
      </w:r>
    </w:p>
    <w:p w:rsidR="00A2745A" w:rsidRPr="00A2745A" w:rsidRDefault="00A2745A" w:rsidP="00A2745A">
      <w:pPr>
        <w:spacing w:before="120" w:after="120"/>
        <w:rPr>
          <w:rFonts w:ascii="Calibri" w:hAnsi="Calibri"/>
          <w:sz w:val="24"/>
          <w:szCs w:val="24"/>
        </w:rPr>
      </w:pPr>
    </w:p>
    <w:p w:rsidR="009161A1" w:rsidRPr="009161A1" w:rsidRDefault="009161A1" w:rsidP="009161A1">
      <w:pPr>
        <w:spacing w:before="0"/>
        <w:rPr>
          <w:rFonts w:ascii="Calibri" w:hAnsi="Calibri"/>
          <w:sz w:val="24"/>
          <w:szCs w:val="24"/>
        </w:rPr>
      </w:pPr>
      <w:bookmarkStart w:id="4" w:name="Recipient"/>
      <w:bookmarkEnd w:id="4"/>
      <w:r w:rsidRPr="009161A1">
        <w:rPr>
          <w:rFonts w:ascii="Calibri" w:hAnsi="Calibri"/>
          <w:sz w:val="24"/>
          <w:szCs w:val="24"/>
        </w:rPr>
        <w:t>Sebastian Banks</w:t>
      </w:r>
    </w:p>
    <w:p w:rsidR="009161A1" w:rsidRPr="00252FA4" w:rsidRDefault="009161A1" w:rsidP="009161A1">
      <w:pPr>
        <w:spacing w:before="0"/>
        <w:rPr>
          <w:rFonts w:ascii="Calibri" w:hAnsi="Calibri"/>
          <w:sz w:val="24"/>
          <w:szCs w:val="24"/>
        </w:rPr>
      </w:pPr>
      <w:r w:rsidRPr="009161A1">
        <w:rPr>
          <w:rFonts w:ascii="Calibri" w:hAnsi="Calibri"/>
          <w:sz w:val="24"/>
          <w:szCs w:val="24"/>
        </w:rPr>
        <w:t xml:space="preserve">Trading Manager </w:t>
      </w:r>
    </w:p>
    <w:p w:rsidR="00252FA4" w:rsidRPr="00252FA4" w:rsidRDefault="00252FA4" w:rsidP="00252FA4">
      <w:pPr>
        <w:spacing w:before="0"/>
        <w:rPr>
          <w:rFonts w:ascii="Calibri" w:hAnsi="Calibri"/>
          <w:sz w:val="24"/>
          <w:szCs w:val="24"/>
        </w:rPr>
      </w:pPr>
      <w:r w:rsidRPr="00252FA4">
        <w:rPr>
          <w:rFonts w:ascii="Calibri" w:hAnsi="Calibri"/>
          <w:sz w:val="24"/>
          <w:szCs w:val="24"/>
        </w:rPr>
        <w:t xml:space="preserve">TOTAL Gas &amp; Power </w:t>
      </w:r>
      <w:r w:rsidR="009161A1">
        <w:rPr>
          <w:rFonts w:ascii="Calibri" w:hAnsi="Calibri"/>
          <w:sz w:val="24"/>
          <w:szCs w:val="24"/>
        </w:rPr>
        <w:t>Australia Pty Ltd</w:t>
      </w:r>
    </w:p>
    <w:p w:rsidR="009161A1" w:rsidRPr="009161A1" w:rsidRDefault="009161A1" w:rsidP="009161A1">
      <w:pPr>
        <w:spacing w:before="0"/>
        <w:rPr>
          <w:rFonts w:ascii="Calibri" w:hAnsi="Calibri"/>
          <w:sz w:val="24"/>
          <w:szCs w:val="24"/>
        </w:rPr>
      </w:pPr>
      <w:r w:rsidRPr="009161A1">
        <w:rPr>
          <w:rFonts w:ascii="Calibri" w:hAnsi="Calibri"/>
          <w:sz w:val="24"/>
          <w:szCs w:val="24"/>
        </w:rPr>
        <w:t>BCC Centre</w:t>
      </w:r>
    </w:p>
    <w:p w:rsidR="009161A1" w:rsidRPr="009161A1" w:rsidRDefault="009161A1" w:rsidP="009161A1">
      <w:pPr>
        <w:spacing w:before="0"/>
        <w:rPr>
          <w:rFonts w:ascii="Calibri" w:hAnsi="Calibri"/>
          <w:sz w:val="24"/>
          <w:szCs w:val="24"/>
        </w:rPr>
      </w:pPr>
      <w:r w:rsidRPr="009161A1">
        <w:rPr>
          <w:rFonts w:ascii="Calibri" w:hAnsi="Calibri"/>
          <w:sz w:val="24"/>
          <w:szCs w:val="24"/>
        </w:rPr>
        <w:t>Level 13</w:t>
      </w:r>
    </w:p>
    <w:p w:rsidR="009161A1" w:rsidRPr="009161A1" w:rsidRDefault="009161A1" w:rsidP="009161A1">
      <w:pPr>
        <w:spacing w:before="0"/>
        <w:rPr>
          <w:rFonts w:ascii="Calibri" w:hAnsi="Calibri"/>
          <w:sz w:val="24"/>
          <w:szCs w:val="24"/>
        </w:rPr>
      </w:pPr>
      <w:r w:rsidRPr="009161A1">
        <w:rPr>
          <w:rFonts w:ascii="Calibri" w:hAnsi="Calibri"/>
          <w:sz w:val="24"/>
          <w:szCs w:val="24"/>
        </w:rPr>
        <w:t>28 The Esplanade</w:t>
      </w:r>
    </w:p>
    <w:p w:rsidR="00A2745A" w:rsidRDefault="009161A1" w:rsidP="009161A1">
      <w:pPr>
        <w:spacing w:before="0"/>
        <w:rPr>
          <w:rFonts w:ascii="Calibri" w:hAnsi="Calibri"/>
          <w:sz w:val="24"/>
          <w:szCs w:val="24"/>
        </w:rPr>
      </w:pPr>
      <w:r w:rsidRPr="009161A1">
        <w:rPr>
          <w:rFonts w:ascii="Calibri" w:hAnsi="Calibri"/>
          <w:sz w:val="24"/>
          <w:szCs w:val="24"/>
        </w:rPr>
        <w:t>Perth WA 6000</w:t>
      </w:r>
    </w:p>
    <w:p w:rsidR="009161A1" w:rsidRDefault="009161A1" w:rsidP="00252FA4">
      <w:pPr>
        <w:spacing w:before="0"/>
        <w:rPr>
          <w:rFonts w:ascii="Calibri" w:hAnsi="Calibri"/>
          <w:sz w:val="24"/>
          <w:szCs w:val="24"/>
        </w:rPr>
      </w:pPr>
    </w:p>
    <w:p w:rsidR="009161A1" w:rsidRPr="00A2745A" w:rsidRDefault="009161A1" w:rsidP="00252FA4">
      <w:pPr>
        <w:spacing w:before="0"/>
        <w:rPr>
          <w:rFonts w:ascii="Calibri" w:hAnsi="Calibri"/>
          <w:sz w:val="24"/>
          <w:szCs w:val="24"/>
        </w:rPr>
      </w:pPr>
      <w:r>
        <w:rPr>
          <w:rFonts w:ascii="Calibri" w:hAnsi="Calibri"/>
          <w:sz w:val="24"/>
          <w:szCs w:val="24"/>
        </w:rPr>
        <w:t xml:space="preserve">By email: </w:t>
      </w:r>
      <w:hyperlink r:id="rId11" w:history="1">
        <w:r w:rsidRPr="00913D19">
          <w:rPr>
            <w:rStyle w:val="Hyperlink"/>
            <w:rFonts w:ascii="Calibri" w:hAnsi="Calibri"/>
            <w:sz w:val="24"/>
            <w:szCs w:val="24"/>
          </w:rPr>
          <w:t>sebastian.banks@total.com</w:t>
        </w:r>
      </w:hyperlink>
      <w:r>
        <w:rPr>
          <w:rFonts w:ascii="Calibri" w:hAnsi="Calibri"/>
          <w:sz w:val="24"/>
          <w:szCs w:val="24"/>
        </w:rPr>
        <w:t xml:space="preserve"> and </w:t>
      </w:r>
      <w:hyperlink r:id="rId12" w:history="1">
        <w:r w:rsidRPr="00913D19">
          <w:rPr>
            <w:rStyle w:val="Hyperlink"/>
            <w:rFonts w:ascii="Calibri" w:hAnsi="Calibri"/>
            <w:sz w:val="24"/>
            <w:szCs w:val="24"/>
          </w:rPr>
          <w:t>philip.jones@total.com</w:t>
        </w:r>
      </w:hyperlink>
      <w:r>
        <w:rPr>
          <w:rFonts w:ascii="Calibri" w:hAnsi="Calibri"/>
          <w:sz w:val="24"/>
          <w:szCs w:val="24"/>
        </w:rPr>
        <w:t xml:space="preserve"> </w:t>
      </w:r>
    </w:p>
    <w:p w:rsidR="00A2745A" w:rsidRPr="00A2745A" w:rsidRDefault="00A2745A" w:rsidP="00252FA4">
      <w:pPr>
        <w:spacing w:before="600" w:after="120"/>
        <w:rPr>
          <w:rFonts w:ascii="Calibri" w:hAnsi="Calibri"/>
          <w:sz w:val="24"/>
          <w:szCs w:val="24"/>
        </w:rPr>
      </w:pPr>
      <w:bookmarkStart w:id="5" w:name="Salutation"/>
      <w:bookmarkEnd w:id="5"/>
      <w:r w:rsidRPr="00A2745A">
        <w:rPr>
          <w:rFonts w:ascii="Calibri" w:hAnsi="Calibri"/>
          <w:sz w:val="24"/>
          <w:szCs w:val="24"/>
        </w:rPr>
        <w:t xml:space="preserve">Dear Mr </w:t>
      </w:r>
      <w:r w:rsidR="009161A1">
        <w:rPr>
          <w:rFonts w:ascii="Calibri" w:hAnsi="Calibri"/>
          <w:sz w:val="24"/>
          <w:szCs w:val="24"/>
        </w:rPr>
        <w:t>Banks</w:t>
      </w:r>
    </w:p>
    <w:p w:rsidR="00A2745A" w:rsidRPr="00A2745A" w:rsidRDefault="00ED551F" w:rsidP="00A2745A">
      <w:pPr>
        <w:spacing w:before="240" w:after="120"/>
        <w:rPr>
          <w:rFonts w:ascii="Calibri" w:hAnsi="Calibri"/>
          <w:sz w:val="24"/>
          <w:szCs w:val="24"/>
        </w:rPr>
      </w:pPr>
      <w:r>
        <w:rPr>
          <w:rFonts w:ascii="Calibri" w:hAnsi="Calibri"/>
          <w:b/>
          <w:sz w:val="24"/>
          <w:szCs w:val="24"/>
        </w:rPr>
        <w:t>Total Gas &amp; Power Australia Pty Ltd application</w:t>
      </w:r>
      <w:r w:rsidR="00A2745A" w:rsidRPr="00A2745A">
        <w:rPr>
          <w:rFonts w:ascii="Calibri" w:hAnsi="Calibri"/>
          <w:b/>
          <w:sz w:val="24"/>
          <w:szCs w:val="24"/>
        </w:rPr>
        <w:t xml:space="preserve"> for electricity individual exemption</w:t>
      </w:r>
    </w:p>
    <w:p w:rsidR="00252FA4" w:rsidRPr="00252FA4" w:rsidRDefault="00A2745A" w:rsidP="00252FA4">
      <w:pPr>
        <w:rPr>
          <w:rFonts w:ascii="Calibri" w:hAnsi="Calibri"/>
          <w:sz w:val="24"/>
          <w:szCs w:val="24"/>
        </w:rPr>
      </w:pPr>
      <w:bookmarkStart w:id="6" w:name="Subject"/>
      <w:bookmarkEnd w:id="6"/>
      <w:r w:rsidRPr="00A2745A">
        <w:rPr>
          <w:rFonts w:ascii="Calibri" w:hAnsi="Calibri"/>
          <w:sz w:val="24"/>
          <w:szCs w:val="24"/>
        </w:rPr>
        <w:t xml:space="preserve">I </w:t>
      </w:r>
      <w:r w:rsidR="00252FA4" w:rsidRPr="00252FA4">
        <w:rPr>
          <w:rFonts w:ascii="Calibri" w:hAnsi="Calibri"/>
          <w:sz w:val="24"/>
          <w:szCs w:val="24"/>
        </w:rPr>
        <w:t xml:space="preserve">refer to </w:t>
      </w:r>
      <w:r w:rsidR="00ED551F" w:rsidRPr="00252FA4">
        <w:rPr>
          <w:rFonts w:ascii="Calibri" w:hAnsi="Calibri"/>
          <w:sz w:val="24"/>
          <w:szCs w:val="24"/>
        </w:rPr>
        <w:t xml:space="preserve">Total Gas &amp; Power Australia's </w:t>
      </w:r>
      <w:r w:rsidR="00ED551F">
        <w:rPr>
          <w:rFonts w:ascii="Calibri" w:hAnsi="Calibri"/>
          <w:sz w:val="24"/>
          <w:szCs w:val="24"/>
        </w:rPr>
        <w:t>(Total</w:t>
      </w:r>
      <w:r w:rsidR="009161A1">
        <w:rPr>
          <w:rFonts w:ascii="Calibri" w:hAnsi="Calibri"/>
          <w:sz w:val="24"/>
          <w:szCs w:val="24"/>
        </w:rPr>
        <w:t>’s</w:t>
      </w:r>
      <w:r w:rsidR="00ED551F">
        <w:rPr>
          <w:rFonts w:ascii="Calibri" w:hAnsi="Calibri"/>
          <w:sz w:val="24"/>
          <w:szCs w:val="24"/>
        </w:rPr>
        <w:t xml:space="preserve">) </w:t>
      </w:r>
      <w:r w:rsidR="00252FA4" w:rsidRPr="00252FA4">
        <w:rPr>
          <w:rFonts w:ascii="Calibri" w:hAnsi="Calibri"/>
          <w:sz w:val="24"/>
          <w:szCs w:val="24"/>
        </w:rPr>
        <w:t xml:space="preserve">application of 16 December 2014 for an individual exemption under the National Energy Retail Law (Retail Law) to sell electricity to a number of </w:t>
      </w:r>
      <w:r w:rsidR="00ED551F" w:rsidRPr="00ED551F">
        <w:rPr>
          <w:rFonts w:ascii="Calibri" w:hAnsi="Calibri"/>
          <w:sz w:val="24"/>
          <w:szCs w:val="24"/>
        </w:rPr>
        <w:t>Gladstone Liquefied Natural Gas (GLNG) Project sites in Queensland (GLNG Sites)</w:t>
      </w:r>
      <w:r w:rsidR="00252FA4" w:rsidRPr="00252FA4">
        <w:rPr>
          <w:rFonts w:ascii="Calibri" w:hAnsi="Calibri"/>
          <w:sz w:val="24"/>
          <w:szCs w:val="24"/>
        </w:rPr>
        <w:t>.</w:t>
      </w:r>
    </w:p>
    <w:p w:rsidR="00252FA4" w:rsidRPr="00252FA4" w:rsidRDefault="00252FA4" w:rsidP="00252FA4">
      <w:pPr>
        <w:rPr>
          <w:rFonts w:ascii="Calibri" w:hAnsi="Calibri"/>
          <w:sz w:val="24"/>
          <w:szCs w:val="24"/>
        </w:rPr>
      </w:pPr>
      <w:r w:rsidRPr="00252FA4">
        <w:rPr>
          <w:rFonts w:ascii="Calibri" w:hAnsi="Calibri"/>
          <w:sz w:val="24"/>
          <w:szCs w:val="24"/>
        </w:rPr>
        <w:t>I am writing to inform you that the Australian Energy Regulator (AER) has considered Total</w:t>
      </w:r>
      <w:r w:rsidR="00ED551F">
        <w:rPr>
          <w:rFonts w:ascii="Calibri" w:hAnsi="Calibri"/>
          <w:sz w:val="24"/>
          <w:szCs w:val="24"/>
        </w:rPr>
        <w:t>’s</w:t>
      </w:r>
      <w:r w:rsidRPr="00252FA4">
        <w:rPr>
          <w:rFonts w:ascii="Calibri" w:hAnsi="Calibri"/>
          <w:sz w:val="24"/>
          <w:szCs w:val="24"/>
        </w:rPr>
        <w:t xml:space="preserve"> application for an individual exem</w:t>
      </w:r>
      <w:r w:rsidR="00ED551F">
        <w:rPr>
          <w:rFonts w:ascii="Calibri" w:hAnsi="Calibri"/>
          <w:sz w:val="24"/>
          <w:szCs w:val="24"/>
        </w:rPr>
        <w:t>ption and that it decided, on 6 </w:t>
      </w:r>
      <w:r w:rsidRPr="00252FA4">
        <w:rPr>
          <w:rFonts w:ascii="Calibri" w:hAnsi="Calibri"/>
          <w:sz w:val="24"/>
          <w:szCs w:val="24"/>
        </w:rPr>
        <w:t xml:space="preserve">March 2015, to grant the individual exemption in accordance with s.110 of the Retail Law. </w:t>
      </w:r>
    </w:p>
    <w:p w:rsidR="00252FA4" w:rsidRPr="00252FA4" w:rsidRDefault="00252FA4" w:rsidP="00252FA4">
      <w:pPr>
        <w:rPr>
          <w:rFonts w:ascii="Calibri" w:hAnsi="Calibri"/>
          <w:sz w:val="24"/>
          <w:szCs w:val="24"/>
        </w:rPr>
      </w:pPr>
      <w:r w:rsidRPr="00252FA4">
        <w:rPr>
          <w:rFonts w:ascii="Calibri" w:hAnsi="Calibri"/>
          <w:sz w:val="24"/>
          <w:szCs w:val="24"/>
        </w:rPr>
        <w:t xml:space="preserve">In accordance with the National Energy Retail Rules, the AER has published the application on its website, and sought submissions from interested parties.   The AER did not receive any submissions in response to Total’s application.  </w:t>
      </w:r>
    </w:p>
    <w:p w:rsidR="00252FA4" w:rsidRPr="00252FA4" w:rsidRDefault="00252FA4" w:rsidP="00252FA4">
      <w:pPr>
        <w:rPr>
          <w:rFonts w:ascii="Calibri" w:hAnsi="Calibri"/>
          <w:sz w:val="24"/>
          <w:szCs w:val="24"/>
        </w:rPr>
      </w:pPr>
      <w:r w:rsidRPr="00252FA4">
        <w:rPr>
          <w:rFonts w:ascii="Calibri" w:hAnsi="Calibri"/>
          <w:sz w:val="24"/>
          <w:szCs w:val="24"/>
        </w:rPr>
        <w:t xml:space="preserve">The AER has considered the policy principles relating to exempt selling in s. 114 of the Retail Law, being: </w:t>
      </w:r>
    </w:p>
    <w:p w:rsidR="00252FA4" w:rsidRPr="00252FA4" w:rsidRDefault="00252FA4" w:rsidP="00252FA4">
      <w:pPr>
        <w:pStyle w:val="ListParagraph"/>
        <w:numPr>
          <w:ilvl w:val="0"/>
          <w:numId w:val="85"/>
        </w:numPr>
        <w:rPr>
          <w:rFonts w:ascii="Calibri" w:hAnsi="Calibri"/>
          <w:sz w:val="24"/>
          <w:szCs w:val="24"/>
        </w:rPr>
      </w:pPr>
      <w:r w:rsidRPr="00252FA4">
        <w:rPr>
          <w:rFonts w:ascii="Calibri" w:hAnsi="Calibri"/>
          <w:sz w:val="24"/>
          <w:szCs w:val="24"/>
        </w:rPr>
        <w:t xml:space="preserve">regulatory arrangements for exempt sellers should not unnecessarily diverge from those applying to retailers,  </w:t>
      </w:r>
    </w:p>
    <w:p w:rsidR="00252FA4" w:rsidRPr="00252FA4" w:rsidRDefault="00252FA4" w:rsidP="00252FA4">
      <w:pPr>
        <w:pStyle w:val="ListParagraph"/>
        <w:numPr>
          <w:ilvl w:val="0"/>
          <w:numId w:val="85"/>
        </w:numPr>
        <w:rPr>
          <w:rFonts w:ascii="Calibri" w:hAnsi="Calibri"/>
          <w:sz w:val="24"/>
          <w:szCs w:val="24"/>
        </w:rPr>
      </w:pPr>
      <w:r w:rsidRPr="00252FA4">
        <w:rPr>
          <w:rFonts w:ascii="Calibri" w:hAnsi="Calibri"/>
          <w:sz w:val="24"/>
          <w:szCs w:val="24"/>
        </w:rPr>
        <w:t xml:space="preserve">exempt customers, should, as far as practicable, be afforded the right to a choice of retailer in the same way comparable retail customers in the same jurisdiction have that right, </w:t>
      </w:r>
    </w:p>
    <w:p w:rsidR="00252FA4" w:rsidRPr="00252FA4" w:rsidRDefault="00252FA4" w:rsidP="00252FA4">
      <w:pPr>
        <w:pStyle w:val="ListParagraph"/>
        <w:numPr>
          <w:ilvl w:val="0"/>
          <w:numId w:val="85"/>
        </w:numPr>
        <w:rPr>
          <w:rFonts w:ascii="Calibri" w:hAnsi="Calibri"/>
          <w:sz w:val="24"/>
          <w:szCs w:val="24"/>
        </w:rPr>
      </w:pPr>
      <w:proofErr w:type="gramStart"/>
      <w:r w:rsidRPr="00252FA4">
        <w:rPr>
          <w:rFonts w:ascii="Calibri" w:hAnsi="Calibri"/>
          <w:sz w:val="24"/>
          <w:szCs w:val="24"/>
        </w:rPr>
        <w:lastRenderedPageBreak/>
        <w:t>exempt</w:t>
      </w:r>
      <w:proofErr w:type="gramEnd"/>
      <w:r w:rsidRPr="00252FA4">
        <w:rPr>
          <w:rFonts w:ascii="Calibri" w:hAnsi="Calibri"/>
          <w:sz w:val="24"/>
          <w:szCs w:val="24"/>
        </w:rPr>
        <w:t xml:space="preserve"> customers, should, as far as practicable, not be denied customer protections afforded to retail customers under this Law and Rules. </w:t>
      </w:r>
    </w:p>
    <w:p w:rsidR="00252FA4" w:rsidRPr="00252FA4" w:rsidRDefault="00252FA4" w:rsidP="00252FA4">
      <w:pPr>
        <w:rPr>
          <w:rFonts w:ascii="Calibri" w:hAnsi="Calibri"/>
          <w:sz w:val="24"/>
          <w:szCs w:val="24"/>
        </w:rPr>
      </w:pPr>
      <w:r w:rsidRPr="00252FA4">
        <w:rPr>
          <w:rFonts w:ascii="Calibri" w:hAnsi="Calibri"/>
          <w:sz w:val="24"/>
          <w:szCs w:val="24"/>
        </w:rPr>
        <w:t xml:space="preserve">In making its decision, the AER is guided by the objective of the Retail </w:t>
      </w:r>
      <w:proofErr w:type="gramStart"/>
      <w:r w:rsidRPr="00252FA4">
        <w:rPr>
          <w:rFonts w:ascii="Calibri" w:hAnsi="Calibri"/>
          <w:sz w:val="24"/>
          <w:szCs w:val="24"/>
        </w:rPr>
        <w:t>Law ,</w:t>
      </w:r>
      <w:proofErr w:type="gramEnd"/>
      <w:r w:rsidRPr="00252FA4">
        <w:rPr>
          <w:rFonts w:ascii="Calibri" w:hAnsi="Calibri"/>
          <w:sz w:val="24"/>
          <w:szCs w:val="24"/>
        </w:rPr>
        <w:t xml:space="preserve"> the exempt seller factors,  the customer related factors,  and the assessment approach outlined in the AER’s Exempt Selling Guideline. </w:t>
      </w:r>
    </w:p>
    <w:p w:rsidR="00242C2C" w:rsidRDefault="00252FA4" w:rsidP="00252FA4">
      <w:pPr>
        <w:rPr>
          <w:rFonts w:ascii="Calibri" w:hAnsi="Calibri"/>
          <w:sz w:val="24"/>
          <w:szCs w:val="24"/>
        </w:rPr>
      </w:pPr>
      <w:r w:rsidRPr="00252FA4">
        <w:rPr>
          <w:rFonts w:ascii="Calibri" w:hAnsi="Calibri"/>
          <w:sz w:val="24"/>
          <w:szCs w:val="24"/>
        </w:rPr>
        <w:t xml:space="preserve">The AER is satisfied that Total should be exempt from the requirement to hold a national retailer authorisation for the GLNG Project sites, having regard to the considerations outlined above. </w:t>
      </w:r>
      <w:r w:rsidR="00242C2C">
        <w:rPr>
          <w:rFonts w:ascii="Calibri" w:hAnsi="Calibri"/>
          <w:sz w:val="24"/>
          <w:szCs w:val="24"/>
        </w:rPr>
        <w:t xml:space="preserve">If Total wishes </w:t>
      </w:r>
      <w:r w:rsidR="00242C2C" w:rsidRPr="005E7C99">
        <w:rPr>
          <w:rFonts w:ascii="Calibri" w:hAnsi="Calibri"/>
        </w:rPr>
        <w:t xml:space="preserve">to change the way it sells electricity it should contact the AER as it </w:t>
      </w:r>
      <w:r w:rsidR="00242C2C">
        <w:rPr>
          <w:rFonts w:ascii="Calibri" w:hAnsi="Calibri"/>
        </w:rPr>
        <w:t xml:space="preserve">will not be covered by this exemption and would </w:t>
      </w:r>
      <w:r w:rsidR="00242C2C" w:rsidRPr="005E7C99">
        <w:rPr>
          <w:rFonts w:ascii="Calibri" w:hAnsi="Calibri"/>
        </w:rPr>
        <w:t>need to apply for an authorisation or another exemption</w:t>
      </w:r>
      <w:r w:rsidR="00242C2C">
        <w:rPr>
          <w:rFonts w:ascii="Calibri" w:hAnsi="Calibri"/>
        </w:rPr>
        <w:t>.</w:t>
      </w:r>
      <w:r w:rsidR="00242C2C" w:rsidRPr="00252FA4">
        <w:rPr>
          <w:rFonts w:ascii="Calibri" w:hAnsi="Calibri"/>
          <w:sz w:val="24"/>
          <w:szCs w:val="24"/>
        </w:rPr>
        <w:t xml:space="preserve"> </w:t>
      </w:r>
    </w:p>
    <w:p w:rsidR="00252FA4" w:rsidRPr="00252FA4" w:rsidRDefault="00252FA4" w:rsidP="00252FA4">
      <w:pPr>
        <w:rPr>
          <w:rFonts w:ascii="Calibri" w:hAnsi="Calibri"/>
          <w:sz w:val="24"/>
          <w:szCs w:val="24"/>
        </w:rPr>
      </w:pPr>
      <w:r w:rsidRPr="00252FA4">
        <w:rPr>
          <w:rFonts w:ascii="Calibri" w:hAnsi="Calibri"/>
          <w:sz w:val="24"/>
          <w:szCs w:val="24"/>
        </w:rPr>
        <w:t>The exemption is subject to your acceptance of the conditions set out at Appendix A of the attached Instrument of Exemption.</w:t>
      </w:r>
      <w:r w:rsidR="00242C2C">
        <w:rPr>
          <w:rFonts w:ascii="Calibri" w:hAnsi="Calibri"/>
          <w:sz w:val="24"/>
          <w:szCs w:val="24"/>
        </w:rPr>
        <w:t xml:space="preserve"> T</w:t>
      </w:r>
      <w:r w:rsidRPr="00252FA4">
        <w:rPr>
          <w:rFonts w:ascii="Calibri" w:hAnsi="Calibri"/>
          <w:sz w:val="24"/>
          <w:szCs w:val="24"/>
        </w:rPr>
        <w:t xml:space="preserve">otal must advise the AER in writing, by </w:t>
      </w:r>
      <w:r w:rsidR="00ED551F" w:rsidRPr="00ED551F">
        <w:rPr>
          <w:rFonts w:ascii="Calibri" w:hAnsi="Calibri"/>
          <w:b/>
          <w:sz w:val="24"/>
          <w:szCs w:val="24"/>
        </w:rPr>
        <w:t xml:space="preserve">13 </w:t>
      </w:r>
      <w:r w:rsidRPr="00ED551F">
        <w:rPr>
          <w:rFonts w:ascii="Calibri" w:hAnsi="Calibri"/>
          <w:b/>
          <w:sz w:val="24"/>
          <w:szCs w:val="24"/>
        </w:rPr>
        <w:t>April 2015</w:t>
      </w:r>
      <w:r w:rsidRPr="00252FA4">
        <w:rPr>
          <w:rFonts w:ascii="Calibri" w:hAnsi="Calibri"/>
          <w:sz w:val="24"/>
          <w:szCs w:val="24"/>
        </w:rPr>
        <w:t xml:space="preserve">, whether it accepts these conditions. </w:t>
      </w:r>
    </w:p>
    <w:p w:rsidR="00252FA4" w:rsidRPr="00252FA4" w:rsidRDefault="00252FA4" w:rsidP="00252FA4">
      <w:pPr>
        <w:rPr>
          <w:rFonts w:ascii="Calibri" w:hAnsi="Calibri"/>
          <w:sz w:val="24"/>
          <w:szCs w:val="24"/>
        </w:rPr>
      </w:pPr>
      <w:r w:rsidRPr="00252FA4">
        <w:rPr>
          <w:rFonts w:ascii="Calibri" w:hAnsi="Calibri"/>
          <w:sz w:val="24"/>
          <w:szCs w:val="24"/>
        </w:rPr>
        <w:t xml:space="preserve">If you have any further queries, or would like to discuss this further, please contact Imogen Hartcher-O’Brien on 03 9290 1491.  </w:t>
      </w:r>
    </w:p>
    <w:p w:rsidR="00A2745A" w:rsidRPr="00A2745A" w:rsidRDefault="00A2745A" w:rsidP="00252FA4">
      <w:pPr>
        <w:rPr>
          <w:rFonts w:ascii="Calibri" w:hAnsi="Calibri"/>
          <w:sz w:val="24"/>
          <w:szCs w:val="24"/>
        </w:rPr>
      </w:pPr>
      <w:r w:rsidRPr="00A2745A">
        <w:rPr>
          <w:rFonts w:ascii="Calibri" w:hAnsi="Calibri"/>
          <w:sz w:val="24"/>
          <w:szCs w:val="24"/>
        </w:rPr>
        <w:t>Yours sincerely</w:t>
      </w:r>
    </w:p>
    <w:p w:rsidR="00A2745A" w:rsidRDefault="00A2745A" w:rsidP="00A2745A">
      <w:pPr>
        <w:rPr>
          <w:rFonts w:ascii="Calibri" w:hAnsi="Calibri"/>
          <w:sz w:val="24"/>
          <w:szCs w:val="24"/>
        </w:rPr>
      </w:pPr>
      <w:bookmarkStart w:id="7" w:name="Signature"/>
      <w:bookmarkEnd w:id="7"/>
    </w:p>
    <w:p w:rsidR="00A2745A" w:rsidRDefault="00A2745A" w:rsidP="00A2745A">
      <w:pPr>
        <w:rPr>
          <w:rFonts w:ascii="Calibri" w:hAnsi="Calibri"/>
          <w:sz w:val="24"/>
          <w:szCs w:val="24"/>
        </w:rPr>
      </w:pPr>
    </w:p>
    <w:p w:rsidR="00A2745A" w:rsidRPr="00A2745A" w:rsidRDefault="00A2745A" w:rsidP="00AC1E0B">
      <w:pPr>
        <w:spacing w:before="0"/>
        <w:rPr>
          <w:rFonts w:ascii="Calibri" w:hAnsi="Calibri"/>
          <w:sz w:val="24"/>
          <w:szCs w:val="24"/>
        </w:rPr>
      </w:pPr>
      <w:r w:rsidRPr="00A2745A">
        <w:rPr>
          <w:rFonts w:ascii="Calibri" w:hAnsi="Calibri"/>
          <w:sz w:val="24"/>
          <w:szCs w:val="24"/>
        </w:rPr>
        <w:t>Paula Conboy</w:t>
      </w:r>
    </w:p>
    <w:p w:rsidR="00A2745A" w:rsidRPr="00A2745A" w:rsidRDefault="00A2745A" w:rsidP="00AC1E0B">
      <w:pPr>
        <w:autoSpaceDE w:val="0"/>
        <w:autoSpaceDN w:val="0"/>
        <w:adjustRightInd w:val="0"/>
        <w:spacing w:before="0"/>
        <w:rPr>
          <w:rFonts w:ascii="Calibri" w:hAnsi="Calibri"/>
          <w:sz w:val="24"/>
          <w:szCs w:val="24"/>
        </w:rPr>
      </w:pPr>
      <w:r w:rsidRPr="00A2745A">
        <w:rPr>
          <w:rFonts w:ascii="Calibri" w:hAnsi="Calibri"/>
          <w:sz w:val="24"/>
          <w:szCs w:val="24"/>
        </w:rPr>
        <w:t>Chair</w:t>
      </w:r>
    </w:p>
    <w:p w:rsidR="00A2745A" w:rsidRPr="00A2745A" w:rsidRDefault="00A2745A" w:rsidP="00A2745A">
      <w:pPr>
        <w:autoSpaceDE w:val="0"/>
        <w:autoSpaceDN w:val="0"/>
        <w:adjustRightInd w:val="0"/>
        <w:spacing w:before="0"/>
        <w:jc w:val="center"/>
        <w:rPr>
          <w:rFonts w:ascii="Calibri" w:eastAsia="Calibri" w:hAnsi="Calibri"/>
          <w:b/>
          <w:bCs/>
          <w:sz w:val="32"/>
          <w:szCs w:val="32"/>
        </w:rPr>
      </w:pPr>
      <w:r w:rsidRPr="00A2745A">
        <w:rPr>
          <w:rFonts w:ascii="Calibri" w:hAnsi="Calibri"/>
        </w:rPr>
        <w:br w:type="page"/>
      </w:r>
      <w:r w:rsidRPr="00A2745A">
        <w:rPr>
          <w:rFonts w:ascii="Calibri" w:eastAsia="Calibri" w:hAnsi="Calibri"/>
          <w:b/>
          <w:bCs/>
          <w:sz w:val="32"/>
          <w:szCs w:val="32"/>
        </w:rPr>
        <w:lastRenderedPageBreak/>
        <w:t>Instrument of Exemption</w:t>
      </w:r>
    </w:p>
    <w:p w:rsidR="00A2745A" w:rsidRPr="00A2745A" w:rsidRDefault="00A2745A" w:rsidP="00A2745A">
      <w:pPr>
        <w:autoSpaceDE w:val="0"/>
        <w:autoSpaceDN w:val="0"/>
        <w:adjustRightInd w:val="0"/>
        <w:spacing w:before="0"/>
        <w:rPr>
          <w:rFonts w:ascii="Calibri" w:eastAsia="Calibri" w:hAnsi="Calibri"/>
          <w:b/>
          <w:bCs/>
        </w:rPr>
      </w:pPr>
    </w:p>
    <w:p w:rsidR="00A2745A" w:rsidRPr="00A2745A" w:rsidRDefault="00A2745A" w:rsidP="00A2745A">
      <w:pPr>
        <w:autoSpaceDE w:val="0"/>
        <w:autoSpaceDN w:val="0"/>
        <w:adjustRightInd w:val="0"/>
        <w:spacing w:before="0"/>
        <w:jc w:val="center"/>
        <w:rPr>
          <w:rFonts w:ascii="Calibri" w:eastAsia="Calibri" w:hAnsi="Calibri"/>
          <w:b/>
          <w:bCs/>
          <w:sz w:val="32"/>
          <w:szCs w:val="32"/>
        </w:rPr>
      </w:pPr>
      <w:r w:rsidRPr="00A2745A">
        <w:rPr>
          <w:rFonts w:ascii="Calibri" w:eastAsia="Calibri" w:hAnsi="Calibri"/>
          <w:b/>
          <w:bCs/>
          <w:sz w:val="32"/>
          <w:szCs w:val="32"/>
        </w:rPr>
        <w:t>INDIVIDUAL EXEMPTION FROM THE REQUIREMENT TO HOLD A RETAILER AUTHORISATION</w:t>
      </w:r>
    </w:p>
    <w:p w:rsidR="00A2745A" w:rsidRPr="00A2745A" w:rsidRDefault="00A2745A" w:rsidP="00A2745A">
      <w:pPr>
        <w:autoSpaceDE w:val="0"/>
        <w:autoSpaceDN w:val="0"/>
        <w:adjustRightInd w:val="0"/>
        <w:spacing w:before="0"/>
        <w:jc w:val="center"/>
        <w:rPr>
          <w:rFonts w:ascii="Calibri" w:eastAsia="Calibri" w:hAnsi="Calibri"/>
          <w:b/>
          <w:bCs/>
          <w:sz w:val="32"/>
          <w:szCs w:val="32"/>
        </w:rPr>
      </w:pPr>
      <w:r w:rsidRPr="00A2745A">
        <w:rPr>
          <w:rFonts w:ascii="Calibri" w:eastAsia="Calibri" w:hAnsi="Calibri"/>
          <w:b/>
          <w:bCs/>
          <w:sz w:val="32"/>
          <w:szCs w:val="32"/>
        </w:rPr>
        <w:t xml:space="preserve">DATE OF ISSUE: </w:t>
      </w:r>
      <w:r w:rsidRPr="00A2745A">
        <w:rPr>
          <w:rFonts w:ascii="Calibri" w:hAnsi="Calibri"/>
          <w:b/>
          <w:sz w:val="32"/>
          <w:szCs w:val="32"/>
        </w:rPr>
        <w:t xml:space="preserve">6 </w:t>
      </w:r>
      <w:r w:rsidR="00ED551F">
        <w:rPr>
          <w:rFonts w:ascii="Calibri" w:hAnsi="Calibri"/>
          <w:b/>
          <w:sz w:val="32"/>
          <w:szCs w:val="32"/>
        </w:rPr>
        <w:t xml:space="preserve">March </w:t>
      </w:r>
      <w:r w:rsidRPr="00A2745A">
        <w:rPr>
          <w:rFonts w:ascii="Calibri" w:hAnsi="Calibri"/>
          <w:b/>
          <w:sz w:val="32"/>
          <w:szCs w:val="32"/>
        </w:rPr>
        <w:t>2015</w:t>
      </w:r>
    </w:p>
    <w:p w:rsidR="00A2745A" w:rsidRPr="00A2745A" w:rsidRDefault="00A2745A" w:rsidP="00A2745A">
      <w:pPr>
        <w:autoSpaceDE w:val="0"/>
        <w:autoSpaceDN w:val="0"/>
        <w:adjustRightInd w:val="0"/>
        <w:spacing w:before="0"/>
        <w:jc w:val="center"/>
        <w:rPr>
          <w:rFonts w:ascii="Calibri" w:eastAsia="Calibri" w:hAnsi="Calibri"/>
          <w:b/>
          <w:bCs/>
          <w:sz w:val="32"/>
          <w:szCs w:val="32"/>
        </w:rPr>
      </w:pPr>
      <w:r w:rsidRPr="00A2745A">
        <w:rPr>
          <w:rFonts w:ascii="Calibri" w:eastAsia="Calibri" w:hAnsi="Calibri"/>
          <w:b/>
          <w:bCs/>
          <w:sz w:val="32"/>
          <w:szCs w:val="32"/>
        </w:rPr>
        <w:t>FORM OF ENERGY: Electricity</w:t>
      </w:r>
    </w:p>
    <w:p w:rsidR="00A2745A" w:rsidRPr="00A2745A" w:rsidRDefault="00A2745A" w:rsidP="00A2745A">
      <w:pPr>
        <w:autoSpaceDE w:val="0"/>
        <w:autoSpaceDN w:val="0"/>
        <w:adjustRightInd w:val="0"/>
        <w:spacing w:before="0"/>
        <w:rPr>
          <w:rFonts w:ascii="Calibri" w:eastAsia="Calibri" w:hAnsi="Calibri"/>
          <w:b/>
          <w:bCs/>
        </w:rPr>
      </w:pPr>
    </w:p>
    <w:p w:rsidR="00ED551F" w:rsidRPr="00ED551F" w:rsidRDefault="00A2745A" w:rsidP="00B530D3">
      <w:pPr>
        <w:pStyle w:val="AERbulletlistfirststyle"/>
        <w:numPr>
          <w:ilvl w:val="0"/>
          <w:numId w:val="0"/>
        </w:numPr>
        <w:spacing w:after="0" w:line="240" w:lineRule="auto"/>
        <w:rPr>
          <w:rFonts w:ascii="Calibri" w:eastAsia="Calibri" w:hAnsi="Calibri"/>
          <w:lang w:val="en"/>
        </w:rPr>
      </w:pPr>
      <w:r w:rsidRPr="00A2745A">
        <w:rPr>
          <w:rFonts w:ascii="Calibri" w:eastAsia="Calibri" w:hAnsi="Calibri"/>
        </w:rPr>
        <w:t xml:space="preserve">Pursuant to section 110 of the National Energy Retail Law, the Australian Energy Regulator on </w:t>
      </w:r>
      <w:r w:rsidRPr="00A2745A">
        <w:rPr>
          <w:rFonts w:ascii="Calibri" w:hAnsi="Calibri"/>
        </w:rPr>
        <w:t xml:space="preserve">6 </w:t>
      </w:r>
      <w:r w:rsidR="00ED551F">
        <w:rPr>
          <w:rFonts w:ascii="Calibri" w:hAnsi="Calibri"/>
        </w:rPr>
        <w:t xml:space="preserve">March </w:t>
      </w:r>
      <w:r w:rsidRPr="00A2745A">
        <w:rPr>
          <w:rFonts w:ascii="Calibri" w:eastAsia="Calibri" w:hAnsi="Calibri"/>
        </w:rPr>
        <w:t>2015 decided to grant</w:t>
      </w:r>
      <w:r w:rsidRPr="00A2745A">
        <w:rPr>
          <w:rFonts w:ascii="Calibri" w:hAnsi="Calibri"/>
        </w:rPr>
        <w:t xml:space="preserve"> </w:t>
      </w:r>
      <w:r w:rsidR="00ED551F">
        <w:rPr>
          <w:rFonts w:ascii="Calibri" w:eastAsia="Calibri" w:hAnsi="Calibri"/>
        </w:rPr>
        <w:t xml:space="preserve">Total Gas &amp; Power </w:t>
      </w:r>
      <w:r w:rsidRPr="00A2745A">
        <w:rPr>
          <w:rFonts w:ascii="Calibri" w:eastAsia="Calibri" w:hAnsi="Calibri"/>
        </w:rPr>
        <w:t>Australia Pty Ltd (ABN</w:t>
      </w:r>
      <w:r w:rsidR="00ED551F">
        <w:rPr>
          <w:rFonts w:ascii="Calibri" w:eastAsia="Calibri" w:hAnsi="Calibri"/>
        </w:rPr>
        <w:t xml:space="preserve"> </w:t>
      </w:r>
      <w:r w:rsidR="00ED551F" w:rsidRPr="00ED551F">
        <w:rPr>
          <w:rFonts w:ascii="Calibri" w:eastAsia="Calibri" w:hAnsi="Calibri"/>
        </w:rPr>
        <w:t>87 167 432 448</w:t>
      </w:r>
      <w:r w:rsidRPr="00A2745A">
        <w:rPr>
          <w:rFonts w:ascii="Calibri" w:eastAsia="Calibri" w:hAnsi="Calibri"/>
        </w:rPr>
        <w:t xml:space="preserve">) an exemption from the requirement to hold a retailer authorisation under section 88 of the National Energy Retail Law, subject to certain conditions (see Appendix A). This exemption applies to </w:t>
      </w:r>
      <w:r w:rsidR="00B530D3">
        <w:rPr>
          <w:rFonts w:ascii="Calibri" w:eastAsia="Calibri" w:hAnsi="Calibri"/>
        </w:rPr>
        <w:t xml:space="preserve">the </w:t>
      </w:r>
      <w:r w:rsidR="00681B9C" w:rsidRPr="00ED551F">
        <w:rPr>
          <w:rFonts w:ascii="Calibri" w:hAnsi="Calibri"/>
        </w:rPr>
        <w:t>Gladstone Liquefied Natural Gas (GLNG) Project sites in Queensland</w:t>
      </w:r>
      <w:r w:rsidR="00B530D3">
        <w:rPr>
          <w:rFonts w:ascii="Calibri" w:hAnsi="Calibri"/>
        </w:rPr>
        <w:t xml:space="preserve"> (GLNG Sites)</w:t>
      </w:r>
      <w:r w:rsidR="00681B9C">
        <w:rPr>
          <w:rFonts w:ascii="Calibri" w:hAnsi="Calibri"/>
        </w:rPr>
        <w:t xml:space="preserve">, </w:t>
      </w:r>
      <w:r w:rsidR="00B530D3">
        <w:rPr>
          <w:rFonts w:ascii="Calibri" w:hAnsi="Calibri"/>
        </w:rPr>
        <w:t xml:space="preserve">including the </w:t>
      </w:r>
      <w:r w:rsidR="00ED551F" w:rsidRPr="00ED551F">
        <w:rPr>
          <w:rFonts w:ascii="Calibri" w:eastAsia="Calibri" w:hAnsi="Calibri"/>
          <w:lang w:val="en"/>
        </w:rPr>
        <w:t xml:space="preserve">Fairview </w:t>
      </w:r>
      <w:proofErr w:type="spellStart"/>
      <w:r w:rsidR="00ED551F" w:rsidRPr="00ED551F">
        <w:rPr>
          <w:rFonts w:ascii="Calibri" w:eastAsia="Calibri" w:hAnsi="Calibri"/>
          <w:lang w:val="en"/>
        </w:rPr>
        <w:t>Powerlink</w:t>
      </w:r>
      <w:proofErr w:type="spellEnd"/>
      <w:r w:rsidR="00ED551F" w:rsidRPr="00ED551F">
        <w:rPr>
          <w:rFonts w:ascii="Calibri" w:eastAsia="Calibri" w:hAnsi="Calibri"/>
          <w:lang w:val="en"/>
        </w:rPr>
        <w:t xml:space="preserve"> Supply Point Switchyard</w:t>
      </w:r>
      <w:r w:rsidR="00B530D3">
        <w:rPr>
          <w:rFonts w:ascii="Calibri" w:eastAsia="Calibri" w:hAnsi="Calibri"/>
          <w:lang w:val="en"/>
        </w:rPr>
        <w:t xml:space="preserve">, </w:t>
      </w:r>
      <w:r w:rsidR="00ED551F" w:rsidRPr="00ED551F">
        <w:rPr>
          <w:rFonts w:ascii="Calibri" w:eastAsia="Calibri" w:hAnsi="Calibri"/>
          <w:lang w:val="en"/>
        </w:rPr>
        <w:t xml:space="preserve">Fairview South </w:t>
      </w:r>
      <w:proofErr w:type="spellStart"/>
      <w:r w:rsidR="00ED551F" w:rsidRPr="00ED551F">
        <w:rPr>
          <w:rFonts w:ascii="Calibri" w:eastAsia="Calibri" w:hAnsi="Calibri"/>
          <w:lang w:val="en"/>
        </w:rPr>
        <w:t>Powerlink</w:t>
      </w:r>
      <w:proofErr w:type="spellEnd"/>
      <w:r w:rsidR="00ED551F" w:rsidRPr="00ED551F">
        <w:rPr>
          <w:rFonts w:ascii="Calibri" w:eastAsia="Calibri" w:hAnsi="Calibri"/>
          <w:lang w:val="en"/>
        </w:rPr>
        <w:t xml:space="preserve"> Supply Point Switchyard</w:t>
      </w:r>
      <w:r w:rsidR="00B530D3">
        <w:rPr>
          <w:rFonts w:ascii="Calibri" w:eastAsia="Calibri" w:hAnsi="Calibri"/>
          <w:lang w:val="en"/>
        </w:rPr>
        <w:t xml:space="preserve"> and </w:t>
      </w:r>
      <w:proofErr w:type="spellStart"/>
      <w:r w:rsidR="00ED551F" w:rsidRPr="00ED551F">
        <w:rPr>
          <w:rFonts w:ascii="Calibri" w:eastAsia="Calibri" w:hAnsi="Calibri"/>
          <w:lang w:val="en"/>
        </w:rPr>
        <w:t>Blythedale</w:t>
      </w:r>
      <w:proofErr w:type="spellEnd"/>
      <w:r w:rsidR="00ED551F" w:rsidRPr="00ED551F">
        <w:rPr>
          <w:rFonts w:ascii="Calibri" w:eastAsia="Calibri" w:hAnsi="Calibri"/>
          <w:lang w:val="en"/>
        </w:rPr>
        <w:t xml:space="preserve"> </w:t>
      </w:r>
      <w:proofErr w:type="spellStart"/>
      <w:r w:rsidR="00ED551F" w:rsidRPr="00ED551F">
        <w:rPr>
          <w:rFonts w:ascii="Calibri" w:eastAsia="Calibri" w:hAnsi="Calibri"/>
          <w:lang w:val="en"/>
        </w:rPr>
        <w:t>Powerlink</w:t>
      </w:r>
      <w:proofErr w:type="spellEnd"/>
      <w:r w:rsidR="00ED551F" w:rsidRPr="00ED551F">
        <w:rPr>
          <w:rFonts w:ascii="Calibri" w:eastAsia="Calibri" w:hAnsi="Calibri"/>
          <w:lang w:val="en"/>
        </w:rPr>
        <w:t xml:space="preserve"> Supply Point Switchyard. </w:t>
      </w:r>
      <w:r w:rsidR="00B530D3">
        <w:rPr>
          <w:rFonts w:ascii="Calibri" w:eastAsia="Calibri" w:hAnsi="Calibri"/>
          <w:lang w:val="en"/>
        </w:rPr>
        <w:t>It will only cover up to 10 GLNG Sites.</w:t>
      </w:r>
    </w:p>
    <w:p w:rsidR="00A2745A" w:rsidRPr="00A2745A" w:rsidRDefault="00A2745A" w:rsidP="00A2745A">
      <w:pPr>
        <w:pStyle w:val="AERbulletlistfirststyle"/>
        <w:numPr>
          <w:ilvl w:val="0"/>
          <w:numId w:val="0"/>
        </w:numPr>
        <w:spacing w:after="0" w:line="240" w:lineRule="auto"/>
        <w:rPr>
          <w:rFonts w:ascii="Calibri" w:eastAsia="Calibri" w:hAnsi="Calibri"/>
        </w:rPr>
      </w:pPr>
    </w:p>
    <w:p w:rsidR="00A2745A" w:rsidRPr="00A2745A" w:rsidRDefault="00A2745A" w:rsidP="00A2745A">
      <w:pPr>
        <w:rPr>
          <w:rFonts w:ascii="Calibri" w:hAnsi="Calibri"/>
        </w:rPr>
      </w:pPr>
      <w:r w:rsidRPr="00A2745A">
        <w:rPr>
          <w:rFonts w:ascii="Calibri" w:eastAsia="Calibri" w:hAnsi="Calibri"/>
          <w:sz w:val="28"/>
          <w:szCs w:val="28"/>
        </w:rPr>
        <w:br w:type="page"/>
      </w:r>
    </w:p>
    <w:p w:rsidR="00A2745A" w:rsidRPr="00A2745A" w:rsidRDefault="009161A1" w:rsidP="00A2745A">
      <w:pPr>
        <w:rPr>
          <w:rFonts w:ascii="Calibri" w:hAnsi="Calibri"/>
          <w:b/>
          <w:sz w:val="24"/>
          <w:szCs w:val="24"/>
        </w:rPr>
      </w:pPr>
      <w:r>
        <w:rPr>
          <w:rFonts w:ascii="Calibri" w:hAnsi="Calibri"/>
          <w:b/>
          <w:sz w:val="24"/>
          <w:szCs w:val="24"/>
        </w:rPr>
        <w:lastRenderedPageBreak/>
        <w:t xml:space="preserve">Appendix </w:t>
      </w:r>
      <w:proofErr w:type="gramStart"/>
      <w:r>
        <w:rPr>
          <w:rFonts w:ascii="Calibri" w:hAnsi="Calibri"/>
          <w:b/>
          <w:sz w:val="24"/>
          <w:szCs w:val="24"/>
        </w:rPr>
        <w:t>A</w:t>
      </w:r>
      <w:proofErr w:type="gramEnd"/>
      <w:r>
        <w:rPr>
          <w:rFonts w:ascii="Calibri" w:hAnsi="Calibri"/>
          <w:b/>
          <w:sz w:val="24"/>
          <w:szCs w:val="24"/>
        </w:rPr>
        <w:t xml:space="preserve"> – </w:t>
      </w:r>
      <w:r w:rsidR="00A2745A" w:rsidRPr="00A2745A">
        <w:rPr>
          <w:rFonts w:ascii="Calibri" w:hAnsi="Calibri"/>
          <w:b/>
          <w:sz w:val="24"/>
          <w:szCs w:val="24"/>
        </w:rPr>
        <w:t>Conditions</w:t>
      </w:r>
    </w:p>
    <w:p w:rsidR="00A2745A" w:rsidRPr="00A2745A" w:rsidRDefault="00A2745A" w:rsidP="00A2745A">
      <w:pPr>
        <w:rPr>
          <w:rFonts w:ascii="Calibri" w:hAnsi="Calibri"/>
          <w:bCs/>
          <w:i/>
          <w:sz w:val="24"/>
          <w:szCs w:val="24"/>
        </w:rPr>
      </w:pPr>
      <w:r w:rsidRPr="00A2745A">
        <w:rPr>
          <w:rFonts w:ascii="Calibri" w:hAnsi="Calibri"/>
          <w:sz w:val="24"/>
          <w:szCs w:val="24"/>
        </w:rPr>
        <w:t xml:space="preserve">The following conditions apply under rule 153 of the National Energy Retail Rules to the sale of energy to exempt customers by exempt persons. These conditions are based on the retail customer protections provided under the National Energy Retail Law. </w:t>
      </w:r>
    </w:p>
    <w:p w:rsidR="00A2745A" w:rsidRPr="00A2745A" w:rsidRDefault="00A2745A" w:rsidP="00A2745A">
      <w:pPr>
        <w:rPr>
          <w:rFonts w:ascii="Calibri" w:hAnsi="Calibri"/>
          <w:b/>
          <w:bCs/>
          <w:sz w:val="24"/>
          <w:szCs w:val="24"/>
        </w:rPr>
      </w:pPr>
      <w:r w:rsidRPr="00A2745A">
        <w:rPr>
          <w:rFonts w:ascii="Calibri" w:hAnsi="Calibri"/>
          <w:b/>
          <w:bCs/>
          <w:sz w:val="24"/>
          <w:szCs w:val="24"/>
        </w:rPr>
        <w:t>Condition 1 – Obligation to supply</w:t>
      </w:r>
    </w:p>
    <w:p w:rsidR="00A2745A" w:rsidRPr="00A2745A" w:rsidRDefault="00A2745A" w:rsidP="00AC1E0B">
      <w:pPr>
        <w:numPr>
          <w:ilvl w:val="0"/>
          <w:numId w:val="40"/>
        </w:numPr>
        <w:rPr>
          <w:rFonts w:ascii="Calibri" w:hAnsi="Calibri"/>
          <w:sz w:val="24"/>
          <w:szCs w:val="24"/>
        </w:rPr>
      </w:pPr>
      <w:bookmarkStart w:id="8" w:name="OLE_LINK50"/>
      <w:bookmarkStart w:id="9" w:name="OLE_LINK51"/>
      <w:r w:rsidRPr="00A2745A">
        <w:rPr>
          <w:rFonts w:ascii="Calibri" w:hAnsi="Calibri"/>
          <w:sz w:val="24"/>
          <w:szCs w:val="24"/>
        </w:rPr>
        <w:t>An exempt person cannot refuse to sell energy to a customer within the site</w:t>
      </w:r>
      <w:r w:rsidR="00F31C79">
        <w:rPr>
          <w:rFonts w:ascii="Calibri" w:hAnsi="Calibri"/>
          <w:sz w:val="24"/>
          <w:szCs w:val="24"/>
        </w:rPr>
        <w:t>s</w:t>
      </w:r>
      <w:r w:rsidRPr="00A2745A">
        <w:rPr>
          <w:rFonts w:ascii="Calibri" w:hAnsi="Calibri"/>
          <w:sz w:val="24"/>
          <w:szCs w:val="24"/>
        </w:rPr>
        <w:t xml:space="preserve"> described by this exemption except in accordance with relevant disconnection provisions.</w:t>
      </w:r>
    </w:p>
    <w:p w:rsidR="00A2745A" w:rsidRPr="00A2745A" w:rsidRDefault="00A2745A" w:rsidP="00AC1E0B">
      <w:pPr>
        <w:numPr>
          <w:ilvl w:val="0"/>
          <w:numId w:val="40"/>
        </w:numPr>
        <w:rPr>
          <w:rFonts w:ascii="Calibri" w:hAnsi="Calibri"/>
          <w:sz w:val="24"/>
          <w:szCs w:val="24"/>
        </w:rPr>
      </w:pPr>
      <w:r w:rsidRPr="00A2745A">
        <w:rPr>
          <w:rFonts w:ascii="Calibri" w:hAnsi="Calibri"/>
          <w:sz w:val="24"/>
          <w:szCs w:val="24"/>
        </w:rPr>
        <w:t>An exempt person cannot refuse to sell energy to a customer on the basis that the customer owes the exempt person outstanding amounts from a previous account. The exempt person can include in a new account any outstanding amounts owed on a previous account (except where the unpaid amounts are for other premises for which the customer has an ongoing contract with the exempt person).</w:t>
      </w:r>
    </w:p>
    <w:bookmarkEnd w:id="8"/>
    <w:bookmarkEnd w:id="9"/>
    <w:p w:rsidR="00242C2C" w:rsidRDefault="00242C2C" w:rsidP="00242C2C">
      <w:pPr>
        <w:rPr>
          <w:rFonts w:ascii="Calibri" w:hAnsi="Calibri"/>
          <w:b/>
          <w:bCs/>
          <w:sz w:val="24"/>
          <w:szCs w:val="24"/>
        </w:rPr>
      </w:pPr>
      <w:r>
        <w:rPr>
          <w:rFonts w:ascii="Calibri" w:hAnsi="Calibri"/>
          <w:b/>
          <w:bCs/>
          <w:sz w:val="24"/>
          <w:szCs w:val="24"/>
        </w:rPr>
        <w:t xml:space="preserve">Condition 1A – Change in </w:t>
      </w:r>
      <w:r w:rsidR="00302C52">
        <w:rPr>
          <w:rFonts w:ascii="Calibri" w:hAnsi="Calibri"/>
          <w:b/>
          <w:bCs/>
          <w:sz w:val="24"/>
          <w:szCs w:val="24"/>
        </w:rPr>
        <w:t>energy</w:t>
      </w:r>
      <w:r>
        <w:rPr>
          <w:rFonts w:ascii="Calibri" w:hAnsi="Calibri"/>
          <w:b/>
          <w:bCs/>
          <w:sz w:val="24"/>
          <w:szCs w:val="24"/>
        </w:rPr>
        <w:t xml:space="preserve"> selling </w:t>
      </w:r>
      <w:r w:rsidR="00302C52">
        <w:rPr>
          <w:rFonts w:ascii="Calibri" w:hAnsi="Calibri"/>
          <w:b/>
          <w:bCs/>
          <w:sz w:val="24"/>
          <w:szCs w:val="24"/>
        </w:rPr>
        <w:t>activities</w:t>
      </w:r>
    </w:p>
    <w:p w:rsidR="00302C52" w:rsidRDefault="00302C52" w:rsidP="00242C2C">
      <w:pPr>
        <w:numPr>
          <w:ilvl w:val="0"/>
          <w:numId w:val="88"/>
        </w:numPr>
        <w:rPr>
          <w:rFonts w:ascii="Calibri" w:hAnsi="Calibri"/>
          <w:bCs/>
          <w:sz w:val="24"/>
          <w:szCs w:val="24"/>
        </w:rPr>
      </w:pPr>
      <w:r>
        <w:rPr>
          <w:rFonts w:ascii="Calibri" w:hAnsi="Calibri"/>
          <w:bCs/>
          <w:sz w:val="24"/>
          <w:szCs w:val="24"/>
        </w:rPr>
        <w:t>The exempt person must inform the Australian Energy Regulator if it changes its energy selling activities to expand the sale of energy to any customer other than the exempt customer</w:t>
      </w:r>
      <w:r w:rsidRPr="00302C52">
        <w:rPr>
          <w:rFonts w:ascii="Calibri" w:hAnsi="Calibri"/>
          <w:bCs/>
          <w:sz w:val="24"/>
          <w:szCs w:val="24"/>
        </w:rPr>
        <w:t xml:space="preserve"> </w:t>
      </w:r>
      <w:r>
        <w:rPr>
          <w:rFonts w:ascii="Calibri" w:hAnsi="Calibri"/>
          <w:bCs/>
          <w:sz w:val="24"/>
          <w:szCs w:val="24"/>
        </w:rPr>
        <w:t xml:space="preserve">at the GLNG </w:t>
      </w:r>
      <w:r w:rsidR="00F31C79">
        <w:rPr>
          <w:rFonts w:ascii="Calibri" w:hAnsi="Calibri"/>
          <w:bCs/>
          <w:sz w:val="24"/>
          <w:szCs w:val="24"/>
        </w:rPr>
        <w:t>s</w:t>
      </w:r>
      <w:r>
        <w:rPr>
          <w:rFonts w:ascii="Calibri" w:hAnsi="Calibri"/>
          <w:bCs/>
          <w:sz w:val="24"/>
          <w:szCs w:val="24"/>
        </w:rPr>
        <w:t xml:space="preserve">ites. </w:t>
      </w:r>
    </w:p>
    <w:p w:rsidR="00242C2C" w:rsidRPr="00242C2C" w:rsidRDefault="00302C52" w:rsidP="00242C2C">
      <w:pPr>
        <w:numPr>
          <w:ilvl w:val="0"/>
          <w:numId w:val="88"/>
        </w:numPr>
        <w:rPr>
          <w:rFonts w:ascii="Calibri" w:hAnsi="Calibri"/>
          <w:bCs/>
          <w:sz w:val="24"/>
          <w:szCs w:val="24"/>
        </w:rPr>
      </w:pPr>
      <w:r>
        <w:rPr>
          <w:rFonts w:ascii="Calibri" w:hAnsi="Calibri"/>
          <w:bCs/>
          <w:sz w:val="24"/>
          <w:szCs w:val="24"/>
        </w:rPr>
        <w:t xml:space="preserve">This exemption does not cover any such change to the exempt person’s energy selling activities. </w:t>
      </w:r>
    </w:p>
    <w:p w:rsidR="00A2745A" w:rsidRPr="00A2745A" w:rsidRDefault="00A2745A" w:rsidP="00A2745A">
      <w:pPr>
        <w:rPr>
          <w:rFonts w:ascii="Calibri" w:hAnsi="Calibri"/>
          <w:b/>
          <w:bCs/>
          <w:sz w:val="24"/>
          <w:szCs w:val="24"/>
        </w:rPr>
      </w:pPr>
      <w:r w:rsidRPr="00A2745A">
        <w:rPr>
          <w:rFonts w:ascii="Calibri" w:hAnsi="Calibri"/>
          <w:b/>
          <w:bCs/>
          <w:sz w:val="24"/>
          <w:szCs w:val="24"/>
        </w:rPr>
        <w:t>Condition 2 - Information provision</w:t>
      </w:r>
    </w:p>
    <w:p w:rsidR="00A2745A" w:rsidRPr="00A2745A" w:rsidRDefault="00A2745A" w:rsidP="00AC1E0B">
      <w:pPr>
        <w:numPr>
          <w:ilvl w:val="0"/>
          <w:numId w:val="36"/>
        </w:numPr>
        <w:rPr>
          <w:rFonts w:ascii="Calibri" w:hAnsi="Calibri"/>
          <w:sz w:val="24"/>
          <w:szCs w:val="24"/>
        </w:rPr>
      </w:pPr>
      <w:r w:rsidRPr="00A2745A">
        <w:rPr>
          <w:rFonts w:ascii="Calibri" w:hAnsi="Calibri"/>
          <w:sz w:val="24"/>
          <w:szCs w:val="24"/>
        </w:rPr>
        <w:t>The exempt person must advise</w:t>
      </w:r>
      <w:r w:rsidR="00F31C79">
        <w:rPr>
          <w:rFonts w:ascii="Calibri" w:hAnsi="Calibri"/>
          <w:sz w:val="24"/>
          <w:szCs w:val="24"/>
        </w:rPr>
        <w:t xml:space="preserve"> an</w:t>
      </w:r>
      <w:r w:rsidRPr="00A2745A">
        <w:rPr>
          <w:rFonts w:ascii="Calibri" w:hAnsi="Calibri"/>
          <w:sz w:val="24"/>
          <w:szCs w:val="24"/>
        </w:rPr>
        <w:t xml:space="preserve"> exempt customer, in writing, at the start of their tenancy/residency/agreement of the following: </w:t>
      </w:r>
    </w:p>
    <w:p w:rsidR="00A2745A" w:rsidRPr="00A2745A" w:rsidRDefault="00A2745A" w:rsidP="00AC1E0B">
      <w:pPr>
        <w:numPr>
          <w:ilvl w:val="0"/>
          <w:numId w:val="29"/>
        </w:numPr>
        <w:tabs>
          <w:tab w:val="num" w:pos="720"/>
        </w:tabs>
        <w:rPr>
          <w:rFonts w:ascii="Calibri" w:hAnsi="Calibri"/>
          <w:sz w:val="24"/>
          <w:szCs w:val="24"/>
        </w:rPr>
      </w:pPr>
      <w:r w:rsidRPr="00A2745A">
        <w:rPr>
          <w:rFonts w:ascii="Calibri" w:hAnsi="Calibri"/>
          <w:sz w:val="24"/>
          <w:szCs w:val="24"/>
        </w:rPr>
        <w:t>any right of the exempt customer, under state or territory laws, to elect to purchase energy from a retailer of their choice and information on the options for metering that would allow this choice</w:t>
      </w:r>
    </w:p>
    <w:p w:rsidR="00A2745A" w:rsidRPr="00A2745A" w:rsidRDefault="00A2745A" w:rsidP="00AC1E0B">
      <w:pPr>
        <w:numPr>
          <w:ilvl w:val="0"/>
          <w:numId w:val="29"/>
        </w:numPr>
        <w:tabs>
          <w:tab w:val="num" w:pos="720"/>
        </w:tabs>
        <w:rPr>
          <w:rFonts w:ascii="Calibri" w:hAnsi="Calibri"/>
          <w:sz w:val="24"/>
          <w:szCs w:val="24"/>
        </w:rPr>
      </w:pPr>
      <w:r w:rsidRPr="00A2745A">
        <w:rPr>
          <w:rFonts w:ascii="Calibri" w:hAnsi="Calibri"/>
          <w:sz w:val="24"/>
          <w:szCs w:val="24"/>
        </w:rPr>
        <w:t>that the exempt person is not subject to all the obligations of an authorised retailer, and the exempt customer will not receive the same protections as it would if they were purchasing from an authorised retailer</w:t>
      </w:r>
    </w:p>
    <w:p w:rsidR="00A2745A" w:rsidRPr="00A2745A" w:rsidRDefault="00A2745A" w:rsidP="00AC1E0B">
      <w:pPr>
        <w:numPr>
          <w:ilvl w:val="0"/>
          <w:numId w:val="29"/>
        </w:numPr>
        <w:tabs>
          <w:tab w:val="num" w:pos="720"/>
        </w:tabs>
        <w:rPr>
          <w:rFonts w:ascii="Calibri" w:hAnsi="Calibri"/>
          <w:sz w:val="24"/>
          <w:szCs w:val="24"/>
        </w:rPr>
      </w:pPr>
      <w:r w:rsidRPr="00A2745A">
        <w:rPr>
          <w:rFonts w:ascii="Calibri" w:hAnsi="Calibri"/>
          <w:sz w:val="24"/>
          <w:szCs w:val="24"/>
        </w:rPr>
        <w:t>the exempt customer’s rights in relation to dispute resolution including:</w:t>
      </w:r>
    </w:p>
    <w:p w:rsidR="00A2745A" w:rsidRPr="00A2745A" w:rsidRDefault="00A2745A" w:rsidP="00AC1E0B">
      <w:pPr>
        <w:numPr>
          <w:ilvl w:val="0"/>
          <w:numId w:val="30"/>
        </w:numPr>
        <w:rPr>
          <w:rFonts w:ascii="Calibri" w:hAnsi="Calibri"/>
          <w:sz w:val="24"/>
          <w:szCs w:val="24"/>
        </w:rPr>
      </w:pPr>
      <w:r w:rsidRPr="00A2745A">
        <w:rPr>
          <w:rFonts w:ascii="Calibri" w:hAnsi="Calibri"/>
          <w:sz w:val="24"/>
          <w:szCs w:val="24"/>
        </w:rPr>
        <w:t>the exempt person’s procedures for handling disputes and complaints, and</w:t>
      </w:r>
    </w:p>
    <w:p w:rsidR="00A2745A" w:rsidRPr="00A2745A" w:rsidRDefault="00A2745A" w:rsidP="00AC1E0B">
      <w:pPr>
        <w:numPr>
          <w:ilvl w:val="0"/>
          <w:numId w:val="30"/>
        </w:numPr>
        <w:rPr>
          <w:rFonts w:ascii="Calibri" w:hAnsi="Calibri"/>
          <w:sz w:val="24"/>
          <w:szCs w:val="24"/>
        </w:rPr>
      </w:pPr>
      <w:r w:rsidRPr="00A2745A">
        <w:rPr>
          <w:rFonts w:ascii="Calibri" w:hAnsi="Calibri"/>
          <w:sz w:val="24"/>
          <w:szCs w:val="24"/>
        </w:rPr>
        <w:t>any right that the exempt customer has to access the energy Ombudsman scheme or any other relevant external dispute resolution body in the state or territory in which the exempt customer is located</w:t>
      </w:r>
    </w:p>
    <w:p w:rsidR="00A2745A" w:rsidRPr="00A2745A" w:rsidRDefault="00A2745A" w:rsidP="00AC1E0B">
      <w:pPr>
        <w:numPr>
          <w:ilvl w:val="0"/>
          <w:numId w:val="29"/>
        </w:numPr>
        <w:tabs>
          <w:tab w:val="num" w:pos="720"/>
        </w:tabs>
        <w:rPr>
          <w:rFonts w:ascii="Calibri" w:hAnsi="Calibri"/>
          <w:sz w:val="24"/>
          <w:szCs w:val="24"/>
        </w:rPr>
      </w:pPr>
      <w:r w:rsidRPr="00A2745A">
        <w:rPr>
          <w:rFonts w:ascii="Calibri" w:hAnsi="Calibri"/>
          <w:sz w:val="24"/>
          <w:szCs w:val="24"/>
        </w:rPr>
        <w:t>the conditions applicable to the exemption that the exempt person is operating under</w:t>
      </w:r>
    </w:p>
    <w:p w:rsidR="00A2745A" w:rsidRPr="00A2745A" w:rsidRDefault="00A2745A" w:rsidP="00AC1E0B">
      <w:pPr>
        <w:numPr>
          <w:ilvl w:val="0"/>
          <w:numId w:val="29"/>
        </w:numPr>
        <w:rPr>
          <w:rFonts w:ascii="Calibri" w:hAnsi="Calibri"/>
          <w:sz w:val="24"/>
          <w:szCs w:val="24"/>
        </w:rPr>
      </w:pPr>
      <w:r w:rsidRPr="00A2745A">
        <w:rPr>
          <w:rFonts w:ascii="Calibri" w:hAnsi="Calibri"/>
          <w:sz w:val="24"/>
          <w:szCs w:val="24"/>
        </w:rPr>
        <w:t>the energy tariffs and all associated fees and charges that will apply to the exempt customer in relation to the sale of energy</w:t>
      </w:r>
    </w:p>
    <w:p w:rsidR="00A2745A" w:rsidRPr="00A2745A" w:rsidRDefault="00A2745A" w:rsidP="00AC1E0B">
      <w:pPr>
        <w:numPr>
          <w:ilvl w:val="0"/>
          <w:numId w:val="29"/>
        </w:numPr>
        <w:tabs>
          <w:tab w:val="num" w:pos="720"/>
        </w:tabs>
        <w:rPr>
          <w:rFonts w:ascii="Calibri" w:hAnsi="Calibri"/>
          <w:sz w:val="24"/>
          <w:szCs w:val="24"/>
        </w:rPr>
      </w:pPr>
      <w:proofErr w:type="gramStart"/>
      <w:r w:rsidRPr="00A2745A">
        <w:rPr>
          <w:rFonts w:ascii="Calibri" w:hAnsi="Calibri"/>
          <w:sz w:val="24"/>
          <w:szCs w:val="24"/>
        </w:rPr>
        <w:lastRenderedPageBreak/>
        <w:t>contact</w:t>
      </w:r>
      <w:proofErr w:type="gramEnd"/>
      <w:r w:rsidRPr="00A2745A">
        <w:rPr>
          <w:rFonts w:ascii="Calibri" w:hAnsi="Calibri"/>
          <w:sz w:val="24"/>
          <w:szCs w:val="24"/>
        </w:rPr>
        <w:t xml:space="preserve"> numbers in the event of a gas or electricity fault or emergency.</w:t>
      </w:r>
    </w:p>
    <w:p w:rsidR="00A2745A" w:rsidRPr="00A2745A" w:rsidRDefault="00A2745A" w:rsidP="00AC1E0B">
      <w:pPr>
        <w:numPr>
          <w:ilvl w:val="0"/>
          <w:numId w:val="36"/>
        </w:numPr>
        <w:rPr>
          <w:rFonts w:ascii="Calibri" w:hAnsi="Calibri"/>
          <w:sz w:val="24"/>
          <w:szCs w:val="24"/>
        </w:rPr>
      </w:pPr>
      <w:r w:rsidRPr="00A2745A">
        <w:rPr>
          <w:rFonts w:ascii="Calibri" w:hAnsi="Calibri"/>
          <w:sz w:val="24"/>
          <w:szCs w:val="24"/>
        </w:rPr>
        <w:t>In addition to the requirement to provide the information at the commencement of the exempt customer’s tenancy/residency/agreement, the information set out in paragraph 1 of this condition must be provided by the exempt person at any time on request by the exempt customer or the AER.</w:t>
      </w:r>
    </w:p>
    <w:p w:rsidR="00A2745A" w:rsidRPr="00A2745A" w:rsidRDefault="00A2745A" w:rsidP="00AC1E0B">
      <w:pPr>
        <w:numPr>
          <w:ilvl w:val="0"/>
          <w:numId w:val="36"/>
        </w:numPr>
        <w:rPr>
          <w:rFonts w:ascii="Calibri" w:hAnsi="Calibri"/>
          <w:sz w:val="24"/>
          <w:szCs w:val="24"/>
        </w:rPr>
      </w:pPr>
      <w:r w:rsidRPr="00A2745A">
        <w:rPr>
          <w:rFonts w:ascii="Calibri" w:hAnsi="Calibri"/>
          <w:sz w:val="24"/>
          <w:szCs w:val="24"/>
        </w:rPr>
        <w:t xml:space="preserve">Once the determination comes into force, the information set out in paragraph 1 of this condition must be provided by an exempt person to existing exempt customers as soon as practicable. </w:t>
      </w:r>
    </w:p>
    <w:p w:rsidR="00A2745A" w:rsidRPr="00A2745A" w:rsidRDefault="00A2745A" w:rsidP="00A2745A">
      <w:pPr>
        <w:rPr>
          <w:rFonts w:ascii="Calibri" w:hAnsi="Calibri"/>
          <w:b/>
          <w:bCs/>
          <w:sz w:val="24"/>
          <w:szCs w:val="24"/>
        </w:rPr>
      </w:pPr>
      <w:r w:rsidRPr="00A2745A">
        <w:rPr>
          <w:rFonts w:ascii="Calibri" w:hAnsi="Calibri"/>
          <w:b/>
          <w:bCs/>
          <w:sz w:val="24"/>
          <w:szCs w:val="24"/>
        </w:rPr>
        <w:t>Condition 6 - Receipts</w:t>
      </w:r>
    </w:p>
    <w:p w:rsidR="00A2745A" w:rsidRPr="00A2745A" w:rsidRDefault="00A2745A" w:rsidP="00AC1E0B">
      <w:pPr>
        <w:numPr>
          <w:ilvl w:val="0"/>
          <w:numId w:val="22"/>
        </w:numPr>
        <w:rPr>
          <w:rFonts w:ascii="Calibri" w:hAnsi="Calibri"/>
          <w:sz w:val="24"/>
          <w:szCs w:val="24"/>
        </w:rPr>
      </w:pPr>
      <w:r w:rsidRPr="00A2745A">
        <w:rPr>
          <w:rFonts w:ascii="Calibri" w:hAnsi="Calibri"/>
          <w:sz w:val="24"/>
          <w:szCs w:val="24"/>
        </w:rPr>
        <w:t>An exempt person must provide each exempt customer with a receipt for any amount paid for energy, except where payment has been made by:</w:t>
      </w:r>
    </w:p>
    <w:p w:rsidR="00A2745A" w:rsidRPr="00A2745A" w:rsidRDefault="00A2745A" w:rsidP="00AC1E0B">
      <w:pPr>
        <w:numPr>
          <w:ilvl w:val="0"/>
          <w:numId w:val="23"/>
        </w:numPr>
        <w:rPr>
          <w:rFonts w:ascii="Calibri" w:hAnsi="Calibri"/>
          <w:sz w:val="24"/>
          <w:szCs w:val="24"/>
        </w:rPr>
      </w:pPr>
      <w:r w:rsidRPr="00A2745A">
        <w:rPr>
          <w:rFonts w:ascii="Calibri" w:hAnsi="Calibri"/>
          <w:sz w:val="24"/>
          <w:szCs w:val="24"/>
        </w:rPr>
        <w:t xml:space="preserve">direct debit, or </w:t>
      </w:r>
    </w:p>
    <w:p w:rsidR="00A2745A" w:rsidRPr="00A2745A" w:rsidRDefault="00A2745A" w:rsidP="00AC1E0B">
      <w:pPr>
        <w:numPr>
          <w:ilvl w:val="0"/>
          <w:numId w:val="23"/>
        </w:numPr>
        <w:rPr>
          <w:rFonts w:ascii="Calibri" w:hAnsi="Calibri"/>
          <w:sz w:val="24"/>
          <w:szCs w:val="24"/>
        </w:rPr>
      </w:pPr>
      <w:proofErr w:type="gramStart"/>
      <w:r w:rsidRPr="00A2745A">
        <w:rPr>
          <w:rFonts w:ascii="Calibri" w:hAnsi="Calibri"/>
          <w:sz w:val="24"/>
          <w:szCs w:val="24"/>
        </w:rPr>
        <w:t>credit</w:t>
      </w:r>
      <w:proofErr w:type="gramEnd"/>
      <w:r w:rsidRPr="00A2745A">
        <w:rPr>
          <w:rFonts w:ascii="Calibri" w:hAnsi="Calibri"/>
          <w:sz w:val="24"/>
          <w:szCs w:val="24"/>
        </w:rPr>
        <w:t xml:space="preserve"> card over the phone and the customer is provided with a receipt number.</w:t>
      </w:r>
    </w:p>
    <w:p w:rsidR="00A2745A" w:rsidRPr="00A2745A" w:rsidRDefault="00A2745A" w:rsidP="00AC1E0B">
      <w:pPr>
        <w:numPr>
          <w:ilvl w:val="0"/>
          <w:numId w:val="22"/>
        </w:numPr>
        <w:rPr>
          <w:rFonts w:ascii="Calibri" w:hAnsi="Calibri"/>
          <w:sz w:val="24"/>
          <w:szCs w:val="24"/>
        </w:rPr>
      </w:pPr>
      <w:r w:rsidRPr="00A2745A">
        <w:rPr>
          <w:rFonts w:ascii="Calibri" w:hAnsi="Calibri"/>
          <w:sz w:val="24"/>
          <w:szCs w:val="24"/>
        </w:rPr>
        <w:t>An exempt person must provide the exempt customer with a separate receipt if a payment for energy was made together with a rent payment but has not been separately identified on the rent receipt.</w:t>
      </w:r>
    </w:p>
    <w:p w:rsidR="00A2745A" w:rsidRPr="00A2745A" w:rsidRDefault="00A2745A" w:rsidP="00A2745A">
      <w:pPr>
        <w:rPr>
          <w:rFonts w:ascii="Calibri" w:hAnsi="Calibri"/>
          <w:b/>
          <w:bCs/>
          <w:sz w:val="24"/>
          <w:szCs w:val="24"/>
        </w:rPr>
      </w:pPr>
      <w:r w:rsidRPr="00A2745A">
        <w:rPr>
          <w:rFonts w:ascii="Calibri" w:hAnsi="Calibri"/>
          <w:b/>
          <w:bCs/>
          <w:sz w:val="24"/>
          <w:szCs w:val="24"/>
        </w:rPr>
        <w:t>Condition 7 - Pricing</w:t>
      </w:r>
    </w:p>
    <w:p w:rsidR="00A2745A" w:rsidRPr="00A2745A" w:rsidRDefault="00A2745A" w:rsidP="00AC1E0B">
      <w:pPr>
        <w:numPr>
          <w:ilvl w:val="0"/>
          <w:numId w:val="37"/>
        </w:numPr>
        <w:rPr>
          <w:rFonts w:ascii="Calibri" w:hAnsi="Calibri"/>
          <w:sz w:val="24"/>
          <w:szCs w:val="24"/>
        </w:rPr>
      </w:pPr>
      <w:r w:rsidRPr="00A2745A">
        <w:rPr>
          <w:rFonts w:ascii="Calibri" w:hAnsi="Calibri"/>
          <w:sz w:val="24"/>
          <w:szCs w:val="24"/>
        </w:rPr>
        <w:t xml:space="preserve">An exempt person must provide notice to the exempt customer of any change in the exempt customer tariff as soon as practicable, </w:t>
      </w:r>
      <w:proofErr w:type="gramStart"/>
      <w:r w:rsidRPr="00A2745A">
        <w:rPr>
          <w:rFonts w:ascii="Calibri" w:hAnsi="Calibri"/>
          <w:sz w:val="24"/>
          <w:szCs w:val="24"/>
        </w:rPr>
        <w:t>and</w:t>
      </w:r>
      <w:proofErr w:type="gramEnd"/>
      <w:r w:rsidRPr="00A2745A">
        <w:rPr>
          <w:rFonts w:ascii="Calibri" w:hAnsi="Calibri"/>
          <w:sz w:val="24"/>
          <w:szCs w:val="24"/>
        </w:rPr>
        <w:t xml:space="preserve"> no later than the exempt customer’s next bill.</w:t>
      </w:r>
    </w:p>
    <w:p w:rsidR="00A2745A" w:rsidRPr="00A2745A" w:rsidRDefault="00A2745A" w:rsidP="00A2745A">
      <w:pPr>
        <w:rPr>
          <w:rFonts w:ascii="Calibri" w:hAnsi="Calibri"/>
          <w:sz w:val="24"/>
          <w:szCs w:val="24"/>
        </w:rPr>
      </w:pPr>
      <w:r w:rsidRPr="00A2745A">
        <w:rPr>
          <w:rFonts w:ascii="Calibri" w:hAnsi="Calibri"/>
          <w:b/>
          <w:bCs/>
          <w:sz w:val="24"/>
          <w:szCs w:val="24"/>
        </w:rPr>
        <w:t>Condition 11 - Reconnection of supply</w:t>
      </w:r>
    </w:p>
    <w:p w:rsidR="00A2745A" w:rsidRPr="00A2745A" w:rsidRDefault="00A2745A" w:rsidP="00AC1E0B">
      <w:pPr>
        <w:numPr>
          <w:ilvl w:val="0"/>
          <w:numId w:val="45"/>
        </w:numPr>
        <w:rPr>
          <w:rFonts w:ascii="Calibri" w:hAnsi="Calibri"/>
          <w:sz w:val="24"/>
          <w:szCs w:val="24"/>
        </w:rPr>
      </w:pPr>
      <w:r w:rsidRPr="00A2745A">
        <w:rPr>
          <w:rFonts w:ascii="Calibri" w:hAnsi="Calibri"/>
          <w:sz w:val="24"/>
          <w:szCs w:val="24"/>
        </w:rPr>
        <w:t>Where an exempt person has arranged for the disconnection of an exempt customer’s premises and the exempt customer has within 10 business days of the disconnection:</w:t>
      </w:r>
    </w:p>
    <w:p w:rsidR="00A2745A" w:rsidRPr="00A2745A" w:rsidRDefault="00A2745A" w:rsidP="00AC1E0B">
      <w:pPr>
        <w:numPr>
          <w:ilvl w:val="0"/>
          <w:numId w:val="35"/>
        </w:numPr>
        <w:rPr>
          <w:rFonts w:ascii="Calibri" w:hAnsi="Calibri"/>
          <w:sz w:val="24"/>
          <w:szCs w:val="24"/>
        </w:rPr>
      </w:pPr>
      <w:r w:rsidRPr="00A2745A">
        <w:rPr>
          <w:rFonts w:ascii="Calibri" w:hAnsi="Calibri"/>
          <w:sz w:val="24"/>
          <w:szCs w:val="24"/>
        </w:rPr>
        <w:t>if relevant, rectified the matter that led to the disconnection, and</w:t>
      </w:r>
    </w:p>
    <w:p w:rsidR="00A2745A" w:rsidRPr="00A2745A" w:rsidRDefault="00A2745A" w:rsidP="00AC1E0B">
      <w:pPr>
        <w:numPr>
          <w:ilvl w:val="0"/>
          <w:numId w:val="35"/>
        </w:numPr>
        <w:rPr>
          <w:rFonts w:ascii="Calibri" w:hAnsi="Calibri"/>
          <w:sz w:val="24"/>
          <w:szCs w:val="24"/>
        </w:rPr>
      </w:pPr>
      <w:r w:rsidRPr="00A2745A">
        <w:rPr>
          <w:rFonts w:ascii="Calibri" w:hAnsi="Calibri"/>
          <w:sz w:val="24"/>
          <w:szCs w:val="24"/>
        </w:rPr>
        <w:t>made a request for reconnection, and</w:t>
      </w:r>
    </w:p>
    <w:p w:rsidR="00A2745A" w:rsidRPr="00A2745A" w:rsidRDefault="00A2745A" w:rsidP="00AC1E0B">
      <w:pPr>
        <w:numPr>
          <w:ilvl w:val="0"/>
          <w:numId w:val="35"/>
        </w:numPr>
        <w:rPr>
          <w:rFonts w:ascii="Calibri" w:hAnsi="Calibri"/>
          <w:sz w:val="24"/>
          <w:szCs w:val="24"/>
        </w:rPr>
      </w:pPr>
      <w:r w:rsidRPr="00A2745A">
        <w:rPr>
          <w:rFonts w:ascii="Calibri" w:hAnsi="Calibri"/>
          <w:sz w:val="24"/>
          <w:szCs w:val="24"/>
        </w:rPr>
        <w:t xml:space="preserve">paid any charge for reconnection, </w:t>
      </w:r>
    </w:p>
    <w:p w:rsidR="00A2745A" w:rsidRPr="00A2745A" w:rsidRDefault="00A2745A" w:rsidP="00A2745A">
      <w:pPr>
        <w:rPr>
          <w:rFonts w:ascii="Calibri" w:hAnsi="Calibri"/>
          <w:sz w:val="24"/>
          <w:szCs w:val="24"/>
        </w:rPr>
      </w:pPr>
      <w:proofErr w:type="gramStart"/>
      <w:r w:rsidRPr="00A2745A">
        <w:rPr>
          <w:rFonts w:ascii="Calibri" w:hAnsi="Calibri"/>
          <w:sz w:val="24"/>
          <w:szCs w:val="24"/>
        </w:rPr>
        <w:t>the</w:t>
      </w:r>
      <w:proofErr w:type="gramEnd"/>
      <w:r w:rsidRPr="00A2745A">
        <w:rPr>
          <w:rFonts w:ascii="Calibri" w:hAnsi="Calibri"/>
          <w:sz w:val="24"/>
          <w:szCs w:val="24"/>
        </w:rPr>
        <w:t xml:space="preserve"> exempt person must reconnect the premises</w:t>
      </w:r>
      <w:r w:rsidRPr="00A2745A">
        <w:rPr>
          <w:rFonts w:ascii="Calibri" w:hAnsi="Calibri"/>
          <w:bCs/>
          <w:sz w:val="24"/>
          <w:szCs w:val="24"/>
        </w:rPr>
        <w:t xml:space="preserve"> (or, where required, arrange with the network operator to reconnect the premises) as soon as practicable</w:t>
      </w:r>
      <w:r w:rsidRPr="00A2745A">
        <w:rPr>
          <w:rFonts w:ascii="Calibri" w:hAnsi="Calibri"/>
          <w:sz w:val="24"/>
          <w:szCs w:val="24"/>
        </w:rPr>
        <w:t>.</w:t>
      </w:r>
    </w:p>
    <w:p w:rsidR="00A2745A" w:rsidRPr="00A2745A" w:rsidRDefault="00A2745A" w:rsidP="00A2745A">
      <w:pPr>
        <w:rPr>
          <w:rFonts w:ascii="Calibri" w:hAnsi="Calibri"/>
          <w:sz w:val="24"/>
          <w:szCs w:val="24"/>
        </w:rPr>
      </w:pPr>
      <w:r w:rsidRPr="00A2745A">
        <w:rPr>
          <w:rFonts w:ascii="Calibri" w:hAnsi="Calibri"/>
          <w:b/>
          <w:bCs/>
          <w:sz w:val="24"/>
          <w:szCs w:val="24"/>
        </w:rPr>
        <w:t>Condition 12 - Choice of retailer</w:t>
      </w:r>
    </w:p>
    <w:p w:rsidR="00A2745A" w:rsidRPr="00A2745A" w:rsidRDefault="00A2745A" w:rsidP="00AC1E0B">
      <w:pPr>
        <w:numPr>
          <w:ilvl w:val="0"/>
          <w:numId w:val="48"/>
        </w:numPr>
        <w:rPr>
          <w:rFonts w:ascii="Calibri" w:hAnsi="Calibri"/>
          <w:sz w:val="24"/>
          <w:szCs w:val="24"/>
        </w:rPr>
      </w:pPr>
      <w:r w:rsidRPr="00A2745A">
        <w:rPr>
          <w:rFonts w:ascii="Calibri" w:hAnsi="Calibri"/>
          <w:sz w:val="24"/>
          <w:szCs w:val="24"/>
        </w:rPr>
        <w:t>Where an exempt customer is eligible under state or territory legislation to purchase energy from a retailer of their choice, the exempt person must not do anything to discourage or prevent them from exercising this choice, whether by:</w:t>
      </w:r>
    </w:p>
    <w:p w:rsidR="00A2745A" w:rsidRPr="00A2745A" w:rsidRDefault="00A2745A" w:rsidP="00AC1E0B">
      <w:pPr>
        <w:numPr>
          <w:ilvl w:val="0"/>
          <w:numId w:val="49"/>
        </w:numPr>
        <w:rPr>
          <w:rFonts w:ascii="Calibri" w:hAnsi="Calibri"/>
          <w:sz w:val="24"/>
          <w:szCs w:val="24"/>
        </w:rPr>
      </w:pPr>
      <w:r w:rsidRPr="00A2745A">
        <w:rPr>
          <w:rFonts w:ascii="Calibri" w:hAnsi="Calibri"/>
          <w:sz w:val="24"/>
          <w:szCs w:val="24"/>
        </w:rPr>
        <w:t>requiring the exempt customer to waive their ability to choose a retailer;</w:t>
      </w:r>
    </w:p>
    <w:p w:rsidR="00A2745A" w:rsidRPr="00A2745A" w:rsidRDefault="00A2745A" w:rsidP="00AC1E0B">
      <w:pPr>
        <w:numPr>
          <w:ilvl w:val="0"/>
          <w:numId w:val="49"/>
        </w:numPr>
        <w:rPr>
          <w:rFonts w:ascii="Calibri" w:hAnsi="Calibri"/>
          <w:sz w:val="24"/>
          <w:szCs w:val="24"/>
        </w:rPr>
      </w:pPr>
      <w:r w:rsidRPr="00A2745A">
        <w:rPr>
          <w:rFonts w:ascii="Calibri" w:hAnsi="Calibri"/>
          <w:sz w:val="24"/>
          <w:szCs w:val="24"/>
        </w:rPr>
        <w:t>unreasonably hindering their efforts to find another retailer; or</w:t>
      </w:r>
    </w:p>
    <w:p w:rsidR="00A2745A" w:rsidRPr="00A2745A" w:rsidRDefault="00A2745A" w:rsidP="00AC1E0B">
      <w:pPr>
        <w:numPr>
          <w:ilvl w:val="0"/>
          <w:numId w:val="49"/>
        </w:numPr>
        <w:rPr>
          <w:rFonts w:ascii="Calibri" w:hAnsi="Calibri"/>
          <w:sz w:val="24"/>
          <w:szCs w:val="24"/>
        </w:rPr>
      </w:pPr>
      <w:proofErr w:type="gramStart"/>
      <w:r w:rsidRPr="00A2745A">
        <w:rPr>
          <w:rFonts w:ascii="Calibri" w:hAnsi="Calibri"/>
          <w:sz w:val="24"/>
          <w:szCs w:val="24"/>
        </w:rPr>
        <w:lastRenderedPageBreak/>
        <w:t>unreasonably</w:t>
      </w:r>
      <w:proofErr w:type="gramEnd"/>
      <w:r w:rsidRPr="00A2745A">
        <w:rPr>
          <w:rFonts w:ascii="Calibri" w:hAnsi="Calibri"/>
          <w:sz w:val="24"/>
          <w:szCs w:val="24"/>
        </w:rPr>
        <w:t xml:space="preserve"> hindering any metering or network changes required to enable choice of retailer.</w:t>
      </w:r>
    </w:p>
    <w:p w:rsidR="00A2745A" w:rsidRPr="00A2745A" w:rsidRDefault="00A2745A" w:rsidP="00C5473B">
      <w:pPr>
        <w:keepNext/>
        <w:rPr>
          <w:rFonts w:ascii="Calibri" w:hAnsi="Calibri"/>
          <w:b/>
          <w:bCs/>
          <w:sz w:val="24"/>
          <w:szCs w:val="24"/>
        </w:rPr>
      </w:pPr>
      <w:r w:rsidRPr="00A2745A">
        <w:rPr>
          <w:rFonts w:ascii="Calibri" w:hAnsi="Calibri"/>
          <w:b/>
          <w:bCs/>
          <w:sz w:val="24"/>
          <w:szCs w:val="24"/>
        </w:rPr>
        <w:t>Condition 13 - Contact details</w:t>
      </w:r>
    </w:p>
    <w:p w:rsidR="00A2745A" w:rsidRPr="00A2745A" w:rsidRDefault="00A2745A" w:rsidP="00C5473B">
      <w:pPr>
        <w:keepNext/>
        <w:numPr>
          <w:ilvl w:val="0"/>
          <w:numId w:val="25"/>
        </w:numPr>
        <w:rPr>
          <w:rFonts w:ascii="Calibri" w:hAnsi="Calibri"/>
          <w:sz w:val="24"/>
          <w:szCs w:val="24"/>
        </w:rPr>
      </w:pPr>
      <w:r w:rsidRPr="00A2745A">
        <w:rPr>
          <w:rFonts w:ascii="Calibri" w:hAnsi="Calibri"/>
          <w:sz w:val="24"/>
          <w:szCs w:val="24"/>
        </w:rPr>
        <w:t xml:space="preserve">An exempt person must provide a means of contact for account inquiries and complaints that can be readily accessed by </w:t>
      </w:r>
      <w:r w:rsidR="00F31C79">
        <w:rPr>
          <w:rFonts w:ascii="Calibri" w:hAnsi="Calibri"/>
          <w:sz w:val="24"/>
          <w:szCs w:val="24"/>
        </w:rPr>
        <w:t>any exempt customer</w:t>
      </w:r>
      <w:r w:rsidRPr="00A2745A">
        <w:rPr>
          <w:rFonts w:ascii="Calibri" w:hAnsi="Calibri"/>
          <w:sz w:val="24"/>
          <w:szCs w:val="24"/>
        </w:rPr>
        <w:t>. Where a telephone number is provided, the charge for this call must be no more than the cost of a local call.</w:t>
      </w:r>
    </w:p>
    <w:p w:rsidR="00A2745A" w:rsidRPr="00A2745A" w:rsidRDefault="00A2745A" w:rsidP="00A2745A">
      <w:pPr>
        <w:rPr>
          <w:rFonts w:ascii="Calibri" w:hAnsi="Calibri"/>
          <w:b/>
          <w:bCs/>
          <w:sz w:val="24"/>
          <w:szCs w:val="24"/>
        </w:rPr>
      </w:pPr>
      <w:r w:rsidRPr="00A2745A">
        <w:rPr>
          <w:rFonts w:ascii="Calibri" w:hAnsi="Calibri"/>
          <w:b/>
          <w:bCs/>
          <w:sz w:val="24"/>
          <w:szCs w:val="24"/>
        </w:rPr>
        <w:t>Condition 14 - Dispute resolution</w:t>
      </w:r>
    </w:p>
    <w:p w:rsidR="00A2745A" w:rsidRPr="00A2745A" w:rsidRDefault="00A2745A" w:rsidP="00AC1E0B">
      <w:pPr>
        <w:numPr>
          <w:ilvl w:val="0"/>
          <w:numId w:val="26"/>
        </w:numPr>
        <w:rPr>
          <w:rFonts w:ascii="Calibri" w:hAnsi="Calibri"/>
          <w:sz w:val="24"/>
          <w:szCs w:val="24"/>
        </w:rPr>
      </w:pPr>
      <w:r w:rsidRPr="00A2745A">
        <w:rPr>
          <w:rFonts w:ascii="Calibri" w:hAnsi="Calibri"/>
          <w:sz w:val="24"/>
          <w:szCs w:val="24"/>
        </w:rPr>
        <w:t>In the event of a dispute concerning the sale of energy to an exempt customer, and in the absence of a determination of the relevant tenancy tribunal if the customer is a tenant, the exempt person must:</w:t>
      </w:r>
    </w:p>
    <w:p w:rsidR="00A2745A" w:rsidRPr="00A2745A" w:rsidRDefault="00A2745A" w:rsidP="00AC1E0B">
      <w:pPr>
        <w:numPr>
          <w:ilvl w:val="0"/>
          <w:numId w:val="27"/>
        </w:numPr>
        <w:rPr>
          <w:rFonts w:ascii="Calibri" w:hAnsi="Calibri"/>
          <w:sz w:val="24"/>
          <w:szCs w:val="24"/>
        </w:rPr>
      </w:pPr>
      <w:r w:rsidRPr="00A2745A">
        <w:rPr>
          <w:rFonts w:ascii="Calibri" w:hAnsi="Calibri"/>
          <w:sz w:val="24"/>
          <w:szCs w:val="24"/>
        </w:rPr>
        <w:t>make reasonable endeavours to resolve the dispute, and</w:t>
      </w:r>
    </w:p>
    <w:p w:rsidR="00A2745A" w:rsidRPr="00A2745A" w:rsidRDefault="00A2745A" w:rsidP="00AC1E0B">
      <w:pPr>
        <w:numPr>
          <w:ilvl w:val="0"/>
          <w:numId w:val="27"/>
        </w:numPr>
        <w:rPr>
          <w:rFonts w:ascii="Calibri" w:hAnsi="Calibri"/>
          <w:sz w:val="24"/>
          <w:szCs w:val="24"/>
        </w:rPr>
      </w:pPr>
      <w:r w:rsidRPr="00A2745A">
        <w:rPr>
          <w:rFonts w:ascii="Calibri" w:hAnsi="Calibri"/>
          <w:sz w:val="24"/>
          <w:szCs w:val="24"/>
        </w:rPr>
        <w:t>advise the exempt customer of any right that the exempt customer has to access the energy Ombudsman scheme or any other relevant external dispute resolution body in the state or territory in which the exempt customer is located, if applicable.</w:t>
      </w:r>
    </w:p>
    <w:p w:rsidR="00A2745A" w:rsidRPr="00A2745A" w:rsidRDefault="00A2745A" w:rsidP="007B3618">
      <w:pPr>
        <w:keepNext/>
        <w:rPr>
          <w:rFonts w:ascii="Calibri" w:hAnsi="Calibri"/>
          <w:b/>
          <w:bCs/>
          <w:sz w:val="24"/>
          <w:szCs w:val="24"/>
        </w:rPr>
      </w:pPr>
      <w:r w:rsidRPr="00A2745A">
        <w:rPr>
          <w:rFonts w:ascii="Calibri" w:hAnsi="Calibri"/>
          <w:b/>
          <w:bCs/>
          <w:sz w:val="24"/>
          <w:szCs w:val="24"/>
        </w:rPr>
        <w:t>Condition 15 - Continuity of supply</w:t>
      </w:r>
    </w:p>
    <w:p w:rsidR="00A2745A" w:rsidRPr="00A2745A" w:rsidRDefault="00A2745A" w:rsidP="007B3618">
      <w:pPr>
        <w:keepNext/>
        <w:numPr>
          <w:ilvl w:val="0"/>
          <w:numId w:val="28"/>
        </w:numPr>
        <w:rPr>
          <w:rFonts w:ascii="Calibri" w:hAnsi="Calibri"/>
          <w:sz w:val="24"/>
          <w:szCs w:val="24"/>
        </w:rPr>
      </w:pPr>
      <w:r w:rsidRPr="00A2745A">
        <w:rPr>
          <w:rFonts w:ascii="Calibri" w:hAnsi="Calibri"/>
          <w:sz w:val="24"/>
          <w:szCs w:val="24"/>
        </w:rPr>
        <w:t xml:space="preserve">An exempt person </w:t>
      </w:r>
      <w:r w:rsidR="00F31C79">
        <w:rPr>
          <w:rFonts w:ascii="Calibri" w:hAnsi="Calibri"/>
          <w:sz w:val="24"/>
          <w:szCs w:val="24"/>
        </w:rPr>
        <w:t>must notify the exempt customer</w:t>
      </w:r>
      <w:r w:rsidRPr="00A2745A">
        <w:rPr>
          <w:rFonts w:ascii="Calibri" w:hAnsi="Calibri"/>
          <w:sz w:val="24"/>
          <w:szCs w:val="24"/>
        </w:rPr>
        <w:t xml:space="preserve"> and the AER immediately if they are (or expect to be) disconnected, or there is any likelihood that they will be unable to continue selling energy.</w:t>
      </w:r>
    </w:p>
    <w:p w:rsidR="00A2745A" w:rsidRPr="00A2745A" w:rsidRDefault="00A2745A" w:rsidP="00A2745A">
      <w:pPr>
        <w:rPr>
          <w:rFonts w:ascii="Calibri" w:hAnsi="Calibri"/>
          <w:b/>
          <w:bCs/>
          <w:sz w:val="24"/>
          <w:szCs w:val="24"/>
        </w:rPr>
      </w:pPr>
      <w:bookmarkStart w:id="10" w:name="OLE_LINK56"/>
      <w:bookmarkStart w:id="11" w:name="OLE_LINK57"/>
      <w:r w:rsidRPr="00A2745A">
        <w:rPr>
          <w:rFonts w:ascii="Calibri" w:hAnsi="Calibri"/>
          <w:b/>
          <w:bCs/>
          <w:sz w:val="24"/>
          <w:szCs w:val="24"/>
        </w:rPr>
        <w:t>Condition 16 – Termination of energy supply agreement</w:t>
      </w:r>
    </w:p>
    <w:p w:rsidR="00A2745A" w:rsidRPr="00A2745A" w:rsidRDefault="00A2745A" w:rsidP="00AC1E0B">
      <w:pPr>
        <w:numPr>
          <w:ilvl w:val="0"/>
          <w:numId w:val="20"/>
        </w:numPr>
        <w:rPr>
          <w:rFonts w:ascii="Calibri" w:hAnsi="Calibri"/>
          <w:bCs/>
          <w:sz w:val="24"/>
          <w:szCs w:val="24"/>
        </w:rPr>
      </w:pPr>
      <w:r w:rsidRPr="00A2745A">
        <w:rPr>
          <w:rFonts w:ascii="Calibri" w:hAnsi="Calibri"/>
          <w:bCs/>
          <w:sz w:val="24"/>
          <w:szCs w:val="24"/>
        </w:rPr>
        <w:t>An energy supply agreement between the exempt person and an exempt customer will terminate:</w:t>
      </w:r>
    </w:p>
    <w:p w:rsidR="00A2745A" w:rsidRPr="00A2745A" w:rsidRDefault="00A2745A" w:rsidP="00AC1E0B">
      <w:pPr>
        <w:numPr>
          <w:ilvl w:val="0"/>
          <w:numId w:val="46"/>
        </w:numPr>
        <w:rPr>
          <w:rFonts w:ascii="Calibri" w:hAnsi="Calibri"/>
          <w:sz w:val="24"/>
          <w:szCs w:val="24"/>
        </w:rPr>
      </w:pPr>
      <w:r w:rsidRPr="00A2745A">
        <w:rPr>
          <w:rFonts w:ascii="Calibri" w:hAnsi="Calibri"/>
          <w:sz w:val="24"/>
          <w:szCs w:val="24"/>
        </w:rPr>
        <w:t>on a date agreed by the exempt person and exempt customer, or</w:t>
      </w:r>
    </w:p>
    <w:p w:rsidR="00A2745A" w:rsidRPr="00A2745A" w:rsidRDefault="00A2745A" w:rsidP="00AC1E0B">
      <w:pPr>
        <w:numPr>
          <w:ilvl w:val="0"/>
          <w:numId w:val="46"/>
        </w:numPr>
        <w:rPr>
          <w:rFonts w:ascii="Calibri" w:hAnsi="Calibri"/>
          <w:bCs/>
          <w:sz w:val="24"/>
          <w:szCs w:val="24"/>
        </w:rPr>
      </w:pPr>
      <w:r w:rsidRPr="00A2745A">
        <w:rPr>
          <w:rFonts w:ascii="Calibri" w:hAnsi="Calibri"/>
          <w:bCs/>
          <w:sz w:val="24"/>
          <w:szCs w:val="24"/>
        </w:rPr>
        <w:t>five business days (or a different time agreed by the exempt person and exempt customer) from the date when the exempt customer gives the exempt person a termination notice, or</w:t>
      </w:r>
    </w:p>
    <w:p w:rsidR="00A2745A" w:rsidRPr="00A2745A" w:rsidRDefault="00A2745A" w:rsidP="00AC1E0B">
      <w:pPr>
        <w:numPr>
          <w:ilvl w:val="0"/>
          <w:numId w:val="46"/>
        </w:numPr>
        <w:rPr>
          <w:rFonts w:ascii="Calibri" w:hAnsi="Calibri"/>
          <w:bCs/>
          <w:sz w:val="24"/>
          <w:szCs w:val="24"/>
        </w:rPr>
      </w:pPr>
      <w:r w:rsidRPr="00A2745A">
        <w:rPr>
          <w:rFonts w:ascii="Calibri" w:hAnsi="Calibri"/>
          <w:bCs/>
          <w:sz w:val="24"/>
          <w:szCs w:val="24"/>
        </w:rPr>
        <w:t>at the conclusion of the exempt customer’s lease for, or occupancy of, the premises to which the energy is supplied, or</w:t>
      </w:r>
    </w:p>
    <w:p w:rsidR="00A2745A" w:rsidRPr="00A2745A" w:rsidRDefault="00A2745A" w:rsidP="00AC1E0B">
      <w:pPr>
        <w:numPr>
          <w:ilvl w:val="0"/>
          <w:numId w:val="46"/>
        </w:numPr>
        <w:rPr>
          <w:rFonts w:ascii="Calibri" w:hAnsi="Calibri"/>
          <w:bCs/>
          <w:sz w:val="24"/>
          <w:szCs w:val="24"/>
        </w:rPr>
      </w:pPr>
      <w:r w:rsidRPr="00A2745A">
        <w:rPr>
          <w:rFonts w:ascii="Calibri" w:hAnsi="Calibri"/>
          <w:bCs/>
          <w:sz w:val="24"/>
          <w:szCs w:val="24"/>
        </w:rPr>
        <w:t>when the exempt customer starts receiving energy retail services from a different retailer or exempt person, or</w:t>
      </w:r>
    </w:p>
    <w:p w:rsidR="00A2745A" w:rsidRPr="00A2745A" w:rsidRDefault="00A2745A" w:rsidP="00AC1E0B">
      <w:pPr>
        <w:numPr>
          <w:ilvl w:val="0"/>
          <w:numId w:val="46"/>
        </w:numPr>
        <w:rPr>
          <w:rFonts w:ascii="Calibri" w:hAnsi="Calibri"/>
          <w:bCs/>
          <w:sz w:val="24"/>
          <w:szCs w:val="24"/>
        </w:rPr>
      </w:pPr>
      <w:r w:rsidRPr="00A2745A">
        <w:rPr>
          <w:rFonts w:ascii="Calibri" w:hAnsi="Calibri"/>
          <w:bCs/>
          <w:sz w:val="24"/>
          <w:szCs w:val="24"/>
        </w:rPr>
        <w:t>when a different exempt customer moves in and starts receiving customer retail services for the premises, or</w:t>
      </w:r>
    </w:p>
    <w:p w:rsidR="00A2745A" w:rsidRPr="00A2745A" w:rsidRDefault="00A2745A" w:rsidP="00AC1E0B">
      <w:pPr>
        <w:numPr>
          <w:ilvl w:val="0"/>
          <w:numId w:val="46"/>
        </w:numPr>
        <w:rPr>
          <w:rFonts w:ascii="Calibri" w:hAnsi="Calibri"/>
          <w:bCs/>
          <w:sz w:val="24"/>
          <w:szCs w:val="24"/>
        </w:rPr>
      </w:pPr>
      <w:r w:rsidRPr="00A2745A">
        <w:rPr>
          <w:rFonts w:ascii="Calibri" w:hAnsi="Calibri"/>
          <w:bCs/>
          <w:sz w:val="24"/>
          <w:szCs w:val="24"/>
        </w:rPr>
        <w:t>at the end of a period of 10 business days commencing on the day the exempt customer’s premises are disconnected, where the conditions for reconnection have not been met.</w:t>
      </w:r>
    </w:p>
    <w:p w:rsidR="00A870CE" w:rsidRPr="00242C2C" w:rsidRDefault="00A2745A" w:rsidP="00242C2C">
      <w:pPr>
        <w:numPr>
          <w:ilvl w:val="0"/>
          <w:numId w:val="20"/>
        </w:numPr>
        <w:rPr>
          <w:rFonts w:ascii="Calibri" w:hAnsi="Calibri"/>
          <w:bCs/>
          <w:sz w:val="24"/>
          <w:szCs w:val="24"/>
        </w:rPr>
      </w:pPr>
      <w:r w:rsidRPr="00A2745A">
        <w:rPr>
          <w:rFonts w:ascii="Calibri" w:hAnsi="Calibri"/>
          <w:bCs/>
          <w:sz w:val="24"/>
          <w:szCs w:val="24"/>
        </w:rPr>
        <w:t>Termination of an arrangement to supply energy does not affect any rights or obligations that have already accrued under the agreement.</w:t>
      </w:r>
    </w:p>
    <w:bookmarkEnd w:id="10"/>
    <w:bookmarkEnd w:id="11"/>
    <w:sectPr w:rsidR="00A870CE" w:rsidRPr="00242C2C" w:rsidSect="0017410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5A" w:rsidRDefault="00A2745A" w:rsidP="004B4412">
      <w:pPr>
        <w:spacing w:before="0"/>
      </w:pPr>
      <w:r>
        <w:separator/>
      </w:r>
    </w:p>
  </w:endnote>
  <w:endnote w:type="continuationSeparator" w:id="0">
    <w:p w:rsidR="00A2745A" w:rsidRDefault="00A2745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5A" w:rsidRDefault="00A2745A" w:rsidP="004B4412">
      <w:pPr>
        <w:spacing w:before="0"/>
      </w:pPr>
      <w:r>
        <w:separator/>
      </w:r>
    </w:p>
  </w:footnote>
  <w:footnote w:type="continuationSeparator" w:id="0">
    <w:p w:rsidR="00A2745A" w:rsidRDefault="00A2745A"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093F46"/>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028A155F"/>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039107E3"/>
    <w:multiLevelType w:val="hybridMultilevel"/>
    <w:tmpl w:val="9D2405A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3A632C4"/>
    <w:multiLevelType w:val="hybridMultilevel"/>
    <w:tmpl w:val="8DE297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C572970"/>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02C0C0B"/>
    <w:multiLevelType w:val="hybridMultilevel"/>
    <w:tmpl w:val="6632204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10320A62"/>
    <w:multiLevelType w:val="multilevel"/>
    <w:tmpl w:val="ED2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680E24"/>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122C56C5"/>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1">
    <w:nsid w:val="1AF157A3"/>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1C0C2F81"/>
    <w:multiLevelType w:val="hybridMultilevel"/>
    <w:tmpl w:val="3B7EC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CC44812"/>
    <w:multiLevelType w:val="hybridMultilevel"/>
    <w:tmpl w:val="2BDC147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5">
    <w:nsid w:val="1D5B53ED"/>
    <w:multiLevelType w:val="hybridMultilevel"/>
    <w:tmpl w:val="C60C39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21D52A94"/>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254F0074"/>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2717513C"/>
    <w:multiLevelType w:val="hybridMultilevel"/>
    <w:tmpl w:val="56462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nsid w:val="27BB6A3E"/>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294619DF"/>
    <w:multiLevelType w:val="hybridMultilevel"/>
    <w:tmpl w:val="09D48CD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nsid w:val="2B5B0F36"/>
    <w:multiLevelType w:val="hybridMultilevel"/>
    <w:tmpl w:val="CB90E1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2B760191"/>
    <w:multiLevelType w:val="hybridMultilevel"/>
    <w:tmpl w:val="750A953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32D71EA1"/>
    <w:multiLevelType w:val="hybridMultilevel"/>
    <w:tmpl w:val="85DEF67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nsid w:val="338A7600"/>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nsid w:val="348505E3"/>
    <w:multiLevelType w:val="hybridMultilevel"/>
    <w:tmpl w:val="F484301E"/>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36050BB2"/>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nsid w:val="36BD1EFA"/>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38072878"/>
    <w:multiLevelType w:val="hybridMultilevel"/>
    <w:tmpl w:val="718EC3FE"/>
    <w:lvl w:ilvl="0" w:tplc="6456BC64">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38513F40"/>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AB906D3"/>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nsid w:val="3B3B068C"/>
    <w:multiLevelType w:val="hybridMultilevel"/>
    <w:tmpl w:val="A9326F10"/>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3C6B203B"/>
    <w:multiLevelType w:val="hybridMultilevel"/>
    <w:tmpl w:val="6632204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4">
    <w:nsid w:val="3E1978C8"/>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41DB42A9"/>
    <w:multiLevelType w:val="hybridMultilevel"/>
    <w:tmpl w:val="BE08E98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6">
    <w:nsid w:val="41F228C7"/>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7">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8">
    <w:nsid w:val="46957A02"/>
    <w:multiLevelType w:val="hybridMultilevel"/>
    <w:tmpl w:val="0540EA4A"/>
    <w:lvl w:ilvl="0" w:tplc="0C090019">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46F975C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nsid w:val="497E190C"/>
    <w:multiLevelType w:val="hybridMultilevel"/>
    <w:tmpl w:val="CB90E1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1">
    <w:nsid w:val="4C634629"/>
    <w:multiLevelType w:val="hybridMultilevel"/>
    <w:tmpl w:val="718EC3FE"/>
    <w:lvl w:ilvl="0" w:tplc="6456BC64">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4D614307"/>
    <w:multiLevelType w:val="hybridMultilevel"/>
    <w:tmpl w:val="F878C2A6"/>
    <w:lvl w:ilvl="0" w:tplc="B4B4EB9E">
      <w:start w:val="1"/>
      <w:numFmt w:val="lowerRoman"/>
      <w:lvlText w:val="%1."/>
      <w:lvlJc w:val="right"/>
      <w:pPr>
        <w:tabs>
          <w:tab w:val="num" w:pos="1260"/>
        </w:tabs>
        <w:ind w:left="1260" w:hanging="180"/>
      </w:pPr>
      <w:rPr>
        <w:rFonts w:hint="default"/>
      </w:rPr>
    </w:lvl>
    <w:lvl w:ilvl="1" w:tplc="0C090019">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3">
    <w:nsid w:val="4E8D4977"/>
    <w:multiLevelType w:val="hybridMultilevel"/>
    <w:tmpl w:val="2A6A6B0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4">
    <w:nsid w:val="4F681FAE"/>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5">
    <w:nsid w:val="50076588"/>
    <w:multiLevelType w:val="hybridMultilevel"/>
    <w:tmpl w:val="BE08E98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6">
    <w:nsid w:val="5061726D"/>
    <w:multiLevelType w:val="hybridMultilevel"/>
    <w:tmpl w:val="3E70A1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7">
    <w:nsid w:val="50F75508"/>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8">
    <w:nsid w:val="53AF1CEF"/>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nsid w:val="5B657C57"/>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nsid w:val="5C020E4F"/>
    <w:multiLevelType w:val="hybridMultilevel"/>
    <w:tmpl w:val="6142B3E2"/>
    <w:lvl w:ilvl="0" w:tplc="0C090019">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1">
    <w:nsid w:val="5D1A7EBD"/>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2">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3">
    <w:nsid w:val="5F116897"/>
    <w:multiLevelType w:val="hybridMultilevel"/>
    <w:tmpl w:val="96A242B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4">
    <w:nsid w:val="6027736A"/>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5">
    <w:nsid w:val="609F0DEA"/>
    <w:multiLevelType w:val="hybridMultilevel"/>
    <w:tmpl w:val="C60C39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6">
    <w:nsid w:val="61831951"/>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nsid w:val="61BD5C4E"/>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nsid w:val="61E31BEE"/>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9">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71">
    <w:nsid w:val="6844496C"/>
    <w:multiLevelType w:val="hybridMultilevel"/>
    <w:tmpl w:val="09D48CD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2">
    <w:nsid w:val="68F72261"/>
    <w:multiLevelType w:val="hybridMultilevel"/>
    <w:tmpl w:val="3E70A1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3">
    <w:nsid w:val="6B6C6C97"/>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4">
    <w:nsid w:val="6BC776B0"/>
    <w:multiLevelType w:val="hybridMultilevel"/>
    <w:tmpl w:val="56462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5">
    <w:nsid w:val="6BD524AF"/>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6">
    <w:nsid w:val="6ECE1231"/>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7">
    <w:nsid w:val="6F6076A4"/>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nsid w:val="76D92954"/>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9">
    <w:nsid w:val="77862B37"/>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0">
    <w:nsid w:val="7AB723E0"/>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1">
    <w:nsid w:val="7AE8673C"/>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2">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nsid w:val="7BA8399D"/>
    <w:multiLevelType w:val="hybridMultilevel"/>
    <w:tmpl w:val="96A242B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4">
    <w:nsid w:val="7BB94175"/>
    <w:multiLevelType w:val="hybridMultilevel"/>
    <w:tmpl w:val="B4AC9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7C9120B0"/>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7FD90850"/>
    <w:multiLevelType w:val="hybridMultilevel"/>
    <w:tmpl w:val="F4DC5FA8"/>
    <w:lvl w:ilvl="0" w:tplc="255A3D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8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70"/>
  </w:num>
  <w:num w:numId="13">
    <w:abstractNumId w:val="40"/>
  </w:num>
  <w:num w:numId="14">
    <w:abstractNumId w:val="14"/>
  </w:num>
  <w:num w:numId="15">
    <w:abstractNumId w:val="24"/>
  </w:num>
  <w:num w:numId="16">
    <w:abstractNumId w:val="82"/>
  </w:num>
  <w:num w:numId="17">
    <w:abstractNumId w:val="53"/>
  </w:num>
  <w:num w:numId="18">
    <w:abstractNumId w:val="69"/>
  </w:num>
  <w:num w:numId="19">
    <w:abstractNumId w:val="22"/>
  </w:num>
  <w:num w:numId="20">
    <w:abstractNumId w:val="62"/>
  </w:num>
  <w:num w:numId="21">
    <w:abstractNumId w:val="26"/>
  </w:num>
  <w:num w:numId="22">
    <w:abstractNumId w:val="56"/>
  </w:num>
  <w:num w:numId="23">
    <w:abstractNumId w:val="35"/>
  </w:num>
  <w:num w:numId="24">
    <w:abstractNumId w:val="12"/>
  </w:num>
  <w:num w:numId="25">
    <w:abstractNumId w:val="15"/>
  </w:num>
  <w:num w:numId="26">
    <w:abstractNumId w:val="71"/>
  </w:num>
  <w:num w:numId="27">
    <w:abstractNumId w:val="21"/>
  </w:num>
  <w:num w:numId="28">
    <w:abstractNumId w:val="19"/>
  </w:num>
  <w:num w:numId="29">
    <w:abstractNumId w:val="13"/>
  </w:num>
  <w:num w:numId="30">
    <w:abstractNumId w:val="52"/>
  </w:num>
  <w:num w:numId="31">
    <w:abstractNumId w:val="11"/>
  </w:num>
  <w:num w:numId="32">
    <w:abstractNumId w:val="23"/>
  </w:num>
  <w:num w:numId="33">
    <w:abstractNumId w:val="67"/>
  </w:num>
  <w:num w:numId="34">
    <w:abstractNumId w:val="42"/>
  </w:num>
  <w:num w:numId="35">
    <w:abstractNumId w:val="32"/>
  </w:num>
  <w:num w:numId="36">
    <w:abstractNumId w:val="25"/>
  </w:num>
  <w:num w:numId="37">
    <w:abstractNumId w:val="36"/>
  </w:num>
  <w:num w:numId="38">
    <w:abstractNumId w:val="33"/>
  </w:num>
  <w:num w:numId="39">
    <w:abstractNumId w:val="17"/>
  </w:num>
  <w:num w:numId="40">
    <w:abstractNumId w:val="79"/>
  </w:num>
  <w:num w:numId="41">
    <w:abstractNumId w:val="31"/>
  </w:num>
  <w:num w:numId="42">
    <w:abstractNumId w:val="38"/>
  </w:num>
  <w:num w:numId="43">
    <w:abstractNumId w:val="57"/>
  </w:num>
  <w:num w:numId="44">
    <w:abstractNumId w:val="55"/>
  </w:num>
  <w:num w:numId="45">
    <w:abstractNumId w:val="74"/>
  </w:num>
  <w:num w:numId="46">
    <w:abstractNumId w:val="49"/>
  </w:num>
  <w:num w:numId="47">
    <w:abstractNumId w:val="29"/>
  </w:num>
  <w:num w:numId="48">
    <w:abstractNumId w:val="47"/>
  </w:num>
  <w:num w:numId="49">
    <w:abstractNumId w:val="60"/>
  </w:num>
  <w:num w:numId="50">
    <w:abstractNumId w:val="83"/>
  </w:num>
  <w:num w:numId="51">
    <w:abstractNumId w:val="48"/>
  </w:num>
  <w:num w:numId="52">
    <w:abstractNumId w:val="80"/>
  </w:num>
  <w:num w:numId="53">
    <w:abstractNumId w:val="27"/>
  </w:num>
  <w:num w:numId="54">
    <w:abstractNumId w:val="75"/>
  </w:num>
  <w:num w:numId="55">
    <w:abstractNumId w:val="65"/>
  </w:num>
  <w:num w:numId="56">
    <w:abstractNumId w:val="50"/>
  </w:num>
  <w:num w:numId="57">
    <w:abstractNumId w:val="39"/>
  </w:num>
  <w:num w:numId="58">
    <w:abstractNumId w:val="51"/>
  </w:num>
  <w:num w:numId="59">
    <w:abstractNumId w:val="68"/>
  </w:num>
  <w:num w:numId="60">
    <w:abstractNumId w:val="45"/>
  </w:num>
  <w:num w:numId="61">
    <w:abstractNumId w:val="72"/>
  </w:num>
  <w:num w:numId="62">
    <w:abstractNumId w:val="34"/>
  </w:num>
  <w:num w:numId="63">
    <w:abstractNumId w:val="81"/>
  </w:num>
  <w:num w:numId="64">
    <w:abstractNumId w:val="64"/>
  </w:num>
  <w:num w:numId="65">
    <w:abstractNumId w:val="78"/>
  </w:num>
  <w:num w:numId="66">
    <w:abstractNumId w:val="41"/>
  </w:num>
  <w:num w:numId="67">
    <w:abstractNumId w:val="63"/>
  </w:num>
  <w:num w:numId="68">
    <w:abstractNumId w:val="18"/>
  </w:num>
  <w:num w:numId="69">
    <w:abstractNumId w:val="61"/>
  </w:num>
  <w:num w:numId="70">
    <w:abstractNumId w:val="66"/>
  </w:num>
  <w:num w:numId="71">
    <w:abstractNumId w:val="58"/>
  </w:num>
  <w:num w:numId="72">
    <w:abstractNumId w:val="28"/>
  </w:num>
  <w:num w:numId="73">
    <w:abstractNumId w:val="37"/>
  </w:num>
  <w:num w:numId="74">
    <w:abstractNumId w:val="54"/>
  </w:num>
  <w:num w:numId="75">
    <w:abstractNumId w:val="9"/>
  </w:num>
  <w:num w:numId="76">
    <w:abstractNumId w:val="43"/>
  </w:num>
  <w:num w:numId="77">
    <w:abstractNumId w:val="30"/>
  </w:num>
  <w:num w:numId="78">
    <w:abstractNumId w:val="59"/>
  </w:num>
  <w:num w:numId="79">
    <w:abstractNumId w:val="46"/>
  </w:num>
  <w:num w:numId="80">
    <w:abstractNumId w:val="44"/>
  </w:num>
  <w:num w:numId="81">
    <w:abstractNumId w:val="85"/>
  </w:num>
  <w:num w:numId="82">
    <w:abstractNumId w:val="10"/>
  </w:num>
  <w:num w:numId="83">
    <w:abstractNumId w:val="77"/>
  </w:num>
  <w:num w:numId="84">
    <w:abstractNumId w:val="76"/>
  </w:num>
  <w:num w:numId="85">
    <w:abstractNumId w:val="84"/>
  </w:num>
  <w:num w:numId="86">
    <w:abstractNumId w:val="87"/>
  </w:num>
  <w:num w:numId="8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8">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164\D15 18746  20150212 - Total Gas &amp; Power - Individual Exemption - Letter from AER to Total re approval and exemption instrument.DOCX"/>
  </w:docVars>
  <w:rsids>
    <w:rsidRoot w:val="00A2745A"/>
    <w:rsid w:val="00021202"/>
    <w:rsid w:val="0003578C"/>
    <w:rsid w:val="00063247"/>
    <w:rsid w:val="00070F9F"/>
    <w:rsid w:val="0007137B"/>
    <w:rsid w:val="00085663"/>
    <w:rsid w:val="00085EBF"/>
    <w:rsid w:val="000D122C"/>
    <w:rsid w:val="000E1819"/>
    <w:rsid w:val="000E6C72"/>
    <w:rsid w:val="00116EB2"/>
    <w:rsid w:val="00124609"/>
    <w:rsid w:val="001573E4"/>
    <w:rsid w:val="00160756"/>
    <w:rsid w:val="0017232E"/>
    <w:rsid w:val="00174102"/>
    <w:rsid w:val="00180157"/>
    <w:rsid w:val="00186F77"/>
    <w:rsid w:val="001926A4"/>
    <w:rsid w:val="001B45A0"/>
    <w:rsid w:val="001D055E"/>
    <w:rsid w:val="001F492E"/>
    <w:rsid w:val="001F6DA3"/>
    <w:rsid w:val="00224DB9"/>
    <w:rsid w:val="00242C2C"/>
    <w:rsid w:val="00251745"/>
    <w:rsid w:val="00252FA4"/>
    <w:rsid w:val="00263AC0"/>
    <w:rsid w:val="0026772D"/>
    <w:rsid w:val="00286874"/>
    <w:rsid w:val="00296B65"/>
    <w:rsid w:val="002A7DEF"/>
    <w:rsid w:val="002F7986"/>
    <w:rsid w:val="00302C52"/>
    <w:rsid w:val="00307F6D"/>
    <w:rsid w:val="003177A2"/>
    <w:rsid w:val="003271B5"/>
    <w:rsid w:val="00331264"/>
    <w:rsid w:val="00334C8D"/>
    <w:rsid w:val="003518B3"/>
    <w:rsid w:val="003846F1"/>
    <w:rsid w:val="003C4948"/>
    <w:rsid w:val="003F6EF7"/>
    <w:rsid w:val="00480B4B"/>
    <w:rsid w:val="00485DC4"/>
    <w:rsid w:val="004B4412"/>
    <w:rsid w:val="004C348C"/>
    <w:rsid w:val="004D55BA"/>
    <w:rsid w:val="00530128"/>
    <w:rsid w:val="00532467"/>
    <w:rsid w:val="00564A4D"/>
    <w:rsid w:val="00571B35"/>
    <w:rsid w:val="00577A09"/>
    <w:rsid w:val="00584D8F"/>
    <w:rsid w:val="005A404D"/>
    <w:rsid w:val="005B1E3C"/>
    <w:rsid w:val="005C26CC"/>
    <w:rsid w:val="00615C6B"/>
    <w:rsid w:val="00632D6D"/>
    <w:rsid w:val="00642C3E"/>
    <w:rsid w:val="00663DAD"/>
    <w:rsid w:val="00676679"/>
    <w:rsid w:val="00681B9C"/>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B2C72"/>
    <w:rsid w:val="007B3618"/>
    <w:rsid w:val="007C1C53"/>
    <w:rsid w:val="007E4904"/>
    <w:rsid w:val="007E4CB5"/>
    <w:rsid w:val="007F066B"/>
    <w:rsid w:val="008033C4"/>
    <w:rsid w:val="00806C88"/>
    <w:rsid w:val="0081034E"/>
    <w:rsid w:val="008344F6"/>
    <w:rsid w:val="0083510F"/>
    <w:rsid w:val="00851209"/>
    <w:rsid w:val="008837AC"/>
    <w:rsid w:val="008A587D"/>
    <w:rsid w:val="008C5486"/>
    <w:rsid w:val="008E7031"/>
    <w:rsid w:val="009161A1"/>
    <w:rsid w:val="009233EE"/>
    <w:rsid w:val="009661DE"/>
    <w:rsid w:val="009856B7"/>
    <w:rsid w:val="009B74B0"/>
    <w:rsid w:val="009D6B46"/>
    <w:rsid w:val="009F4940"/>
    <w:rsid w:val="00A2745A"/>
    <w:rsid w:val="00A4478A"/>
    <w:rsid w:val="00A44852"/>
    <w:rsid w:val="00A57D04"/>
    <w:rsid w:val="00A60A26"/>
    <w:rsid w:val="00A61598"/>
    <w:rsid w:val="00A84F46"/>
    <w:rsid w:val="00A870CE"/>
    <w:rsid w:val="00A871F4"/>
    <w:rsid w:val="00AC1B2C"/>
    <w:rsid w:val="00AC1E0B"/>
    <w:rsid w:val="00AC3264"/>
    <w:rsid w:val="00AE1BF1"/>
    <w:rsid w:val="00AF0DD2"/>
    <w:rsid w:val="00B13048"/>
    <w:rsid w:val="00B1716D"/>
    <w:rsid w:val="00B17A1D"/>
    <w:rsid w:val="00B207A0"/>
    <w:rsid w:val="00B530D3"/>
    <w:rsid w:val="00B56E03"/>
    <w:rsid w:val="00B8080B"/>
    <w:rsid w:val="00B87C39"/>
    <w:rsid w:val="00BA4665"/>
    <w:rsid w:val="00BB2FB2"/>
    <w:rsid w:val="00BB3304"/>
    <w:rsid w:val="00BD3446"/>
    <w:rsid w:val="00BE1F1B"/>
    <w:rsid w:val="00BE47B5"/>
    <w:rsid w:val="00C538A9"/>
    <w:rsid w:val="00C53B5A"/>
    <w:rsid w:val="00C5473B"/>
    <w:rsid w:val="00C54F5A"/>
    <w:rsid w:val="00C86679"/>
    <w:rsid w:val="00CB666B"/>
    <w:rsid w:val="00D01CF0"/>
    <w:rsid w:val="00D0442A"/>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D551F"/>
    <w:rsid w:val="00EE28F3"/>
    <w:rsid w:val="00EF5110"/>
    <w:rsid w:val="00F15882"/>
    <w:rsid w:val="00F20BD3"/>
    <w:rsid w:val="00F31C79"/>
    <w:rsid w:val="00F373A5"/>
    <w:rsid w:val="00F47559"/>
    <w:rsid w:val="00F64C7B"/>
    <w:rsid w:val="00F676DD"/>
    <w:rsid w:val="00F75A26"/>
    <w:rsid w:val="00F83FAD"/>
    <w:rsid w:val="00F952A0"/>
    <w:rsid w:val="00FA3C7F"/>
    <w:rsid w:val="00FB74E2"/>
    <w:rsid w:val="00FD5614"/>
    <w:rsid w:val="00FE0BE1"/>
    <w:rsid w:val="00FE1DE9"/>
    <w:rsid w:val="00FE39C2"/>
    <w:rsid w:val="00FE64AE"/>
    <w:rsid w:val="00FE6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AERbodytext">
    <w:name w:val="AER body text"/>
    <w:link w:val="AERbodytextChar"/>
    <w:rsid w:val="00A2745A"/>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A2745A"/>
    <w:pPr>
      <w:numPr>
        <w:numId w:val="16"/>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A2745A"/>
    <w:rPr>
      <w:rFonts w:ascii="Times New Roman" w:eastAsia="Times New Roman" w:hAnsi="Times New Roman" w:cs="Times New Roman"/>
      <w:sz w:val="24"/>
      <w:szCs w:val="24"/>
    </w:rPr>
  </w:style>
  <w:style w:type="character" w:customStyle="1" w:styleId="AERbulletlistfirststyleChar">
    <w:name w:val="AER bullet list (first style) Char"/>
    <w:basedOn w:val="DefaultParagraphFont"/>
    <w:link w:val="AERbulletlistfirststyle"/>
    <w:rsid w:val="00A2745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AERbodytext">
    <w:name w:val="AER body text"/>
    <w:link w:val="AERbodytextChar"/>
    <w:rsid w:val="00A2745A"/>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A2745A"/>
    <w:pPr>
      <w:numPr>
        <w:numId w:val="16"/>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A2745A"/>
    <w:rPr>
      <w:rFonts w:ascii="Times New Roman" w:eastAsia="Times New Roman" w:hAnsi="Times New Roman" w:cs="Times New Roman"/>
      <w:sz w:val="24"/>
      <w:szCs w:val="24"/>
    </w:rPr>
  </w:style>
  <w:style w:type="character" w:customStyle="1" w:styleId="AERbulletlistfirststyleChar">
    <w:name w:val="AER bullet list (first style) Char"/>
    <w:basedOn w:val="DefaultParagraphFont"/>
    <w:link w:val="AERbulletlistfirststyle"/>
    <w:rsid w:val="00A274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4938">
      <w:bodyDiv w:val="1"/>
      <w:marLeft w:val="0"/>
      <w:marRight w:val="0"/>
      <w:marTop w:val="0"/>
      <w:marBottom w:val="0"/>
      <w:divBdr>
        <w:top w:val="none" w:sz="0" w:space="0" w:color="auto"/>
        <w:left w:val="none" w:sz="0" w:space="0" w:color="auto"/>
        <w:bottom w:val="none" w:sz="0" w:space="0" w:color="auto"/>
        <w:right w:val="none" w:sz="0" w:space="0" w:color="auto"/>
      </w:divBdr>
      <w:divsChild>
        <w:div w:id="2131430722">
          <w:marLeft w:val="0"/>
          <w:marRight w:val="0"/>
          <w:marTop w:val="0"/>
          <w:marBottom w:val="0"/>
          <w:divBdr>
            <w:top w:val="none" w:sz="0" w:space="0" w:color="auto"/>
            <w:left w:val="none" w:sz="0" w:space="0" w:color="auto"/>
            <w:bottom w:val="none" w:sz="0" w:space="0" w:color="auto"/>
            <w:right w:val="none" w:sz="0" w:space="0" w:color="auto"/>
          </w:divBdr>
          <w:divsChild>
            <w:div w:id="680156677">
              <w:marLeft w:val="0"/>
              <w:marRight w:val="0"/>
              <w:marTop w:val="0"/>
              <w:marBottom w:val="0"/>
              <w:divBdr>
                <w:top w:val="none" w:sz="0" w:space="0" w:color="auto"/>
                <w:left w:val="none" w:sz="0" w:space="0" w:color="auto"/>
                <w:bottom w:val="none" w:sz="0" w:space="0" w:color="auto"/>
                <w:right w:val="none" w:sz="0" w:space="0" w:color="auto"/>
              </w:divBdr>
              <w:divsChild>
                <w:div w:id="198395326">
                  <w:marLeft w:val="0"/>
                  <w:marRight w:val="0"/>
                  <w:marTop w:val="0"/>
                  <w:marBottom w:val="0"/>
                  <w:divBdr>
                    <w:top w:val="none" w:sz="0" w:space="0" w:color="auto"/>
                    <w:left w:val="none" w:sz="0" w:space="0" w:color="auto"/>
                    <w:bottom w:val="none" w:sz="0" w:space="0" w:color="auto"/>
                    <w:right w:val="none" w:sz="0" w:space="0" w:color="auto"/>
                  </w:divBdr>
                  <w:divsChild>
                    <w:div w:id="1429499545">
                      <w:marLeft w:val="0"/>
                      <w:marRight w:val="0"/>
                      <w:marTop w:val="0"/>
                      <w:marBottom w:val="0"/>
                      <w:divBdr>
                        <w:top w:val="none" w:sz="0" w:space="0" w:color="auto"/>
                        <w:left w:val="none" w:sz="0" w:space="0" w:color="auto"/>
                        <w:bottom w:val="none" w:sz="0" w:space="0" w:color="auto"/>
                        <w:right w:val="none" w:sz="0" w:space="0" w:color="auto"/>
                      </w:divBdr>
                      <w:divsChild>
                        <w:div w:id="779958688">
                          <w:marLeft w:val="0"/>
                          <w:marRight w:val="0"/>
                          <w:marTop w:val="0"/>
                          <w:marBottom w:val="0"/>
                          <w:divBdr>
                            <w:top w:val="none" w:sz="0" w:space="0" w:color="auto"/>
                            <w:left w:val="none" w:sz="0" w:space="0" w:color="auto"/>
                            <w:bottom w:val="none" w:sz="0" w:space="0" w:color="auto"/>
                            <w:right w:val="none" w:sz="0" w:space="0" w:color="auto"/>
                          </w:divBdr>
                          <w:divsChild>
                            <w:div w:id="1945111604">
                              <w:marLeft w:val="0"/>
                              <w:marRight w:val="0"/>
                              <w:marTop w:val="0"/>
                              <w:marBottom w:val="0"/>
                              <w:divBdr>
                                <w:top w:val="none" w:sz="0" w:space="0" w:color="auto"/>
                                <w:left w:val="none" w:sz="0" w:space="0" w:color="auto"/>
                                <w:bottom w:val="none" w:sz="0" w:space="0" w:color="auto"/>
                                <w:right w:val="none" w:sz="0" w:space="0" w:color="auto"/>
                              </w:divBdr>
                              <w:divsChild>
                                <w:div w:id="1252931090">
                                  <w:marLeft w:val="0"/>
                                  <w:marRight w:val="0"/>
                                  <w:marTop w:val="0"/>
                                  <w:marBottom w:val="0"/>
                                  <w:divBdr>
                                    <w:top w:val="none" w:sz="0" w:space="0" w:color="auto"/>
                                    <w:left w:val="none" w:sz="0" w:space="0" w:color="auto"/>
                                    <w:bottom w:val="none" w:sz="0" w:space="0" w:color="auto"/>
                                    <w:right w:val="none" w:sz="0" w:space="0" w:color="auto"/>
                                  </w:divBdr>
                                  <w:divsChild>
                                    <w:div w:id="1604415428">
                                      <w:marLeft w:val="240"/>
                                      <w:marRight w:val="240"/>
                                      <w:marTop w:val="240"/>
                                      <w:marBottom w:val="0"/>
                                      <w:divBdr>
                                        <w:top w:val="none" w:sz="0" w:space="0" w:color="auto"/>
                                        <w:left w:val="none" w:sz="0" w:space="0" w:color="auto"/>
                                        <w:bottom w:val="none" w:sz="0" w:space="0" w:color="auto"/>
                                        <w:right w:val="none" w:sz="0" w:space="0" w:color="auto"/>
                                      </w:divBdr>
                                      <w:divsChild>
                                        <w:div w:id="2050718100">
                                          <w:marLeft w:val="0"/>
                                          <w:marRight w:val="0"/>
                                          <w:marTop w:val="0"/>
                                          <w:marBottom w:val="0"/>
                                          <w:divBdr>
                                            <w:top w:val="none" w:sz="0" w:space="0" w:color="auto"/>
                                            <w:left w:val="none" w:sz="0" w:space="0" w:color="auto"/>
                                            <w:bottom w:val="none" w:sz="0" w:space="0" w:color="auto"/>
                                            <w:right w:val="none" w:sz="0" w:space="0" w:color="auto"/>
                                          </w:divBdr>
                                          <w:divsChild>
                                            <w:div w:id="1354694933">
                                              <w:marLeft w:val="0"/>
                                              <w:marRight w:val="0"/>
                                              <w:marTop w:val="0"/>
                                              <w:marBottom w:val="0"/>
                                              <w:divBdr>
                                                <w:top w:val="none" w:sz="0" w:space="0" w:color="auto"/>
                                                <w:left w:val="none" w:sz="0" w:space="0" w:color="auto"/>
                                                <w:bottom w:val="none" w:sz="0" w:space="0" w:color="auto"/>
                                                <w:right w:val="none" w:sz="0" w:space="0" w:color="auto"/>
                                              </w:divBdr>
                                              <w:divsChild>
                                                <w:div w:id="1137575371">
                                                  <w:marLeft w:val="0"/>
                                                  <w:marRight w:val="0"/>
                                                  <w:marTop w:val="0"/>
                                                  <w:marBottom w:val="0"/>
                                                  <w:divBdr>
                                                    <w:top w:val="none" w:sz="0" w:space="0" w:color="auto"/>
                                                    <w:left w:val="none" w:sz="0" w:space="0" w:color="auto"/>
                                                    <w:bottom w:val="none" w:sz="0" w:space="0" w:color="auto"/>
                                                    <w:right w:val="none" w:sz="0" w:space="0" w:color="auto"/>
                                                  </w:divBdr>
                                                  <w:divsChild>
                                                    <w:div w:id="359009669">
                                                      <w:marLeft w:val="0"/>
                                                      <w:marRight w:val="0"/>
                                                      <w:marTop w:val="0"/>
                                                      <w:marBottom w:val="120"/>
                                                      <w:divBdr>
                                                        <w:top w:val="none" w:sz="0" w:space="0" w:color="auto"/>
                                                        <w:left w:val="none" w:sz="0" w:space="0" w:color="auto"/>
                                                        <w:bottom w:val="none" w:sz="0" w:space="0" w:color="auto"/>
                                                        <w:right w:val="none" w:sz="0" w:space="0" w:color="auto"/>
                                                      </w:divBdr>
                                                      <w:divsChild>
                                                        <w:div w:id="910777164">
                                                          <w:marLeft w:val="0"/>
                                                          <w:marRight w:val="0"/>
                                                          <w:marTop w:val="0"/>
                                                          <w:marBottom w:val="0"/>
                                                          <w:divBdr>
                                                            <w:top w:val="none" w:sz="0" w:space="0" w:color="auto"/>
                                                            <w:left w:val="none" w:sz="0" w:space="0" w:color="auto"/>
                                                            <w:bottom w:val="none" w:sz="0" w:space="0" w:color="auto"/>
                                                            <w:right w:val="none" w:sz="0" w:space="0" w:color="auto"/>
                                                          </w:divBdr>
                                                          <w:divsChild>
                                                            <w:div w:id="17924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5199259">
      <w:bodyDiv w:val="1"/>
      <w:marLeft w:val="0"/>
      <w:marRight w:val="0"/>
      <w:marTop w:val="0"/>
      <w:marBottom w:val="0"/>
      <w:divBdr>
        <w:top w:val="none" w:sz="0" w:space="0" w:color="auto"/>
        <w:left w:val="none" w:sz="0" w:space="0" w:color="auto"/>
        <w:bottom w:val="none" w:sz="0" w:space="0" w:color="auto"/>
        <w:right w:val="none" w:sz="0" w:space="0" w:color="auto"/>
      </w:divBdr>
      <w:divsChild>
        <w:div w:id="450707963">
          <w:marLeft w:val="0"/>
          <w:marRight w:val="0"/>
          <w:marTop w:val="0"/>
          <w:marBottom w:val="0"/>
          <w:divBdr>
            <w:top w:val="none" w:sz="0" w:space="0" w:color="auto"/>
            <w:left w:val="none" w:sz="0" w:space="0" w:color="auto"/>
            <w:bottom w:val="none" w:sz="0" w:space="0" w:color="auto"/>
            <w:right w:val="none" w:sz="0" w:space="0" w:color="auto"/>
          </w:divBdr>
          <w:divsChild>
            <w:div w:id="788162731">
              <w:marLeft w:val="0"/>
              <w:marRight w:val="0"/>
              <w:marTop w:val="0"/>
              <w:marBottom w:val="0"/>
              <w:divBdr>
                <w:top w:val="none" w:sz="0" w:space="0" w:color="auto"/>
                <w:left w:val="none" w:sz="0" w:space="0" w:color="auto"/>
                <w:bottom w:val="none" w:sz="0" w:space="0" w:color="auto"/>
                <w:right w:val="none" w:sz="0" w:space="0" w:color="auto"/>
              </w:divBdr>
              <w:divsChild>
                <w:div w:id="1207139431">
                  <w:marLeft w:val="0"/>
                  <w:marRight w:val="0"/>
                  <w:marTop w:val="0"/>
                  <w:marBottom w:val="0"/>
                  <w:divBdr>
                    <w:top w:val="none" w:sz="0" w:space="0" w:color="auto"/>
                    <w:left w:val="none" w:sz="0" w:space="0" w:color="auto"/>
                    <w:bottom w:val="none" w:sz="0" w:space="0" w:color="auto"/>
                    <w:right w:val="none" w:sz="0" w:space="0" w:color="auto"/>
                  </w:divBdr>
                  <w:divsChild>
                    <w:div w:id="1352992106">
                      <w:marLeft w:val="0"/>
                      <w:marRight w:val="0"/>
                      <w:marTop w:val="0"/>
                      <w:marBottom w:val="0"/>
                      <w:divBdr>
                        <w:top w:val="none" w:sz="0" w:space="0" w:color="auto"/>
                        <w:left w:val="none" w:sz="0" w:space="0" w:color="auto"/>
                        <w:bottom w:val="none" w:sz="0" w:space="0" w:color="auto"/>
                        <w:right w:val="none" w:sz="0" w:space="0" w:color="auto"/>
                      </w:divBdr>
                      <w:divsChild>
                        <w:div w:id="522937837">
                          <w:marLeft w:val="0"/>
                          <w:marRight w:val="0"/>
                          <w:marTop w:val="0"/>
                          <w:marBottom w:val="0"/>
                          <w:divBdr>
                            <w:top w:val="none" w:sz="0" w:space="0" w:color="auto"/>
                            <w:left w:val="none" w:sz="0" w:space="0" w:color="auto"/>
                            <w:bottom w:val="none" w:sz="0" w:space="0" w:color="auto"/>
                            <w:right w:val="none" w:sz="0" w:space="0" w:color="auto"/>
                          </w:divBdr>
                          <w:divsChild>
                            <w:div w:id="316569489">
                              <w:marLeft w:val="0"/>
                              <w:marRight w:val="0"/>
                              <w:marTop w:val="0"/>
                              <w:marBottom w:val="0"/>
                              <w:divBdr>
                                <w:top w:val="none" w:sz="0" w:space="0" w:color="auto"/>
                                <w:left w:val="none" w:sz="0" w:space="0" w:color="auto"/>
                                <w:bottom w:val="none" w:sz="0" w:space="0" w:color="auto"/>
                                <w:right w:val="none" w:sz="0" w:space="0" w:color="auto"/>
                              </w:divBdr>
                              <w:divsChild>
                                <w:div w:id="32506187">
                                  <w:marLeft w:val="0"/>
                                  <w:marRight w:val="0"/>
                                  <w:marTop w:val="0"/>
                                  <w:marBottom w:val="0"/>
                                  <w:divBdr>
                                    <w:top w:val="none" w:sz="0" w:space="0" w:color="auto"/>
                                    <w:left w:val="none" w:sz="0" w:space="0" w:color="auto"/>
                                    <w:bottom w:val="none" w:sz="0" w:space="0" w:color="auto"/>
                                    <w:right w:val="none" w:sz="0" w:space="0" w:color="auto"/>
                                  </w:divBdr>
                                  <w:divsChild>
                                    <w:div w:id="1961063455">
                                      <w:marLeft w:val="240"/>
                                      <w:marRight w:val="240"/>
                                      <w:marTop w:val="240"/>
                                      <w:marBottom w:val="0"/>
                                      <w:divBdr>
                                        <w:top w:val="none" w:sz="0" w:space="0" w:color="auto"/>
                                        <w:left w:val="none" w:sz="0" w:space="0" w:color="auto"/>
                                        <w:bottom w:val="none" w:sz="0" w:space="0" w:color="auto"/>
                                        <w:right w:val="none" w:sz="0" w:space="0" w:color="auto"/>
                                      </w:divBdr>
                                      <w:divsChild>
                                        <w:div w:id="1262714161">
                                          <w:marLeft w:val="0"/>
                                          <w:marRight w:val="0"/>
                                          <w:marTop w:val="0"/>
                                          <w:marBottom w:val="0"/>
                                          <w:divBdr>
                                            <w:top w:val="none" w:sz="0" w:space="0" w:color="auto"/>
                                            <w:left w:val="none" w:sz="0" w:space="0" w:color="auto"/>
                                            <w:bottom w:val="none" w:sz="0" w:space="0" w:color="auto"/>
                                            <w:right w:val="none" w:sz="0" w:space="0" w:color="auto"/>
                                          </w:divBdr>
                                          <w:divsChild>
                                            <w:div w:id="2122989204">
                                              <w:marLeft w:val="0"/>
                                              <w:marRight w:val="0"/>
                                              <w:marTop w:val="0"/>
                                              <w:marBottom w:val="0"/>
                                              <w:divBdr>
                                                <w:top w:val="none" w:sz="0" w:space="0" w:color="auto"/>
                                                <w:left w:val="none" w:sz="0" w:space="0" w:color="auto"/>
                                                <w:bottom w:val="none" w:sz="0" w:space="0" w:color="auto"/>
                                                <w:right w:val="none" w:sz="0" w:space="0" w:color="auto"/>
                                              </w:divBdr>
                                              <w:divsChild>
                                                <w:div w:id="211890793">
                                                  <w:marLeft w:val="0"/>
                                                  <w:marRight w:val="0"/>
                                                  <w:marTop w:val="0"/>
                                                  <w:marBottom w:val="0"/>
                                                  <w:divBdr>
                                                    <w:top w:val="none" w:sz="0" w:space="0" w:color="auto"/>
                                                    <w:left w:val="none" w:sz="0" w:space="0" w:color="auto"/>
                                                    <w:bottom w:val="none" w:sz="0" w:space="0" w:color="auto"/>
                                                    <w:right w:val="none" w:sz="0" w:space="0" w:color="auto"/>
                                                  </w:divBdr>
                                                  <w:divsChild>
                                                    <w:div w:id="523640648">
                                                      <w:marLeft w:val="0"/>
                                                      <w:marRight w:val="0"/>
                                                      <w:marTop w:val="0"/>
                                                      <w:marBottom w:val="120"/>
                                                      <w:divBdr>
                                                        <w:top w:val="none" w:sz="0" w:space="0" w:color="auto"/>
                                                        <w:left w:val="none" w:sz="0" w:space="0" w:color="auto"/>
                                                        <w:bottom w:val="none" w:sz="0" w:space="0" w:color="auto"/>
                                                        <w:right w:val="none" w:sz="0" w:space="0" w:color="auto"/>
                                                      </w:divBdr>
                                                      <w:divsChild>
                                                        <w:div w:id="1028213175">
                                                          <w:marLeft w:val="0"/>
                                                          <w:marRight w:val="0"/>
                                                          <w:marTop w:val="0"/>
                                                          <w:marBottom w:val="0"/>
                                                          <w:divBdr>
                                                            <w:top w:val="none" w:sz="0" w:space="0" w:color="auto"/>
                                                            <w:left w:val="none" w:sz="0" w:space="0" w:color="auto"/>
                                                            <w:bottom w:val="none" w:sz="0" w:space="0" w:color="auto"/>
                                                            <w:right w:val="none" w:sz="0" w:space="0" w:color="auto"/>
                                                          </w:divBdr>
                                                          <w:divsChild>
                                                            <w:div w:id="2043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hilip.jones@tot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bastian.banks@total.com"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033904-ED3F-44C7-9F1C-35176496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F543BB38</Template>
  <TotalTime>0</TotalTime>
  <Pages>6</Pages>
  <Words>1526</Words>
  <Characters>8702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Hartcher-O'Brien, Imogen</dc:creator>
  <cp:lastModifiedBy>Hartcher-O'Brien, Imogen</cp:lastModifiedBy>
  <cp:revision>2</cp:revision>
  <dcterms:created xsi:type="dcterms:W3CDTF">2015-05-12T05:54:00Z</dcterms:created>
  <dcterms:modified xsi:type="dcterms:W3CDTF">2015-05-12T05:54:00Z</dcterms:modified>
</cp:coreProperties>
</file>